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6B8D" w:rsidRPr="00130164" w:rsidRDefault="00846B8D" w:rsidP="00846B8D">
      <w:pPr>
        <w:spacing w:before="0" w:after="0"/>
        <w:jc w:val="both"/>
        <w:rPr>
          <w:rFonts w:ascii="Arial" w:hAnsi="Arial" w:cs="Arial"/>
          <w:sz w:val="22"/>
        </w:rPr>
      </w:pPr>
      <w:bookmarkStart w:id="0" w:name="_Toc413139279"/>
    </w:p>
    <w:p w:rsidR="004471FC" w:rsidRPr="00577B2E" w:rsidRDefault="00493F05" w:rsidP="009C2BB0">
      <w:pPr>
        <w:spacing w:before="0" w:after="0"/>
        <w:ind w:left="1418" w:hanging="1418"/>
        <w:outlineLvl w:val="0"/>
        <w:rPr>
          <w:b/>
          <w:sz w:val="36"/>
          <w:szCs w:val="36"/>
        </w:rPr>
      </w:pPr>
      <w:r w:rsidRPr="00577B2E">
        <w:rPr>
          <w:b/>
          <w:sz w:val="36"/>
          <w:szCs w:val="36"/>
        </w:rPr>
        <w:t>5.04</w:t>
      </w:r>
      <w:r w:rsidR="00AA3262">
        <w:rPr>
          <w:b/>
          <w:sz w:val="36"/>
          <w:szCs w:val="36"/>
        </w:rPr>
        <w:tab/>
      </w:r>
      <w:r w:rsidR="004471FC" w:rsidRPr="00577B2E">
        <w:rPr>
          <w:b/>
          <w:sz w:val="36"/>
          <w:szCs w:val="36"/>
        </w:rPr>
        <w:t xml:space="preserve">BUDESONIDE, </w:t>
      </w:r>
      <w:r w:rsidR="009C2BB0">
        <w:rPr>
          <w:b/>
          <w:sz w:val="36"/>
          <w:szCs w:val="36"/>
        </w:rPr>
        <w:br/>
      </w:r>
      <w:r w:rsidR="004C156B" w:rsidRPr="00577B2E">
        <w:rPr>
          <w:b/>
          <w:sz w:val="36"/>
          <w:szCs w:val="36"/>
        </w:rPr>
        <w:t>Tablet 9 mg</w:t>
      </w:r>
      <w:r w:rsidR="004471FC" w:rsidRPr="00577B2E">
        <w:rPr>
          <w:b/>
          <w:sz w:val="36"/>
          <w:szCs w:val="36"/>
        </w:rPr>
        <w:t xml:space="preserve">, </w:t>
      </w:r>
      <w:r w:rsidR="009C2BB0">
        <w:rPr>
          <w:b/>
          <w:sz w:val="36"/>
          <w:szCs w:val="36"/>
        </w:rPr>
        <w:br/>
      </w:r>
      <w:proofErr w:type="spellStart"/>
      <w:r w:rsidR="004471FC" w:rsidRPr="00577B2E">
        <w:rPr>
          <w:b/>
          <w:sz w:val="36"/>
          <w:szCs w:val="36"/>
        </w:rPr>
        <w:t>Cortiment</w:t>
      </w:r>
      <w:proofErr w:type="spellEnd"/>
      <w:r w:rsidR="004471FC" w:rsidRPr="00577B2E">
        <w:rPr>
          <w:b/>
          <w:sz w:val="36"/>
          <w:szCs w:val="36"/>
        </w:rPr>
        <w:t xml:space="preserve">®, </w:t>
      </w:r>
      <w:proofErr w:type="spellStart"/>
      <w:r w:rsidR="004471FC" w:rsidRPr="00577B2E">
        <w:rPr>
          <w:b/>
          <w:sz w:val="36"/>
          <w:szCs w:val="36"/>
        </w:rPr>
        <w:t>Ferring</w:t>
      </w:r>
      <w:proofErr w:type="spellEnd"/>
      <w:r w:rsidR="004471FC" w:rsidRPr="00577B2E">
        <w:rPr>
          <w:b/>
          <w:sz w:val="36"/>
          <w:szCs w:val="36"/>
        </w:rPr>
        <w:t xml:space="preserve"> Pharmaceuticals</w:t>
      </w:r>
      <w:r w:rsidR="00286E71" w:rsidRPr="00577B2E">
        <w:rPr>
          <w:b/>
          <w:sz w:val="36"/>
          <w:szCs w:val="36"/>
        </w:rPr>
        <w:t xml:space="preserve"> Pty Ltd</w:t>
      </w:r>
    </w:p>
    <w:p w:rsidR="00F822B5" w:rsidRPr="00143649" w:rsidRDefault="00F822B5" w:rsidP="009C2BB0">
      <w:pPr>
        <w:pStyle w:val="PBACHeading1"/>
        <w:numPr>
          <w:ilvl w:val="0"/>
          <w:numId w:val="0"/>
        </w:numPr>
        <w:ind w:left="720"/>
        <w:outlineLvl w:val="9"/>
        <w:rPr>
          <w:b w:val="0"/>
          <w:sz w:val="24"/>
          <w:szCs w:val="24"/>
        </w:rPr>
      </w:pPr>
      <w:bookmarkStart w:id="1" w:name="_Toc413139271"/>
      <w:bookmarkStart w:id="2" w:name="_Toc480411347"/>
    </w:p>
    <w:p w:rsidR="004471FC" w:rsidRPr="003A2C8F" w:rsidRDefault="004471FC" w:rsidP="004471FC">
      <w:pPr>
        <w:pStyle w:val="PBACHeading1"/>
      </w:pPr>
      <w:r w:rsidRPr="003A2C8F">
        <w:t>Purpose of Application</w:t>
      </w:r>
      <w:bookmarkEnd w:id="1"/>
      <w:bookmarkEnd w:id="2"/>
    </w:p>
    <w:p w:rsidR="004471FC" w:rsidRPr="00577B2E" w:rsidRDefault="00687739" w:rsidP="001C2F79">
      <w:pPr>
        <w:pStyle w:val="ListParagraph"/>
        <w:numPr>
          <w:ilvl w:val="1"/>
          <w:numId w:val="3"/>
        </w:numPr>
        <w:spacing w:before="0" w:after="120"/>
        <w:jc w:val="both"/>
      </w:pPr>
      <w:r w:rsidRPr="00577B2E">
        <w:t xml:space="preserve">The submission requested an unrestricted </w:t>
      </w:r>
      <w:r w:rsidR="00AC3683">
        <w:t>listing</w:t>
      </w:r>
      <w:r w:rsidR="00AC3683" w:rsidRPr="00577B2E">
        <w:t xml:space="preserve"> </w:t>
      </w:r>
      <w:r w:rsidRPr="00577B2E">
        <w:t xml:space="preserve">for </w:t>
      </w:r>
      <w:r w:rsidR="004471FC" w:rsidRPr="00577B2E">
        <w:t>budesonid</w:t>
      </w:r>
      <w:r w:rsidR="001C2F79" w:rsidRPr="00577B2E">
        <w:t xml:space="preserve">e </w:t>
      </w:r>
      <w:r w:rsidR="007438BC" w:rsidRPr="00577B2E">
        <w:t>colonic release</w:t>
      </w:r>
      <w:r w:rsidR="001C2F79" w:rsidRPr="00577B2E">
        <w:t xml:space="preserve"> </w:t>
      </w:r>
      <w:r w:rsidR="00AA11F2" w:rsidRPr="00577B2E">
        <w:t>tablets</w:t>
      </w:r>
      <w:r w:rsidR="001C2F79" w:rsidRPr="00577B2E">
        <w:t xml:space="preserve"> (budesonide CR)</w:t>
      </w:r>
      <w:r w:rsidR="00124D08" w:rsidRPr="00577B2E">
        <w:t xml:space="preserve">, however the only evidence presented in the submission was for active mild to moderate </w:t>
      </w:r>
      <w:r w:rsidR="00846ED6" w:rsidRPr="00577B2E">
        <w:t>ulcerative colitis (</w:t>
      </w:r>
      <w:r w:rsidR="00124D08" w:rsidRPr="00577B2E">
        <w:t>UC</w:t>
      </w:r>
      <w:r w:rsidR="00846ED6" w:rsidRPr="00577B2E">
        <w:t>)</w:t>
      </w:r>
      <w:r w:rsidR="00124D08" w:rsidRPr="00577B2E">
        <w:t xml:space="preserve">.  The </w:t>
      </w:r>
      <w:r w:rsidR="004471FC" w:rsidRPr="00577B2E">
        <w:t xml:space="preserve">TGA approved indication </w:t>
      </w:r>
      <w:r w:rsidRPr="00577B2E">
        <w:t xml:space="preserve">is </w:t>
      </w:r>
      <w:r w:rsidR="00AA11F2" w:rsidRPr="00577B2E">
        <w:t xml:space="preserve">for </w:t>
      </w:r>
      <w:r w:rsidR="004471FC" w:rsidRPr="00577B2E">
        <w:t>“adults for induction of remission in patients with mild to moderate active ulcerative colitis (UC) where 5-ASA treatment is not sufficient or not tolerated</w:t>
      </w:r>
      <w:r w:rsidRPr="00D924FF">
        <w:t xml:space="preserve">”. </w:t>
      </w:r>
      <w:r w:rsidR="001C2F79" w:rsidRPr="00577B2E">
        <w:t>PBS listed 5-ASA (or 5-aminosalicylic acids) include sulfasalazine, mesalazine, olsalazine and balsalazide.</w:t>
      </w:r>
    </w:p>
    <w:p w:rsidR="008B2620" w:rsidRDefault="008B2620" w:rsidP="008B2620">
      <w:pPr>
        <w:pStyle w:val="Caption"/>
      </w:pPr>
      <w:r>
        <w:t xml:space="preserve">Table </w:t>
      </w:r>
      <w:r w:rsidR="009C2BB0">
        <w:rPr>
          <w:noProof/>
        </w:rPr>
        <w:t>1</w:t>
      </w:r>
      <w:r w:rsidRPr="0055010A">
        <w:t>: Key components of the clinical issue addressed by the submission</w:t>
      </w:r>
    </w:p>
    <w:tbl>
      <w:tblPr>
        <w:tblStyle w:val="TableGrid"/>
        <w:tblW w:w="9072"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Key components of the clinical issue addressed by the submission"/>
      </w:tblPr>
      <w:tblGrid>
        <w:gridCol w:w="1134"/>
        <w:gridCol w:w="7938"/>
      </w:tblGrid>
      <w:tr w:rsidR="004471FC" w:rsidRPr="00577B2E" w:rsidTr="007C7CC8">
        <w:trPr>
          <w:cnfStyle w:val="100000000000" w:firstRow="1" w:lastRow="0" w:firstColumn="0" w:lastColumn="0" w:oddVBand="0" w:evenVBand="0" w:oddHBand="0" w:evenHBand="0" w:firstRowFirstColumn="0" w:firstRowLastColumn="0" w:lastRowFirstColumn="0" w:lastRowLastColumn="0"/>
          <w:cantSplit/>
          <w:tblHeader/>
        </w:trPr>
        <w:tc>
          <w:tcPr>
            <w:tcW w:w="1134" w:type="dxa"/>
            <w:shd w:val="clear" w:color="auto" w:fill="FFFFFF" w:themeFill="background1"/>
          </w:tcPr>
          <w:p w:rsidR="004471FC" w:rsidRPr="00577B2E" w:rsidRDefault="004471FC" w:rsidP="008E12B9">
            <w:pPr>
              <w:spacing w:before="0"/>
              <w:jc w:val="both"/>
              <w:rPr>
                <w:rFonts w:ascii="Arial Narrow" w:hAnsi="Arial Narrow"/>
                <w:sz w:val="20"/>
                <w:szCs w:val="20"/>
              </w:rPr>
            </w:pPr>
            <w:r w:rsidRPr="00577B2E">
              <w:rPr>
                <w:rFonts w:ascii="Arial Narrow" w:hAnsi="Arial Narrow"/>
                <w:sz w:val="20"/>
                <w:szCs w:val="20"/>
              </w:rPr>
              <w:t>Component</w:t>
            </w:r>
          </w:p>
        </w:tc>
        <w:tc>
          <w:tcPr>
            <w:tcW w:w="7938" w:type="dxa"/>
            <w:shd w:val="clear" w:color="auto" w:fill="FFFFFF" w:themeFill="background1"/>
          </w:tcPr>
          <w:p w:rsidR="004471FC" w:rsidRPr="00577B2E" w:rsidRDefault="004471FC" w:rsidP="008E12B9">
            <w:pPr>
              <w:spacing w:before="0"/>
              <w:jc w:val="both"/>
              <w:rPr>
                <w:rFonts w:ascii="Arial Narrow" w:hAnsi="Arial Narrow"/>
                <w:sz w:val="20"/>
                <w:szCs w:val="20"/>
              </w:rPr>
            </w:pPr>
            <w:r w:rsidRPr="00577B2E">
              <w:rPr>
                <w:rFonts w:ascii="Arial Narrow" w:hAnsi="Arial Narrow"/>
                <w:sz w:val="20"/>
                <w:szCs w:val="20"/>
              </w:rPr>
              <w:t>Description</w:t>
            </w:r>
          </w:p>
        </w:tc>
      </w:tr>
      <w:tr w:rsidR="004471FC" w:rsidRPr="00577B2E" w:rsidTr="007C7CC8">
        <w:trPr>
          <w:cantSplit/>
        </w:trPr>
        <w:tc>
          <w:tcPr>
            <w:tcW w:w="1134" w:type="dxa"/>
          </w:tcPr>
          <w:p w:rsidR="004471FC" w:rsidRPr="00577B2E" w:rsidRDefault="004471FC" w:rsidP="008E12B9">
            <w:pPr>
              <w:spacing w:before="0"/>
              <w:jc w:val="both"/>
              <w:rPr>
                <w:rFonts w:ascii="Arial Narrow" w:hAnsi="Arial Narrow"/>
                <w:sz w:val="20"/>
                <w:szCs w:val="20"/>
              </w:rPr>
            </w:pPr>
            <w:r w:rsidRPr="00577B2E">
              <w:rPr>
                <w:rFonts w:ascii="Arial Narrow" w:hAnsi="Arial Narrow"/>
                <w:sz w:val="20"/>
                <w:szCs w:val="20"/>
              </w:rPr>
              <w:t>Population</w:t>
            </w:r>
          </w:p>
        </w:tc>
        <w:tc>
          <w:tcPr>
            <w:tcW w:w="7938" w:type="dxa"/>
          </w:tcPr>
          <w:p w:rsidR="004471FC" w:rsidRPr="00577B2E" w:rsidRDefault="004471FC" w:rsidP="008E12B9">
            <w:pPr>
              <w:spacing w:before="0"/>
              <w:jc w:val="both"/>
              <w:rPr>
                <w:rFonts w:ascii="Arial Narrow" w:hAnsi="Arial Narrow"/>
                <w:sz w:val="20"/>
                <w:szCs w:val="20"/>
              </w:rPr>
            </w:pPr>
            <w:r w:rsidRPr="00577B2E">
              <w:rPr>
                <w:rFonts w:ascii="Arial Narrow" w:hAnsi="Arial Narrow"/>
                <w:sz w:val="20"/>
                <w:szCs w:val="20"/>
              </w:rPr>
              <w:t>Mild to moderate ulcerative colitis where 5-ASA treatment is not sufficient or not tolerated</w:t>
            </w:r>
          </w:p>
        </w:tc>
      </w:tr>
      <w:tr w:rsidR="004471FC" w:rsidRPr="00577B2E" w:rsidTr="007C7CC8">
        <w:trPr>
          <w:cantSplit/>
        </w:trPr>
        <w:tc>
          <w:tcPr>
            <w:tcW w:w="1134" w:type="dxa"/>
          </w:tcPr>
          <w:p w:rsidR="004471FC" w:rsidRPr="00577B2E" w:rsidRDefault="004471FC" w:rsidP="008E12B9">
            <w:pPr>
              <w:spacing w:before="0"/>
              <w:jc w:val="both"/>
              <w:rPr>
                <w:rFonts w:ascii="Arial Narrow" w:hAnsi="Arial Narrow"/>
                <w:sz w:val="20"/>
                <w:szCs w:val="20"/>
              </w:rPr>
            </w:pPr>
            <w:r w:rsidRPr="00577B2E">
              <w:rPr>
                <w:rFonts w:ascii="Arial Narrow" w:hAnsi="Arial Narrow"/>
                <w:sz w:val="20"/>
                <w:szCs w:val="20"/>
              </w:rPr>
              <w:t>Intervention</w:t>
            </w:r>
          </w:p>
        </w:tc>
        <w:tc>
          <w:tcPr>
            <w:tcW w:w="7938" w:type="dxa"/>
          </w:tcPr>
          <w:p w:rsidR="004471FC" w:rsidRPr="00577B2E" w:rsidRDefault="004471FC" w:rsidP="008E12B9">
            <w:pPr>
              <w:spacing w:before="0"/>
              <w:jc w:val="both"/>
              <w:rPr>
                <w:rFonts w:ascii="Arial Narrow" w:hAnsi="Arial Narrow"/>
                <w:sz w:val="20"/>
                <w:szCs w:val="20"/>
              </w:rPr>
            </w:pPr>
            <w:r w:rsidRPr="00577B2E">
              <w:rPr>
                <w:rFonts w:ascii="Arial Narrow" w:hAnsi="Arial Narrow"/>
                <w:sz w:val="20"/>
                <w:szCs w:val="20"/>
              </w:rPr>
              <w:t>Budesonide CR (</w:t>
            </w:r>
            <w:proofErr w:type="spellStart"/>
            <w:r w:rsidRPr="00577B2E">
              <w:rPr>
                <w:rFonts w:ascii="Arial Narrow" w:hAnsi="Arial Narrow"/>
                <w:sz w:val="20"/>
                <w:szCs w:val="20"/>
              </w:rPr>
              <w:t>Cortiment</w:t>
            </w:r>
            <w:proofErr w:type="spellEnd"/>
            <w:r w:rsidRPr="00577B2E">
              <w:rPr>
                <w:rFonts w:ascii="Arial Narrow" w:hAnsi="Arial Narrow"/>
                <w:sz w:val="20"/>
                <w:szCs w:val="20"/>
              </w:rPr>
              <w:t>®) 9 mg prolonged-release tablets, daily oral administration</w:t>
            </w:r>
          </w:p>
        </w:tc>
      </w:tr>
      <w:tr w:rsidR="004471FC" w:rsidRPr="00577B2E" w:rsidTr="007C7CC8">
        <w:trPr>
          <w:cantSplit/>
        </w:trPr>
        <w:tc>
          <w:tcPr>
            <w:tcW w:w="1134" w:type="dxa"/>
          </w:tcPr>
          <w:p w:rsidR="004471FC" w:rsidRPr="00577B2E" w:rsidRDefault="004471FC" w:rsidP="008E12B9">
            <w:pPr>
              <w:spacing w:before="0"/>
              <w:jc w:val="both"/>
              <w:rPr>
                <w:rFonts w:ascii="Arial Narrow" w:hAnsi="Arial Narrow"/>
                <w:sz w:val="20"/>
                <w:szCs w:val="20"/>
              </w:rPr>
            </w:pPr>
            <w:r w:rsidRPr="00577B2E">
              <w:rPr>
                <w:rFonts w:ascii="Arial Narrow" w:hAnsi="Arial Narrow"/>
                <w:sz w:val="20"/>
                <w:szCs w:val="20"/>
              </w:rPr>
              <w:t>Comparator</w:t>
            </w:r>
          </w:p>
        </w:tc>
        <w:tc>
          <w:tcPr>
            <w:tcW w:w="7938" w:type="dxa"/>
          </w:tcPr>
          <w:p w:rsidR="004471FC" w:rsidRPr="00577B2E" w:rsidRDefault="004471FC" w:rsidP="008E12B9">
            <w:pPr>
              <w:spacing w:before="0"/>
              <w:jc w:val="both"/>
              <w:rPr>
                <w:rFonts w:ascii="Arial Narrow" w:hAnsi="Arial Narrow"/>
                <w:sz w:val="20"/>
                <w:szCs w:val="20"/>
              </w:rPr>
            </w:pPr>
            <w:r w:rsidRPr="00577B2E">
              <w:rPr>
                <w:rFonts w:ascii="Arial Narrow" w:hAnsi="Arial Narrow"/>
                <w:sz w:val="20"/>
                <w:szCs w:val="20"/>
              </w:rPr>
              <w:t>Budesonide (</w:t>
            </w:r>
            <w:proofErr w:type="spellStart"/>
            <w:r w:rsidRPr="00577B2E">
              <w:rPr>
                <w:rFonts w:ascii="Arial Narrow" w:hAnsi="Arial Narrow"/>
                <w:sz w:val="20"/>
                <w:szCs w:val="20"/>
              </w:rPr>
              <w:t>Budenofalk</w:t>
            </w:r>
            <w:proofErr w:type="spellEnd"/>
            <w:r w:rsidRPr="00577B2E">
              <w:rPr>
                <w:rFonts w:ascii="Arial Narrow" w:hAnsi="Arial Narrow"/>
                <w:sz w:val="20"/>
                <w:szCs w:val="20"/>
              </w:rPr>
              <w:t>®) 2 mg foam enema, daily rectal administration</w:t>
            </w:r>
          </w:p>
        </w:tc>
      </w:tr>
      <w:tr w:rsidR="004471FC" w:rsidRPr="00577B2E" w:rsidTr="007C7CC8">
        <w:trPr>
          <w:cantSplit/>
        </w:trPr>
        <w:tc>
          <w:tcPr>
            <w:tcW w:w="1134" w:type="dxa"/>
          </w:tcPr>
          <w:p w:rsidR="004471FC" w:rsidRPr="00577B2E" w:rsidRDefault="004471FC" w:rsidP="008E12B9">
            <w:pPr>
              <w:spacing w:before="0"/>
              <w:jc w:val="both"/>
              <w:rPr>
                <w:rFonts w:ascii="Arial Narrow" w:hAnsi="Arial Narrow"/>
                <w:sz w:val="20"/>
                <w:szCs w:val="20"/>
              </w:rPr>
            </w:pPr>
            <w:r w:rsidRPr="00577B2E">
              <w:rPr>
                <w:rFonts w:ascii="Arial Narrow" w:hAnsi="Arial Narrow"/>
                <w:sz w:val="20"/>
                <w:szCs w:val="20"/>
              </w:rPr>
              <w:t>Outcomes</w:t>
            </w:r>
          </w:p>
        </w:tc>
        <w:tc>
          <w:tcPr>
            <w:tcW w:w="7938" w:type="dxa"/>
          </w:tcPr>
          <w:p w:rsidR="004471FC" w:rsidRPr="00577B2E" w:rsidRDefault="004471FC" w:rsidP="008E12B9">
            <w:pPr>
              <w:spacing w:before="0"/>
              <w:jc w:val="both"/>
              <w:rPr>
                <w:rFonts w:ascii="Arial Narrow" w:hAnsi="Arial Narrow"/>
                <w:sz w:val="20"/>
                <w:szCs w:val="20"/>
              </w:rPr>
            </w:pPr>
            <w:r w:rsidRPr="00577B2E">
              <w:rPr>
                <w:rFonts w:ascii="Arial Narrow" w:hAnsi="Arial Narrow"/>
                <w:sz w:val="20"/>
                <w:szCs w:val="20"/>
              </w:rPr>
              <w:t xml:space="preserve">Remission, mucosal appearance (endoscopy) </w:t>
            </w:r>
            <w:proofErr w:type="spellStart"/>
            <w:r w:rsidRPr="00577B2E">
              <w:rPr>
                <w:rFonts w:ascii="Arial Narrow" w:hAnsi="Arial Narrow"/>
                <w:sz w:val="20"/>
                <w:szCs w:val="20"/>
              </w:rPr>
              <w:t>subscore</w:t>
            </w:r>
            <w:proofErr w:type="spellEnd"/>
            <w:r w:rsidRPr="00577B2E">
              <w:rPr>
                <w:rFonts w:ascii="Arial Narrow" w:hAnsi="Arial Narrow"/>
                <w:sz w:val="20"/>
                <w:szCs w:val="20"/>
              </w:rPr>
              <w:t>, and TEAEs</w:t>
            </w:r>
          </w:p>
        </w:tc>
      </w:tr>
      <w:tr w:rsidR="004471FC" w:rsidRPr="00577B2E" w:rsidTr="007C7CC8">
        <w:trPr>
          <w:cantSplit/>
        </w:trPr>
        <w:tc>
          <w:tcPr>
            <w:tcW w:w="1134" w:type="dxa"/>
          </w:tcPr>
          <w:p w:rsidR="004471FC" w:rsidRPr="00577B2E" w:rsidRDefault="004471FC" w:rsidP="008E12B9">
            <w:pPr>
              <w:spacing w:before="0"/>
              <w:jc w:val="both"/>
              <w:rPr>
                <w:rFonts w:ascii="Arial Narrow" w:hAnsi="Arial Narrow"/>
                <w:sz w:val="20"/>
                <w:szCs w:val="20"/>
              </w:rPr>
            </w:pPr>
            <w:r w:rsidRPr="00577B2E">
              <w:rPr>
                <w:rFonts w:ascii="Arial Narrow" w:hAnsi="Arial Narrow"/>
                <w:sz w:val="20"/>
                <w:szCs w:val="20"/>
              </w:rPr>
              <w:t>Clinical claim</w:t>
            </w:r>
          </w:p>
        </w:tc>
        <w:tc>
          <w:tcPr>
            <w:tcW w:w="7938" w:type="dxa"/>
          </w:tcPr>
          <w:p w:rsidR="004471FC" w:rsidRPr="00577B2E" w:rsidRDefault="004471FC" w:rsidP="00D41466">
            <w:pPr>
              <w:spacing w:before="0"/>
              <w:jc w:val="both"/>
              <w:rPr>
                <w:rFonts w:ascii="Arial Narrow" w:hAnsi="Arial Narrow"/>
                <w:sz w:val="20"/>
                <w:szCs w:val="20"/>
              </w:rPr>
            </w:pPr>
            <w:r w:rsidRPr="00577B2E">
              <w:rPr>
                <w:rFonts w:ascii="Arial Narrow" w:hAnsi="Arial Narrow"/>
                <w:sz w:val="20"/>
                <w:szCs w:val="20"/>
              </w:rPr>
              <w:t>In patients with mild to moderate active ulcerative colitis, budesonide CR 9 mg is as effective as budesonide 2 mg foam enema at inducing remission</w:t>
            </w:r>
            <w:r w:rsidR="00D41466">
              <w:rPr>
                <w:rFonts w:ascii="Arial Narrow" w:hAnsi="Arial Narrow"/>
                <w:sz w:val="20"/>
                <w:szCs w:val="20"/>
              </w:rPr>
              <w:t xml:space="preserve"> and</w:t>
            </w:r>
            <w:r w:rsidRPr="00577B2E">
              <w:rPr>
                <w:rFonts w:ascii="Arial Narrow" w:hAnsi="Arial Narrow"/>
                <w:sz w:val="20"/>
                <w:szCs w:val="20"/>
              </w:rPr>
              <w:t xml:space="preserve"> achieving a mucosal appearance (endoscopy) </w:t>
            </w:r>
            <w:proofErr w:type="spellStart"/>
            <w:r w:rsidRPr="00577B2E">
              <w:rPr>
                <w:rFonts w:ascii="Arial Narrow" w:hAnsi="Arial Narrow"/>
                <w:sz w:val="20"/>
                <w:szCs w:val="20"/>
              </w:rPr>
              <w:t>subscore</w:t>
            </w:r>
            <w:proofErr w:type="spellEnd"/>
            <w:r w:rsidRPr="00577B2E">
              <w:rPr>
                <w:rFonts w:ascii="Arial Narrow" w:hAnsi="Arial Narrow"/>
                <w:sz w:val="20"/>
                <w:szCs w:val="20"/>
              </w:rPr>
              <w:t xml:space="preserve"> of 0 (UCDAI) or ≤ 1 (</w:t>
            </w:r>
            <w:proofErr w:type="spellStart"/>
            <w:r w:rsidRPr="00577B2E">
              <w:rPr>
                <w:rFonts w:ascii="Arial Narrow" w:hAnsi="Arial Narrow"/>
                <w:sz w:val="20"/>
                <w:szCs w:val="20"/>
              </w:rPr>
              <w:t>mMayo</w:t>
            </w:r>
            <w:proofErr w:type="spellEnd"/>
            <w:r w:rsidRPr="00577B2E">
              <w:rPr>
                <w:rFonts w:ascii="Arial Narrow" w:hAnsi="Arial Narrow"/>
                <w:sz w:val="20"/>
                <w:szCs w:val="20"/>
              </w:rPr>
              <w:t>)</w:t>
            </w:r>
            <w:r w:rsidR="00D41466">
              <w:rPr>
                <w:rFonts w:ascii="Arial Narrow" w:hAnsi="Arial Narrow"/>
                <w:sz w:val="20"/>
                <w:szCs w:val="20"/>
              </w:rPr>
              <w:t>. Budesonide CR is non-inferior to budesonide foam enemas in terms of safety</w:t>
            </w:r>
            <w:r w:rsidRPr="00577B2E">
              <w:rPr>
                <w:rFonts w:ascii="Arial Narrow" w:hAnsi="Arial Narrow"/>
                <w:sz w:val="20"/>
                <w:szCs w:val="20"/>
              </w:rPr>
              <w:t>.</w:t>
            </w:r>
          </w:p>
        </w:tc>
      </w:tr>
    </w:tbl>
    <w:p w:rsidR="004471FC" w:rsidRPr="00577B2E" w:rsidRDefault="004471FC" w:rsidP="007C7CC8">
      <w:pPr>
        <w:spacing w:before="0" w:after="0"/>
        <w:jc w:val="both"/>
        <w:rPr>
          <w:rFonts w:ascii="Arial Narrow" w:hAnsi="Arial Narrow"/>
          <w:sz w:val="20"/>
          <w:szCs w:val="20"/>
        </w:rPr>
      </w:pPr>
      <w:r w:rsidRPr="00577B2E">
        <w:rPr>
          <w:rFonts w:ascii="Arial Narrow" w:hAnsi="Arial Narrow"/>
          <w:sz w:val="20"/>
          <w:szCs w:val="20"/>
        </w:rPr>
        <w:t>Abbreviat</w:t>
      </w:r>
      <w:r w:rsidR="001C2F79" w:rsidRPr="00577B2E">
        <w:rPr>
          <w:rFonts w:ascii="Arial Narrow" w:hAnsi="Arial Narrow"/>
          <w:sz w:val="20"/>
          <w:szCs w:val="20"/>
        </w:rPr>
        <w:t>ions: 5-ASA = 5-aminosalicylic acids</w:t>
      </w:r>
      <w:r w:rsidRPr="00577B2E">
        <w:rPr>
          <w:rFonts w:ascii="Arial Narrow" w:hAnsi="Arial Narrow"/>
          <w:sz w:val="20"/>
          <w:szCs w:val="20"/>
        </w:rPr>
        <w:t xml:space="preserve">; CR = colonic release; </w:t>
      </w:r>
      <w:proofErr w:type="spellStart"/>
      <w:r w:rsidRPr="00577B2E">
        <w:rPr>
          <w:rFonts w:ascii="Arial Narrow" w:hAnsi="Arial Narrow"/>
          <w:sz w:val="20"/>
          <w:szCs w:val="20"/>
        </w:rPr>
        <w:t>mMayo</w:t>
      </w:r>
      <w:proofErr w:type="spellEnd"/>
      <w:r w:rsidRPr="00577B2E">
        <w:rPr>
          <w:rFonts w:ascii="Arial Narrow" w:hAnsi="Arial Narrow"/>
          <w:sz w:val="20"/>
          <w:szCs w:val="20"/>
        </w:rPr>
        <w:t xml:space="preserve"> = modified Mayo score; TEAEs = treatment emergent adverse events; UCDAI = ulcerative colitis disease activity index score</w:t>
      </w:r>
    </w:p>
    <w:p w:rsidR="007A5D40" w:rsidRDefault="004471FC" w:rsidP="00C930AC">
      <w:pPr>
        <w:spacing w:before="0" w:after="0"/>
        <w:jc w:val="both"/>
        <w:rPr>
          <w:rFonts w:ascii="Arial Narrow" w:hAnsi="Arial Narrow"/>
          <w:sz w:val="20"/>
          <w:szCs w:val="20"/>
        </w:rPr>
      </w:pPr>
      <w:r w:rsidRPr="00577B2E">
        <w:rPr>
          <w:rFonts w:ascii="Arial Narrow" w:hAnsi="Arial Narrow"/>
          <w:sz w:val="20"/>
          <w:szCs w:val="20"/>
        </w:rPr>
        <w:t>Source: p2 of the submission</w:t>
      </w:r>
      <w:bookmarkStart w:id="3" w:name="_Toc413139272"/>
      <w:bookmarkStart w:id="4" w:name="_Toc480411348"/>
    </w:p>
    <w:p w:rsidR="00842F06" w:rsidRPr="00C930AC" w:rsidRDefault="00842F06" w:rsidP="00C930AC">
      <w:pPr>
        <w:spacing w:before="0" w:after="0"/>
        <w:jc w:val="both"/>
        <w:rPr>
          <w:rFonts w:ascii="Arial Narrow" w:hAnsi="Arial Narrow"/>
          <w:sz w:val="20"/>
          <w:szCs w:val="20"/>
        </w:rPr>
      </w:pPr>
    </w:p>
    <w:p w:rsidR="004471FC" w:rsidRPr="003A2C8F" w:rsidRDefault="004471FC" w:rsidP="004471FC">
      <w:pPr>
        <w:pStyle w:val="PBACHeading1"/>
      </w:pPr>
      <w:r w:rsidRPr="003A2C8F">
        <w:t>Requested listing</w:t>
      </w:r>
      <w:bookmarkEnd w:id="3"/>
      <w:bookmarkEnd w:id="4"/>
    </w:p>
    <w:tbl>
      <w:tblPr>
        <w:tblW w:w="4981" w:type="pct"/>
        <w:tblInd w:w="28" w:type="dxa"/>
        <w:tblCellMar>
          <w:left w:w="28" w:type="dxa"/>
          <w:right w:w="28" w:type="dxa"/>
        </w:tblCellMar>
        <w:tblLook w:val="0000" w:firstRow="0" w:lastRow="0" w:firstColumn="0" w:lastColumn="0" w:noHBand="0" w:noVBand="0"/>
      </w:tblPr>
      <w:tblGrid>
        <w:gridCol w:w="1989"/>
        <w:gridCol w:w="726"/>
        <w:gridCol w:w="860"/>
        <w:gridCol w:w="836"/>
        <w:gridCol w:w="1306"/>
        <w:gridCol w:w="3354"/>
      </w:tblGrid>
      <w:tr w:rsidR="004471FC" w:rsidRPr="00577B2E" w:rsidTr="007C7CC8">
        <w:trPr>
          <w:cantSplit/>
          <w:trHeight w:val="463"/>
        </w:trPr>
        <w:tc>
          <w:tcPr>
            <w:tcW w:w="1496" w:type="pct"/>
            <w:gridSpan w:val="2"/>
            <w:tcBorders>
              <w:bottom w:val="single" w:sz="4" w:space="0" w:color="auto"/>
            </w:tcBorders>
            <w:vAlign w:val="center"/>
          </w:tcPr>
          <w:p w:rsidR="004471FC" w:rsidRPr="00577B2E" w:rsidRDefault="004471FC" w:rsidP="00A53FEB">
            <w:pPr>
              <w:pStyle w:val="TableText"/>
              <w:spacing w:before="0" w:after="0"/>
              <w:rPr>
                <w:b/>
              </w:rPr>
            </w:pPr>
            <w:r w:rsidRPr="00577B2E">
              <w:rPr>
                <w:b/>
              </w:rPr>
              <w:t>Name, Restriction,</w:t>
            </w:r>
          </w:p>
          <w:p w:rsidR="004471FC" w:rsidRPr="00577B2E" w:rsidRDefault="004471FC" w:rsidP="00A53FEB">
            <w:pPr>
              <w:pStyle w:val="TableText"/>
              <w:spacing w:before="0" w:after="0"/>
              <w:rPr>
                <w:b/>
              </w:rPr>
            </w:pPr>
            <w:r w:rsidRPr="00577B2E">
              <w:rPr>
                <w:b/>
              </w:rPr>
              <w:t>Manner of administration and form</w:t>
            </w:r>
          </w:p>
        </w:tc>
        <w:tc>
          <w:tcPr>
            <w:tcW w:w="474" w:type="pct"/>
            <w:tcBorders>
              <w:bottom w:val="single" w:sz="4" w:space="0" w:color="auto"/>
            </w:tcBorders>
            <w:vAlign w:val="center"/>
          </w:tcPr>
          <w:p w:rsidR="004471FC" w:rsidRPr="00577B2E" w:rsidRDefault="004471FC" w:rsidP="008E12B9">
            <w:pPr>
              <w:pStyle w:val="TableText"/>
              <w:spacing w:before="0" w:after="0"/>
              <w:jc w:val="both"/>
              <w:rPr>
                <w:b/>
              </w:rPr>
            </w:pPr>
            <w:r w:rsidRPr="00577B2E">
              <w:rPr>
                <w:b/>
              </w:rPr>
              <w:t>Max.</w:t>
            </w:r>
          </w:p>
          <w:p w:rsidR="004471FC" w:rsidRPr="00577B2E" w:rsidRDefault="00A53FEB" w:rsidP="00A53FEB">
            <w:pPr>
              <w:pStyle w:val="TableText"/>
              <w:spacing w:before="0" w:after="0"/>
              <w:jc w:val="both"/>
              <w:rPr>
                <w:b/>
              </w:rPr>
            </w:pPr>
            <w:proofErr w:type="spellStart"/>
            <w:r w:rsidRPr="00577B2E">
              <w:rPr>
                <w:b/>
              </w:rPr>
              <w:t>Qty</w:t>
            </w:r>
            <w:proofErr w:type="spellEnd"/>
          </w:p>
        </w:tc>
        <w:tc>
          <w:tcPr>
            <w:tcW w:w="461" w:type="pct"/>
            <w:tcBorders>
              <w:bottom w:val="single" w:sz="4" w:space="0" w:color="auto"/>
            </w:tcBorders>
            <w:vAlign w:val="center"/>
          </w:tcPr>
          <w:p w:rsidR="004471FC" w:rsidRPr="007A5D40" w:rsidRDefault="00A53FEB" w:rsidP="008E12B9">
            <w:pPr>
              <w:pStyle w:val="TableText"/>
              <w:spacing w:before="0" w:after="0"/>
              <w:jc w:val="both"/>
              <w:rPr>
                <w:b/>
              </w:rPr>
            </w:pPr>
            <w:r w:rsidRPr="007A5D40">
              <w:rPr>
                <w:b/>
              </w:rPr>
              <w:t xml:space="preserve">Max </w:t>
            </w:r>
            <w:r w:rsidR="004471FC" w:rsidRPr="007A5D40">
              <w:rPr>
                <w:b/>
              </w:rPr>
              <w:t>№.of</w:t>
            </w:r>
          </w:p>
          <w:p w:rsidR="004471FC" w:rsidRPr="00215269" w:rsidRDefault="004471FC" w:rsidP="008E12B9">
            <w:pPr>
              <w:pStyle w:val="TableText"/>
              <w:spacing w:before="0" w:after="0"/>
              <w:jc w:val="both"/>
              <w:rPr>
                <w:b/>
              </w:rPr>
            </w:pPr>
            <w:proofErr w:type="spellStart"/>
            <w:r w:rsidRPr="00215269">
              <w:rPr>
                <w:b/>
              </w:rPr>
              <w:t>Rpts</w:t>
            </w:r>
            <w:proofErr w:type="spellEnd"/>
          </w:p>
        </w:tc>
        <w:tc>
          <w:tcPr>
            <w:tcW w:w="720" w:type="pct"/>
            <w:tcBorders>
              <w:bottom w:val="single" w:sz="4" w:space="0" w:color="auto"/>
            </w:tcBorders>
            <w:vAlign w:val="center"/>
          </w:tcPr>
          <w:p w:rsidR="004471FC" w:rsidRPr="00577B2E" w:rsidRDefault="00A53FEB" w:rsidP="00A53FEB">
            <w:pPr>
              <w:pStyle w:val="TableText"/>
              <w:spacing w:before="0" w:after="0"/>
              <w:jc w:val="both"/>
              <w:rPr>
                <w:b/>
              </w:rPr>
            </w:pPr>
            <w:r w:rsidRPr="00577B2E">
              <w:rPr>
                <w:b/>
              </w:rPr>
              <w:t xml:space="preserve">Dispensed Price for Max. </w:t>
            </w:r>
            <w:proofErr w:type="spellStart"/>
            <w:r w:rsidRPr="00577B2E">
              <w:rPr>
                <w:b/>
              </w:rPr>
              <w:t>Qty</w:t>
            </w:r>
            <w:proofErr w:type="spellEnd"/>
          </w:p>
        </w:tc>
        <w:tc>
          <w:tcPr>
            <w:tcW w:w="1849" w:type="pct"/>
            <w:tcBorders>
              <w:bottom w:val="single" w:sz="4" w:space="0" w:color="auto"/>
            </w:tcBorders>
            <w:vAlign w:val="center"/>
          </w:tcPr>
          <w:p w:rsidR="004471FC" w:rsidRPr="00577B2E" w:rsidRDefault="004471FC" w:rsidP="00A53FEB">
            <w:pPr>
              <w:pStyle w:val="TableText"/>
              <w:spacing w:before="0" w:after="0"/>
              <w:rPr>
                <w:b/>
                <w:lang w:val="fr-FR"/>
              </w:rPr>
            </w:pPr>
            <w:r w:rsidRPr="00577B2E">
              <w:rPr>
                <w:b/>
              </w:rPr>
              <w:t>Proprietary Name and Manufacturer</w:t>
            </w:r>
          </w:p>
        </w:tc>
      </w:tr>
      <w:tr w:rsidR="00A53FEB" w:rsidRPr="00577B2E" w:rsidTr="007C7CC8">
        <w:trPr>
          <w:cantSplit/>
          <w:trHeight w:val="567"/>
        </w:trPr>
        <w:tc>
          <w:tcPr>
            <w:tcW w:w="1496" w:type="pct"/>
            <w:gridSpan w:val="2"/>
          </w:tcPr>
          <w:p w:rsidR="00A53FEB" w:rsidRPr="00577B2E" w:rsidRDefault="00A53FEB" w:rsidP="008E12B9">
            <w:pPr>
              <w:pStyle w:val="Tabletext0"/>
              <w:jc w:val="both"/>
              <w:rPr>
                <w:b/>
                <w:bCs/>
              </w:rPr>
            </w:pPr>
            <w:r w:rsidRPr="00577B2E">
              <w:t xml:space="preserve">CORTIMENT, </w:t>
            </w:r>
            <w:r w:rsidR="007438BC" w:rsidRPr="00577B2E">
              <w:t>colonic release</w:t>
            </w:r>
            <w:r w:rsidRPr="00577B2E">
              <w:t xml:space="preserve"> oral tablets, 9</w:t>
            </w:r>
            <w:r w:rsidR="00F3128F">
              <w:t xml:space="preserve"> </w:t>
            </w:r>
            <w:r w:rsidRPr="00577B2E">
              <w:t>mg</w:t>
            </w:r>
          </w:p>
        </w:tc>
        <w:tc>
          <w:tcPr>
            <w:tcW w:w="474" w:type="pct"/>
          </w:tcPr>
          <w:p w:rsidR="00A53FEB" w:rsidRPr="00577B2E" w:rsidRDefault="00A53FEB" w:rsidP="008E12B9">
            <w:pPr>
              <w:pStyle w:val="Tabletext0"/>
              <w:jc w:val="both"/>
              <w:rPr>
                <w:rFonts w:ascii="Times" w:hAnsi="Times"/>
              </w:rPr>
            </w:pPr>
            <w:r w:rsidRPr="00577B2E">
              <w:t>30</w:t>
            </w:r>
          </w:p>
        </w:tc>
        <w:tc>
          <w:tcPr>
            <w:tcW w:w="461" w:type="pct"/>
          </w:tcPr>
          <w:p w:rsidR="00A53FEB" w:rsidRPr="007A5D40" w:rsidRDefault="00A53FEB" w:rsidP="008E12B9">
            <w:pPr>
              <w:pStyle w:val="Tabletext0"/>
              <w:jc w:val="both"/>
            </w:pPr>
            <w:r w:rsidRPr="007A5D40">
              <w:t>3</w:t>
            </w:r>
          </w:p>
        </w:tc>
        <w:tc>
          <w:tcPr>
            <w:tcW w:w="720" w:type="pct"/>
          </w:tcPr>
          <w:p w:rsidR="00A53FEB" w:rsidRPr="00577B2E" w:rsidRDefault="00A53FEB" w:rsidP="008E12B9">
            <w:pPr>
              <w:pStyle w:val="Tabletext0"/>
              <w:jc w:val="both"/>
            </w:pPr>
            <w:r w:rsidRPr="00577B2E">
              <w:t>$</w:t>
            </w:r>
            <w:r w:rsidR="00F82904">
              <w:rPr>
                <w:noProof/>
                <w:color w:val="000000"/>
                <w:highlight w:val="black"/>
              </w:rPr>
              <w:t>'''''''''''''''</w:t>
            </w:r>
          </w:p>
        </w:tc>
        <w:tc>
          <w:tcPr>
            <w:tcW w:w="1849" w:type="pct"/>
          </w:tcPr>
          <w:p w:rsidR="00A53FEB" w:rsidRPr="00577B2E" w:rsidRDefault="00A53FEB" w:rsidP="008E12B9">
            <w:pPr>
              <w:pStyle w:val="Tabletext0"/>
              <w:jc w:val="both"/>
              <w:rPr>
                <w:rFonts w:ascii="Times" w:hAnsi="Times"/>
              </w:rPr>
            </w:pPr>
            <w:proofErr w:type="spellStart"/>
            <w:r w:rsidRPr="00577B2E">
              <w:t>Ferring</w:t>
            </w:r>
            <w:proofErr w:type="spellEnd"/>
            <w:r w:rsidRPr="00577B2E">
              <w:t xml:space="preserve"> Pharmaceuticals Pty Ltd</w:t>
            </w:r>
          </w:p>
        </w:tc>
      </w:tr>
      <w:tr w:rsidR="004471FC" w:rsidRPr="00577B2E" w:rsidTr="007C7CC8">
        <w:tblPrEx>
          <w:tblCellMar>
            <w:left w:w="108" w:type="dxa"/>
            <w:right w:w="108" w:type="dxa"/>
          </w:tblCellMar>
        </w:tblPrEx>
        <w:trPr>
          <w:cantSplit/>
          <w:trHeight w:val="70"/>
        </w:trPr>
        <w:tc>
          <w:tcPr>
            <w:tcW w:w="1096" w:type="pct"/>
            <w:tcBorders>
              <w:top w:val="single" w:sz="4" w:space="0" w:color="auto"/>
              <w:left w:val="single" w:sz="4" w:space="0" w:color="auto"/>
              <w:bottom w:val="single" w:sz="4" w:space="0" w:color="auto"/>
              <w:right w:val="single" w:sz="4" w:space="0" w:color="auto"/>
            </w:tcBorders>
          </w:tcPr>
          <w:p w:rsidR="004471FC" w:rsidRPr="00577B2E" w:rsidRDefault="004471FC" w:rsidP="008E12B9">
            <w:pPr>
              <w:pStyle w:val="TableText"/>
              <w:spacing w:before="0" w:after="0"/>
              <w:jc w:val="both"/>
            </w:pPr>
            <w:r w:rsidRPr="00577B2E">
              <w:t>Category / Program:</w:t>
            </w:r>
          </w:p>
        </w:tc>
        <w:tc>
          <w:tcPr>
            <w:tcW w:w="3904" w:type="pct"/>
            <w:gridSpan w:val="5"/>
            <w:tcBorders>
              <w:top w:val="single" w:sz="4" w:space="0" w:color="auto"/>
              <w:left w:val="single" w:sz="4" w:space="0" w:color="auto"/>
              <w:bottom w:val="single" w:sz="4" w:space="0" w:color="auto"/>
              <w:right w:val="single" w:sz="4" w:space="0" w:color="auto"/>
            </w:tcBorders>
          </w:tcPr>
          <w:p w:rsidR="004471FC" w:rsidRPr="00577B2E" w:rsidRDefault="004471FC" w:rsidP="008E12B9">
            <w:pPr>
              <w:pStyle w:val="TableText"/>
              <w:spacing w:before="0" w:after="0"/>
              <w:jc w:val="both"/>
            </w:pPr>
            <w:r w:rsidRPr="00577B2E">
              <w:t>General Schedule</w:t>
            </w:r>
          </w:p>
        </w:tc>
      </w:tr>
      <w:tr w:rsidR="004471FC" w:rsidRPr="00577B2E" w:rsidTr="007C7CC8">
        <w:tblPrEx>
          <w:tblCellMar>
            <w:left w:w="108" w:type="dxa"/>
            <w:right w:w="108" w:type="dxa"/>
          </w:tblCellMar>
        </w:tblPrEx>
        <w:trPr>
          <w:cantSplit/>
          <w:trHeight w:val="70"/>
        </w:trPr>
        <w:tc>
          <w:tcPr>
            <w:tcW w:w="1096" w:type="pct"/>
            <w:tcBorders>
              <w:top w:val="single" w:sz="4" w:space="0" w:color="auto"/>
              <w:left w:val="single" w:sz="4" w:space="0" w:color="auto"/>
              <w:bottom w:val="single" w:sz="4" w:space="0" w:color="auto"/>
              <w:right w:val="single" w:sz="4" w:space="0" w:color="auto"/>
            </w:tcBorders>
          </w:tcPr>
          <w:p w:rsidR="004471FC" w:rsidRPr="00577B2E" w:rsidRDefault="004471FC" w:rsidP="008E12B9">
            <w:pPr>
              <w:pStyle w:val="TableText"/>
              <w:spacing w:before="0" w:after="0"/>
              <w:jc w:val="both"/>
            </w:pPr>
            <w:r w:rsidRPr="00577B2E">
              <w:t>Restriction:</w:t>
            </w:r>
          </w:p>
        </w:tc>
        <w:tc>
          <w:tcPr>
            <w:tcW w:w="3904" w:type="pct"/>
            <w:gridSpan w:val="5"/>
            <w:tcBorders>
              <w:top w:val="single" w:sz="4" w:space="0" w:color="auto"/>
              <w:left w:val="single" w:sz="4" w:space="0" w:color="auto"/>
              <w:bottom w:val="single" w:sz="4" w:space="0" w:color="auto"/>
              <w:right w:val="single" w:sz="4" w:space="0" w:color="auto"/>
            </w:tcBorders>
          </w:tcPr>
          <w:p w:rsidR="004471FC" w:rsidRPr="00577B2E" w:rsidRDefault="004471FC" w:rsidP="008E12B9">
            <w:pPr>
              <w:pStyle w:val="TableText"/>
              <w:spacing w:before="0" w:after="0"/>
              <w:jc w:val="both"/>
            </w:pPr>
            <w:r w:rsidRPr="00577B2E">
              <w:t>Unrestricted</w:t>
            </w:r>
          </w:p>
        </w:tc>
      </w:tr>
    </w:tbl>
    <w:p w:rsidR="004471FC" w:rsidRDefault="004471FC" w:rsidP="004471FC">
      <w:pPr>
        <w:spacing w:before="0" w:after="0"/>
        <w:jc w:val="both"/>
      </w:pPr>
    </w:p>
    <w:p w:rsidR="0012192A" w:rsidRPr="00B04F2E" w:rsidRDefault="007A5D40" w:rsidP="00D57E18">
      <w:pPr>
        <w:pStyle w:val="ListParagraph"/>
        <w:numPr>
          <w:ilvl w:val="1"/>
          <w:numId w:val="3"/>
        </w:numPr>
        <w:spacing w:before="0" w:after="120"/>
        <w:jc w:val="both"/>
      </w:pPr>
      <w:r w:rsidRPr="00B04F2E">
        <w:t xml:space="preserve">The </w:t>
      </w:r>
      <w:r w:rsidR="0012192A" w:rsidRPr="00B04F2E">
        <w:t xml:space="preserve">ESC noted that </w:t>
      </w:r>
      <w:r w:rsidRPr="00B04F2E">
        <w:t xml:space="preserve">the </w:t>
      </w:r>
      <w:r w:rsidR="00FF6E1C" w:rsidRPr="00B04F2E">
        <w:t xml:space="preserve">recommended </w:t>
      </w:r>
      <w:r w:rsidRPr="00B04F2E">
        <w:t>treatment duration</w:t>
      </w:r>
      <w:r w:rsidR="00C230D7" w:rsidRPr="00B04F2E">
        <w:t xml:space="preserve"> in the </w:t>
      </w:r>
      <w:r w:rsidR="00FF6E1C" w:rsidRPr="00B04F2E">
        <w:t>TGA approved Product Information (</w:t>
      </w:r>
      <w:r w:rsidR="00C230D7" w:rsidRPr="00B04F2E">
        <w:t>PI</w:t>
      </w:r>
      <w:r w:rsidR="00FF6E1C" w:rsidRPr="00B04F2E">
        <w:t>)</w:t>
      </w:r>
      <w:r w:rsidR="0012192A" w:rsidRPr="00B04F2E">
        <w:t xml:space="preserve"> is</w:t>
      </w:r>
      <w:r w:rsidR="00FF6E1C" w:rsidRPr="00B04F2E">
        <w:t xml:space="preserve"> for up to</w:t>
      </w:r>
      <w:r w:rsidR="0012192A" w:rsidRPr="00B04F2E">
        <w:t xml:space="preserve"> 8 week</w:t>
      </w:r>
      <w:r w:rsidRPr="00B04F2E">
        <w:t>s and that the requested</w:t>
      </w:r>
      <w:r w:rsidR="0012192A" w:rsidRPr="00B04F2E">
        <w:t xml:space="preserve"> 3 r</w:t>
      </w:r>
      <w:r w:rsidR="00F96320" w:rsidRPr="00B04F2E">
        <w:t xml:space="preserve">epeats </w:t>
      </w:r>
      <w:r w:rsidRPr="00B04F2E">
        <w:t xml:space="preserve">would allow for </w:t>
      </w:r>
      <w:r w:rsidR="00FC3603" w:rsidRPr="00B04F2E">
        <w:t xml:space="preserve">up to </w:t>
      </w:r>
      <w:r w:rsidR="00FF6E1C" w:rsidRPr="00B04F2E">
        <w:t>4 months</w:t>
      </w:r>
      <w:r w:rsidRPr="00B04F2E">
        <w:t xml:space="preserve"> of treatment.</w:t>
      </w:r>
      <w:r w:rsidR="00D924FF" w:rsidRPr="00B04F2E">
        <w:t xml:space="preserve"> </w:t>
      </w:r>
      <w:r w:rsidRPr="00B04F2E">
        <w:t>The ESC considered that this created a possible</w:t>
      </w:r>
      <w:r w:rsidR="00F96320" w:rsidRPr="00B04F2E">
        <w:t xml:space="preserve"> Quality </w:t>
      </w:r>
      <w:r w:rsidRPr="00B04F2E">
        <w:t>U</w:t>
      </w:r>
      <w:r w:rsidR="00F96320" w:rsidRPr="00B04F2E">
        <w:t xml:space="preserve">se of </w:t>
      </w:r>
      <w:r w:rsidRPr="00B04F2E">
        <w:t>M</w:t>
      </w:r>
      <w:r w:rsidR="00F96320" w:rsidRPr="00B04F2E">
        <w:t>edicine</w:t>
      </w:r>
      <w:r w:rsidR="00754188" w:rsidRPr="00B04F2E">
        <w:t>s</w:t>
      </w:r>
      <w:r w:rsidRPr="00B04F2E">
        <w:t xml:space="preserve"> (QUM)</w:t>
      </w:r>
      <w:r w:rsidR="0012192A" w:rsidRPr="00B04F2E">
        <w:t xml:space="preserve"> issue</w:t>
      </w:r>
      <w:r w:rsidR="00F96320" w:rsidRPr="00B04F2E">
        <w:t>,</w:t>
      </w:r>
      <w:r w:rsidR="0012192A" w:rsidRPr="00B04F2E">
        <w:t xml:space="preserve"> </w:t>
      </w:r>
      <w:r w:rsidRPr="00B04F2E">
        <w:t>where patients may continue treatment beyond</w:t>
      </w:r>
      <w:r w:rsidR="00F96320" w:rsidRPr="00B04F2E">
        <w:t xml:space="preserve"> 8 weeks</w:t>
      </w:r>
      <w:r w:rsidR="0012192A" w:rsidRPr="00B04F2E">
        <w:t>.</w:t>
      </w:r>
      <w:r w:rsidRPr="00B04F2E">
        <w:t xml:space="preserve"> The ESC </w:t>
      </w:r>
      <w:r w:rsidR="00FC3603" w:rsidRPr="00B04F2E">
        <w:t>considered that 1 repeat may be more</w:t>
      </w:r>
      <w:r w:rsidRPr="00B04F2E">
        <w:t xml:space="preserve"> appropriate.</w:t>
      </w:r>
      <w:r w:rsidR="00842F06">
        <w:t xml:space="preserve"> </w:t>
      </w:r>
      <w:r w:rsidR="00DD66A6">
        <w:t xml:space="preserve">The Pre-PBAC response </w:t>
      </w:r>
      <w:r w:rsidR="00D57E18">
        <w:t>(p1) suggested p</w:t>
      </w:r>
      <w:r w:rsidR="00D57E18" w:rsidRPr="00D57E18">
        <w:t xml:space="preserve">roviding more than one repeat </w:t>
      </w:r>
      <w:r w:rsidR="00D57E18">
        <w:t xml:space="preserve">would </w:t>
      </w:r>
      <w:r w:rsidR="00D57E18" w:rsidRPr="00D57E18">
        <w:t>allow patients to commence treatment for a second flare</w:t>
      </w:r>
      <w:r w:rsidR="00D57E18">
        <w:t xml:space="preserve"> </w:t>
      </w:r>
      <w:r w:rsidR="00D57E18" w:rsidRPr="00D57E18">
        <w:t>immediately rather than waiting for an appointment with a gastroenterologist</w:t>
      </w:r>
      <w:r w:rsidR="00D57E18">
        <w:t>.</w:t>
      </w:r>
      <w:r w:rsidR="00DD66A6">
        <w:t xml:space="preserve"> </w:t>
      </w:r>
      <w:r w:rsidR="00842F06">
        <w:t xml:space="preserve">The PBAC agreed with </w:t>
      </w:r>
      <w:r w:rsidR="00842F06">
        <w:lastRenderedPageBreak/>
        <w:t xml:space="preserve">the ESC advice that 1 repeat was more appropriate for </w:t>
      </w:r>
      <w:r w:rsidR="000C5EF9">
        <w:t>this presentation to reduce the possibility of inappropriate</w:t>
      </w:r>
      <w:r w:rsidR="00842F06">
        <w:t xml:space="preserve"> treatment beyond 8 weeks.</w:t>
      </w:r>
    </w:p>
    <w:p w:rsidR="004471FC" w:rsidRPr="00577B2E" w:rsidRDefault="004471FC" w:rsidP="00845ADB">
      <w:pPr>
        <w:pStyle w:val="ListParagraph"/>
        <w:numPr>
          <w:ilvl w:val="1"/>
          <w:numId w:val="3"/>
        </w:numPr>
        <w:spacing w:before="0" w:after="120"/>
        <w:jc w:val="both"/>
      </w:pPr>
      <w:r w:rsidRPr="00577B2E">
        <w:t xml:space="preserve">The basis for </w:t>
      </w:r>
      <w:r w:rsidR="00F16044" w:rsidRPr="00577B2E">
        <w:t xml:space="preserve">the </w:t>
      </w:r>
      <w:r w:rsidRPr="00577B2E">
        <w:t xml:space="preserve">listing </w:t>
      </w:r>
      <w:r w:rsidR="0089048F" w:rsidRPr="00577B2E">
        <w:t xml:space="preserve">is </w:t>
      </w:r>
      <w:r w:rsidRPr="00577B2E">
        <w:t xml:space="preserve">a cost minimisation </w:t>
      </w:r>
      <w:r w:rsidR="00F16044" w:rsidRPr="00577B2E">
        <w:t xml:space="preserve">analysis </w:t>
      </w:r>
      <w:r w:rsidRPr="00577B2E">
        <w:t xml:space="preserve">against budesonide foam enema via </w:t>
      </w:r>
      <w:r w:rsidR="00F16044" w:rsidRPr="00577B2E">
        <w:t xml:space="preserve">an indirect comparison using placebo as </w:t>
      </w:r>
      <w:r w:rsidR="009E7BF7">
        <w:t xml:space="preserve">the </w:t>
      </w:r>
      <w:r w:rsidRPr="00577B2E">
        <w:t xml:space="preserve">common comparator.  </w:t>
      </w:r>
    </w:p>
    <w:p w:rsidR="004471FC" w:rsidRPr="000078ED" w:rsidRDefault="004471FC" w:rsidP="0089048F">
      <w:pPr>
        <w:pStyle w:val="ListParagraph"/>
        <w:numPr>
          <w:ilvl w:val="1"/>
          <w:numId w:val="3"/>
        </w:numPr>
        <w:spacing w:before="0" w:after="120"/>
        <w:jc w:val="both"/>
      </w:pPr>
      <w:r w:rsidRPr="000078ED">
        <w:t xml:space="preserve">Budesonide CR is </w:t>
      </w:r>
      <w:r w:rsidR="00F16044" w:rsidRPr="000078ED">
        <w:t xml:space="preserve">an orally administered </w:t>
      </w:r>
      <w:r w:rsidR="00073972" w:rsidRPr="000078ED">
        <w:t xml:space="preserve">but </w:t>
      </w:r>
      <w:r w:rsidR="00F16044" w:rsidRPr="000078ED">
        <w:t xml:space="preserve">locally active treatment for UC. </w:t>
      </w:r>
      <w:r w:rsidR="00073972" w:rsidRPr="000078ED">
        <w:t xml:space="preserve"> It has a delayed release </w:t>
      </w:r>
      <w:r w:rsidRPr="000078ED">
        <w:t xml:space="preserve">formulation </w:t>
      </w:r>
      <w:r w:rsidR="00073972" w:rsidRPr="000078ED">
        <w:t xml:space="preserve">where the active ingredient is not released until the </w:t>
      </w:r>
      <w:r w:rsidRPr="000078ED">
        <w:t>colon</w:t>
      </w:r>
      <w:r w:rsidR="00493F05" w:rsidRPr="000078ED">
        <w:t xml:space="preserve"> </w:t>
      </w:r>
      <w:r w:rsidR="00073972" w:rsidRPr="000078ED">
        <w:t>(</w:t>
      </w:r>
      <w:r w:rsidR="00656AFB" w:rsidRPr="000078ED">
        <w:t>i.e.</w:t>
      </w:r>
      <w:r w:rsidR="00073972" w:rsidRPr="000078ED">
        <w:t xml:space="preserve"> pH&gt;7).  The </w:t>
      </w:r>
      <w:r w:rsidRPr="000078ED">
        <w:t xml:space="preserve">recommended dosage regimen </w:t>
      </w:r>
      <w:r w:rsidR="00073972" w:rsidRPr="000078ED">
        <w:t xml:space="preserve">of budesonide CR </w:t>
      </w:r>
      <w:r w:rsidRPr="000078ED">
        <w:t>is one 9</w:t>
      </w:r>
      <w:r w:rsidR="00F3128F">
        <w:t xml:space="preserve"> </w:t>
      </w:r>
      <w:r w:rsidRPr="000078ED">
        <w:t>mg tab</w:t>
      </w:r>
      <w:r w:rsidR="00073972" w:rsidRPr="000078ED">
        <w:t xml:space="preserve">let once daily for </w:t>
      </w:r>
      <w:r w:rsidR="00D40D5F" w:rsidRPr="000078ED">
        <w:t xml:space="preserve">up to </w:t>
      </w:r>
      <w:r w:rsidR="00073972" w:rsidRPr="000078ED">
        <w:t>eight weeks.</w:t>
      </w:r>
    </w:p>
    <w:p w:rsidR="00846B8D" w:rsidRPr="00143649" w:rsidRDefault="00492604" w:rsidP="00143649">
      <w:pPr>
        <w:pStyle w:val="ListParagraph"/>
        <w:numPr>
          <w:ilvl w:val="1"/>
          <w:numId w:val="3"/>
        </w:numPr>
        <w:spacing w:before="0" w:after="120"/>
        <w:jc w:val="both"/>
        <w:rPr>
          <w:i/>
        </w:rPr>
      </w:pPr>
      <w:r>
        <w:t xml:space="preserve">The PBAC </w:t>
      </w:r>
      <w:r w:rsidR="00846B8D">
        <w:t>considered</w:t>
      </w:r>
      <w:r>
        <w:t xml:space="preserve"> that</w:t>
      </w:r>
      <w:r w:rsidR="00F822B5">
        <w:t xml:space="preserve"> an unrestricted listing for this form of budesonide was not appropriate as it may result in use before 5-ASAs</w:t>
      </w:r>
      <w:r w:rsidR="00545DF5">
        <w:t xml:space="preserve"> and use in Crohn’s disease</w:t>
      </w:r>
      <w:r w:rsidR="00F822B5">
        <w:t>.</w:t>
      </w:r>
    </w:p>
    <w:p w:rsidR="00846B8D" w:rsidRPr="00143649" w:rsidRDefault="00846B8D" w:rsidP="00143649">
      <w:pPr>
        <w:ind w:left="680"/>
        <w:rPr>
          <w:i/>
        </w:rPr>
      </w:pPr>
      <w:r w:rsidRPr="00143649">
        <w:rPr>
          <w:i/>
        </w:rPr>
        <w:t>For more detail on PBAC’s view, see section 7 “PBAC outcome”</w:t>
      </w:r>
    </w:p>
    <w:p w:rsidR="00846B8D" w:rsidRPr="00577B2E" w:rsidRDefault="00846B8D" w:rsidP="00143649">
      <w:pPr>
        <w:pStyle w:val="ListParagraph"/>
        <w:spacing w:before="0" w:after="120"/>
        <w:jc w:val="both"/>
      </w:pPr>
    </w:p>
    <w:p w:rsidR="004471FC" w:rsidRPr="003A2C8F" w:rsidRDefault="004471FC" w:rsidP="004471FC">
      <w:pPr>
        <w:pStyle w:val="PBACHeading1"/>
      </w:pPr>
      <w:bookmarkStart w:id="5" w:name="_Toc480411349"/>
      <w:r w:rsidRPr="003A2C8F">
        <w:t>Background</w:t>
      </w:r>
      <w:bookmarkEnd w:id="5"/>
    </w:p>
    <w:p w:rsidR="004471FC" w:rsidRPr="00577B2E" w:rsidRDefault="004471FC" w:rsidP="00A10BC9">
      <w:pPr>
        <w:pStyle w:val="ListParagraph"/>
        <w:numPr>
          <w:ilvl w:val="1"/>
          <w:numId w:val="3"/>
        </w:numPr>
        <w:jc w:val="both"/>
      </w:pPr>
      <w:r w:rsidRPr="00577B2E">
        <w:t>Budesonide CR 9</w:t>
      </w:r>
      <w:r w:rsidR="00F3128F">
        <w:t xml:space="preserve"> </w:t>
      </w:r>
      <w:r w:rsidRPr="00577B2E">
        <w:t xml:space="preserve">mg was TGA registered on 31 August 2015 for induction of remission in </w:t>
      </w:r>
      <w:r w:rsidR="00073972" w:rsidRPr="00577B2E">
        <w:t xml:space="preserve">adult </w:t>
      </w:r>
      <w:r w:rsidRPr="00577B2E">
        <w:t>patients with mild to moderate active UC where 5-ASA treatment is not sufficient or not tolerated.</w:t>
      </w:r>
    </w:p>
    <w:p w:rsidR="00D924FF" w:rsidRDefault="004471FC" w:rsidP="00D924FF">
      <w:pPr>
        <w:pStyle w:val="ListParagraph"/>
        <w:numPr>
          <w:ilvl w:val="1"/>
          <w:numId w:val="3"/>
        </w:numPr>
        <w:spacing w:before="0" w:after="120"/>
        <w:jc w:val="both"/>
      </w:pPr>
      <w:r w:rsidRPr="00577B2E">
        <w:t>Budesonide CR has not been previously c</w:t>
      </w:r>
      <w:r w:rsidR="00073972" w:rsidRPr="00577B2E">
        <w:t>onsidered by the PBAC.</w:t>
      </w:r>
    </w:p>
    <w:p w:rsidR="00597AA2" w:rsidRDefault="00597AA2" w:rsidP="00597AA2">
      <w:pPr>
        <w:pStyle w:val="ListParagraph"/>
        <w:spacing w:before="0" w:after="120"/>
        <w:jc w:val="both"/>
      </w:pPr>
    </w:p>
    <w:p w:rsidR="004471FC" w:rsidRPr="003A2C8F" w:rsidRDefault="004471FC" w:rsidP="004471FC">
      <w:pPr>
        <w:pStyle w:val="PBACHeading1"/>
      </w:pPr>
      <w:bookmarkStart w:id="6" w:name="_Toc480411350"/>
      <w:r w:rsidRPr="003A2C8F">
        <w:t>Population and disease</w:t>
      </w:r>
      <w:bookmarkEnd w:id="6"/>
    </w:p>
    <w:p w:rsidR="004471FC" w:rsidRPr="00577B2E" w:rsidRDefault="00E64AA8" w:rsidP="008C2E88">
      <w:pPr>
        <w:pStyle w:val="ListParagraph"/>
        <w:numPr>
          <w:ilvl w:val="1"/>
          <w:numId w:val="3"/>
        </w:numPr>
        <w:spacing w:before="0" w:after="120"/>
        <w:jc w:val="both"/>
      </w:pPr>
      <w:r w:rsidRPr="00577B2E">
        <w:t xml:space="preserve">UC </w:t>
      </w:r>
      <w:r w:rsidR="004471FC" w:rsidRPr="00577B2E">
        <w:t xml:space="preserve">is a condition that causes inflammation and ulceration beginning in the rectum and progressing proximally to involve the colon. Symptoms include bloody diarrhoea, abdominal pain, fever, rectal bleeding, fatigue, anaemia, loss of appetite, weight loss and loss of body fluids and nutrients. Symptoms may occur as intermittent attacks between periods of no symptoms (remission), </w:t>
      </w:r>
      <w:r w:rsidR="0005097D" w:rsidRPr="00577B2E">
        <w:t>although 5-10% of</w:t>
      </w:r>
      <w:r w:rsidR="004471FC" w:rsidRPr="00577B2E">
        <w:t xml:space="preserve"> patients can experience symptoms all the time.  </w:t>
      </w:r>
      <w:r w:rsidR="008C2E88" w:rsidRPr="00577B2E">
        <w:t xml:space="preserve">The prevalence of </w:t>
      </w:r>
      <w:r w:rsidRPr="00577B2E">
        <w:t xml:space="preserve">UC </w:t>
      </w:r>
      <w:r w:rsidR="008C2E88" w:rsidRPr="00577B2E">
        <w:t xml:space="preserve">in Australia is unknown, but it </w:t>
      </w:r>
      <w:r w:rsidR="00A91C12" w:rsidRPr="00577B2E">
        <w:t xml:space="preserve">was </w:t>
      </w:r>
      <w:r w:rsidR="008C2E88" w:rsidRPr="00577B2E">
        <w:t xml:space="preserve">estimated in 2013 that 75,000 Australians have inflammatory bowel disease which is a combination of Crohn’s disease and </w:t>
      </w:r>
      <w:r w:rsidRPr="00577B2E">
        <w:t>UC</w:t>
      </w:r>
      <w:r w:rsidR="00A91C12" w:rsidRPr="00577B2E">
        <w:t xml:space="preserve"> (PWC report</w:t>
      </w:r>
      <w:r w:rsidR="00A74C03" w:rsidRPr="00577B2E">
        <w:rPr>
          <w:rStyle w:val="FootnoteReference"/>
        </w:rPr>
        <w:footnoteReference w:id="1"/>
      </w:r>
      <w:r w:rsidR="00A91C12" w:rsidRPr="00577B2E">
        <w:t>)</w:t>
      </w:r>
      <w:r w:rsidR="009E7BF7">
        <w:t>,</w:t>
      </w:r>
      <w:r w:rsidR="008C2E88" w:rsidRPr="00577B2E">
        <w:t xml:space="preserve"> whilst </w:t>
      </w:r>
      <w:r w:rsidR="00A91C12" w:rsidRPr="00577B2E">
        <w:t xml:space="preserve">in </w:t>
      </w:r>
      <w:r w:rsidR="008C2E88" w:rsidRPr="00577B2E">
        <w:t xml:space="preserve">2007 </w:t>
      </w:r>
      <w:r w:rsidR="00A91C12" w:rsidRPr="00577B2E">
        <w:t xml:space="preserve">it was estimated </w:t>
      </w:r>
      <w:r w:rsidR="008C2E88" w:rsidRPr="00577B2E">
        <w:t xml:space="preserve">there are approximately 33,000 Australians with </w:t>
      </w:r>
      <w:r w:rsidRPr="00577B2E">
        <w:t>UC</w:t>
      </w:r>
      <w:r w:rsidR="00A91C12" w:rsidRPr="00577B2E">
        <w:t xml:space="preserve"> (Access Economics report</w:t>
      </w:r>
      <w:r w:rsidR="00A74C03" w:rsidRPr="00577B2E">
        <w:rPr>
          <w:rStyle w:val="FootnoteReference"/>
        </w:rPr>
        <w:footnoteReference w:id="2"/>
      </w:r>
      <w:r w:rsidR="00A91C12" w:rsidRPr="00577B2E">
        <w:t>)</w:t>
      </w:r>
      <w:r w:rsidR="008C2E88" w:rsidRPr="00577B2E">
        <w:t>.</w:t>
      </w:r>
    </w:p>
    <w:p w:rsidR="001A4A4B" w:rsidRPr="00577B2E" w:rsidRDefault="004471FC" w:rsidP="00845ADB">
      <w:pPr>
        <w:pStyle w:val="ListParagraph"/>
        <w:numPr>
          <w:ilvl w:val="1"/>
          <w:numId w:val="3"/>
        </w:numPr>
        <w:spacing w:before="0" w:after="120"/>
        <w:jc w:val="both"/>
      </w:pPr>
      <w:r w:rsidRPr="00577B2E">
        <w:t xml:space="preserve">Budesonide CR </w:t>
      </w:r>
      <w:r w:rsidR="001A4A4B" w:rsidRPr="00577B2E">
        <w:t xml:space="preserve">is </w:t>
      </w:r>
      <w:r w:rsidR="009E7BF7">
        <w:t>an additional</w:t>
      </w:r>
      <w:r w:rsidR="001A4A4B" w:rsidRPr="00577B2E">
        <w:t xml:space="preserve"> treatment option alongside other locally acting corticosteroids in patients with active mild to moderate UC who have had an inadequate response or are intolerant to 5-aminosalicylates (5-ASAs).  </w:t>
      </w:r>
    </w:p>
    <w:p w:rsidR="00D924FF" w:rsidRPr="000C5EF9" w:rsidRDefault="00A33F61" w:rsidP="00D924FF">
      <w:pPr>
        <w:pStyle w:val="ListParagraph"/>
        <w:numPr>
          <w:ilvl w:val="1"/>
          <w:numId w:val="3"/>
        </w:numPr>
        <w:spacing w:before="0" w:after="120"/>
        <w:jc w:val="both"/>
      </w:pPr>
      <w:r>
        <w:rPr>
          <w:iCs/>
        </w:rPr>
        <w:lastRenderedPageBreak/>
        <w:t xml:space="preserve">With </w:t>
      </w:r>
      <w:r w:rsidR="004471FC" w:rsidRPr="00577B2E">
        <w:rPr>
          <w:iCs/>
        </w:rPr>
        <w:t xml:space="preserve">an unrestricted listing, </w:t>
      </w:r>
      <w:r w:rsidR="00847D79" w:rsidRPr="00577B2E">
        <w:rPr>
          <w:iCs/>
        </w:rPr>
        <w:t xml:space="preserve">in </w:t>
      </w:r>
      <w:r w:rsidR="00D40D5F">
        <w:rPr>
          <w:iCs/>
        </w:rPr>
        <w:t xml:space="preserve">clinical </w:t>
      </w:r>
      <w:r w:rsidR="004471FC" w:rsidRPr="00577B2E">
        <w:rPr>
          <w:iCs/>
        </w:rPr>
        <w:t xml:space="preserve">practice, </w:t>
      </w:r>
      <w:r w:rsidR="004125AD">
        <w:rPr>
          <w:iCs/>
        </w:rPr>
        <w:t xml:space="preserve">there may be some use of </w:t>
      </w:r>
      <w:r w:rsidR="004471FC" w:rsidRPr="00577B2E">
        <w:rPr>
          <w:iCs/>
        </w:rPr>
        <w:t xml:space="preserve">budesonide CR </w:t>
      </w:r>
      <w:r w:rsidR="004125AD">
        <w:rPr>
          <w:iCs/>
        </w:rPr>
        <w:t>as a</w:t>
      </w:r>
      <w:r w:rsidR="004471FC" w:rsidRPr="00577B2E">
        <w:rPr>
          <w:iCs/>
        </w:rPr>
        <w:t xml:space="preserve"> first line</w:t>
      </w:r>
      <w:r w:rsidR="004125AD">
        <w:rPr>
          <w:iCs/>
        </w:rPr>
        <w:t xml:space="preserve"> treatment</w:t>
      </w:r>
      <w:r w:rsidR="004471FC" w:rsidRPr="00577B2E">
        <w:rPr>
          <w:iCs/>
        </w:rPr>
        <w:t>, either in place of or alongside 5–ASA, before the efficacy of 5-ASA can be fully ascertained.  This would not concord with current best practice treatment guidelines.</w:t>
      </w:r>
    </w:p>
    <w:p w:rsidR="000C5EF9" w:rsidRPr="00F82904" w:rsidRDefault="000C5EF9" w:rsidP="00D924FF">
      <w:pPr>
        <w:pStyle w:val="ListParagraph"/>
        <w:numPr>
          <w:ilvl w:val="1"/>
          <w:numId w:val="3"/>
        </w:numPr>
        <w:spacing w:before="0" w:after="120"/>
        <w:jc w:val="both"/>
      </w:pPr>
      <w:r>
        <w:rPr>
          <w:rFonts w:ascii="Calibri" w:eastAsia="Times New Roman" w:hAnsi="Calibri" w:cs="Arial"/>
          <w:bCs/>
          <w:snapToGrid w:val="0"/>
          <w:szCs w:val="24"/>
          <w:lang w:val="en-GB"/>
        </w:rPr>
        <w:t xml:space="preserve">The PBAC </w:t>
      </w:r>
      <w:r w:rsidR="00545DF5">
        <w:rPr>
          <w:rFonts w:ascii="Calibri" w:eastAsia="Times New Roman" w:hAnsi="Calibri" w:cs="Arial"/>
          <w:bCs/>
          <w:snapToGrid w:val="0"/>
          <w:szCs w:val="24"/>
          <w:lang w:val="en-GB"/>
        </w:rPr>
        <w:t>agreed with the Secretariat that a restricted benefit listing would be appropriate for budesonide CR</w:t>
      </w:r>
      <w:r>
        <w:rPr>
          <w:rFonts w:ascii="Calibri" w:eastAsia="Times New Roman" w:hAnsi="Calibri" w:cs="Arial"/>
          <w:bCs/>
          <w:snapToGrid w:val="0"/>
          <w:szCs w:val="24"/>
          <w:lang w:val="en-GB"/>
        </w:rPr>
        <w:t>.</w:t>
      </w:r>
    </w:p>
    <w:p w:rsidR="00F82904" w:rsidRPr="00F822B5" w:rsidRDefault="00F82904" w:rsidP="00F82904">
      <w:pPr>
        <w:pStyle w:val="ListParagraph"/>
        <w:spacing w:before="0" w:after="120"/>
        <w:jc w:val="both"/>
      </w:pPr>
    </w:p>
    <w:p w:rsidR="004471FC" w:rsidRPr="003A2C8F" w:rsidRDefault="004471FC" w:rsidP="003A2C8F">
      <w:pPr>
        <w:pStyle w:val="PBACHeading1"/>
        <w:keepNext/>
        <w:keepLines/>
      </w:pPr>
      <w:bookmarkStart w:id="7" w:name="_Toc480411351"/>
      <w:r w:rsidRPr="003A2C8F">
        <w:t>Comparator</w:t>
      </w:r>
      <w:bookmarkEnd w:id="7"/>
    </w:p>
    <w:p w:rsidR="00041B78" w:rsidRPr="005226B2" w:rsidRDefault="00A33F61" w:rsidP="003A2C8F">
      <w:pPr>
        <w:pStyle w:val="ListParagraph"/>
        <w:keepNext/>
        <w:keepLines/>
        <w:numPr>
          <w:ilvl w:val="1"/>
          <w:numId w:val="3"/>
        </w:numPr>
        <w:jc w:val="both"/>
        <w:rPr>
          <w:lang w:val="en-GB"/>
        </w:rPr>
      </w:pPr>
      <w:r w:rsidRPr="00B04F2E">
        <w:t>The submission nominated b</w:t>
      </w:r>
      <w:r w:rsidR="00B87D8D" w:rsidRPr="00B04F2E">
        <w:t>udesonide foam enema</w:t>
      </w:r>
      <w:r w:rsidRPr="00B04F2E">
        <w:t xml:space="preserve"> as the </w:t>
      </w:r>
      <w:r w:rsidR="00545DF5">
        <w:t xml:space="preserve">main </w:t>
      </w:r>
      <w:r w:rsidRPr="00B04F2E">
        <w:t>comparator</w:t>
      </w:r>
      <w:r w:rsidR="00F54E4E" w:rsidRPr="00B04F2E">
        <w:t xml:space="preserve"> </w:t>
      </w:r>
      <w:r w:rsidR="00545DF5">
        <w:t>H</w:t>
      </w:r>
      <w:r w:rsidR="00F54E4E" w:rsidRPr="00B04F2E">
        <w:t xml:space="preserve">ydrocortisone foam enema was nominated by the submission as a secondary comparator </w:t>
      </w:r>
      <w:r w:rsidR="00041B78">
        <w:t>on the basis of being</w:t>
      </w:r>
      <w:r w:rsidR="00041B78" w:rsidRPr="00B04F2E">
        <w:t xml:space="preserve"> </w:t>
      </w:r>
      <w:r w:rsidR="00FB6F3A" w:rsidRPr="00B04F2E">
        <w:t>the most commonly used rectal corticosteroid</w:t>
      </w:r>
      <w:r w:rsidR="00551B6B" w:rsidRPr="00B04F2E">
        <w:t xml:space="preserve"> for UC</w:t>
      </w:r>
      <w:r w:rsidR="00A5391E">
        <w:t xml:space="preserve"> </w:t>
      </w:r>
      <w:r w:rsidR="00041B78">
        <w:t>(</w:t>
      </w:r>
      <w:r w:rsidR="00F54E4E" w:rsidRPr="00B04F2E">
        <w:t xml:space="preserve">10% Medicare </w:t>
      </w:r>
      <w:r w:rsidR="00551B6B" w:rsidRPr="00B04F2E">
        <w:t>sample analysis), however no comparative results of budeson</w:t>
      </w:r>
      <w:r w:rsidR="00232B36" w:rsidRPr="00B04F2E">
        <w:t>ide CR versus hydrocortisone were</w:t>
      </w:r>
      <w:r w:rsidR="00551B6B" w:rsidRPr="00B04F2E">
        <w:t xml:space="preserve"> presented as the submission did not identify any directly or indirectly comparable trials.  </w:t>
      </w:r>
      <w:r w:rsidR="00BD677E">
        <w:t>A course of treatment with h</w:t>
      </w:r>
      <w:r w:rsidR="00601A93" w:rsidRPr="00B04F2E">
        <w:t>ydrocortisone foam enema</w:t>
      </w:r>
      <w:r w:rsidR="0007480B" w:rsidRPr="00B04F2E">
        <w:t>s</w:t>
      </w:r>
      <w:r w:rsidR="00601A93" w:rsidRPr="00B04F2E">
        <w:t xml:space="preserve"> </w:t>
      </w:r>
      <w:r w:rsidR="00BD677E">
        <w:t>is</w:t>
      </w:r>
      <w:r w:rsidR="00BD677E" w:rsidRPr="00B04F2E">
        <w:t xml:space="preserve"> </w:t>
      </w:r>
      <w:r w:rsidR="00601A93" w:rsidRPr="00B04F2E">
        <w:t xml:space="preserve">less expensive than </w:t>
      </w:r>
      <w:r w:rsidR="00BD677E">
        <w:t xml:space="preserve">with </w:t>
      </w:r>
      <w:r w:rsidR="00601A93" w:rsidRPr="00B04F2E">
        <w:t>budesonide foam enema</w:t>
      </w:r>
      <w:r w:rsidR="0007480B" w:rsidRPr="00B04F2E">
        <w:t>s</w:t>
      </w:r>
      <w:r w:rsidR="00601A93" w:rsidRPr="00B04F2E">
        <w:t>.</w:t>
      </w:r>
    </w:p>
    <w:p w:rsidR="00601A93" w:rsidRPr="00B04F2E" w:rsidRDefault="00B551B7" w:rsidP="003A2C8F">
      <w:pPr>
        <w:pStyle w:val="ListParagraph"/>
        <w:keepNext/>
        <w:keepLines/>
        <w:numPr>
          <w:ilvl w:val="1"/>
          <w:numId w:val="3"/>
        </w:numPr>
        <w:jc w:val="both"/>
        <w:rPr>
          <w:lang w:val="en-GB"/>
        </w:rPr>
      </w:pPr>
      <w:r w:rsidRPr="00B04F2E">
        <w:t xml:space="preserve">The </w:t>
      </w:r>
      <w:r>
        <w:t>PBAC</w:t>
      </w:r>
      <w:r w:rsidRPr="00B04F2E">
        <w:t xml:space="preserve"> considered </w:t>
      </w:r>
      <w:r>
        <w:t>budesonide foam enema to be the</w:t>
      </w:r>
      <w:r w:rsidRPr="00B04F2E">
        <w:t xml:space="preserve"> appropriate comparator</w:t>
      </w:r>
      <w:r w:rsidR="00127E58">
        <w:t xml:space="preserve"> as it contains the same active ingredient</w:t>
      </w:r>
      <w:r w:rsidRPr="00B04F2E">
        <w:t xml:space="preserve">. </w:t>
      </w:r>
      <w:r w:rsidR="0013148D" w:rsidRPr="00B04F2E">
        <w:t xml:space="preserve">The </w:t>
      </w:r>
      <w:r w:rsidR="00B373FA" w:rsidRPr="00B04F2E">
        <w:t>PBAC</w:t>
      </w:r>
      <w:r w:rsidR="00F822B5">
        <w:t xml:space="preserve"> recalled that it had</w:t>
      </w:r>
      <w:r w:rsidR="00B373FA" w:rsidRPr="00B04F2E">
        <w:t xml:space="preserve"> previously considered </w:t>
      </w:r>
      <w:r w:rsidR="0013148D" w:rsidRPr="00B04F2E">
        <w:t xml:space="preserve">budesonide foam </w:t>
      </w:r>
      <w:r w:rsidR="00A33F61" w:rsidRPr="00B04F2E">
        <w:t xml:space="preserve">enemas </w:t>
      </w:r>
      <w:r w:rsidR="0013148D" w:rsidRPr="00B04F2E">
        <w:t>to have a better safety profile than hydrocortisone foam</w:t>
      </w:r>
      <w:r w:rsidR="00B373FA" w:rsidRPr="00B04F2E">
        <w:t xml:space="preserve"> </w:t>
      </w:r>
      <w:r w:rsidR="00A33F61" w:rsidRPr="00B04F2E">
        <w:t xml:space="preserve">enemas </w:t>
      </w:r>
      <w:r w:rsidR="00B373FA" w:rsidRPr="00B04F2E">
        <w:t>(PSD July 2013),</w:t>
      </w:r>
      <w:r w:rsidR="0013148D" w:rsidRPr="00B04F2E">
        <w:t xml:space="preserve"> and</w:t>
      </w:r>
      <w:r w:rsidR="00041B78">
        <w:t xml:space="preserve"> therefore considered a comparison versus budesonide foam enemas to be more informative</w:t>
      </w:r>
      <w:r w:rsidR="0013148D" w:rsidRPr="00B04F2E">
        <w:t>.</w:t>
      </w:r>
    </w:p>
    <w:p w:rsidR="00846B8D" w:rsidRDefault="00846B8D" w:rsidP="00143649">
      <w:pPr>
        <w:ind w:left="680"/>
        <w:jc w:val="both"/>
        <w:rPr>
          <w:i/>
        </w:rPr>
      </w:pPr>
      <w:r w:rsidRPr="004554D6">
        <w:rPr>
          <w:i/>
        </w:rPr>
        <w:t>For more detail on PBAC’s view, see section 7 “PBAC outcome”</w:t>
      </w:r>
    </w:p>
    <w:p w:rsidR="00F82904" w:rsidRDefault="00F82904" w:rsidP="00143649">
      <w:pPr>
        <w:ind w:left="680"/>
        <w:jc w:val="both"/>
        <w:rPr>
          <w:i/>
        </w:rPr>
      </w:pPr>
    </w:p>
    <w:p w:rsidR="004471FC" w:rsidRDefault="004471FC" w:rsidP="004471FC">
      <w:pPr>
        <w:pStyle w:val="PBACHeading1"/>
      </w:pPr>
      <w:bookmarkStart w:id="8" w:name="_Toc480411352"/>
      <w:r w:rsidRPr="003A2C8F">
        <w:t>Consideration of the evidence</w:t>
      </w:r>
      <w:bookmarkEnd w:id="8"/>
    </w:p>
    <w:p w:rsidR="00A94469" w:rsidRDefault="00A94469" w:rsidP="00A94469">
      <w:pPr>
        <w:pStyle w:val="Heading2"/>
        <w:jc w:val="both"/>
      </w:pPr>
      <w:bookmarkStart w:id="9" w:name="_Toc480411353"/>
      <w:r>
        <w:t xml:space="preserve">Sponsor hearing </w:t>
      </w:r>
    </w:p>
    <w:p w:rsidR="00A94469" w:rsidRPr="00577B2E" w:rsidRDefault="00A94469" w:rsidP="00A94469">
      <w:pPr>
        <w:pStyle w:val="ListParagraph"/>
        <w:numPr>
          <w:ilvl w:val="1"/>
          <w:numId w:val="3"/>
        </w:numPr>
        <w:spacing w:before="0" w:after="120"/>
        <w:jc w:val="both"/>
      </w:pPr>
      <w:r>
        <w:t xml:space="preserve">There was no hearing for this item. </w:t>
      </w:r>
    </w:p>
    <w:p w:rsidR="00A94469" w:rsidRPr="00577B2E" w:rsidRDefault="00A94469" w:rsidP="00A94469">
      <w:pPr>
        <w:pStyle w:val="Heading2"/>
        <w:jc w:val="both"/>
      </w:pPr>
      <w:r>
        <w:t>Consumer comments</w:t>
      </w:r>
    </w:p>
    <w:p w:rsidR="00846B8D" w:rsidRDefault="00846B8D" w:rsidP="00846B8D">
      <w:pPr>
        <w:pStyle w:val="ListParagraph"/>
        <w:numPr>
          <w:ilvl w:val="1"/>
          <w:numId w:val="3"/>
        </w:numPr>
        <w:spacing w:before="0" w:after="120"/>
        <w:jc w:val="both"/>
      </w:pPr>
      <w:r>
        <w:t>The PBAC no</w:t>
      </w:r>
      <w:r w:rsidR="00492604">
        <w:t xml:space="preserve">ted and welcomed the input from </w:t>
      </w:r>
      <w:r>
        <w:t>organisations</w:t>
      </w:r>
      <w:r w:rsidR="001A47C6">
        <w:t xml:space="preserve"> (3)</w:t>
      </w:r>
      <w:r w:rsidR="00492604">
        <w:t>, ‘Crohn’s &amp; Colitis Australia</w:t>
      </w:r>
      <w:r w:rsidR="001E4448">
        <w:t>’</w:t>
      </w:r>
      <w:r w:rsidR="00492604">
        <w:t>, ‘Gastroenterological Society of Australia – Australian Inflammatory Bowel Disease Association’, ‘Medical &amp; Scientific Committee’</w:t>
      </w:r>
      <w:r w:rsidR="00492604" w:rsidRPr="00492604">
        <w:t xml:space="preserve"> </w:t>
      </w:r>
      <w:r w:rsidR="00492604">
        <w:t xml:space="preserve">and Health Professionals (2) </w:t>
      </w:r>
      <w:r>
        <w:t>via the Consumer Comments facility on the PBS website. The comments noted support for availability of this drug</w:t>
      </w:r>
      <w:r w:rsidR="001A47C6">
        <w:t xml:space="preserve"> on the PBS</w:t>
      </w:r>
      <w:r>
        <w:t xml:space="preserve"> and a hope </w:t>
      </w:r>
      <w:r w:rsidR="001A47C6">
        <w:t xml:space="preserve">from patients </w:t>
      </w:r>
      <w:r>
        <w:t>for</w:t>
      </w:r>
      <w:r w:rsidR="001A47C6">
        <w:t xml:space="preserve"> an</w:t>
      </w:r>
      <w:r>
        <w:t xml:space="preserve"> improved quality of life under treatment. The PBAC noted the advice, which included feedback from patients about how patients</w:t>
      </w:r>
      <w:r w:rsidR="001A47C6">
        <w:t xml:space="preserve"> often</w:t>
      </w:r>
      <w:r>
        <w:t xml:space="preserve"> find rectal therapies inconvenient or uncomfortable and some patients are unable to retain the enemas long enough for them to be effective, </w:t>
      </w:r>
      <w:r w:rsidR="009635F7">
        <w:t xml:space="preserve">and </w:t>
      </w:r>
      <w:r>
        <w:t>therefore</w:t>
      </w:r>
      <w:r w:rsidR="009635F7">
        <w:t xml:space="preserve"> an alternative orally administered form would be welcomed</w:t>
      </w:r>
      <w:r>
        <w:t xml:space="preserve">. </w:t>
      </w:r>
      <w:r w:rsidR="001A47C6">
        <w:t>The</w:t>
      </w:r>
      <w:r>
        <w:t xml:space="preserve"> health professionals </w:t>
      </w:r>
      <w:r w:rsidR="001A47C6">
        <w:t>noted</w:t>
      </w:r>
      <w:r>
        <w:t xml:space="preserve"> that many of their patients are unable to afford this medication as a private </w:t>
      </w:r>
      <w:r w:rsidR="001A3EB0">
        <w:t>prescription</w:t>
      </w:r>
      <w:r>
        <w:t xml:space="preserve"> </w:t>
      </w:r>
      <w:r w:rsidR="001A47C6">
        <w:t xml:space="preserve">and listing on </w:t>
      </w:r>
      <w:r>
        <w:t>the PBS would be beneficial</w:t>
      </w:r>
      <w:r w:rsidR="009635F7">
        <w:t>.</w:t>
      </w:r>
      <w:r>
        <w:t xml:space="preserve"> </w:t>
      </w:r>
    </w:p>
    <w:p w:rsidR="004471FC" w:rsidRPr="00577B2E" w:rsidRDefault="004471FC" w:rsidP="004471FC">
      <w:pPr>
        <w:pStyle w:val="Heading2"/>
        <w:jc w:val="both"/>
      </w:pPr>
      <w:r w:rsidRPr="00577B2E">
        <w:t>Clinical trials</w:t>
      </w:r>
      <w:bookmarkEnd w:id="9"/>
    </w:p>
    <w:p w:rsidR="004471FC" w:rsidRPr="00577B2E" w:rsidRDefault="00B87D8D" w:rsidP="00845ADB">
      <w:pPr>
        <w:pStyle w:val="ListParagraph"/>
        <w:numPr>
          <w:ilvl w:val="1"/>
          <w:numId w:val="3"/>
        </w:numPr>
        <w:spacing w:before="0" w:after="120"/>
        <w:jc w:val="both"/>
      </w:pPr>
      <w:r w:rsidRPr="00577B2E">
        <w:t>The submission was</w:t>
      </w:r>
      <w:r w:rsidR="004471FC" w:rsidRPr="00577B2E">
        <w:t xml:space="preserve"> based on an indirect comparison of three budesonide CR trials (CORE I, CORE II and CONTRIBUTE) with three budesonide foam enema trials (BUCF300</w:t>
      </w:r>
      <w:r w:rsidR="005B3127" w:rsidRPr="00577B2E">
        <w:t xml:space="preserve">1, BUCF3002 and </w:t>
      </w:r>
      <w:proofErr w:type="spellStart"/>
      <w:r w:rsidR="005B3127" w:rsidRPr="00577B2E">
        <w:t>Naganuma</w:t>
      </w:r>
      <w:proofErr w:type="spellEnd"/>
      <w:r w:rsidR="005B3127" w:rsidRPr="00577B2E">
        <w:t xml:space="preserve"> 2016), using placebo as common comparator.</w:t>
      </w:r>
    </w:p>
    <w:p w:rsidR="00A244EE" w:rsidRPr="00AA3262" w:rsidRDefault="004471FC" w:rsidP="00AA3262">
      <w:pPr>
        <w:pStyle w:val="ListParagraph"/>
        <w:numPr>
          <w:ilvl w:val="1"/>
          <w:numId w:val="3"/>
        </w:numPr>
        <w:spacing w:before="0" w:after="120"/>
        <w:jc w:val="both"/>
      </w:pPr>
      <w:r w:rsidRPr="00577B2E">
        <w:t xml:space="preserve">Details of the trials presented in </w:t>
      </w:r>
      <w:r w:rsidR="00B87D8D" w:rsidRPr="00577B2E">
        <w:t xml:space="preserve">the submission are </w:t>
      </w:r>
      <w:r w:rsidR="005B3127" w:rsidRPr="00577B2E">
        <w:t xml:space="preserve">summarised </w:t>
      </w:r>
      <w:r w:rsidR="00B87D8D" w:rsidRPr="00577B2E">
        <w:t>in T</w:t>
      </w:r>
      <w:r w:rsidRPr="00577B2E">
        <w:t xml:space="preserve">able </w:t>
      </w:r>
      <w:r w:rsidR="008B2620">
        <w:t>2</w:t>
      </w:r>
      <w:r w:rsidRPr="00577B2E">
        <w:t xml:space="preserve">.  </w:t>
      </w:r>
    </w:p>
    <w:p w:rsidR="008B2620" w:rsidRDefault="008B2620" w:rsidP="008B2620">
      <w:pPr>
        <w:pStyle w:val="Caption"/>
        <w:keepNext/>
      </w:pPr>
      <w:r>
        <w:t xml:space="preserve">Table </w:t>
      </w:r>
      <w:r w:rsidR="009C2BB0">
        <w:rPr>
          <w:noProof/>
        </w:rPr>
        <w:t>2</w:t>
      </w:r>
      <w:r w:rsidRPr="003F03D2">
        <w:t>: Trials and associated reports presented in the submission</w:t>
      </w:r>
    </w:p>
    <w:tbl>
      <w:tblPr>
        <w:tblStyle w:val="Summarybox6"/>
        <w:tblW w:w="9072" w:type="dxa"/>
        <w:tblInd w:w="28" w:type="dxa"/>
        <w:tblLook w:val="04A0" w:firstRow="1" w:lastRow="0" w:firstColumn="1" w:lastColumn="0" w:noHBand="0" w:noVBand="1"/>
        <w:tblCaption w:val="Trials and associated reports presented in the submission"/>
      </w:tblPr>
      <w:tblGrid>
        <w:gridCol w:w="1269"/>
        <w:gridCol w:w="5393"/>
        <w:gridCol w:w="2410"/>
      </w:tblGrid>
      <w:tr w:rsidR="004471FC" w:rsidRPr="00577B2E" w:rsidTr="00255F1F">
        <w:trPr>
          <w:tblHeader/>
        </w:trPr>
        <w:tc>
          <w:tcPr>
            <w:tcW w:w="1269" w:type="dxa"/>
            <w:tcMar>
              <w:left w:w="28" w:type="dxa"/>
              <w:right w:w="28" w:type="dxa"/>
            </w:tcMar>
          </w:tcPr>
          <w:p w:rsidR="004471FC" w:rsidRPr="00577B2E" w:rsidRDefault="004471FC" w:rsidP="00C930AC">
            <w:pPr>
              <w:keepNext/>
              <w:keepLines/>
              <w:spacing w:before="0"/>
              <w:rPr>
                <w:rFonts w:ascii="Arial Narrow" w:hAnsi="Arial Narrow"/>
                <w:b/>
                <w:sz w:val="20"/>
                <w:szCs w:val="20"/>
              </w:rPr>
            </w:pPr>
            <w:r w:rsidRPr="00577B2E">
              <w:rPr>
                <w:rFonts w:ascii="Arial Narrow" w:hAnsi="Arial Narrow"/>
                <w:b/>
                <w:sz w:val="20"/>
                <w:szCs w:val="20"/>
              </w:rPr>
              <w:t>Trial ID</w:t>
            </w:r>
          </w:p>
        </w:tc>
        <w:tc>
          <w:tcPr>
            <w:tcW w:w="5393" w:type="dxa"/>
            <w:tcMar>
              <w:left w:w="28" w:type="dxa"/>
              <w:right w:w="28" w:type="dxa"/>
            </w:tcMar>
          </w:tcPr>
          <w:p w:rsidR="004471FC" w:rsidRPr="00577B2E" w:rsidRDefault="004471FC" w:rsidP="00C930AC">
            <w:pPr>
              <w:keepNext/>
              <w:keepLines/>
              <w:spacing w:before="0"/>
              <w:rPr>
                <w:rFonts w:ascii="Arial Narrow" w:hAnsi="Arial Narrow"/>
                <w:sz w:val="20"/>
                <w:szCs w:val="20"/>
              </w:rPr>
            </w:pPr>
            <w:r w:rsidRPr="00577B2E">
              <w:rPr>
                <w:rFonts w:ascii="Arial Narrow" w:hAnsi="Arial Narrow"/>
                <w:b/>
                <w:sz w:val="20"/>
                <w:szCs w:val="20"/>
              </w:rPr>
              <w:t>Protocol title/ Publication title</w:t>
            </w:r>
          </w:p>
        </w:tc>
        <w:tc>
          <w:tcPr>
            <w:tcW w:w="2410" w:type="dxa"/>
            <w:tcMar>
              <w:left w:w="28" w:type="dxa"/>
              <w:right w:w="28" w:type="dxa"/>
            </w:tcMar>
          </w:tcPr>
          <w:p w:rsidR="004471FC" w:rsidRPr="00577B2E" w:rsidRDefault="004471FC" w:rsidP="00C930AC">
            <w:pPr>
              <w:keepNext/>
              <w:keepLines/>
              <w:spacing w:before="0"/>
              <w:rPr>
                <w:rFonts w:ascii="Arial Narrow" w:hAnsi="Arial Narrow"/>
                <w:sz w:val="20"/>
                <w:szCs w:val="20"/>
              </w:rPr>
            </w:pPr>
            <w:r w:rsidRPr="00577B2E">
              <w:rPr>
                <w:rFonts w:ascii="Arial Narrow" w:hAnsi="Arial Narrow"/>
                <w:b/>
                <w:sz w:val="20"/>
                <w:szCs w:val="20"/>
              </w:rPr>
              <w:t>Publication citation</w:t>
            </w:r>
          </w:p>
        </w:tc>
      </w:tr>
      <w:tr w:rsidR="004471FC" w:rsidRPr="00577B2E" w:rsidTr="007C7CC8">
        <w:tc>
          <w:tcPr>
            <w:tcW w:w="9072" w:type="dxa"/>
            <w:gridSpan w:val="3"/>
            <w:tcMar>
              <w:left w:w="28" w:type="dxa"/>
              <w:right w:w="28" w:type="dxa"/>
            </w:tcMar>
          </w:tcPr>
          <w:p w:rsidR="004471FC" w:rsidRPr="00577B2E" w:rsidRDefault="004471FC" w:rsidP="00C930AC">
            <w:pPr>
              <w:keepNext/>
              <w:keepLines/>
              <w:spacing w:before="0"/>
              <w:rPr>
                <w:rFonts w:ascii="Arial Narrow" w:hAnsi="Arial Narrow"/>
                <w:sz w:val="20"/>
                <w:szCs w:val="20"/>
              </w:rPr>
            </w:pPr>
            <w:r w:rsidRPr="00577B2E">
              <w:rPr>
                <w:rFonts w:ascii="Arial Narrow" w:hAnsi="Arial Narrow"/>
                <w:b/>
                <w:sz w:val="20"/>
                <w:szCs w:val="20"/>
              </w:rPr>
              <w:t>Budesonide CR vs placebo trials</w:t>
            </w:r>
          </w:p>
        </w:tc>
      </w:tr>
      <w:tr w:rsidR="004471FC" w:rsidRPr="00577B2E" w:rsidTr="007C7CC8">
        <w:trPr>
          <w:trHeight w:val="1381"/>
        </w:trPr>
        <w:tc>
          <w:tcPr>
            <w:tcW w:w="1269" w:type="dxa"/>
            <w:vMerge w:val="restart"/>
            <w:tcMar>
              <w:left w:w="28" w:type="dxa"/>
              <w:right w:w="28" w:type="dxa"/>
            </w:tcMar>
          </w:tcPr>
          <w:p w:rsidR="004471FC" w:rsidRPr="00577B2E" w:rsidRDefault="004471FC" w:rsidP="00C930AC">
            <w:pPr>
              <w:keepNext/>
              <w:keepLines/>
              <w:spacing w:before="0"/>
              <w:rPr>
                <w:rFonts w:ascii="Arial Narrow" w:hAnsi="Arial Narrow"/>
                <w:sz w:val="20"/>
                <w:szCs w:val="20"/>
              </w:rPr>
            </w:pPr>
            <w:r w:rsidRPr="00577B2E">
              <w:rPr>
                <w:rFonts w:ascii="Arial Narrow" w:hAnsi="Arial Narrow"/>
                <w:sz w:val="20"/>
                <w:szCs w:val="20"/>
              </w:rPr>
              <w:t>CORE I</w:t>
            </w:r>
          </w:p>
        </w:tc>
        <w:tc>
          <w:tcPr>
            <w:tcW w:w="5393" w:type="dxa"/>
            <w:tcBorders>
              <w:bottom w:val="nil"/>
            </w:tcBorders>
            <w:tcMar>
              <w:left w:w="28" w:type="dxa"/>
              <w:right w:w="28" w:type="dxa"/>
            </w:tcMar>
          </w:tcPr>
          <w:p w:rsidR="004471FC" w:rsidRPr="00577B2E" w:rsidRDefault="004471FC" w:rsidP="00C930AC">
            <w:pPr>
              <w:pStyle w:val="TableText"/>
              <w:keepLines/>
              <w:jc w:val="both"/>
              <w:rPr>
                <w:szCs w:val="20"/>
              </w:rPr>
            </w:pPr>
            <w:r w:rsidRPr="00577B2E">
              <w:rPr>
                <w:szCs w:val="20"/>
              </w:rPr>
              <w:t xml:space="preserve">Efficacy and safety of new oral budesonide-MMX® (CB-01-02) 6 mg and 9 mg extended release tablet formulations in patients with mild or moderate, active ulcerative colitis. A </w:t>
            </w:r>
            <w:proofErr w:type="spellStart"/>
            <w:r w:rsidRPr="00577B2E">
              <w:rPr>
                <w:szCs w:val="20"/>
              </w:rPr>
              <w:t>multicenter</w:t>
            </w:r>
            <w:proofErr w:type="spellEnd"/>
            <w:r w:rsidRPr="00577B2E">
              <w:rPr>
                <w:szCs w:val="20"/>
              </w:rPr>
              <w:t xml:space="preserve">, randomized, double-blind, double dummy, comparative study versus placebo, with an additional reference arm evaluating </w:t>
            </w:r>
            <w:proofErr w:type="spellStart"/>
            <w:r w:rsidRPr="00577B2E">
              <w:rPr>
                <w:szCs w:val="20"/>
              </w:rPr>
              <w:t>Asacol</w:t>
            </w:r>
            <w:proofErr w:type="spellEnd"/>
            <w:r w:rsidRPr="00577B2E">
              <w:rPr>
                <w:szCs w:val="20"/>
              </w:rPr>
              <w:t>® 2400 mg (Clinicaltrials.gov: NCT00679432)</w:t>
            </w:r>
          </w:p>
        </w:tc>
        <w:tc>
          <w:tcPr>
            <w:tcW w:w="2410" w:type="dxa"/>
            <w:tcBorders>
              <w:bottom w:val="nil"/>
            </w:tcBorders>
            <w:tcMar>
              <w:left w:w="28" w:type="dxa"/>
              <w:right w:w="28" w:type="dxa"/>
            </w:tcMar>
          </w:tcPr>
          <w:p w:rsidR="004471FC" w:rsidRPr="00577B2E" w:rsidRDefault="004471FC" w:rsidP="00C930AC">
            <w:pPr>
              <w:keepNext/>
              <w:keepLines/>
              <w:spacing w:before="0"/>
              <w:rPr>
                <w:rFonts w:ascii="Arial Narrow" w:hAnsi="Arial Narrow"/>
                <w:sz w:val="20"/>
                <w:szCs w:val="20"/>
              </w:rPr>
            </w:pPr>
            <w:r w:rsidRPr="00577B2E">
              <w:rPr>
                <w:rFonts w:ascii="Arial Narrow" w:hAnsi="Arial Narrow"/>
                <w:sz w:val="20"/>
                <w:szCs w:val="20"/>
              </w:rPr>
              <w:t>24 November 2011</w:t>
            </w:r>
          </w:p>
        </w:tc>
      </w:tr>
      <w:tr w:rsidR="004471FC" w:rsidRPr="00577B2E" w:rsidTr="007C7CC8">
        <w:trPr>
          <w:trHeight w:val="60"/>
        </w:trPr>
        <w:tc>
          <w:tcPr>
            <w:tcW w:w="1269" w:type="dxa"/>
            <w:vMerge/>
            <w:tcMar>
              <w:left w:w="28" w:type="dxa"/>
              <w:right w:w="28" w:type="dxa"/>
            </w:tcMar>
          </w:tcPr>
          <w:p w:rsidR="004471FC" w:rsidRPr="00577B2E" w:rsidRDefault="004471FC" w:rsidP="00C930AC">
            <w:pPr>
              <w:keepNext/>
              <w:keepLines/>
              <w:spacing w:before="0"/>
              <w:rPr>
                <w:rFonts w:ascii="Arial Narrow" w:hAnsi="Arial Narrow"/>
                <w:sz w:val="20"/>
                <w:szCs w:val="20"/>
              </w:rPr>
            </w:pPr>
          </w:p>
        </w:tc>
        <w:tc>
          <w:tcPr>
            <w:tcW w:w="5393" w:type="dxa"/>
            <w:tcBorders>
              <w:top w:val="nil"/>
            </w:tcBorders>
            <w:tcMar>
              <w:left w:w="28" w:type="dxa"/>
              <w:right w:w="28" w:type="dxa"/>
            </w:tcMar>
          </w:tcPr>
          <w:p w:rsidR="004471FC" w:rsidRPr="00577B2E" w:rsidRDefault="004471FC" w:rsidP="00C930AC">
            <w:pPr>
              <w:keepNext/>
              <w:keepLines/>
              <w:spacing w:before="0"/>
              <w:rPr>
                <w:rFonts w:ascii="Arial Narrow" w:hAnsi="Arial Narrow"/>
                <w:sz w:val="20"/>
                <w:szCs w:val="20"/>
              </w:rPr>
            </w:pPr>
            <w:proofErr w:type="spellStart"/>
            <w:r w:rsidRPr="00577B2E">
              <w:rPr>
                <w:rFonts w:ascii="Arial Narrow" w:hAnsi="Arial Narrow"/>
                <w:sz w:val="20"/>
                <w:szCs w:val="20"/>
              </w:rPr>
              <w:t>Sandborn</w:t>
            </w:r>
            <w:proofErr w:type="spellEnd"/>
            <w:r w:rsidRPr="00577B2E">
              <w:rPr>
                <w:rFonts w:ascii="Arial Narrow" w:hAnsi="Arial Narrow"/>
                <w:sz w:val="20"/>
                <w:szCs w:val="20"/>
              </w:rPr>
              <w:t xml:space="preserve"> WJ, Travis S, Moro L, et al. Once-daily budesonide MMX® extended-release tablets induce remission in patients with mild to moderate ulcerative colitis: Results from the CORE I study.</w:t>
            </w:r>
          </w:p>
        </w:tc>
        <w:tc>
          <w:tcPr>
            <w:tcW w:w="2410" w:type="dxa"/>
            <w:tcBorders>
              <w:top w:val="nil"/>
            </w:tcBorders>
            <w:tcMar>
              <w:left w:w="28" w:type="dxa"/>
              <w:right w:w="28" w:type="dxa"/>
            </w:tcMar>
          </w:tcPr>
          <w:p w:rsidR="004471FC" w:rsidRPr="00577B2E" w:rsidRDefault="004471FC" w:rsidP="00C930AC">
            <w:pPr>
              <w:keepNext/>
              <w:keepLines/>
              <w:spacing w:before="0"/>
              <w:rPr>
                <w:rFonts w:ascii="Arial Narrow" w:hAnsi="Arial Narrow"/>
                <w:sz w:val="20"/>
                <w:szCs w:val="20"/>
              </w:rPr>
            </w:pPr>
            <w:r w:rsidRPr="00577B2E">
              <w:rPr>
                <w:rFonts w:ascii="Arial Narrow" w:hAnsi="Arial Narrow"/>
                <w:sz w:val="20"/>
                <w:szCs w:val="20"/>
              </w:rPr>
              <w:t>Gastroenterology 2012; 143(5):1218–1226.</w:t>
            </w:r>
          </w:p>
        </w:tc>
      </w:tr>
      <w:tr w:rsidR="004471FC" w:rsidRPr="00577B2E" w:rsidTr="007C7CC8">
        <w:trPr>
          <w:trHeight w:val="1187"/>
        </w:trPr>
        <w:tc>
          <w:tcPr>
            <w:tcW w:w="1269" w:type="dxa"/>
            <w:vMerge w:val="restart"/>
            <w:tcMar>
              <w:left w:w="28" w:type="dxa"/>
              <w:right w:w="28" w:type="dxa"/>
            </w:tcMar>
          </w:tcPr>
          <w:p w:rsidR="004471FC" w:rsidRPr="00577B2E" w:rsidRDefault="004471FC" w:rsidP="00C930AC">
            <w:pPr>
              <w:keepNext/>
              <w:keepLines/>
              <w:spacing w:before="0"/>
              <w:rPr>
                <w:rFonts w:ascii="Arial Narrow" w:hAnsi="Arial Narrow"/>
                <w:sz w:val="20"/>
                <w:szCs w:val="20"/>
              </w:rPr>
            </w:pPr>
            <w:r w:rsidRPr="00577B2E">
              <w:rPr>
                <w:rFonts w:ascii="Arial Narrow" w:hAnsi="Arial Narrow"/>
                <w:sz w:val="20"/>
                <w:szCs w:val="20"/>
              </w:rPr>
              <w:t>CORE II</w:t>
            </w:r>
          </w:p>
        </w:tc>
        <w:tc>
          <w:tcPr>
            <w:tcW w:w="5393" w:type="dxa"/>
            <w:tcBorders>
              <w:bottom w:val="nil"/>
            </w:tcBorders>
            <w:tcMar>
              <w:left w:w="28" w:type="dxa"/>
              <w:right w:w="28" w:type="dxa"/>
            </w:tcMar>
          </w:tcPr>
          <w:p w:rsidR="004471FC" w:rsidRPr="00577B2E" w:rsidRDefault="004471FC" w:rsidP="00C930AC">
            <w:pPr>
              <w:pStyle w:val="TableText"/>
              <w:keepLines/>
              <w:jc w:val="both"/>
              <w:rPr>
                <w:szCs w:val="20"/>
              </w:rPr>
            </w:pPr>
            <w:r w:rsidRPr="00577B2E">
              <w:rPr>
                <w:szCs w:val="20"/>
              </w:rPr>
              <w:t xml:space="preserve">Efficacy and safety of oral budesonide-MMX® (CB-01-02) 6 mg and 9 mg extended release tablets in patients with mild or moderate active ulcerative colitis. A multicentre, randomised, double-blind, double-dummy, comparative study versus placebo with an additional reference arm evaluating </w:t>
            </w:r>
            <w:proofErr w:type="spellStart"/>
            <w:r w:rsidRPr="00577B2E">
              <w:rPr>
                <w:szCs w:val="20"/>
              </w:rPr>
              <w:t>Entocort®EC</w:t>
            </w:r>
            <w:proofErr w:type="spellEnd"/>
            <w:r w:rsidRPr="00577B2E">
              <w:rPr>
                <w:szCs w:val="20"/>
              </w:rPr>
              <w:t xml:space="preserve"> (Clinicaltrials.gov: NCT00679380)</w:t>
            </w:r>
          </w:p>
        </w:tc>
        <w:tc>
          <w:tcPr>
            <w:tcW w:w="2410" w:type="dxa"/>
            <w:tcBorders>
              <w:bottom w:val="nil"/>
            </w:tcBorders>
            <w:tcMar>
              <w:left w:w="28" w:type="dxa"/>
              <w:right w:w="28" w:type="dxa"/>
            </w:tcMar>
          </w:tcPr>
          <w:p w:rsidR="004471FC" w:rsidRPr="00577B2E" w:rsidRDefault="004471FC" w:rsidP="00C930AC">
            <w:pPr>
              <w:pStyle w:val="TableText"/>
              <w:keepLines/>
              <w:jc w:val="both"/>
              <w:rPr>
                <w:szCs w:val="20"/>
              </w:rPr>
            </w:pPr>
            <w:r w:rsidRPr="00577B2E">
              <w:rPr>
                <w:szCs w:val="20"/>
              </w:rPr>
              <w:t>24 November 2011</w:t>
            </w:r>
          </w:p>
          <w:p w:rsidR="004471FC" w:rsidRPr="00577B2E" w:rsidRDefault="004471FC" w:rsidP="00C930AC">
            <w:pPr>
              <w:keepNext/>
              <w:keepLines/>
              <w:spacing w:before="0"/>
              <w:rPr>
                <w:rFonts w:ascii="Arial Narrow" w:hAnsi="Arial Narrow"/>
                <w:sz w:val="20"/>
                <w:szCs w:val="20"/>
              </w:rPr>
            </w:pPr>
          </w:p>
        </w:tc>
      </w:tr>
      <w:tr w:rsidR="004471FC" w:rsidRPr="00577B2E" w:rsidTr="007C7CC8">
        <w:trPr>
          <w:trHeight w:val="927"/>
        </w:trPr>
        <w:tc>
          <w:tcPr>
            <w:tcW w:w="1269" w:type="dxa"/>
            <w:vMerge/>
            <w:tcMar>
              <w:left w:w="28" w:type="dxa"/>
              <w:right w:w="28" w:type="dxa"/>
            </w:tcMar>
          </w:tcPr>
          <w:p w:rsidR="004471FC" w:rsidRPr="00577B2E" w:rsidRDefault="004471FC" w:rsidP="00C930AC">
            <w:pPr>
              <w:keepNext/>
              <w:keepLines/>
              <w:spacing w:before="0"/>
              <w:rPr>
                <w:rFonts w:ascii="Arial Narrow" w:hAnsi="Arial Narrow"/>
                <w:sz w:val="20"/>
                <w:szCs w:val="20"/>
              </w:rPr>
            </w:pPr>
          </w:p>
        </w:tc>
        <w:tc>
          <w:tcPr>
            <w:tcW w:w="5393" w:type="dxa"/>
            <w:tcBorders>
              <w:top w:val="nil"/>
            </w:tcBorders>
            <w:tcMar>
              <w:left w:w="28" w:type="dxa"/>
              <w:right w:w="28" w:type="dxa"/>
            </w:tcMar>
          </w:tcPr>
          <w:p w:rsidR="004471FC" w:rsidRPr="00577B2E" w:rsidRDefault="004471FC" w:rsidP="00C930AC">
            <w:pPr>
              <w:keepNext/>
              <w:keepLines/>
              <w:spacing w:before="0"/>
              <w:rPr>
                <w:szCs w:val="20"/>
              </w:rPr>
            </w:pPr>
            <w:r w:rsidRPr="00577B2E">
              <w:rPr>
                <w:rFonts w:ascii="Arial Narrow" w:hAnsi="Arial Narrow"/>
                <w:sz w:val="20"/>
                <w:szCs w:val="20"/>
              </w:rPr>
              <w:t xml:space="preserve">Travis SP, </w:t>
            </w:r>
            <w:proofErr w:type="spellStart"/>
            <w:r w:rsidRPr="00577B2E">
              <w:rPr>
                <w:rFonts w:ascii="Arial Narrow" w:hAnsi="Arial Narrow"/>
                <w:sz w:val="20"/>
                <w:szCs w:val="20"/>
              </w:rPr>
              <w:t>Danese</w:t>
            </w:r>
            <w:proofErr w:type="spellEnd"/>
            <w:r w:rsidRPr="00577B2E">
              <w:rPr>
                <w:rFonts w:ascii="Arial Narrow" w:hAnsi="Arial Narrow"/>
                <w:sz w:val="20"/>
                <w:szCs w:val="20"/>
              </w:rPr>
              <w:t xml:space="preserve"> S, </w:t>
            </w:r>
            <w:proofErr w:type="spellStart"/>
            <w:r w:rsidRPr="00577B2E">
              <w:rPr>
                <w:rFonts w:ascii="Arial Narrow" w:hAnsi="Arial Narrow"/>
                <w:sz w:val="20"/>
                <w:szCs w:val="20"/>
              </w:rPr>
              <w:t>KupcinskasL</w:t>
            </w:r>
            <w:proofErr w:type="spellEnd"/>
            <w:r w:rsidRPr="00577B2E">
              <w:rPr>
                <w:rFonts w:ascii="Arial Narrow" w:hAnsi="Arial Narrow"/>
                <w:sz w:val="20"/>
                <w:szCs w:val="20"/>
              </w:rPr>
              <w:t>, et al. Once-daily budesonide MMX in active, mild-to-moderate ulcerative colitis: results from the randomised CORE II study.</w:t>
            </w:r>
          </w:p>
        </w:tc>
        <w:tc>
          <w:tcPr>
            <w:tcW w:w="2410" w:type="dxa"/>
            <w:tcBorders>
              <w:top w:val="nil"/>
            </w:tcBorders>
            <w:tcMar>
              <w:left w:w="28" w:type="dxa"/>
              <w:right w:w="28" w:type="dxa"/>
            </w:tcMar>
          </w:tcPr>
          <w:p w:rsidR="004471FC" w:rsidRPr="00577B2E" w:rsidRDefault="004471FC" w:rsidP="00C930AC">
            <w:pPr>
              <w:keepNext/>
              <w:keepLines/>
              <w:spacing w:before="0"/>
              <w:rPr>
                <w:szCs w:val="20"/>
              </w:rPr>
            </w:pPr>
            <w:r w:rsidRPr="00577B2E">
              <w:rPr>
                <w:rFonts w:ascii="Arial Narrow" w:hAnsi="Arial Narrow"/>
                <w:sz w:val="20"/>
                <w:szCs w:val="20"/>
              </w:rPr>
              <w:t>Gut 2014; 63(3):433–441.</w:t>
            </w:r>
          </w:p>
        </w:tc>
      </w:tr>
      <w:tr w:rsidR="004471FC" w:rsidRPr="00577B2E" w:rsidTr="007C7CC8">
        <w:tc>
          <w:tcPr>
            <w:tcW w:w="1269" w:type="dxa"/>
            <w:tcMar>
              <w:left w:w="28" w:type="dxa"/>
              <w:right w:w="28" w:type="dxa"/>
            </w:tcMar>
          </w:tcPr>
          <w:p w:rsidR="004471FC" w:rsidRPr="00577B2E" w:rsidRDefault="004471FC" w:rsidP="00C930AC">
            <w:pPr>
              <w:keepNext/>
              <w:keepLines/>
              <w:spacing w:before="0"/>
              <w:rPr>
                <w:rFonts w:ascii="Arial Narrow" w:hAnsi="Arial Narrow"/>
                <w:sz w:val="20"/>
                <w:szCs w:val="20"/>
              </w:rPr>
            </w:pPr>
            <w:r w:rsidRPr="00577B2E">
              <w:rPr>
                <w:rFonts w:ascii="Arial Narrow" w:hAnsi="Arial Narrow"/>
                <w:sz w:val="20"/>
                <w:szCs w:val="20"/>
              </w:rPr>
              <w:t>CONTRIBUTE</w:t>
            </w:r>
          </w:p>
        </w:tc>
        <w:tc>
          <w:tcPr>
            <w:tcW w:w="5393" w:type="dxa"/>
            <w:tcMar>
              <w:left w:w="28" w:type="dxa"/>
              <w:right w:w="28" w:type="dxa"/>
            </w:tcMar>
          </w:tcPr>
          <w:p w:rsidR="004471FC" w:rsidRPr="00577B2E" w:rsidRDefault="004471FC" w:rsidP="00C930AC">
            <w:pPr>
              <w:keepNext/>
              <w:keepLines/>
              <w:spacing w:before="0"/>
              <w:rPr>
                <w:rFonts w:ascii="Arial Narrow" w:hAnsi="Arial Narrow"/>
                <w:sz w:val="20"/>
                <w:szCs w:val="20"/>
              </w:rPr>
            </w:pPr>
            <w:r w:rsidRPr="00577B2E">
              <w:rPr>
                <w:rFonts w:ascii="Arial Narrow" w:hAnsi="Arial Narrow"/>
                <w:sz w:val="20"/>
                <w:szCs w:val="20"/>
              </w:rPr>
              <w:t>Rubin D, Russell C, William S, et al. O-001 budesonide MMX® 9 mg for inducing remission in patients with mild-to-moderate ulcerative colitis not adequately controlled with oral 5-ASAs.</w:t>
            </w:r>
          </w:p>
        </w:tc>
        <w:tc>
          <w:tcPr>
            <w:tcW w:w="2410" w:type="dxa"/>
            <w:tcMar>
              <w:left w:w="28" w:type="dxa"/>
              <w:right w:w="28" w:type="dxa"/>
            </w:tcMar>
          </w:tcPr>
          <w:p w:rsidR="004471FC" w:rsidRPr="00577B2E" w:rsidRDefault="004471FC" w:rsidP="00C930AC">
            <w:pPr>
              <w:keepNext/>
              <w:keepLines/>
              <w:spacing w:before="0"/>
              <w:rPr>
                <w:rFonts w:ascii="Arial Narrow" w:hAnsi="Arial Narrow"/>
                <w:sz w:val="20"/>
                <w:szCs w:val="20"/>
              </w:rPr>
            </w:pPr>
            <w:proofErr w:type="spellStart"/>
            <w:r w:rsidRPr="00577B2E">
              <w:rPr>
                <w:rFonts w:ascii="Arial Narrow" w:hAnsi="Arial Narrow"/>
                <w:sz w:val="20"/>
                <w:szCs w:val="20"/>
              </w:rPr>
              <w:t>Inflamm</w:t>
            </w:r>
            <w:proofErr w:type="spellEnd"/>
            <w:r w:rsidRPr="00577B2E">
              <w:rPr>
                <w:rFonts w:ascii="Arial Narrow" w:hAnsi="Arial Narrow"/>
                <w:sz w:val="20"/>
                <w:szCs w:val="20"/>
              </w:rPr>
              <w:t xml:space="preserve"> Bowel Dis. 2014; 20(Supplement1):S1</w:t>
            </w:r>
          </w:p>
        </w:tc>
      </w:tr>
      <w:tr w:rsidR="004471FC" w:rsidRPr="00577B2E" w:rsidTr="007C7CC8">
        <w:trPr>
          <w:trHeight w:val="1185"/>
        </w:trPr>
        <w:tc>
          <w:tcPr>
            <w:tcW w:w="1269" w:type="dxa"/>
            <w:vMerge w:val="restart"/>
            <w:tcMar>
              <w:left w:w="28" w:type="dxa"/>
              <w:right w:w="28" w:type="dxa"/>
            </w:tcMar>
          </w:tcPr>
          <w:p w:rsidR="004471FC" w:rsidRPr="00577B2E" w:rsidRDefault="004471FC" w:rsidP="00C930AC">
            <w:pPr>
              <w:keepNext/>
              <w:keepLines/>
              <w:spacing w:before="0"/>
              <w:rPr>
                <w:rFonts w:ascii="Arial Narrow" w:hAnsi="Arial Narrow"/>
                <w:sz w:val="20"/>
                <w:szCs w:val="20"/>
              </w:rPr>
            </w:pPr>
            <w:proofErr w:type="spellStart"/>
            <w:r w:rsidRPr="00577B2E">
              <w:rPr>
                <w:rFonts w:ascii="Arial Narrow" w:hAnsi="Arial Narrow"/>
                <w:sz w:val="20"/>
                <w:szCs w:val="20"/>
              </w:rPr>
              <w:t>D’Haens</w:t>
            </w:r>
            <w:proofErr w:type="spellEnd"/>
            <w:r w:rsidRPr="00577B2E">
              <w:rPr>
                <w:rFonts w:ascii="Arial Narrow" w:hAnsi="Arial Narrow"/>
                <w:sz w:val="20"/>
                <w:szCs w:val="20"/>
              </w:rPr>
              <w:t xml:space="preserve"> 2010</w:t>
            </w:r>
          </w:p>
        </w:tc>
        <w:tc>
          <w:tcPr>
            <w:tcW w:w="5393" w:type="dxa"/>
            <w:tcBorders>
              <w:bottom w:val="nil"/>
            </w:tcBorders>
            <w:tcMar>
              <w:left w:w="28" w:type="dxa"/>
              <w:right w:w="28" w:type="dxa"/>
            </w:tcMar>
          </w:tcPr>
          <w:p w:rsidR="004471FC" w:rsidRPr="00577B2E" w:rsidRDefault="004471FC" w:rsidP="00C930AC">
            <w:pPr>
              <w:pStyle w:val="TableText"/>
              <w:keepLines/>
              <w:jc w:val="both"/>
              <w:rPr>
                <w:szCs w:val="20"/>
              </w:rPr>
            </w:pPr>
            <w:r w:rsidRPr="00577B2E">
              <w:rPr>
                <w:szCs w:val="20"/>
              </w:rPr>
              <w:t>Preliminary efficacy and safety study of a new extended release budesonide 9 mg tablets formulation in patients with moderate left-sided ulcerative colitis. Period I: randomised, double-blind, placebo-controlled, parallel-group, pilot multicentre efficacy study. Period II: open-labelled, pilot multicentre efficacy study.</w:t>
            </w:r>
          </w:p>
        </w:tc>
        <w:tc>
          <w:tcPr>
            <w:tcW w:w="2410" w:type="dxa"/>
            <w:tcBorders>
              <w:bottom w:val="nil"/>
            </w:tcBorders>
            <w:tcMar>
              <w:left w:w="28" w:type="dxa"/>
              <w:right w:w="28" w:type="dxa"/>
            </w:tcMar>
          </w:tcPr>
          <w:p w:rsidR="004471FC" w:rsidRPr="00577B2E" w:rsidRDefault="004471FC" w:rsidP="00C930AC">
            <w:pPr>
              <w:pStyle w:val="TableText"/>
              <w:keepLines/>
              <w:jc w:val="both"/>
              <w:rPr>
                <w:szCs w:val="20"/>
              </w:rPr>
            </w:pPr>
            <w:r w:rsidRPr="00577B2E">
              <w:rPr>
                <w:szCs w:val="20"/>
              </w:rPr>
              <w:t>26 May 2006</w:t>
            </w:r>
          </w:p>
          <w:p w:rsidR="004471FC" w:rsidRPr="00577B2E" w:rsidRDefault="004471FC" w:rsidP="00C930AC">
            <w:pPr>
              <w:keepNext/>
              <w:keepLines/>
              <w:spacing w:before="0"/>
              <w:ind w:firstLine="170"/>
              <w:rPr>
                <w:rFonts w:ascii="Arial Narrow" w:hAnsi="Arial Narrow"/>
                <w:sz w:val="20"/>
                <w:szCs w:val="20"/>
              </w:rPr>
            </w:pPr>
          </w:p>
        </w:tc>
      </w:tr>
      <w:tr w:rsidR="004471FC" w:rsidRPr="00577B2E" w:rsidTr="007C7CC8">
        <w:trPr>
          <w:trHeight w:val="756"/>
        </w:trPr>
        <w:tc>
          <w:tcPr>
            <w:tcW w:w="1269" w:type="dxa"/>
            <w:vMerge/>
            <w:tcMar>
              <w:left w:w="28" w:type="dxa"/>
              <w:right w:w="28" w:type="dxa"/>
            </w:tcMar>
          </w:tcPr>
          <w:p w:rsidR="004471FC" w:rsidRPr="00577B2E" w:rsidRDefault="004471FC" w:rsidP="00C930AC">
            <w:pPr>
              <w:keepNext/>
              <w:keepLines/>
              <w:spacing w:before="0"/>
              <w:rPr>
                <w:rFonts w:ascii="Arial Narrow" w:hAnsi="Arial Narrow"/>
                <w:sz w:val="20"/>
                <w:szCs w:val="20"/>
              </w:rPr>
            </w:pPr>
          </w:p>
        </w:tc>
        <w:tc>
          <w:tcPr>
            <w:tcW w:w="5393" w:type="dxa"/>
            <w:tcBorders>
              <w:top w:val="nil"/>
            </w:tcBorders>
            <w:tcMar>
              <w:left w:w="28" w:type="dxa"/>
              <w:right w:w="28" w:type="dxa"/>
            </w:tcMar>
          </w:tcPr>
          <w:p w:rsidR="004471FC" w:rsidRPr="00577B2E" w:rsidRDefault="004471FC" w:rsidP="00C930AC">
            <w:pPr>
              <w:keepNext/>
              <w:keepLines/>
              <w:spacing w:before="0"/>
              <w:rPr>
                <w:szCs w:val="20"/>
              </w:rPr>
            </w:pPr>
            <w:proofErr w:type="spellStart"/>
            <w:r w:rsidRPr="00577B2E">
              <w:rPr>
                <w:rFonts w:ascii="Arial Narrow" w:hAnsi="Arial Narrow"/>
                <w:sz w:val="20"/>
                <w:szCs w:val="20"/>
              </w:rPr>
              <w:t>D’Haens</w:t>
            </w:r>
            <w:proofErr w:type="spellEnd"/>
            <w:r w:rsidRPr="00577B2E">
              <w:rPr>
                <w:rFonts w:ascii="Arial Narrow" w:hAnsi="Arial Narrow"/>
                <w:sz w:val="20"/>
                <w:szCs w:val="20"/>
              </w:rPr>
              <w:t xml:space="preserve"> GR, </w:t>
            </w:r>
            <w:proofErr w:type="spellStart"/>
            <w:r w:rsidRPr="00577B2E">
              <w:rPr>
                <w:rFonts w:ascii="Arial Narrow" w:hAnsi="Arial Narrow"/>
                <w:sz w:val="20"/>
                <w:szCs w:val="20"/>
              </w:rPr>
              <w:t>Kovács</w:t>
            </w:r>
            <w:proofErr w:type="spellEnd"/>
            <w:r w:rsidRPr="00577B2E">
              <w:rPr>
                <w:rFonts w:ascii="Arial Narrow" w:hAnsi="Arial Narrow"/>
                <w:sz w:val="20"/>
                <w:szCs w:val="20"/>
              </w:rPr>
              <w:t xml:space="preserve"> </w:t>
            </w:r>
            <w:proofErr w:type="spellStart"/>
            <w:r w:rsidRPr="00577B2E">
              <w:rPr>
                <w:rFonts w:ascii="Arial Narrow" w:hAnsi="Arial Narrow"/>
                <w:sz w:val="20"/>
                <w:szCs w:val="20"/>
              </w:rPr>
              <w:t>A</w:t>
            </w:r>
            <w:proofErr w:type="gramStart"/>
            <w:r w:rsidRPr="00577B2E">
              <w:rPr>
                <w:rFonts w:ascii="Arial Narrow" w:hAnsi="Arial Narrow"/>
                <w:sz w:val="20"/>
                <w:szCs w:val="20"/>
              </w:rPr>
              <w:t>,Vergauwe</w:t>
            </w:r>
            <w:proofErr w:type="spellEnd"/>
            <w:proofErr w:type="gramEnd"/>
            <w:r w:rsidRPr="00577B2E">
              <w:rPr>
                <w:rFonts w:ascii="Arial Narrow" w:hAnsi="Arial Narrow"/>
                <w:sz w:val="20"/>
                <w:szCs w:val="20"/>
              </w:rPr>
              <w:t xml:space="preserve"> P, et al. Clinical trial: preliminary efficacy and safety study of a new budesonide-MMX® 9 mg extended-release tablets in patients with active left-sided ulcerative colitis.</w:t>
            </w:r>
          </w:p>
        </w:tc>
        <w:tc>
          <w:tcPr>
            <w:tcW w:w="2410" w:type="dxa"/>
            <w:tcBorders>
              <w:top w:val="nil"/>
            </w:tcBorders>
            <w:tcMar>
              <w:left w:w="28" w:type="dxa"/>
              <w:right w:w="28" w:type="dxa"/>
            </w:tcMar>
          </w:tcPr>
          <w:p w:rsidR="004471FC" w:rsidRPr="00577B2E" w:rsidRDefault="004471FC" w:rsidP="00C930AC">
            <w:pPr>
              <w:keepNext/>
              <w:keepLines/>
              <w:spacing w:before="0"/>
              <w:rPr>
                <w:szCs w:val="20"/>
              </w:rPr>
            </w:pPr>
            <w:r w:rsidRPr="00577B2E">
              <w:rPr>
                <w:rFonts w:ascii="Arial Narrow" w:hAnsi="Arial Narrow"/>
                <w:sz w:val="20"/>
                <w:szCs w:val="20"/>
              </w:rPr>
              <w:t xml:space="preserve">J </w:t>
            </w:r>
            <w:proofErr w:type="spellStart"/>
            <w:r w:rsidRPr="00577B2E">
              <w:rPr>
                <w:rFonts w:ascii="Arial Narrow" w:hAnsi="Arial Narrow"/>
                <w:sz w:val="20"/>
                <w:szCs w:val="20"/>
              </w:rPr>
              <w:t>Crohns</w:t>
            </w:r>
            <w:proofErr w:type="spellEnd"/>
            <w:r w:rsidRPr="00577B2E">
              <w:rPr>
                <w:rFonts w:ascii="Arial Narrow" w:hAnsi="Arial Narrow"/>
                <w:sz w:val="20"/>
                <w:szCs w:val="20"/>
              </w:rPr>
              <w:t xml:space="preserve"> Colitis 2010; 4(2):153–160.</w:t>
            </w:r>
          </w:p>
        </w:tc>
      </w:tr>
      <w:tr w:rsidR="004471FC" w:rsidRPr="00577B2E" w:rsidTr="007C7CC8">
        <w:tc>
          <w:tcPr>
            <w:tcW w:w="9072" w:type="dxa"/>
            <w:gridSpan w:val="3"/>
            <w:tcMar>
              <w:left w:w="28" w:type="dxa"/>
              <w:right w:w="28" w:type="dxa"/>
            </w:tcMar>
          </w:tcPr>
          <w:p w:rsidR="004471FC" w:rsidRPr="00577B2E" w:rsidRDefault="004471FC" w:rsidP="00C930AC">
            <w:pPr>
              <w:keepNext/>
              <w:keepLines/>
              <w:spacing w:before="0"/>
              <w:rPr>
                <w:rFonts w:ascii="Arial Narrow" w:hAnsi="Arial Narrow"/>
                <w:b/>
                <w:sz w:val="20"/>
                <w:szCs w:val="20"/>
              </w:rPr>
            </w:pPr>
            <w:r w:rsidRPr="00577B2E">
              <w:rPr>
                <w:rFonts w:ascii="Arial Narrow" w:hAnsi="Arial Narrow"/>
                <w:b/>
                <w:sz w:val="20"/>
                <w:szCs w:val="20"/>
              </w:rPr>
              <w:t>budesonide foam enemas vs placebo trials</w:t>
            </w:r>
          </w:p>
        </w:tc>
      </w:tr>
      <w:tr w:rsidR="004471FC" w:rsidRPr="00577B2E" w:rsidTr="007C7CC8">
        <w:tc>
          <w:tcPr>
            <w:tcW w:w="1269" w:type="dxa"/>
            <w:tcMar>
              <w:left w:w="28" w:type="dxa"/>
              <w:right w:w="28" w:type="dxa"/>
            </w:tcMar>
          </w:tcPr>
          <w:p w:rsidR="004471FC" w:rsidRPr="00577B2E" w:rsidRDefault="004471FC" w:rsidP="00C930AC">
            <w:pPr>
              <w:keepNext/>
              <w:keepLines/>
              <w:spacing w:before="0"/>
              <w:rPr>
                <w:rFonts w:ascii="Arial Narrow" w:hAnsi="Arial Narrow"/>
                <w:sz w:val="20"/>
                <w:szCs w:val="20"/>
              </w:rPr>
            </w:pPr>
            <w:r w:rsidRPr="00577B2E">
              <w:rPr>
                <w:rFonts w:ascii="Arial Narrow" w:hAnsi="Arial Narrow"/>
                <w:sz w:val="20"/>
                <w:szCs w:val="20"/>
              </w:rPr>
              <w:t>BUCF3001 &amp; BUCF3002 (combined publications)</w:t>
            </w:r>
          </w:p>
        </w:tc>
        <w:tc>
          <w:tcPr>
            <w:tcW w:w="5393" w:type="dxa"/>
            <w:tcMar>
              <w:left w:w="28" w:type="dxa"/>
              <w:right w:w="28" w:type="dxa"/>
            </w:tcMar>
          </w:tcPr>
          <w:p w:rsidR="004471FC" w:rsidRPr="00577B2E" w:rsidRDefault="004471FC" w:rsidP="00C930AC">
            <w:pPr>
              <w:keepNext/>
              <w:keepLines/>
              <w:spacing w:before="0"/>
              <w:rPr>
                <w:rFonts w:ascii="Arial Narrow" w:hAnsi="Arial Narrow"/>
                <w:sz w:val="20"/>
                <w:szCs w:val="20"/>
              </w:rPr>
            </w:pPr>
            <w:proofErr w:type="spellStart"/>
            <w:r w:rsidRPr="00577B2E">
              <w:rPr>
                <w:rFonts w:ascii="Arial Narrow" w:hAnsi="Arial Narrow"/>
                <w:sz w:val="20"/>
                <w:szCs w:val="20"/>
              </w:rPr>
              <w:t>Sandborn</w:t>
            </w:r>
            <w:proofErr w:type="spellEnd"/>
            <w:r w:rsidRPr="00577B2E">
              <w:rPr>
                <w:rFonts w:ascii="Arial Narrow" w:hAnsi="Arial Narrow"/>
                <w:sz w:val="20"/>
                <w:szCs w:val="20"/>
              </w:rPr>
              <w:t xml:space="preserve"> WJ, Bosworth B, </w:t>
            </w:r>
            <w:proofErr w:type="spellStart"/>
            <w:r w:rsidRPr="00577B2E">
              <w:rPr>
                <w:rFonts w:ascii="Arial Narrow" w:hAnsi="Arial Narrow"/>
                <w:sz w:val="20"/>
                <w:szCs w:val="20"/>
              </w:rPr>
              <w:t>Zakko</w:t>
            </w:r>
            <w:proofErr w:type="spellEnd"/>
            <w:r w:rsidRPr="00577B2E">
              <w:rPr>
                <w:rFonts w:ascii="Arial Narrow" w:hAnsi="Arial Narrow"/>
                <w:sz w:val="20"/>
                <w:szCs w:val="20"/>
              </w:rPr>
              <w:t xml:space="preserve"> S, et al. Budesonide foam induces remission in patients with mild to moderate ulcerative </w:t>
            </w:r>
            <w:proofErr w:type="spellStart"/>
            <w:r w:rsidRPr="00577B2E">
              <w:rPr>
                <w:rFonts w:ascii="Arial Narrow" w:hAnsi="Arial Narrow"/>
                <w:sz w:val="20"/>
                <w:szCs w:val="20"/>
              </w:rPr>
              <w:t>proctitis</w:t>
            </w:r>
            <w:proofErr w:type="spellEnd"/>
            <w:r w:rsidRPr="00577B2E">
              <w:rPr>
                <w:rFonts w:ascii="Arial Narrow" w:hAnsi="Arial Narrow"/>
                <w:sz w:val="20"/>
                <w:szCs w:val="20"/>
              </w:rPr>
              <w:t xml:space="preserve"> and ulcerative proctosigmoiditis.</w:t>
            </w:r>
          </w:p>
        </w:tc>
        <w:tc>
          <w:tcPr>
            <w:tcW w:w="2410" w:type="dxa"/>
            <w:tcMar>
              <w:left w:w="28" w:type="dxa"/>
              <w:right w:w="28" w:type="dxa"/>
            </w:tcMar>
          </w:tcPr>
          <w:p w:rsidR="004471FC" w:rsidRPr="00577B2E" w:rsidRDefault="004471FC" w:rsidP="00C930AC">
            <w:pPr>
              <w:keepNext/>
              <w:keepLines/>
              <w:spacing w:before="0"/>
              <w:rPr>
                <w:rFonts w:ascii="Arial Narrow" w:hAnsi="Arial Narrow"/>
                <w:sz w:val="20"/>
                <w:szCs w:val="20"/>
              </w:rPr>
            </w:pPr>
            <w:r w:rsidRPr="00577B2E">
              <w:rPr>
                <w:rFonts w:ascii="Arial Narrow" w:hAnsi="Arial Narrow"/>
                <w:sz w:val="20"/>
                <w:szCs w:val="20"/>
              </w:rPr>
              <w:t>Gastroenterology 2015; 148(4):740-750.</w:t>
            </w:r>
          </w:p>
        </w:tc>
      </w:tr>
      <w:tr w:rsidR="004471FC" w:rsidRPr="00577B2E" w:rsidTr="007C7CC8">
        <w:tc>
          <w:tcPr>
            <w:tcW w:w="1269" w:type="dxa"/>
            <w:tcMar>
              <w:left w:w="28" w:type="dxa"/>
              <w:right w:w="28" w:type="dxa"/>
            </w:tcMar>
          </w:tcPr>
          <w:p w:rsidR="004471FC" w:rsidRPr="00577B2E" w:rsidRDefault="004471FC" w:rsidP="00C930AC">
            <w:pPr>
              <w:keepNext/>
              <w:keepLines/>
              <w:spacing w:before="0"/>
              <w:rPr>
                <w:rFonts w:ascii="Arial Narrow" w:hAnsi="Arial Narrow"/>
                <w:sz w:val="20"/>
                <w:szCs w:val="20"/>
              </w:rPr>
            </w:pPr>
            <w:proofErr w:type="spellStart"/>
            <w:r w:rsidRPr="00577B2E">
              <w:rPr>
                <w:rFonts w:ascii="Arial Narrow" w:hAnsi="Arial Narrow"/>
                <w:sz w:val="20"/>
                <w:szCs w:val="20"/>
              </w:rPr>
              <w:t>Naganuma</w:t>
            </w:r>
            <w:proofErr w:type="spellEnd"/>
            <w:r w:rsidRPr="00577B2E">
              <w:rPr>
                <w:rFonts w:ascii="Arial Narrow" w:hAnsi="Arial Narrow"/>
                <w:sz w:val="20"/>
                <w:szCs w:val="20"/>
              </w:rPr>
              <w:t xml:space="preserve"> 2016</w:t>
            </w:r>
          </w:p>
        </w:tc>
        <w:tc>
          <w:tcPr>
            <w:tcW w:w="5393" w:type="dxa"/>
            <w:tcMar>
              <w:left w:w="28" w:type="dxa"/>
              <w:right w:w="28" w:type="dxa"/>
            </w:tcMar>
          </w:tcPr>
          <w:p w:rsidR="004471FC" w:rsidRPr="00577B2E" w:rsidRDefault="004471FC" w:rsidP="00C930AC">
            <w:pPr>
              <w:keepNext/>
              <w:keepLines/>
              <w:spacing w:before="0"/>
              <w:rPr>
                <w:rFonts w:ascii="Arial Narrow" w:hAnsi="Arial Narrow"/>
                <w:sz w:val="20"/>
                <w:szCs w:val="20"/>
              </w:rPr>
            </w:pPr>
            <w:proofErr w:type="spellStart"/>
            <w:r w:rsidRPr="00577B2E">
              <w:rPr>
                <w:rFonts w:ascii="Arial Narrow" w:hAnsi="Arial Narrow"/>
                <w:sz w:val="20"/>
                <w:szCs w:val="20"/>
              </w:rPr>
              <w:t>Naganuma</w:t>
            </w:r>
            <w:proofErr w:type="spellEnd"/>
            <w:r w:rsidRPr="00577B2E">
              <w:rPr>
                <w:rFonts w:ascii="Arial Narrow" w:hAnsi="Arial Narrow"/>
                <w:sz w:val="20"/>
                <w:szCs w:val="20"/>
              </w:rPr>
              <w:t xml:space="preserve"> M, Aoyama N, Suzuki Y, et al. Twice daily budesonide 2-mg foam induces complete mucosal healing in patients with distal ulcerative colitis.</w:t>
            </w:r>
          </w:p>
        </w:tc>
        <w:tc>
          <w:tcPr>
            <w:tcW w:w="2410" w:type="dxa"/>
            <w:tcMar>
              <w:left w:w="28" w:type="dxa"/>
              <w:right w:w="28" w:type="dxa"/>
            </w:tcMar>
          </w:tcPr>
          <w:p w:rsidR="004471FC" w:rsidRPr="00577B2E" w:rsidRDefault="004471FC" w:rsidP="00C930AC">
            <w:pPr>
              <w:keepNext/>
              <w:keepLines/>
              <w:spacing w:before="0"/>
              <w:rPr>
                <w:rFonts w:ascii="Arial Narrow" w:hAnsi="Arial Narrow"/>
                <w:sz w:val="20"/>
                <w:szCs w:val="20"/>
              </w:rPr>
            </w:pPr>
            <w:r w:rsidRPr="00577B2E">
              <w:rPr>
                <w:rFonts w:ascii="Arial Narrow" w:hAnsi="Arial Narrow"/>
                <w:sz w:val="20"/>
                <w:szCs w:val="20"/>
              </w:rPr>
              <w:t xml:space="preserve">J </w:t>
            </w:r>
            <w:proofErr w:type="spellStart"/>
            <w:r w:rsidRPr="00577B2E">
              <w:rPr>
                <w:rFonts w:ascii="Arial Narrow" w:hAnsi="Arial Narrow"/>
                <w:sz w:val="20"/>
                <w:szCs w:val="20"/>
              </w:rPr>
              <w:t>Crohns</w:t>
            </w:r>
            <w:proofErr w:type="spellEnd"/>
            <w:r w:rsidRPr="00577B2E">
              <w:rPr>
                <w:rFonts w:ascii="Arial Narrow" w:hAnsi="Arial Narrow"/>
                <w:sz w:val="20"/>
                <w:szCs w:val="20"/>
              </w:rPr>
              <w:t xml:space="preserve"> Colitis 2016; 828-836</w:t>
            </w:r>
          </w:p>
        </w:tc>
      </w:tr>
      <w:tr w:rsidR="004471FC" w:rsidRPr="00577B2E" w:rsidTr="007C7CC8">
        <w:tc>
          <w:tcPr>
            <w:tcW w:w="1269" w:type="dxa"/>
            <w:tcMar>
              <w:left w:w="28" w:type="dxa"/>
              <w:right w:w="28" w:type="dxa"/>
            </w:tcMar>
          </w:tcPr>
          <w:p w:rsidR="004471FC" w:rsidRPr="00577B2E" w:rsidRDefault="004471FC" w:rsidP="00C930AC">
            <w:pPr>
              <w:keepNext/>
              <w:keepLines/>
              <w:tabs>
                <w:tab w:val="left" w:pos="689"/>
              </w:tabs>
              <w:spacing w:before="0"/>
              <w:rPr>
                <w:rFonts w:ascii="Arial Narrow" w:hAnsi="Arial Narrow"/>
                <w:sz w:val="20"/>
                <w:szCs w:val="20"/>
              </w:rPr>
            </w:pPr>
            <w:r w:rsidRPr="00577B2E">
              <w:rPr>
                <w:rFonts w:ascii="Arial Narrow" w:hAnsi="Arial Narrow"/>
                <w:sz w:val="20"/>
                <w:szCs w:val="20"/>
              </w:rPr>
              <w:t>Gross 2006</w:t>
            </w:r>
          </w:p>
        </w:tc>
        <w:tc>
          <w:tcPr>
            <w:tcW w:w="5393" w:type="dxa"/>
            <w:tcMar>
              <w:left w:w="28" w:type="dxa"/>
              <w:right w:w="28" w:type="dxa"/>
            </w:tcMar>
          </w:tcPr>
          <w:p w:rsidR="004471FC" w:rsidRPr="00577B2E" w:rsidRDefault="004471FC" w:rsidP="00C930AC">
            <w:pPr>
              <w:keepNext/>
              <w:keepLines/>
              <w:spacing w:before="0"/>
              <w:rPr>
                <w:rFonts w:ascii="Arial Narrow" w:hAnsi="Arial Narrow"/>
                <w:sz w:val="20"/>
                <w:szCs w:val="20"/>
              </w:rPr>
            </w:pPr>
            <w:r w:rsidRPr="00577B2E">
              <w:rPr>
                <w:rFonts w:ascii="Arial Narrow" w:hAnsi="Arial Narrow"/>
                <w:sz w:val="20"/>
                <w:szCs w:val="20"/>
              </w:rPr>
              <w:t xml:space="preserve">Gross V, Bar-Meir S, </w:t>
            </w:r>
            <w:proofErr w:type="spellStart"/>
            <w:r w:rsidRPr="00577B2E">
              <w:rPr>
                <w:rFonts w:ascii="Arial Narrow" w:hAnsi="Arial Narrow"/>
                <w:sz w:val="20"/>
                <w:szCs w:val="20"/>
              </w:rPr>
              <w:t>Lavy</w:t>
            </w:r>
            <w:proofErr w:type="spellEnd"/>
            <w:r w:rsidRPr="00577B2E">
              <w:rPr>
                <w:rFonts w:ascii="Arial Narrow" w:hAnsi="Arial Narrow"/>
                <w:sz w:val="20"/>
                <w:szCs w:val="20"/>
              </w:rPr>
              <w:t xml:space="preserve"> A, et al. Budesonide foam versus budesonide enema in active ulcerative </w:t>
            </w:r>
            <w:proofErr w:type="spellStart"/>
            <w:r w:rsidRPr="00577B2E">
              <w:rPr>
                <w:rFonts w:ascii="Arial Narrow" w:hAnsi="Arial Narrow"/>
                <w:sz w:val="20"/>
                <w:szCs w:val="20"/>
              </w:rPr>
              <w:t>proctitis</w:t>
            </w:r>
            <w:proofErr w:type="spellEnd"/>
            <w:r w:rsidRPr="00577B2E">
              <w:rPr>
                <w:rFonts w:ascii="Arial Narrow" w:hAnsi="Arial Narrow"/>
                <w:sz w:val="20"/>
                <w:szCs w:val="20"/>
              </w:rPr>
              <w:t xml:space="preserve"> and proctosigmoiditis.</w:t>
            </w:r>
          </w:p>
        </w:tc>
        <w:tc>
          <w:tcPr>
            <w:tcW w:w="2410" w:type="dxa"/>
            <w:tcMar>
              <w:left w:w="28" w:type="dxa"/>
              <w:right w:w="28" w:type="dxa"/>
            </w:tcMar>
          </w:tcPr>
          <w:p w:rsidR="004471FC" w:rsidRPr="00577B2E" w:rsidRDefault="004471FC" w:rsidP="00C930AC">
            <w:pPr>
              <w:keepNext/>
              <w:keepLines/>
              <w:spacing w:before="0"/>
              <w:rPr>
                <w:rFonts w:ascii="Arial Narrow" w:hAnsi="Arial Narrow"/>
                <w:sz w:val="20"/>
                <w:szCs w:val="20"/>
              </w:rPr>
            </w:pPr>
            <w:r w:rsidRPr="00577B2E">
              <w:rPr>
                <w:rFonts w:ascii="Arial Narrow" w:hAnsi="Arial Narrow"/>
                <w:sz w:val="20"/>
                <w:szCs w:val="20"/>
              </w:rPr>
              <w:t xml:space="preserve">Aliment </w:t>
            </w:r>
            <w:proofErr w:type="spellStart"/>
            <w:r w:rsidRPr="00577B2E">
              <w:rPr>
                <w:rFonts w:ascii="Arial Narrow" w:hAnsi="Arial Narrow"/>
                <w:sz w:val="20"/>
                <w:szCs w:val="20"/>
              </w:rPr>
              <w:t>Pharmacol</w:t>
            </w:r>
            <w:proofErr w:type="spellEnd"/>
            <w:r w:rsidRPr="00577B2E">
              <w:rPr>
                <w:rFonts w:ascii="Arial Narrow" w:hAnsi="Arial Narrow"/>
                <w:sz w:val="20"/>
                <w:szCs w:val="20"/>
              </w:rPr>
              <w:t xml:space="preserve"> </w:t>
            </w:r>
            <w:proofErr w:type="spellStart"/>
            <w:r w:rsidRPr="00577B2E">
              <w:rPr>
                <w:rFonts w:ascii="Arial Narrow" w:hAnsi="Arial Narrow"/>
                <w:sz w:val="20"/>
                <w:szCs w:val="20"/>
              </w:rPr>
              <w:t>Ther</w:t>
            </w:r>
            <w:proofErr w:type="spellEnd"/>
            <w:r w:rsidRPr="00577B2E">
              <w:rPr>
                <w:rFonts w:ascii="Arial Narrow" w:hAnsi="Arial Narrow"/>
                <w:sz w:val="20"/>
                <w:szCs w:val="20"/>
              </w:rPr>
              <w:t>. 2005; 23:303-312</w:t>
            </w:r>
          </w:p>
        </w:tc>
      </w:tr>
      <w:tr w:rsidR="004471FC" w:rsidRPr="00577B2E" w:rsidTr="007C7CC8">
        <w:tc>
          <w:tcPr>
            <w:tcW w:w="1269" w:type="dxa"/>
            <w:tcMar>
              <w:left w:w="28" w:type="dxa"/>
              <w:right w:w="28" w:type="dxa"/>
            </w:tcMar>
          </w:tcPr>
          <w:p w:rsidR="004471FC" w:rsidRPr="00577B2E" w:rsidRDefault="004471FC" w:rsidP="00C930AC">
            <w:pPr>
              <w:keepNext/>
              <w:keepLines/>
              <w:tabs>
                <w:tab w:val="left" w:pos="689"/>
              </w:tabs>
              <w:spacing w:before="0"/>
              <w:rPr>
                <w:rFonts w:ascii="Arial Narrow" w:hAnsi="Arial Narrow"/>
                <w:sz w:val="20"/>
                <w:szCs w:val="20"/>
              </w:rPr>
            </w:pPr>
            <w:r w:rsidRPr="00577B2E">
              <w:rPr>
                <w:rFonts w:ascii="Arial Narrow" w:hAnsi="Arial Narrow"/>
                <w:sz w:val="20"/>
                <w:szCs w:val="20"/>
              </w:rPr>
              <w:t>Bar-Meir 2003</w:t>
            </w:r>
          </w:p>
        </w:tc>
        <w:tc>
          <w:tcPr>
            <w:tcW w:w="5393" w:type="dxa"/>
            <w:tcMar>
              <w:left w:w="28" w:type="dxa"/>
              <w:right w:w="28" w:type="dxa"/>
            </w:tcMar>
          </w:tcPr>
          <w:p w:rsidR="004471FC" w:rsidRPr="00577B2E" w:rsidRDefault="004471FC" w:rsidP="00C930AC">
            <w:pPr>
              <w:keepNext/>
              <w:keepLines/>
              <w:spacing w:before="0"/>
              <w:rPr>
                <w:rFonts w:ascii="Arial Narrow" w:hAnsi="Arial Narrow"/>
                <w:sz w:val="20"/>
                <w:szCs w:val="20"/>
              </w:rPr>
            </w:pPr>
            <w:r w:rsidRPr="00577B2E">
              <w:rPr>
                <w:rFonts w:ascii="Arial Narrow" w:hAnsi="Arial Narrow"/>
                <w:sz w:val="20"/>
                <w:szCs w:val="20"/>
              </w:rPr>
              <w:t xml:space="preserve">S. Bar-Meir, H. H. </w:t>
            </w:r>
            <w:proofErr w:type="spellStart"/>
            <w:r w:rsidRPr="00577B2E">
              <w:rPr>
                <w:rFonts w:ascii="Arial Narrow" w:hAnsi="Arial Narrow"/>
                <w:sz w:val="20"/>
                <w:szCs w:val="20"/>
              </w:rPr>
              <w:t>Fidder</w:t>
            </w:r>
            <w:proofErr w:type="spellEnd"/>
            <w:r w:rsidRPr="00577B2E">
              <w:rPr>
                <w:rFonts w:ascii="Arial Narrow" w:hAnsi="Arial Narrow"/>
                <w:sz w:val="20"/>
                <w:szCs w:val="20"/>
              </w:rPr>
              <w:t xml:space="preserve">, M. </w:t>
            </w:r>
            <w:proofErr w:type="spellStart"/>
            <w:r w:rsidRPr="00577B2E">
              <w:rPr>
                <w:rFonts w:ascii="Arial Narrow" w:hAnsi="Arial Narrow"/>
                <w:sz w:val="20"/>
                <w:szCs w:val="20"/>
              </w:rPr>
              <w:t>Faszczyk</w:t>
            </w:r>
            <w:proofErr w:type="spellEnd"/>
            <w:r w:rsidRPr="00577B2E">
              <w:rPr>
                <w:rFonts w:ascii="Arial Narrow" w:hAnsi="Arial Narrow"/>
                <w:sz w:val="20"/>
                <w:szCs w:val="20"/>
              </w:rPr>
              <w:t xml:space="preserve"> et al. Budesonide foam vs. hydrocortisone acetate foam in the treatment of active ulcerative proctosigmoiditis.</w:t>
            </w:r>
          </w:p>
        </w:tc>
        <w:tc>
          <w:tcPr>
            <w:tcW w:w="2410" w:type="dxa"/>
            <w:tcMar>
              <w:left w:w="28" w:type="dxa"/>
              <w:right w:w="28" w:type="dxa"/>
            </w:tcMar>
          </w:tcPr>
          <w:p w:rsidR="004471FC" w:rsidRPr="00577B2E" w:rsidRDefault="004471FC" w:rsidP="00C930AC">
            <w:pPr>
              <w:keepNext/>
              <w:keepLines/>
              <w:spacing w:before="0"/>
              <w:rPr>
                <w:rFonts w:ascii="Arial Narrow" w:hAnsi="Arial Narrow"/>
                <w:sz w:val="20"/>
                <w:szCs w:val="20"/>
              </w:rPr>
            </w:pPr>
            <w:r w:rsidRPr="00577B2E">
              <w:rPr>
                <w:rFonts w:ascii="Arial Narrow" w:hAnsi="Arial Narrow"/>
                <w:sz w:val="20"/>
                <w:szCs w:val="20"/>
              </w:rPr>
              <w:t>Diseases of the Colon and Rectum 2003; 46 (7):929-936</w:t>
            </w:r>
          </w:p>
        </w:tc>
      </w:tr>
    </w:tbl>
    <w:p w:rsidR="004471FC" w:rsidRPr="007C7059" w:rsidRDefault="004471FC" w:rsidP="00C930AC">
      <w:pPr>
        <w:keepNext/>
        <w:keepLines/>
        <w:spacing w:before="0" w:after="0"/>
        <w:jc w:val="both"/>
        <w:rPr>
          <w:rFonts w:ascii="Arial Narrow" w:hAnsi="Arial Narrow"/>
          <w:iCs/>
          <w:sz w:val="20"/>
          <w:szCs w:val="20"/>
        </w:rPr>
      </w:pPr>
      <w:r w:rsidRPr="007C7059">
        <w:rPr>
          <w:rFonts w:ascii="Arial Narrow" w:hAnsi="Arial Narrow"/>
          <w:iCs/>
          <w:sz w:val="20"/>
          <w:szCs w:val="20"/>
        </w:rPr>
        <w:t>Source: p.26-27 of the submission</w:t>
      </w:r>
    </w:p>
    <w:p w:rsidR="00F82904" w:rsidRDefault="00F82904" w:rsidP="00C930AC">
      <w:pPr>
        <w:keepNext/>
        <w:keepLines/>
        <w:spacing w:before="0" w:after="0"/>
        <w:jc w:val="both"/>
        <w:rPr>
          <w:rFonts w:asciiTheme="minorBidi" w:hAnsiTheme="minorBidi"/>
          <w:iCs/>
          <w:sz w:val="18"/>
          <w:szCs w:val="20"/>
        </w:rPr>
      </w:pPr>
    </w:p>
    <w:p w:rsidR="00AA3262" w:rsidRPr="00AA3262" w:rsidRDefault="00AA3262" w:rsidP="00AA3262">
      <w:pPr>
        <w:spacing w:before="0" w:after="0"/>
        <w:ind w:left="709"/>
        <w:jc w:val="both"/>
        <w:rPr>
          <w:rFonts w:asciiTheme="minorBidi" w:hAnsiTheme="minorBidi"/>
          <w:iCs/>
          <w:sz w:val="18"/>
          <w:szCs w:val="20"/>
        </w:rPr>
      </w:pPr>
    </w:p>
    <w:p w:rsidR="004471FC" w:rsidRPr="00577B2E" w:rsidRDefault="004471FC" w:rsidP="00845ADB">
      <w:pPr>
        <w:pStyle w:val="ListParagraph"/>
        <w:numPr>
          <w:ilvl w:val="1"/>
          <w:numId w:val="3"/>
        </w:numPr>
        <w:spacing w:before="0" w:after="120"/>
        <w:jc w:val="both"/>
      </w:pPr>
      <w:r w:rsidRPr="00577B2E">
        <w:t>Key features of the i</w:t>
      </w:r>
      <w:r w:rsidR="001C2F79" w:rsidRPr="00577B2E">
        <w:t xml:space="preserve">ncluded trials are summarised </w:t>
      </w:r>
      <w:r w:rsidR="005B3127" w:rsidRPr="00577B2E">
        <w:t>in T</w:t>
      </w:r>
      <w:r w:rsidRPr="00577B2E">
        <w:t xml:space="preserve">able </w:t>
      </w:r>
      <w:r w:rsidR="008B2620">
        <w:t>3</w:t>
      </w:r>
      <w:r w:rsidRPr="00577B2E">
        <w:t xml:space="preserve">. </w:t>
      </w:r>
    </w:p>
    <w:p w:rsidR="008B2620" w:rsidRDefault="008B2620" w:rsidP="008B2620">
      <w:pPr>
        <w:pStyle w:val="Caption"/>
        <w:keepNext/>
      </w:pPr>
      <w:r>
        <w:t xml:space="preserve">Table </w:t>
      </w:r>
      <w:r w:rsidR="009C2BB0">
        <w:rPr>
          <w:noProof/>
        </w:rPr>
        <w:t>3</w:t>
      </w:r>
      <w:r w:rsidRPr="000738A9">
        <w:t>: Key features of the included evidence – indirect comparison</w:t>
      </w:r>
    </w:p>
    <w:tbl>
      <w:tblPr>
        <w:tblW w:w="4981"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59"/>
        <w:gridCol w:w="573"/>
        <w:gridCol w:w="1288"/>
        <w:gridCol w:w="860"/>
        <w:gridCol w:w="2133"/>
        <w:gridCol w:w="2358"/>
      </w:tblGrid>
      <w:tr w:rsidR="004471FC" w:rsidRPr="00577B2E" w:rsidTr="008B2620">
        <w:trPr>
          <w:tblHeader/>
        </w:trPr>
        <w:tc>
          <w:tcPr>
            <w:tcW w:w="1024" w:type="pct"/>
            <w:shd w:val="clear" w:color="auto" w:fill="auto"/>
            <w:vAlign w:val="center"/>
          </w:tcPr>
          <w:p w:rsidR="004471FC" w:rsidRPr="00577B2E" w:rsidRDefault="004471FC" w:rsidP="008E12B9">
            <w:pPr>
              <w:pStyle w:val="TableText"/>
              <w:spacing w:before="0" w:after="0"/>
              <w:jc w:val="both"/>
              <w:rPr>
                <w:b/>
              </w:rPr>
            </w:pPr>
            <w:r w:rsidRPr="00577B2E">
              <w:rPr>
                <w:b/>
              </w:rPr>
              <w:t>Trial</w:t>
            </w:r>
          </w:p>
        </w:tc>
        <w:tc>
          <w:tcPr>
            <w:tcW w:w="316" w:type="pct"/>
            <w:shd w:val="clear" w:color="auto" w:fill="auto"/>
            <w:vAlign w:val="center"/>
          </w:tcPr>
          <w:p w:rsidR="004471FC" w:rsidRPr="00577B2E" w:rsidRDefault="004471FC" w:rsidP="008E12B9">
            <w:pPr>
              <w:pStyle w:val="TableText"/>
              <w:spacing w:before="0" w:after="0"/>
              <w:jc w:val="center"/>
              <w:rPr>
                <w:b/>
              </w:rPr>
            </w:pPr>
            <w:r w:rsidRPr="00577B2E">
              <w:rPr>
                <w:b/>
              </w:rPr>
              <w:t>N</w:t>
            </w:r>
          </w:p>
        </w:tc>
        <w:tc>
          <w:tcPr>
            <w:tcW w:w="710" w:type="pct"/>
            <w:shd w:val="clear" w:color="auto" w:fill="auto"/>
            <w:vAlign w:val="center"/>
          </w:tcPr>
          <w:p w:rsidR="004471FC" w:rsidRPr="00577B2E" w:rsidRDefault="004471FC" w:rsidP="008E12B9">
            <w:pPr>
              <w:pStyle w:val="TableText"/>
              <w:spacing w:before="0" w:after="0"/>
              <w:jc w:val="center"/>
              <w:rPr>
                <w:b/>
              </w:rPr>
            </w:pPr>
            <w:r w:rsidRPr="00577B2E">
              <w:rPr>
                <w:b/>
              </w:rPr>
              <w:t>Design/ duration of follow-up</w:t>
            </w:r>
          </w:p>
        </w:tc>
        <w:tc>
          <w:tcPr>
            <w:tcW w:w="474" w:type="pct"/>
            <w:shd w:val="clear" w:color="auto" w:fill="auto"/>
            <w:vAlign w:val="center"/>
          </w:tcPr>
          <w:p w:rsidR="004471FC" w:rsidRPr="00577B2E" w:rsidRDefault="004471FC" w:rsidP="008E12B9">
            <w:pPr>
              <w:pStyle w:val="TableText"/>
              <w:spacing w:before="0" w:after="0"/>
              <w:jc w:val="center"/>
              <w:rPr>
                <w:b/>
              </w:rPr>
            </w:pPr>
            <w:r w:rsidRPr="00577B2E">
              <w:rPr>
                <w:b/>
              </w:rPr>
              <w:t>Within trial risk of bias</w:t>
            </w:r>
          </w:p>
        </w:tc>
        <w:tc>
          <w:tcPr>
            <w:tcW w:w="1176" w:type="pct"/>
            <w:shd w:val="clear" w:color="auto" w:fill="auto"/>
            <w:vAlign w:val="center"/>
          </w:tcPr>
          <w:p w:rsidR="004471FC" w:rsidRPr="00577B2E" w:rsidRDefault="004471FC" w:rsidP="008E12B9">
            <w:pPr>
              <w:pStyle w:val="TableText"/>
              <w:spacing w:before="0" w:after="0"/>
              <w:jc w:val="center"/>
              <w:rPr>
                <w:b/>
              </w:rPr>
            </w:pPr>
            <w:r w:rsidRPr="00577B2E">
              <w:rPr>
                <w:b/>
              </w:rPr>
              <w:t>Patient population</w:t>
            </w:r>
          </w:p>
        </w:tc>
        <w:tc>
          <w:tcPr>
            <w:tcW w:w="1301" w:type="pct"/>
            <w:shd w:val="clear" w:color="auto" w:fill="auto"/>
            <w:vAlign w:val="center"/>
          </w:tcPr>
          <w:p w:rsidR="004471FC" w:rsidRPr="00577B2E" w:rsidRDefault="004471FC" w:rsidP="008E12B9">
            <w:pPr>
              <w:pStyle w:val="TableText"/>
              <w:spacing w:before="0" w:after="0"/>
              <w:jc w:val="center"/>
              <w:rPr>
                <w:b/>
              </w:rPr>
            </w:pPr>
            <w:r w:rsidRPr="00577B2E">
              <w:rPr>
                <w:b/>
              </w:rPr>
              <w:t>Outcomes</w:t>
            </w:r>
          </w:p>
        </w:tc>
      </w:tr>
      <w:tr w:rsidR="004471FC" w:rsidRPr="00577B2E" w:rsidTr="007C7CC8">
        <w:tc>
          <w:tcPr>
            <w:tcW w:w="5000" w:type="pct"/>
            <w:gridSpan w:val="6"/>
            <w:shd w:val="clear" w:color="auto" w:fill="auto"/>
            <w:vAlign w:val="center"/>
          </w:tcPr>
          <w:p w:rsidR="004471FC" w:rsidRPr="00577B2E" w:rsidRDefault="004471FC" w:rsidP="008E12B9">
            <w:pPr>
              <w:pStyle w:val="TableText"/>
              <w:spacing w:before="0" w:after="0"/>
              <w:jc w:val="both"/>
              <w:rPr>
                <w:b/>
              </w:rPr>
            </w:pPr>
            <w:r w:rsidRPr="00577B2E">
              <w:rPr>
                <w:b/>
              </w:rPr>
              <w:t xml:space="preserve">Budesonide CR vs placebo </w:t>
            </w:r>
          </w:p>
        </w:tc>
      </w:tr>
      <w:tr w:rsidR="004471FC" w:rsidRPr="00577B2E" w:rsidTr="008B2620">
        <w:tc>
          <w:tcPr>
            <w:tcW w:w="1024" w:type="pct"/>
            <w:shd w:val="clear" w:color="auto" w:fill="auto"/>
            <w:vAlign w:val="center"/>
          </w:tcPr>
          <w:p w:rsidR="004471FC" w:rsidRPr="00577B2E" w:rsidRDefault="004471FC" w:rsidP="008E12B9">
            <w:pPr>
              <w:pStyle w:val="TableText"/>
              <w:spacing w:before="0" w:after="0"/>
              <w:jc w:val="both"/>
              <w:rPr>
                <w:rFonts w:ascii="Times" w:eastAsia="Times New Roman" w:hAnsi="Times" w:cs="Times New Roman"/>
              </w:rPr>
            </w:pPr>
            <w:r w:rsidRPr="00577B2E">
              <w:t xml:space="preserve">CORE I </w:t>
            </w:r>
          </w:p>
        </w:tc>
        <w:tc>
          <w:tcPr>
            <w:tcW w:w="316" w:type="pct"/>
            <w:shd w:val="clear" w:color="auto" w:fill="auto"/>
            <w:vAlign w:val="center"/>
          </w:tcPr>
          <w:p w:rsidR="004471FC" w:rsidRPr="00577B2E" w:rsidRDefault="004471FC" w:rsidP="008E12B9">
            <w:pPr>
              <w:pStyle w:val="TableText"/>
              <w:spacing w:before="0" w:after="0"/>
              <w:jc w:val="center"/>
              <w:rPr>
                <w:rFonts w:ascii="Times" w:eastAsia="Times New Roman" w:hAnsi="Times" w:cs="Times New Roman"/>
              </w:rPr>
            </w:pPr>
            <w:r w:rsidRPr="00577B2E">
              <w:t>256</w:t>
            </w:r>
          </w:p>
        </w:tc>
        <w:tc>
          <w:tcPr>
            <w:tcW w:w="710" w:type="pct"/>
            <w:shd w:val="clear" w:color="auto" w:fill="auto"/>
            <w:vAlign w:val="center"/>
          </w:tcPr>
          <w:p w:rsidR="004471FC" w:rsidRPr="00577B2E" w:rsidRDefault="004471FC" w:rsidP="008E12B9">
            <w:pPr>
              <w:pStyle w:val="TableText"/>
              <w:spacing w:before="0" w:after="0"/>
              <w:jc w:val="center"/>
              <w:rPr>
                <w:rFonts w:ascii="Times" w:eastAsia="Times New Roman" w:hAnsi="Times" w:cs="Times New Roman"/>
              </w:rPr>
            </w:pPr>
            <w:r w:rsidRPr="00577B2E">
              <w:t>R, DB, 8 weeks</w:t>
            </w:r>
          </w:p>
        </w:tc>
        <w:tc>
          <w:tcPr>
            <w:tcW w:w="474" w:type="pct"/>
            <w:shd w:val="clear" w:color="auto" w:fill="auto"/>
            <w:vAlign w:val="center"/>
          </w:tcPr>
          <w:p w:rsidR="004471FC" w:rsidRPr="00577B2E" w:rsidRDefault="004471FC" w:rsidP="008E12B9">
            <w:pPr>
              <w:pStyle w:val="TableText"/>
              <w:spacing w:before="0" w:after="0"/>
              <w:jc w:val="center"/>
              <w:rPr>
                <w:rFonts w:ascii="Times" w:eastAsia="Times New Roman" w:hAnsi="Times" w:cs="Times New Roman"/>
              </w:rPr>
            </w:pPr>
            <w:r w:rsidRPr="00577B2E">
              <w:t>Low</w:t>
            </w:r>
          </w:p>
        </w:tc>
        <w:tc>
          <w:tcPr>
            <w:tcW w:w="1176" w:type="pct"/>
            <w:shd w:val="clear" w:color="auto" w:fill="auto"/>
            <w:vAlign w:val="center"/>
          </w:tcPr>
          <w:p w:rsidR="004471FC" w:rsidRPr="00577B2E" w:rsidRDefault="004471FC" w:rsidP="008E12B9">
            <w:pPr>
              <w:pStyle w:val="TableText"/>
              <w:spacing w:before="0" w:after="0"/>
              <w:jc w:val="center"/>
              <w:rPr>
                <w:rFonts w:ascii="Times" w:eastAsia="Times New Roman" w:hAnsi="Times" w:cs="Times New Roman"/>
              </w:rPr>
            </w:pPr>
            <w:r w:rsidRPr="00577B2E">
              <w:t>Mild/Moderate UC</w:t>
            </w:r>
          </w:p>
        </w:tc>
        <w:tc>
          <w:tcPr>
            <w:tcW w:w="1301" w:type="pct"/>
            <w:vMerge w:val="restart"/>
            <w:shd w:val="clear" w:color="auto" w:fill="auto"/>
            <w:vAlign w:val="center"/>
          </w:tcPr>
          <w:p w:rsidR="004471FC" w:rsidRPr="00577B2E" w:rsidRDefault="004471FC" w:rsidP="008E12B9">
            <w:pPr>
              <w:pStyle w:val="TableText"/>
              <w:spacing w:before="0" w:after="0"/>
              <w:jc w:val="center"/>
            </w:pPr>
            <w:r w:rsidRPr="00577B2E">
              <w:t>Remission</w:t>
            </w:r>
            <w:r w:rsidR="005B3127" w:rsidRPr="00577B2E">
              <w:t>^</w:t>
            </w:r>
            <w:r w:rsidRPr="00577B2E">
              <w:t xml:space="preserve"> &amp;</w:t>
            </w:r>
          </w:p>
          <w:p w:rsidR="004471FC" w:rsidRPr="00577B2E" w:rsidRDefault="004471FC" w:rsidP="008E12B9">
            <w:pPr>
              <w:pStyle w:val="TableText"/>
              <w:spacing w:before="0" w:after="0"/>
              <w:jc w:val="center"/>
              <w:rPr>
                <w:rFonts w:ascii="Times" w:eastAsia="Times New Roman" w:hAnsi="Times" w:cs="Times New Roman"/>
              </w:rPr>
            </w:pPr>
            <w:r w:rsidRPr="00577B2E">
              <w:t>Mucosal appearance</w:t>
            </w:r>
          </w:p>
        </w:tc>
      </w:tr>
      <w:tr w:rsidR="004471FC" w:rsidRPr="00577B2E" w:rsidTr="008B2620">
        <w:tc>
          <w:tcPr>
            <w:tcW w:w="1024" w:type="pct"/>
            <w:shd w:val="clear" w:color="auto" w:fill="auto"/>
            <w:vAlign w:val="center"/>
          </w:tcPr>
          <w:p w:rsidR="004471FC" w:rsidRPr="00577B2E" w:rsidRDefault="004471FC" w:rsidP="008E12B9">
            <w:pPr>
              <w:pStyle w:val="TableText"/>
              <w:spacing w:before="0" w:after="0"/>
              <w:jc w:val="both"/>
              <w:rPr>
                <w:rFonts w:ascii="Times" w:eastAsia="Times New Roman" w:hAnsi="Times" w:cs="Times New Roman"/>
              </w:rPr>
            </w:pPr>
            <w:r w:rsidRPr="00577B2E">
              <w:t>CORE II</w:t>
            </w:r>
          </w:p>
        </w:tc>
        <w:tc>
          <w:tcPr>
            <w:tcW w:w="316" w:type="pct"/>
            <w:shd w:val="clear" w:color="auto" w:fill="auto"/>
            <w:vAlign w:val="center"/>
          </w:tcPr>
          <w:p w:rsidR="004471FC" w:rsidRPr="00577B2E" w:rsidRDefault="004471FC" w:rsidP="008E12B9">
            <w:pPr>
              <w:pStyle w:val="TableText"/>
              <w:spacing w:before="0" w:after="0"/>
              <w:jc w:val="center"/>
              <w:rPr>
                <w:rFonts w:ascii="Times" w:eastAsia="Times New Roman" w:hAnsi="Times" w:cs="Times New Roman"/>
              </w:rPr>
            </w:pPr>
            <w:r w:rsidRPr="00577B2E">
              <w:t>257</w:t>
            </w:r>
          </w:p>
        </w:tc>
        <w:tc>
          <w:tcPr>
            <w:tcW w:w="710" w:type="pct"/>
            <w:shd w:val="clear" w:color="auto" w:fill="auto"/>
            <w:vAlign w:val="center"/>
          </w:tcPr>
          <w:p w:rsidR="004471FC" w:rsidRPr="00577B2E" w:rsidRDefault="004471FC" w:rsidP="008E12B9">
            <w:pPr>
              <w:pStyle w:val="TableText"/>
              <w:spacing w:before="0" w:after="0"/>
              <w:jc w:val="center"/>
              <w:rPr>
                <w:rFonts w:ascii="Times" w:eastAsia="Times New Roman" w:hAnsi="Times" w:cs="Times New Roman"/>
              </w:rPr>
            </w:pPr>
            <w:r w:rsidRPr="00577B2E">
              <w:t>R, DB, 8 weeks</w:t>
            </w:r>
          </w:p>
        </w:tc>
        <w:tc>
          <w:tcPr>
            <w:tcW w:w="474" w:type="pct"/>
            <w:shd w:val="clear" w:color="auto" w:fill="auto"/>
            <w:vAlign w:val="center"/>
          </w:tcPr>
          <w:p w:rsidR="004471FC" w:rsidRPr="00577B2E" w:rsidRDefault="004471FC" w:rsidP="008E12B9">
            <w:pPr>
              <w:pStyle w:val="TableText"/>
              <w:spacing w:before="0" w:after="0"/>
              <w:jc w:val="center"/>
              <w:rPr>
                <w:rFonts w:ascii="Times" w:eastAsia="Times New Roman" w:hAnsi="Times" w:cs="Times New Roman"/>
              </w:rPr>
            </w:pPr>
            <w:r w:rsidRPr="00577B2E">
              <w:t>Low</w:t>
            </w:r>
          </w:p>
        </w:tc>
        <w:tc>
          <w:tcPr>
            <w:tcW w:w="1176" w:type="pct"/>
            <w:shd w:val="clear" w:color="auto" w:fill="auto"/>
            <w:vAlign w:val="center"/>
          </w:tcPr>
          <w:p w:rsidR="004471FC" w:rsidRPr="00577B2E" w:rsidRDefault="004471FC" w:rsidP="008E12B9">
            <w:pPr>
              <w:pStyle w:val="TableText"/>
              <w:spacing w:before="0" w:after="0"/>
              <w:jc w:val="center"/>
              <w:rPr>
                <w:rFonts w:ascii="Times" w:eastAsia="Times New Roman" w:hAnsi="Times" w:cs="Times New Roman"/>
              </w:rPr>
            </w:pPr>
            <w:r w:rsidRPr="00577B2E">
              <w:t>Mild/Moderate UC</w:t>
            </w:r>
          </w:p>
        </w:tc>
        <w:tc>
          <w:tcPr>
            <w:tcW w:w="1301" w:type="pct"/>
            <w:vMerge/>
            <w:shd w:val="clear" w:color="auto" w:fill="auto"/>
            <w:vAlign w:val="center"/>
          </w:tcPr>
          <w:p w:rsidR="004471FC" w:rsidRPr="00577B2E" w:rsidRDefault="004471FC" w:rsidP="008E12B9">
            <w:pPr>
              <w:pStyle w:val="TableText"/>
              <w:spacing w:before="0" w:after="0"/>
              <w:jc w:val="center"/>
              <w:rPr>
                <w:rFonts w:ascii="Times" w:eastAsia="Times New Roman" w:hAnsi="Times" w:cs="Times New Roman"/>
              </w:rPr>
            </w:pPr>
          </w:p>
        </w:tc>
      </w:tr>
      <w:tr w:rsidR="004471FC" w:rsidRPr="00577B2E" w:rsidTr="008B2620">
        <w:tc>
          <w:tcPr>
            <w:tcW w:w="1024" w:type="pct"/>
            <w:shd w:val="clear" w:color="auto" w:fill="auto"/>
            <w:vAlign w:val="center"/>
          </w:tcPr>
          <w:p w:rsidR="004471FC" w:rsidRPr="00577B2E" w:rsidRDefault="004471FC" w:rsidP="008E12B9">
            <w:pPr>
              <w:pStyle w:val="TableText"/>
              <w:spacing w:before="0" w:after="0"/>
              <w:jc w:val="both"/>
              <w:rPr>
                <w:rFonts w:ascii="Times" w:eastAsia="Times New Roman" w:hAnsi="Times" w:cs="Times New Roman"/>
              </w:rPr>
            </w:pPr>
            <w:r w:rsidRPr="00577B2E">
              <w:t>CONTRIBUTE</w:t>
            </w:r>
          </w:p>
        </w:tc>
        <w:tc>
          <w:tcPr>
            <w:tcW w:w="316" w:type="pct"/>
            <w:shd w:val="clear" w:color="auto" w:fill="auto"/>
            <w:vAlign w:val="center"/>
          </w:tcPr>
          <w:p w:rsidR="004471FC" w:rsidRPr="00577B2E" w:rsidRDefault="004471FC" w:rsidP="008E12B9">
            <w:pPr>
              <w:pStyle w:val="TableText"/>
              <w:spacing w:before="0" w:after="0"/>
              <w:jc w:val="center"/>
              <w:rPr>
                <w:rFonts w:ascii="Times" w:eastAsia="Times New Roman" w:hAnsi="Times" w:cs="Times New Roman"/>
              </w:rPr>
            </w:pPr>
            <w:r w:rsidRPr="00577B2E">
              <w:t>458</w:t>
            </w:r>
          </w:p>
        </w:tc>
        <w:tc>
          <w:tcPr>
            <w:tcW w:w="710" w:type="pct"/>
            <w:shd w:val="clear" w:color="auto" w:fill="auto"/>
            <w:vAlign w:val="center"/>
          </w:tcPr>
          <w:p w:rsidR="004471FC" w:rsidRPr="00577B2E" w:rsidRDefault="004471FC" w:rsidP="008E12B9">
            <w:pPr>
              <w:pStyle w:val="TableText"/>
              <w:spacing w:before="0" w:after="0"/>
              <w:jc w:val="center"/>
            </w:pPr>
            <w:r w:rsidRPr="00577B2E">
              <w:t>R, DB, 8 weeks</w:t>
            </w:r>
          </w:p>
        </w:tc>
        <w:tc>
          <w:tcPr>
            <w:tcW w:w="474" w:type="pct"/>
            <w:shd w:val="clear" w:color="auto" w:fill="auto"/>
            <w:vAlign w:val="center"/>
          </w:tcPr>
          <w:p w:rsidR="004471FC" w:rsidRPr="00577B2E" w:rsidRDefault="004471FC" w:rsidP="008E12B9">
            <w:pPr>
              <w:pStyle w:val="TableText"/>
              <w:spacing w:before="0" w:after="0"/>
              <w:jc w:val="center"/>
              <w:rPr>
                <w:rFonts w:ascii="Times" w:eastAsia="Times New Roman" w:hAnsi="Times" w:cs="Times New Roman"/>
              </w:rPr>
            </w:pPr>
            <w:r w:rsidRPr="00577B2E">
              <w:t>Low</w:t>
            </w:r>
          </w:p>
        </w:tc>
        <w:tc>
          <w:tcPr>
            <w:tcW w:w="1176" w:type="pct"/>
            <w:shd w:val="clear" w:color="auto" w:fill="auto"/>
            <w:vAlign w:val="center"/>
          </w:tcPr>
          <w:p w:rsidR="004471FC" w:rsidRPr="00577B2E" w:rsidRDefault="004471FC" w:rsidP="008E12B9">
            <w:pPr>
              <w:pStyle w:val="TableText"/>
              <w:spacing w:before="0" w:after="0"/>
              <w:jc w:val="center"/>
              <w:rPr>
                <w:rFonts w:ascii="Times" w:eastAsia="Times New Roman" w:hAnsi="Times" w:cs="Times New Roman"/>
              </w:rPr>
            </w:pPr>
            <w:r w:rsidRPr="00577B2E">
              <w:t>Mild/Moderate UC uncontrolled by 5-ASA</w:t>
            </w:r>
          </w:p>
        </w:tc>
        <w:tc>
          <w:tcPr>
            <w:tcW w:w="1301" w:type="pct"/>
            <w:vMerge/>
            <w:shd w:val="clear" w:color="auto" w:fill="auto"/>
            <w:vAlign w:val="center"/>
          </w:tcPr>
          <w:p w:rsidR="004471FC" w:rsidRPr="00577B2E" w:rsidRDefault="004471FC" w:rsidP="008E12B9">
            <w:pPr>
              <w:pStyle w:val="TableText"/>
              <w:spacing w:before="0" w:after="0"/>
              <w:jc w:val="center"/>
              <w:rPr>
                <w:rFonts w:ascii="Times" w:eastAsia="Times New Roman" w:hAnsi="Times" w:cs="Times New Roman"/>
              </w:rPr>
            </w:pPr>
          </w:p>
        </w:tc>
      </w:tr>
      <w:tr w:rsidR="004471FC" w:rsidRPr="00577B2E" w:rsidTr="007C7CC8">
        <w:tc>
          <w:tcPr>
            <w:tcW w:w="5000" w:type="pct"/>
            <w:gridSpan w:val="6"/>
            <w:shd w:val="clear" w:color="auto" w:fill="auto"/>
            <w:vAlign w:val="center"/>
          </w:tcPr>
          <w:p w:rsidR="004471FC" w:rsidRPr="00577B2E" w:rsidRDefault="004471FC" w:rsidP="008E12B9">
            <w:pPr>
              <w:pStyle w:val="TableText"/>
              <w:spacing w:before="0" w:after="0"/>
              <w:jc w:val="both"/>
              <w:rPr>
                <w:rFonts w:ascii="Times" w:eastAsia="Times New Roman" w:hAnsi="Times" w:cs="Times New Roman"/>
                <w:b/>
              </w:rPr>
            </w:pPr>
            <w:r w:rsidRPr="00577B2E">
              <w:rPr>
                <w:b/>
              </w:rPr>
              <w:t>Budesonide foam enema vs placebo</w:t>
            </w:r>
          </w:p>
        </w:tc>
      </w:tr>
      <w:tr w:rsidR="004471FC" w:rsidRPr="00577B2E" w:rsidTr="008B2620">
        <w:tc>
          <w:tcPr>
            <w:tcW w:w="1024" w:type="pct"/>
            <w:shd w:val="clear" w:color="auto" w:fill="auto"/>
            <w:vAlign w:val="center"/>
          </w:tcPr>
          <w:p w:rsidR="004471FC" w:rsidRPr="00577B2E" w:rsidRDefault="004471FC" w:rsidP="008E12B9">
            <w:pPr>
              <w:pStyle w:val="TableText"/>
              <w:spacing w:before="0" w:after="0"/>
              <w:jc w:val="both"/>
              <w:rPr>
                <w:rFonts w:ascii="Times" w:eastAsia="Times New Roman" w:hAnsi="Times" w:cs="Times New Roman"/>
              </w:rPr>
            </w:pPr>
            <w:proofErr w:type="spellStart"/>
            <w:r w:rsidRPr="00577B2E">
              <w:t>Naganuma</w:t>
            </w:r>
            <w:proofErr w:type="spellEnd"/>
            <w:r w:rsidRPr="00577B2E">
              <w:t xml:space="preserve"> 2016</w:t>
            </w:r>
          </w:p>
        </w:tc>
        <w:tc>
          <w:tcPr>
            <w:tcW w:w="316" w:type="pct"/>
            <w:shd w:val="clear" w:color="auto" w:fill="auto"/>
            <w:vAlign w:val="center"/>
          </w:tcPr>
          <w:p w:rsidR="004471FC" w:rsidRPr="00577B2E" w:rsidRDefault="004471FC" w:rsidP="008E12B9">
            <w:pPr>
              <w:pStyle w:val="TableText"/>
              <w:spacing w:before="0" w:after="0"/>
              <w:jc w:val="center"/>
            </w:pPr>
            <w:r w:rsidRPr="00577B2E">
              <w:t>109</w:t>
            </w:r>
          </w:p>
        </w:tc>
        <w:tc>
          <w:tcPr>
            <w:tcW w:w="710" w:type="pct"/>
            <w:shd w:val="clear" w:color="auto" w:fill="auto"/>
            <w:vAlign w:val="center"/>
          </w:tcPr>
          <w:p w:rsidR="004471FC" w:rsidRPr="00577B2E" w:rsidRDefault="004471FC" w:rsidP="008E12B9">
            <w:pPr>
              <w:pStyle w:val="TableText"/>
              <w:spacing w:before="0" w:after="0"/>
              <w:jc w:val="center"/>
            </w:pPr>
            <w:r w:rsidRPr="00577B2E">
              <w:t>R, DB, 6 weeks</w:t>
            </w:r>
          </w:p>
        </w:tc>
        <w:tc>
          <w:tcPr>
            <w:tcW w:w="474" w:type="pct"/>
            <w:shd w:val="clear" w:color="auto" w:fill="auto"/>
            <w:vAlign w:val="center"/>
          </w:tcPr>
          <w:p w:rsidR="004471FC" w:rsidRPr="00577B2E" w:rsidRDefault="004471FC" w:rsidP="008E12B9">
            <w:pPr>
              <w:pStyle w:val="TableText"/>
              <w:spacing w:before="0" w:after="0"/>
              <w:jc w:val="center"/>
            </w:pPr>
            <w:r w:rsidRPr="00577B2E">
              <w:t>Low</w:t>
            </w:r>
          </w:p>
        </w:tc>
        <w:tc>
          <w:tcPr>
            <w:tcW w:w="1176" w:type="pct"/>
            <w:shd w:val="clear" w:color="auto" w:fill="auto"/>
            <w:vAlign w:val="center"/>
          </w:tcPr>
          <w:p w:rsidR="004471FC" w:rsidRPr="00577B2E" w:rsidRDefault="004471FC" w:rsidP="008E12B9">
            <w:pPr>
              <w:pStyle w:val="TableText"/>
              <w:spacing w:before="0" w:after="0"/>
              <w:jc w:val="center"/>
            </w:pPr>
            <w:r w:rsidRPr="00577B2E">
              <w:t>Mild/Moderate UC</w:t>
            </w:r>
          </w:p>
        </w:tc>
        <w:tc>
          <w:tcPr>
            <w:tcW w:w="1301" w:type="pct"/>
            <w:vMerge w:val="restart"/>
            <w:shd w:val="clear" w:color="auto" w:fill="auto"/>
            <w:vAlign w:val="center"/>
          </w:tcPr>
          <w:p w:rsidR="004471FC" w:rsidRPr="00577B2E" w:rsidRDefault="004471FC" w:rsidP="008E12B9">
            <w:pPr>
              <w:pStyle w:val="TableText"/>
              <w:spacing w:before="0" w:after="0"/>
              <w:jc w:val="center"/>
            </w:pPr>
            <w:r w:rsidRPr="00577B2E">
              <w:t>Remission</w:t>
            </w:r>
            <w:r w:rsidR="005B3127" w:rsidRPr="00577B2E">
              <w:t>^</w:t>
            </w:r>
            <w:r w:rsidRPr="00577B2E">
              <w:t xml:space="preserve"> &amp;</w:t>
            </w:r>
          </w:p>
          <w:p w:rsidR="004471FC" w:rsidRPr="00577B2E" w:rsidRDefault="004471FC" w:rsidP="008E12B9">
            <w:pPr>
              <w:pStyle w:val="TableText"/>
              <w:spacing w:before="0" w:after="0"/>
              <w:jc w:val="center"/>
            </w:pPr>
            <w:r w:rsidRPr="00577B2E">
              <w:t>Mucosal appearance</w:t>
            </w:r>
          </w:p>
        </w:tc>
      </w:tr>
      <w:tr w:rsidR="004471FC" w:rsidRPr="00577B2E" w:rsidTr="008B2620">
        <w:tc>
          <w:tcPr>
            <w:tcW w:w="1024" w:type="pct"/>
            <w:shd w:val="clear" w:color="auto" w:fill="auto"/>
            <w:vAlign w:val="center"/>
          </w:tcPr>
          <w:p w:rsidR="004471FC" w:rsidRPr="00577B2E" w:rsidRDefault="004471FC" w:rsidP="008E12B9">
            <w:pPr>
              <w:pStyle w:val="TableText"/>
              <w:spacing w:before="0" w:after="0"/>
              <w:jc w:val="both"/>
            </w:pPr>
            <w:r w:rsidRPr="00577B2E">
              <w:t>BUCF3001/ BUCF3002 (</w:t>
            </w:r>
            <w:proofErr w:type="spellStart"/>
            <w:r w:rsidRPr="00577B2E">
              <w:t>Sandborn</w:t>
            </w:r>
            <w:proofErr w:type="spellEnd"/>
            <w:r w:rsidRPr="00577B2E">
              <w:t xml:space="preserve"> 2015)</w:t>
            </w:r>
          </w:p>
        </w:tc>
        <w:tc>
          <w:tcPr>
            <w:tcW w:w="316" w:type="pct"/>
            <w:shd w:val="clear" w:color="auto" w:fill="auto"/>
            <w:vAlign w:val="center"/>
          </w:tcPr>
          <w:p w:rsidR="004471FC" w:rsidRPr="00577B2E" w:rsidRDefault="004471FC" w:rsidP="008E12B9">
            <w:pPr>
              <w:pStyle w:val="TableText"/>
              <w:spacing w:before="0" w:after="0"/>
              <w:jc w:val="center"/>
            </w:pPr>
            <w:r w:rsidRPr="00577B2E">
              <w:t>165</w:t>
            </w:r>
          </w:p>
        </w:tc>
        <w:tc>
          <w:tcPr>
            <w:tcW w:w="710" w:type="pct"/>
            <w:shd w:val="clear" w:color="auto" w:fill="auto"/>
            <w:vAlign w:val="center"/>
          </w:tcPr>
          <w:p w:rsidR="004471FC" w:rsidRPr="00577B2E" w:rsidRDefault="004471FC" w:rsidP="008E12B9">
            <w:pPr>
              <w:pStyle w:val="TableText"/>
              <w:spacing w:before="0" w:after="0"/>
              <w:jc w:val="center"/>
            </w:pPr>
            <w:r w:rsidRPr="00577B2E">
              <w:t>R, DB, 6 weeks</w:t>
            </w:r>
          </w:p>
        </w:tc>
        <w:tc>
          <w:tcPr>
            <w:tcW w:w="474" w:type="pct"/>
            <w:shd w:val="clear" w:color="auto" w:fill="auto"/>
            <w:vAlign w:val="center"/>
          </w:tcPr>
          <w:p w:rsidR="004471FC" w:rsidRPr="00577B2E" w:rsidRDefault="004471FC" w:rsidP="008E12B9">
            <w:pPr>
              <w:pStyle w:val="TableText"/>
              <w:spacing w:before="0" w:after="0"/>
              <w:jc w:val="center"/>
            </w:pPr>
            <w:r w:rsidRPr="00577B2E">
              <w:t>Low</w:t>
            </w:r>
          </w:p>
        </w:tc>
        <w:tc>
          <w:tcPr>
            <w:tcW w:w="1176" w:type="pct"/>
            <w:shd w:val="clear" w:color="auto" w:fill="auto"/>
            <w:vAlign w:val="center"/>
          </w:tcPr>
          <w:p w:rsidR="004471FC" w:rsidRPr="00577B2E" w:rsidRDefault="004471FC" w:rsidP="008E12B9">
            <w:pPr>
              <w:pStyle w:val="TableText"/>
              <w:spacing w:before="0" w:after="0"/>
              <w:jc w:val="center"/>
            </w:pPr>
            <w:r w:rsidRPr="00577B2E">
              <w:t>Mild/Moderate UC</w:t>
            </w:r>
          </w:p>
        </w:tc>
        <w:tc>
          <w:tcPr>
            <w:tcW w:w="1301" w:type="pct"/>
            <w:vMerge/>
            <w:shd w:val="clear" w:color="auto" w:fill="auto"/>
            <w:vAlign w:val="center"/>
          </w:tcPr>
          <w:p w:rsidR="004471FC" w:rsidRPr="00577B2E" w:rsidRDefault="004471FC" w:rsidP="008E12B9">
            <w:pPr>
              <w:pStyle w:val="TableText"/>
              <w:spacing w:before="0" w:after="0"/>
              <w:jc w:val="center"/>
            </w:pPr>
          </w:p>
        </w:tc>
      </w:tr>
    </w:tbl>
    <w:p w:rsidR="004471FC" w:rsidRPr="00577B2E" w:rsidRDefault="004471FC" w:rsidP="007C7CC8">
      <w:pPr>
        <w:spacing w:before="0" w:after="0"/>
        <w:jc w:val="both"/>
        <w:rPr>
          <w:rFonts w:ascii="Arial Narrow" w:hAnsi="Arial Narrow"/>
          <w:iCs/>
          <w:sz w:val="18"/>
          <w:szCs w:val="20"/>
        </w:rPr>
      </w:pPr>
      <w:r w:rsidRPr="00577B2E">
        <w:rPr>
          <w:rFonts w:ascii="Arial Narrow" w:hAnsi="Arial Narrow"/>
          <w:iCs/>
          <w:sz w:val="18"/>
          <w:szCs w:val="20"/>
        </w:rPr>
        <w:t>DB=double blind; MC=multi-centre; OL=open label; OS=overall survival; PFS=progression-free survival; R=randomised, UC = ulcerative colitis, 5-ASA = 5-aminosalicylic acid</w:t>
      </w:r>
    </w:p>
    <w:p w:rsidR="005B3127" w:rsidRPr="00577B2E" w:rsidRDefault="005B3127" w:rsidP="007C7CC8">
      <w:pPr>
        <w:pStyle w:val="TableFooter"/>
        <w:spacing w:after="0"/>
      </w:pPr>
      <w:r w:rsidRPr="00577B2E">
        <w:t>^</w:t>
      </w:r>
      <w:r w:rsidRPr="00577B2E">
        <w:tab/>
        <w:t>Remission was defined differently in the two sets of trials.</w:t>
      </w:r>
    </w:p>
    <w:p w:rsidR="004471FC" w:rsidRPr="00577B2E" w:rsidRDefault="004471FC" w:rsidP="007C7CC8">
      <w:pPr>
        <w:spacing w:before="0" w:after="0"/>
        <w:jc w:val="both"/>
        <w:rPr>
          <w:rFonts w:ascii="Arial Narrow" w:hAnsi="Arial Narrow"/>
          <w:iCs/>
          <w:sz w:val="18"/>
          <w:szCs w:val="20"/>
        </w:rPr>
      </w:pPr>
      <w:r w:rsidRPr="00577B2E">
        <w:rPr>
          <w:rFonts w:ascii="Arial Narrow" w:hAnsi="Arial Narrow"/>
          <w:iCs/>
          <w:sz w:val="18"/>
          <w:szCs w:val="20"/>
        </w:rPr>
        <w:t>Source: compiled during the evaluation</w:t>
      </w:r>
    </w:p>
    <w:p w:rsidR="004471FC" w:rsidRPr="00577B2E" w:rsidRDefault="004471FC" w:rsidP="004471FC">
      <w:pPr>
        <w:spacing w:before="0" w:after="0"/>
        <w:jc w:val="both"/>
        <w:rPr>
          <w:rFonts w:asciiTheme="minorBidi" w:hAnsiTheme="minorBidi"/>
          <w:sz w:val="18"/>
          <w:szCs w:val="20"/>
        </w:rPr>
      </w:pPr>
    </w:p>
    <w:p w:rsidR="004471FC" w:rsidRPr="00577B2E" w:rsidRDefault="004471FC" w:rsidP="00845ADB">
      <w:pPr>
        <w:pStyle w:val="ListParagraph"/>
        <w:numPr>
          <w:ilvl w:val="1"/>
          <w:numId w:val="3"/>
        </w:numPr>
        <w:spacing w:before="0" w:after="120"/>
        <w:jc w:val="both"/>
      </w:pPr>
      <w:r w:rsidRPr="00577B2E">
        <w:t>The dosage regimens used in th</w:t>
      </w:r>
      <w:r w:rsidR="007B4B5F" w:rsidRPr="00577B2E">
        <w:t xml:space="preserve">e budesonide CR trials were </w:t>
      </w:r>
      <w:r w:rsidRPr="00577B2E">
        <w:t>consistent with the dosage recommende</w:t>
      </w:r>
      <w:r w:rsidR="007B4B5F" w:rsidRPr="00577B2E">
        <w:t>d in budesonide CR’s approved PI</w:t>
      </w:r>
      <w:r w:rsidRPr="00577B2E">
        <w:t xml:space="preserve"> (</w:t>
      </w:r>
      <w:r w:rsidR="00656AFB" w:rsidRPr="00577B2E">
        <w:t>i.e.</w:t>
      </w:r>
      <w:r w:rsidRPr="00577B2E">
        <w:t>, 9</w:t>
      </w:r>
      <w:r w:rsidR="00F3128F">
        <w:t xml:space="preserve"> </w:t>
      </w:r>
      <w:r w:rsidRPr="00577B2E">
        <w:t xml:space="preserve">mg once daily for 8 weeks).  For the budesonide foam enema trials, while the dosage regimen used in </w:t>
      </w:r>
      <w:proofErr w:type="spellStart"/>
      <w:r w:rsidRPr="00577B2E">
        <w:t>Naganuma</w:t>
      </w:r>
      <w:proofErr w:type="spellEnd"/>
      <w:r w:rsidRPr="00577B2E">
        <w:t xml:space="preserve"> 2016 (</w:t>
      </w:r>
      <w:r w:rsidR="00656AFB" w:rsidRPr="00577B2E">
        <w:t>i.e.</w:t>
      </w:r>
      <w:r w:rsidRPr="00577B2E">
        <w:t xml:space="preserve"> 2mg daily for 6 weeks) was consistent with the approved Australian dose of budesonide foam enema of 2mg daily for 6-8 weeks, the dosage used in BUCF3001 and 3002 of 2mg twice daily for 2 weeks then once daily for 4 weeks differed.</w:t>
      </w:r>
    </w:p>
    <w:p w:rsidR="004471FC" w:rsidRPr="00577B2E" w:rsidRDefault="005838B5" w:rsidP="00845ADB">
      <w:pPr>
        <w:pStyle w:val="ListParagraph"/>
        <w:numPr>
          <w:ilvl w:val="1"/>
          <w:numId w:val="3"/>
        </w:numPr>
        <w:spacing w:before="0" w:after="120"/>
        <w:jc w:val="both"/>
      </w:pPr>
      <w:r w:rsidRPr="00577B2E">
        <w:t xml:space="preserve">There </w:t>
      </w:r>
      <w:r w:rsidR="00A760D1">
        <w:t xml:space="preserve">are </w:t>
      </w:r>
      <w:r w:rsidRPr="00577B2E">
        <w:t>a number of differences</w:t>
      </w:r>
      <w:r w:rsidR="00876FDC" w:rsidRPr="00577B2E">
        <w:t xml:space="preserve"> between the two sets of trials:</w:t>
      </w:r>
    </w:p>
    <w:p w:rsidR="004471FC" w:rsidRPr="00577B2E" w:rsidRDefault="009F681E" w:rsidP="00845ADB">
      <w:pPr>
        <w:pStyle w:val="ListParagraph"/>
        <w:numPr>
          <w:ilvl w:val="0"/>
          <w:numId w:val="31"/>
        </w:numPr>
        <w:spacing w:before="0" w:after="120"/>
        <w:ind w:left="993" w:hanging="284"/>
        <w:jc w:val="both"/>
      </w:pPr>
      <w:r w:rsidRPr="00577B2E">
        <w:rPr>
          <w:u w:val="single"/>
        </w:rPr>
        <w:t>Different scoring algorithms for disease severity:</w:t>
      </w:r>
      <w:r w:rsidRPr="00577B2E">
        <w:t xml:space="preserve">  </w:t>
      </w:r>
      <w:r w:rsidR="004471FC" w:rsidRPr="00577B2E">
        <w:t xml:space="preserve">The definition of mild to moderate </w:t>
      </w:r>
      <w:r w:rsidR="0078582A" w:rsidRPr="00577B2E">
        <w:t xml:space="preserve">UC </w:t>
      </w:r>
      <w:r w:rsidR="004471FC" w:rsidRPr="00577B2E">
        <w:t xml:space="preserve">adopted for the inclusion criteria differed both with respect to </w:t>
      </w:r>
      <w:proofErr w:type="spellStart"/>
      <w:r w:rsidR="004471FC" w:rsidRPr="00577B2E">
        <w:t>i</w:t>
      </w:r>
      <w:proofErr w:type="spellEnd"/>
      <w:r w:rsidR="004471FC" w:rsidRPr="00577B2E">
        <w:t>) the disease scoring algorithms used (</w:t>
      </w:r>
      <w:r w:rsidR="00656AFB" w:rsidRPr="00577B2E">
        <w:t>i.e.</w:t>
      </w:r>
      <w:r w:rsidR="004471FC" w:rsidRPr="00577B2E">
        <w:t>, modified Mayo score (</w:t>
      </w:r>
      <w:proofErr w:type="spellStart"/>
      <w:r w:rsidR="004471FC" w:rsidRPr="00577B2E">
        <w:t>mMAYO</w:t>
      </w:r>
      <w:proofErr w:type="spellEnd"/>
      <w:r w:rsidR="004471FC" w:rsidRPr="00577B2E">
        <w:t xml:space="preserve">) for the budesonide foam trials and the </w:t>
      </w:r>
      <w:r w:rsidR="00E64AA8" w:rsidRPr="00577B2E">
        <w:t>UC</w:t>
      </w:r>
      <w:r w:rsidR="004471FC" w:rsidRPr="00577B2E">
        <w:t xml:space="preserve"> disease activity indexes (UCDAI) for the budesonide CR trials), and ii) the cut off values used. </w:t>
      </w:r>
      <w:r w:rsidR="00152850" w:rsidRPr="00577B2E">
        <w:t xml:space="preserve"> However</w:t>
      </w:r>
      <w:r w:rsidR="00443945" w:rsidRPr="00577B2E">
        <w:t xml:space="preserve">, </w:t>
      </w:r>
      <w:r w:rsidR="00C81015">
        <w:t xml:space="preserve">the </w:t>
      </w:r>
      <w:r w:rsidR="0078582A" w:rsidRPr="00577B2E">
        <w:t xml:space="preserve">UCDAI and the </w:t>
      </w:r>
      <w:proofErr w:type="spellStart"/>
      <w:r w:rsidR="0078582A" w:rsidRPr="00577B2E">
        <w:t>mMAYO</w:t>
      </w:r>
      <w:proofErr w:type="spellEnd"/>
      <w:r w:rsidR="0078582A" w:rsidRPr="00577B2E">
        <w:t xml:space="preserve"> </w:t>
      </w:r>
      <w:r w:rsidR="00443945" w:rsidRPr="00577B2E">
        <w:t>score appear</w:t>
      </w:r>
      <w:r w:rsidR="00152850" w:rsidRPr="00577B2E">
        <w:t xml:space="preserve"> to be </w:t>
      </w:r>
      <w:r w:rsidR="00A86A50">
        <w:t xml:space="preserve">reasonably </w:t>
      </w:r>
      <w:r w:rsidR="00152850" w:rsidRPr="00577B2E">
        <w:t>similar and captur</w:t>
      </w:r>
      <w:r w:rsidR="00C81015">
        <w:t>e</w:t>
      </w:r>
      <w:r w:rsidR="00152850" w:rsidRPr="00577B2E">
        <w:t xml:space="preserve"> </w:t>
      </w:r>
      <w:r w:rsidR="00443945" w:rsidRPr="00577B2E">
        <w:t>similar disease domains</w:t>
      </w:r>
      <w:r w:rsidR="00C81015">
        <w:t>,</w:t>
      </w:r>
      <w:r w:rsidR="00152850" w:rsidRPr="00577B2E">
        <w:t xml:space="preserve"> </w:t>
      </w:r>
      <w:r w:rsidR="00C81015">
        <w:t>al</w:t>
      </w:r>
      <w:r w:rsidR="00152850" w:rsidRPr="00577B2E">
        <w:t>though the inter-observer variability in scoring between indices is unknown.</w:t>
      </w:r>
    </w:p>
    <w:p w:rsidR="004471FC" w:rsidRPr="00577B2E" w:rsidRDefault="009F681E" w:rsidP="00845ADB">
      <w:pPr>
        <w:pStyle w:val="ListParagraph"/>
        <w:numPr>
          <w:ilvl w:val="0"/>
          <w:numId w:val="31"/>
        </w:numPr>
        <w:spacing w:before="0" w:after="120"/>
        <w:ind w:left="993" w:hanging="284"/>
        <w:jc w:val="both"/>
        <w:rPr>
          <w:iCs/>
        </w:rPr>
      </w:pPr>
      <w:r w:rsidRPr="00577B2E">
        <w:rPr>
          <w:iCs/>
          <w:u w:val="single"/>
        </w:rPr>
        <w:t>Anatomical extent of disease</w:t>
      </w:r>
      <w:r w:rsidRPr="00577B2E">
        <w:rPr>
          <w:iCs/>
        </w:rPr>
        <w:t xml:space="preserve">: </w:t>
      </w:r>
      <w:r w:rsidR="004471FC" w:rsidRPr="00577B2E">
        <w:rPr>
          <w:iCs/>
        </w:rPr>
        <w:t xml:space="preserve">The budesonide CR trials generally permitted enrolment of patients with more extensive anatomical disease covering the full anatomical spectrum of </w:t>
      </w:r>
      <w:r w:rsidR="00E64AA8" w:rsidRPr="00577B2E">
        <w:rPr>
          <w:iCs/>
        </w:rPr>
        <w:t>UC</w:t>
      </w:r>
      <w:r w:rsidR="004471FC" w:rsidRPr="00577B2E">
        <w:rPr>
          <w:iCs/>
        </w:rPr>
        <w:t xml:space="preserve"> (from the large </w:t>
      </w:r>
      <w:r w:rsidR="00152850" w:rsidRPr="00577B2E">
        <w:rPr>
          <w:iCs/>
        </w:rPr>
        <w:t>intestine to the rectum), where</w:t>
      </w:r>
      <w:r w:rsidR="004471FC" w:rsidRPr="00577B2E">
        <w:rPr>
          <w:iCs/>
        </w:rPr>
        <w:t xml:space="preserve">as the budesonide foam enema trials were limited to patients with </w:t>
      </w:r>
      <w:r w:rsidR="00E64AA8" w:rsidRPr="00577B2E">
        <w:rPr>
          <w:iCs/>
        </w:rPr>
        <w:t>UC</w:t>
      </w:r>
      <w:r w:rsidR="004471FC" w:rsidRPr="00577B2E">
        <w:rPr>
          <w:iCs/>
        </w:rPr>
        <w:t xml:space="preserve"> affecting the rectum (</w:t>
      </w:r>
      <w:proofErr w:type="spellStart"/>
      <w:r w:rsidR="004471FC" w:rsidRPr="00577B2E">
        <w:rPr>
          <w:iCs/>
        </w:rPr>
        <w:t>proctitis</w:t>
      </w:r>
      <w:proofErr w:type="spellEnd"/>
      <w:r w:rsidR="004471FC" w:rsidRPr="00577B2E">
        <w:rPr>
          <w:iCs/>
        </w:rPr>
        <w:t xml:space="preserve">) or the rectum and sigmoid colon but not involving the descending colon (proctosigmoiditis).  </w:t>
      </w:r>
      <w:r w:rsidR="004471FC" w:rsidRPr="00577B2E">
        <w:t>To address this</w:t>
      </w:r>
      <w:r w:rsidR="00152850" w:rsidRPr="00577B2E">
        <w:t xml:space="preserve">, the submission conducted a post hoc analysis of </w:t>
      </w:r>
      <w:r w:rsidR="004471FC" w:rsidRPr="00577B2E">
        <w:t xml:space="preserve">CORE I and CORE II </w:t>
      </w:r>
      <w:r w:rsidR="00152850" w:rsidRPr="00577B2E">
        <w:t xml:space="preserve">using results of </w:t>
      </w:r>
      <w:r w:rsidR="004471FC" w:rsidRPr="00577B2E">
        <w:t xml:space="preserve">patients </w:t>
      </w:r>
      <w:r w:rsidR="00152850" w:rsidRPr="00577B2E">
        <w:t xml:space="preserve">with </w:t>
      </w:r>
      <w:proofErr w:type="spellStart"/>
      <w:r w:rsidR="004471FC" w:rsidRPr="00577B2E">
        <w:t>proctitis</w:t>
      </w:r>
      <w:proofErr w:type="spellEnd"/>
      <w:r w:rsidR="004471FC" w:rsidRPr="00577B2E">
        <w:t xml:space="preserve"> or proctosigmoiditis only. </w:t>
      </w:r>
    </w:p>
    <w:p w:rsidR="009F681E" w:rsidRPr="00577B2E" w:rsidRDefault="009F681E" w:rsidP="009F681E">
      <w:pPr>
        <w:pStyle w:val="ListParagraph"/>
        <w:numPr>
          <w:ilvl w:val="0"/>
          <w:numId w:val="31"/>
        </w:numPr>
        <w:spacing w:before="0" w:after="120"/>
        <w:ind w:left="993" w:hanging="284"/>
        <w:jc w:val="both"/>
        <w:rPr>
          <w:iCs/>
        </w:rPr>
      </w:pPr>
      <w:r w:rsidRPr="00577B2E">
        <w:rPr>
          <w:iCs/>
          <w:u w:val="single"/>
        </w:rPr>
        <w:t>Prior use of 5-ASA:</w:t>
      </w:r>
      <w:r w:rsidRPr="00577B2E">
        <w:rPr>
          <w:iCs/>
        </w:rPr>
        <w:t xml:space="preserve"> </w:t>
      </w:r>
      <w:r w:rsidR="004471FC" w:rsidRPr="00577B2E">
        <w:rPr>
          <w:iCs/>
        </w:rPr>
        <w:t>All patients in CONTRIBUTE have had prior treatment with 5-ASA versus only 50 to 75%</w:t>
      </w:r>
      <w:r w:rsidR="00152850" w:rsidRPr="00577B2E">
        <w:rPr>
          <w:iCs/>
        </w:rPr>
        <w:t xml:space="preserve"> of</w:t>
      </w:r>
      <w:r w:rsidR="004471FC" w:rsidRPr="00577B2E">
        <w:rPr>
          <w:iCs/>
        </w:rPr>
        <w:t xml:space="preserve"> patients enrolled in CORE I and II, BUCF3001 and BUCF3002.  87% of patients in </w:t>
      </w:r>
      <w:proofErr w:type="spellStart"/>
      <w:r w:rsidR="004471FC" w:rsidRPr="00577B2E">
        <w:rPr>
          <w:iCs/>
        </w:rPr>
        <w:t>Nag</w:t>
      </w:r>
      <w:r w:rsidR="006B2BCB" w:rsidRPr="00577B2E">
        <w:rPr>
          <w:iCs/>
        </w:rPr>
        <w:t>a</w:t>
      </w:r>
      <w:r w:rsidR="004471FC" w:rsidRPr="00577B2E">
        <w:rPr>
          <w:iCs/>
        </w:rPr>
        <w:t>numa</w:t>
      </w:r>
      <w:proofErr w:type="spellEnd"/>
      <w:r w:rsidR="004471FC" w:rsidRPr="00577B2E">
        <w:rPr>
          <w:iCs/>
        </w:rPr>
        <w:t xml:space="preserve"> 2016 had prior 5-ASA.  </w:t>
      </w:r>
      <w:r w:rsidR="009635F7">
        <w:rPr>
          <w:iCs/>
        </w:rPr>
        <w:t>Patients with p</w:t>
      </w:r>
      <w:r w:rsidRPr="00577B2E">
        <w:rPr>
          <w:iCs/>
        </w:rPr>
        <w:t>rior</w:t>
      </w:r>
      <w:r w:rsidR="009635F7">
        <w:rPr>
          <w:iCs/>
        </w:rPr>
        <w:t xml:space="preserve"> use of</w:t>
      </w:r>
      <w:r w:rsidRPr="00577B2E">
        <w:rPr>
          <w:iCs/>
        </w:rPr>
        <w:t xml:space="preserve"> 5-ASA </w:t>
      </w:r>
      <w:r w:rsidR="009635F7">
        <w:rPr>
          <w:iCs/>
        </w:rPr>
        <w:t>may</w:t>
      </w:r>
      <w:r w:rsidR="009635F7" w:rsidRPr="00577B2E">
        <w:rPr>
          <w:iCs/>
        </w:rPr>
        <w:t xml:space="preserve"> </w:t>
      </w:r>
      <w:r w:rsidR="009635F7">
        <w:rPr>
          <w:iCs/>
        </w:rPr>
        <w:t>be</w:t>
      </w:r>
      <w:r w:rsidRPr="00577B2E">
        <w:rPr>
          <w:iCs/>
        </w:rPr>
        <w:t xml:space="preserve"> more treatment resistant.</w:t>
      </w:r>
    </w:p>
    <w:p w:rsidR="009F681E" w:rsidRPr="00577B2E" w:rsidRDefault="009F681E" w:rsidP="009F681E">
      <w:pPr>
        <w:pStyle w:val="ListParagraph"/>
        <w:numPr>
          <w:ilvl w:val="0"/>
          <w:numId w:val="31"/>
        </w:numPr>
        <w:spacing w:before="0" w:after="120"/>
        <w:ind w:left="993" w:hanging="284"/>
        <w:jc w:val="both"/>
        <w:rPr>
          <w:iCs/>
        </w:rPr>
      </w:pPr>
      <w:r w:rsidRPr="00577B2E">
        <w:rPr>
          <w:iCs/>
          <w:u w:val="single"/>
        </w:rPr>
        <w:t>Concomitant 5-ASA:</w:t>
      </w:r>
      <w:r w:rsidRPr="00577B2E">
        <w:rPr>
          <w:iCs/>
        </w:rPr>
        <w:t xml:space="preserve"> All patients in CONTRIBUTE were taking concomitant 5-ASA, which contrasted with trials CORE I and II where 5-ASA use was not permitted.  Approximately 55% of the population enrolled in BUCF3001 and 3002 were taking 5-ASA versus approximately 87% concomitant 5-ASA use in </w:t>
      </w:r>
      <w:proofErr w:type="spellStart"/>
      <w:r w:rsidRPr="00577B2E">
        <w:rPr>
          <w:iCs/>
        </w:rPr>
        <w:t>Naga</w:t>
      </w:r>
      <w:r w:rsidR="006B2BCB" w:rsidRPr="00577B2E">
        <w:rPr>
          <w:iCs/>
        </w:rPr>
        <w:t>n</w:t>
      </w:r>
      <w:r w:rsidRPr="00577B2E">
        <w:rPr>
          <w:iCs/>
        </w:rPr>
        <w:t>uma</w:t>
      </w:r>
      <w:proofErr w:type="spellEnd"/>
      <w:r w:rsidRPr="00577B2E">
        <w:rPr>
          <w:iCs/>
        </w:rPr>
        <w:t xml:space="preserve"> (2016).</w:t>
      </w:r>
    </w:p>
    <w:p w:rsidR="009F681E" w:rsidRPr="00577B2E" w:rsidRDefault="009F681E" w:rsidP="009F681E">
      <w:pPr>
        <w:pStyle w:val="ListParagraph"/>
        <w:numPr>
          <w:ilvl w:val="0"/>
          <w:numId w:val="31"/>
        </w:numPr>
        <w:spacing w:before="0" w:after="120"/>
        <w:ind w:left="993" w:hanging="284"/>
        <w:jc w:val="both"/>
        <w:rPr>
          <w:iCs/>
        </w:rPr>
      </w:pPr>
      <w:r w:rsidRPr="00577B2E">
        <w:rPr>
          <w:iCs/>
          <w:u w:val="single"/>
        </w:rPr>
        <w:t>Trial duration:</w:t>
      </w:r>
      <w:r w:rsidRPr="00577B2E">
        <w:rPr>
          <w:iCs/>
        </w:rPr>
        <w:t xml:space="preserve"> efficacy analyses were reported after 8 weeks of treatment for budesonide CR whereas in the budesonide foam enema trials results were reported after 6 weeks of treatment.</w:t>
      </w:r>
    </w:p>
    <w:p w:rsidR="004471FC" w:rsidRPr="00577B2E" w:rsidRDefault="007B4B5F" w:rsidP="007B4B5F">
      <w:pPr>
        <w:pStyle w:val="ListParagraph"/>
        <w:numPr>
          <w:ilvl w:val="1"/>
          <w:numId w:val="3"/>
        </w:numPr>
        <w:spacing w:before="0" w:after="120"/>
        <w:jc w:val="both"/>
        <w:rPr>
          <w:iCs/>
        </w:rPr>
      </w:pPr>
      <w:r w:rsidRPr="00577B2E">
        <w:t xml:space="preserve">Further, </w:t>
      </w:r>
      <w:r w:rsidR="005838B5" w:rsidRPr="00577B2E">
        <w:t xml:space="preserve">19/128 (15%) and 40/129 (31%) of patients randomised to the budesonide CR and placebo respectively in CORE II </w:t>
      </w:r>
      <w:r w:rsidR="00443945" w:rsidRPr="00577B2E">
        <w:t>were excluded from its efficacy analyses</w:t>
      </w:r>
      <w:r w:rsidR="00231A66" w:rsidRPr="00577B2E">
        <w:t xml:space="preserve"> due mainly</w:t>
      </w:r>
      <w:r w:rsidR="0043295A">
        <w:t xml:space="preserve"> </w:t>
      </w:r>
      <w:r w:rsidR="0043295A" w:rsidRPr="00577B2E">
        <w:t>to</w:t>
      </w:r>
      <w:r w:rsidR="00231A66" w:rsidRPr="00577B2E">
        <w:t xml:space="preserve">: </w:t>
      </w:r>
      <w:proofErr w:type="spellStart"/>
      <w:r w:rsidR="00231A66" w:rsidRPr="00577B2E">
        <w:t>i</w:t>
      </w:r>
      <w:proofErr w:type="spellEnd"/>
      <w:r w:rsidR="00231A66" w:rsidRPr="00577B2E">
        <w:t>) violations in good clinical practice (GCP) at four clinical sites</w:t>
      </w:r>
      <w:r w:rsidR="0043295A">
        <w:t>,</w:t>
      </w:r>
      <w:r w:rsidR="00231A66" w:rsidRPr="00577B2E">
        <w:t xml:space="preserve"> and ii) the lack of histological evidence of active UC in randomised patients.  This is a potential concern as it affects the power of the trial to detect a meaningful difference.  Although a post hoc sensitivity analysis </w:t>
      </w:r>
      <w:r w:rsidR="00231A66" w:rsidRPr="00577B2E">
        <w:rPr>
          <w:iCs/>
        </w:rPr>
        <w:t>conducted by the trial investigators found the trial conclusions to remain reasonably consistent when the excluded patients were reincorporated as non-responders</w:t>
      </w:r>
      <w:r w:rsidRPr="00577B2E">
        <w:rPr>
          <w:iCs/>
        </w:rPr>
        <w:t xml:space="preserve">, the exclusion of such a large proportion of patients </w:t>
      </w:r>
      <w:r w:rsidR="00C230D7" w:rsidRPr="00577B2E">
        <w:rPr>
          <w:iCs/>
        </w:rPr>
        <w:t>w</w:t>
      </w:r>
      <w:r w:rsidR="00C230D7">
        <w:rPr>
          <w:iCs/>
        </w:rPr>
        <w:t>ould</w:t>
      </w:r>
      <w:r w:rsidR="00C230D7" w:rsidRPr="00577B2E">
        <w:rPr>
          <w:iCs/>
        </w:rPr>
        <w:t xml:space="preserve"> </w:t>
      </w:r>
      <w:r w:rsidRPr="00577B2E">
        <w:rPr>
          <w:iCs/>
        </w:rPr>
        <w:t>significantly reduce the statistical power of the trial</w:t>
      </w:r>
      <w:r w:rsidR="005838B5" w:rsidRPr="00577B2E">
        <w:rPr>
          <w:iCs/>
        </w:rPr>
        <w:t xml:space="preserve"> and bias the indirect comparison towards the null.</w:t>
      </w:r>
    </w:p>
    <w:p w:rsidR="004471FC" w:rsidRPr="00577B2E" w:rsidRDefault="004471FC" w:rsidP="004471FC">
      <w:pPr>
        <w:pStyle w:val="Heading2"/>
        <w:jc w:val="both"/>
      </w:pPr>
      <w:bookmarkStart w:id="10" w:name="_Toc413139278"/>
      <w:bookmarkStart w:id="11" w:name="_Toc480411354"/>
      <w:r w:rsidRPr="00577B2E">
        <w:t>Comparative effectiveness</w:t>
      </w:r>
      <w:bookmarkEnd w:id="10"/>
      <w:bookmarkEnd w:id="11"/>
      <w:r w:rsidRPr="00577B2E">
        <w:t xml:space="preserve"> </w:t>
      </w:r>
    </w:p>
    <w:p w:rsidR="00876FDC" w:rsidRPr="00577B2E" w:rsidRDefault="00E525D5" w:rsidP="00072148">
      <w:pPr>
        <w:pStyle w:val="ListParagraph"/>
        <w:numPr>
          <w:ilvl w:val="1"/>
          <w:numId w:val="3"/>
        </w:numPr>
        <w:spacing w:before="0" w:after="120"/>
        <w:jc w:val="both"/>
      </w:pPr>
      <w:r w:rsidRPr="00577B2E">
        <w:t>The main outcomes relied on by the submission were remission and mucosal appearance or endoscopic scores (</w:t>
      </w:r>
      <w:r w:rsidR="00D40742" w:rsidRPr="00577B2E">
        <w:t xml:space="preserve">which was </w:t>
      </w:r>
      <w:r w:rsidRPr="00577B2E">
        <w:t>a sub</w:t>
      </w:r>
      <w:r w:rsidR="00C230D7">
        <w:t>-</w:t>
      </w:r>
      <w:r w:rsidR="002C69B3" w:rsidRPr="00577B2E">
        <w:t>s</w:t>
      </w:r>
      <w:r w:rsidR="00D40742" w:rsidRPr="00577B2E">
        <w:t>core on</w:t>
      </w:r>
      <w:r w:rsidRPr="00577B2E">
        <w:t xml:space="preserve"> the disease algorithms).  These are relevant outcomes in UC.  As well as presenting an analysis comparing the trial based definitions</w:t>
      </w:r>
      <w:r w:rsidR="002C69B3" w:rsidRPr="00577B2E">
        <w:t xml:space="preserve"> of remission for</w:t>
      </w:r>
      <w:r w:rsidRPr="00577B2E">
        <w:t xml:space="preserve"> UC, the submission </w:t>
      </w:r>
      <w:r w:rsidR="0043395A" w:rsidRPr="00577B2E">
        <w:t>presented</w:t>
      </w:r>
      <w:r w:rsidRPr="00577B2E">
        <w:t xml:space="preserve"> a post-hoc analysis that adjusted the remission </w:t>
      </w:r>
      <w:r w:rsidR="008E12B9" w:rsidRPr="00577B2E">
        <w:t>definition</w:t>
      </w:r>
      <w:r w:rsidRPr="00577B2E">
        <w:t>s</w:t>
      </w:r>
      <w:r w:rsidR="008E12B9" w:rsidRPr="00577B2E">
        <w:t xml:space="preserve"> </w:t>
      </w:r>
      <w:r w:rsidRPr="00577B2E">
        <w:t xml:space="preserve">of </w:t>
      </w:r>
      <w:r w:rsidR="00072148" w:rsidRPr="00577B2E">
        <w:t>CORE I and CORE II</w:t>
      </w:r>
      <w:r w:rsidRPr="00577B2E">
        <w:t xml:space="preserve"> (the only trials which the sponsor has individual patient data) in an </w:t>
      </w:r>
      <w:r w:rsidR="00072148" w:rsidRPr="00577B2E">
        <w:t>attempt to align the definition</w:t>
      </w:r>
      <w:r w:rsidRPr="00577B2E">
        <w:t>s</w:t>
      </w:r>
      <w:r w:rsidR="00072148" w:rsidRPr="00577B2E">
        <w:t xml:space="preserve"> </w:t>
      </w:r>
      <w:r w:rsidR="002C69B3" w:rsidRPr="00577B2E">
        <w:t xml:space="preserve">with those used in the budesonide foam enema trials.  It was argued that the </w:t>
      </w:r>
      <w:r w:rsidR="00072148" w:rsidRPr="00577B2E">
        <w:t>definition f</w:t>
      </w:r>
      <w:r w:rsidR="002C69B3" w:rsidRPr="00577B2E">
        <w:t>or remission used in</w:t>
      </w:r>
      <w:r w:rsidR="00072148" w:rsidRPr="00577B2E">
        <w:t xml:space="preserve"> CORE I and CORE II </w:t>
      </w:r>
      <w:r w:rsidR="002C69B3" w:rsidRPr="00577B2E">
        <w:t xml:space="preserve">was more stringent than </w:t>
      </w:r>
      <w:r w:rsidR="0043295A">
        <w:t xml:space="preserve">in </w:t>
      </w:r>
      <w:r w:rsidR="002C69B3" w:rsidRPr="00577B2E">
        <w:t>the budesonide foam enema trials.</w:t>
      </w:r>
    </w:p>
    <w:p w:rsidR="00D40742" w:rsidRPr="00577B2E" w:rsidRDefault="00D40742" w:rsidP="00D40742">
      <w:pPr>
        <w:pStyle w:val="ListParagraph"/>
        <w:numPr>
          <w:ilvl w:val="1"/>
          <w:numId w:val="3"/>
        </w:numPr>
        <w:spacing w:before="0" w:after="120"/>
        <w:jc w:val="both"/>
      </w:pPr>
      <w:r w:rsidRPr="00577B2E">
        <w:t xml:space="preserve">In </w:t>
      </w:r>
      <w:r w:rsidR="00193349">
        <w:t>a</w:t>
      </w:r>
      <w:r w:rsidR="00193349" w:rsidRPr="00577B2E">
        <w:t xml:space="preserve"> </w:t>
      </w:r>
      <w:r w:rsidRPr="00577B2E">
        <w:t>sensitivity analysis</w:t>
      </w:r>
      <w:r w:rsidR="00193349">
        <w:t xml:space="preserve"> for the indirect comparison</w:t>
      </w:r>
      <w:r w:rsidRPr="00577B2E">
        <w:t xml:space="preserve">, the results from </w:t>
      </w:r>
      <w:proofErr w:type="spellStart"/>
      <w:r w:rsidRPr="00577B2E">
        <w:t>Naganuma</w:t>
      </w:r>
      <w:proofErr w:type="spellEnd"/>
      <w:r w:rsidRPr="00577B2E">
        <w:t xml:space="preserve"> 2016 were excluded.  The submission claimed this </w:t>
      </w:r>
      <w:r w:rsidR="00C2162C">
        <w:t>wa</w:t>
      </w:r>
      <w:r w:rsidRPr="00577B2E">
        <w:t xml:space="preserve">s because the definition of remission in this trial was different to </w:t>
      </w:r>
      <w:r w:rsidR="00193349">
        <w:t xml:space="preserve">that in </w:t>
      </w:r>
      <w:r w:rsidRPr="00577B2E">
        <w:t xml:space="preserve">BUCF3001/BUCF3002.  </w:t>
      </w:r>
      <w:r w:rsidR="00193349">
        <w:t>During the evaluation this was not considered</w:t>
      </w:r>
      <w:r w:rsidRPr="00577B2E">
        <w:t xml:space="preserve"> an appropriate justification since the trial definition of remission for CORE I, CORE II and CONTRIBUTE were also different to that used in BUCF3001 and BUCF3002.  Further, the definition of remission in </w:t>
      </w:r>
      <w:proofErr w:type="spellStart"/>
      <w:r w:rsidRPr="00577B2E">
        <w:t>Naganuma</w:t>
      </w:r>
      <w:proofErr w:type="spellEnd"/>
      <w:r w:rsidRPr="00577B2E">
        <w:t xml:space="preserve"> 2016 is likely to be more stringent than the definition in BUCF3001/BUCF3002, with the only difference being measurement in the stool frequency </w:t>
      </w:r>
      <w:proofErr w:type="spellStart"/>
      <w:r w:rsidRPr="00577B2E">
        <w:t>subscore</w:t>
      </w:r>
      <w:proofErr w:type="spellEnd"/>
      <w:r w:rsidRPr="00577B2E">
        <w:t xml:space="preserve">.  BUCF3001/BUCF3002 required </w:t>
      </w:r>
      <w:proofErr w:type="gramStart"/>
      <w:r w:rsidRPr="00577B2E">
        <w:t>a stool</w:t>
      </w:r>
      <w:proofErr w:type="gramEnd"/>
      <w:r w:rsidRPr="00577B2E">
        <w:t xml:space="preserve"> frequency </w:t>
      </w:r>
      <w:proofErr w:type="spellStart"/>
      <w:r w:rsidRPr="00577B2E">
        <w:t>subscore</w:t>
      </w:r>
      <w:proofErr w:type="spellEnd"/>
      <w:r w:rsidRPr="00577B2E">
        <w:t xml:space="preserve"> of an improvement or no change from baseline whilst </w:t>
      </w:r>
      <w:proofErr w:type="spellStart"/>
      <w:r w:rsidRPr="00577B2E">
        <w:t>Naganuma</w:t>
      </w:r>
      <w:proofErr w:type="spellEnd"/>
      <w:r w:rsidRPr="00577B2E">
        <w:t xml:space="preserve"> 2016 required a </w:t>
      </w:r>
      <w:proofErr w:type="spellStart"/>
      <w:r w:rsidRPr="00577B2E">
        <w:t>subscore</w:t>
      </w:r>
      <w:proofErr w:type="spellEnd"/>
      <w:r w:rsidRPr="00577B2E">
        <w:t xml:space="preserve"> of 0 or an increase of ≥ 1 from baseline.  </w:t>
      </w:r>
    </w:p>
    <w:p w:rsidR="00E525D5" w:rsidRPr="00577B2E" w:rsidRDefault="00D40742" w:rsidP="00876FDC">
      <w:pPr>
        <w:pStyle w:val="ListParagraph"/>
        <w:numPr>
          <w:ilvl w:val="1"/>
          <w:numId w:val="3"/>
        </w:numPr>
        <w:spacing w:before="0" w:after="120"/>
        <w:jc w:val="both"/>
      </w:pPr>
      <w:r w:rsidRPr="00577B2E">
        <w:t>I</w:t>
      </w:r>
      <w:r w:rsidR="00876FDC" w:rsidRPr="00577B2E">
        <w:t xml:space="preserve">n an effort to make the trial populations more consistent with the budesonide foam trials, the submission also conducted a subgroup analysis of the trial results by extent of anatomical </w:t>
      </w:r>
      <w:r w:rsidRPr="00577B2E">
        <w:t>involvement as CORE I and II had</w:t>
      </w:r>
      <w:r w:rsidR="00876FDC" w:rsidRPr="00577B2E">
        <w:t xml:space="preserve"> enrolled patients with more anatomically involved disease compared to the budesonide CR trials</w:t>
      </w:r>
      <w:r w:rsidRPr="00577B2E">
        <w:t xml:space="preserve"> (</w:t>
      </w:r>
      <w:r w:rsidRPr="00CB2C63">
        <w:t>see</w:t>
      </w:r>
      <w:r w:rsidR="0013148D">
        <w:t xml:space="preserve"> paragraph</w:t>
      </w:r>
      <w:r w:rsidRPr="00CB2C63">
        <w:t xml:space="preserve"> 6.</w:t>
      </w:r>
      <w:r w:rsidR="008B4A73">
        <w:t>7</w:t>
      </w:r>
      <w:r w:rsidRPr="00577B2E">
        <w:t>)</w:t>
      </w:r>
      <w:r w:rsidR="00876FDC" w:rsidRPr="00577B2E">
        <w:t>.</w:t>
      </w:r>
    </w:p>
    <w:p w:rsidR="00275333" w:rsidRPr="00B04F2E" w:rsidRDefault="0043295A" w:rsidP="00F54E4E">
      <w:pPr>
        <w:pStyle w:val="ListParagraph"/>
        <w:numPr>
          <w:ilvl w:val="1"/>
          <w:numId w:val="3"/>
        </w:numPr>
        <w:spacing w:before="0" w:after="120"/>
        <w:jc w:val="both"/>
        <w:rPr>
          <w:iCs/>
        </w:rPr>
      </w:pPr>
      <w:r w:rsidRPr="00B04F2E">
        <w:t>T</w:t>
      </w:r>
      <w:r w:rsidR="00275333" w:rsidRPr="00B04F2E">
        <w:t>he submission did not nomina</w:t>
      </w:r>
      <w:r w:rsidR="00D40742" w:rsidRPr="00B04F2E">
        <w:t xml:space="preserve">te a non-inferiority margin </w:t>
      </w:r>
      <w:r w:rsidR="00193349">
        <w:t>for</w:t>
      </w:r>
      <w:r w:rsidR="00D40742" w:rsidRPr="00B04F2E">
        <w:t xml:space="preserve"> interpretation of the</w:t>
      </w:r>
      <w:r w:rsidR="00193349">
        <w:t xml:space="preserve"> results of the</w:t>
      </w:r>
      <w:r w:rsidR="00D40742" w:rsidRPr="00B04F2E">
        <w:t xml:space="preserve"> indirect comparison</w:t>
      </w:r>
      <w:r w:rsidR="00275333" w:rsidRPr="00B04F2E">
        <w:t xml:space="preserve">.  Instead it argued that statistical non-significance alone should be sufficient to justify a claim of non-inferiority and that non-inferiority margins that may be nominated for head to head non-inferiority trials would be too onerous as the confidence intervals from results of indirect comparisons would be </w:t>
      </w:r>
      <w:r w:rsidR="00C2162C" w:rsidRPr="00B04F2E">
        <w:t>wider</w:t>
      </w:r>
      <w:r w:rsidR="00275333" w:rsidRPr="00B04F2E">
        <w:t xml:space="preserve">.  </w:t>
      </w:r>
      <w:r w:rsidRPr="00B04F2E">
        <w:rPr>
          <w:iCs/>
        </w:rPr>
        <w:t>The ESC disagreed</w:t>
      </w:r>
      <w:r w:rsidR="009E7ACF" w:rsidRPr="00B04F2E">
        <w:rPr>
          <w:iCs/>
        </w:rPr>
        <w:t xml:space="preserve"> </w:t>
      </w:r>
      <w:r w:rsidR="00A86A50" w:rsidRPr="00B04F2E">
        <w:t>noting that</w:t>
      </w:r>
      <w:r w:rsidR="009E7ACF" w:rsidRPr="00B04F2E">
        <w:t xml:space="preserve"> an indirect comparison introduces additional error and uncertainty</w:t>
      </w:r>
      <w:r w:rsidR="00275333" w:rsidRPr="00B04F2E">
        <w:rPr>
          <w:iCs/>
        </w:rPr>
        <w:t>.  As stated in Section 2.4.5 of the Guidelines for preparing a submission to the Pharmaceutical Benefits Advisory Committee Version 5.0, “…a lack of statistically significant difference between the proposed medicine and the comparator does not adequately establish non</w:t>
      </w:r>
      <w:r w:rsidR="0016247B" w:rsidRPr="00B04F2E">
        <w:rPr>
          <w:iCs/>
        </w:rPr>
        <w:noBreakHyphen/>
      </w:r>
      <w:r w:rsidR="00275333" w:rsidRPr="00B04F2E">
        <w:rPr>
          <w:iCs/>
        </w:rPr>
        <w:t>inferiority” instead, “It is common practice to require that the confidence limits of the difference in treatment effect do not include an a priori stated clinically meaningful difference favouring the comparator”.</w:t>
      </w:r>
    </w:p>
    <w:p w:rsidR="00231A66" w:rsidRPr="00577B2E" w:rsidRDefault="00275333" w:rsidP="00F54E4E">
      <w:pPr>
        <w:pStyle w:val="ListParagraph"/>
        <w:numPr>
          <w:ilvl w:val="1"/>
          <w:numId w:val="3"/>
        </w:numPr>
        <w:spacing w:before="0" w:after="120"/>
        <w:jc w:val="both"/>
      </w:pPr>
      <w:r w:rsidRPr="00577B2E">
        <w:t>In the literature</w:t>
      </w:r>
      <w:r w:rsidR="0043395A" w:rsidRPr="00577B2E">
        <w:t>,</w:t>
      </w:r>
      <w:r w:rsidRPr="00577B2E">
        <w:t xml:space="preserve"> non-inferiority margins used for </w:t>
      </w:r>
      <w:r w:rsidR="001E4A16" w:rsidRPr="00577B2E">
        <w:t>risk difference</w:t>
      </w:r>
      <w:r w:rsidR="00152C84" w:rsidRPr="00577B2E">
        <w:t xml:space="preserve"> of </w:t>
      </w:r>
      <w:r w:rsidRPr="00577B2E">
        <w:t xml:space="preserve">remission of active disease ranged between 10-15%.  This is </w:t>
      </w:r>
      <w:r w:rsidR="00631490" w:rsidRPr="00577B2E">
        <w:t xml:space="preserve">also </w:t>
      </w:r>
      <w:r w:rsidRPr="00577B2E">
        <w:t>consistent with the non-inferiority margin presented in the budesonide foam enema submission (p.3, budesonide foam enema PSD 2</w:t>
      </w:r>
      <w:r w:rsidR="0043395A" w:rsidRPr="00577B2E">
        <w:t xml:space="preserve">013) and </w:t>
      </w:r>
      <w:r w:rsidR="00631490" w:rsidRPr="00577B2E">
        <w:t xml:space="preserve">was </w:t>
      </w:r>
      <w:r w:rsidR="00F90F25">
        <w:t xml:space="preserve">previously </w:t>
      </w:r>
      <w:r w:rsidR="0043395A" w:rsidRPr="00577B2E">
        <w:t>accepted by the PBAC.</w:t>
      </w:r>
    </w:p>
    <w:p w:rsidR="004471FC" w:rsidRDefault="00950613" w:rsidP="00F54E4E">
      <w:pPr>
        <w:pStyle w:val="ListParagraph"/>
        <w:numPr>
          <w:ilvl w:val="1"/>
          <w:numId w:val="3"/>
        </w:numPr>
        <w:spacing w:before="0" w:after="120"/>
        <w:jc w:val="both"/>
      </w:pPr>
      <w:r w:rsidRPr="00577B2E">
        <w:t>The within trial, meta-analysis and indirect comparison results for remission based on the individual trial</w:t>
      </w:r>
      <w:r w:rsidR="0086348E" w:rsidRPr="00577B2E">
        <w:t xml:space="preserve"> definitions</w:t>
      </w:r>
      <w:r w:rsidRPr="00577B2E">
        <w:t xml:space="preserve"> </w:t>
      </w:r>
      <w:r w:rsidR="005838B5" w:rsidRPr="00577B2E">
        <w:t>and the adjusted definition</w:t>
      </w:r>
      <w:r w:rsidR="007F23B1" w:rsidRPr="00577B2E">
        <w:t>s</w:t>
      </w:r>
      <w:r w:rsidR="005838B5" w:rsidRPr="00577B2E">
        <w:t xml:space="preserve"> are</w:t>
      </w:r>
      <w:r w:rsidRPr="00577B2E">
        <w:t xml:space="preserve"> sum</w:t>
      </w:r>
      <w:r w:rsidR="00E525D5" w:rsidRPr="00577B2E">
        <w:t>marised in T</w:t>
      </w:r>
      <w:r w:rsidR="00232B36" w:rsidRPr="00577B2E">
        <w:t xml:space="preserve">able </w:t>
      </w:r>
      <w:r w:rsidR="008B2620">
        <w:t>4</w:t>
      </w:r>
      <w:r w:rsidR="00232B36" w:rsidRPr="00577B2E">
        <w:t xml:space="preserve"> and </w:t>
      </w:r>
      <w:r w:rsidR="008B2620">
        <w:t>5</w:t>
      </w:r>
      <w:r w:rsidRPr="00577B2E">
        <w:t xml:space="preserve"> respectively.  </w:t>
      </w:r>
      <w:r w:rsidR="00B64B89" w:rsidRPr="00577B2E">
        <w:t xml:space="preserve">Results for mucosal appearance (endoscopy </w:t>
      </w:r>
      <w:proofErr w:type="spellStart"/>
      <w:r w:rsidR="00B64B89" w:rsidRPr="00577B2E">
        <w:t>su</w:t>
      </w:r>
      <w:r w:rsidR="00232B36" w:rsidRPr="00577B2E">
        <w:t>bscore</w:t>
      </w:r>
      <w:proofErr w:type="spellEnd"/>
      <w:r w:rsidR="00232B36" w:rsidRPr="00577B2E">
        <w:t xml:space="preserve">) are presented in Table </w:t>
      </w:r>
      <w:r w:rsidR="008B2620">
        <w:t>6</w:t>
      </w:r>
      <w:r w:rsidR="00B64B89" w:rsidRPr="00577B2E">
        <w:t xml:space="preserve">.  </w:t>
      </w:r>
      <w:r w:rsidR="006B2BCB" w:rsidRPr="00577B2E">
        <w:t>A discussion of the results is</w:t>
      </w:r>
      <w:r w:rsidR="00B64B89" w:rsidRPr="00577B2E">
        <w:t xml:space="preserve"> presented </w:t>
      </w:r>
      <w:r w:rsidR="00F90F25">
        <w:t>in</w:t>
      </w:r>
      <w:r w:rsidR="00F90F25" w:rsidRPr="00577B2E">
        <w:t xml:space="preserve"> </w:t>
      </w:r>
      <w:r w:rsidR="0013148D">
        <w:t xml:space="preserve">the </w:t>
      </w:r>
      <w:r w:rsidR="00A92C91" w:rsidRPr="00A92C91">
        <w:t>Clinical Claim</w:t>
      </w:r>
      <w:r w:rsidR="0013148D">
        <w:t xml:space="preserve"> section</w:t>
      </w:r>
      <w:r w:rsidR="00F90F25">
        <w:t xml:space="preserve"> below</w:t>
      </w:r>
      <w:r w:rsidR="00B64B89" w:rsidRPr="00577B2E">
        <w:t>.</w:t>
      </w:r>
    </w:p>
    <w:p w:rsidR="004F673E" w:rsidRPr="00B04F2E" w:rsidRDefault="004F673E" w:rsidP="004F673E">
      <w:pPr>
        <w:pStyle w:val="ListParagraph"/>
        <w:numPr>
          <w:ilvl w:val="1"/>
          <w:numId w:val="3"/>
        </w:numPr>
        <w:spacing w:before="0" w:after="120"/>
        <w:jc w:val="both"/>
      </w:pPr>
      <w:r w:rsidRPr="00B04F2E">
        <w:t xml:space="preserve">The </w:t>
      </w:r>
      <w:r w:rsidR="00A92C91" w:rsidRPr="00B04F2E">
        <w:t>ESC</w:t>
      </w:r>
      <w:r w:rsidR="00754188" w:rsidRPr="00B04F2E">
        <w:t xml:space="preserve"> noted</w:t>
      </w:r>
      <w:r w:rsidRPr="00B04F2E">
        <w:t xml:space="preserve"> several factors which may impact the exchangeability/transitivity across the budesonide CR and </w:t>
      </w:r>
      <w:r w:rsidR="00C2162C" w:rsidRPr="00B04F2E">
        <w:t>b</w:t>
      </w:r>
      <w:r w:rsidRPr="00B04F2E">
        <w:t xml:space="preserve">udesonide foam trials. </w:t>
      </w:r>
      <w:r w:rsidR="00A92C91" w:rsidRPr="00B04F2E">
        <w:t>These included</w:t>
      </w:r>
      <w:r w:rsidRPr="00B04F2E">
        <w:t xml:space="preserve"> differences </w:t>
      </w:r>
      <w:r w:rsidR="00A92C91" w:rsidRPr="00B04F2E">
        <w:t xml:space="preserve">in the number of patients </w:t>
      </w:r>
      <w:r w:rsidR="00B869E7" w:rsidRPr="00B04F2E">
        <w:t>previously and concomitantly treated</w:t>
      </w:r>
      <w:r w:rsidRPr="00B04F2E">
        <w:t xml:space="preserve"> with 5-ASA</w:t>
      </w:r>
      <w:r w:rsidR="00B869E7" w:rsidRPr="00B04F2E">
        <w:t>s</w:t>
      </w:r>
      <w:r w:rsidR="00A92C91" w:rsidRPr="00B04F2E">
        <w:t xml:space="preserve"> and</w:t>
      </w:r>
      <w:r w:rsidR="00B869E7" w:rsidRPr="00B04F2E">
        <w:t xml:space="preserve"> the extent of anatomical disease involvement</w:t>
      </w:r>
      <w:r w:rsidR="00754188" w:rsidRPr="00B04F2E">
        <w:t>,</w:t>
      </w:r>
      <w:r w:rsidR="00A92C91" w:rsidRPr="00B04F2E">
        <w:t xml:space="preserve"> which limit the reliability of the indirect comparison</w:t>
      </w:r>
      <w:r w:rsidRPr="00B04F2E">
        <w:t>.</w:t>
      </w:r>
      <w:r w:rsidR="00E23774" w:rsidRPr="00B04F2E">
        <w:t xml:space="preserve"> The ESC noted the remission rates for the </w:t>
      </w:r>
      <w:r w:rsidR="002435C4" w:rsidRPr="00B04F2E">
        <w:t>placebo groups of the foam trials were substantially higher than for the placebo groups of the oral trials.</w:t>
      </w:r>
    </w:p>
    <w:p w:rsidR="00E23774" w:rsidRPr="00B04F2E" w:rsidRDefault="00E23774" w:rsidP="00C977C4">
      <w:pPr>
        <w:pStyle w:val="ListParagraph"/>
        <w:numPr>
          <w:ilvl w:val="1"/>
          <w:numId w:val="3"/>
        </w:numPr>
        <w:spacing w:before="0" w:after="120"/>
        <w:jc w:val="both"/>
      </w:pPr>
      <w:r w:rsidRPr="00B04F2E">
        <w:t xml:space="preserve">The PSCR (p3) claimed that the lower percentage of patients who had prior use of 5-ASA in the foam studies biased </w:t>
      </w:r>
      <w:r w:rsidR="003509A1">
        <w:t xml:space="preserve">the analysis </w:t>
      </w:r>
      <w:r w:rsidRPr="00B04F2E">
        <w:t xml:space="preserve">against the oral therapy.  The ESC noted that </w:t>
      </w:r>
      <w:r w:rsidR="003509A1">
        <w:t xml:space="preserve">when </w:t>
      </w:r>
      <w:r w:rsidRPr="00B04F2E">
        <w:t xml:space="preserve">comparing the most closely matched studies for this </w:t>
      </w:r>
      <w:proofErr w:type="gramStart"/>
      <w:r w:rsidRPr="00B04F2E">
        <w:t>variable,</w:t>
      </w:r>
      <w:proofErr w:type="gramEnd"/>
      <w:r w:rsidRPr="00B04F2E">
        <w:t xml:space="preserve"> CONTRIBUTE (oral) and </w:t>
      </w:r>
      <w:proofErr w:type="spellStart"/>
      <w:r w:rsidRPr="00B04F2E">
        <w:t>Naganuma</w:t>
      </w:r>
      <w:proofErr w:type="spellEnd"/>
      <w:r w:rsidRPr="00B04F2E">
        <w:t xml:space="preserve"> 2016 (foam) studies, there were still </w:t>
      </w:r>
      <w:r w:rsidR="002435C4" w:rsidRPr="00B04F2E">
        <w:t>substantial</w:t>
      </w:r>
      <w:r w:rsidRPr="00B04F2E">
        <w:t xml:space="preserve"> differences in placebo response rates </w:t>
      </w:r>
      <w:r w:rsidR="002435C4" w:rsidRPr="00B04F2E">
        <w:t>(</w:t>
      </w:r>
      <w:r w:rsidRPr="00B04F2E">
        <w:rPr>
          <w:iCs/>
        </w:rPr>
        <w:t>7.5% oral vs 20.4% foam</w:t>
      </w:r>
      <w:r w:rsidR="002435C4" w:rsidRPr="00B04F2E">
        <w:rPr>
          <w:iCs/>
        </w:rPr>
        <w:t>)</w:t>
      </w:r>
      <w:r w:rsidRPr="00B04F2E">
        <w:t>.</w:t>
      </w:r>
    </w:p>
    <w:p w:rsidR="00D924FF" w:rsidRDefault="00D924FF">
      <w:pPr>
        <w:spacing w:before="0" w:line="259" w:lineRule="auto"/>
        <w:rPr>
          <w:i/>
        </w:rPr>
      </w:pPr>
      <w:r>
        <w:rPr>
          <w:i/>
        </w:rPr>
        <w:br w:type="page"/>
      </w:r>
    </w:p>
    <w:p w:rsidR="00CE2C36" w:rsidRPr="00D924FF" w:rsidRDefault="00CE2C36" w:rsidP="00D924FF">
      <w:pPr>
        <w:pStyle w:val="ListParagraph"/>
        <w:spacing w:before="0" w:after="120"/>
        <w:jc w:val="both"/>
        <w:rPr>
          <w:i/>
        </w:rPr>
      </w:pPr>
    </w:p>
    <w:p w:rsidR="008B2620" w:rsidRDefault="008B2620" w:rsidP="008B2620">
      <w:pPr>
        <w:pStyle w:val="Caption"/>
        <w:keepNext/>
      </w:pPr>
      <w:r>
        <w:t xml:space="preserve">Table </w:t>
      </w:r>
      <w:r w:rsidR="009C2BB0">
        <w:rPr>
          <w:noProof/>
        </w:rPr>
        <w:t>4</w:t>
      </w:r>
      <w:r>
        <w:t xml:space="preserve">: </w:t>
      </w:r>
      <w:r w:rsidRPr="00BF6962">
        <w:t>Trial, subgroup, meta-analyses and indirect comparison results for the outcome of remission (based on the individual trial definitions)</w:t>
      </w:r>
    </w:p>
    <w:tbl>
      <w:tblPr>
        <w:tblStyle w:val="Summarybox6"/>
        <w:tblW w:w="4981" w:type="pct"/>
        <w:tblInd w:w="28" w:type="dxa"/>
        <w:tblLayout w:type="fixed"/>
        <w:tblCellMar>
          <w:left w:w="28" w:type="dxa"/>
          <w:right w:w="28" w:type="dxa"/>
        </w:tblCellMar>
        <w:tblLook w:val="04A0" w:firstRow="1" w:lastRow="0" w:firstColumn="1" w:lastColumn="0" w:noHBand="0" w:noVBand="1"/>
        <w:tblCaption w:val="Trial, subgroup, meta-analyses and indirect comparison results for the outcome of remission (based on the individual trial definitions)"/>
      </w:tblPr>
      <w:tblGrid>
        <w:gridCol w:w="2381"/>
        <w:gridCol w:w="1081"/>
        <w:gridCol w:w="1081"/>
        <w:gridCol w:w="1259"/>
        <w:gridCol w:w="1259"/>
        <w:gridCol w:w="2010"/>
      </w:tblGrid>
      <w:tr w:rsidR="008E12B9" w:rsidRPr="00577B2E" w:rsidTr="008B2620">
        <w:trPr>
          <w:trHeight w:val="283"/>
          <w:tblHeader/>
        </w:trPr>
        <w:tc>
          <w:tcPr>
            <w:tcW w:w="1312" w:type="pct"/>
            <w:shd w:val="clear" w:color="auto" w:fill="auto"/>
            <w:vAlign w:val="center"/>
          </w:tcPr>
          <w:p w:rsidR="008E12B9" w:rsidRPr="00577B2E" w:rsidRDefault="008E12B9" w:rsidP="008E12B9">
            <w:pPr>
              <w:keepNext/>
              <w:keepLines/>
              <w:spacing w:before="0"/>
              <w:rPr>
                <w:rFonts w:ascii="Arial Narrow" w:eastAsia="Calibri" w:hAnsi="Arial Narrow" w:cstheme="minorHAnsi"/>
                <w:b/>
                <w:sz w:val="18"/>
                <w:szCs w:val="18"/>
              </w:rPr>
            </w:pPr>
            <w:r w:rsidRPr="00577B2E">
              <w:rPr>
                <w:rFonts w:ascii="Arial Narrow" w:eastAsia="Calibri" w:hAnsi="Arial Narrow" w:cstheme="minorHAnsi"/>
                <w:b/>
                <w:sz w:val="18"/>
                <w:szCs w:val="18"/>
              </w:rPr>
              <w:t>Trial ID</w:t>
            </w:r>
          </w:p>
        </w:tc>
        <w:tc>
          <w:tcPr>
            <w:tcW w:w="596" w:type="pct"/>
            <w:shd w:val="clear" w:color="auto" w:fill="auto"/>
            <w:vAlign w:val="center"/>
          </w:tcPr>
          <w:p w:rsidR="008E12B9" w:rsidRPr="00577B2E" w:rsidRDefault="008E12B9" w:rsidP="008E12B9">
            <w:pPr>
              <w:keepNext/>
              <w:keepLines/>
              <w:spacing w:before="0"/>
              <w:jc w:val="center"/>
              <w:rPr>
                <w:rFonts w:ascii="Arial Narrow" w:eastAsia="Calibri" w:hAnsi="Arial Narrow" w:cstheme="minorHAnsi"/>
                <w:b/>
                <w:sz w:val="18"/>
                <w:szCs w:val="18"/>
              </w:rPr>
            </w:pPr>
            <w:r w:rsidRPr="00577B2E">
              <w:rPr>
                <w:rFonts w:ascii="Arial Narrow" w:eastAsia="Calibri" w:hAnsi="Arial Narrow" w:cstheme="minorHAnsi"/>
                <w:b/>
                <w:sz w:val="18"/>
                <w:szCs w:val="18"/>
              </w:rPr>
              <w:t>Budesonide</w:t>
            </w:r>
          </w:p>
          <w:p w:rsidR="008E12B9" w:rsidRPr="00577B2E" w:rsidRDefault="008E12B9" w:rsidP="008E12B9">
            <w:pPr>
              <w:keepNext/>
              <w:keepLines/>
              <w:spacing w:before="0"/>
              <w:jc w:val="center"/>
              <w:rPr>
                <w:rFonts w:ascii="Arial Narrow" w:eastAsia="Calibri" w:hAnsi="Arial Narrow" w:cstheme="minorHAnsi"/>
                <w:b/>
                <w:sz w:val="18"/>
                <w:szCs w:val="18"/>
              </w:rPr>
            </w:pPr>
            <w:proofErr w:type="gramStart"/>
            <w:r w:rsidRPr="00577B2E">
              <w:rPr>
                <w:rFonts w:ascii="Arial Narrow" w:eastAsia="Calibri" w:hAnsi="Arial Narrow" w:cstheme="minorHAnsi"/>
                <w:b/>
                <w:sz w:val="18"/>
                <w:szCs w:val="18"/>
              </w:rPr>
              <w:t>n/N</w:t>
            </w:r>
            <w:proofErr w:type="gramEnd"/>
            <w:r w:rsidRPr="00577B2E">
              <w:rPr>
                <w:rFonts w:ascii="Arial Narrow" w:eastAsia="Calibri" w:hAnsi="Arial Narrow" w:cstheme="minorHAnsi"/>
                <w:b/>
                <w:sz w:val="18"/>
                <w:szCs w:val="18"/>
              </w:rPr>
              <w:t xml:space="preserve"> (%)</w:t>
            </w:r>
          </w:p>
        </w:tc>
        <w:tc>
          <w:tcPr>
            <w:tcW w:w="596" w:type="pct"/>
            <w:shd w:val="clear" w:color="auto" w:fill="auto"/>
            <w:vAlign w:val="center"/>
          </w:tcPr>
          <w:p w:rsidR="008E12B9" w:rsidRPr="00577B2E" w:rsidRDefault="008E12B9" w:rsidP="008E12B9">
            <w:pPr>
              <w:keepNext/>
              <w:keepLines/>
              <w:spacing w:before="0"/>
              <w:jc w:val="center"/>
              <w:rPr>
                <w:rFonts w:ascii="Arial Narrow" w:eastAsia="Calibri" w:hAnsi="Arial Narrow" w:cstheme="minorHAnsi"/>
                <w:b/>
                <w:sz w:val="18"/>
                <w:szCs w:val="18"/>
              </w:rPr>
            </w:pPr>
            <w:r w:rsidRPr="00577B2E">
              <w:rPr>
                <w:rFonts w:ascii="Arial Narrow" w:eastAsia="Calibri" w:hAnsi="Arial Narrow" w:cstheme="minorHAnsi"/>
                <w:b/>
                <w:sz w:val="18"/>
                <w:szCs w:val="18"/>
              </w:rPr>
              <w:t>Placebo</w:t>
            </w:r>
          </w:p>
          <w:p w:rsidR="008E12B9" w:rsidRPr="00577B2E" w:rsidRDefault="008E12B9" w:rsidP="008E12B9">
            <w:pPr>
              <w:keepNext/>
              <w:keepLines/>
              <w:spacing w:before="0"/>
              <w:jc w:val="center"/>
              <w:rPr>
                <w:rFonts w:ascii="Arial Narrow" w:eastAsia="Calibri" w:hAnsi="Arial Narrow" w:cstheme="minorHAnsi"/>
                <w:b/>
                <w:sz w:val="18"/>
                <w:szCs w:val="18"/>
              </w:rPr>
            </w:pPr>
            <w:proofErr w:type="gramStart"/>
            <w:r w:rsidRPr="00577B2E">
              <w:rPr>
                <w:rFonts w:ascii="Arial Narrow" w:eastAsia="Calibri" w:hAnsi="Arial Narrow" w:cstheme="minorHAnsi"/>
                <w:b/>
                <w:sz w:val="18"/>
                <w:szCs w:val="18"/>
              </w:rPr>
              <w:t>n/N</w:t>
            </w:r>
            <w:proofErr w:type="gramEnd"/>
            <w:r w:rsidRPr="00577B2E">
              <w:rPr>
                <w:rFonts w:ascii="Arial Narrow" w:eastAsia="Calibri" w:hAnsi="Arial Narrow" w:cstheme="minorHAnsi"/>
                <w:b/>
                <w:sz w:val="18"/>
                <w:szCs w:val="18"/>
              </w:rPr>
              <w:t xml:space="preserve"> (%)</w:t>
            </w:r>
          </w:p>
        </w:tc>
        <w:tc>
          <w:tcPr>
            <w:tcW w:w="694" w:type="pct"/>
            <w:shd w:val="clear" w:color="auto" w:fill="auto"/>
            <w:vAlign w:val="center"/>
          </w:tcPr>
          <w:p w:rsidR="008E12B9" w:rsidRPr="00577B2E" w:rsidRDefault="008E12B9" w:rsidP="008E12B9">
            <w:pPr>
              <w:keepNext/>
              <w:keepLines/>
              <w:spacing w:before="0"/>
              <w:jc w:val="center"/>
              <w:rPr>
                <w:rFonts w:ascii="Arial Narrow" w:eastAsia="Calibri" w:hAnsi="Arial Narrow" w:cstheme="minorHAnsi"/>
                <w:b/>
                <w:sz w:val="18"/>
                <w:szCs w:val="18"/>
              </w:rPr>
            </w:pPr>
            <w:r w:rsidRPr="00577B2E">
              <w:rPr>
                <w:rFonts w:ascii="Arial Narrow" w:eastAsia="Calibri" w:hAnsi="Arial Narrow" w:cstheme="minorHAnsi"/>
                <w:b/>
                <w:sz w:val="18"/>
                <w:szCs w:val="18"/>
              </w:rPr>
              <w:t xml:space="preserve">Relative risk </w:t>
            </w:r>
          </w:p>
          <w:p w:rsidR="008E12B9" w:rsidRPr="00577B2E" w:rsidRDefault="008E12B9" w:rsidP="008E12B9">
            <w:pPr>
              <w:keepNext/>
              <w:keepLines/>
              <w:spacing w:before="0"/>
              <w:jc w:val="center"/>
              <w:rPr>
                <w:rFonts w:ascii="Arial Narrow" w:eastAsia="Calibri" w:hAnsi="Arial Narrow" w:cstheme="minorHAnsi"/>
                <w:b/>
                <w:sz w:val="18"/>
                <w:szCs w:val="18"/>
              </w:rPr>
            </w:pPr>
            <w:r w:rsidRPr="00577B2E">
              <w:rPr>
                <w:rFonts w:ascii="Arial Narrow" w:eastAsia="Calibri" w:hAnsi="Arial Narrow" w:cstheme="minorHAnsi"/>
                <w:b/>
                <w:sz w:val="18"/>
                <w:szCs w:val="18"/>
              </w:rPr>
              <w:t>RR (95% CI)</w:t>
            </w:r>
          </w:p>
        </w:tc>
        <w:tc>
          <w:tcPr>
            <w:tcW w:w="694" w:type="pct"/>
            <w:shd w:val="clear" w:color="auto" w:fill="auto"/>
            <w:vAlign w:val="center"/>
          </w:tcPr>
          <w:p w:rsidR="008E12B9" w:rsidRPr="00577B2E" w:rsidRDefault="008E12B9" w:rsidP="008E12B9">
            <w:pPr>
              <w:keepNext/>
              <w:keepLines/>
              <w:spacing w:before="0"/>
              <w:jc w:val="center"/>
              <w:rPr>
                <w:rFonts w:ascii="Arial Narrow" w:eastAsia="Calibri" w:hAnsi="Arial Narrow" w:cstheme="minorHAnsi"/>
                <w:b/>
                <w:sz w:val="18"/>
                <w:szCs w:val="18"/>
              </w:rPr>
            </w:pPr>
            <w:r w:rsidRPr="00577B2E">
              <w:rPr>
                <w:rFonts w:ascii="Arial Narrow" w:eastAsia="Calibri" w:hAnsi="Arial Narrow" w:cstheme="minorHAnsi"/>
                <w:b/>
                <w:sz w:val="18"/>
                <w:szCs w:val="18"/>
              </w:rPr>
              <w:t>Risk difference</w:t>
            </w:r>
          </w:p>
          <w:p w:rsidR="008E12B9" w:rsidRPr="00577B2E" w:rsidRDefault="008E12B9" w:rsidP="008E12B9">
            <w:pPr>
              <w:keepNext/>
              <w:keepLines/>
              <w:spacing w:before="0"/>
              <w:jc w:val="center"/>
              <w:rPr>
                <w:rFonts w:ascii="Arial Narrow" w:eastAsia="Calibri" w:hAnsi="Arial Narrow" w:cstheme="minorHAnsi"/>
                <w:b/>
                <w:sz w:val="18"/>
                <w:szCs w:val="18"/>
              </w:rPr>
            </w:pPr>
            <w:r w:rsidRPr="00577B2E">
              <w:rPr>
                <w:rFonts w:ascii="Arial Narrow" w:eastAsia="Calibri" w:hAnsi="Arial Narrow" w:cstheme="minorHAnsi"/>
                <w:b/>
                <w:sz w:val="18"/>
                <w:szCs w:val="18"/>
              </w:rPr>
              <w:t>RD (95% CI)</w:t>
            </w:r>
          </w:p>
        </w:tc>
        <w:tc>
          <w:tcPr>
            <w:tcW w:w="1108" w:type="pct"/>
            <w:shd w:val="clear" w:color="auto" w:fill="auto"/>
            <w:vAlign w:val="center"/>
          </w:tcPr>
          <w:p w:rsidR="008E12B9" w:rsidRPr="00577B2E" w:rsidRDefault="008E12B9" w:rsidP="008E12B9">
            <w:pPr>
              <w:keepNext/>
              <w:keepLines/>
              <w:spacing w:before="0"/>
              <w:jc w:val="center"/>
              <w:rPr>
                <w:rFonts w:ascii="Arial Narrow" w:eastAsia="Calibri" w:hAnsi="Arial Narrow" w:cstheme="minorHAnsi"/>
                <w:b/>
                <w:sz w:val="18"/>
                <w:szCs w:val="18"/>
              </w:rPr>
            </w:pPr>
            <w:r w:rsidRPr="00577B2E">
              <w:rPr>
                <w:rFonts w:ascii="Arial Narrow" w:eastAsia="Calibri" w:hAnsi="Arial Narrow" w:cstheme="minorHAnsi"/>
                <w:b/>
                <w:sz w:val="18"/>
                <w:szCs w:val="18"/>
              </w:rPr>
              <w:t>Odds ratio</w:t>
            </w:r>
          </w:p>
          <w:p w:rsidR="008E12B9" w:rsidRPr="00577B2E" w:rsidRDefault="008E12B9" w:rsidP="008E12B9">
            <w:pPr>
              <w:keepNext/>
              <w:keepLines/>
              <w:spacing w:before="0"/>
              <w:jc w:val="center"/>
              <w:rPr>
                <w:rFonts w:ascii="Arial Narrow" w:eastAsia="Calibri" w:hAnsi="Arial Narrow" w:cstheme="minorHAnsi"/>
                <w:b/>
                <w:sz w:val="18"/>
                <w:szCs w:val="18"/>
              </w:rPr>
            </w:pPr>
            <w:r w:rsidRPr="00577B2E">
              <w:rPr>
                <w:rFonts w:ascii="Arial Narrow" w:eastAsia="Calibri" w:hAnsi="Arial Narrow" w:cstheme="minorHAnsi"/>
                <w:b/>
                <w:sz w:val="18"/>
                <w:szCs w:val="18"/>
              </w:rPr>
              <w:t>OR (95% CI)</w:t>
            </w:r>
          </w:p>
        </w:tc>
      </w:tr>
      <w:tr w:rsidR="008E12B9" w:rsidRPr="00577B2E" w:rsidTr="007C7CC8">
        <w:trPr>
          <w:trHeight w:val="128"/>
        </w:trPr>
        <w:tc>
          <w:tcPr>
            <w:tcW w:w="5000" w:type="pct"/>
            <w:gridSpan w:val="6"/>
            <w:tcBorders>
              <w:top w:val="nil"/>
              <w:bottom w:val="nil"/>
            </w:tcBorders>
            <w:shd w:val="clear" w:color="auto" w:fill="auto"/>
            <w:vAlign w:val="center"/>
          </w:tcPr>
          <w:p w:rsidR="008E12B9" w:rsidRPr="00577B2E" w:rsidRDefault="008E12B9" w:rsidP="008E12B9">
            <w:pPr>
              <w:keepNext/>
              <w:keepLines/>
              <w:spacing w:before="0"/>
              <w:rPr>
                <w:rFonts w:ascii="Arial Narrow" w:eastAsia="Calibri" w:hAnsi="Arial Narrow" w:cstheme="minorHAnsi"/>
                <w:b/>
                <w:sz w:val="18"/>
                <w:szCs w:val="18"/>
              </w:rPr>
            </w:pPr>
            <w:r w:rsidRPr="00577B2E">
              <w:rPr>
                <w:rFonts w:ascii="Arial Narrow" w:eastAsia="Calibri" w:hAnsi="Arial Narrow" w:cstheme="minorHAnsi"/>
                <w:b/>
                <w:sz w:val="18"/>
                <w:szCs w:val="18"/>
              </w:rPr>
              <w:t xml:space="preserve">Budesonide CR trials </w:t>
            </w:r>
            <w:proofErr w:type="spellStart"/>
            <w:r w:rsidRPr="00577B2E">
              <w:rPr>
                <w:rFonts w:ascii="Arial Narrow" w:eastAsia="Calibri" w:hAnsi="Arial Narrow" w:cstheme="minorHAnsi"/>
                <w:b/>
                <w:sz w:val="18"/>
                <w:szCs w:val="18"/>
              </w:rPr>
              <w:t>Wk</w:t>
            </w:r>
            <w:proofErr w:type="spellEnd"/>
            <w:r w:rsidRPr="00577B2E">
              <w:rPr>
                <w:rFonts w:ascii="Arial Narrow" w:eastAsia="Calibri" w:hAnsi="Arial Narrow" w:cstheme="minorHAnsi"/>
                <w:b/>
                <w:sz w:val="18"/>
                <w:szCs w:val="18"/>
              </w:rPr>
              <w:t xml:space="preserve"> 8 results</w:t>
            </w:r>
          </w:p>
        </w:tc>
      </w:tr>
      <w:tr w:rsidR="008E12B9" w:rsidRPr="00577B2E" w:rsidTr="008B2620">
        <w:trPr>
          <w:trHeight w:val="128"/>
        </w:trPr>
        <w:tc>
          <w:tcPr>
            <w:tcW w:w="1312" w:type="pct"/>
            <w:shd w:val="clear" w:color="auto" w:fill="auto"/>
            <w:vAlign w:val="center"/>
          </w:tcPr>
          <w:p w:rsidR="008E12B9" w:rsidRPr="00577B2E" w:rsidRDefault="008E12B9" w:rsidP="008E12B9">
            <w:pPr>
              <w:keepNext/>
              <w:keepLines/>
              <w:spacing w:before="0"/>
              <w:rPr>
                <w:rFonts w:ascii="Arial Narrow" w:eastAsia="Calibri" w:hAnsi="Arial Narrow" w:cstheme="minorHAnsi"/>
                <w:sz w:val="18"/>
                <w:szCs w:val="18"/>
                <w:vertAlign w:val="superscript"/>
              </w:rPr>
            </w:pPr>
            <w:r w:rsidRPr="00577B2E">
              <w:rPr>
                <w:rFonts w:ascii="Arial Narrow" w:eastAsia="Calibri" w:hAnsi="Arial Narrow" w:cstheme="minorHAnsi"/>
                <w:sz w:val="18"/>
                <w:szCs w:val="18"/>
              </w:rPr>
              <w:t>CORE I</w:t>
            </w:r>
            <w:r w:rsidRPr="00577B2E">
              <w:rPr>
                <w:rFonts w:ascii="Arial Narrow" w:eastAsia="Calibri" w:hAnsi="Arial Narrow" w:cstheme="minorHAnsi"/>
                <w:sz w:val="18"/>
                <w:szCs w:val="18"/>
                <w:vertAlign w:val="superscript"/>
              </w:rPr>
              <w:t>1</w:t>
            </w:r>
          </w:p>
        </w:tc>
        <w:tc>
          <w:tcPr>
            <w:tcW w:w="596" w:type="pct"/>
            <w:shd w:val="clear" w:color="auto" w:fill="auto"/>
            <w:vAlign w:val="center"/>
          </w:tcPr>
          <w:p w:rsidR="008E12B9" w:rsidRPr="00577B2E" w:rsidRDefault="008E12B9" w:rsidP="008E12B9">
            <w:pPr>
              <w:keepNext/>
              <w:keepLines/>
              <w:spacing w:before="0"/>
              <w:jc w:val="center"/>
              <w:rPr>
                <w:rFonts w:ascii="Arial Narrow" w:eastAsia="Calibri" w:hAnsi="Arial Narrow" w:cstheme="minorHAnsi"/>
                <w:sz w:val="18"/>
                <w:szCs w:val="18"/>
              </w:rPr>
            </w:pPr>
            <w:r w:rsidRPr="00577B2E">
              <w:rPr>
                <w:rFonts w:ascii="Arial Narrow" w:eastAsia="Calibri" w:hAnsi="Arial Narrow" w:cstheme="minorHAnsi"/>
                <w:sz w:val="18"/>
                <w:szCs w:val="18"/>
              </w:rPr>
              <w:t>22/123 (17.9)</w:t>
            </w:r>
          </w:p>
        </w:tc>
        <w:tc>
          <w:tcPr>
            <w:tcW w:w="596" w:type="pct"/>
            <w:shd w:val="clear" w:color="auto" w:fill="auto"/>
            <w:vAlign w:val="center"/>
          </w:tcPr>
          <w:p w:rsidR="008E12B9" w:rsidRPr="00577B2E" w:rsidRDefault="008E12B9" w:rsidP="008E12B9">
            <w:pPr>
              <w:keepNext/>
              <w:keepLines/>
              <w:spacing w:before="0"/>
              <w:jc w:val="center"/>
              <w:rPr>
                <w:rFonts w:ascii="Arial Narrow" w:eastAsia="Calibri" w:hAnsi="Arial Narrow" w:cstheme="minorHAnsi"/>
                <w:sz w:val="18"/>
                <w:szCs w:val="18"/>
              </w:rPr>
            </w:pPr>
            <w:r w:rsidRPr="00577B2E">
              <w:rPr>
                <w:rFonts w:ascii="Arial Narrow" w:eastAsia="Calibri" w:hAnsi="Arial Narrow" w:cstheme="minorHAnsi"/>
                <w:sz w:val="18"/>
                <w:szCs w:val="18"/>
              </w:rPr>
              <w:t>9/121 (7.4)</w:t>
            </w:r>
          </w:p>
        </w:tc>
        <w:tc>
          <w:tcPr>
            <w:tcW w:w="694" w:type="pct"/>
            <w:shd w:val="clear" w:color="auto" w:fill="auto"/>
            <w:vAlign w:val="center"/>
          </w:tcPr>
          <w:p w:rsidR="008E12B9" w:rsidRPr="001A53AB" w:rsidRDefault="008E12B9" w:rsidP="008E12B9">
            <w:pPr>
              <w:keepNext/>
              <w:keepLines/>
              <w:tabs>
                <w:tab w:val="center" w:pos="1192"/>
              </w:tabs>
              <w:spacing w:before="0"/>
              <w:jc w:val="center"/>
              <w:rPr>
                <w:rFonts w:ascii="Arial Narrow" w:eastAsia="Times New Roman" w:hAnsi="Arial Narrow" w:cstheme="minorHAnsi"/>
                <w:b/>
                <w:bCs/>
                <w:color w:val="000000"/>
                <w:sz w:val="18"/>
                <w:szCs w:val="18"/>
              </w:rPr>
            </w:pPr>
            <w:r w:rsidRPr="001A53AB">
              <w:rPr>
                <w:rFonts w:ascii="Arial Narrow" w:eastAsia="Times New Roman" w:hAnsi="Arial Narrow" w:cstheme="minorHAnsi"/>
                <w:b/>
                <w:bCs/>
                <w:color w:val="000000"/>
                <w:sz w:val="18"/>
                <w:szCs w:val="18"/>
              </w:rPr>
              <w:t>2.40 (1.15,5.01)</w:t>
            </w:r>
          </w:p>
        </w:tc>
        <w:tc>
          <w:tcPr>
            <w:tcW w:w="694" w:type="pct"/>
            <w:shd w:val="clear" w:color="auto" w:fill="auto"/>
            <w:vAlign w:val="center"/>
          </w:tcPr>
          <w:p w:rsidR="008E12B9" w:rsidRPr="001A53AB" w:rsidRDefault="008E12B9" w:rsidP="008E12B9">
            <w:pPr>
              <w:keepNext/>
              <w:keepLines/>
              <w:tabs>
                <w:tab w:val="center" w:pos="1192"/>
              </w:tabs>
              <w:spacing w:before="0"/>
              <w:jc w:val="center"/>
              <w:rPr>
                <w:rFonts w:ascii="Arial Narrow" w:eastAsia="Times New Roman" w:hAnsi="Arial Narrow" w:cstheme="minorHAnsi"/>
                <w:b/>
                <w:bCs/>
                <w:color w:val="000000"/>
                <w:sz w:val="18"/>
                <w:szCs w:val="18"/>
              </w:rPr>
            </w:pPr>
            <w:r w:rsidRPr="001A53AB">
              <w:rPr>
                <w:rFonts w:ascii="Arial Narrow" w:eastAsia="Times New Roman" w:hAnsi="Arial Narrow" w:cstheme="minorHAnsi"/>
                <w:b/>
                <w:bCs/>
                <w:color w:val="000000"/>
                <w:sz w:val="18"/>
                <w:szCs w:val="18"/>
              </w:rPr>
              <w:t>0.10 (0.02,0.19)</w:t>
            </w:r>
          </w:p>
        </w:tc>
        <w:tc>
          <w:tcPr>
            <w:tcW w:w="1108" w:type="pct"/>
            <w:shd w:val="clear" w:color="auto" w:fill="auto"/>
            <w:vAlign w:val="center"/>
          </w:tcPr>
          <w:p w:rsidR="008E12B9" w:rsidRPr="001A53AB" w:rsidRDefault="00285568" w:rsidP="008E12B9">
            <w:pPr>
              <w:keepNext/>
              <w:keepLines/>
              <w:tabs>
                <w:tab w:val="center" w:pos="1192"/>
              </w:tabs>
              <w:spacing w:before="0"/>
              <w:jc w:val="center"/>
              <w:rPr>
                <w:rFonts w:ascii="Arial Narrow" w:eastAsia="Times New Roman" w:hAnsi="Arial Narrow" w:cstheme="minorHAnsi"/>
                <w:b/>
                <w:bCs/>
                <w:color w:val="000000"/>
                <w:sz w:val="18"/>
                <w:szCs w:val="18"/>
              </w:rPr>
            </w:pPr>
            <w:r w:rsidRPr="001A53AB">
              <w:rPr>
                <w:rFonts w:ascii="Arial Narrow" w:eastAsia="Times New Roman" w:hAnsi="Arial Narrow" w:cstheme="minorHAnsi"/>
                <w:b/>
                <w:bCs/>
                <w:color w:val="000000"/>
                <w:sz w:val="18"/>
                <w:szCs w:val="18"/>
              </w:rPr>
              <w:t>2.71 (1.19,6.16)</w:t>
            </w:r>
          </w:p>
        </w:tc>
      </w:tr>
      <w:tr w:rsidR="008E12B9" w:rsidRPr="00577B2E" w:rsidTr="008B2620">
        <w:trPr>
          <w:trHeight w:val="60"/>
        </w:trPr>
        <w:tc>
          <w:tcPr>
            <w:tcW w:w="1312" w:type="pct"/>
            <w:shd w:val="clear" w:color="auto" w:fill="auto"/>
            <w:vAlign w:val="center"/>
          </w:tcPr>
          <w:p w:rsidR="008E12B9" w:rsidRPr="00577B2E" w:rsidRDefault="008E12B9" w:rsidP="008E12B9">
            <w:pPr>
              <w:keepNext/>
              <w:keepLines/>
              <w:spacing w:before="0"/>
              <w:rPr>
                <w:rFonts w:ascii="Arial Narrow" w:eastAsia="Calibri" w:hAnsi="Arial Narrow" w:cstheme="minorHAnsi"/>
                <w:sz w:val="18"/>
                <w:szCs w:val="18"/>
                <w:vertAlign w:val="superscript"/>
              </w:rPr>
            </w:pPr>
            <w:r w:rsidRPr="00577B2E">
              <w:rPr>
                <w:rFonts w:ascii="Arial Narrow" w:eastAsia="Calibri" w:hAnsi="Arial Narrow" w:cstheme="minorHAnsi"/>
                <w:sz w:val="18"/>
                <w:szCs w:val="18"/>
              </w:rPr>
              <w:t>CORE II</w:t>
            </w:r>
            <w:r w:rsidRPr="00577B2E">
              <w:rPr>
                <w:rFonts w:ascii="Arial Narrow" w:eastAsia="Calibri" w:hAnsi="Arial Narrow" w:cstheme="minorHAnsi"/>
                <w:sz w:val="18"/>
                <w:szCs w:val="18"/>
                <w:vertAlign w:val="superscript"/>
              </w:rPr>
              <w:t>1</w:t>
            </w:r>
          </w:p>
        </w:tc>
        <w:tc>
          <w:tcPr>
            <w:tcW w:w="596" w:type="pct"/>
            <w:shd w:val="clear" w:color="auto" w:fill="auto"/>
            <w:vAlign w:val="center"/>
          </w:tcPr>
          <w:p w:rsidR="008E12B9" w:rsidRPr="00577B2E" w:rsidRDefault="008E12B9" w:rsidP="008E12B9">
            <w:pPr>
              <w:keepNext/>
              <w:keepLines/>
              <w:spacing w:before="0"/>
              <w:jc w:val="center"/>
              <w:rPr>
                <w:rFonts w:ascii="Arial Narrow" w:eastAsia="Calibri" w:hAnsi="Arial Narrow" w:cstheme="minorHAnsi"/>
                <w:sz w:val="18"/>
                <w:szCs w:val="18"/>
              </w:rPr>
            </w:pPr>
            <w:r w:rsidRPr="00577B2E">
              <w:rPr>
                <w:rFonts w:ascii="Arial Narrow" w:eastAsia="Calibri" w:hAnsi="Arial Narrow" w:cstheme="minorHAnsi"/>
                <w:sz w:val="18"/>
                <w:szCs w:val="18"/>
              </w:rPr>
              <w:t>19/109 (17.4)</w:t>
            </w:r>
          </w:p>
        </w:tc>
        <w:tc>
          <w:tcPr>
            <w:tcW w:w="596" w:type="pct"/>
            <w:shd w:val="clear" w:color="auto" w:fill="auto"/>
            <w:vAlign w:val="center"/>
          </w:tcPr>
          <w:p w:rsidR="008E12B9" w:rsidRPr="00577B2E" w:rsidRDefault="008E12B9" w:rsidP="008E12B9">
            <w:pPr>
              <w:keepNext/>
              <w:keepLines/>
              <w:spacing w:before="0"/>
              <w:jc w:val="center"/>
              <w:rPr>
                <w:rFonts w:ascii="Arial Narrow" w:eastAsia="Calibri" w:hAnsi="Arial Narrow" w:cstheme="minorHAnsi"/>
                <w:sz w:val="18"/>
                <w:szCs w:val="18"/>
              </w:rPr>
            </w:pPr>
            <w:r w:rsidRPr="00577B2E">
              <w:rPr>
                <w:rFonts w:ascii="Arial Narrow" w:eastAsia="Calibri" w:hAnsi="Arial Narrow" w:cstheme="minorHAnsi"/>
                <w:sz w:val="18"/>
                <w:szCs w:val="18"/>
              </w:rPr>
              <w:t>4/89 (4.5)</w:t>
            </w:r>
          </w:p>
        </w:tc>
        <w:tc>
          <w:tcPr>
            <w:tcW w:w="694" w:type="pct"/>
            <w:shd w:val="clear" w:color="auto" w:fill="auto"/>
            <w:vAlign w:val="center"/>
          </w:tcPr>
          <w:p w:rsidR="008E12B9" w:rsidRPr="001A53AB" w:rsidRDefault="008E12B9" w:rsidP="008E12B9">
            <w:pPr>
              <w:keepNext/>
              <w:keepLines/>
              <w:tabs>
                <w:tab w:val="center" w:pos="1192"/>
              </w:tabs>
              <w:spacing w:before="0"/>
              <w:jc w:val="center"/>
              <w:rPr>
                <w:rFonts w:ascii="Arial Narrow" w:eastAsia="Calibri" w:hAnsi="Arial Narrow" w:cstheme="minorHAnsi"/>
                <w:b/>
                <w:bCs/>
                <w:sz w:val="18"/>
                <w:szCs w:val="18"/>
              </w:rPr>
            </w:pPr>
            <w:r w:rsidRPr="001A53AB">
              <w:rPr>
                <w:rFonts w:ascii="Arial Narrow" w:eastAsia="Calibri" w:hAnsi="Arial Narrow" w:cstheme="minorHAnsi"/>
                <w:b/>
                <w:bCs/>
                <w:sz w:val="18"/>
                <w:szCs w:val="18"/>
              </w:rPr>
              <w:t>3.88 (1.37,10.99)</w:t>
            </w:r>
          </w:p>
        </w:tc>
        <w:tc>
          <w:tcPr>
            <w:tcW w:w="694" w:type="pct"/>
            <w:shd w:val="clear" w:color="auto" w:fill="auto"/>
            <w:vAlign w:val="center"/>
          </w:tcPr>
          <w:p w:rsidR="008E12B9" w:rsidRPr="001A53AB" w:rsidRDefault="008E12B9" w:rsidP="008E12B9">
            <w:pPr>
              <w:keepNext/>
              <w:keepLines/>
              <w:tabs>
                <w:tab w:val="center" w:pos="1192"/>
              </w:tabs>
              <w:spacing w:before="0"/>
              <w:jc w:val="center"/>
              <w:rPr>
                <w:rFonts w:ascii="Arial Narrow" w:eastAsia="Times New Roman" w:hAnsi="Arial Narrow" w:cstheme="minorHAnsi"/>
                <w:b/>
                <w:bCs/>
                <w:color w:val="000000"/>
                <w:sz w:val="18"/>
                <w:szCs w:val="18"/>
              </w:rPr>
            </w:pPr>
            <w:r w:rsidRPr="001A53AB">
              <w:rPr>
                <w:rFonts w:ascii="Arial Narrow" w:eastAsia="Times New Roman" w:hAnsi="Arial Narrow" w:cstheme="minorHAnsi"/>
                <w:b/>
                <w:bCs/>
                <w:color w:val="000000"/>
                <w:sz w:val="18"/>
                <w:szCs w:val="18"/>
              </w:rPr>
              <w:t>0.13 (0.05,0.21)</w:t>
            </w:r>
          </w:p>
        </w:tc>
        <w:tc>
          <w:tcPr>
            <w:tcW w:w="1108" w:type="pct"/>
            <w:shd w:val="clear" w:color="auto" w:fill="auto"/>
            <w:vAlign w:val="center"/>
          </w:tcPr>
          <w:p w:rsidR="008E12B9" w:rsidRPr="001A53AB" w:rsidRDefault="008E12B9" w:rsidP="008E12B9">
            <w:pPr>
              <w:keepNext/>
              <w:keepLines/>
              <w:tabs>
                <w:tab w:val="center" w:pos="1192"/>
              </w:tabs>
              <w:spacing w:before="0"/>
              <w:jc w:val="center"/>
              <w:rPr>
                <w:rFonts w:ascii="Arial Narrow" w:eastAsia="Times New Roman" w:hAnsi="Arial Narrow" w:cstheme="minorHAnsi"/>
                <w:b/>
                <w:bCs/>
                <w:color w:val="000000"/>
                <w:sz w:val="18"/>
                <w:szCs w:val="18"/>
              </w:rPr>
            </w:pPr>
            <w:r w:rsidRPr="001A53AB">
              <w:rPr>
                <w:rFonts w:ascii="Arial Narrow" w:eastAsia="Times New Roman" w:hAnsi="Arial Narrow" w:cstheme="minorHAnsi"/>
                <w:b/>
                <w:bCs/>
                <w:color w:val="000000"/>
                <w:sz w:val="18"/>
                <w:szCs w:val="18"/>
              </w:rPr>
              <w:t>4.49 (1.47,13.72)</w:t>
            </w:r>
          </w:p>
        </w:tc>
      </w:tr>
      <w:tr w:rsidR="008E12B9" w:rsidRPr="00577B2E" w:rsidTr="008B2620">
        <w:trPr>
          <w:trHeight w:val="60"/>
        </w:trPr>
        <w:tc>
          <w:tcPr>
            <w:tcW w:w="1312" w:type="pct"/>
            <w:shd w:val="clear" w:color="auto" w:fill="auto"/>
            <w:vAlign w:val="center"/>
          </w:tcPr>
          <w:p w:rsidR="008E12B9" w:rsidRPr="00577B2E" w:rsidRDefault="008E12B9" w:rsidP="008E12B9">
            <w:pPr>
              <w:keepNext/>
              <w:keepLines/>
              <w:spacing w:before="0"/>
              <w:rPr>
                <w:rFonts w:ascii="Arial Narrow" w:eastAsia="Calibri" w:hAnsi="Arial Narrow" w:cstheme="minorHAnsi"/>
                <w:sz w:val="18"/>
                <w:szCs w:val="18"/>
                <w:vertAlign w:val="superscript"/>
              </w:rPr>
            </w:pPr>
            <w:r w:rsidRPr="00577B2E">
              <w:rPr>
                <w:rFonts w:ascii="Arial Narrow" w:eastAsia="Calibri" w:hAnsi="Arial Narrow" w:cstheme="minorHAnsi"/>
                <w:sz w:val="18"/>
                <w:szCs w:val="18"/>
              </w:rPr>
              <w:t>CONTRIBUTE</w:t>
            </w:r>
            <w:r w:rsidRPr="00577B2E">
              <w:rPr>
                <w:rFonts w:ascii="Arial Narrow" w:eastAsia="Calibri" w:hAnsi="Arial Narrow" w:cstheme="minorHAnsi"/>
                <w:sz w:val="18"/>
                <w:szCs w:val="18"/>
                <w:vertAlign w:val="superscript"/>
              </w:rPr>
              <w:t>2</w:t>
            </w:r>
          </w:p>
        </w:tc>
        <w:tc>
          <w:tcPr>
            <w:tcW w:w="596" w:type="pct"/>
            <w:shd w:val="clear" w:color="auto" w:fill="auto"/>
            <w:vAlign w:val="center"/>
          </w:tcPr>
          <w:p w:rsidR="008E12B9" w:rsidRPr="00577B2E" w:rsidRDefault="008E12B9" w:rsidP="008E12B9">
            <w:pPr>
              <w:keepNext/>
              <w:keepLines/>
              <w:spacing w:before="0"/>
              <w:jc w:val="center"/>
              <w:rPr>
                <w:rFonts w:ascii="Arial Narrow" w:eastAsia="Calibri" w:hAnsi="Arial Narrow" w:cstheme="minorHAnsi"/>
                <w:sz w:val="18"/>
                <w:szCs w:val="18"/>
              </w:rPr>
            </w:pPr>
            <w:r w:rsidRPr="00577B2E">
              <w:rPr>
                <w:rFonts w:ascii="Arial Narrow" w:eastAsia="Calibri" w:hAnsi="Arial Narrow" w:cstheme="minorHAnsi"/>
                <w:sz w:val="18"/>
                <w:szCs w:val="18"/>
              </w:rPr>
              <w:t>30/230 (13.0)</w:t>
            </w:r>
          </w:p>
        </w:tc>
        <w:tc>
          <w:tcPr>
            <w:tcW w:w="596" w:type="pct"/>
            <w:shd w:val="clear" w:color="auto" w:fill="auto"/>
            <w:vAlign w:val="center"/>
          </w:tcPr>
          <w:p w:rsidR="008E12B9" w:rsidRPr="00577B2E" w:rsidRDefault="008E12B9" w:rsidP="008E12B9">
            <w:pPr>
              <w:keepNext/>
              <w:keepLines/>
              <w:spacing w:before="0"/>
              <w:jc w:val="center"/>
              <w:rPr>
                <w:rFonts w:ascii="Arial Narrow" w:eastAsia="Calibri" w:hAnsi="Arial Narrow" w:cstheme="minorHAnsi"/>
                <w:sz w:val="18"/>
                <w:szCs w:val="18"/>
              </w:rPr>
            </w:pPr>
            <w:r w:rsidRPr="00577B2E">
              <w:rPr>
                <w:rFonts w:ascii="Arial Narrow" w:eastAsia="Calibri" w:hAnsi="Arial Narrow" w:cstheme="minorHAnsi"/>
                <w:sz w:val="18"/>
                <w:szCs w:val="18"/>
              </w:rPr>
              <w:t>17/228 (7.5)</w:t>
            </w:r>
          </w:p>
        </w:tc>
        <w:tc>
          <w:tcPr>
            <w:tcW w:w="694" w:type="pct"/>
            <w:shd w:val="clear" w:color="auto" w:fill="auto"/>
            <w:vAlign w:val="center"/>
          </w:tcPr>
          <w:p w:rsidR="008E12B9" w:rsidRPr="001A53AB" w:rsidRDefault="008E12B9" w:rsidP="008E12B9">
            <w:pPr>
              <w:keepNext/>
              <w:keepLines/>
              <w:spacing w:before="0"/>
              <w:jc w:val="center"/>
              <w:rPr>
                <w:rFonts w:ascii="Arial Narrow" w:eastAsia="Calibri" w:hAnsi="Arial Narrow" w:cstheme="minorHAnsi"/>
                <w:b/>
                <w:bCs/>
                <w:sz w:val="18"/>
                <w:szCs w:val="18"/>
              </w:rPr>
            </w:pPr>
            <w:r w:rsidRPr="001A53AB">
              <w:rPr>
                <w:rFonts w:ascii="Arial Narrow" w:eastAsia="Calibri" w:hAnsi="Arial Narrow" w:cstheme="minorHAnsi"/>
                <w:b/>
                <w:bCs/>
                <w:sz w:val="18"/>
                <w:szCs w:val="18"/>
              </w:rPr>
              <w:t>1.75 (0.99,3.08)</w:t>
            </w:r>
          </w:p>
        </w:tc>
        <w:tc>
          <w:tcPr>
            <w:tcW w:w="694" w:type="pct"/>
            <w:shd w:val="clear" w:color="auto" w:fill="auto"/>
            <w:vAlign w:val="center"/>
          </w:tcPr>
          <w:p w:rsidR="008E12B9" w:rsidRPr="001A53AB" w:rsidRDefault="008E12B9" w:rsidP="008E12B9">
            <w:pPr>
              <w:keepNext/>
              <w:keepLines/>
              <w:spacing w:before="0"/>
              <w:jc w:val="center"/>
              <w:rPr>
                <w:rFonts w:ascii="Arial Narrow" w:eastAsia="Calibri" w:hAnsi="Arial Narrow" w:cstheme="minorHAnsi"/>
                <w:b/>
                <w:bCs/>
                <w:sz w:val="18"/>
                <w:szCs w:val="18"/>
              </w:rPr>
            </w:pPr>
            <w:r w:rsidRPr="001A53AB">
              <w:rPr>
                <w:rFonts w:ascii="Arial Narrow" w:eastAsia="Calibri" w:hAnsi="Arial Narrow" w:cstheme="minorHAnsi"/>
                <w:b/>
                <w:bCs/>
                <w:sz w:val="18"/>
                <w:szCs w:val="18"/>
              </w:rPr>
              <w:t>0.06 (0.00,0.11)</w:t>
            </w:r>
          </w:p>
        </w:tc>
        <w:tc>
          <w:tcPr>
            <w:tcW w:w="1108" w:type="pct"/>
            <w:shd w:val="clear" w:color="auto" w:fill="auto"/>
            <w:vAlign w:val="center"/>
          </w:tcPr>
          <w:p w:rsidR="008E12B9" w:rsidRPr="001A53AB" w:rsidRDefault="008E12B9" w:rsidP="008E12B9">
            <w:pPr>
              <w:keepNext/>
              <w:keepLines/>
              <w:tabs>
                <w:tab w:val="center" w:pos="1192"/>
              </w:tabs>
              <w:spacing w:before="0"/>
              <w:jc w:val="center"/>
              <w:rPr>
                <w:rFonts w:ascii="Arial Narrow" w:eastAsia="Times New Roman" w:hAnsi="Arial Narrow" w:cstheme="minorHAnsi"/>
                <w:b/>
                <w:bCs/>
                <w:color w:val="000000"/>
                <w:sz w:val="18"/>
                <w:szCs w:val="18"/>
              </w:rPr>
            </w:pPr>
            <w:r w:rsidRPr="001A53AB">
              <w:rPr>
                <w:rFonts w:ascii="Arial Narrow" w:eastAsia="Times New Roman" w:hAnsi="Arial Narrow" w:cstheme="minorHAnsi"/>
                <w:b/>
                <w:bCs/>
                <w:color w:val="000000"/>
                <w:sz w:val="18"/>
                <w:szCs w:val="18"/>
              </w:rPr>
              <w:t>1.86 (1.00,3.48)</w:t>
            </w:r>
          </w:p>
        </w:tc>
      </w:tr>
      <w:tr w:rsidR="008E12B9" w:rsidRPr="00577B2E" w:rsidTr="008B2620">
        <w:trPr>
          <w:trHeight w:val="180"/>
        </w:trPr>
        <w:tc>
          <w:tcPr>
            <w:tcW w:w="1312" w:type="pct"/>
            <w:shd w:val="clear" w:color="auto" w:fill="auto"/>
            <w:vAlign w:val="center"/>
          </w:tcPr>
          <w:p w:rsidR="008E12B9" w:rsidRPr="00577B2E" w:rsidRDefault="008E12B9" w:rsidP="008E12B9">
            <w:pPr>
              <w:keepNext/>
              <w:keepLines/>
              <w:spacing w:before="0"/>
              <w:jc w:val="right"/>
              <w:rPr>
                <w:rFonts w:ascii="Arial Narrow" w:eastAsia="Calibri" w:hAnsi="Arial Narrow" w:cstheme="minorHAnsi"/>
                <w:sz w:val="18"/>
                <w:szCs w:val="18"/>
              </w:rPr>
            </w:pPr>
            <w:r w:rsidRPr="00577B2E">
              <w:rPr>
                <w:rFonts w:ascii="Arial Narrow" w:eastAsia="Calibri" w:hAnsi="Arial Narrow" w:cstheme="minorHAnsi"/>
                <w:sz w:val="18"/>
                <w:szCs w:val="18"/>
              </w:rPr>
              <w:t>Meta-analysis</w:t>
            </w:r>
          </w:p>
        </w:tc>
        <w:tc>
          <w:tcPr>
            <w:tcW w:w="596" w:type="pct"/>
            <w:shd w:val="clear" w:color="auto" w:fill="auto"/>
            <w:vAlign w:val="center"/>
          </w:tcPr>
          <w:p w:rsidR="008E12B9" w:rsidRPr="001A53AB" w:rsidRDefault="008E12B9" w:rsidP="008E12B9">
            <w:pPr>
              <w:keepNext/>
              <w:keepLines/>
              <w:spacing w:before="0"/>
              <w:jc w:val="center"/>
              <w:rPr>
                <w:rFonts w:ascii="Arial Narrow" w:eastAsia="Calibri" w:hAnsi="Arial Narrow" w:cstheme="minorHAnsi"/>
                <w:sz w:val="18"/>
                <w:szCs w:val="18"/>
              </w:rPr>
            </w:pPr>
            <w:r w:rsidRPr="001A53AB">
              <w:rPr>
                <w:rFonts w:ascii="Arial Narrow" w:eastAsia="Calibri" w:hAnsi="Arial Narrow" w:cstheme="minorHAnsi"/>
                <w:sz w:val="18"/>
                <w:szCs w:val="18"/>
              </w:rPr>
              <w:t>71/462 (15.4)</w:t>
            </w:r>
          </w:p>
        </w:tc>
        <w:tc>
          <w:tcPr>
            <w:tcW w:w="596" w:type="pct"/>
            <w:shd w:val="clear" w:color="auto" w:fill="auto"/>
            <w:vAlign w:val="center"/>
          </w:tcPr>
          <w:p w:rsidR="008E12B9" w:rsidRPr="001A53AB" w:rsidRDefault="008E12B9" w:rsidP="008E12B9">
            <w:pPr>
              <w:keepNext/>
              <w:keepLines/>
              <w:spacing w:before="0"/>
              <w:jc w:val="center"/>
              <w:rPr>
                <w:rFonts w:ascii="Arial Narrow" w:eastAsia="Calibri" w:hAnsi="Arial Narrow" w:cstheme="minorHAnsi"/>
                <w:sz w:val="18"/>
                <w:szCs w:val="18"/>
              </w:rPr>
            </w:pPr>
            <w:r w:rsidRPr="001A53AB">
              <w:rPr>
                <w:rFonts w:ascii="Arial Narrow" w:eastAsia="Calibri" w:hAnsi="Arial Narrow" w:cstheme="minorHAnsi"/>
                <w:sz w:val="18"/>
                <w:szCs w:val="18"/>
              </w:rPr>
              <w:t>30/438 (6.8)</w:t>
            </w:r>
          </w:p>
        </w:tc>
        <w:tc>
          <w:tcPr>
            <w:tcW w:w="694" w:type="pct"/>
            <w:shd w:val="clear" w:color="auto" w:fill="auto"/>
            <w:vAlign w:val="center"/>
          </w:tcPr>
          <w:p w:rsidR="008E12B9" w:rsidRPr="001A53AB" w:rsidRDefault="008E12B9" w:rsidP="008E12B9">
            <w:pPr>
              <w:keepNext/>
              <w:keepLines/>
              <w:spacing w:before="0"/>
              <w:jc w:val="center"/>
              <w:rPr>
                <w:rFonts w:ascii="Arial Narrow" w:eastAsia="Calibri" w:hAnsi="Arial Narrow" w:cstheme="minorHAnsi"/>
                <w:b/>
                <w:sz w:val="18"/>
                <w:szCs w:val="18"/>
              </w:rPr>
            </w:pPr>
            <w:r w:rsidRPr="001A53AB">
              <w:rPr>
                <w:rFonts w:ascii="Arial Narrow" w:eastAsia="Calibri" w:hAnsi="Arial Narrow" w:cstheme="minorHAnsi"/>
                <w:b/>
                <w:sz w:val="18"/>
                <w:szCs w:val="18"/>
              </w:rPr>
              <w:t>2.19 (1.45,3.31)</w:t>
            </w:r>
          </w:p>
        </w:tc>
        <w:tc>
          <w:tcPr>
            <w:tcW w:w="694" w:type="pct"/>
            <w:shd w:val="clear" w:color="auto" w:fill="auto"/>
            <w:vAlign w:val="center"/>
          </w:tcPr>
          <w:p w:rsidR="008E12B9" w:rsidRPr="001A53AB" w:rsidRDefault="008E12B9" w:rsidP="008E12B9">
            <w:pPr>
              <w:keepNext/>
              <w:keepLines/>
              <w:spacing w:before="0"/>
              <w:jc w:val="center"/>
              <w:rPr>
                <w:rFonts w:ascii="Arial Narrow" w:eastAsia="Calibri" w:hAnsi="Arial Narrow" w:cstheme="minorHAnsi"/>
                <w:b/>
                <w:sz w:val="18"/>
                <w:szCs w:val="18"/>
              </w:rPr>
            </w:pPr>
            <w:r w:rsidRPr="001A53AB">
              <w:rPr>
                <w:rFonts w:ascii="Arial Narrow" w:eastAsia="Calibri" w:hAnsi="Arial Narrow" w:cstheme="minorHAnsi"/>
                <w:b/>
                <w:sz w:val="18"/>
                <w:szCs w:val="18"/>
              </w:rPr>
              <w:t>0.09 (0.04,0.13)</w:t>
            </w:r>
          </w:p>
        </w:tc>
        <w:tc>
          <w:tcPr>
            <w:tcW w:w="1108" w:type="pct"/>
            <w:shd w:val="clear" w:color="auto" w:fill="auto"/>
            <w:vAlign w:val="center"/>
          </w:tcPr>
          <w:p w:rsidR="008E12B9" w:rsidRPr="001A53AB" w:rsidRDefault="008E12B9" w:rsidP="008E12B9">
            <w:pPr>
              <w:keepNext/>
              <w:keepLines/>
              <w:spacing w:before="0"/>
              <w:jc w:val="center"/>
              <w:rPr>
                <w:rFonts w:ascii="Arial Narrow" w:eastAsia="Calibri" w:hAnsi="Arial Narrow" w:cstheme="minorHAnsi"/>
                <w:b/>
                <w:sz w:val="18"/>
                <w:szCs w:val="18"/>
              </w:rPr>
            </w:pPr>
            <w:r w:rsidRPr="001A53AB">
              <w:rPr>
                <w:rFonts w:ascii="Arial Narrow" w:eastAsia="Calibri" w:hAnsi="Arial Narrow" w:cstheme="minorHAnsi"/>
                <w:b/>
                <w:sz w:val="18"/>
                <w:szCs w:val="18"/>
              </w:rPr>
              <w:t>2.42 (1.53,3.81)</w:t>
            </w:r>
          </w:p>
        </w:tc>
      </w:tr>
      <w:tr w:rsidR="008E12B9" w:rsidRPr="00577B2E" w:rsidTr="007C7CC8">
        <w:trPr>
          <w:trHeight w:val="283"/>
        </w:trPr>
        <w:tc>
          <w:tcPr>
            <w:tcW w:w="5000" w:type="pct"/>
            <w:gridSpan w:val="6"/>
            <w:shd w:val="clear" w:color="auto" w:fill="auto"/>
            <w:vAlign w:val="center"/>
          </w:tcPr>
          <w:p w:rsidR="008E12B9" w:rsidRPr="00577B2E" w:rsidRDefault="008E12B9" w:rsidP="008E12B9">
            <w:pPr>
              <w:keepNext/>
              <w:keepLines/>
              <w:spacing w:before="0"/>
              <w:rPr>
                <w:rFonts w:ascii="Arial Narrow" w:eastAsia="Calibri" w:hAnsi="Arial Narrow" w:cstheme="minorHAnsi"/>
                <w:sz w:val="18"/>
                <w:szCs w:val="18"/>
              </w:rPr>
            </w:pPr>
            <w:r w:rsidRPr="00577B2E">
              <w:rPr>
                <w:rFonts w:ascii="Arial Narrow" w:eastAsia="Calibri" w:hAnsi="Arial Narrow" w:cstheme="minorHAnsi"/>
                <w:b/>
                <w:sz w:val="18"/>
                <w:szCs w:val="18"/>
              </w:rPr>
              <w:t>CORE I and CORE II subgroup analyses by extent anatomical involvement</w:t>
            </w:r>
          </w:p>
        </w:tc>
      </w:tr>
      <w:tr w:rsidR="008E12B9" w:rsidRPr="00577B2E" w:rsidTr="008B2620">
        <w:trPr>
          <w:trHeight w:val="170"/>
        </w:trPr>
        <w:tc>
          <w:tcPr>
            <w:tcW w:w="1312" w:type="pct"/>
            <w:shd w:val="clear" w:color="auto" w:fill="auto"/>
            <w:vAlign w:val="center"/>
          </w:tcPr>
          <w:p w:rsidR="008E12B9" w:rsidRPr="00577B2E" w:rsidRDefault="008E12B9" w:rsidP="008E12B9">
            <w:pPr>
              <w:keepNext/>
              <w:keepLines/>
              <w:spacing w:before="0"/>
              <w:rPr>
                <w:rFonts w:ascii="Arial Narrow" w:eastAsia="Calibri" w:hAnsi="Arial Narrow" w:cstheme="minorHAnsi"/>
                <w:sz w:val="18"/>
                <w:szCs w:val="18"/>
                <w:vertAlign w:val="superscript"/>
              </w:rPr>
            </w:pPr>
            <w:r w:rsidRPr="00577B2E">
              <w:rPr>
                <w:rFonts w:ascii="Arial Narrow" w:eastAsia="Calibri" w:hAnsi="Arial Narrow" w:cstheme="minorHAnsi"/>
                <w:sz w:val="18"/>
                <w:szCs w:val="18"/>
              </w:rPr>
              <w:t>Whole trial</w:t>
            </w:r>
            <w:r w:rsidRPr="00577B2E">
              <w:rPr>
                <w:rFonts w:ascii="Arial Narrow" w:eastAsia="Calibri" w:hAnsi="Arial Narrow" w:cstheme="minorHAnsi"/>
                <w:sz w:val="18"/>
                <w:szCs w:val="18"/>
                <w:vertAlign w:val="superscript"/>
              </w:rPr>
              <w:t>3</w:t>
            </w:r>
          </w:p>
        </w:tc>
        <w:tc>
          <w:tcPr>
            <w:tcW w:w="596" w:type="pct"/>
            <w:shd w:val="clear" w:color="auto" w:fill="auto"/>
            <w:vAlign w:val="center"/>
          </w:tcPr>
          <w:p w:rsidR="008E12B9" w:rsidRPr="00577B2E" w:rsidRDefault="008E12B9" w:rsidP="008E12B9">
            <w:pPr>
              <w:keepNext/>
              <w:keepLines/>
              <w:spacing w:before="0"/>
              <w:jc w:val="center"/>
              <w:rPr>
                <w:rFonts w:ascii="Arial Narrow" w:eastAsia="Calibri" w:hAnsi="Arial Narrow" w:cstheme="minorHAnsi"/>
                <w:sz w:val="18"/>
                <w:szCs w:val="18"/>
              </w:rPr>
            </w:pPr>
            <w:r w:rsidRPr="00577B2E">
              <w:rPr>
                <w:rFonts w:ascii="Arial Narrow" w:eastAsia="Calibri" w:hAnsi="Arial Narrow" w:cstheme="minorHAnsi"/>
                <w:sz w:val="18"/>
                <w:szCs w:val="18"/>
              </w:rPr>
              <w:t>40/230 (17.4)</w:t>
            </w:r>
          </w:p>
        </w:tc>
        <w:tc>
          <w:tcPr>
            <w:tcW w:w="596" w:type="pct"/>
            <w:shd w:val="clear" w:color="auto" w:fill="auto"/>
            <w:vAlign w:val="center"/>
          </w:tcPr>
          <w:p w:rsidR="008E12B9" w:rsidRPr="00577B2E" w:rsidRDefault="008E12B9" w:rsidP="008E12B9">
            <w:pPr>
              <w:keepNext/>
              <w:keepLines/>
              <w:spacing w:before="0"/>
              <w:jc w:val="center"/>
              <w:rPr>
                <w:rFonts w:ascii="Arial Narrow" w:eastAsia="Calibri" w:hAnsi="Arial Narrow" w:cstheme="minorHAnsi"/>
                <w:sz w:val="18"/>
                <w:szCs w:val="18"/>
              </w:rPr>
            </w:pPr>
            <w:r w:rsidRPr="00577B2E">
              <w:rPr>
                <w:rFonts w:ascii="Arial Narrow" w:eastAsia="Calibri" w:hAnsi="Arial Narrow" w:cstheme="minorHAnsi"/>
                <w:sz w:val="18"/>
                <w:szCs w:val="18"/>
              </w:rPr>
              <w:t>13/204 (6.4)</w:t>
            </w:r>
          </w:p>
        </w:tc>
        <w:tc>
          <w:tcPr>
            <w:tcW w:w="694" w:type="pct"/>
            <w:shd w:val="clear" w:color="auto" w:fill="auto"/>
            <w:vAlign w:val="center"/>
          </w:tcPr>
          <w:p w:rsidR="008E12B9" w:rsidRPr="001A53AB" w:rsidRDefault="008E12B9" w:rsidP="008E12B9">
            <w:pPr>
              <w:keepNext/>
              <w:keepLines/>
              <w:tabs>
                <w:tab w:val="center" w:pos="1192"/>
              </w:tabs>
              <w:spacing w:before="0"/>
              <w:jc w:val="center"/>
              <w:rPr>
                <w:rFonts w:ascii="Arial Narrow" w:eastAsia="Times New Roman" w:hAnsi="Arial Narrow" w:cstheme="minorHAnsi"/>
                <w:b/>
                <w:bCs/>
                <w:color w:val="000000"/>
                <w:sz w:val="18"/>
                <w:szCs w:val="18"/>
              </w:rPr>
            </w:pPr>
            <w:r w:rsidRPr="001A53AB">
              <w:rPr>
                <w:rFonts w:ascii="Arial Narrow" w:eastAsia="Times New Roman" w:hAnsi="Arial Narrow" w:cstheme="minorHAnsi"/>
                <w:b/>
                <w:bCs/>
                <w:color w:val="000000"/>
                <w:sz w:val="18"/>
                <w:szCs w:val="18"/>
              </w:rPr>
              <w:t>2.73 (1.50,4.96)</w:t>
            </w:r>
          </w:p>
        </w:tc>
        <w:tc>
          <w:tcPr>
            <w:tcW w:w="694" w:type="pct"/>
            <w:shd w:val="clear" w:color="auto" w:fill="auto"/>
            <w:vAlign w:val="center"/>
          </w:tcPr>
          <w:p w:rsidR="008E12B9" w:rsidRPr="001A53AB" w:rsidRDefault="008E12B9" w:rsidP="008E12B9">
            <w:pPr>
              <w:keepNext/>
              <w:keepLines/>
              <w:tabs>
                <w:tab w:val="center" w:pos="1192"/>
              </w:tabs>
              <w:spacing w:before="0"/>
              <w:jc w:val="center"/>
              <w:rPr>
                <w:rFonts w:ascii="Arial Narrow" w:eastAsia="Times New Roman" w:hAnsi="Arial Narrow" w:cstheme="minorHAnsi"/>
                <w:b/>
                <w:bCs/>
                <w:color w:val="000000"/>
                <w:sz w:val="18"/>
                <w:szCs w:val="18"/>
              </w:rPr>
            </w:pPr>
            <w:r w:rsidRPr="001A53AB">
              <w:rPr>
                <w:rFonts w:ascii="Arial Narrow" w:eastAsia="Times New Roman" w:hAnsi="Arial Narrow" w:cstheme="minorHAnsi"/>
                <w:b/>
                <w:bCs/>
                <w:color w:val="000000"/>
                <w:sz w:val="18"/>
                <w:szCs w:val="18"/>
              </w:rPr>
              <w:t>0.11 (0.05,0.17)</w:t>
            </w:r>
          </w:p>
        </w:tc>
        <w:tc>
          <w:tcPr>
            <w:tcW w:w="1108" w:type="pct"/>
            <w:shd w:val="clear" w:color="auto" w:fill="auto"/>
            <w:vAlign w:val="center"/>
          </w:tcPr>
          <w:p w:rsidR="008E12B9" w:rsidRPr="001A53AB" w:rsidRDefault="00285568" w:rsidP="008E12B9">
            <w:pPr>
              <w:keepNext/>
              <w:keepLines/>
              <w:tabs>
                <w:tab w:val="center" w:pos="1192"/>
              </w:tabs>
              <w:spacing w:before="0"/>
              <w:jc w:val="center"/>
              <w:rPr>
                <w:rFonts w:ascii="Arial Narrow" w:eastAsia="Times New Roman" w:hAnsi="Arial Narrow" w:cstheme="minorHAnsi"/>
                <w:b/>
                <w:bCs/>
                <w:color w:val="000000"/>
                <w:sz w:val="18"/>
                <w:szCs w:val="18"/>
              </w:rPr>
            </w:pPr>
            <w:r w:rsidRPr="001A53AB">
              <w:rPr>
                <w:rFonts w:ascii="Arial Narrow" w:eastAsia="Times New Roman" w:hAnsi="Arial Narrow" w:cs="Calibri"/>
                <w:b/>
                <w:bCs/>
                <w:color w:val="000000"/>
                <w:sz w:val="18"/>
                <w:szCs w:val="18"/>
              </w:rPr>
              <w:t>3.09 (1.60,5.97)</w:t>
            </w:r>
          </w:p>
        </w:tc>
      </w:tr>
      <w:tr w:rsidR="008E12B9" w:rsidRPr="00577B2E" w:rsidTr="008B2620">
        <w:trPr>
          <w:trHeight w:val="170"/>
        </w:trPr>
        <w:tc>
          <w:tcPr>
            <w:tcW w:w="1312" w:type="pct"/>
            <w:shd w:val="clear" w:color="auto" w:fill="auto"/>
            <w:vAlign w:val="center"/>
          </w:tcPr>
          <w:p w:rsidR="008E12B9" w:rsidRPr="00577B2E" w:rsidRDefault="008E12B9" w:rsidP="008E12B9">
            <w:pPr>
              <w:keepNext/>
              <w:keepLines/>
              <w:spacing w:before="0"/>
              <w:rPr>
                <w:rFonts w:ascii="Arial Narrow" w:eastAsia="Calibri" w:hAnsi="Arial Narrow" w:cstheme="minorHAnsi"/>
                <w:sz w:val="18"/>
                <w:szCs w:val="18"/>
              </w:rPr>
            </w:pPr>
            <w:r w:rsidRPr="00577B2E">
              <w:rPr>
                <w:rFonts w:ascii="Arial Narrow" w:eastAsia="Calibri" w:hAnsi="Arial Narrow" w:cstheme="minorHAnsi"/>
                <w:sz w:val="18"/>
                <w:szCs w:val="18"/>
              </w:rPr>
              <w:t>Proctosigmoiditis or Distal colitis</w:t>
            </w:r>
          </w:p>
        </w:tc>
        <w:tc>
          <w:tcPr>
            <w:tcW w:w="596" w:type="pct"/>
            <w:shd w:val="clear" w:color="auto" w:fill="auto"/>
            <w:vAlign w:val="center"/>
          </w:tcPr>
          <w:p w:rsidR="008E12B9" w:rsidRPr="00577B2E" w:rsidRDefault="008E12B9" w:rsidP="008E12B9">
            <w:pPr>
              <w:keepNext/>
              <w:keepLines/>
              <w:spacing w:before="0"/>
              <w:jc w:val="center"/>
              <w:rPr>
                <w:rFonts w:ascii="Arial Narrow" w:eastAsia="Calibri" w:hAnsi="Arial Narrow" w:cstheme="minorHAnsi"/>
                <w:sz w:val="18"/>
                <w:szCs w:val="18"/>
              </w:rPr>
            </w:pPr>
            <w:r w:rsidRPr="00577B2E">
              <w:rPr>
                <w:rFonts w:ascii="Arial Narrow" w:eastAsia="Calibri" w:hAnsi="Arial Narrow" w:cstheme="minorHAnsi"/>
                <w:sz w:val="18"/>
                <w:szCs w:val="18"/>
              </w:rPr>
              <w:t>32/145 (22.1)</w:t>
            </w:r>
          </w:p>
        </w:tc>
        <w:tc>
          <w:tcPr>
            <w:tcW w:w="596" w:type="pct"/>
            <w:shd w:val="clear" w:color="auto" w:fill="auto"/>
            <w:vAlign w:val="center"/>
          </w:tcPr>
          <w:p w:rsidR="008E12B9" w:rsidRPr="00577B2E" w:rsidRDefault="008E12B9" w:rsidP="008E12B9">
            <w:pPr>
              <w:keepNext/>
              <w:keepLines/>
              <w:spacing w:before="0"/>
              <w:jc w:val="center"/>
              <w:rPr>
                <w:rFonts w:ascii="Arial Narrow" w:eastAsia="Calibri" w:hAnsi="Arial Narrow" w:cstheme="minorHAnsi"/>
                <w:sz w:val="18"/>
                <w:szCs w:val="18"/>
              </w:rPr>
            </w:pPr>
            <w:r w:rsidRPr="00577B2E">
              <w:rPr>
                <w:rFonts w:ascii="Arial Narrow" w:eastAsia="Calibri" w:hAnsi="Arial Narrow" w:cstheme="minorHAnsi"/>
                <w:sz w:val="18"/>
                <w:szCs w:val="18"/>
              </w:rPr>
              <w:t>11/144 (7.6)</w:t>
            </w:r>
          </w:p>
        </w:tc>
        <w:tc>
          <w:tcPr>
            <w:tcW w:w="694" w:type="pct"/>
            <w:shd w:val="clear" w:color="auto" w:fill="auto"/>
            <w:vAlign w:val="center"/>
          </w:tcPr>
          <w:p w:rsidR="008E12B9" w:rsidRPr="001A53AB" w:rsidRDefault="008E12B9" w:rsidP="008E12B9">
            <w:pPr>
              <w:keepNext/>
              <w:keepLines/>
              <w:tabs>
                <w:tab w:val="center" w:pos="1192"/>
              </w:tabs>
              <w:spacing w:before="0"/>
              <w:jc w:val="center"/>
              <w:rPr>
                <w:rFonts w:ascii="Arial Narrow" w:eastAsia="Calibri" w:hAnsi="Arial Narrow" w:cstheme="minorHAnsi"/>
                <w:b/>
                <w:bCs/>
                <w:sz w:val="18"/>
                <w:szCs w:val="18"/>
              </w:rPr>
            </w:pPr>
            <w:r w:rsidRPr="001A53AB">
              <w:rPr>
                <w:rFonts w:ascii="Arial Narrow" w:eastAsia="Calibri" w:hAnsi="Arial Narrow" w:cstheme="minorHAnsi"/>
                <w:b/>
                <w:bCs/>
                <w:sz w:val="18"/>
                <w:szCs w:val="18"/>
              </w:rPr>
              <w:t>2.89 (1.52,5.51)</w:t>
            </w:r>
          </w:p>
        </w:tc>
        <w:tc>
          <w:tcPr>
            <w:tcW w:w="694" w:type="pct"/>
            <w:shd w:val="clear" w:color="auto" w:fill="auto"/>
            <w:vAlign w:val="center"/>
          </w:tcPr>
          <w:p w:rsidR="008E12B9" w:rsidRPr="001A53AB" w:rsidRDefault="008E12B9" w:rsidP="008E12B9">
            <w:pPr>
              <w:keepNext/>
              <w:keepLines/>
              <w:tabs>
                <w:tab w:val="center" w:pos="1192"/>
              </w:tabs>
              <w:spacing w:before="0"/>
              <w:jc w:val="center"/>
              <w:rPr>
                <w:rFonts w:ascii="Arial Narrow" w:eastAsia="Times New Roman" w:hAnsi="Arial Narrow" w:cstheme="minorHAnsi"/>
                <w:b/>
                <w:bCs/>
                <w:color w:val="000000"/>
                <w:sz w:val="18"/>
                <w:szCs w:val="18"/>
              </w:rPr>
            </w:pPr>
            <w:r w:rsidRPr="001A53AB">
              <w:rPr>
                <w:rFonts w:ascii="Arial Narrow" w:eastAsia="Times New Roman" w:hAnsi="Arial Narrow" w:cstheme="minorHAnsi"/>
                <w:b/>
                <w:bCs/>
                <w:color w:val="000000"/>
                <w:sz w:val="18"/>
                <w:szCs w:val="18"/>
              </w:rPr>
              <w:t>0.14 (0.06,0.22)</w:t>
            </w:r>
          </w:p>
        </w:tc>
        <w:tc>
          <w:tcPr>
            <w:tcW w:w="1108" w:type="pct"/>
            <w:shd w:val="clear" w:color="auto" w:fill="auto"/>
            <w:vAlign w:val="center"/>
          </w:tcPr>
          <w:p w:rsidR="008E12B9" w:rsidRPr="001A53AB" w:rsidRDefault="008E12B9" w:rsidP="008E12B9">
            <w:pPr>
              <w:keepNext/>
              <w:keepLines/>
              <w:tabs>
                <w:tab w:val="center" w:pos="1192"/>
              </w:tabs>
              <w:spacing w:before="0"/>
              <w:jc w:val="center"/>
              <w:rPr>
                <w:rFonts w:ascii="Arial Narrow" w:eastAsia="Times New Roman" w:hAnsi="Arial Narrow" w:cstheme="minorHAnsi"/>
                <w:b/>
                <w:bCs/>
                <w:color w:val="000000"/>
                <w:sz w:val="18"/>
                <w:szCs w:val="18"/>
              </w:rPr>
            </w:pPr>
            <w:r w:rsidRPr="001A53AB">
              <w:rPr>
                <w:rFonts w:ascii="Arial Narrow" w:eastAsia="Times New Roman" w:hAnsi="Arial Narrow" w:cstheme="minorHAnsi"/>
                <w:b/>
                <w:bCs/>
                <w:color w:val="000000"/>
                <w:sz w:val="18"/>
                <w:szCs w:val="18"/>
              </w:rPr>
              <w:t>3.42 (1.65,7.10)</w:t>
            </w:r>
          </w:p>
        </w:tc>
      </w:tr>
      <w:tr w:rsidR="008E12B9" w:rsidRPr="00577B2E" w:rsidTr="008B2620">
        <w:trPr>
          <w:trHeight w:val="170"/>
        </w:trPr>
        <w:tc>
          <w:tcPr>
            <w:tcW w:w="1312" w:type="pct"/>
            <w:tcBorders>
              <w:bottom w:val="double" w:sz="4" w:space="0" w:color="auto"/>
            </w:tcBorders>
            <w:shd w:val="clear" w:color="auto" w:fill="auto"/>
            <w:vAlign w:val="center"/>
          </w:tcPr>
          <w:p w:rsidR="008E12B9" w:rsidRPr="00577B2E" w:rsidRDefault="008E12B9" w:rsidP="008E12B9">
            <w:pPr>
              <w:keepNext/>
              <w:keepLines/>
              <w:spacing w:before="0"/>
              <w:rPr>
                <w:rFonts w:ascii="Arial Narrow" w:eastAsia="Calibri" w:hAnsi="Arial Narrow" w:cstheme="minorHAnsi"/>
                <w:sz w:val="18"/>
                <w:szCs w:val="18"/>
              </w:rPr>
            </w:pPr>
            <w:r w:rsidRPr="00577B2E">
              <w:rPr>
                <w:rFonts w:ascii="Arial Narrow" w:eastAsia="Calibri" w:hAnsi="Arial Narrow" w:cstheme="minorHAnsi"/>
                <w:sz w:val="18"/>
                <w:szCs w:val="18"/>
              </w:rPr>
              <w:t xml:space="preserve">Extensive UC or </w:t>
            </w:r>
            <w:proofErr w:type="spellStart"/>
            <w:r w:rsidRPr="00577B2E">
              <w:rPr>
                <w:rFonts w:ascii="Arial Narrow" w:eastAsia="Calibri" w:hAnsi="Arial Narrow" w:cstheme="minorHAnsi"/>
                <w:sz w:val="18"/>
                <w:szCs w:val="18"/>
              </w:rPr>
              <w:t>pancolitis</w:t>
            </w:r>
            <w:proofErr w:type="spellEnd"/>
          </w:p>
        </w:tc>
        <w:tc>
          <w:tcPr>
            <w:tcW w:w="596" w:type="pct"/>
            <w:tcBorders>
              <w:bottom w:val="double" w:sz="4" w:space="0" w:color="auto"/>
            </w:tcBorders>
            <w:shd w:val="clear" w:color="auto" w:fill="auto"/>
            <w:vAlign w:val="center"/>
          </w:tcPr>
          <w:p w:rsidR="008E12B9" w:rsidRPr="00577B2E" w:rsidRDefault="008E12B9" w:rsidP="008E12B9">
            <w:pPr>
              <w:keepNext/>
              <w:keepLines/>
              <w:spacing w:before="0"/>
              <w:jc w:val="center"/>
              <w:rPr>
                <w:rFonts w:ascii="Arial Narrow" w:eastAsia="Calibri" w:hAnsi="Arial Narrow" w:cstheme="minorHAnsi"/>
                <w:sz w:val="18"/>
                <w:szCs w:val="18"/>
              </w:rPr>
            </w:pPr>
            <w:r w:rsidRPr="00577B2E">
              <w:rPr>
                <w:rFonts w:ascii="Arial Narrow" w:eastAsia="Calibri" w:hAnsi="Arial Narrow" w:cstheme="minorHAnsi"/>
                <w:sz w:val="18"/>
                <w:szCs w:val="18"/>
              </w:rPr>
              <w:t>8/85 (9.4)</w:t>
            </w:r>
          </w:p>
        </w:tc>
        <w:tc>
          <w:tcPr>
            <w:tcW w:w="596" w:type="pct"/>
            <w:tcBorders>
              <w:bottom w:val="double" w:sz="4" w:space="0" w:color="auto"/>
            </w:tcBorders>
            <w:shd w:val="clear" w:color="auto" w:fill="auto"/>
            <w:vAlign w:val="center"/>
          </w:tcPr>
          <w:p w:rsidR="008E12B9" w:rsidRPr="00577B2E" w:rsidRDefault="008E12B9" w:rsidP="008E12B9">
            <w:pPr>
              <w:keepNext/>
              <w:keepLines/>
              <w:spacing w:before="0"/>
              <w:jc w:val="center"/>
              <w:rPr>
                <w:rFonts w:ascii="Arial Narrow" w:eastAsia="Calibri" w:hAnsi="Arial Narrow" w:cstheme="minorHAnsi"/>
                <w:sz w:val="18"/>
                <w:szCs w:val="18"/>
              </w:rPr>
            </w:pPr>
            <w:r w:rsidRPr="00577B2E">
              <w:rPr>
                <w:rFonts w:ascii="Arial Narrow" w:eastAsia="Calibri" w:hAnsi="Arial Narrow" w:cstheme="minorHAnsi"/>
                <w:sz w:val="18"/>
                <w:szCs w:val="18"/>
              </w:rPr>
              <w:t>2/60 (3.3)</w:t>
            </w:r>
          </w:p>
        </w:tc>
        <w:tc>
          <w:tcPr>
            <w:tcW w:w="694" w:type="pct"/>
            <w:tcBorders>
              <w:bottom w:val="double" w:sz="4" w:space="0" w:color="auto"/>
            </w:tcBorders>
            <w:shd w:val="clear" w:color="auto" w:fill="auto"/>
            <w:vAlign w:val="center"/>
          </w:tcPr>
          <w:p w:rsidR="008E12B9" w:rsidRPr="001A53AB" w:rsidRDefault="008E12B9" w:rsidP="008E12B9">
            <w:pPr>
              <w:keepNext/>
              <w:keepLines/>
              <w:spacing w:before="0"/>
              <w:jc w:val="center"/>
              <w:rPr>
                <w:rFonts w:ascii="Arial Narrow" w:eastAsia="Calibri" w:hAnsi="Arial Narrow" w:cstheme="minorHAnsi"/>
                <w:sz w:val="18"/>
                <w:szCs w:val="18"/>
              </w:rPr>
            </w:pPr>
            <w:r w:rsidRPr="001A53AB">
              <w:rPr>
                <w:rFonts w:ascii="Arial Narrow" w:eastAsia="Calibri" w:hAnsi="Arial Narrow" w:cstheme="minorHAnsi"/>
                <w:sz w:val="18"/>
                <w:szCs w:val="18"/>
              </w:rPr>
              <w:t>2.82 (0.62,12.83)</w:t>
            </w:r>
          </w:p>
        </w:tc>
        <w:tc>
          <w:tcPr>
            <w:tcW w:w="694" w:type="pct"/>
            <w:tcBorders>
              <w:bottom w:val="double" w:sz="4" w:space="0" w:color="auto"/>
            </w:tcBorders>
            <w:shd w:val="clear" w:color="auto" w:fill="auto"/>
            <w:vAlign w:val="center"/>
          </w:tcPr>
          <w:p w:rsidR="008E12B9" w:rsidRPr="001A53AB" w:rsidRDefault="008E12B9" w:rsidP="008E12B9">
            <w:pPr>
              <w:keepNext/>
              <w:keepLines/>
              <w:spacing w:before="0"/>
              <w:jc w:val="center"/>
              <w:rPr>
                <w:rFonts w:ascii="Arial Narrow" w:eastAsia="Calibri" w:hAnsi="Arial Narrow" w:cstheme="minorHAnsi"/>
                <w:sz w:val="18"/>
                <w:szCs w:val="18"/>
              </w:rPr>
            </w:pPr>
            <w:r w:rsidRPr="001A53AB">
              <w:rPr>
                <w:rFonts w:ascii="Arial Narrow" w:eastAsia="Calibri" w:hAnsi="Arial Narrow" w:cstheme="minorHAnsi"/>
                <w:sz w:val="18"/>
                <w:szCs w:val="18"/>
              </w:rPr>
              <w:t>0.06 (-0.02,0.14)</w:t>
            </w:r>
          </w:p>
        </w:tc>
        <w:tc>
          <w:tcPr>
            <w:tcW w:w="1108" w:type="pct"/>
            <w:shd w:val="clear" w:color="auto" w:fill="auto"/>
            <w:vAlign w:val="center"/>
          </w:tcPr>
          <w:p w:rsidR="008E12B9" w:rsidRPr="001A53AB" w:rsidRDefault="008E12B9" w:rsidP="008E12B9">
            <w:pPr>
              <w:keepNext/>
              <w:keepLines/>
              <w:tabs>
                <w:tab w:val="center" w:pos="1192"/>
              </w:tabs>
              <w:spacing w:before="0"/>
              <w:jc w:val="center"/>
              <w:rPr>
                <w:rFonts w:ascii="Arial Narrow" w:eastAsia="Times New Roman" w:hAnsi="Arial Narrow" w:cstheme="minorHAnsi"/>
                <w:color w:val="000000"/>
                <w:sz w:val="18"/>
                <w:szCs w:val="18"/>
              </w:rPr>
            </w:pPr>
            <w:r w:rsidRPr="001A53AB">
              <w:rPr>
                <w:rFonts w:ascii="Arial Narrow" w:eastAsia="Times New Roman" w:hAnsi="Arial Narrow" w:cstheme="minorHAnsi"/>
                <w:color w:val="000000"/>
                <w:sz w:val="18"/>
                <w:szCs w:val="18"/>
              </w:rPr>
              <w:t>3.01 (0.62,14.72)</w:t>
            </w:r>
          </w:p>
        </w:tc>
      </w:tr>
      <w:tr w:rsidR="008E12B9" w:rsidRPr="00577B2E" w:rsidTr="007C7CC8">
        <w:trPr>
          <w:trHeight w:val="170"/>
        </w:trPr>
        <w:tc>
          <w:tcPr>
            <w:tcW w:w="5000" w:type="pct"/>
            <w:gridSpan w:val="6"/>
            <w:tcBorders>
              <w:top w:val="double" w:sz="4" w:space="0" w:color="auto"/>
            </w:tcBorders>
            <w:shd w:val="clear" w:color="auto" w:fill="auto"/>
            <w:vAlign w:val="center"/>
          </w:tcPr>
          <w:p w:rsidR="008E12B9" w:rsidRPr="00577B2E" w:rsidRDefault="008E12B9" w:rsidP="008E12B9">
            <w:pPr>
              <w:keepNext/>
              <w:keepLines/>
              <w:tabs>
                <w:tab w:val="center" w:pos="1192"/>
              </w:tabs>
              <w:spacing w:before="0"/>
              <w:rPr>
                <w:rFonts w:ascii="Arial Narrow" w:eastAsia="Times New Roman" w:hAnsi="Arial Narrow" w:cstheme="minorHAnsi"/>
                <w:color w:val="000000"/>
                <w:sz w:val="18"/>
                <w:szCs w:val="18"/>
              </w:rPr>
            </w:pPr>
            <w:r w:rsidRPr="00577B2E">
              <w:rPr>
                <w:rFonts w:ascii="Arial Narrow" w:eastAsia="Calibri" w:hAnsi="Arial Narrow" w:cstheme="minorHAnsi"/>
                <w:b/>
                <w:sz w:val="18"/>
                <w:szCs w:val="18"/>
              </w:rPr>
              <w:t xml:space="preserve">Budesonide foam enema trials </w:t>
            </w:r>
            <w:proofErr w:type="spellStart"/>
            <w:r w:rsidRPr="00577B2E">
              <w:rPr>
                <w:rFonts w:ascii="Arial Narrow" w:eastAsia="Calibri" w:hAnsi="Arial Narrow" w:cstheme="minorHAnsi"/>
                <w:b/>
                <w:sz w:val="18"/>
                <w:szCs w:val="18"/>
              </w:rPr>
              <w:t>Wk</w:t>
            </w:r>
            <w:proofErr w:type="spellEnd"/>
            <w:r w:rsidRPr="00577B2E">
              <w:rPr>
                <w:rFonts w:ascii="Arial Narrow" w:eastAsia="Calibri" w:hAnsi="Arial Narrow" w:cstheme="minorHAnsi"/>
                <w:b/>
                <w:sz w:val="18"/>
                <w:szCs w:val="18"/>
              </w:rPr>
              <w:t xml:space="preserve"> 6 results</w:t>
            </w:r>
          </w:p>
        </w:tc>
      </w:tr>
      <w:tr w:rsidR="008E12B9" w:rsidRPr="00577B2E" w:rsidTr="008B2620">
        <w:trPr>
          <w:trHeight w:val="256"/>
        </w:trPr>
        <w:tc>
          <w:tcPr>
            <w:tcW w:w="1312" w:type="pct"/>
            <w:shd w:val="clear" w:color="auto" w:fill="auto"/>
            <w:vAlign w:val="center"/>
          </w:tcPr>
          <w:p w:rsidR="008E12B9" w:rsidRPr="00577B2E" w:rsidRDefault="008E12B9" w:rsidP="008E12B9">
            <w:pPr>
              <w:spacing w:before="0"/>
              <w:rPr>
                <w:rFonts w:ascii="Arial Narrow" w:eastAsia="Calibri" w:hAnsi="Arial Narrow" w:cstheme="minorHAnsi"/>
                <w:sz w:val="18"/>
                <w:szCs w:val="18"/>
                <w:vertAlign w:val="superscript"/>
              </w:rPr>
            </w:pPr>
            <w:r w:rsidRPr="00577B2E">
              <w:rPr>
                <w:rFonts w:ascii="Arial Narrow" w:eastAsia="Calibri" w:hAnsi="Arial Narrow" w:cstheme="minorHAnsi"/>
                <w:sz w:val="18"/>
                <w:szCs w:val="18"/>
              </w:rPr>
              <w:t>BUCF3001</w:t>
            </w:r>
            <w:r w:rsidRPr="00577B2E">
              <w:rPr>
                <w:rFonts w:ascii="Arial Narrow" w:eastAsia="Calibri" w:hAnsi="Arial Narrow" w:cstheme="minorHAnsi"/>
                <w:sz w:val="18"/>
                <w:szCs w:val="18"/>
                <w:vertAlign w:val="superscript"/>
              </w:rPr>
              <w:t>4</w:t>
            </w:r>
          </w:p>
        </w:tc>
        <w:tc>
          <w:tcPr>
            <w:tcW w:w="596" w:type="pct"/>
            <w:shd w:val="clear" w:color="auto" w:fill="auto"/>
            <w:vAlign w:val="center"/>
          </w:tcPr>
          <w:p w:rsidR="008E12B9" w:rsidRPr="00577B2E" w:rsidRDefault="008E12B9" w:rsidP="008E12B9">
            <w:pPr>
              <w:spacing w:before="0"/>
              <w:jc w:val="center"/>
              <w:rPr>
                <w:rFonts w:ascii="Arial Narrow" w:eastAsia="Calibri" w:hAnsi="Arial Narrow" w:cstheme="minorHAnsi"/>
                <w:sz w:val="18"/>
                <w:szCs w:val="18"/>
              </w:rPr>
            </w:pPr>
            <w:r w:rsidRPr="00577B2E">
              <w:rPr>
                <w:rFonts w:ascii="Arial Narrow" w:eastAsia="Calibri" w:hAnsi="Arial Narrow" w:cstheme="minorHAnsi"/>
                <w:sz w:val="18"/>
                <w:szCs w:val="18"/>
              </w:rPr>
              <w:t>51/133 (38.3)</w:t>
            </w:r>
          </w:p>
        </w:tc>
        <w:tc>
          <w:tcPr>
            <w:tcW w:w="596" w:type="pct"/>
            <w:shd w:val="clear" w:color="auto" w:fill="auto"/>
            <w:vAlign w:val="center"/>
          </w:tcPr>
          <w:p w:rsidR="008E12B9" w:rsidRPr="00577B2E" w:rsidRDefault="008E12B9" w:rsidP="008E12B9">
            <w:pPr>
              <w:spacing w:before="0"/>
              <w:jc w:val="center"/>
              <w:rPr>
                <w:rFonts w:ascii="Arial Narrow" w:eastAsia="Calibri" w:hAnsi="Arial Narrow" w:cstheme="minorHAnsi"/>
                <w:sz w:val="18"/>
                <w:szCs w:val="18"/>
              </w:rPr>
            </w:pPr>
            <w:r w:rsidRPr="00577B2E">
              <w:rPr>
                <w:rFonts w:ascii="Arial Narrow" w:eastAsia="Calibri" w:hAnsi="Arial Narrow" w:cstheme="minorHAnsi"/>
                <w:sz w:val="18"/>
                <w:szCs w:val="18"/>
              </w:rPr>
              <w:t>34/132 (25.8)</w:t>
            </w:r>
          </w:p>
        </w:tc>
        <w:tc>
          <w:tcPr>
            <w:tcW w:w="694" w:type="pct"/>
            <w:shd w:val="clear" w:color="auto" w:fill="auto"/>
            <w:vAlign w:val="center"/>
          </w:tcPr>
          <w:p w:rsidR="008E12B9" w:rsidRPr="001A53AB" w:rsidRDefault="008E12B9" w:rsidP="008E12B9">
            <w:pPr>
              <w:keepNext/>
              <w:keepLines/>
              <w:tabs>
                <w:tab w:val="center" w:pos="1192"/>
              </w:tabs>
              <w:spacing w:before="0"/>
              <w:jc w:val="center"/>
              <w:rPr>
                <w:rFonts w:ascii="Arial Narrow" w:eastAsia="Times New Roman" w:hAnsi="Arial Narrow" w:cstheme="minorHAnsi"/>
                <w:b/>
                <w:bCs/>
                <w:color w:val="000000"/>
                <w:sz w:val="18"/>
                <w:szCs w:val="18"/>
              </w:rPr>
            </w:pPr>
            <w:r w:rsidRPr="001A53AB">
              <w:rPr>
                <w:rFonts w:ascii="Arial Narrow" w:eastAsia="Times New Roman" w:hAnsi="Arial Narrow" w:cstheme="minorHAnsi"/>
                <w:b/>
                <w:bCs/>
                <w:color w:val="000000"/>
                <w:sz w:val="18"/>
                <w:szCs w:val="18"/>
              </w:rPr>
              <w:t>1.49 (1.04,2.14)</w:t>
            </w:r>
          </w:p>
        </w:tc>
        <w:tc>
          <w:tcPr>
            <w:tcW w:w="694" w:type="pct"/>
            <w:shd w:val="clear" w:color="auto" w:fill="auto"/>
            <w:vAlign w:val="center"/>
          </w:tcPr>
          <w:p w:rsidR="008E12B9" w:rsidRPr="001A53AB" w:rsidRDefault="008E12B9" w:rsidP="008E12B9">
            <w:pPr>
              <w:keepNext/>
              <w:keepLines/>
              <w:tabs>
                <w:tab w:val="center" w:pos="1192"/>
              </w:tabs>
              <w:spacing w:before="0"/>
              <w:jc w:val="center"/>
              <w:rPr>
                <w:rFonts w:ascii="Arial Narrow" w:eastAsia="Times New Roman" w:hAnsi="Arial Narrow" w:cstheme="minorHAnsi"/>
                <w:b/>
                <w:bCs/>
                <w:color w:val="000000"/>
                <w:sz w:val="18"/>
                <w:szCs w:val="18"/>
              </w:rPr>
            </w:pPr>
            <w:r w:rsidRPr="001A53AB">
              <w:rPr>
                <w:rFonts w:ascii="Arial Narrow" w:eastAsia="Times New Roman" w:hAnsi="Arial Narrow" w:cstheme="minorHAnsi"/>
                <w:b/>
                <w:bCs/>
                <w:color w:val="000000"/>
                <w:sz w:val="18"/>
                <w:szCs w:val="18"/>
              </w:rPr>
              <w:t>0.13 (0.01,0.24)</w:t>
            </w:r>
          </w:p>
        </w:tc>
        <w:tc>
          <w:tcPr>
            <w:tcW w:w="1108" w:type="pct"/>
            <w:shd w:val="clear" w:color="auto" w:fill="auto"/>
            <w:vAlign w:val="center"/>
          </w:tcPr>
          <w:p w:rsidR="008E12B9" w:rsidRPr="001A53AB" w:rsidRDefault="008E12B9" w:rsidP="008E12B9">
            <w:pPr>
              <w:spacing w:before="0"/>
              <w:jc w:val="center"/>
              <w:rPr>
                <w:rFonts w:ascii="Arial Narrow" w:eastAsia="Calibri" w:hAnsi="Arial Narrow" w:cstheme="minorHAnsi"/>
                <w:b/>
                <w:bCs/>
                <w:sz w:val="18"/>
                <w:szCs w:val="18"/>
              </w:rPr>
            </w:pPr>
            <w:r w:rsidRPr="001A53AB">
              <w:rPr>
                <w:rFonts w:ascii="Arial Narrow" w:eastAsia="Calibri" w:hAnsi="Arial Narrow" w:cstheme="minorHAnsi"/>
                <w:b/>
                <w:bCs/>
                <w:sz w:val="18"/>
                <w:szCs w:val="18"/>
              </w:rPr>
              <w:t>1.79 (1.06,3.03)</w:t>
            </w:r>
          </w:p>
        </w:tc>
      </w:tr>
      <w:tr w:rsidR="008E12B9" w:rsidRPr="00577B2E" w:rsidTr="008B2620">
        <w:trPr>
          <w:trHeight w:val="170"/>
        </w:trPr>
        <w:tc>
          <w:tcPr>
            <w:tcW w:w="1312" w:type="pct"/>
            <w:shd w:val="clear" w:color="auto" w:fill="auto"/>
            <w:vAlign w:val="center"/>
          </w:tcPr>
          <w:p w:rsidR="008E12B9" w:rsidRPr="00577B2E" w:rsidRDefault="008E12B9" w:rsidP="008E12B9">
            <w:pPr>
              <w:spacing w:before="0"/>
              <w:rPr>
                <w:rFonts w:ascii="Arial Narrow" w:eastAsia="Calibri" w:hAnsi="Arial Narrow" w:cstheme="minorHAnsi"/>
                <w:sz w:val="18"/>
                <w:szCs w:val="18"/>
                <w:vertAlign w:val="superscript"/>
              </w:rPr>
            </w:pPr>
            <w:r w:rsidRPr="00577B2E">
              <w:rPr>
                <w:rFonts w:ascii="Arial Narrow" w:eastAsia="Calibri" w:hAnsi="Arial Narrow" w:cstheme="minorHAnsi"/>
                <w:sz w:val="18"/>
                <w:szCs w:val="18"/>
              </w:rPr>
              <w:t>BUCF3002</w:t>
            </w:r>
            <w:r w:rsidRPr="00577B2E">
              <w:rPr>
                <w:rFonts w:ascii="Arial Narrow" w:eastAsia="Calibri" w:hAnsi="Arial Narrow" w:cstheme="minorHAnsi"/>
                <w:sz w:val="18"/>
                <w:szCs w:val="18"/>
                <w:vertAlign w:val="superscript"/>
              </w:rPr>
              <w:t>4</w:t>
            </w:r>
          </w:p>
        </w:tc>
        <w:tc>
          <w:tcPr>
            <w:tcW w:w="596" w:type="pct"/>
            <w:shd w:val="clear" w:color="auto" w:fill="auto"/>
            <w:vAlign w:val="center"/>
          </w:tcPr>
          <w:p w:rsidR="008E12B9" w:rsidRPr="00577B2E" w:rsidRDefault="008E12B9" w:rsidP="008E12B9">
            <w:pPr>
              <w:spacing w:before="0"/>
              <w:jc w:val="center"/>
              <w:rPr>
                <w:rFonts w:ascii="Arial Narrow" w:eastAsia="Calibri" w:hAnsi="Arial Narrow" w:cstheme="minorHAnsi"/>
                <w:sz w:val="18"/>
                <w:szCs w:val="18"/>
              </w:rPr>
            </w:pPr>
            <w:r w:rsidRPr="00577B2E">
              <w:rPr>
                <w:rFonts w:ascii="Arial Narrow" w:eastAsia="Calibri" w:hAnsi="Arial Narrow" w:cstheme="minorHAnsi"/>
                <w:sz w:val="18"/>
                <w:szCs w:val="18"/>
              </w:rPr>
              <w:t>59/134 (44.0)</w:t>
            </w:r>
          </w:p>
        </w:tc>
        <w:tc>
          <w:tcPr>
            <w:tcW w:w="596" w:type="pct"/>
            <w:shd w:val="clear" w:color="auto" w:fill="auto"/>
            <w:vAlign w:val="center"/>
          </w:tcPr>
          <w:p w:rsidR="008E12B9" w:rsidRPr="00577B2E" w:rsidRDefault="008E12B9" w:rsidP="008E12B9">
            <w:pPr>
              <w:spacing w:before="0"/>
              <w:jc w:val="center"/>
              <w:rPr>
                <w:rFonts w:ascii="Arial Narrow" w:eastAsia="Calibri" w:hAnsi="Arial Narrow" w:cstheme="minorHAnsi"/>
                <w:sz w:val="18"/>
                <w:szCs w:val="18"/>
              </w:rPr>
            </w:pPr>
            <w:r w:rsidRPr="00577B2E">
              <w:rPr>
                <w:rFonts w:ascii="Arial Narrow" w:eastAsia="Calibri" w:hAnsi="Arial Narrow" w:cstheme="minorHAnsi"/>
                <w:sz w:val="18"/>
                <w:szCs w:val="18"/>
              </w:rPr>
              <w:t>33/147 (22.4)</w:t>
            </w:r>
          </w:p>
        </w:tc>
        <w:tc>
          <w:tcPr>
            <w:tcW w:w="694" w:type="pct"/>
            <w:shd w:val="clear" w:color="auto" w:fill="auto"/>
            <w:vAlign w:val="center"/>
          </w:tcPr>
          <w:p w:rsidR="008E12B9" w:rsidRPr="001A53AB" w:rsidRDefault="008E12B9" w:rsidP="008E12B9">
            <w:pPr>
              <w:keepNext/>
              <w:keepLines/>
              <w:tabs>
                <w:tab w:val="center" w:pos="1192"/>
              </w:tabs>
              <w:spacing w:before="0"/>
              <w:jc w:val="center"/>
              <w:rPr>
                <w:rFonts w:ascii="Arial Narrow" w:eastAsia="Calibri" w:hAnsi="Arial Narrow" w:cstheme="minorHAnsi"/>
                <w:b/>
                <w:bCs/>
                <w:sz w:val="18"/>
                <w:szCs w:val="18"/>
              </w:rPr>
            </w:pPr>
            <w:r w:rsidRPr="001A53AB">
              <w:rPr>
                <w:rFonts w:ascii="Arial Narrow" w:eastAsia="Calibri" w:hAnsi="Arial Narrow" w:cstheme="minorHAnsi"/>
                <w:b/>
                <w:bCs/>
                <w:sz w:val="18"/>
                <w:szCs w:val="18"/>
              </w:rPr>
              <w:t>1.96 (1.37,2.80)</w:t>
            </w:r>
          </w:p>
        </w:tc>
        <w:tc>
          <w:tcPr>
            <w:tcW w:w="694" w:type="pct"/>
            <w:shd w:val="clear" w:color="auto" w:fill="auto"/>
            <w:vAlign w:val="center"/>
          </w:tcPr>
          <w:p w:rsidR="008E12B9" w:rsidRPr="001A53AB" w:rsidRDefault="008E12B9" w:rsidP="008E12B9">
            <w:pPr>
              <w:keepNext/>
              <w:keepLines/>
              <w:tabs>
                <w:tab w:val="center" w:pos="1192"/>
              </w:tabs>
              <w:spacing w:before="0"/>
              <w:jc w:val="center"/>
              <w:rPr>
                <w:rFonts w:ascii="Arial Narrow" w:eastAsia="Times New Roman" w:hAnsi="Arial Narrow" w:cstheme="minorHAnsi"/>
                <w:b/>
                <w:bCs/>
                <w:color w:val="000000"/>
                <w:sz w:val="18"/>
                <w:szCs w:val="18"/>
              </w:rPr>
            </w:pPr>
            <w:r w:rsidRPr="001A53AB">
              <w:rPr>
                <w:rFonts w:ascii="Arial Narrow" w:eastAsia="Times New Roman" w:hAnsi="Arial Narrow" w:cstheme="minorHAnsi"/>
                <w:b/>
                <w:bCs/>
                <w:color w:val="000000"/>
                <w:sz w:val="18"/>
                <w:szCs w:val="18"/>
              </w:rPr>
              <w:t>0.22 (0.11,0.32)</w:t>
            </w:r>
          </w:p>
        </w:tc>
        <w:tc>
          <w:tcPr>
            <w:tcW w:w="1108" w:type="pct"/>
            <w:shd w:val="clear" w:color="auto" w:fill="auto"/>
            <w:vAlign w:val="center"/>
          </w:tcPr>
          <w:p w:rsidR="008E12B9" w:rsidRPr="001A53AB" w:rsidRDefault="008E12B9" w:rsidP="008E12B9">
            <w:pPr>
              <w:spacing w:before="0"/>
              <w:jc w:val="center"/>
              <w:rPr>
                <w:rFonts w:ascii="Arial Narrow" w:eastAsia="Calibri" w:hAnsi="Arial Narrow" w:cstheme="minorHAnsi"/>
                <w:b/>
                <w:bCs/>
                <w:sz w:val="18"/>
                <w:szCs w:val="18"/>
              </w:rPr>
            </w:pPr>
            <w:r w:rsidRPr="001A53AB">
              <w:rPr>
                <w:rFonts w:ascii="Arial Narrow" w:eastAsia="Calibri" w:hAnsi="Arial Narrow" w:cstheme="minorHAnsi"/>
                <w:b/>
                <w:bCs/>
                <w:sz w:val="18"/>
                <w:szCs w:val="18"/>
              </w:rPr>
              <w:t>2.72 (1.62,4.55)</w:t>
            </w:r>
          </w:p>
        </w:tc>
      </w:tr>
      <w:tr w:rsidR="008E12B9" w:rsidRPr="00577B2E" w:rsidTr="008B2620">
        <w:trPr>
          <w:trHeight w:val="170"/>
        </w:trPr>
        <w:tc>
          <w:tcPr>
            <w:tcW w:w="1312" w:type="pct"/>
            <w:shd w:val="clear" w:color="auto" w:fill="auto"/>
            <w:vAlign w:val="center"/>
          </w:tcPr>
          <w:p w:rsidR="008E12B9" w:rsidRPr="00577B2E" w:rsidRDefault="008E12B9" w:rsidP="008E12B9">
            <w:pPr>
              <w:spacing w:before="0"/>
              <w:rPr>
                <w:rFonts w:ascii="Arial Narrow" w:eastAsia="Calibri" w:hAnsi="Arial Narrow" w:cstheme="minorHAnsi"/>
                <w:sz w:val="18"/>
                <w:szCs w:val="18"/>
                <w:vertAlign w:val="superscript"/>
              </w:rPr>
            </w:pPr>
            <w:proofErr w:type="spellStart"/>
            <w:r w:rsidRPr="00577B2E">
              <w:rPr>
                <w:rFonts w:ascii="Arial Narrow" w:eastAsia="Calibri" w:hAnsi="Arial Narrow" w:cstheme="minorHAnsi"/>
                <w:sz w:val="18"/>
                <w:szCs w:val="18"/>
              </w:rPr>
              <w:t>Naganuma</w:t>
            </w:r>
            <w:proofErr w:type="spellEnd"/>
            <w:r w:rsidRPr="00577B2E">
              <w:rPr>
                <w:rFonts w:ascii="Arial Narrow" w:eastAsia="Calibri" w:hAnsi="Arial Narrow" w:cstheme="minorHAnsi"/>
                <w:sz w:val="18"/>
                <w:szCs w:val="18"/>
              </w:rPr>
              <w:t xml:space="preserve"> 2016</w:t>
            </w:r>
            <w:r w:rsidRPr="00577B2E">
              <w:rPr>
                <w:rFonts w:ascii="Arial Narrow" w:eastAsia="Calibri" w:hAnsi="Arial Narrow" w:cstheme="minorHAnsi"/>
                <w:sz w:val="18"/>
                <w:szCs w:val="18"/>
                <w:vertAlign w:val="superscript"/>
              </w:rPr>
              <w:t>5</w:t>
            </w:r>
          </w:p>
        </w:tc>
        <w:tc>
          <w:tcPr>
            <w:tcW w:w="596" w:type="pct"/>
            <w:shd w:val="clear" w:color="auto" w:fill="auto"/>
            <w:vAlign w:val="center"/>
          </w:tcPr>
          <w:p w:rsidR="008E12B9" w:rsidRPr="00577B2E" w:rsidRDefault="008E12B9" w:rsidP="008E12B9">
            <w:pPr>
              <w:spacing w:before="0"/>
              <w:jc w:val="center"/>
              <w:rPr>
                <w:rFonts w:ascii="Arial Narrow" w:eastAsia="Calibri" w:hAnsi="Arial Narrow" w:cstheme="minorHAnsi"/>
                <w:sz w:val="18"/>
                <w:szCs w:val="18"/>
              </w:rPr>
            </w:pPr>
            <w:r w:rsidRPr="00577B2E">
              <w:rPr>
                <w:rFonts w:ascii="Arial Narrow" w:eastAsia="Calibri" w:hAnsi="Arial Narrow" w:cstheme="minorHAnsi"/>
                <w:sz w:val="18"/>
                <w:szCs w:val="18"/>
              </w:rPr>
              <w:t>28/55  (50.9)</w:t>
            </w:r>
          </w:p>
        </w:tc>
        <w:tc>
          <w:tcPr>
            <w:tcW w:w="596" w:type="pct"/>
            <w:shd w:val="clear" w:color="auto" w:fill="auto"/>
            <w:vAlign w:val="center"/>
          </w:tcPr>
          <w:p w:rsidR="008E12B9" w:rsidRPr="00577B2E" w:rsidRDefault="008E12B9" w:rsidP="008E12B9">
            <w:pPr>
              <w:spacing w:before="0"/>
              <w:jc w:val="center"/>
              <w:rPr>
                <w:rFonts w:ascii="Arial Narrow" w:eastAsia="Calibri" w:hAnsi="Arial Narrow" w:cstheme="minorHAnsi"/>
                <w:sz w:val="18"/>
                <w:szCs w:val="18"/>
              </w:rPr>
            </w:pPr>
            <w:r w:rsidRPr="00577B2E">
              <w:rPr>
                <w:rFonts w:ascii="Arial Narrow" w:eastAsia="Calibri" w:hAnsi="Arial Narrow" w:cstheme="minorHAnsi"/>
                <w:sz w:val="18"/>
                <w:szCs w:val="18"/>
              </w:rPr>
              <w:t>11/54 (20.4)</w:t>
            </w:r>
          </w:p>
        </w:tc>
        <w:tc>
          <w:tcPr>
            <w:tcW w:w="694" w:type="pct"/>
            <w:shd w:val="clear" w:color="auto" w:fill="auto"/>
            <w:vAlign w:val="center"/>
          </w:tcPr>
          <w:p w:rsidR="008E12B9" w:rsidRPr="001A53AB" w:rsidRDefault="008E12B9" w:rsidP="008E12B9">
            <w:pPr>
              <w:spacing w:before="0"/>
              <w:jc w:val="center"/>
              <w:rPr>
                <w:rFonts w:ascii="Arial Narrow" w:eastAsia="Calibri" w:hAnsi="Arial Narrow" w:cstheme="minorHAnsi"/>
                <w:b/>
                <w:bCs/>
                <w:sz w:val="18"/>
                <w:szCs w:val="18"/>
              </w:rPr>
            </w:pPr>
            <w:r w:rsidRPr="001A53AB">
              <w:rPr>
                <w:rFonts w:ascii="Arial Narrow" w:eastAsia="Calibri" w:hAnsi="Arial Narrow" w:cstheme="minorHAnsi"/>
                <w:b/>
                <w:bCs/>
                <w:sz w:val="18"/>
                <w:szCs w:val="18"/>
              </w:rPr>
              <w:t>2.50 (1.39,4.50)</w:t>
            </w:r>
          </w:p>
        </w:tc>
        <w:tc>
          <w:tcPr>
            <w:tcW w:w="694" w:type="pct"/>
            <w:shd w:val="clear" w:color="auto" w:fill="auto"/>
            <w:vAlign w:val="center"/>
          </w:tcPr>
          <w:p w:rsidR="008E12B9" w:rsidRPr="001A53AB" w:rsidRDefault="008E12B9" w:rsidP="008E12B9">
            <w:pPr>
              <w:spacing w:before="0"/>
              <w:jc w:val="center"/>
              <w:rPr>
                <w:rFonts w:ascii="Arial Narrow" w:eastAsia="Calibri" w:hAnsi="Arial Narrow" w:cstheme="minorHAnsi"/>
                <w:b/>
                <w:bCs/>
                <w:sz w:val="18"/>
                <w:szCs w:val="18"/>
              </w:rPr>
            </w:pPr>
            <w:r w:rsidRPr="001A53AB">
              <w:rPr>
                <w:rFonts w:ascii="Arial Narrow" w:eastAsia="Calibri" w:hAnsi="Arial Narrow" w:cstheme="minorHAnsi"/>
                <w:b/>
                <w:bCs/>
                <w:sz w:val="18"/>
                <w:szCs w:val="18"/>
              </w:rPr>
              <w:t>0.31 (0.14,0.48)</w:t>
            </w:r>
          </w:p>
        </w:tc>
        <w:tc>
          <w:tcPr>
            <w:tcW w:w="1108" w:type="pct"/>
            <w:shd w:val="clear" w:color="auto" w:fill="auto"/>
            <w:vAlign w:val="center"/>
          </w:tcPr>
          <w:p w:rsidR="008E12B9" w:rsidRPr="001A53AB" w:rsidRDefault="008E12B9" w:rsidP="008E12B9">
            <w:pPr>
              <w:spacing w:before="0"/>
              <w:jc w:val="center"/>
              <w:rPr>
                <w:rFonts w:ascii="Arial Narrow" w:eastAsia="Calibri" w:hAnsi="Arial Narrow" w:cstheme="minorHAnsi"/>
                <w:b/>
                <w:bCs/>
                <w:sz w:val="18"/>
                <w:szCs w:val="18"/>
              </w:rPr>
            </w:pPr>
            <w:r w:rsidRPr="001A53AB">
              <w:rPr>
                <w:rFonts w:ascii="Arial Narrow" w:eastAsia="Calibri" w:hAnsi="Arial Narrow" w:cstheme="minorHAnsi"/>
                <w:b/>
                <w:bCs/>
                <w:sz w:val="18"/>
                <w:szCs w:val="18"/>
              </w:rPr>
              <w:t>4.05 (1.74,9.46)</w:t>
            </w:r>
          </w:p>
        </w:tc>
      </w:tr>
      <w:tr w:rsidR="008E12B9" w:rsidRPr="00577B2E" w:rsidTr="008B2620">
        <w:trPr>
          <w:trHeight w:val="170"/>
        </w:trPr>
        <w:tc>
          <w:tcPr>
            <w:tcW w:w="1312" w:type="pct"/>
            <w:shd w:val="clear" w:color="auto" w:fill="auto"/>
            <w:vAlign w:val="center"/>
          </w:tcPr>
          <w:p w:rsidR="008E12B9" w:rsidRPr="00577B2E" w:rsidRDefault="008E12B9" w:rsidP="008E12B9">
            <w:pPr>
              <w:spacing w:before="0"/>
              <w:jc w:val="right"/>
              <w:rPr>
                <w:rFonts w:ascii="Arial Narrow" w:eastAsia="Calibri" w:hAnsi="Arial Narrow" w:cstheme="minorHAnsi"/>
                <w:sz w:val="18"/>
                <w:szCs w:val="18"/>
              </w:rPr>
            </w:pPr>
            <w:r w:rsidRPr="00577B2E">
              <w:rPr>
                <w:rFonts w:ascii="Arial Narrow" w:eastAsia="Calibri" w:hAnsi="Arial Narrow" w:cstheme="minorHAnsi"/>
                <w:sz w:val="18"/>
                <w:szCs w:val="18"/>
              </w:rPr>
              <w:t>Meta-analysis(all trials)</w:t>
            </w:r>
          </w:p>
        </w:tc>
        <w:tc>
          <w:tcPr>
            <w:tcW w:w="596" w:type="pct"/>
            <w:shd w:val="clear" w:color="auto" w:fill="auto"/>
            <w:vAlign w:val="center"/>
          </w:tcPr>
          <w:p w:rsidR="008E12B9" w:rsidRPr="001A53AB" w:rsidRDefault="008E12B9" w:rsidP="008E12B9">
            <w:pPr>
              <w:spacing w:before="0"/>
              <w:jc w:val="center"/>
              <w:rPr>
                <w:rFonts w:ascii="Arial Narrow" w:eastAsia="Calibri" w:hAnsi="Arial Narrow" w:cstheme="minorHAnsi"/>
                <w:sz w:val="18"/>
                <w:szCs w:val="18"/>
              </w:rPr>
            </w:pPr>
            <w:r w:rsidRPr="001A53AB">
              <w:rPr>
                <w:rFonts w:ascii="Arial Narrow" w:eastAsia="Calibri" w:hAnsi="Arial Narrow" w:cstheme="minorHAnsi"/>
                <w:sz w:val="18"/>
                <w:szCs w:val="18"/>
              </w:rPr>
              <w:t>138/322 (42.9)</w:t>
            </w:r>
          </w:p>
        </w:tc>
        <w:tc>
          <w:tcPr>
            <w:tcW w:w="596" w:type="pct"/>
            <w:shd w:val="clear" w:color="auto" w:fill="auto"/>
            <w:vAlign w:val="center"/>
          </w:tcPr>
          <w:p w:rsidR="008E12B9" w:rsidRPr="001A53AB" w:rsidRDefault="008E12B9" w:rsidP="008E12B9">
            <w:pPr>
              <w:spacing w:before="0"/>
              <w:jc w:val="center"/>
              <w:rPr>
                <w:rFonts w:ascii="Arial Narrow" w:eastAsia="Calibri" w:hAnsi="Arial Narrow" w:cstheme="minorHAnsi"/>
                <w:sz w:val="18"/>
                <w:szCs w:val="18"/>
              </w:rPr>
            </w:pPr>
            <w:r w:rsidRPr="001A53AB">
              <w:rPr>
                <w:rFonts w:ascii="Arial Narrow" w:eastAsia="Calibri" w:hAnsi="Arial Narrow" w:cstheme="minorHAnsi"/>
                <w:sz w:val="18"/>
                <w:szCs w:val="18"/>
              </w:rPr>
              <w:t>78/333 (23.4)</w:t>
            </w:r>
          </w:p>
        </w:tc>
        <w:tc>
          <w:tcPr>
            <w:tcW w:w="694" w:type="pct"/>
            <w:shd w:val="clear" w:color="auto" w:fill="auto"/>
            <w:vAlign w:val="center"/>
          </w:tcPr>
          <w:p w:rsidR="008E12B9" w:rsidRPr="001A53AB" w:rsidRDefault="008E12B9" w:rsidP="008E12B9">
            <w:pPr>
              <w:spacing w:before="0"/>
              <w:jc w:val="center"/>
              <w:rPr>
                <w:rFonts w:ascii="Arial Narrow" w:eastAsia="Calibri" w:hAnsi="Arial Narrow" w:cstheme="minorHAnsi"/>
                <w:b/>
                <w:sz w:val="18"/>
                <w:szCs w:val="18"/>
              </w:rPr>
            </w:pPr>
            <w:r w:rsidRPr="001A53AB">
              <w:rPr>
                <w:rFonts w:ascii="Arial Narrow" w:eastAsia="Calibri" w:hAnsi="Arial Narrow" w:cstheme="minorHAnsi"/>
                <w:b/>
                <w:sz w:val="18"/>
                <w:szCs w:val="18"/>
              </w:rPr>
              <w:t>1.83 (1.41,2.39)</w:t>
            </w:r>
          </w:p>
        </w:tc>
        <w:tc>
          <w:tcPr>
            <w:tcW w:w="694" w:type="pct"/>
            <w:shd w:val="clear" w:color="auto" w:fill="auto"/>
            <w:vAlign w:val="center"/>
          </w:tcPr>
          <w:p w:rsidR="008E12B9" w:rsidRPr="001A53AB" w:rsidRDefault="008E12B9" w:rsidP="008E12B9">
            <w:pPr>
              <w:spacing w:before="0"/>
              <w:jc w:val="center"/>
              <w:rPr>
                <w:rFonts w:ascii="Arial Narrow" w:eastAsia="Calibri" w:hAnsi="Arial Narrow" w:cstheme="minorHAnsi"/>
                <w:b/>
                <w:sz w:val="18"/>
                <w:szCs w:val="18"/>
              </w:rPr>
            </w:pPr>
            <w:r w:rsidRPr="001A53AB">
              <w:rPr>
                <w:rFonts w:ascii="Arial Narrow" w:eastAsia="Calibri" w:hAnsi="Arial Narrow" w:cstheme="minorHAnsi"/>
                <w:b/>
                <w:sz w:val="18"/>
                <w:szCs w:val="18"/>
              </w:rPr>
              <w:t>0.20 (0.11,0.29)</w:t>
            </w:r>
          </w:p>
        </w:tc>
        <w:tc>
          <w:tcPr>
            <w:tcW w:w="1108" w:type="pct"/>
            <w:shd w:val="clear" w:color="auto" w:fill="auto"/>
            <w:vAlign w:val="center"/>
          </w:tcPr>
          <w:p w:rsidR="008E12B9" w:rsidRPr="001A53AB" w:rsidRDefault="008E12B9" w:rsidP="008E12B9">
            <w:pPr>
              <w:spacing w:before="0"/>
              <w:jc w:val="center"/>
              <w:rPr>
                <w:rFonts w:ascii="Arial Narrow" w:eastAsia="Calibri" w:hAnsi="Arial Narrow" w:cstheme="minorHAnsi"/>
                <w:b/>
                <w:sz w:val="18"/>
                <w:szCs w:val="18"/>
              </w:rPr>
            </w:pPr>
            <w:r w:rsidRPr="001A53AB">
              <w:rPr>
                <w:rFonts w:ascii="Arial Narrow" w:eastAsia="Calibri" w:hAnsi="Arial Narrow" w:cstheme="minorHAnsi"/>
                <w:b/>
                <w:sz w:val="18"/>
                <w:szCs w:val="18"/>
              </w:rPr>
              <w:t>2.49 (1.64,3.78)</w:t>
            </w:r>
          </w:p>
        </w:tc>
      </w:tr>
      <w:tr w:rsidR="008E12B9" w:rsidRPr="00577B2E" w:rsidTr="008B2620">
        <w:trPr>
          <w:trHeight w:val="170"/>
        </w:trPr>
        <w:tc>
          <w:tcPr>
            <w:tcW w:w="1312" w:type="pct"/>
            <w:shd w:val="clear" w:color="auto" w:fill="auto"/>
            <w:vAlign w:val="center"/>
          </w:tcPr>
          <w:p w:rsidR="008E12B9" w:rsidRPr="00577B2E" w:rsidRDefault="008E12B9" w:rsidP="008E12B9">
            <w:pPr>
              <w:spacing w:before="0"/>
              <w:jc w:val="right"/>
              <w:rPr>
                <w:rFonts w:ascii="Arial Narrow" w:eastAsia="Calibri" w:hAnsi="Arial Narrow" w:cstheme="minorHAnsi"/>
                <w:sz w:val="18"/>
                <w:szCs w:val="18"/>
              </w:rPr>
            </w:pPr>
            <w:r w:rsidRPr="00577B2E">
              <w:rPr>
                <w:rFonts w:ascii="Arial Narrow" w:eastAsia="Calibri" w:hAnsi="Arial Narrow" w:cstheme="minorHAnsi"/>
                <w:sz w:val="18"/>
                <w:szCs w:val="18"/>
              </w:rPr>
              <w:t xml:space="preserve">Meta-analysis (excluding </w:t>
            </w:r>
            <w:proofErr w:type="spellStart"/>
            <w:r w:rsidRPr="00577B2E">
              <w:rPr>
                <w:rFonts w:ascii="Arial Narrow" w:eastAsia="Calibri" w:hAnsi="Arial Narrow" w:cstheme="minorHAnsi"/>
                <w:sz w:val="18"/>
                <w:szCs w:val="18"/>
              </w:rPr>
              <w:t>Naganuma</w:t>
            </w:r>
            <w:proofErr w:type="spellEnd"/>
            <w:r w:rsidRPr="00577B2E">
              <w:rPr>
                <w:rFonts w:ascii="Arial Narrow" w:eastAsia="Calibri" w:hAnsi="Arial Narrow" w:cstheme="minorHAnsi"/>
                <w:sz w:val="18"/>
                <w:szCs w:val="18"/>
              </w:rPr>
              <w:t>)</w:t>
            </w:r>
          </w:p>
        </w:tc>
        <w:tc>
          <w:tcPr>
            <w:tcW w:w="596" w:type="pct"/>
            <w:shd w:val="clear" w:color="auto" w:fill="auto"/>
            <w:vAlign w:val="center"/>
          </w:tcPr>
          <w:p w:rsidR="008E12B9" w:rsidRPr="001A53AB" w:rsidRDefault="008E12B9" w:rsidP="008E12B9">
            <w:pPr>
              <w:spacing w:before="0"/>
              <w:jc w:val="center"/>
              <w:rPr>
                <w:rFonts w:ascii="Arial Narrow" w:eastAsia="Calibri" w:hAnsi="Arial Narrow" w:cstheme="minorHAnsi"/>
                <w:sz w:val="18"/>
                <w:szCs w:val="18"/>
              </w:rPr>
            </w:pPr>
            <w:r w:rsidRPr="001A53AB">
              <w:rPr>
                <w:rFonts w:ascii="Arial Narrow" w:eastAsia="Calibri" w:hAnsi="Arial Narrow" w:cstheme="minorHAnsi"/>
                <w:sz w:val="18"/>
                <w:szCs w:val="18"/>
              </w:rPr>
              <w:t>110/267 (41.2)</w:t>
            </w:r>
          </w:p>
        </w:tc>
        <w:tc>
          <w:tcPr>
            <w:tcW w:w="596" w:type="pct"/>
            <w:shd w:val="clear" w:color="auto" w:fill="auto"/>
            <w:vAlign w:val="center"/>
          </w:tcPr>
          <w:p w:rsidR="008E12B9" w:rsidRPr="001A53AB" w:rsidRDefault="008E12B9" w:rsidP="008E12B9">
            <w:pPr>
              <w:spacing w:before="0"/>
              <w:jc w:val="center"/>
              <w:rPr>
                <w:rFonts w:ascii="Arial Narrow" w:eastAsia="Calibri" w:hAnsi="Arial Narrow" w:cstheme="minorHAnsi"/>
                <w:sz w:val="18"/>
                <w:szCs w:val="18"/>
              </w:rPr>
            </w:pPr>
            <w:r w:rsidRPr="001A53AB">
              <w:rPr>
                <w:rFonts w:ascii="Arial Narrow" w:eastAsia="Calibri" w:hAnsi="Arial Narrow" w:cstheme="minorHAnsi"/>
                <w:sz w:val="18"/>
                <w:szCs w:val="18"/>
              </w:rPr>
              <w:t>67/279 (24.0)</w:t>
            </w:r>
          </w:p>
        </w:tc>
        <w:tc>
          <w:tcPr>
            <w:tcW w:w="694" w:type="pct"/>
            <w:shd w:val="clear" w:color="auto" w:fill="auto"/>
            <w:vAlign w:val="center"/>
          </w:tcPr>
          <w:p w:rsidR="008E12B9" w:rsidRPr="001A53AB" w:rsidRDefault="008E12B9" w:rsidP="008E12B9">
            <w:pPr>
              <w:spacing w:before="0"/>
              <w:jc w:val="center"/>
              <w:rPr>
                <w:rFonts w:ascii="Arial Narrow" w:eastAsia="Calibri" w:hAnsi="Arial Narrow" w:cstheme="minorHAnsi"/>
                <w:b/>
                <w:sz w:val="18"/>
                <w:szCs w:val="18"/>
              </w:rPr>
            </w:pPr>
            <w:r w:rsidRPr="001A53AB">
              <w:rPr>
                <w:rFonts w:ascii="Arial Narrow" w:eastAsia="Calibri" w:hAnsi="Arial Narrow" w:cstheme="minorHAnsi"/>
                <w:b/>
                <w:sz w:val="18"/>
                <w:szCs w:val="18"/>
              </w:rPr>
              <w:t>1.71 (1.31,2.24)</w:t>
            </w:r>
          </w:p>
        </w:tc>
        <w:tc>
          <w:tcPr>
            <w:tcW w:w="694" w:type="pct"/>
            <w:shd w:val="clear" w:color="auto" w:fill="auto"/>
            <w:vAlign w:val="center"/>
          </w:tcPr>
          <w:p w:rsidR="008E12B9" w:rsidRPr="001A53AB" w:rsidRDefault="008E12B9" w:rsidP="008E12B9">
            <w:pPr>
              <w:spacing w:before="0"/>
              <w:jc w:val="center"/>
              <w:rPr>
                <w:rFonts w:ascii="Arial Narrow" w:eastAsia="Calibri" w:hAnsi="Arial Narrow" w:cstheme="minorHAnsi"/>
                <w:b/>
                <w:sz w:val="18"/>
                <w:szCs w:val="18"/>
              </w:rPr>
            </w:pPr>
            <w:r w:rsidRPr="001A53AB">
              <w:rPr>
                <w:rFonts w:ascii="Arial Narrow" w:eastAsia="Calibri" w:hAnsi="Arial Narrow" w:cstheme="minorHAnsi"/>
                <w:b/>
                <w:sz w:val="18"/>
                <w:szCs w:val="18"/>
              </w:rPr>
              <w:t>0.17 (0.08,0.26)</w:t>
            </w:r>
          </w:p>
        </w:tc>
        <w:tc>
          <w:tcPr>
            <w:tcW w:w="1108" w:type="pct"/>
            <w:shd w:val="clear" w:color="auto" w:fill="auto"/>
            <w:vAlign w:val="center"/>
          </w:tcPr>
          <w:p w:rsidR="008E12B9" w:rsidRPr="001A53AB" w:rsidRDefault="008E12B9" w:rsidP="008E12B9">
            <w:pPr>
              <w:spacing w:before="0"/>
              <w:jc w:val="center"/>
              <w:rPr>
                <w:rFonts w:ascii="Arial Narrow" w:eastAsia="Calibri" w:hAnsi="Arial Narrow" w:cstheme="minorHAnsi"/>
                <w:b/>
                <w:sz w:val="18"/>
                <w:szCs w:val="18"/>
              </w:rPr>
            </w:pPr>
            <w:r w:rsidRPr="001A53AB">
              <w:rPr>
                <w:rFonts w:ascii="Arial Narrow" w:eastAsia="Calibri" w:hAnsi="Arial Narrow" w:cstheme="minorHAnsi"/>
                <w:b/>
                <w:sz w:val="18"/>
                <w:szCs w:val="18"/>
              </w:rPr>
              <w:t>2.21 (1.47,3.33)</w:t>
            </w:r>
          </w:p>
        </w:tc>
      </w:tr>
      <w:tr w:rsidR="008E12B9" w:rsidRPr="00577B2E" w:rsidTr="007C7CC8">
        <w:trPr>
          <w:trHeight w:val="170"/>
        </w:trPr>
        <w:tc>
          <w:tcPr>
            <w:tcW w:w="5000" w:type="pct"/>
            <w:gridSpan w:val="6"/>
            <w:tcBorders>
              <w:top w:val="double" w:sz="4" w:space="0" w:color="auto"/>
            </w:tcBorders>
            <w:shd w:val="clear" w:color="auto" w:fill="auto"/>
            <w:vAlign w:val="center"/>
          </w:tcPr>
          <w:p w:rsidR="008E12B9" w:rsidRPr="001A53AB" w:rsidRDefault="008E12B9" w:rsidP="008E12B9">
            <w:pPr>
              <w:spacing w:before="0"/>
              <w:rPr>
                <w:rFonts w:ascii="Arial Narrow" w:eastAsia="Calibri" w:hAnsi="Arial Narrow" w:cstheme="minorHAnsi"/>
                <w:sz w:val="18"/>
                <w:szCs w:val="18"/>
              </w:rPr>
            </w:pPr>
            <w:r w:rsidRPr="001A53AB">
              <w:rPr>
                <w:rFonts w:ascii="Arial Narrow" w:eastAsia="Calibri" w:hAnsi="Arial Narrow" w:cstheme="minorHAnsi"/>
                <w:b/>
                <w:sz w:val="18"/>
                <w:szCs w:val="18"/>
              </w:rPr>
              <w:t>Indirect comparisons bude</w:t>
            </w:r>
            <w:r w:rsidR="00885D2B" w:rsidRPr="001A53AB">
              <w:rPr>
                <w:rFonts w:ascii="Arial Narrow" w:eastAsia="Calibri" w:hAnsi="Arial Narrow" w:cstheme="minorHAnsi"/>
                <w:b/>
                <w:sz w:val="18"/>
                <w:szCs w:val="18"/>
              </w:rPr>
              <w:t>sonide CR vs budesonide foam ene</w:t>
            </w:r>
            <w:r w:rsidRPr="001A53AB">
              <w:rPr>
                <w:rFonts w:ascii="Arial Narrow" w:eastAsia="Calibri" w:hAnsi="Arial Narrow" w:cstheme="minorHAnsi"/>
                <w:b/>
                <w:sz w:val="18"/>
                <w:szCs w:val="18"/>
              </w:rPr>
              <w:t>ma</w:t>
            </w:r>
          </w:p>
        </w:tc>
      </w:tr>
      <w:tr w:rsidR="008E12B9" w:rsidRPr="00577B2E" w:rsidTr="008B2620">
        <w:trPr>
          <w:trHeight w:val="170"/>
        </w:trPr>
        <w:tc>
          <w:tcPr>
            <w:tcW w:w="2504" w:type="pct"/>
            <w:gridSpan w:val="3"/>
          </w:tcPr>
          <w:p w:rsidR="008E12B9" w:rsidRPr="00577B2E" w:rsidRDefault="008E12B9" w:rsidP="008E12B9">
            <w:pPr>
              <w:spacing w:before="0"/>
              <w:jc w:val="right"/>
              <w:rPr>
                <w:rFonts w:ascii="Arial Narrow" w:hAnsi="Arial Narrow"/>
                <w:sz w:val="18"/>
                <w:szCs w:val="18"/>
              </w:rPr>
            </w:pPr>
            <w:r w:rsidRPr="00577B2E">
              <w:rPr>
                <w:rFonts w:ascii="Arial Narrow" w:hAnsi="Arial Narrow"/>
                <w:sz w:val="18"/>
                <w:szCs w:val="18"/>
              </w:rPr>
              <w:t xml:space="preserve">Using all trial results </w:t>
            </w:r>
          </w:p>
        </w:tc>
        <w:tc>
          <w:tcPr>
            <w:tcW w:w="694" w:type="pct"/>
          </w:tcPr>
          <w:p w:rsidR="008E12B9" w:rsidRPr="001A53AB" w:rsidRDefault="008E12B9" w:rsidP="008E12B9">
            <w:pPr>
              <w:spacing w:before="0"/>
              <w:jc w:val="center"/>
              <w:rPr>
                <w:rFonts w:ascii="Arial Narrow" w:hAnsi="Arial Narrow"/>
                <w:sz w:val="18"/>
                <w:szCs w:val="18"/>
              </w:rPr>
            </w:pPr>
            <w:r w:rsidRPr="001A53AB">
              <w:rPr>
                <w:rFonts w:ascii="Arial Narrow" w:hAnsi="Arial Narrow"/>
                <w:sz w:val="18"/>
                <w:szCs w:val="18"/>
              </w:rPr>
              <w:t>1.20 (0.73, 1.95)</w:t>
            </w:r>
          </w:p>
        </w:tc>
        <w:tc>
          <w:tcPr>
            <w:tcW w:w="694" w:type="pct"/>
          </w:tcPr>
          <w:p w:rsidR="008E12B9" w:rsidRPr="001A53AB" w:rsidRDefault="008E12B9" w:rsidP="008E12B9">
            <w:pPr>
              <w:spacing w:before="0"/>
              <w:jc w:val="center"/>
              <w:rPr>
                <w:rFonts w:ascii="Arial Narrow" w:hAnsi="Arial Narrow"/>
                <w:b/>
                <w:bCs/>
                <w:sz w:val="18"/>
                <w:szCs w:val="18"/>
              </w:rPr>
            </w:pPr>
            <w:r w:rsidRPr="001A53AB">
              <w:rPr>
                <w:rFonts w:ascii="Arial Narrow" w:hAnsi="Arial Narrow"/>
                <w:b/>
                <w:bCs/>
                <w:sz w:val="18"/>
                <w:szCs w:val="18"/>
              </w:rPr>
              <w:t>-0.11 (-0.21,-0.01)</w:t>
            </w:r>
          </w:p>
        </w:tc>
        <w:tc>
          <w:tcPr>
            <w:tcW w:w="1108" w:type="pct"/>
          </w:tcPr>
          <w:p w:rsidR="008E12B9" w:rsidRPr="001A53AB" w:rsidRDefault="008E12B9" w:rsidP="008E12B9">
            <w:pPr>
              <w:spacing w:before="0"/>
              <w:jc w:val="center"/>
              <w:rPr>
                <w:rFonts w:ascii="Arial Narrow" w:hAnsi="Arial Narrow"/>
                <w:sz w:val="18"/>
                <w:szCs w:val="18"/>
              </w:rPr>
            </w:pPr>
            <w:r w:rsidRPr="001A53AB">
              <w:rPr>
                <w:rFonts w:ascii="Arial Narrow" w:hAnsi="Arial Narrow"/>
                <w:sz w:val="18"/>
                <w:szCs w:val="18"/>
              </w:rPr>
              <w:t>0.97 (0.52,1.80)</w:t>
            </w:r>
          </w:p>
        </w:tc>
      </w:tr>
      <w:tr w:rsidR="008E12B9" w:rsidRPr="00577B2E" w:rsidTr="008B2620">
        <w:trPr>
          <w:trHeight w:val="170"/>
        </w:trPr>
        <w:tc>
          <w:tcPr>
            <w:tcW w:w="2504" w:type="pct"/>
            <w:gridSpan w:val="3"/>
          </w:tcPr>
          <w:p w:rsidR="008E12B9" w:rsidRPr="00577B2E" w:rsidRDefault="008E12B9" w:rsidP="008E12B9">
            <w:pPr>
              <w:spacing w:before="0"/>
              <w:jc w:val="right"/>
              <w:rPr>
                <w:rFonts w:ascii="Arial Narrow" w:hAnsi="Arial Narrow"/>
                <w:sz w:val="18"/>
                <w:szCs w:val="18"/>
              </w:rPr>
            </w:pPr>
            <w:r w:rsidRPr="00577B2E">
              <w:rPr>
                <w:rFonts w:ascii="Arial Narrow" w:hAnsi="Arial Narrow"/>
                <w:sz w:val="18"/>
                <w:szCs w:val="18"/>
              </w:rPr>
              <w:t xml:space="preserve">excluding the results of </w:t>
            </w:r>
            <w:proofErr w:type="spellStart"/>
            <w:r w:rsidRPr="00577B2E">
              <w:rPr>
                <w:rFonts w:ascii="Arial Narrow" w:hAnsi="Arial Narrow"/>
                <w:sz w:val="18"/>
                <w:szCs w:val="18"/>
              </w:rPr>
              <w:t>Naganuma</w:t>
            </w:r>
            <w:proofErr w:type="spellEnd"/>
            <w:r w:rsidRPr="00577B2E">
              <w:rPr>
                <w:rFonts w:ascii="Arial Narrow" w:hAnsi="Arial Narrow"/>
                <w:sz w:val="18"/>
                <w:szCs w:val="18"/>
              </w:rPr>
              <w:t xml:space="preserve"> 2016</w:t>
            </w:r>
          </w:p>
        </w:tc>
        <w:tc>
          <w:tcPr>
            <w:tcW w:w="694" w:type="pct"/>
          </w:tcPr>
          <w:p w:rsidR="008E12B9" w:rsidRPr="001A53AB" w:rsidRDefault="008E12B9" w:rsidP="008E12B9">
            <w:pPr>
              <w:spacing w:before="0"/>
              <w:jc w:val="center"/>
              <w:rPr>
                <w:rFonts w:ascii="Arial Narrow" w:hAnsi="Arial Narrow"/>
                <w:sz w:val="18"/>
                <w:szCs w:val="18"/>
              </w:rPr>
            </w:pPr>
            <w:r w:rsidRPr="001A53AB">
              <w:rPr>
                <w:rFonts w:ascii="Arial Narrow" w:hAnsi="Arial Narrow"/>
                <w:sz w:val="18"/>
                <w:szCs w:val="18"/>
              </w:rPr>
              <w:t>1.28 (0.78, 2.10)</w:t>
            </w:r>
          </w:p>
        </w:tc>
        <w:tc>
          <w:tcPr>
            <w:tcW w:w="694" w:type="pct"/>
          </w:tcPr>
          <w:p w:rsidR="008E12B9" w:rsidRPr="001A53AB" w:rsidRDefault="008E12B9" w:rsidP="008E12B9">
            <w:pPr>
              <w:spacing w:before="0"/>
              <w:jc w:val="center"/>
              <w:rPr>
                <w:rFonts w:ascii="Arial Narrow" w:hAnsi="Arial Narrow"/>
                <w:sz w:val="18"/>
                <w:szCs w:val="18"/>
              </w:rPr>
            </w:pPr>
            <w:r w:rsidRPr="001A53AB">
              <w:rPr>
                <w:rFonts w:ascii="Arial Narrow" w:hAnsi="Arial Narrow"/>
                <w:sz w:val="18"/>
                <w:szCs w:val="18"/>
              </w:rPr>
              <w:t>-0.08 (-0.18, 0.02)</w:t>
            </w:r>
          </w:p>
        </w:tc>
        <w:tc>
          <w:tcPr>
            <w:tcW w:w="1108" w:type="pct"/>
          </w:tcPr>
          <w:p w:rsidR="008E12B9" w:rsidRPr="001A53AB" w:rsidRDefault="008E12B9" w:rsidP="008E12B9">
            <w:pPr>
              <w:spacing w:before="0"/>
              <w:jc w:val="center"/>
              <w:rPr>
                <w:rFonts w:ascii="Arial Narrow" w:hAnsi="Arial Narrow"/>
                <w:sz w:val="18"/>
                <w:szCs w:val="18"/>
              </w:rPr>
            </w:pPr>
            <w:r w:rsidRPr="001A53AB">
              <w:rPr>
                <w:rFonts w:ascii="Arial Narrow" w:hAnsi="Arial Narrow"/>
                <w:sz w:val="18"/>
                <w:szCs w:val="18"/>
              </w:rPr>
              <w:t>1.10 (0.59,2.02)</w:t>
            </w:r>
          </w:p>
        </w:tc>
      </w:tr>
      <w:tr w:rsidR="008E12B9" w:rsidRPr="00577B2E" w:rsidTr="008B2620">
        <w:trPr>
          <w:trHeight w:val="170"/>
        </w:trPr>
        <w:tc>
          <w:tcPr>
            <w:tcW w:w="2504" w:type="pct"/>
            <w:gridSpan w:val="3"/>
          </w:tcPr>
          <w:p w:rsidR="008E12B9" w:rsidRPr="00577B2E" w:rsidRDefault="008E12B9" w:rsidP="008E12B9">
            <w:pPr>
              <w:spacing w:before="0"/>
              <w:jc w:val="right"/>
              <w:rPr>
                <w:rFonts w:ascii="Arial Narrow" w:hAnsi="Arial Narrow"/>
                <w:sz w:val="18"/>
                <w:szCs w:val="18"/>
              </w:rPr>
            </w:pPr>
            <w:r w:rsidRPr="00577B2E">
              <w:rPr>
                <w:rFonts w:ascii="Arial Narrow" w:hAnsi="Arial Narrow"/>
                <w:sz w:val="18"/>
                <w:szCs w:val="18"/>
              </w:rPr>
              <w:t>Proctosigmoiditis/distal colitis only</w:t>
            </w:r>
          </w:p>
        </w:tc>
        <w:tc>
          <w:tcPr>
            <w:tcW w:w="694" w:type="pct"/>
            <w:vAlign w:val="center"/>
          </w:tcPr>
          <w:p w:rsidR="008E12B9" w:rsidRPr="001A53AB" w:rsidRDefault="008E12B9" w:rsidP="008E12B9">
            <w:pPr>
              <w:spacing w:before="0"/>
              <w:jc w:val="center"/>
              <w:rPr>
                <w:rFonts w:ascii="Arial Narrow" w:hAnsi="Arial Narrow"/>
                <w:sz w:val="18"/>
                <w:szCs w:val="18"/>
              </w:rPr>
            </w:pPr>
            <w:r w:rsidRPr="001A53AB">
              <w:rPr>
                <w:rFonts w:ascii="Arial Narrow" w:hAnsi="Arial Narrow"/>
                <w:sz w:val="18"/>
                <w:szCs w:val="18"/>
              </w:rPr>
              <w:t>1.58 (0.79, 3.17)</w:t>
            </w:r>
          </w:p>
        </w:tc>
        <w:tc>
          <w:tcPr>
            <w:tcW w:w="694" w:type="pct"/>
            <w:vAlign w:val="center"/>
          </w:tcPr>
          <w:p w:rsidR="008E12B9" w:rsidRPr="001A53AB" w:rsidRDefault="008E12B9" w:rsidP="008E12B9">
            <w:pPr>
              <w:spacing w:before="0"/>
              <w:jc w:val="center"/>
              <w:rPr>
                <w:rFonts w:ascii="Arial Narrow" w:hAnsi="Arial Narrow"/>
                <w:sz w:val="18"/>
                <w:szCs w:val="18"/>
              </w:rPr>
            </w:pPr>
            <w:r w:rsidRPr="001A53AB">
              <w:rPr>
                <w:rFonts w:ascii="Arial Narrow" w:hAnsi="Arial Narrow"/>
                <w:sz w:val="18"/>
                <w:szCs w:val="18"/>
              </w:rPr>
              <w:t>-0.06 (-0.18, 0.06)</w:t>
            </w:r>
          </w:p>
        </w:tc>
        <w:tc>
          <w:tcPr>
            <w:tcW w:w="1108" w:type="pct"/>
            <w:vAlign w:val="center"/>
          </w:tcPr>
          <w:p w:rsidR="008E12B9" w:rsidRPr="001A53AB" w:rsidRDefault="008E12B9" w:rsidP="008E12B9">
            <w:pPr>
              <w:spacing w:before="0"/>
              <w:jc w:val="center"/>
              <w:rPr>
                <w:rFonts w:ascii="Arial Narrow" w:hAnsi="Arial Narrow"/>
                <w:sz w:val="18"/>
                <w:szCs w:val="18"/>
              </w:rPr>
            </w:pPr>
            <w:r w:rsidRPr="001A53AB">
              <w:rPr>
                <w:rFonts w:ascii="Arial Narrow" w:hAnsi="Arial Narrow"/>
                <w:sz w:val="18"/>
                <w:szCs w:val="18"/>
              </w:rPr>
              <w:t>1.37 (0.59,3.18)</w:t>
            </w:r>
          </w:p>
        </w:tc>
      </w:tr>
      <w:tr w:rsidR="008E12B9" w:rsidRPr="00577B2E" w:rsidTr="008B2620">
        <w:trPr>
          <w:trHeight w:val="170"/>
        </w:trPr>
        <w:tc>
          <w:tcPr>
            <w:tcW w:w="2504" w:type="pct"/>
            <w:gridSpan w:val="3"/>
          </w:tcPr>
          <w:p w:rsidR="008E12B9" w:rsidRPr="00577B2E" w:rsidRDefault="008E12B9" w:rsidP="008E12B9">
            <w:pPr>
              <w:spacing w:before="0"/>
              <w:jc w:val="right"/>
              <w:rPr>
                <w:rFonts w:ascii="Arial Narrow" w:hAnsi="Arial Narrow"/>
                <w:sz w:val="18"/>
                <w:szCs w:val="18"/>
              </w:rPr>
            </w:pPr>
            <w:r w:rsidRPr="00577B2E">
              <w:rPr>
                <w:rFonts w:ascii="Arial Narrow" w:hAnsi="Arial Narrow"/>
                <w:sz w:val="18"/>
                <w:szCs w:val="18"/>
              </w:rPr>
              <w:t xml:space="preserve">Proctosigmoiditis/distal colitis only and excluding </w:t>
            </w:r>
            <w:proofErr w:type="spellStart"/>
            <w:r w:rsidRPr="00577B2E">
              <w:rPr>
                <w:rFonts w:ascii="Arial Narrow" w:hAnsi="Arial Narrow"/>
                <w:sz w:val="18"/>
                <w:szCs w:val="18"/>
              </w:rPr>
              <w:t>Naganuma</w:t>
            </w:r>
            <w:proofErr w:type="spellEnd"/>
            <w:r w:rsidRPr="00577B2E">
              <w:rPr>
                <w:rFonts w:ascii="Arial Narrow" w:hAnsi="Arial Narrow"/>
                <w:sz w:val="18"/>
                <w:szCs w:val="18"/>
              </w:rPr>
              <w:t xml:space="preserve"> 2016</w:t>
            </w:r>
          </w:p>
        </w:tc>
        <w:tc>
          <w:tcPr>
            <w:tcW w:w="694" w:type="pct"/>
            <w:vAlign w:val="center"/>
          </w:tcPr>
          <w:p w:rsidR="008E12B9" w:rsidRPr="001A53AB" w:rsidRDefault="008E12B9" w:rsidP="008E12B9">
            <w:pPr>
              <w:spacing w:before="0"/>
              <w:jc w:val="center"/>
              <w:rPr>
                <w:rFonts w:ascii="Arial Narrow" w:hAnsi="Arial Narrow"/>
                <w:sz w:val="18"/>
                <w:szCs w:val="18"/>
              </w:rPr>
            </w:pPr>
            <w:r w:rsidRPr="001A53AB">
              <w:rPr>
                <w:rFonts w:ascii="Arial Narrow" w:hAnsi="Arial Narrow"/>
                <w:sz w:val="18"/>
                <w:szCs w:val="18"/>
              </w:rPr>
              <w:t>1.69 (0.84,3.40)</w:t>
            </w:r>
          </w:p>
        </w:tc>
        <w:tc>
          <w:tcPr>
            <w:tcW w:w="694" w:type="pct"/>
            <w:vAlign w:val="center"/>
          </w:tcPr>
          <w:p w:rsidR="008E12B9" w:rsidRPr="001A53AB" w:rsidRDefault="008E12B9" w:rsidP="008E12B9">
            <w:pPr>
              <w:spacing w:before="0"/>
              <w:jc w:val="center"/>
              <w:rPr>
                <w:rFonts w:ascii="Arial Narrow" w:hAnsi="Arial Narrow"/>
                <w:sz w:val="18"/>
                <w:szCs w:val="18"/>
              </w:rPr>
            </w:pPr>
            <w:r w:rsidRPr="001A53AB">
              <w:rPr>
                <w:rFonts w:ascii="Arial Narrow" w:hAnsi="Arial Narrow"/>
                <w:sz w:val="18"/>
                <w:szCs w:val="18"/>
              </w:rPr>
              <w:t>-0.03 (-0.15, 0.09)</w:t>
            </w:r>
          </w:p>
        </w:tc>
        <w:tc>
          <w:tcPr>
            <w:tcW w:w="1108" w:type="pct"/>
            <w:vAlign w:val="center"/>
          </w:tcPr>
          <w:p w:rsidR="008E12B9" w:rsidRPr="001A53AB" w:rsidRDefault="008E12B9" w:rsidP="008E12B9">
            <w:pPr>
              <w:spacing w:before="0"/>
              <w:jc w:val="center"/>
              <w:rPr>
                <w:rFonts w:ascii="Arial Narrow" w:hAnsi="Arial Narrow"/>
                <w:sz w:val="18"/>
                <w:szCs w:val="18"/>
              </w:rPr>
            </w:pPr>
            <w:r w:rsidRPr="001A53AB">
              <w:rPr>
                <w:rFonts w:ascii="Arial Narrow" w:hAnsi="Arial Narrow"/>
                <w:sz w:val="18"/>
                <w:szCs w:val="18"/>
              </w:rPr>
              <w:t>1.55 (0.47,5.05)</w:t>
            </w:r>
          </w:p>
        </w:tc>
      </w:tr>
    </w:tbl>
    <w:p w:rsidR="008E12B9" w:rsidRPr="00577B2E" w:rsidRDefault="008E12B9" w:rsidP="007C7CC8">
      <w:pPr>
        <w:spacing w:before="0" w:after="0"/>
        <w:jc w:val="both"/>
        <w:rPr>
          <w:rFonts w:ascii="Arial Narrow" w:hAnsi="Arial Narrow"/>
          <w:sz w:val="18"/>
          <w:szCs w:val="18"/>
        </w:rPr>
      </w:pPr>
      <w:r w:rsidRPr="00577B2E">
        <w:rPr>
          <w:rFonts w:ascii="Arial Narrow" w:hAnsi="Arial Narrow"/>
          <w:sz w:val="18"/>
          <w:szCs w:val="18"/>
        </w:rPr>
        <w:t xml:space="preserve">Abbreviations: CI = confidence interval; CR = colonic release, </w:t>
      </w:r>
      <w:proofErr w:type="spellStart"/>
      <w:proofErr w:type="gramStart"/>
      <w:r w:rsidRPr="00577B2E">
        <w:rPr>
          <w:rFonts w:ascii="Arial Narrow" w:hAnsi="Arial Narrow"/>
          <w:sz w:val="18"/>
          <w:szCs w:val="18"/>
        </w:rPr>
        <w:t>df</w:t>
      </w:r>
      <w:proofErr w:type="spellEnd"/>
      <w:proofErr w:type="gramEnd"/>
      <w:r w:rsidRPr="00577B2E">
        <w:rPr>
          <w:rFonts w:ascii="Arial Narrow" w:hAnsi="Arial Narrow"/>
          <w:sz w:val="18"/>
          <w:szCs w:val="18"/>
        </w:rPr>
        <w:t xml:space="preserve"> = degrees of freedom; n = number of patients with event; N = total number of patients in group</w:t>
      </w:r>
    </w:p>
    <w:p w:rsidR="008E12B9" w:rsidRPr="00577B2E" w:rsidRDefault="008E12B9" w:rsidP="007C7CC8">
      <w:pPr>
        <w:spacing w:before="0" w:after="0"/>
        <w:jc w:val="both"/>
        <w:rPr>
          <w:rFonts w:ascii="Arial Narrow" w:hAnsi="Arial Narrow"/>
          <w:sz w:val="18"/>
          <w:szCs w:val="18"/>
        </w:rPr>
      </w:pPr>
      <w:r w:rsidRPr="00577B2E">
        <w:rPr>
          <w:rFonts w:ascii="Arial Narrow" w:hAnsi="Arial Narrow"/>
          <w:sz w:val="18"/>
          <w:szCs w:val="18"/>
        </w:rPr>
        <w:t>Text in bold indicate statistically significant differences</w:t>
      </w:r>
    </w:p>
    <w:p w:rsidR="008E12B9" w:rsidRPr="00577B2E" w:rsidRDefault="008E12B9" w:rsidP="007C7CC8">
      <w:pPr>
        <w:spacing w:before="0" w:after="0"/>
        <w:jc w:val="both"/>
        <w:rPr>
          <w:rFonts w:ascii="Arial Narrow" w:hAnsi="Arial Narrow"/>
          <w:sz w:val="18"/>
          <w:szCs w:val="18"/>
        </w:rPr>
      </w:pPr>
      <w:r w:rsidRPr="00577B2E">
        <w:rPr>
          <w:rFonts w:ascii="Arial Narrow" w:hAnsi="Arial Narrow"/>
          <w:sz w:val="18"/>
          <w:szCs w:val="18"/>
        </w:rPr>
        <w:t>1</w:t>
      </w:r>
      <w:r w:rsidRPr="00577B2E">
        <w:rPr>
          <w:rFonts w:ascii="Arial Narrow" w:hAnsi="Arial Narrow"/>
          <w:sz w:val="18"/>
          <w:szCs w:val="18"/>
        </w:rPr>
        <w:tab/>
        <w:t>Defined as stool frequency, rectal bleeding, mucosal appearance = 0, physician rating = 0 or 1, endoscopic index score ≥ 1 point reduction from baseline and UCDAI score ≤ 1</w:t>
      </w:r>
    </w:p>
    <w:p w:rsidR="008E12B9" w:rsidRPr="00577B2E" w:rsidRDefault="008E12B9" w:rsidP="007C7CC8">
      <w:pPr>
        <w:spacing w:before="0" w:after="0"/>
        <w:jc w:val="both"/>
        <w:rPr>
          <w:rFonts w:ascii="Arial Narrow" w:hAnsi="Arial Narrow"/>
          <w:sz w:val="18"/>
          <w:szCs w:val="18"/>
        </w:rPr>
      </w:pPr>
      <w:r w:rsidRPr="00577B2E">
        <w:rPr>
          <w:rFonts w:ascii="Arial Narrow" w:hAnsi="Arial Narrow"/>
          <w:sz w:val="18"/>
          <w:szCs w:val="18"/>
        </w:rPr>
        <w:t>2</w:t>
      </w:r>
      <w:r w:rsidRPr="00577B2E">
        <w:rPr>
          <w:rFonts w:ascii="Arial Narrow" w:hAnsi="Arial Narrow"/>
          <w:sz w:val="18"/>
          <w:szCs w:val="18"/>
        </w:rPr>
        <w:tab/>
        <w:t>Defined as stool frequency, rectal bleeding, mucosal appearance = 0, physician rating = 0 or 1 and UCDAI score ≤ 1</w:t>
      </w:r>
    </w:p>
    <w:p w:rsidR="008E12B9" w:rsidRPr="00577B2E" w:rsidRDefault="008E12B9" w:rsidP="007C7CC8">
      <w:pPr>
        <w:spacing w:before="0" w:after="0"/>
        <w:jc w:val="both"/>
        <w:rPr>
          <w:rFonts w:ascii="Arial Narrow" w:hAnsi="Arial Narrow"/>
          <w:sz w:val="18"/>
          <w:szCs w:val="18"/>
        </w:rPr>
      </w:pPr>
      <w:r w:rsidRPr="00577B2E">
        <w:rPr>
          <w:rFonts w:ascii="Arial Narrow" w:hAnsi="Arial Narrow"/>
          <w:sz w:val="18"/>
          <w:szCs w:val="18"/>
        </w:rPr>
        <w:t>3</w:t>
      </w:r>
      <w:r w:rsidRPr="00577B2E">
        <w:rPr>
          <w:rFonts w:ascii="Arial Narrow" w:hAnsi="Arial Narrow"/>
          <w:sz w:val="18"/>
          <w:szCs w:val="18"/>
        </w:rPr>
        <w:tab/>
        <w:t xml:space="preserve"> 2 patients in budesonide CR and 6 patients in placebo group did not have anatomical involvement data</w:t>
      </w:r>
    </w:p>
    <w:p w:rsidR="008E12B9" w:rsidRPr="00577B2E" w:rsidRDefault="008E12B9" w:rsidP="007C7CC8">
      <w:pPr>
        <w:spacing w:before="0" w:after="0"/>
        <w:jc w:val="both"/>
        <w:rPr>
          <w:rFonts w:ascii="Arial Narrow" w:hAnsi="Arial Narrow"/>
          <w:sz w:val="18"/>
          <w:szCs w:val="18"/>
        </w:rPr>
      </w:pPr>
      <w:r w:rsidRPr="00577B2E">
        <w:rPr>
          <w:rFonts w:ascii="Arial Narrow" w:hAnsi="Arial Narrow"/>
          <w:sz w:val="18"/>
          <w:szCs w:val="18"/>
        </w:rPr>
        <w:t>4</w:t>
      </w:r>
      <w:r w:rsidRPr="00577B2E">
        <w:rPr>
          <w:rFonts w:ascii="Arial Narrow" w:hAnsi="Arial Narrow"/>
          <w:sz w:val="18"/>
          <w:szCs w:val="18"/>
        </w:rPr>
        <w:tab/>
        <w:t xml:space="preserve">Defined as stool frequency of improvement or no change, rectal bleeding =0, mucosal appearance ≤ 1 on the </w:t>
      </w:r>
      <w:proofErr w:type="spellStart"/>
      <w:r w:rsidRPr="00577B2E">
        <w:rPr>
          <w:rFonts w:ascii="Arial Narrow" w:hAnsi="Arial Narrow"/>
          <w:sz w:val="18"/>
          <w:szCs w:val="18"/>
        </w:rPr>
        <w:t>mMAYO</w:t>
      </w:r>
      <w:proofErr w:type="spellEnd"/>
      <w:r w:rsidRPr="00577B2E">
        <w:rPr>
          <w:rFonts w:ascii="Arial Narrow" w:hAnsi="Arial Narrow"/>
          <w:sz w:val="18"/>
          <w:szCs w:val="18"/>
        </w:rPr>
        <w:t xml:space="preserve"> score </w:t>
      </w:r>
    </w:p>
    <w:p w:rsidR="008E12B9" w:rsidRPr="00577B2E" w:rsidRDefault="008E12B9" w:rsidP="007C7CC8">
      <w:pPr>
        <w:spacing w:before="0" w:after="0"/>
        <w:jc w:val="both"/>
        <w:rPr>
          <w:rFonts w:ascii="Arial Narrow" w:hAnsi="Arial Narrow"/>
          <w:sz w:val="18"/>
          <w:szCs w:val="18"/>
        </w:rPr>
      </w:pPr>
      <w:r w:rsidRPr="00577B2E">
        <w:rPr>
          <w:rFonts w:ascii="Arial Narrow" w:hAnsi="Arial Narrow"/>
          <w:sz w:val="18"/>
          <w:szCs w:val="18"/>
        </w:rPr>
        <w:t>5</w:t>
      </w:r>
      <w:r w:rsidRPr="00577B2E">
        <w:rPr>
          <w:rFonts w:ascii="Arial Narrow" w:hAnsi="Arial Narrow"/>
          <w:sz w:val="18"/>
          <w:szCs w:val="18"/>
        </w:rPr>
        <w:tab/>
        <w:t xml:space="preserve">Defined as stool frequency = 0 or decrease of ≥ 1 from baseline, rectal bleeding =0, mucosal appearance ≤ 1 on the </w:t>
      </w:r>
      <w:proofErr w:type="spellStart"/>
      <w:r w:rsidRPr="00577B2E">
        <w:rPr>
          <w:rFonts w:ascii="Arial Narrow" w:hAnsi="Arial Narrow"/>
          <w:sz w:val="18"/>
          <w:szCs w:val="18"/>
        </w:rPr>
        <w:t>mMAYO</w:t>
      </w:r>
      <w:proofErr w:type="spellEnd"/>
      <w:r w:rsidRPr="00577B2E">
        <w:rPr>
          <w:rFonts w:ascii="Arial Narrow" w:hAnsi="Arial Narrow"/>
          <w:sz w:val="18"/>
          <w:szCs w:val="18"/>
        </w:rPr>
        <w:t xml:space="preserve"> score</w:t>
      </w:r>
    </w:p>
    <w:p w:rsidR="00EE5F21" w:rsidRPr="00DA6568" w:rsidRDefault="008E12B9" w:rsidP="00EE5F21">
      <w:pPr>
        <w:spacing w:before="0"/>
        <w:jc w:val="both"/>
        <w:rPr>
          <w:rFonts w:ascii="Arial Narrow" w:hAnsi="Arial Narrow"/>
          <w:sz w:val="18"/>
          <w:szCs w:val="18"/>
        </w:rPr>
      </w:pPr>
      <w:r w:rsidRPr="00577B2E">
        <w:rPr>
          <w:rFonts w:ascii="Arial Narrow" w:hAnsi="Arial Narrow"/>
          <w:sz w:val="18"/>
          <w:szCs w:val="18"/>
        </w:rPr>
        <w:t xml:space="preserve">Source: </w:t>
      </w:r>
      <w:r w:rsidR="00EE5F21" w:rsidRPr="003A648E">
        <w:rPr>
          <w:rFonts w:ascii="Arial Narrow" w:hAnsi="Arial Narrow"/>
          <w:sz w:val="18"/>
          <w:szCs w:val="18"/>
        </w:rPr>
        <w:t>Table 2.6-1, p81, Table 2.6-2, p82, Table 2.6-6, p86, Table 2.6-7,p87, Table 2.6-8, p89 Table 2.6-10, p93, Table 2.6-11, p 95 of the submission.</w:t>
      </w:r>
      <w:bookmarkStart w:id="12" w:name="_GoBack"/>
      <w:bookmarkEnd w:id="12"/>
    </w:p>
    <w:p w:rsidR="008E12B9" w:rsidRPr="00577B2E" w:rsidRDefault="008E12B9" w:rsidP="007C7CC8">
      <w:pPr>
        <w:spacing w:before="0" w:after="0"/>
        <w:jc w:val="both"/>
        <w:rPr>
          <w:rFonts w:ascii="Arial Narrow" w:hAnsi="Arial Narrow"/>
          <w:sz w:val="18"/>
          <w:szCs w:val="18"/>
        </w:rPr>
      </w:pPr>
    </w:p>
    <w:p w:rsidR="00950613" w:rsidRPr="00577B2E" w:rsidRDefault="00950613" w:rsidP="008E12B9">
      <w:pPr>
        <w:spacing w:before="0" w:after="0"/>
        <w:jc w:val="both"/>
        <w:rPr>
          <w:rFonts w:ascii="Arial Narrow" w:hAnsi="Arial Narrow"/>
          <w:sz w:val="18"/>
          <w:szCs w:val="18"/>
        </w:rPr>
      </w:pPr>
    </w:p>
    <w:p w:rsidR="00D924FF" w:rsidRDefault="00D924FF">
      <w:pPr>
        <w:spacing w:before="0" w:line="259" w:lineRule="auto"/>
        <w:rPr>
          <w:rFonts w:ascii="Arial Narrow" w:hAnsi="Arial Narrow"/>
          <w:b/>
          <w:sz w:val="20"/>
          <w:szCs w:val="20"/>
        </w:rPr>
      </w:pPr>
      <w:r>
        <w:rPr>
          <w:rFonts w:ascii="Arial Narrow" w:hAnsi="Arial Narrow"/>
          <w:b/>
          <w:sz w:val="20"/>
          <w:szCs w:val="20"/>
        </w:rPr>
        <w:br w:type="page"/>
      </w:r>
    </w:p>
    <w:p w:rsidR="008B2620" w:rsidRDefault="008B2620" w:rsidP="008B2620">
      <w:pPr>
        <w:pStyle w:val="Caption"/>
        <w:keepNext/>
      </w:pPr>
      <w:r>
        <w:t xml:space="preserve">Table </w:t>
      </w:r>
      <w:r w:rsidR="009C2BB0">
        <w:rPr>
          <w:noProof/>
        </w:rPr>
        <w:t>5</w:t>
      </w:r>
      <w:r w:rsidRPr="00D410B3">
        <w:t>: Trial, subgroup, meta-analyses and indirect comparison results for the outcome of remission (</w:t>
      </w:r>
      <w:r w:rsidRPr="00FA62CA">
        <w:t>using adjusted remission definition for CORE I and CORE II trials)</w:t>
      </w:r>
    </w:p>
    <w:tbl>
      <w:tblPr>
        <w:tblStyle w:val="Summarybox6"/>
        <w:tblW w:w="4981" w:type="pct"/>
        <w:tblInd w:w="28" w:type="dxa"/>
        <w:tblLayout w:type="fixed"/>
        <w:tblCellMar>
          <w:left w:w="28" w:type="dxa"/>
          <w:right w:w="28" w:type="dxa"/>
        </w:tblCellMar>
        <w:tblLook w:val="04A0" w:firstRow="1" w:lastRow="0" w:firstColumn="1" w:lastColumn="0" w:noHBand="0" w:noVBand="1"/>
        <w:tblCaption w:val="Trial, subgroup, meta-analyses and indirect comparison results for the outcome of remission (using adjusted remission definition for CORE I and CORE II trials)"/>
      </w:tblPr>
      <w:tblGrid>
        <w:gridCol w:w="2205"/>
        <w:gridCol w:w="1373"/>
        <w:gridCol w:w="969"/>
        <w:gridCol w:w="405"/>
        <w:gridCol w:w="1103"/>
        <w:gridCol w:w="270"/>
        <w:gridCol w:w="1237"/>
        <w:gridCol w:w="136"/>
        <w:gridCol w:w="1373"/>
      </w:tblGrid>
      <w:tr w:rsidR="00950613" w:rsidRPr="00577B2E" w:rsidTr="00AA3262">
        <w:trPr>
          <w:trHeight w:val="283"/>
          <w:tblHeader/>
        </w:trPr>
        <w:tc>
          <w:tcPr>
            <w:tcW w:w="1215" w:type="pct"/>
            <w:shd w:val="clear" w:color="auto" w:fill="auto"/>
            <w:vAlign w:val="center"/>
          </w:tcPr>
          <w:p w:rsidR="00950613" w:rsidRPr="00577B2E" w:rsidRDefault="00950613" w:rsidP="00950613">
            <w:pPr>
              <w:spacing w:before="0"/>
              <w:rPr>
                <w:rFonts w:ascii="Arial Narrow" w:hAnsi="Arial Narrow"/>
                <w:b/>
                <w:sz w:val="18"/>
                <w:szCs w:val="18"/>
              </w:rPr>
            </w:pPr>
            <w:r w:rsidRPr="00577B2E">
              <w:rPr>
                <w:rFonts w:ascii="Arial Narrow" w:hAnsi="Arial Narrow"/>
                <w:b/>
                <w:sz w:val="18"/>
                <w:szCs w:val="18"/>
              </w:rPr>
              <w:t>Trial ID</w:t>
            </w:r>
          </w:p>
        </w:tc>
        <w:tc>
          <w:tcPr>
            <w:tcW w:w="757" w:type="pct"/>
            <w:shd w:val="clear" w:color="auto" w:fill="auto"/>
            <w:vAlign w:val="center"/>
          </w:tcPr>
          <w:p w:rsidR="00950613" w:rsidRPr="00577B2E" w:rsidRDefault="00950613" w:rsidP="00950613">
            <w:pPr>
              <w:spacing w:before="0"/>
              <w:jc w:val="center"/>
              <w:rPr>
                <w:rFonts w:ascii="Arial Narrow" w:hAnsi="Arial Narrow"/>
                <w:b/>
                <w:sz w:val="18"/>
                <w:szCs w:val="18"/>
              </w:rPr>
            </w:pPr>
            <w:r w:rsidRPr="00577B2E">
              <w:rPr>
                <w:rFonts w:ascii="Arial Narrow" w:hAnsi="Arial Narrow"/>
                <w:b/>
                <w:sz w:val="18"/>
                <w:szCs w:val="18"/>
              </w:rPr>
              <w:t>Budesonide CR</w:t>
            </w:r>
          </w:p>
          <w:p w:rsidR="00950613" w:rsidRPr="00577B2E" w:rsidRDefault="00950613" w:rsidP="00950613">
            <w:pPr>
              <w:spacing w:before="0"/>
              <w:jc w:val="center"/>
              <w:rPr>
                <w:rFonts w:ascii="Arial Narrow" w:hAnsi="Arial Narrow"/>
                <w:b/>
                <w:sz w:val="18"/>
                <w:szCs w:val="18"/>
              </w:rPr>
            </w:pPr>
            <w:proofErr w:type="gramStart"/>
            <w:r w:rsidRPr="00577B2E">
              <w:rPr>
                <w:rFonts w:ascii="Arial Narrow" w:hAnsi="Arial Narrow"/>
                <w:b/>
                <w:sz w:val="18"/>
                <w:szCs w:val="18"/>
              </w:rPr>
              <w:t>n/N</w:t>
            </w:r>
            <w:proofErr w:type="gramEnd"/>
            <w:r w:rsidRPr="00577B2E">
              <w:rPr>
                <w:rFonts w:ascii="Arial Narrow" w:hAnsi="Arial Narrow"/>
                <w:b/>
                <w:sz w:val="18"/>
                <w:szCs w:val="18"/>
              </w:rPr>
              <w:t xml:space="preserve"> (%)</w:t>
            </w:r>
          </w:p>
        </w:tc>
        <w:tc>
          <w:tcPr>
            <w:tcW w:w="757" w:type="pct"/>
            <w:gridSpan w:val="2"/>
            <w:shd w:val="clear" w:color="auto" w:fill="auto"/>
            <w:vAlign w:val="center"/>
          </w:tcPr>
          <w:p w:rsidR="00950613" w:rsidRPr="00577B2E" w:rsidRDefault="00950613" w:rsidP="00950613">
            <w:pPr>
              <w:spacing w:before="0"/>
              <w:jc w:val="center"/>
              <w:rPr>
                <w:rFonts w:ascii="Arial Narrow" w:hAnsi="Arial Narrow"/>
                <w:b/>
                <w:sz w:val="18"/>
                <w:szCs w:val="18"/>
              </w:rPr>
            </w:pPr>
            <w:r w:rsidRPr="00577B2E">
              <w:rPr>
                <w:rFonts w:ascii="Arial Narrow" w:hAnsi="Arial Narrow"/>
                <w:b/>
                <w:sz w:val="18"/>
                <w:szCs w:val="18"/>
              </w:rPr>
              <w:t>Placebo</w:t>
            </w:r>
          </w:p>
          <w:p w:rsidR="00950613" w:rsidRPr="00577B2E" w:rsidRDefault="00950613" w:rsidP="00950613">
            <w:pPr>
              <w:spacing w:before="0"/>
              <w:jc w:val="center"/>
              <w:rPr>
                <w:rFonts w:ascii="Arial Narrow" w:hAnsi="Arial Narrow"/>
                <w:b/>
                <w:sz w:val="18"/>
                <w:szCs w:val="18"/>
              </w:rPr>
            </w:pPr>
            <w:proofErr w:type="gramStart"/>
            <w:r w:rsidRPr="00577B2E">
              <w:rPr>
                <w:rFonts w:ascii="Arial Narrow" w:hAnsi="Arial Narrow"/>
                <w:b/>
                <w:sz w:val="18"/>
                <w:szCs w:val="18"/>
              </w:rPr>
              <w:t>n/N</w:t>
            </w:r>
            <w:proofErr w:type="gramEnd"/>
            <w:r w:rsidRPr="00577B2E">
              <w:rPr>
                <w:rFonts w:ascii="Arial Narrow" w:hAnsi="Arial Narrow"/>
                <w:b/>
                <w:sz w:val="18"/>
                <w:szCs w:val="18"/>
              </w:rPr>
              <w:t xml:space="preserve"> (%)</w:t>
            </w:r>
          </w:p>
        </w:tc>
        <w:tc>
          <w:tcPr>
            <w:tcW w:w="757" w:type="pct"/>
            <w:gridSpan w:val="2"/>
            <w:shd w:val="clear" w:color="auto" w:fill="auto"/>
            <w:vAlign w:val="center"/>
          </w:tcPr>
          <w:p w:rsidR="00950613" w:rsidRPr="00577B2E" w:rsidRDefault="00950613" w:rsidP="00950613">
            <w:pPr>
              <w:spacing w:before="0"/>
              <w:jc w:val="center"/>
              <w:rPr>
                <w:rFonts w:ascii="Arial Narrow" w:hAnsi="Arial Narrow"/>
                <w:b/>
                <w:sz w:val="18"/>
                <w:szCs w:val="18"/>
              </w:rPr>
            </w:pPr>
            <w:r w:rsidRPr="00577B2E">
              <w:rPr>
                <w:rFonts w:ascii="Arial Narrow" w:hAnsi="Arial Narrow"/>
                <w:b/>
                <w:sz w:val="18"/>
                <w:szCs w:val="18"/>
              </w:rPr>
              <w:t>Relative risk</w:t>
            </w:r>
          </w:p>
          <w:p w:rsidR="00950613" w:rsidRPr="00577B2E" w:rsidRDefault="00950613" w:rsidP="00950613">
            <w:pPr>
              <w:spacing w:before="0"/>
              <w:jc w:val="center"/>
              <w:rPr>
                <w:rFonts w:ascii="Arial Narrow" w:hAnsi="Arial Narrow"/>
                <w:b/>
                <w:sz w:val="18"/>
                <w:szCs w:val="18"/>
              </w:rPr>
            </w:pPr>
            <w:r w:rsidRPr="00577B2E">
              <w:rPr>
                <w:rFonts w:ascii="Arial Narrow" w:hAnsi="Arial Narrow"/>
                <w:b/>
                <w:sz w:val="18"/>
                <w:szCs w:val="18"/>
              </w:rPr>
              <w:t>(95% CI)</w:t>
            </w:r>
          </w:p>
        </w:tc>
        <w:tc>
          <w:tcPr>
            <w:tcW w:w="757" w:type="pct"/>
            <w:gridSpan w:val="2"/>
            <w:shd w:val="clear" w:color="auto" w:fill="auto"/>
            <w:vAlign w:val="center"/>
          </w:tcPr>
          <w:p w:rsidR="00950613" w:rsidRPr="00577B2E" w:rsidRDefault="00950613" w:rsidP="00950613">
            <w:pPr>
              <w:spacing w:before="0"/>
              <w:jc w:val="center"/>
              <w:rPr>
                <w:rFonts w:ascii="Arial Narrow" w:hAnsi="Arial Narrow"/>
                <w:b/>
                <w:sz w:val="18"/>
                <w:szCs w:val="18"/>
              </w:rPr>
            </w:pPr>
            <w:r w:rsidRPr="00577B2E">
              <w:rPr>
                <w:rFonts w:ascii="Arial Narrow" w:hAnsi="Arial Narrow"/>
                <w:b/>
                <w:sz w:val="18"/>
                <w:szCs w:val="18"/>
              </w:rPr>
              <w:t>Risk difference</w:t>
            </w:r>
          </w:p>
          <w:p w:rsidR="00950613" w:rsidRPr="00577B2E" w:rsidRDefault="00950613" w:rsidP="00950613">
            <w:pPr>
              <w:spacing w:before="0"/>
              <w:jc w:val="center"/>
              <w:rPr>
                <w:rFonts w:ascii="Arial Narrow" w:hAnsi="Arial Narrow"/>
                <w:b/>
                <w:sz w:val="18"/>
                <w:szCs w:val="18"/>
              </w:rPr>
            </w:pPr>
            <w:r w:rsidRPr="00577B2E">
              <w:rPr>
                <w:rFonts w:ascii="Arial Narrow" w:hAnsi="Arial Narrow"/>
                <w:b/>
                <w:sz w:val="18"/>
                <w:szCs w:val="18"/>
              </w:rPr>
              <w:t>(95% CI)</w:t>
            </w:r>
          </w:p>
        </w:tc>
        <w:tc>
          <w:tcPr>
            <w:tcW w:w="757" w:type="pct"/>
            <w:shd w:val="clear" w:color="auto" w:fill="auto"/>
            <w:vAlign w:val="center"/>
          </w:tcPr>
          <w:p w:rsidR="00950613" w:rsidRPr="00577B2E" w:rsidRDefault="00950613" w:rsidP="00950613">
            <w:pPr>
              <w:spacing w:before="0"/>
              <w:jc w:val="center"/>
              <w:rPr>
                <w:rFonts w:ascii="Arial Narrow" w:hAnsi="Arial Narrow"/>
                <w:b/>
                <w:sz w:val="18"/>
                <w:szCs w:val="18"/>
              </w:rPr>
            </w:pPr>
            <w:r w:rsidRPr="00577B2E">
              <w:rPr>
                <w:rFonts w:ascii="Arial Narrow" w:hAnsi="Arial Narrow"/>
                <w:b/>
                <w:sz w:val="18"/>
                <w:szCs w:val="18"/>
              </w:rPr>
              <w:t>Odds ratio</w:t>
            </w:r>
          </w:p>
          <w:p w:rsidR="00950613" w:rsidRPr="00577B2E" w:rsidRDefault="00950613" w:rsidP="00950613">
            <w:pPr>
              <w:spacing w:before="0"/>
              <w:jc w:val="center"/>
              <w:rPr>
                <w:rFonts w:ascii="Arial Narrow" w:hAnsi="Arial Narrow"/>
                <w:b/>
                <w:sz w:val="18"/>
                <w:szCs w:val="18"/>
              </w:rPr>
            </w:pPr>
            <w:r w:rsidRPr="00577B2E">
              <w:rPr>
                <w:rFonts w:ascii="Arial Narrow" w:hAnsi="Arial Narrow"/>
                <w:b/>
                <w:sz w:val="18"/>
                <w:szCs w:val="18"/>
              </w:rPr>
              <w:t>95% CI)</w:t>
            </w:r>
          </w:p>
        </w:tc>
      </w:tr>
      <w:tr w:rsidR="00950613" w:rsidRPr="00577B2E" w:rsidTr="00AA3262">
        <w:trPr>
          <w:trHeight w:val="283"/>
          <w:tblHeader/>
        </w:trPr>
        <w:tc>
          <w:tcPr>
            <w:tcW w:w="5000" w:type="pct"/>
            <w:gridSpan w:val="9"/>
            <w:shd w:val="clear" w:color="auto" w:fill="auto"/>
            <w:vAlign w:val="center"/>
          </w:tcPr>
          <w:p w:rsidR="00950613" w:rsidRPr="00577B2E" w:rsidRDefault="00950613" w:rsidP="00950613">
            <w:pPr>
              <w:spacing w:before="0"/>
              <w:rPr>
                <w:rFonts w:ascii="Arial Narrow" w:hAnsi="Arial Narrow"/>
                <w:b/>
                <w:sz w:val="18"/>
                <w:szCs w:val="18"/>
              </w:rPr>
            </w:pPr>
            <w:r w:rsidRPr="00577B2E">
              <w:rPr>
                <w:rFonts w:ascii="Arial Narrow" w:hAnsi="Arial Narrow"/>
                <w:b/>
                <w:sz w:val="18"/>
                <w:szCs w:val="18"/>
              </w:rPr>
              <w:t>Whole trial population</w:t>
            </w:r>
          </w:p>
        </w:tc>
      </w:tr>
      <w:tr w:rsidR="00950613" w:rsidRPr="00577B2E" w:rsidTr="00AA3262">
        <w:trPr>
          <w:trHeight w:val="60"/>
        </w:trPr>
        <w:tc>
          <w:tcPr>
            <w:tcW w:w="1215" w:type="pct"/>
            <w:shd w:val="clear" w:color="auto" w:fill="auto"/>
            <w:vAlign w:val="center"/>
          </w:tcPr>
          <w:p w:rsidR="00950613" w:rsidRPr="00577B2E" w:rsidRDefault="00950613" w:rsidP="00950613">
            <w:pPr>
              <w:spacing w:before="0"/>
              <w:rPr>
                <w:rFonts w:ascii="Arial Narrow" w:hAnsi="Arial Narrow"/>
                <w:sz w:val="18"/>
                <w:szCs w:val="18"/>
              </w:rPr>
            </w:pPr>
            <w:r w:rsidRPr="00577B2E">
              <w:rPr>
                <w:rFonts w:ascii="Arial Narrow" w:hAnsi="Arial Narrow"/>
                <w:sz w:val="18"/>
                <w:szCs w:val="18"/>
              </w:rPr>
              <w:t>CORE I</w:t>
            </w:r>
          </w:p>
        </w:tc>
        <w:tc>
          <w:tcPr>
            <w:tcW w:w="757" w:type="pct"/>
            <w:shd w:val="clear" w:color="auto" w:fill="auto"/>
            <w:vAlign w:val="center"/>
          </w:tcPr>
          <w:p w:rsidR="00950613" w:rsidRPr="00F82904" w:rsidRDefault="00F82904" w:rsidP="00950613">
            <w:pPr>
              <w:spacing w:before="0"/>
              <w:jc w:val="center"/>
              <w:rPr>
                <w:rFonts w:ascii="Arial Narrow" w:hAnsi="Arial Narrow"/>
                <w:sz w:val="18"/>
                <w:szCs w:val="18"/>
                <w:highlight w:val="black"/>
              </w:rPr>
            </w:pPr>
            <w:r>
              <w:rPr>
                <w:rFonts w:ascii="Arial Narrow" w:hAnsi="Arial Narrow"/>
                <w:noProof/>
                <w:color w:val="000000"/>
                <w:sz w:val="18"/>
                <w:szCs w:val="18"/>
                <w:highlight w:val="black"/>
              </w:rPr>
              <w:t>'''''''''''''''''' ''''''''''''''</w:t>
            </w:r>
          </w:p>
        </w:tc>
        <w:tc>
          <w:tcPr>
            <w:tcW w:w="757" w:type="pct"/>
            <w:gridSpan w:val="2"/>
            <w:shd w:val="clear" w:color="auto" w:fill="auto"/>
            <w:vAlign w:val="center"/>
          </w:tcPr>
          <w:p w:rsidR="00950613" w:rsidRPr="00F82904" w:rsidRDefault="00F82904" w:rsidP="00950613">
            <w:pPr>
              <w:spacing w:before="0"/>
              <w:jc w:val="center"/>
              <w:rPr>
                <w:rFonts w:ascii="Arial Narrow" w:hAnsi="Arial Narrow"/>
                <w:sz w:val="18"/>
                <w:szCs w:val="18"/>
                <w:highlight w:val="black"/>
              </w:rPr>
            </w:pPr>
            <w:r>
              <w:rPr>
                <w:rFonts w:ascii="Arial Narrow" w:hAnsi="Arial Narrow"/>
                <w:noProof/>
                <w:color w:val="000000"/>
                <w:sz w:val="18"/>
                <w:szCs w:val="18"/>
                <w:highlight w:val="black"/>
              </w:rPr>
              <w:t>''''''''''''''' '''''''''''''</w:t>
            </w:r>
          </w:p>
        </w:tc>
        <w:tc>
          <w:tcPr>
            <w:tcW w:w="757" w:type="pct"/>
            <w:gridSpan w:val="2"/>
            <w:shd w:val="clear" w:color="auto" w:fill="auto"/>
            <w:vAlign w:val="center"/>
          </w:tcPr>
          <w:p w:rsidR="00950613" w:rsidRPr="00F82904" w:rsidRDefault="00F82904" w:rsidP="00950613">
            <w:pPr>
              <w:spacing w:before="0"/>
              <w:jc w:val="center"/>
              <w:rPr>
                <w:rFonts w:ascii="Arial Narrow" w:hAnsi="Arial Narrow"/>
                <w:sz w:val="18"/>
                <w:szCs w:val="18"/>
                <w:highlight w:val="black"/>
              </w:rPr>
            </w:pPr>
            <w:r>
              <w:rPr>
                <w:rFonts w:ascii="Arial Narrow" w:hAnsi="Arial Narrow"/>
                <w:noProof/>
                <w:color w:val="000000"/>
                <w:sz w:val="18"/>
                <w:szCs w:val="18"/>
                <w:highlight w:val="black"/>
              </w:rPr>
              <w:t>''''''''''' '''''''''''' ''''''''''''''</w:t>
            </w:r>
          </w:p>
        </w:tc>
        <w:tc>
          <w:tcPr>
            <w:tcW w:w="757" w:type="pct"/>
            <w:gridSpan w:val="2"/>
            <w:shd w:val="clear" w:color="auto" w:fill="auto"/>
            <w:vAlign w:val="center"/>
          </w:tcPr>
          <w:p w:rsidR="00950613" w:rsidRPr="00F82904" w:rsidRDefault="00F82904" w:rsidP="00950613">
            <w:pPr>
              <w:spacing w:before="0"/>
              <w:jc w:val="center"/>
              <w:rPr>
                <w:rFonts w:ascii="Arial Narrow" w:hAnsi="Arial Narrow"/>
                <w:sz w:val="18"/>
                <w:szCs w:val="18"/>
                <w:highlight w:val="black"/>
              </w:rPr>
            </w:pPr>
            <w:r>
              <w:rPr>
                <w:rFonts w:ascii="Arial Narrow" w:hAnsi="Arial Narrow"/>
                <w:noProof/>
                <w:color w:val="000000"/>
                <w:sz w:val="18"/>
                <w:szCs w:val="18"/>
                <w:highlight w:val="black"/>
              </w:rPr>
              <w:t>'''''''''' '''''''''''''''' ''''''''''''</w:t>
            </w:r>
          </w:p>
        </w:tc>
        <w:tc>
          <w:tcPr>
            <w:tcW w:w="757" w:type="pct"/>
            <w:shd w:val="clear" w:color="auto" w:fill="auto"/>
            <w:vAlign w:val="center"/>
          </w:tcPr>
          <w:p w:rsidR="00950613" w:rsidRPr="00F82904" w:rsidRDefault="00F82904" w:rsidP="00950613">
            <w:pPr>
              <w:spacing w:before="0"/>
              <w:jc w:val="center"/>
              <w:rPr>
                <w:rFonts w:ascii="Arial Narrow" w:hAnsi="Arial Narrow"/>
                <w:sz w:val="18"/>
                <w:szCs w:val="18"/>
                <w:highlight w:val="black"/>
              </w:rPr>
            </w:pPr>
            <w:r>
              <w:rPr>
                <w:rFonts w:ascii="Arial Narrow" w:hAnsi="Arial Narrow"/>
                <w:noProof/>
                <w:color w:val="000000"/>
                <w:sz w:val="18"/>
                <w:szCs w:val="18"/>
                <w:highlight w:val="black"/>
              </w:rPr>
              <w:t>'''''''''' ''''''''''''' '''''''''''</w:t>
            </w:r>
          </w:p>
        </w:tc>
      </w:tr>
      <w:tr w:rsidR="00950613" w:rsidRPr="00577B2E" w:rsidTr="00AA3262">
        <w:trPr>
          <w:trHeight w:val="60"/>
        </w:trPr>
        <w:tc>
          <w:tcPr>
            <w:tcW w:w="1215" w:type="pct"/>
            <w:shd w:val="clear" w:color="auto" w:fill="auto"/>
            <w:vAlign w:val="center"/>
          </w:tcPr>
          <w:p w:rsidR="00950613" w:rsidRPr="00577B2E" w:rsidRDefault="00950613" w:rsidP="00950613">
            <w:pPr>
              <w:spacing w:before="0"/>
              <w:rPr>
                <w:rFonts w:ascii="Arial Narrow" w:hAnsi="Arial Narrow"/>
                <w:sz w:val="18"/>
                <w:szCs w:val="18"/>
              </w:rPr>
            </w:pPr>
            <w:r w:rsidRPr="00577B2E">
              <w:rPr>
                <w:rFonts w:ascii="Arial Narrow" w:hAnsi="Arial Narrow"/>
                <w:sz w:val="18"/>
                <w:szCs w:val="18"/>
              </w:rPr>
              <w:t>CORE II</w:t>
            </w:r>
          </w:p>
        </w:tc>
        <w:tc>
          <w:tcPr>
            <w:tcW w:w="757" w:type="pct"/>
            <w:shd w:val="clear" w:color="auto" w:fill="auto"/>
            <w:vAlign w:val="center"/>
          </w:tcPr>
          <w:p w:rsidR="00950613" w:rsidRPr="00F82904" w:rsidRDefault="00F82904" w:rsidP="00950613">
            <w:pPr>
              <w:spacing w:before="0"/>
              <w:jc w:val="center"/>
              <w:rPr>
                <w:rFonts w:ascii="Arial Narrow" w:hAnsi="Arial Narrow"/>
                <w:sz w:val="18"/>
                <w:szCs w:val="18"/>
                <w:highlight w:val="black"/>
              </w:rPr>
            </w:pPr>
            <w:r>
              <w:rPr>
                <w:rFonts w:ascii="Arial Narrow" w:hAnsi="Arial Narrow"/>
                <w:noProof/>
                <w:color w:val="000000"/>
                <w:sz w:val="18"/>
                <w:szCs w:val="18"/>
                <w:highlight w:val="black"/>
              </w:rPr>
              <w:t>'''''''''''''''''' ''''''''''''''</w:t>
            </w:r>
          </w:p>
        </w:tc>
        <w:tc>
          <w:tcPr>
            <w:tcW w:w="757" w:type="pct"/>
            <w:gridSpan w:val="2"/>
            <w:shd w:val="clear" w:color="auto" w:fill="auto"/>
            <w:vAlign w:val="center"/>
          </w:tcPr>
          <w:p w:rsidR="00950613" w:rsidRPr="00F82904" w:rsidRDefault="00F82904" w:rsidP="00950613">
            <w:pPr>
              <w:spacing w:before="0"/>
              <w:jc w:val="center"/>
              <w:rPr>
                <w:rFonts w:ascii="Arial Narrow" w:hAnsi="Arial Narrow"/>
                <w:sz w:val="18"/>
                <w:szCs w:val="18"/>
                <w:highlight w:val="black"/>
              </w:rPr>
            </w:pPr>
            <w:r>
              <w:rPr>
                <w:rFonts w:ascii="Arial Narrow" w:hAnsi="Arial Narrow"/>
                <w:noProof/>
                <w:color w:val="000000"/>
                <w:sz w:val="18"/>
                <w:szCs w:val="18"/>
                <w:highlight w:val="black"/>
              </w:rPr>
              <w:t>'''''''''''''' ''''''''''''''</w:t>
            </w:r>
          </w:p>
        </w:tc>
        <w:tc>
          <w:tcPr>
            <w:tcW w:w="757" w:type="pct"/>
            <w:gridSpan w:val="2"/>
            <w:shd w:val="clear" w:color="auto" w:fill="auto"/>
            <w:vAlign w:val="center"/>
          </w:tcPr>
          <w:p w:rsidR="00950613" w:rsidRPr="00F82904" w:rsidRDefault="00F82904" w:rsidP="00950613">
            <w:pPr>
              <w:spacing w:before="0"/>
              <w:jc w:val="center"/>
              <w:rPr>
                <w:rFonts w:ascii="Arial Narrow" w:hAnsi="Arial Narrow"/>
                <w:sz w:val="18"/>
                <w:szCs w:val="18"/>
                <w:highlight w:val="black"/>
              </w:rPr>
            </w:pPr>
            <w:r>
              <w:rPr>
                <w:rFonts w:ascii="Arial Narrow" w:hAnsi="Arial Narrow"/>
                <w:noProof/>
                <w:color w:val="000000"/>
                <w:sz w:val="18"/>
                <w:szCs w:val="18"/>
                <w:highlight w:val="black"/>
              </w:rPr>
              <w:t>'''''''''' '''''''''''''' ''''''''''''</w:t>
            </w:r>
          </w:p>
        </w:tc>
        <w:tc>
          <w:tcPr>
            <w:tcW w:w="757" w:type="pct"/>
            <w:gridSpan w:val="2"/>
            <w:shd w:val="clear" w:color="auto" w:fill="auto"/>
            <w:vAlign w:val="center"/>
          </w:tcPr>
          <w:p w:rsidR="00950613" w:rsidRPr="00F82904" w:rsidRDefault="00F82904" w:rsidP="00950613">
            <w:pPr>
              <w:spacing w:before="0"/>
              <w:jc w:val="center"/>
              <w:rPr>
                <w:rFonts w:ascii="Arial Narrow" w:hAnsi="Arial Narrow"/>
                <w:sz w:val="18"/>
                <w:szCs w:val="18"/>
                <w:highlight w:val="black"/>
              </w:rPr>
            </w:pPr>
            <w:r>
              <w:rPr>
                <w:rFonts w:ascii="Arial Narrow" w:hAnsi="Arial Narrow"/>
                <w:noProof/>
                <w:color w:val="000000"/>
                <w:sz w:val="18"/>
                <w:szCs w:val="18"/>
                <w:highlight w:val="black"/>
              </w:rPr>
              <w:t>''''''''' '''''''''''''' '''''''''''''</w:t>
            </w:r>
          </w:p>
        </w:tc>
        <w:tc>
          <w:tcPr>
            <w:tcW w:w="757" w:type="pct"/>
            <w:shd w:val="clear" w:color="auto" w:fill="auto"/>
            <w:vAlign w:val="center"/>
          </w:tcPr>
          <w:p w:rsidR="00950613" w:rsidRPr="00F82904" w:rsidRDefault="00F82904" w:rsidP="00950613">
            <w:pPr>
              <w:spacing w:before="0"/>
              <w:jc w:val="center"/>
              <w:rPr>
                <w:rFonts w:ascii="Arial Narrow" w:hAnsi="Arial Narrow"/>
                <w:sz w:val="18"/>
                <w:szCs w:val="18"/>
                <w:highlight w:val="black"/>
              </w:rPr>
            </w:pPr>
            <w:r>
              <w:rPr>
                <w:rFonts w:ascii="Arial Narrow" w:hAnsi="Arial Narrow"/>
                <w:noProof/>
                <w:color w:val="000000"/>
                <w:sz w:val="18"/>
                <w:szCs w:val="18"/>
                <w:highlight w:val="black"/>
              </w:rPr>
              <w:t>''''''''''' '''''''''''''' '''''''''''</w:t>
            </w:r>
          </w:p>
        </w:tc>
      </w:tr>
      <w:tr w:rsidR="006E0FA9" w:rsidRPr="00577B2E" w:rsidTr="00AA3262">
        <w:trPr>
          <w:trHeight w:val="167"/>
        </w:trPr>
        <w:tc>
          <w:tcPr>
            <w:tcW w:w="1215" w:type="pct"/>
            <w:shd w:val="clear" w:color="auto" w:fill="auto"/>
            <w:vAlign w:val="center"/>
          </w:tcPr>
          <w:p w:rsidR="006E0FA9" w:rsidRPr="00577B2E" w:rsidRDefault="006E0FA9" w:rsidP="00950613">
            <w:pPr>
              <w:spacing w:before="0"/>
              <w:jc w:val="right"/>
              <w:rPr>
                <w:rFonts w:ascii="Arial Narrow" w:hAnsi="Arial Narrow"/>
                <w:sz w:val="18"/>
                <w:szCs w:val="18"/>
              </w:rPr>
            </w:pPr>
            <w:r w:rsidRPr="00577B2E">
              <w:rPr>
                <w:rFonts w:ascii="Arial Narrow" w:hAnsi="Arial Narrow"/>
                <w:sz w:val="18"/>
                <w:szCs w:val="18"/>
              </w:rPr>
              <w:t>Meta-analysis</w:t>
            </w:r>
          </w:p>
        </w:tc>
        <w:tc>
          <w:tcPr>
            <w:tcW w:w="757" w:type="pct"/>
            <w:shd w:val="clear" w:color="auto" w:fill="auto"/>
            <w:vAlign w:val="center"/>
          </w:tcPr>
          <w:p w:rsidR="006E0FA9" w:rsidRPr="00F82904" w:rsidRDefault="00F82904" w:rsidP="00950613">
            <w:pPr>
              <w:spacing w:before="0"/>
              <w:jc w:val="center"/>
              <w:rPr>
                <w:rFonts w:ascii="Arial Narrow" w:hAnsi="Arial Narrow"/>
                <w:sz w:val="18"/>
                <w:szCs w:val="18"/>
                <w:highlight w:val="black"/>
              </w:rPr>
            </w:pPr>
            <w:r>
              <w:rPr>
                <w:rFonts w:ascii="Arial Narrow" w:hAnsi="Arial Narrow"/>
                <w:noProof/>
                <w:color w:val="000000"/>
                <w:sz w:val="18"/>
                <w:szCs w:val="18"/>
                <w:highlight w:val="black"/>
              </w:rPr>
              <w:t>''''''''''''''''' ''''''''''''''</w:t>
            </w:r>
          </w:p>
        </w:tc>
        <w:tc>
          <w:tcPr>
            <w:tcW w:w="757" w:type="pct"/>
            <w:gridSpan w:val="2"/>
            <w:shd w:val="clear" w:color="auto" w:fill="auto"/>
            <w:vAlign w:val="center"/>
          </w:tcPr>
          <w:p w:rsidR="006E0FA9" w:rsidRPr="00F82904" w:rsidRDefault="00F82904" w:rsidP="00950613">
            <w:pPr>
              <w:spacing w:before="0"/>
              <w:jc w:val="center"/>
              <w:rPr>
                <w:rFonts w:ascii="Arial Narrow" w:hAnsi="Arial Narrow"/>
                <w:sz w:val="18"/>
                <w:szCs w:val="18"/>
                <w:highlight w:val="black"/>
              </w:rPr>
            </w:pPr>
            <w:r>
              <w:rPr>
                <w:rFonts w:ascii="Arial Narrow" w:hAnsi="Arial Narrow"/>
                <w:noProof/>
                <w:color w:val="000000"/>
                <w:sz w:val="18"/>
                <w:szCs w:val="18"/>
                <w:highlight w:val="black"/>
              </w:rPr>
              <w:t>'''''''''''''''''' '''''''''''''</w:t>
            </w:r>
          </w:p>
        </w:tc>
        <w:tc>
          <w:tcPr>
            <w:tcW w:w="757" w:type="pct"/>
            <w:gridSpan w:val="2"/>
            <w:shd w:val="clear" w:color="auto" w:fill="auto"/>
            <w:vAlign w:val="center"/>
          </w:tcPr>
          <w:p w:rsidR="006E0FA9" w:rsidRPr="00F82904" w:rsidRDefault="00F82904" w:rsidP="00950613">
            <w:pPr>
              <w:spacing w:before="0"/>
              <w:jc w:val="center"/>
              <w:rPr>
                <w:rFonts w:ascii="Arial Narrow" w:hAnsi="Arial Narrow"/>
                <w:b/>
                <w:sz w:val="18"/>
                <w:szCs w:val="18"/>
                <w:highlight w:val="black"/>
              </w:rPr>
            </w:pPr>
            <w:r>
              <w:rPr>
                <w:rFonts w:ascii="Arial Narrow" w:hAnsi="Arial Narrow"/>
                <w:b/>
                <w:noProof/>
                <w:color w:val="000000"/>
                <w:sz w:val="18"/>
                <w:szCs w:val="18"/>
                <w:highlight w:val="black"/>
              </w:rPr>
              <w:t>''''''''' '''''''''''''''''''''''</w:t>
            </w:r>
          </w:p>
        </w:tc>
        <w:tc>
          <w:tcPr>
            <w:tcW w:w="757" w:type="pct"/>
            <w:gridSpan w:val="2"/>
            <w:shd w:val="clear" w:color="auto" w:fill="auto"/>
            <w:vAlign w:val="center"/>
          </w:tcPr>
          <w:p w:rsidR="006E0FA9" w:rsidRPr="00F82904" w:rsidRDefault="00F82904" w:rsidP="00950613">
            <w:pPr>
              <w:spacing w:before="0"/>
              <w:jc w:val="center"/>
              <w:rPr>
                <w:rFonts w:ascii="Arial Narrow" w:hAnsi="Arial Narrow"/>
                <w:b/>
                <w:sz w:val="18"/>
                <w:szCs w:val="18"/>
                <w:highlight w:val="black"/>
              </w:rPr>
            </w:pPr>
            <w:r>
              <w:rPr>
                <w:rFonts w:ascii="Arial Narrow" w:hAnsi="Arial Narrow"/>
                <w:b/>
                <w:noProof/>
                <w:color w:val="000000"/>
                <w:sz w:val="18"/>
                <w:szCs w:val="18"/>
                <w:highlight w:val="black"/>
              </w:rPr>
              <w:t>''''''''' ''''''''''' '''''''''''</w:t>
            </w:r>
          </w:p>
        </w:tc>
        <w:tc>
          <w:tcPr>
            <w:tcW w:w="757" w:type="pct"/>
            <w:shd w:val="clear" w:color="auto" w:fill="auto"/>
            <w:vAlign w:val="center"/>
          </w:tcPr>
          <w:p w:rsidR="006E0FA9" w:rsidRPr="00F82904" w:rsidRDefault="00F82904" w:rsidP="00950613">
            <w:pPr>
              <w:spacing w:before="0"/>
              <w:jc w:val="center"/>
              <w:rPr>
                <w:rFonts w:ascii="Arial Narrow" w:hAnsi="Arial Narrow"/>
                <w:b/>
                <w:sz w:val="18"/>
                <w:szCs w:val="18"/>
                <w:highlight w:val="black"/>
              </w:rPr>
            </w:pPr>
            <w:r>
              <w:rPr>
                <w:rFonts w:ascii="Arial Narrow" w:eastAsia="Calibri" w:hAnsi="Arial Narrow" w:cs="Arial"/>
                <w:b/>
                <w:noProof/>
                <w:color w:val="000000"/>
                <w:sz w:val="18"/>
                <w:szCs w:val="18"/>
                <w:highlight w:val="black"/>
              </w:rPr>
              <w:t>'''''''' '''''''''' ''''''''''</w:t>
            </w:r>
            <w:r w:rsidR="006E0FA9" w:rsidRPr="00F82904">
              <w:rPr>
                <w:rFonts w:ascii="Arial Narrow" w:eastAsia="Calibri" w:hAnsi="Arial Narrow" w:cs="Arial"/>
                <w:b/>
                <w:sz w:val="18"/>
                <w:szCs w:val="18"/>
                <w:highlight w:val="black"/>
              </w:rPr>
              <w:t xml:space="preserve"> </w:t>
            </w:r>
          </w:p>
        </w:tc>
      </w:tr>
      <w:tr w:rsidR="006E0FA9" w:rsidRPr="00577B2E" w:rsidTr="00AA3262">
        <w:trPr>
          <w:trHeight w:val="283"/>
        </w:trPr>
        <w:tc>
          <w:tcPr>
            <w:tcW w:w="5000" w:type="pct"/>
            <w:gridSpan w:val="9"/>
            <w:shd w:val="clear" w:color="auto" w:fill="auto"/>
            <w:vAlign w:val="center"/>
          </w:tcPr>
          <w:p w:rsidR="006E0FA9" w:rsidRPr="00EB1766" w:rsidRDefault="006E0FA9" w:rsidP="00950613">
            <w:pPr>
              <w:spacing w:before="0"/>
              <w:rPr>
                <w:rFonts w:ascii="Arial Narrow" w:hAnsi="Arial Narrow"/>
                <w:sz w:val="18"/>
                <w:szCs w:val="18"/>
              </w:rPr>
            </w:pPr>
            <w:r w:rsidRPr="00EB1766">
              <w:rPr>
                <w:rFonts w:ascii="Arial Narrow" w:hAnsi="Arial Narrow"/>
                <w:b/>
                <w:sz w:val="18"/>
                <w:szCs w:val="18"/>
              </w:rPr>
              <w:t>CORE I and CORE II by extent of anatomical involvement</w:t>
            </w:r>
          </w:p>
        </w:tc>
      </w:tr>
      <w:tr w:rsidR="006E0FA9" w:rsidRPr="00577B2E" w:rsidTr="00AA3262">
        <w:trPr>
          <w:trHeight w:val="70"/>
        </w:trPr>
        <w:tc>
          <w:tcPr>
            <w:tcW w:w="1215" w:type="pct"/>
            <w:shd w:val="clear" w:color="auto" w:fill="auto"/>
            <w:vAlign w:val="center"/>
          </w:tcPr>
          <w:p w:rsidR="006E0FA9" w:rsidRPr="00577B2E" w:rsidRDefault="006E0FA9" w:rsidP="00950613">
            <w:pPr>
              <w:spacing w:before="0"/>
              <w:rPr>
                <w:rFonts w:ascii="Arial Narrow" w:hAnsi="Arial Narrow"/>
                <w:sz w:val="18"/>
                <w:szCs w:val="18"/>
              </w:rPr>
            </w:pPr>
            <w:r w:rsidRPr="00577B2E">
              <w:rPr>
                <w:rFonts w:ascii="Arial Narrow" w:hAnsi="Arial Narrow"/>
                <w:sz w:val="18"/>
                <w:szCs w:val="18"/>
              </w:rPr>
              <w:t>Whole trial</w:t>
            </w:r>
          </w:p>
        </w:tc>
        <w:tc>
          <w:tcPr>
            <w:tcW w:w="757" w:type="pct"/>
            <w:shd w:val="clear" w:color="auto" w:fill="auto"/>
            <w:vAlign w:val="center"/>
          </w:tcPr>
          <w:p w:rsidR="006E0FA9" w:rsidRPr="00F82904" w:rsidRDefault="00F82904" w:rsidP="00950613">
            <w:pPr>
              <w:spacing w:before="0"/>
              <w:jc w:val="center"/>
              <w:rPr>
                <w:rFonts w:ascii="Arial Narrow" w:hAnsi="Arial Narrow"/>
                <w:sz w:val="18"/>
                <w:szCs w:val="18"/>
                <w:highlight w:val="black"/>
              </w:rPr>
            </w:pPr>
            <w:r>
              <w:rPr>
                <w:rFonts w:ascii="Arial Narrow" w:hAnsi="Arial Narrow"/>
                <w:noProof/>
                <w:color w:val="000000"/>
                <w:sz w:val="18"/>
                <w:szCs w:val="18"/>
                <w:highlight w:val="black"/>
              </w:rPr>
              <w:t>''''''''''''''' '''''''''''''</w:t>
            </w:r>
          </w:p>
        </w:tc>
        <w:tc>
          <w:tcPr>
            <w:tcW w:w="757" w:type="pct"/>
            <w:gridSpan w:val="2"/>
            <w:shd w:val="clear" w:color="auto" w:fill="auto"/>
            <w:vAlign w:val="center"/>
          </w:tcPr>
          <w:p w:rsidR="006E0FA9" w:rsidRPr="00F82904" w:rsidRDefault="00F82904" w:rsidP="00950613">
            <w:pPr>
              <w:spacing w:before="0"/>
              <w:jc w:val="center"/>
              <w:rPr>
                <w:rFonts w:ascii="Arial Narrow" w:hAnsi="Arial Narrow"/>
                <w:sz w:val="18"/>
                <w:szCs w:val="18"/>
                <w:highlight w:val="black"/>
              </w:rPr>
            </w:pPr>
            <w:r>
              <w:rPr>
                <w:rFonts w:ascii="Arial Narrow" w:hAnsi="Arial Narrow"/>
                <w:noProof/>
                <w:color w:val="000000"/>
                <w:sz w:val="18"/>
                <w:szCs w:val="18"/>
                <w:highlight w:val="black"/>
              </w:rPr>
              <w:t>'''''''''''''''''' ''''''''''''</w:t>
            </w:r>
          </w:p>
        </w:tc>
        <w:tc>
          <w:tcPr>
            <w:tcW w:w="757" w:type="pct"/>
            <w:gridSpan w:val="2"/>
            <w:shd w:val="clear" w:color="auto" w:fill="auto"/>
            <w:vAlign w:val="center"/>
          </w:tcPr>
          <w:p w:rsidR="006E0FA9" w:rsidRPr="00F82904" w:rsidRDefault="00F82904" w:rsidP="00950613">
            <w:pPr>
              <w:spacing w:before="0"/>
              <w:jc w:val="center"/>
              <w:rPr>
                <w:rFonts w:ascii="Arial Narrow" w:hAnsi="Arial Narrow"/>
                <w:b/>
                <w:sz w:val="18"/>
                <w:szCs w:val="18"/>
                <w:highlight w:val="black"/>
              </w:rPr>
            </w:pPr>
            <w:r>
              <w:rPr>
                <w:rFonts w:ascii="Arial Narrow" w:hAnsi="Arial Narrow"/>
                <w:b/>
                <w:noProof/>
                <w:color w:val="000000"/>
                <w:sz w:val="18"/>
                <w:szCs w:val="18"/>
                <w:highlight w:val="black"/>
              </w:rPr>
              <w:t>''''''''' '''''''''''' ''''''''''</w:t>
            </w:r>
          </w:p>
        </w:tc>
        <w:tc>
          <w:tcPr>
            <w:tcW w:w="757" w:type="pct"/>
            <w:gridSpan w:val="2"/>
            <w:shd w:val="clear" w:color="auto" w:fill="auto"/>
            <w:vAlign w:val="center"/>
          </w:tcPr>
          <w:p w:rsidR="006E0FA9" w:rsidRPr="00F82904" w:rsidRDefault="00F82904" w:rsidP="00950613">
            <w:pPr>
              <w:spacing w:before="0"/>
              <w:jc w:val="center"/>
              <w:rPr>
                <w:rFonts w:ascii="Arial Narrow" w:hAnsi="Arial Narrow"/>
                <w:b/>
                <w:sz w:val="18"/>
                <w:szCs w:val="18"/>
                <w:highlight w:val="black"/>
              </w:rPr>
            </w:pPr>
            <w:r>
              <w:rPr>
                <w:rFonts w:ascii="Arial Narrow" w:hAnsi="Arial Narrow"/>
                <w:b/>
                <w:noProof/>
                <w:color w:val="000000"/>
                <w:sz w:val="18"/>
                <w:szCs w:val="18"/>
                <w:highlight w:val="black"/>
              </w:rPr>
              <w:t>'''''''' '''''''''' ''''''''''</w:t>
            </w:r>
          </w:p>
        </w:tc>
        <w:tc>
          <w:tcPr>
            <w:tcW w:w="757" w:type="pct"/>
            <w:shd w:val="clear" w:color="auto" w:fill="auto"/>
            <w:vAlign w:val="center"/>
          </w:tcPr>
          <w:p w:rsidR="006E0FA9" w:rsidRPr="00F82904" w:rsidRDefault="00F82904" w:rsidP="00950613">
            <w:pPr>
              <w:spacing w:before="0"/>
              <w:jc w:val="center"/>
              <w:rPr>
                <w:rFonts w:ascii="Arial Narrow" w:hAnsi="Arial Narrow"/>
                <w:b/>
                <w:sz w:val="18"/>
                <w:szCs w:val="18"/>
                <w:highlight w:val="black"/>
              </w:rPr>
            </w:pPr>
            <w:r>
              <w:rPr>
                <w:rFonts w:ascii="Arial Narrow" w:hAnsi="Arial Narrow"/>
                <w:b/>
                <w:noProof/>
                <w:color w:val="000000"/>
                <w:sz w:val="18"/>
                <w:szCs w:val="18"/>
                <w:highlight w:val="black"/>
              </w:rPr>
              <w:t>'''''''' '''''''''' ''''''''</w:t>
            </w:r>
          </w:p>
        </w:tc>
      </w:tr>
      <w:tr w:rsidR="006E0FA9" w:rsidRPr="00577B2E" w:rsidTr="00AA3262">
        <w:trPr>
          <w:trHeight w:val="170"/>
        </w:trPr>
        <w:tc>
          <w:tcPr>
            <w:tcW w:w="1215" w:type="pct"/>
            <w:shd w:val="clear" w:color="auto" w:fill="auto"/>
            <w:vAlign w:val="center"/>
          </w:tcPr>
          <w:p w:rsidR="006E0FA9" w:rsidRPr="00577B2E" w:rsidRDefault="006E0FA9" w:rsidP="00950613">
            <w:pPr>
              <w:spacing w:before="0"/>
              <w:rPr>
                <w:rFonts w:ascii="Arial Narrow" w:hAnsi="Arial Narrow"/>
                <w:sz w:val="18"/>
                <w:szCs w:val="18"/>
              </w:rPr>
            </w:pPr>
            <w:r w:rsidRPr="00577B2E">
              <w:rPr>
                <w:rFonts w:ascii="Arial Narrow" w:hAnsi="Arial Narrow"/>
                <w:sz w:val="18"/>
                <w:szCs w:val="18"/>
              </w:rPr>
              <w:t>Proctosigmoiditis or Distal colitis</w:t>
            </w:r>
          </w:p>
        </w:tc>
        <w:tc>
          <w:tcPr>
            <w:tcW w:w="757" w:type="pct"/>
            <w:shd w:val="clear" w:color="auto" w:fill="auto"/>
            <w:vAlign w:val="center"/>
          </w:tcPr>
          <w:p w:rsidR="006E0FA9" w:rsidRPr="00F82904" w:rsidRDefault="00F82904" w:rsidP="00950613">
            <w:pPr>
              <w:spacing w:before="0"/>
              <w:jc w:val="center"/>
              <w:rPr>
                <w:rFonts w:ascii="Arial Narrow" w:hAnsi="Arial Narrow"/>
                <w:sz w:val="18"/>
                <w:szCs w:val="18"/>
                <w:highlight w:val="black"/>
              </w:rPr>
            </w:pPr>
            <w:r>
              <w:rPr>
                <w:rFonts w:ascii="Arial Narrow" w:hAnsi="Arial Narrow"/>
                <w:noProof/>
                <w:color w:val="000000"/>
                <w:sz w:val="18"/>
                <w:szCs w:val="18"/>
                <w:highlight w:val="black"/>
              </w:rPr>
              <w:t>'''''''''''''''''' ''''''''''''</w:t>
            </w:r>
          </w:p>
        </w:tc>
        <w:tc>
          <w:tcPr>
            <w:tcW w:w="757" w:type="pct"/>
            <w:gridSpan w:val="2"/>
            <w:shd w:val="clear" w:color="auto" w:fill="auto"/>
            <w:vAlign w:val="center"/>
          </w:tcPr>
          <w:p w:rsidR="006E0FA9" w:rsidRPr="00F82904" w:rsidRDefault="00F82904" w:rsidP="00950613">
            <w:pPr>
              <w:spacing w:before="0"/>
              <w:jc w:val="center"/>
              <w:rPr>
                <w:rFonts w:ascii="Arial Narrow" w:hAnsi="Arial Narrow"/>
                <w:sz w:val="18"/>
                <w:szCs w:val="18"/>
                <w:highlight w:val="black"/>
              </w:rPr>
            </w:pPr>
            <w:r>
              <w:rPr>
                <w:rFonts w:ascii="Arial Narrow" w:hAnsi="Arial Narrow"/>
                <w:noProof/>
                <w:color w:val="000000"/>
                <w:sz w:val="18"/>
                <w:szCs w:val="18"/>
                <w:highlight w:val="black"/>
              </w:rPr>
              <w:t>'''''''''''''''' '''''''''''''</w:t>
            </w:r>
          </w:p>
        </w:tc>
        <w:tc>
          <w:tcPr>
            <w:tcW w:w="757" w:type="pct"/>
            <w:gridSpan w:val="2"/>
            <w:shd w:val="clear" w:color="auto" w:fill="auto"/>
            <w:vAlign w:val="center"/>
          </w:tcPr>
          <w:p w:rsidR="006E0FA9" w:rsidRPr="00F82904" w:rsidRDefault="00F82904" w:rsidP="00950613">
            <w:pPr>
              <w:spacing w:before="0"/>
              <w:jc w:val="center"/>
              <w:rPr>
                <w:rFonts w:ascii="Arial Narrow" w:hAnsi="Arial Narrow"/>
                <w:b/>
                <w:sz w:val="18"/>
                <w:szCs w:val="18"/>
                <w:highlight w:val="black"/>
              </w:rPr>
            </w:pPr>
            <w:r>
              <w:rPr>
                <w:rFonts w:ascii="Arial Narrow" w:hAnsi="Arial Narrow"/>
                <w:b/>
                <w:noProof/>
                <w:color w:val="000000"/>
                <w:sz w:val="18"/>
                <w:szCs w:val="18"/>
                <w:highlight w:val="black"/>
              </w:rPr>
              <w:t>'''''''' '''''''''' '''''''''</w:t>
            </w:r>
          </w:p>
        </w:tc>
        <w:tc>
          <w:tcPr>
            <w:tcW w:w="757" w:type="pct"/>
            <w:gridSpan w:val="2"/>
            <w:shd w:val="clear" w:color="auto" w:fill="auto"/>
            <w:vAlign w:val="center"/>
          </w:tcPr>
          <w:p w:rsidR="006E0FA9" w:rsidRPr="00F82904" w:rsidRDefault="00F82904" w:rsidP="00950613">
            <w:pPr>
              <w:spacing w:before="0"/>
              <w:jc w:val="center"/>
              <w:rPr>
                <w:rFonts w:ascii="Arial Narrow" w:hAnsi="Arial Narrow"/>
                <w:b/>
                <w:sz w:val="18"/>
                <w:szCs w:val="18"/>
                <w:highlight w:val="black"/>
              </w:rPr>
            </w:pPr>
            <w:r>
              <w:rPr>
                <w:rFonts w:ascii="Arial Narrow" w:hAnsi="Arial Narrow"/>
                <w:b/>
                <w:noProof/>
                <w:color w:val="000000"/>
                <w:sz w:val="18"/>
                <w:szCs w:val="18"/>
                <w:highlight w:val="black"/>
              </w:rPr>
              <w:t>'''''''''' ''''''''''' '''''''''''</w:t>
            </w:r>
          </w:p>
        </w:tc>
        <w:tc>
          <w:tcPr>
            <w:tcW w:w="757" w:type="pct"/>
            <w:shd w:val="clear" w:color="auto" w:fill="auto"/>
            <w:vAlign w:val="center"/>
          </w:tcPr>
          <w:p w:rsidR="006E0FA9" w:rsidRPr="00F82904" w:rsidRDefault="00F82904" w:rsidP="00950613">
            <w:pPr>
              <w:spacing w:before="0"/>
              <w:jc w:val="center"/>
              <w:rPr>
                <w:rFonts w:ascii="Arial Narrow" w:hAnsi="Arial Narrow"/>
                <w:b/>
                <w:sz w:val="18"/>
                <w:szCs w:val="18"/>
                <w:highlight w:val="black"/>
              </w:rPr>
            </w:pPr>
            <w:r>
              <w:rPr>
                <w:rFonts w:ascii="Arial Narrow" w:hAnsi="Arial Narrow"/>
                <w:b/>
                <w:noProof/>
                <w:color w:val="000000"/>
                <w:sz w:val="18"/>
                <w:szCs w:val="18"/>
                <w:highlight w:val="black"/>
              </w:rPr>
              <w:t>''''''''' ''''''''''' ''''''''''</w:t>
            </w:r>
          </w:p>
        </w:tc>
      </w:tr>
      <w:tr w:rsidR="006E0FA9" w:rsidRPr="00577B2E" w:rsidTr="00AA3262">
        <w:trPr>
          <w:trHeight w:val="170"/>
        </w:trPr>
        <w:tc>
          <w:tcPr>
            <w:tcW w:w="1215" w:type="pct"/>
            <w:tcBorders>
              <w:bottom w:val="double" w:sz="4" w:space="0" w:color="auto"/>
            </w:tcBorders>
            <w:shd w:val="clear" w:color="auto" w:fill="auto"/>
            <w:vAlign w:val="center"/>
          </w:tcPr>
          <w:p w:rsidR="006E0FA9" w:rsidRPr="00577B2E" w:rsidRDefault="006E0FA9" w:rsidP="00950613">
            <w:pPr>
              <w:spacing w:before="0"/>
              <w:rPr>
                <w:rFonts w:ascii="Arial Narrow" w:hAnsi="Arial Narrow"/>
                <w:sz w:val="18"/>
                <w:szCs w:val="18"/>
              </w:rPr>
            </w:pPr>
            <w:r w:rsidRPr="00577B2E">
              <w:rPr>
                <w:rFonts w:ascii="Arial Narrow" w:hAnsi="Arial Narrow"/>
                <w:sz w:val="18"/>
                <w:szCs w:val="18"/>
              </w:rPr>
              <w:t xml:space="preserve">Extensive or </w:t>
            </w:r>
            <w:proofErr w:type="spellStart"/>
            <w:r w:rsidRPr="00577B2E">
              <w:rPr>
                <w:rFonts w:ascii="Arial Narrow" w:hAnsi="Arial Narrow"/>
                <w:sz w:val="18"/>
                <w:szCs w:val="18"/>
              </w:rPr>
              <w:t>pancolitis</w:t>
            </w:r>
            <w:proofErr w:type="spellEnd"/>
          </w:p>
        </w:tc>
        <w:tc>
          <w:tcPr>
            <w:tcW w:w="757" w:type="pct"/>
            <w:tcBorders>
              <w:bottom w:val="double" w:sz="4" w:space="0" w:color="auto"/>
            </w:tcBorders>
            <w:shd w:val="clear" w:color="auto" w:fill="auto"/>
            <w:vAlign w:val="center"/>
          </w:tcPr>
          <w:p w:rsidR="006E0FA9" w:rsidRPr="00F82904" w:rsidRDefault="00F82904" w:rsidP="00950613">
            <w:pPr>
              <w:spacing w:before="0"/>
              <w:jc w:val="center"/>
              <w:rPr>
                <w:rFonts w:ascii="Arial Narrow" w:hAnsi="Arial Narrow"/>
                <w:sz w:val="18"/>
                <w:szCs w:val="18"/>
                <w:highlight w:val="black"/>
              </w:rPr>
            </w:pPr>
            <w:r>
              <w:rPr>
                <w:rFonts w:ascii="Arial Narrow" w:hAnsi="Arial Narrow"/>
                <w:noProof/>
                <w:color w:val="000000"/>
                <w:sz w:val="18"/>
                <w:szCs w:val="18"/>
                <w:highlight w:val="black"/>
              </w:rPr>
              <w:t>'''''''''''''' ''''''''''''''</w:t>
            </w:r>
          </w:p>
        </w:tc>
        <w:tc>
          <w:tcPr>
            <w:tcW w:w="757" w:type="pct"/>
            <w:gridSpan w:val="2"/>
            <w:tcBorders>
              <w:bottom w:val="double" w:sz="4" w:space="0" w:color="auto"/>
            </w:tcBorders>
            <w:shd w:val="clear" w:color="auto" w:fill="auto"/>
            <w:vAlign w:val="center"/>
          </w:tcPr>
          <w:p w:rsidR="006E0FA9" w:rsidRPr="00F82904" w:rsidRDefault="00F82904" w:rsidP="00950613">
            <w:pPr>
              <w:spacing w:before="0"/>
              <w:jc w:val="center"/>
              <w:rPr>
                <w:rFonts w:ascii="Arial Narrow" w:hAnsi="Arial Narrow"/>
                <w:sz w:val="18"/>
                <w:szCs w:val="18"/>
                <w:highlight w:val="black"/>
              </w:rPr>
            </w:pPr>
            <w:r>
              <w:rPr>
                <w:rFonts w:ascii="Arial Narrow" w:hAnsi="Arial Narrow"/>
                <w:noProof/>
                <w:color w:val="000000"/>
                <w:sz w:val="18"/>
                <w:szCs w:val="18"/>
                <w:highlight w:val="black"/>
              </w:rPr>
              <w:t>'''''''''' '''''''''''</w:t>
            </w:r>
          </w:p>
        </w:tc>
        <w:tc>
          <w:tcPr>
            <w:tcW w:w="757" w:type="pct"/>
            <w:gridSpan w:val="2"/>
            <w:tcBorders>
              <w:bottom w:val="double" w:sz="4" w:space="0" w:color="auto"/>
            </w:tcBorders>
            <w:shd w:val="clear" w:color="auto" w:fill="auto"/>
            <w:vAlign w:val="center"/>
          </w:tcPr>
          <w:p w:rsidR="006E0FA9" w:rsidRPr="00F82904" w:rsidRDefault="00F82904" w:rsidP="00950613">
            <w:pPr>
              <w:spacing w:before="0"/>
              <w:jc w:val="center"/>
              <w:rPr>
                <w:rFonts w:ascii="Arial Narrow" w:hAnsi="Arial Narrow"/>
                <w:sz w:val="18"/>
                <w:szCs w:val="18"/>
                <w:highlight w:val="black"/>
              </w:rPr>
            </w:pPr>
            <w:r>
              <w:rPr>
                <w:rFonts w:ascii="Arial Narrow" w:hAnsi="Arial Narrow"/>
                <w:noProof/>
                <w:color w:val="000000"/>
                <w:sz w:val="18"/>
                <w:szCs w:val="18"/>
                <w:highlight w:val="black"/>
              </w:rPr>
              <w:t>''''''''' '''''''''''''' '''''''''''''</w:t>
            </w:r>
          </w:p>
        </w:tc>
        <w:tc>
          <w:tcPr>
            <w:tcW w:w="757" w:type="pct"/>
            <w:gridSpan w:val="2"/>
            <w:tcBorders>
              <w:bottom w:val="double" w:sz="4" w:space="0" w:color="auto"/>
            </w:tcBorders>
            <w:shd w:val="clear" w:color="auto" w:fill="auto"/>
            <w:vAlign w:val="center"/>
          </w:tcPr>
          <w:p w:rsidR="006E0FA9" w:rsidRPr="00F82904" w:rsidRDefault="00F82904" w:rsidP="00950613">
            <w:pPr>
              <w:spacing w:before="0"/>
              <w:jc w:val="center"/>
              <w:rPr>
                <w:rFonts w:ascii="Arial Narrow" w:hAnsi="Arial Narrow"/>
                <w:sz w:val="18"/>
                <w:szCs w:val="18"/>
                <w:highlight w:val="black"/>
              </w:rPr>
            </w:pPr>
            <w:r>
              <w:rPr>
                <w:rFonts w:ascii="Arial Narrow" w:hAnsi="Arial Narrow"/>
                <w:noProof/>
                <w:color w:val="000000"/>
                <w:sz w:val="18"/>
                <w:szCs w:val="18"/>
                <w:highlight w:val="black"/>
              </w:rPr>
              <w:t>'''''''''' ''''''''''''''''''''''''''</w:t>
            </w:r>
          </w:p>
        </w:tc>
        <w:tc>
          <w:tcPr>
            <w:tcW w:w="757" w:type="pct"/>
            <w:shd w:val="clear" w:color="auto" w:fill="auto"/>
            <w:vAlign w:val="center"/>
          </w:tcPr>
          <w:p w:rsidR="006E0FA9" w:rsidRPr="00F82904" w:rsidRDefault="00F82904" w:rsidP="00950613">
            <w:pPr>
              <w:spacing w:before="0"/>
              <w:jc w:val="center"/>
              <w:rPr>
                <w:rFonts w:ascii="Arial Narrow" w:hAnsi="Arial Narrow"/>
                <w:sz w:val="18"/>
                <w:szCs w:val="18"/>
                <w:highlight w:val="black"/>
              </w:rPr>
            </w:pPr>
            <w:r>
              <w:rPr>
                <w:rFonts w:ascii="Arial Narrow" w:hAnsi="Arial Narrow"/>
                <w:noProof/>
                <w:color w:val="000000"/>
                <w:sz w:val="18"/>
                <w:szCs w:val="18"/>
                <w:highlight w:val="black"/>
              </w:rPr>
              <w:t>'''''''''''''''''''''''' ''''''''''''''''</w:t>
            </w:r>
          </w:p>
        </w:tc>
      </w:tr>
      <w:tr w:rsidR="006E0FA9" w:rsidRPr="00577B2E" w:rsidTr="00AA3262">
        <w:trPr>
          <w:trHeight w:val="170"/>
        </w:trPr>
        <w:tc>
          <w:tcPr>
            <w:tcW w:w="5000" w:type="pct"/>
            <w:gridSpan w:val="9"/>
            <w:tcBorders>
              <w:top w:val="double" w:sz="4" w:space="0" w:color="auto"/>
            </w:tcBorders>
            <w:shd w:val="clear" w:color="auto" w:fill="auto"/>
            <w:vAlign w:val="center"/>
          </w:tcPr>
          <w:p w:rsidR="006E0FA9" w:rsidRPr="00577B2E" w:rsidRDefault="006E0FA9" w:rsidP="00950613">
            <w:pPr>
              <w:spacing w:before="0"/>
              <w:rPr>
                <w:rFonts w:ascii="Arial Narrow" w:hAnsi="Arial Narrow"/>
                <w:b/>
                <w:sz w:val="18"/>
                <w:szCs w:val="18"/>
              </w:rPr>
            </w:pPr>
            <w:r w:rsidRPr="00577B2E">
              <w:rPr>
                <w:rFonts w:ascii="Arial Narrow" w:hAnsi="Arial Narrow"/>
                <w:b/>
                <w:sz w:val="18"/>
                <w:szCs w:val="18"/>
              </w:rPr>
              <w:t>Budesonide foam enema</w:t>
            </w:r>
          </w:p>
        </w:tc>
      </w:tr>
      <w:tr w:rsidR="006E0FA9" w:rsidRPr="00577B2E" w:rsidTr="00AA3262">
        <w:trPr>
          <w:trHeight w:val="170"/>
        </w:trPr>
        <w:tc>
          <w:tcPr>
            <w:tcW w:w="1215" w:type="pct"/>
            <w:shd w:val="clear" w:color="auto" w:fill="auto"/>
            <w:vAlign w:val="center"/>
          </w:tcPr>
          <w:p w:rsidR="006E0FA9" w:rsidRPr="00577B2E" w:rsidRDefault="006E0FA9" w:rsidP="00950613">
            <w:pPr>
              <w:spacing w:before="0"/>
              <w:rPr>
                <w:rFonts w:ascii="Arial Narrow" w:hAnsi="Arial Narrow"/>
                <w:sz w:val="18"/>
                <w:szCs w:val="18"/>
              </w:rPr>
            </w:pPr>
            <w:r w:rsidRPr="00577B2E">
              <w:rPr>
                <w:rFonts w:ascii="Arial Narrow" w:hAnsi="Arial Narrow"/>
                <w:sz w:val="18"/>
                <w:szCs w:val="18"/>
              </w:rPr>
              <w:t>BUCF3001</w:t>
            </w:r>
          </w:p>
        </w:tc>
        <w:tc>
          <w:tcPr>
            <w:tcW w:w="757" w:type="pct"/>
            <w:shd w:val="clear" w:color="auto" w:fill="auto"/>
            <w:vAlign w:val="center"/>
          </w:tcPr>
          <w:p w:rsidR="006E0FA9" w:rsidRPr="00577B2E" w:rsidRDefault="006E0FA9" w:rsidP="00950613">
            <w:pPr>
              <w:spacing w:before="0"/>
              <w:jc w:val="center"/>
              <w:rPr>
                <w:rFonts w:ascii="Arial Narrow" w:hAnsi="Arial Narrow"/>
                <w:sz w:val="18"/>
                <w:szCs w:val="18"/>
              </w:rPr>
            </w:pPr>
            <w:r w:rsidRPr="00577B2E">
              <w:rPr>
                <w:rFonts w:ascii="Arial Narrow" w:hAnsi="Arial Narrow"/>
                <w:sz w:val="18"/>
                <w:szCs w:val="18"/>
              </w:rPr>
              <w:t>51/133 (38.3)</w:t>
            </w:r>
          </w:p>
        </w:tc>
        <w:tc>
          <w:tcPr>
            <w:tcW w:w="757" w:type="pct"/>
            <w:gridSpan w:val="2"/>
            <w:shd w:val="clear" w:color="auto" w:fill="auto"/>
            <w:vAlign w:val="center"/>
          </w:tcPr>
          <w:p w:rsidR="006E0FA9" w:rsidRPr="00577B2E" w:rsidRDefault="006E0FA9" w:rsidP="00950613">
            <w:pPr>
              <w:spacing w:before="0"/>
              <w:jc w:val="center"/>
              <w:rPr>
                <w:rFonts w:ascii="Arial Narrow" w:hAnsi="Arial Narrow"/>
                <w:sz w:val="18"/>
                <w:szCs w:val="18"/>
              </w:rPr>
            </w:pPr>
            <w:r w:rsidRPr="00577B2E">
              <w:rPr>
                <w:rFonts w:ascii="Arial Narrow" w:hAnsi="Arial Narrow"/>
                <w:sz w:val="18"/>
                <w:szCs w:val="18"/>
              </w:rPr>
              <w:t>34/132 (25.8)</w:t>
            </w:r>
          </w:p>
        </w:tc>
        <w:tc>
          <w:tcPr>
            <w:tcW w:w="757" w:type="pct"/>
            <w:gridSpan w:val="2"/>
            <w:shd w:val="clear" w:color="auto" w:fill="auto"/>
            <w:vAlign w:val="center"/>
          </w:tcPr>
          <w:p w:rsidR="006E0FA9" w:rsidRPr="00C178F2" w:rsidRDefault="006E0FA9" w:rsidP="00950613">
            <w:pPr>
              <w:spacing w:before="0"/>
              <w:jc w:val="center"/>
              <w:rPr>
                <w:rFonts w:ascii="Arial Narrow" w:hAnsi="Arial Narrow"/>
                <w:b/>
                <w:sz w:val="18"/>
                <w:szCs w:val="18"/>
              </w:rPr>
            </w:pPr>
            <w:r w:rsidRPr="00C178F2">
              <w:rPr>
                <w:rFonts w:ascii="Arial Narrow" w:hAnsi="Arial Narrow"/>
                <w:b/>
                <w:sz w:val="18"/>
                <w:szCs w:val="18"/>
              </w:rPr>
              <w:t>1.49 (1.04,2.14)</w:t>
            </w:r>
          </w:p>
        </w:tc>
        <w:tc>
          <w:tcPr>
            <w:tcW w:w="757" w:type="pct"/>
            <w:gridSpan w:val="2"/>
            <w:shd w:val="clear" w:color="auto" w:fill="auto"/>
            <w:vAlign w:val="center"/>
          </w:tcPr>
          <w:p w:rsidR="006E0FA9" w:rsidRPr="00C178F2" w:rsidRDefault="006E0FA9" w:rsidP="00950613">
            <w:pPr>
              <w:spacing w:before="0"/>
              <w:jc w:val="center"/>
              <w:rPr>
                <w:rFonts w:ascii="Arial Narrow" w:hAnsi="Arial Narrow"/>
                <w:b/>
                <w:sz w:val="18"/>
                <w:szCs w:val="18"/>
              </w:rPr>
            </w:pPr>
            <w:r w:rsidRPr="00C178F2">
              <w:rPr>
                <w:rFonts w:ascii="Arial Narrow" w:hAnsi="Arial Narrow"/>
                <w:b/>
                <w:sz w:val="18"/>
                <w:szCs w:val="18"/>
              </w:rPr>
              <w:t>0.13 (0.01,0.24)</w:t>
            </w:r>
          </w:p>
        </w:tc>
        <w:tc>
          <w:tcPr>
            <w:tcW w:w="757" w:type="pct"/>
            <w:shd w:val="clear" w:color="auto" w:fill="auto"/>
            <w:vAlign w:val="center"/>
          </w:tcPr>
          <w:p w:rsidR="006E0FA9" w:rsidRPr="00C178F2" w:rsidRDefault="006E0FA9" w:rsidP="00950613">
            <w:pPr>
              <w:spacing w:before="0"/>
              <w:jc w:val="center"/>
              <w:rPr>
                <w:rFonts w:ascii="Arial Narrow" w:hAnsi="Arial Narrow"/>
                <w:b/>
                <w:sz w:val="18"/>
                <w:szCs w:val="18"/>
              </w:rPr>
            </w:pPr>
            <w:r w:rsidRPr="00C178F2">
              <w:rPr>
                <w:rFonts w:ascii="Arial Narrow" w:hAnsi="Arial Narrow"/>
                <w:b/>
                <w:sz w:val="18"/>
                <w:szCs w:val="18"/>
              </w:rPr>
              <w:t>1.79 (1.06,3.03)</w:t>
            </w:r>
          </w:p>
        </w:tc>
      </w:tr>
      <w:tr w:rsidR="006E0FA9" w:rsidRPr="00577B2E" w:rsidTr="00AA3262">
        <w:trPr>
          <w:trHeight w:val="170"/>
        </w:trPr>
        <w:tc>
          <w:tcPr>
            <w:tcW w:w="1215" w:type="pct"/>
            <w:shd w:val="clear" w:color="auto" w:fill="auto"/>
            <w:vAlign w:val="center"/>
          </w:tcPr>
          <w:p w:rsidR="006E0FA9" w:rsidRPr="00577B2E" w:rsidRDefault="006E0FA9" w:rsidP="00950613">
            <w:pPr>
              <w:spacing w:before="0"/>
              <w:rPr>
                <w:rFonts w:ascii="Arial Narrow" w:hAnsi="Arial Narrow"/>
                <w:sz w:val="18"/>
                <w:szCs w:val="18"/>
              </w:rPr>
            </w:pPr>
            <w:r w:rsidRPr="00577B2E">
              <w:rPr>
                <w:rFonts w:ascii="Arial Narrow" w:hAnsi="Arial Narrow"/>
                <w:sz w:val="18"/>
                <w:szCs w:val="18"/>
              </w:rPr>
              <w:t>BUCF3002</w:t>
            </w:r>
          </w:p>
        </w:tc>
        <w:tc>
          <w:tcPr>
            <w:tcW w:w="757" w:type="pct"/>
            <w:shd w:val="clear" w:color="auto" w:fill="auto"/>
            <w:vAlign w:val="center"/>
          </w:tcPr>
          <w:p w:rsidR="006E0FA9" w:rsidRPr="00577B2E" w:rsidRDefault="006E0FA9" w:rsidP="00950613">
            <w:pPr>
              <w:spacing w:before="0"/>
              <w:jc w:val="center"/>
              <w:rPr>
                <w:rFonts w:ascii="Arial Narrow" w:hAnsi="Arial Narrow"/>
                <w:sz w:val="18"/>
                <w:szCs w:val="18"/>
              </w:rPr>
            </w:pPr>
            <w:r w:rsidRPr="00577B2E">
              <w:rPr>
                <w:rFonts w:ascii="Arial Narrow" w:hAnsi="Arial Narrow"/>
                <w:sz w:val="18"/>
                <w:szCs w:val="18"/>
              </w:rPr>
              <w:t>59/134 (44.0)</w:t>
            </w:r>
          </w:p>
        </w:tc>
        <w:tc>
          <w:tcPr>
            <w:tcW w:w="757" w:type="pct"/>
            <w:gridSpan w:val="2"/>
            <w:shd w:val="clear" w:color="auto" w:fill="auto"/>
            <w:vAlign w:val="center"/>
          </w:tcPr>
          <w:p w:rsidR="006E0FA9" w:rsidRPr="00577B2E" w:rsidRDefault="006E0FA9" w:rsidP="00950613">
            <w:pPr>
              <w:spacing w:before="0"/>
              <w:jc w:val="center"/>
              <w:rPr>
                <w:rFonts w:ascii="Arial Narrow" w:hAnsi="Arial Narrow"/>
                <w:sz w:val="18"/>
                <w:szCs w:val="18"/>
              </w:rPr>
            </w:pPr>
            <w:r w:rsidRPr="00577B2E">
              <w:rPr>
                <w:rFonts w:ascii="Arial Narrow" w:hAnsi="Arial Narrow"/>
                <w:sz w:val="18"/>
                <w:szCs w:val="18"/>
              </w:rPr>
              <w:t>33/147 (22.4)</w:t>
            </w:r>
          </w:p>
        </w:tc>
        <w:tc>
          <w:tcPr>
            <w:tcW w:w="757" w:type="pct"/>
            <w:gridSpan w:val="2"/>
            <w:shd w:val="clear" w:color="auto" w:fill="auto"/>
            <w:vAlign w:val="center"/>
          </w:tcPr>
          <w:p w:rsidR="006E0FA9" w:rsidRPr="00C178F2" w:rsidRDefault="006E0FA9" w:rsidP="00950613">
            <w:pPr>
              <w:spacing w:before="0"/>
              <w:jc w:val="center"/>
              <w:rPr>
                <w:rFonts w:ascii="Arial Narrow" w:hAnsi="Arial Narrow"/>
                <w:b/>
                <w:sz w:val="18"/>
                <w:szCs w:val="18"/>
              </w:rPr>
            </w:pPr>
            <w:r w:rsidRPr="00C178F2">
              <w:rPr>
                <w:rFonts w:ascii="Arial Narrow" w:hAnsi="Arial Narrow"/>
                <w:b/>
                <w:sz w:val="18"/>
                <w:szCs w:val="18"/>
              </w:rPr>
              <w:t>1.96 (1.37,2.80)</w:t>
            </w:r>
          </w:p>
        </w:tc>
        <w:tc>
          <w:tcPr>
            <w:tcW w:w="757" w:type="pct"/>
            <w:gridSpan w:val="2"/>
            <w:shd w:val="clear" w:color="auto" w:fill="auto"/>
            <w:vAlign w:val="center"/>
          </w:tcPr>
          <w:p w:rsidR="006E0FA9" w:rsidRPr="00C178F2" w:rsidRDefault="006E0FA9" w:rsidP="00950613">
            <w:pPr>
              <w:spacing w:before="0"/>
              <w:jc w:val="center"/>
              <w:rPr>
                <w:rFonts w:ascii="Arial Narrow" w:hAnsi="Arial Narrow"/>
                <w:b/>
                <w:sz w:val="18"/>
                <w:szCs w:val="18"/>
              </w:rPr>
            </w:pPr>
            <w:r w:rsidRPr="00C178F2">
              <w:rPr>
                <w:rFonts w:ascii="Arial Narrow" w:hAnsi="Arial Narrow"/>
                <w:b/>
                <w:sz w:val="18"/>
                <w:szCs w:val="18"/>
              </w:rPr>
              <w:t>0.22 (0.11,0.32)</w:t>
            </w:r>
          </w:p>
        </w:tc>
        <w:tc>
          <w:tcPr>
            <w:tcW w:w="757" w:type="pct"/>
            <w:shd w:val="clear" w:color="auto" w:fill="auto"/>
            <w:vAlign w:val="center"/>
          </w:tcPr>
          <w:p w:rsidR="006E0FA9" w:rsidRPr="00C178F2" w:rsidRDefault="006E0FA9" w:rsidP="00950613">
            <w:pPr>
              <w:spacing w:before="0"/>
              <w:jc w:val="center"/>
              <w:rPr>
                <w:rFonts w:ascii="Arial Narrow" w:hAnsi="Arial Narrow"/>
                <w:b/>
                <w:sz w:val="18"/>
                <w:szCs w:val="18"/>
              </w:rPr>
            </w:pPr>
            <w:r w:rsidRPr="00C178F2">
              <w:rPr>
                <w:rFonts w:ascii="Arial Narrow" w:hAnsi="Arial Narrow"/>
                <w:b/>
                <w:sz w:val="18"/>
                <w:szCs w:val="18"/>
              </w:rPr>
              <w:t>2.72 (1.62,4.55)</w:t>
            </w:r>
          </w:p>
        </w:tc>
      </w:tr>
      <w:tr w:rsidR="006E0FA9" w:rsidRPr="00577B2E" w:rsidTr="00AA3262">
        <w:trPr>
          <w:trHeight w:val="170"/>
        </w:trPr>
        <w:tc>
          <w:tcPr>
            <w:tcW w:w="1215" w:type="pct"/>
            <w:shd w:val="clear" w:color="auto" w:fill="auto"/>
            <w:vAlign w:val="center"/>
          </w:tcPr>
          <w:p w:rsidR="006E0FA9" w:rsidRPr="00577B2E" w:rsidRDefault="006E0FA9" w:rsidP="00950613">
            <w:pPr>
              <w:spacing w:before="0"/>
              <w:rPr>
                <w:rFonts w:ascii="Arial Narrow" w:hAnsi="Arial Narrow"/>
                <w:sz w:val="18"/>
                <w:szCs w:val="18"/>
              </w:rPr>
            </w:pPr>
            <w:proofErr w:type="spellStart"/>
            <w:r w:rsidRPr="00577B2E">
              <w:rPr>
                <w:rFonts w:ascii="Arial Narrow" w:hAnsi="Arial Narrow"/>
                <w:sz w:val="18"/>
                <w:szCs w:val="18"/>
              </w:rPr>
              <w:t>Naganuma</w:t>
            </w:r>
            <w:proofErr w:type="spellEnd"/>
            <w:r w:rsidRPr="00577B2E">
              <w:rPr>
                <w:rFonts w:ascii="Arial Narrow" w:hAnsi="Arial Narrow"/>
                <w:sz w:val="18"/>
                <w:szCs w:val="18"/>
              </w:rPr>
              <w:t xml:space="preserve"> 2016</w:t>
            </w:r>
          </w:p>
        </w:tc>
        <w:tc>
          <w:tcPr>
            <w:tcW w:w="757" w:type="pct"/>
            <w:shd w:val="clear" w:color="auto" w:fill="auto"/>
            <w:vAlign w:val="center"/>
          </w:tcPr>
          <w:p w:rsidR="006E0FA9" w:rsidRPr="00577B2E" w:rsidRDefault="006E0FA9" w:rsidP="00950613">
            <w:pPr>
              <w:spacing w:before="0"/>
              <w:jc w:val="center"/>
              <w:rPr>
                <w:rFonts w:ascii="Arial Narrow" w:hAnsi="Arial Narrow"/>
                <w:sz w:val="18"/>
                <w:szCs w:val="18"/>
              </w:rPr>
            </w:pPr>
            <w:r w:rsidRPr="00577B2E">
              <w:rPr>
                <w:rFonts w:ascii="Arial Narrow" w:hAnsi="Arial Narrow"/>
                <w:sz w:val="18"/>
                <w:szCs w:val="18"/>
              </w:rPr>
              <w:t>28/55  (50.9)</w:t>
            </w:r>
          </w:p>
        </w:tc>
        <w:tc>
          <w:tcPr>
            <w:tcW w:w="757" w:type="pct"/>
            <w:gridSpan w:val="2"/>
            <w:shd w:val="clear" w:color="auto" w:fill="auto"/>
            <w:vAlign w:val="center"/>
          </w:tcPr>
          <w:p w:rsidR="006E0FA9" w:rsidRPr="00577B2E" w:rsidRDefault="006E0FA9" w:rsidP="00950613">
            <w:pPr>
              <w:spacing w:before="0"/>
              <w:jc w:val="center"/>
              <w:rPr>
                <w:rFonts w:ascii="Arial Narrow" w:hAnsi="Arial Narrow"/>
                <w:sz w:val="18"/>
                <w:szCs w:val="18"/>
              </w:rPr>
            </w:pPr>
            <w:r w:rsidRPr="00577B2E">
              <w:rPr>
                <w:rFonts w:ascii="Arial Narrow" w:hAnsi="Arial Narrow"/>
                <w:sz w:val="18"/>
                <w:szCs w:val="18"/>
              </w:rPr>
              <w:t>11/54 (20.4)</w:t>
            </w:r>
          </w:p>
        </w:tc>
        <w:tc>
          <w:tcPr>
            <w:tcW w:w="757" w:type="pct"/>
            <w:gridSpan w:val="2"/>
            <w:shd w:val="clear" w:color="auto" w:fill="auto"/>
            <w:vAlign w:val="center"/>
          </w:tcPr>
          <w:p w:rsidR="006E0FA9" w:rsidRPr="00C178F2" w:rsidRDefault="006E0FA9" w:rsidP="00950613">
            <w:pPr>
              <w:spacing w:before="0"/>
              <w:jc w:val="center"/>
              <w:rPr>
                <w:rFonts w:ascii="Arial Narrow" w:hAnsi="Arial Narrow"/>
                <w:b/>
                <w:sz w:val="18"/>
                <w:szCs w:val="18"/>
              </w:rPr>
            </w:pPr>
            <w:r w:rsidRPr="00C178F2">
              <w:rPr>
                <w:rFonts w:ascii="Arial Narrow" w:hAnsi="Arial Narrow"/>
                <w:b/>
                <w:sz w:val="18"/>
                <w:szCs w:val="18"/>
              </w:rPr>
              <w:t>2.50 (1.39,4.50)</w:t>
            </w:r>
          </w:p>
        </w:tc>
        <w:tc>
          <w:tcPr>
            <w:tcW w:w="757" w:type="pct"/>
            <w:gridSpan w:val="2"/>
            <w:shd w:val="clear" w:color="auto" w:fill="auto"/>
            <w:vAlign w:val="center"/>
          </w:tcPr>
          <w:p w:rsidR="006E0FA9" w:rsidRPr="00C178F2" w:rsidRDefault="006E0FA9" w:rsidP="00950613">
            <w:pPr>
              <w:spacing w:before="0"/>
              <w:jc w:val="center"/>
              <w:rPr>
                <w:rFonts w:ascii="Arial Narrow" w:hAnsi="Arial Narrow"/>
                <w:b/>
                <w:sz w:val="18"/>
                <w:szCs w:val="18"/>
              </w:rPr>
            </w:pPr>
            <w:r w:rsidRPr="00C178F2">
              <w:rPr>
                <w:rFonts w:ascii="Arial Narrow" w:hAnsi="Arial Narrow"/>
                <w:b/>
                <w:sz w:val="18"/>
                <w:szCs w:val="18"/>
              </w:rPr>
              <w:t>0.31 (0.14,0.48)</w:t>
            </w:r>
          </w:p>
        </w:tc>
        <w:tc>
          <w:tcPr>
            <w:tcW w:w="757" w:type="pct"/>
            <w:shd w:val="clear" w:color="auto" w:fill="auto"/>
            <w:vAlign w:val="center"/>
          </w:tcPr>
          <w:p w:rsidR="006E0FA9" w:rsidRPr="00C178F2" w:rsidRDefault="006E0FA9" w:rsidP="00950613">
            <w:pPr>
              <w:spacing w:before="0"/>
              <w:jc w:val="center"/>
              <w:rPr>
                <w:rFonts w:ascii="Arial Narrow" w:hAnsi="Arial Narrow"/>
                <w:b/>
                <w:sz w:val="18"/>
                <w:szCs w:val="18"/>
              </w:rPr>
            </w:pPr>
            <w:r w:rsidRPr="00C178F2">
              <w:rPr>
                <w:rFonts w:ascii="Arial Narrow" w:hAnsi="Arial Narrow"/>
                <w:b/>
                <w:sz w:val="18"/>
                <w:szCs w:val="18"/>
              </w:rPr>
              <w:t>4.05 (1.74,9.46)</w:t>
            </w:r>
          </w:p>
        </w:tc>
      </w:tr>
      <w:tr w:rsidR="006E0FA9" w:rsidRPr="00577B2E" w:rsidTr="00AA3262">
        <w:trPr>
          <w:trHeight w:val="170"/>
        </w:trPr>
        <w:tc>
          <w:tcPr>
            <w:tcW w:w="1215" w:type="pct"/>
            <w:shd w:val="clear" w:color="auto" w:fill="auto"/>
            <w:vAlign w:val="center"/>
          </w:tcPr>
          <w:p w:rsidR="006E0FA9" w:rsidRPr="00577B2E" w:rsidRDefault="006E0FA9" w:rsidP="00950613">
            <w:pPr>
              <w:spacing w:before="0"/>
              <w:jc w:val="right"/>
              <w:rPr>
                <w:rFonts w:ascii="Arial Narrow" w:hAnsi="Arial Narrow"/>
                <w:sz w:val="18"/>
                <w:szCs w:val="18"/>
              </w:rPr>
            </w:pPr>
            <w:r w:rsidRPr="00577B2E">
              <w:rPr>
                <w:rFonts w:ascii="Arial Narrow" w:hAnsi="Arial Narrow"/>
                <w:sz w:val="18"/>
                <w:szCs w:val="18"/>
              </w:rPr>
              <w:t>Meta-analysis</w:t>
            </w:r>
          </w:p>
        </w:tc>
        <w:tc>
          <w:tcPr>
            <w:tcW w:w="757" w:type="pct"/>
            <w:shd w:val="clear" w:color="auto" w:fill="auto"/>
            <w:vAlign w:val="center"/>
          </w:tcPr>
          <w:p w:rsidR="006E0FA9" w:rsidRPr="00C178F2" w:rsidRDefault="006E0FA9" w:rsidP="00950613">
            <w:pPr>
              <w:spacing w:before="0"/>
              <w:jc w:val="center"/>
              <w:rPr>
                <w:rFonts w:ascii="Arial Narrow" w:hAnsi="Arial Narrow"/>
                <w:sz w:val="18"/>
                <w:szCs w:val="18"/>
              </w:rPr>
            </w:pPr>
            <w:r w:rsidRPr="00C178F2">
              <w:rPr>
                <w:rFonts w:ascii="Arial Narrow" w:hAnsi="Arial Narrow"/>
                <w:sz w:val="18"/>
                <w:szCs w:val="18"/>
              </w:rPr>
              <w:t>138/322 (42.9)</w:t>
            </w:r>
          </w:p>
        </w:tc>
        <w:tc>
          <w:tcPr>
            <w:tcW w:w="757" w:type="pct"/>
            <w:gridSpan w:val="2"/>
            <w:shd w:val="clear" w:color="auto" w:fill="auto"/>
            <w:vAlign w:val="center"/>
          </w:tcPr>
          <w:p w:rsidR="006E0FA9" w:rsidRPr="00C178F2" w:rsidRDefault="006E0FA9" w:rsidP="00950613">
            <w:pPr>
              <w:spacing w:before="0"/>
              <w:jc w:val="center"/>
              <w:rPr>
                <w:rFonts w:ascii="Arial Narrow" w:hAnsi="Arial Narrow"/>
                <w:sz w:val="18"/>
                <w:szCs w:val="18"/>
              </w:rPr>
            </w:pPr>
            <w:r w:rsidRPr="00C178F2">
              <w:rPr>
                <w:rFonts w:ascii="Arial Narrow" w:hAnsi="Arial Narrow"/>
                <w:sz w:val="18"/>
                <w:szCs w:val="18"/>
              </w:rPr>
              <w:t>78/333 (23.4)</w:t>
            </w:r>
          </w:p>
        </w:tc>
        <w:tc>
          <w:tcPr>
            <w:tcW w:w="757" w:type="pct"/>
            <w:gridSpan w:val="2"/>
            <w:shd w:val="clear" w:color="auto" w:fill="auto"/>
            <w:vAlign w:val="center"/>
          </w:tcPr>
          <w:p w:rsidR="006E0FA9" w:rsidRPr="00C178F2" w:rsidRDefault="006E0FA9" w:rsidP="00950613">
            <w:pPr>
              <w:spacing w:before="0"/>
              <w:jc w:val="center"/>
              <w:rPr>
                <w:rFonts w:ascii="Arial Narrow" w:hAnsi="Arial Narrow"/>
                <w:b/>
                <w:sz w:val="18"/>
                <w:szCs w:val="18"/>
              </w:rPr>
            </w:pPr>
            <w:r w:rsidRPr="00C178F2">
              <w:rPr>
                <w:rFonts w:ascii="Arial Narrow" w:hAnsi="Arial Narrow"/>
                <w:b/>
                <w:sz w:val="18"/>
                <w:szCs w:val="18"/>
              </w:rPr>
              <w:t>1.83 (1.41,2.39)</w:t>
            </w:r>
          </w:p>
        </w:tc>
        <w:tc>
          <w:tcPr>
            <w:tcW w:w="757" w:type="pct"/>
            <w:gridSpan w:val="2"/>
            <w:shd w:val="clear" w:color="auto" w:fill="auto"/>
            <w:vAlign w:val="center"/>
          </w:tcPr>
          <w:p w:rsidR="006E0FA9" w:rsidRPr="00C178F2" w:rsidRDefault="006E0FA9" w:rsidP="00950613">
            <w:pPr>
              <w:spacing w:before="0"/>
              <w:jc w:val="center"/>
              <w:rPr>
                <w:rFonts w:ascii="Arial Narrow" w:hAnsi="Arial Narrow"/>
                <w:b/>
                <w:sz w:val="18"/>
                <w:szCs w:val="18"/>
              </w:rPr>
            </w:pPr>
            <w:r w:rsidRPr="00C178F2">
              <w:rPr>
                <w:rFonts w:ascii="Arial Narrow" w:hAnsi="Arial Narrow"/>
                <w:b/>
                <w:sz w:val="18"/>
                <w:szCs w:val="18"/>
              </w:rPr>
              <w:t>0.20 (0.11,0.29)</w:t>
            </w:r>
          </w:p>
        </w:tc>
        <w:tc>
          <w:tcPr>
            <w:tcW w:w="757" w:type="pct"/>
            <w:shd w:val="clear" w:color="auto" w:fill="auto"/>
            <w:vAlign w:val="center"/>
          </w:tcPr>
          <w:p w:rsidR="006E0FA9" w:rsidRPr="00C178F2" w:rsidRDefault="006E0FA9" w:rsidP="00950613">
            <w:pPr>
              <w:spacing w:before="0"/>
              <w:jc w:val="center"/>
              <w:rPr>
                <w:rFonts w:ascii="Arial Narrow" w:hAnsi="Arial Narrow"/>
                <w:b/>
                <w:sz w:val="18"/>
                <w:szCs w:val="18"/>
              </w:rPr>
            </w:pPr>
            <w:r w:rsidRPr="00C178F2">
              <w:rPr>
                <w:rFonts w:ascii="Arial Narrow" w:hAnsi="Arial Narrow"/>
                <w:b/>
                <w:sz w:val="18"/>
                <w:szCs w:val="18"/>
              </w:rPr>
              <w:t>2.49 (1.64,3.78)</w:t>
            </w:r>
          </w:p>
        </w:tc>
      </w:tr>
      <w:tr w:rsidR="006E0FA9" w:rsidRPr="00577B2E" w:rsidTr="00AA3262">
        <w:trPr>
          <w:trHeight w:val="170"/>
        </w:trPr>
        <w:tc>
          <w:tcPr>
            <w:tcW w:w="1215" w:type="pct"/>
            <w:shd w:val="clear" w:color="auto" w:fill="auto"/>
            <w:vAlign w:val="center"/>
          </w:tcPr>
          <w:p w:rsidR="006E0FA9" w:rsidRPr="00577B2E" w:rsidRDefault="006E0FA9" w:rsidP="00950613">
            <w:pPr>
              <w:spacing w:before="0"/>
              <w:jc w:val="right"/>
              <w:rPr>
                <w:rFonts w:ascii="Arial Narrow" w:hAnsi="Arial Narrow"/>
                <w:sz w:val="18"/>
                <w:szCs w:val="18"/>
              </w:rPr>
            </w:pPr>
            <w:r w:rsidRPr="00577B2E">
              <w:rPr>
                <w:rFonts w:ascii="Arial Narrow" w:hAnsi="Arial Narrow"/>
                <w:sz w:val="18"/>
                <w:szCs w:val="18"/>
              </w:rPr>
              <w:t xml:space="preserve">Meta-analysis (excluding </w:t>
            </w:r>
            <w:proofErr w:type="spellStart"/>
            <w:r w:rsidRPr="00577B2E">
              <w:rPr>
                <w:rFonts w:ascii="Arial Narrow" w:hAnsi="Arial Narrow"/>
                <w:sz w:val="18"/>
                <w:szCs w:val="18"/>
              </w:rPr>
              <w:t>Naganuma</w:t>
            </w:r>
            <w:proofErr w:type="spellEnd"/>
            <w:r w:rsidRPr="00577B2E">
              <w:rPr>
                <w:rFonts w:ascii="Arial Narrow" w:hAnsi="Arial Narrow"/>
                <w:sz w:val="18"/>
                <w:szCs w:val="18"/>
              </w:rPr>
              <w:t>)</w:t>
            </w:r>
          </w:p>
        </w:tc>
        <w:tc>
          <w:tcPr>
            <w:tcW w:w="757" w:type="pct"/>
            <w:shd w:val="clear" w:color="auto" w:fill="auto"/>
            <w:vAlign w:val="center"/>
          </w:tcPr>
          <w:p w:rsidR="006E0FA9" w:rsidRPr="00C178F2" w:rsidRDefault="006E0FA9" w:rsidP="00950613">
            <w:pPr>
              <w:spacing w:before="0"/>
              <w:jc w:val="center"/>
              <w:rPr>
                <w:rFonts w:ascii="Arial Narrow" w:hAnsi="Arial Narrow"/>
                <w:sz w:val="18"/>
                <w:szCs w:val="18"/>
              </w:rPr>
            </w:pPr>
            <w:r w:rsidRPr="00C178F2">
              <w:rPr>
                <w:rFonts w:ascii="Arial Narrow" w:hAnsi="Arial Narrow"/>
                <w:sz w:val="18"/>
                <w:szCs w:val="18"/>
              </w:rPr>
              <w:t>110/267 (41.2)</w:t>
            </w:r>
          </w:p>
        </w:tc>
        <w:tc>
          <w:tcPr>
            <w:tcW w:w="757" w:type="pct"/>
            <w:gridSpan w:val="2"/>
            <w:shd w:val="clear" w:color="auto" w:fill="auto"/>
            <w:vAlign w:val="center"/>
          </w:tcPr>
          <w:p w:rsidR="006E0FA9" w:rsidRPr="00C178F2" w:rsidRDefault="006E0FA9" w:rsidP="00950613">
            <w:pPr>
              <w:spacing w:before="0"/>
              <w:jc w:val="center"/>
              <w:rPr>
                <w:rFonts w:ascii="Arial Narrow" w:hAnsi="Arial Narrow"/>
                <w:sz w:val="18"/>
                <w:szCs w:val="18"/>
              </w:rPr>
            </w:pPr>
            <w:r w:rsidRPr="00C178F2">
              <w:rPr>
                <w:rFonts w:ascii="Arial Narrow" w:hAnsi="Arial Narrow"/>
                <w:sz w:val="18"/>
                <w:szCs w:val="18"/>
              </w:rPr>
              <w:t>67/279 (24.0)</w:t>
            </w:r>
          </w:p>
        </w:tc>
        <w:tc>
          <w:tcPr>
            <w:tcW w:w="757" w:type="pct"/>
            <w:gridSpan w:val="2"/>
            <w:shd w:val="clear" w:color="auto" w:fill="auto"/>
            <w:vAlign w:val="center"/>
          </w:tcPr>
          <w:p w:rsidR="006E0FA9" w:rsidRPr="00C178F2" w:rsidRDefault="006E0FA9" w:rsidP="00950613">
            <w:pPr>
              <w:spacing w:before="0"/>
              <w:jc w:val="center"/>
              <w:rPr>
                <w:rFonts w:ascii="Arial Narrow" w:hAnsi="Arial Narrow"/>
                <w:b/>
                <w:sz w:val="18"/>
                <w:szCs w:val="18"/>
              </w:rPr>
            </w:pPr>
            <w:r w:rsidRPr="00C178F2">
              <w:rPr>
                <w:rFonts w:ascii="Arial Narrow" w:hAnsi="Arial Narrow"/>
                <w:b/>
                <w:sz w:val="18"/>
                <w:szCs w:val="18"/>
              </w:rPr>
              <w:t>1.71 (1.31,2.24)</w:t>
            </w:r>
          </w:p>
        </w:tc>
        <w:tc>
          <w:tcPr>
            <w:tcW w:w="757" w:type="pct"/>
            <w:gridSpan w:val="2"/>
            <w:shd w:val="clear" w:color="auto" w:fill="auto"/>
            <w:vAlign w:val="center"/>
          </w:tcPr>
          <w:p w:rsidR="006E0FA9" w:rsidRPr="00C178F2" w:rsidRDefault="006E0FA9" w:rsidP="00950613">
            <w:pPr>
              <w:spacing w:before="0"/>
              <w:jc w:val="center"/>
              <w:rPr>
                <w:rFonts w:ascii="Arial Narrow" w:hAnsi="Arial Narrow"/>
                <w:b/>
                <w:sz w:val="18"/>
                <w:szCs w:val="18"/>
              </w:rPr>
            </w:pPr>
            <w:r w:rsidRPr="00C178F2">
              <w:rPr>
                <w:rFonts w:ascii="Arial Narrow" w:hAnsi="Arial Narrow"/>
                <w:b/>
                <w:sz w:val="18"/>
                <w:szCs w:val="18"/>
              </w:rPr>
              <w:t>0.17 (0.08,0.26)</w:t>
            </w:r>
          </w:p>
        </w:tc>
        <w:tc>
          <w:tcPr>
            <w:tcW w:w="757" w:type="pct"/>
            <w:shd w:val="clear" w:color="auto" w:fill="auto"/>
            <w:vAlign w:val="center"/>
          </w:tcPr>
          <w:p w:rsidR="006E0FA9" w:rsidRPr="00C178F2" w:rsidRDefault="006E0FA9" w:rsidP="00950613">
            <w:pPr>
              <w:spacing w:before="0"/>
              <w:jc w:val="center"/>
              <w:rPr>
                <w:rFonts w:ascii="Arial Narrow" w:hAnsi="Arial Narrow"/>
                <w:b/>
                <w:sz w:val="18"/>
                <w:szCs w:val="18"/>
              </w:rPr>
            </w:pPr>
            <w:r w:rsidRPr="00C178F2">
              <w:rPr>
                <w:rFonts w:ascii="Arial Narrow" w:hAnsi="Arial Narrow"/>
                <w:b/>
                <w:sz w:val="18"/>
                <w:szCs w:val="18"/>
              </w:rPr>
              <w:t>2.21 (1.47,3.33)</w:t>
            </w:r>
          </w:p>
        </w:tc>
      </w:tr>
      <w:tr w:rsidR="006E0FA9" w:rsidRPr="00577B2E" w:rsidTr="00AA3262">
        <w:trPr>
          <w:trHeight w:val="170"/>
        </w:trPr>
        <w:tc>
          <w:tcPr>
            <w:tcW w:w="5000" w:type="pct"/>
            <w:gridSpan w:val="9"/>
            <w:tcBorders>
              <w:top w:val="double" w:sz="4" w:space="0" w:color="auto"/>
            </w:tcBorders>
            <w:shd w:val="clear" w:color="auto" w:fill="auto"/>
            <w:vAlign w:val="center"/>
          </w:tcPr>
          <w:p w:rsidR="006E0FA9" w:rsidRPr="00577B2E" w:rsidRDefault="006E0FA9" w:rsidP="00950613">
            <w:pPr>
              <w:spacing w:before="0"/>
              <w:rPr>
                <w:rFonts w:ascii="Arial Narrow" w:hAnsi="Arial Narrow"/>
                <w:b/>
                <w:sz w:val="18"/>
                <w:szCs w:val="18"/>
              </w:rPr>
            </w:pPr>
            <w:r w:rsidRPr="00577B2E">
              <w:rPr>
                <w:rFonts w:ascii="Arial Narrow" w:hAnsi="Arial Narrow"/>
                <w:b/>
                <w:sz w:val="18"/>
                <w:szCs w:val="18"/>
              </w:rPr>
              <w:t>Indirect comparisons budesonide CR vs budesonide foam enemas</w:t>
            </w:r>
          </w:p>
        </w:tc>
      </w:tr>
      <w:tr w:rsidR="006E0FA9" w:rsidRPr="00577B2E" w:rsidTr="008B2620">
        <w:trPr>
          <w:trHeight w:val="170"/>
        </w:trPr>
        <w:tc>
          <w:tcPr>
            <w:tcW w:w="2506" w:type="pct"/>
            <w:gridSpan w:val="3"/>
            <w:vAlign w:val="center"/>
          </w:tcPr>
          <w:p w:rsidR="006E0FA9" w:rsidRPr="00577B2E" w:rsidRDefault="006E0FA9" w:rsidP="00950613">
            <w:pPr>
              <w:spacing w:before="0"/>
              <w:jc w:val="right"/>
              <w:rPr>
                <w:rFonts w:ascii="Arial Narrow" w:hAnsi="Arial Narrow"/>
                <w:sz w:val="18"/>
                <w:szCs w:val="18"/>
              </w:rPr>
            </w:pPr>
            <w:r w:rsidRPr="00577B2E">
              <w:rPr>
                <w:rFonts w:ascii="Arial Narrow" w:hAnsi="Arial Narrow"/>
                <w:sz w:val="18"/>
                <w:szCs w:val="18"/>
              </w:rPr>
              <w:t>budesonide CR (CORE I &amp; II) vs budesonide foam enema (all trials)</w:t>
            </w:r>
          </w:p>
        </w:tc>
        <w:tc>
          <w:tcPr>
            <w:tcW w:w="831" w:type="pct"/>
            <w:gridSpan w:val="2"/>
            <w:vAlign w:val="center"/>
          </w:tcPr>
          <w:p w:rsidR="006E0FA9" w:rsidRPr="00F82904" w:rsidRDefault="00F82904" w:rsidP="00950613">
            <w:pPr>
              <w:spacing w:before="0"/>
              <w:jc w:val="center"/>
              <w:rPr>
                <w:rFonts w:ascii="Arial Narrow" w:hAnsi="Arial Narrow"/>
                <w:sz w:val="18"/>
                <w:szCs w:val="18"/>
                <w:highlight w:val="black"/>
              </w:rPr>
            </w:pPr>
            <w:r>
              <w:rPr>
                <w:rFonts w:ascii="Arial Narrow" w:hAnsi="Arial Narrow"/>
                <w:noProof/>
                <w:color w:val="000000"/>
                <w:sz w:val="18"/>
                <w:szCs w:val="18"/>
                <w:highlight w:val="black"/>
              </w:rPr>
              <w:t>'''''''''' '''''''''''''''''''''''''''</w:t>
            </w:r>
          </w:p>
        </w:tc>
        <w:tc>
          <w:tcPr>
            <w:tcW w:w="831" w:type="pct"/>
            <w:gridSpan w:val="2"/>
            <w:vAlign w:val="center"/>
          </w:tcPr>
          <w:p w:rsidR="006E0FA9" w:rsidRPr="00F82904" w:rsidRDefault="00F82904" w:rsidP="00950613">
            <w:pPr>
              <w:spacing w:before="0"/>
              <w:jc w:val="center"/>
              <w:rPr>
                <w:rFonts w:ascii="Arial Narrow" w:hAnsi="Arial Narrow"/>
                <w:sz w:val="18"/>
                <w:szCs w:val="18"/>
                <w:highlight w:val="black"/>
              </w:rPr>
            </w:pPr>
            <w:r>
              <w:rPr>
                <w:rFonts w:ascii="Arial Narrow" w:hAnsi="Arial Narrow"/>
                <w:noProof/>
                <w:color w:val="000000"/>
                <w:sz w:val="18"/>
                <w:szCs w:val="18"/>
                <w:highlight w:val="black"/>
              </w:rPr>
              <w:t>''''''''''' ''''''''''''''''''''''''''''</w:t>
            </w:r>
          </w:p>
        </w:tc>
        <w:tc>
          <w:tcPr>
            <w:tcW w:w="832" w:type="pct"/>
            <w:gridSpan w:val="2"/>
            <w:vAlign w:val="center"/>
          </w:tcPr>
          <w:p w:rsidR="006E0FA9" w:rsidRPr="00F82904" w:rsidRDefault="00F82904" w:rsidP="00950613">
            <w:pPr>
              <w:spacing w:before="0"/>
              <w:jc w:val="center"/>
              <w:rPr>
                <w:rFonts w:ascii="Arial Narrow" w:hAnsi="Arial Narrow"/>
                <w:sz w:val="18"/>
                <w:szCs w:val="18"/>
                <w:highlight w:val="black"/>
              </w:rPr>
            </w:pPr>
            <w:r>
              <w:rPr>
                <w:rFonts w:ascii="Arial Narrow" w:hAnsi="Arial Narrow"/>
                <w:noProof/>
                <w:color w:val="000000"/>
                <w:sz w:val="18"/>
                <w:szCs w:val="18"/>
                <w:highlight w:val="black"/>
              </w:rPr>
              <w:t>''''''''''' ''''''''''''''''''''''''''''</w:t>
            </w:r>
          </w:p>
        </w:tc>
      </w:tr>
      <w:tr w:rsidR="006E0FA9" w:rsidRPr="00577B2E" w:rsidTr="008B2620">
        <w:trPr>
          <w:trHeight w:val="170"/>
        </w:trPr>
        <w:tc>
          <w:tcPr>
            <w:tcW w:w="2506" w:type="pct"/>
            <w:gridSpan w:val="3"/>
            <w:vAlign w:val="center"/>
          </w:tcPr>
          <w:p w:rsidR="006E0FA9" w:rsidRPr="00577B2E" w:rsidRDefault="006E0FA9" w:rsidP="00950613">
            <w:pPr>
              <w:spacing w:before="0"/>
              <w:jc w:val="right"/>
              <w:rPr>
                <w:rFonts w:ascii="Arial Narrow" w:hAnsi="Arial Narrow"/>
                <w:sz w:val="18"/>
                <w:szCs w:val="18"/>
              </w:rPr>
            </w:pPr>
            <w:r w:rsidRPr="00577B2E">
              <w:rPr>
                <w:rFonts w:ascii="Arial Narrow" w:hAnsi="Arial Narrow"/>
                <w:sz w:val="18"/>
                <w:szCs w:val="18"/>
              </w:rPr>
              <w:t xml:space="preserve">budesonide CR (CORE I &amp; II) vs budesonide foam enema (excluding </w:t>
            </w:r>
            <w:proofErr w:type="spellStart"/>
            <w:r w:rsidRPr="00577B2E">
              <w:rPr>
                <w:rFonts w:ascii="Arial Narrow" w:hAnsi="Arial Narrow"/>
                <w:sz w:val="18"/>
                <w:szCs w:val="18"/>
              </w:rPr>
              <w:t>Naganuma</w:t>
            </w:r>
            <w:proofErr w:type="spellEnd"/>
            <w:r w:rsidRPr="00577B2E">
              <w:rPr>
                <w:rFonts w:ascii="Arial Narrow" w:hAnsi="Arial Narrow"/>
                <w:sz w:val="18"/>
                <w:szCs w:val="18"/>
              </w:rPr>
              <w:t xml:space="preserve"> 2016)</w:t>
            </w:r>
          </w:p>
        </w:tc>
        <w:tc>
          <w:tcPr>
            <w:tcW w:w="831" w:type="pct"/>
            <w:gridSpan w:val="2"/>
            <w:vAlign w:val="center"/>
          </w:tcPr>
          <w:p w:rsidR="006E0FA9" w:rsidRPr="00F82904" w:rsidRDefault="00F82904" w:rsidP="00950613">
            <w:pPr>
              <w:spacing w:before="0"/>
              <w:jc w:val="center"/>
              <w:rPr>
                <w:rFonts w:ascii="Arial Narrow" w:hAnsi="Arial Narrow"/>
                <w:sz w:val="18"/>
                <w:szCs w:val="18"/>
                <w:highlight w:val="black"/>
              </w:rPr>
            </w:pPr>
            <w:r>
              <w:rPr>
                <w:rFonts w:ascii="Arial Narrow" w:hAnsi="Arial Narrow"/>
                <w:noProof/>
                <w:color w:val="000000"/>
                <w:sz w:val="18"/>
                <w:szCs w:val="18"/>
                <w:highlight w:val="black"/>
              </w:rPr>
              <w:t>'''''''''' '''''''''''''''''''''''''''</w:t>
            </w:r>
          </w:p>
        </w:tc>
        <w:tc>
          <w:tcPr>
            <w:tcW w:w="831" w:type="pct"/>
            <w:gridSpan w:val="2"/>
            <w:vAlign w:val="center"/>
          </w:tcPr>
          <w:p w:rsidR="006E0FA9" w:rsidRPr="00AA21C7" w:rsidRDefault="00F82904" w:rsidP="00950613">
            <w:pPr>
              <w:spacing w:before="0"/>
              <w:jc w:val="center"/>
              <w:rPr>
                <w:rFonts w:ascii="Arial Narrow" w:hAnsi="Arial Narrow"/>
                <w:sz w:val="18"/>
                <w:szCs w:val="18"/>
              </w:rPr>
            </w:pPr>
            <w:r>
              <w:rPr>
                <w:rFonts w:ascii="Arial Narrow" w:hAnsi="Arial Narrow"/>
                <w:noProof/>
                <w:color w:val="000000"/>
                <w:sz w:val="18"/>
                <w:szCs w:val="18"/>
                <w:highlight w:val="black"/>
              </w:rPr>
              <w:t>''''''''''''' '''''''''''''''''''''''''</w:t>
            </w:r>
            <w:r w:rsidR="006E0FA9" w:rsidRPr="00AA21C7">
              <w:rPr>
                <w:rFonts w:ascii="Arial Narrow" w:hAnsi="Arial Narrow"/>
                <w:sz w:val="18"/>
                <w:szCs w:val="18"/>
              </w:rPr>
              <w:t>)</w:t>
            </w:r>
          </w:p>
        </w:tc>
        <w:tc>
          <w:tcPr>
            <w:tcW w:w="832" w:type="pct"/>
            <w:gridSpan w:val="2"/>
            <w:vAlign w:val="center"/>
          </w:tcPr>
          <w:p w:rsidR="006E0FA9" w:rsidRPr="00F82904" w:rsidRDefault="00F82904" w:rsidP="00950613">
            <w:pPr>
              <w:spacing w:before="0"/>
              <w:jc w:val="center"/>
              <w:rPr>
                <w:rFonts w:ascii="Arial Narrow" w:hAnsi="Arial Narrow"/>
                <w:sz w:val="18"/>
                <w:szCs w:val="18"/>
                <w:highlight w:val="black"/>
              </w:rPr>
            </w:pPr>
            <w:r>
              <w:rPr>
                <w:rFonts w:ascii="Arial Narrow" w:hAnsi="Arial Narrow"/>
                <w:noProof/>
                <w:color w:val="000000"/>
                <w:sz w:val="18"/>
                <w:szCs w:val="18"/>
                <w:highlight w:val="black"/>
              </w:rPr>
              <w:t>'''''''''''' ''''''''''''''''''''''''''''</w:t>
            </w:r>
          </w:p>
        </w:tc>
      </w:tr>
      <w:tr w:rsidR="006E0FA9" w:rsidRPr="00577B2E" w:rsidTr="008B2620">
        <w:trPr>
          <w:trHeight w:val="170"/>
        </w:trPr>
        <w:tc>
          <w:tcPr>
            <w:tcW w:w="2506" w:type="pct"/>
            <w:gridSpan w:val="3"/>
            <w:vAlign w:val="center"/>
          </w:tcPr>
          <w:p w:rsidR="006E0FA9" w:rsidRPr="00577B2E" w:rsidRDefault="006E0FA9" w:rsidP="00950613">
            <w:pPr>
              <w:spacing w:before="0"/>
              <w:jc w:val="right"/>
              <w:rPr>
                <w:rFonts w:ascii="Arial Narrow" w:hAnsi="Arial Narrow"/>
                <w:sz w:val="18"/>
                <w:szCs w:val="18"/>
              </w:rPr>
            </w:pPr>
            <w:r w:rsidRPr="00577B2E">
              <w:rPr>
                <w:rFonts w:ascii="Arial Narrow" w:hAnsi="Arial Narrow"/>
                <w:sz w:val="18"/>
                <w:szCs w:val="18"/>
              </w:rPr>
              <w:t>Proctosigmoiditis/distal colitis (CORE I &amp; II) for budesonide CR vs budesonide foam enema (all trials)</w:t>
            </w:r>
          </w:p>
        </w:tc>
        <w:tc>
          <w:tcPr>
            <w:tcW w:w="831" w:type="pct"/>
            <w:gridSpan w:val="2"/>
            <w:vAlign w:val="center"/>
          </w:tcPr>
          <w:p w:rsidR="006E0FA9" w:rsidRPr="00F82904" w:rsidRDefault="00F82904" w:rsidP="00950613">
            <w:pPr>
              <w:spacing w:before="0"/>
              <w:jc w:val="center"/>
              <w:rPr>
                <w:rFonts w:ascii="Arial Narrow" w:hAnsi="Arial Narrow"/>
                <w:sz w:val="18"/>
                <w:szCs w:val="18"/>
                <w:highlight w:val="black"/>
              </w:rPr>
            </w:pPr>
            <w:r>
              <w:rPr>
                <w:rFonts w:ascii="Arial Narrow" w:hAnsi="Arial Narrow"/>
                <w:noProof/>
                <w:color w:val="000000"/>
                <w:sz w:val="18"/>
                <w:szCs w:val="18"/>
                <w:highlight w:val="black"/>
              </w:rPr>
              <w:t>''''''''''' ''''''''''''''''''''''''''''</w:t>
            </w:r>
          </w:p>
        </w:tc>
        <w:tc>
          <w:tcPr>
            <w:tcW w:w="831" w:type="pct"/>
            <w:gridSpan w:val="2"/>
            <w:vAlign w:val="center"/>
          </w:tcPr>
          <w:p w:rsidR="006E0FA9" w:rsidRPr="00F82904" w:rsidRDefault="00F82904" w:rsidP="00950613">
            <w:pPr>
              <w:spacing w:before="0"/>
              <w:jc w:val="center"/>
              <w:rPr>
                <w:rFonts w:ascii="Arial Narrow" w:hAnsi="Arial Narrow"/>
                <w:sz w:val="18"/>
                <w:szCs w:val="18"/>
                <w:highlight w:val="black"/>
              </w:rPr>
            </w:pPr>
            <w:r>
              <w:rPr>
                <w:rFonts w:ascii="Arial Narrow" w:hAnsi="Arial Narrow"/>
                <w:noProof/>
                <w:color w:val="000000"/>
                <w:sz w:val="18"/>
                <w:szCs w:val="18"/>
                <w:highlight w:val="black"/>
              </w:rPr>
              <w:t>'''''''''''''' '''''''''''''''''''''''''''</w:t>
            </w:r>
          </w:p>
        </w:tc>
        <w:tc>
          <w:tcPr>
            <w:tcW w:w="832" w:type="pct"/>
            <w:gridSpan w:val="2"/>
            <w:vAlign w:val="center"/>
          </w:tcPr>
          <w:p w:rsidR="006E0FA9" w:rsidRPr="00F82904" w:rsidRDefault="00F82904" w:rsidP="00950613">
            <w:pPr>
              <w:spacing w:before="0"/>
              <w:jc w:val="center"/>
              <w:rPr>
                <w:rFonts w:ascii="Arial Narrow" w:hAnsi="Arial Narrow"/>
                <w:sz w:val="18"/>
                <w:szCs w:val="18"/>
                <w:highlight w:val="black"/>
              </w:rPr>
            </w:pPr>
            <w:r>
              <w:rPr>
                <w:rFonts w:ascii="Arial Narrow" w:hAnsi="Arial Narrow"/>
                <w:noProof/>
                <w:color w:val="000000"/>
                <w:sz w:val="18"/>
                <w:szCs w:val="18"/>
                <w:highlight w:val="black"/>
              </w:rPr>
              <w:t>'''''''''' ''''''''''''''''''''''''</w:t>
            </w:r>
          </w:p>
        </w:tc>
      </w:tr>
      <w:tr w:rsidR="006E0FA9" w:rsidRPr="00577B2E" w:rsidTr="008B2620">
        <w:trPr>
          <w:trHeight w:val="170"/>
        </w:trPr>
        <w:tc>
          <w:tcPr>
            <w:tcW w:w="2506" w:type="pct"/>
            <w:gridSpan w:val="3"/>
            <w:vAlign w:val="center"/>
          </w:tcPr>
          <w:p w:rsidR="006E0FA9" w:rsidRPr="00577B2E" w:rsidRDefault="006E0FA9" w:rsidP="00950613">
            <w:pPr>
              <w:spacing w:before="0"/>
              <w:jc w:val="right"/>
              <w:rPr>
                <w:rFonts w:ascii="Arial Narrow" w:hAnsi="Arial Narrow"/>
                <w:sz w:val="18"/>
                <w:szCs w:val="18"/>
              </w:rPr>
            </w:pPr>
            <w:r w:rsidRPr="00577B2E">
              <w:rPr>
                <w:rFonts w:ascii="Arial Narrow" w:hAnsi="Arial Narrow"/>
                <w:sz w:val="18"/>
                <w:szCs w:val="18"/>
              </w:rPr>
              <w:t xml:space="preserve">Proctosigmoiditis/distal colitis CORE I &amp; II for budesonide CR vs budesonide foam enema (excluding </w:t>
            </w:r>
            <w:proofErr w:type="spellStart"/>
            <w:r w:rsidRPr="00577B2E">
              <w:rPr>
                <w:rFonts w:ascii="Arial Narrow" w:hAnsi="Arial Narrow"/>
                <w:sz w:val="18"/>
                <w:szCs w:val="18"/>
              </w:rPr>
              <w:t>Naganuma</w:t>
            </w:r>
            <w:proofErr w:type="spellEnd"/>
            <w:r w:rsidRPr="00577B2E">
              <w:rPr>
                <w:rFonts w:ascii="Arial Narrow" w:hAnsi="Arial Narrow"/>
                <w:sz w:val="18"/>
                <w:szCs w:val="18"/>
              </w:rPr>
              <w:t xml:space="preserve"> 2016)</w:t>
            </w:r>
          </w:p>
        </w:tc>
        <w:tc>
          <w:tcPr>
            <w:tcW w:w="831" w:type="pct"/>
            <w:gridSpan w:val="2"/>
            <w:vAlign w:val="center"/>
          </w:tcPr>
          <w:p w:rsidR="006E0FA9" w:rsidRPr="00F82904" w:rsidRDefault="00F82904" w:rsidP="00950613">
            <w:pPr>
              <w:spacing w:before="0"/>
              <w:jc w:val="center"/>
              <w:rPr>
                <w:rFonts w:ascii="Arial Narrow" w:hAnsi="Arial Narrow"/>
                <w:sz w:val="18"/>
                <w:szCs w:val="18"/>
                <w:highlight w:val="black"/>
              </w:rPr>
            </w:pPr>
            <w:r>
              <w:rPr>
                <w:rFonts w:ascii="Arial Narrow" w:hAnsi="Arial Narrow"/>
                <w:noProof/>
                <w:color w:val="000000"/>
                <w:sz w:val="18"/>
                <w:szCs w:val="18"/>
                <w:highlight w:val="black"/>
              </w:rPr>
              <w:t>'''''''''' '''''''''''''''''''''''''''</w:t>
            </w:r>
          </w:p>
        </w:tc>
        <w:tc>
          <w:tcPr>
            <w:tcW w:w="831" w:type="pct"/>
            <w:gridSpan w:val="2"/>
            <w:vAlign w:val="center"/>
          </w:tcPr>
          <w:p w:rsidR="006E0FA9" w:rsidRPr="00F82904" w:rsidRDefault="00F82904" w:rsidP="00950613">
            <w:pPr>
              <w:spacing w:before="0"/>
              <w:jc w:val="center"/>
              <w:rPr>
                <w:rFonts w:ascii="Arial Narrow" w:hAnsi="Arial Narrow"/>
                <w:sz w:val="18"/>
                <w:szCs w:val="18"/>
                <w:highlight w:val="black"/>
              </w:rPr>
            </w:pPr>
            <w:r>
              <w:rPr>
                <w:rFonts w:ascii="Arial Narrow" w:hAnsi="Arial Narrow"/>
                <w:noProof/>
                <w:color w:val="000000"/>
                <w:sz w:val="18"/>
                <w:szCs w:val="18"/>
                <w:highlight w:val="black"/>
              </w:rPr>
              <w:t>'''''''''''' ''''''''''''''''''''''''''''</w:t>
            </w:r>
          </w:p>
        </w:tc>
        <w:tc>
          <w:tcPr>
            <w:tcW w:w="832" w:type="pct"/>
            <w:gridSpan w:val="2"/>
            <w:vAlign w:val="center"/>
          </w:tcPr>
          <w:p w:rsidR="006E0FA9" w:rsidRPr="00F82904" w:rsidRDefault="00F82904" w:rsidP="00950613">
            <w:pPr>
              <w:spacing w:before="0"/>
              <w:jc w:val="center"/>
              <w:rPr>
                <w:rFonts w:ascii="Arial Narrow" w:hAnsi="Arial Narrow"/>
                <w:sz w:val="18"/>
                <w:szCs w:val="18"/>
                <w:highlight w:val="black"/>
              </w:rPr>
            </w:pPr>
            <w:r>
              <w:rPr>
                <w:rFonts w:ascii="Arial Narrow" w:hAnsi="Arial Narrow"/>
                <w:noProof/>
                <w:color w:val="000000"/>
                <w:sz w:val="18"/>
                <w:szCs w:val="18"/>
                <w:highlight w:val="black"/>
              </w:rPr>
              <w:t>''''''''''' ''''''''''''''''''''''''''''</w:t>
            </w:r>
          </w:p>
        </w:tc>
      </w:tr>
    </w:tbl>
    <w:p w:rsidR="00950613" w:rsidRPr="00577B2E" w:rsidRDefault="00950613" w:rsidP="00AA3262">
      <w:pPr>
        <w:spacing w:before="0" w:after="0"/>
        <w:jc w:val="both"/>
        <w:rPr>
          <w:rFonts w:ascii="Arial Narrow" w:hAnsi="Arial Narrow"/>
          <w:sz w:val="18"/>
          <w:szCs w:val="18"/>
        </w:rPr>
      </w:pPr>
      <w:r w:rsidRPr="00577B2E">
        <w:rPr>
          <w:rFonts w:ascii="Arial Narrow" w:hAnsi="Arial Narrow"/>
          <w:sz w:val="18"/>
          <w:szCs w:val="18"/>
        </w:rPr>
        <w:t xml:space="preserve">Abbreviations: CI = confidence interval; CR = colonic release, </w:t>
      </w:r>
      <w:proofErr w:type="spellStart"/>
      <w:proofErr w:type="gramStart"/>
      <w:r w:rsidRPr="00577B2E">
        <w:rPr>
          <w:rFonts w:ascii="Arial Narrow" w:hAnsi="Arial Narrow"/>
          <w:sz w:val="18"/>
          <w:szCs w:val="18"/>
        </w:rPr>
        <w:t>df</w:t>
      </w:r>
      <w:proofErr w:type="spellEnd"/>
      <w:proofErr w:type="gramEnd"/>
      <w:r w:rsidRPr="00577B2E">
        <w:rPr>
          <w:rFonts w:ascii="Arial Narrow" w:hAnsi="Arial Narrow"/>
          <w:sz w:val="18"/>
          <w:szCs w:val="18"/>
        </w:rPr>
        <w:t xml:space="preserve"> = degrees of freedom; n = number of patients with event; N = total number of patients in group</w:t>
      </w:r>
    </w:p>
    <w:p w:rsidR="00950613" w:rsidRPr="00577B2E" w:rsidRDefault="00950613" w:rsidP="00AA3262">
      <w:pPr>
        <w:spacing w:before="0" w:after="0"/>
        <w:jc w:val="both"/>
        <w:rPr>
          <w:rFonts w:ascii="Arial Narrow" w:hAnsi="Arial Narrow"/>
          <w:sz w:val="18"/>
          <w:szCs w:val="18"/>
        </w:rPr>
      </w:pPr>
      <w:r w:rsidRPr="00577B2E">
        <w:rPr>
          <w:rFonts w:ascii="Arial Narrow" w:hAnsi="Arial Narrow"/>
          <w:sz w:val="18"/>
          <w:szCs w:val="18"/>
        </w:rPr>
        <w:t>Text in bold indicate statistically significant differences</w:t>
      </w:r>
    </w:p>
    <w:p w:rsidR="00950613" w:rsidRPr="00577B2E" w:rsidRDefault="00950613" w:rsidP="00AA3262">
      <w:pPr>
        <w:spacing w:before="0" w:after="0"/>
        <w:jc w:val="both"/>
        <w:rPr>
          <w:rFonts w:ascii="Arial Narrow" w:hAnsi="Arial Narrow"/>
          <w:sz w:val="18"/>
          <w:szCs w:val="18"/>
        </w:rPr>
      </w:pPr>
      <w:r w:rsidRPr="00577B2E">
        <w:rPr>
          <w:rFonts w:ascii="Arial Narrow" w:hAnsi="Arial Narrow"/>
          <w:sz w:val="18"/>
          <w:szCs w:val="18"/>
        </w:rPr>
        <w:t>*</w:t>
      </w:r>
      <w:r w:rsidRPr="00577B2E">
        <w:rPr>
          <w:rFonts w:ascii="Arial Narrow" w:hAnsi="Arial Narrow"/>
          <w:sz w:val="18"/>
          <w:szCs w:val="18"/>
        </w:rPr>
        <w:tab/>
      </w:r>
      <w:r w:rsidRPr="00FA62CA">
        <w:rPr>
          <w:rFonts w:ascii="Arial Narrow" w:hAnsi="Arial Narrow"/>
          <w:sz w:val="18"/>
          <w:szCs w:val="18"/>
        </w:rPr>
        <w:t>A post-hoc analysis</w:t>
      </w:r>
    </w:p>
    <w:p w:rsidR="00950613" w:rsidRPr="00577B2E" w:rsidRDefault="00950613" w:rsidP="00AA3262">
      <w:pPr>
        <w:spacing w:before="0" w:after="0"/>
        <w:jc w:val="both"/>
        <w:rPr>
          <w:rFonts w:ascii="Arial Narrow" w:hAnsi="Arial Narrow"/>
          <w:sz w:val="18"/>
          <w:szCs w:val="18"/>
        </w:rPr>
      </w:pPr>
      <w:r w:rsidRPr="00577B2E">
        <w:rPr>
          <w:rFonts w:ascii="Arial Narrow" w:hAnsi="Arial Narrow"/>
          <w:sz w:val="18"/>
          <w:szCs w:val="18"/>
        </w:rPr>
        <w:t>+</w:t>
      </w:r>
      <w:r w:rsidRPr="00577B2E">
        <w:rPr>
          <w:rFonts w:ascii="Arial Narrow" w:hAnsi="Arial Narrow"/>
          <w:sz w:val="18"/>
          <w:szCs w:val="18"/>
        </w:rPr>
        <w:tab/>
        <w:t>A secondary outcome</w:t>
      </w:r>
    </w:p>
    <w:p w:rsidR="00950613" w:rsidRPr="00577B2E" w:rsidRDefault="00950613" w:rsidP="00AA3262">
      <w:pPr>
        <w:spacing w:before="0" w:after="0"/>
        <w:rPr>
          <w:rFonts w:ascii="Arial Narrow" w:hAnsi="Arial Narrow"/>
          <w:sz w:val="18"/>
          <w:szCs w:val="18"/>
        </w:rPr>
      </w:pPr>
      <w:r w:rsidRPr="00577B2E">
        <w:rPr>
          <w:rFonts w:ascii="Arial Narrow" w:hAnsi="Arial Narrow"/>
          <w:sz w:val="18"/>
          <w:szCs w:val="18"/>
        </w:rPr>
        <w:t>Source</w:t>
      </w:r>
      <w:r w:rsidRPr="005B495C">
        <w:rPr>
          <w:rFonts w:ascii="Arial Narrow" w:hAnsi="Arial Narrow"/>
          <w:sz w:val="18"/>
          <w:szCs w:val="18"/>
        </w:rPr>
        <w:t xml:space="preserve">: </w:t>
      </w:r>
      <w:r w:rsidR="00EE5F21" w:rsidRPr="003678FD">
        <w:rPr>
          <w:rFonts w:ascii="Arial Narrow" w:hAnsi="Arial Narrow"/>
          <w:sz w:val="18"/>
          <w:szCs w:val="18"/>
        </w:rPr>
        <w:t>Table 2.6-3, p83, Table 2.6-6, p86, Table 2.6-7,p87, , Table 2.6-12, p97, Table 2.6-13, p 99, of the submission</w:t>
      </w:r>
      <w:r w:rsidR="00EE5F21">
        <w:rPr>
          <w:rFonts w:ascii="Arial Narrow" w:hAnsi="Arial Narrow"/>
          <w:sz w:val="18"/>
          <w:szCs w:val="18"/>
        </w:rPr>
        <w:t>.</w:t>
      </w:r>
    </w:p>
    <w:p w:rsidR="00A244EE" w:rsidRPr="00F923CA" w:rsidRDefault="00A244EE" w:rsidP="00F923CA">
      <w:pPr>
        <w:spacing w:before="0" w:line="259" w:lineRule="auto"/>
        <w:ind w:left="850" w:hanging="850"/>
        <w:rPr>
          <w:rFonts w:ascii="Arial Narrow" w:hAnsi="Arial Narrow"/>
          <w:sz w:val="18"/>
          <w:szCs w:val="18"/>
        </w:rPr>
      </w:pPr>
    </w:p>
    <w:p w:rsidR="00D924FF" w:rsidRDefault="00D924FF">
      <w:pPr>
        <w:spacing w:before="0" w:line="259" w:lineRule="auto"/>
        <w:rPr>
          <w:rFonts w:ascii="Arial Narrow" w:hAnsi="Arial Narrow"/>
          <w:b/>
          <w:sz w:val="20"/>
          <w:szCs w:val="20"/>
        </w:rPr>
      </w:pPr>
      <w:r>
        <w:rPr>
          <w:rFonts w:ascii="Arial Narrow" w:hAnsi="Arial Narrow"/>
          <w:b/>
          <w:sz w:val="20"/>
          <w:szCs w:val="20"/>
        </w:rPr>
        <w:br w:type="page"/>
      </w:r>
    </w:p>
    <w:p w:rsidR="008B2620" w:rsidRDefault="008B2620" w:rsidP="008B2620">
      <w:pPr>
        <w:pStyle w:val="Caption"/>
        <w:keepNext/>
      </w:pPr>
      <w:r>
        <w:t xml:space="preserve">Table </w:t>
      </w:r>
      <w:r w:rsidR="009C2BB0">
        <w:rPr>
          <w:noProof/>
        </w:rPr>
        <w:t>6</w:t>
      </w:r>
      <w:r w:rsidRPr="006C4C40">
        <w:t xml:space="preserve">: Trial, subgroup, meta-analyses and indirect comparison results for the outcome of improvement in mucosal </w:t>
      </w:r>
      <w:proofErr w:type="spellStart"/>
      <w:r w:rsidRPr="006C4C40">
        <w:t>subscores</w:t>
      </w:r>
      <w:proofErr w:type="spellEnd"/>
      <w:r w:rsidRPr="006C4C40">
        <w:t xml:space="preserve"> (based on the individual trial definitions of either mucosal appearance </w:t>
      </w:r>
      <w:proofErr w:type="spellStart"/>
      <w:r w:rsidRPr="006C4C40">
        <w:t>subscore</w:t>
      </w:r>
      <w:proofErr w:type="spellEnd"/>
      <w:r w:rsidRPr="006C4C40">
        <w:t xml:space="preserve"> = 0 or endoscopy </w:t>
      </w:r>
      <w:proofErr w:type="spellStart"/>
      <w:r w:rsidRPr="006C4C40">
        <w:t>subscore</w:t>
      </w:r>
      <w:proofErr w:type="spellEnd"/>
      <w:r w:rsidRPr="006C4C40">
        <w:t xml:space="preserve"> ≤ 1)</w:t>
      </w:r>
    </w:p>
    <w:tbl>
      <w:tblPr>
        <w:tblStyle w:val="Summarybox6"/>
        <w:tblW w:w="4981" w:type="pct"/>
        <w:tblInd w:w="28" w:type="dxa"/>
        <w:tblLayout w:type="fixed"/>
        <w:tblCellMar>
          <w:left w:w="28" w:type="dxa"/>
          <w:right w:w="28" w:type="dxa"/>
        </w:tblCellMar>
        <w:tblLook w:val="04A0" w:firstRow="1" w:lastRow="0" w:firstColumn="1" w:lastColumn="0" w:noHBand="0" w:noVBand="1"/>
        <w:tblCaption w:val="Trial, subgroup, meta-analyses and indirect comparison results for the outcome of improvement in mucosal subscores (based on the individual trial definitions of either mucosal appearance subscore = 0 or endoscopy subscore ≤ 1)"/>
      </w:tblPr>
      <w:tblGrid>
        <w:gridCol w:w="2284"/>
        <w:gridCol w:w="1357"/>
        <w:gridCol w:w="1072"/>
        <w:gridCol w:w="285"/>
        <w:gridCol w:w="1167"/>
        <w:gridCol w:w="192"/>
        <w:gridCol w:w="1261"/>
        <w:gridCol w:w="96"/>
        <w:gridCol w:w="1357"/>
      </w:tblGrid>
      <w:tr w:rsidR="00285F0E" w:rsidRPr="00577B2E" w:rsidTr="00AA3262">
        <w:trPr>
          <w:trHeight w:val="170"/>
          <w:tblHeader/>
        </w:trPr>
        <w:tc>
          <w:tcPr>
            <w:tcW w:w="1259" w:type="pct"/>
            <w:shd w:val="clear" w:color="auto" w:fill="auto"/>
            <w:vAlign w:val="center"/>
          </w:tcPr>
          <w:p w:rsidR="00285F0E" w:rsidRPr="00577B2E" w:rsidRDefault="00285F0E" w:rsidP="00493F05">
            <w:pPr>
              <w:spacing w:before="0"/>
              <w:rPr>
                <w:rFonts w:ascii="Arial Narrow" w:hAnsi="Arial Narrow"/>
                <w:b/>
                <w:sz w:val="18"/>
                <w:szCs w:val="18"/>
              </w:rPr>
            </w:pPr>
            <w:r w:rsidRPr="00577B2E">
              <w:rPr>
                <w:rFonts w:ascii="Arial Narrow" w:hAnsi="Arial Narrow"/>
                <w:b/>
                <w:sz w:val="18"/>
                <w:szCs w:val="18"/>
              </w:rPr>
              <w:t>Trial ID</w:t>
            </w:r>
          </w:p>
        </w:tc>
        <w:tc>
          <w:tcPr>
            <w:tcW w:w="748" w:type="pct"/>
            <w:shd w:val="clear" w:color="auto" w:fill="auto"/>
            <w:vAlign w:val="center"/>
          </w:tcPr>
          <w:p w:rsidR="00285F0E" w:rsidRPr="00577B2E" w:rsidRDefault="00285F0E" w:rsidP="00493F05">
            <w:pPr>
              <w:spacing w:before="0"/>
              <w:jc w:val="center"/>
              <w:rPr>
                <w:rFonts w:ascii="Arial Narrow" w:hAnsi="Arial Narrow"/>
                <w:b/>
                <w:sz w:val="18"/>
                <w:szCs w:val="18"/>
              </w:rPr>
            </w:pPr>
            <w:r w:rsidRPr="00577B2E">
              <w:rPr>
                <w:rFonts w:ascii="Arial Narrow" w:hAnsi="Arial Narrow"/>
                <w:b/>
                <w:sz w:val="18"/>
                <w:szCs w:val="18"/>
              </w:rPr>
              <w:t>Budesonide</w:t>
            </w:r>
          </w:p>
          <w:p w:rsidR="00285F0E" w:rsidRPr="00577B2E" w:rsidRDefault="00285F0E" w:rsidP="00493F05">
            <w:pPr>
              <w:spacing w:before="0"/>
              <w:jc w:val="center"/>
              <w:rPr>
                <w:rFonts w:ascii="Arial Narrow" w:hAnsi="Arial Narrow"/>
                <w:b/>
                <w:sz w:val="18"/>
                <w:szCs w:val="18"/>
              </w:rPr>
            </w:pPr>
            <w:proofErr w:type="gramStart"/>
            <w:r w:rsidRPr="00577B2E">
              <w:rPr>
                <w:rFonts w:ascii="Arial Narrow" w:hAnsi="Arial Narrow"/>
                <w:b/>
                <w:sz w:val="18"/>
                <w:szCs w:val="18"/>
              </w:rPr>
              <w:t>n/N</w:t>
            </w:r>
            <w:proofErr w:type="gramEnd"/>
            <w:r w:rsidRPr="00577B2E">
              <w:rPr>
                <w:rFonts w:ascii="Arial Narrow" w:hAnsi="Arial Narrow"/>
                <w:b/>
                <w:sz w:val="18"/>
                <w:szCs w:val="18"/>
              </w:rPr>
              <w:t xml:space="preserve"> (%)</w:t>
            </w:r>
          </w:p>
        </w:tc>
        <w:tc>
          <w:tcPr>
            <w:tcW w:w="748" w:type="pct"/>
            <w:gridSpan w:val="2"/>
            <w:shd w:val="clear" w:color="auto" w:fill="auto"/>
            <w:vAlign w:val="center"/>
          </w:tcPr>
          <w:p w:rsidR="00285F0E" w:rsidRPr="00577B2E" w:rsidRDefault="00285F0E" w:rsidP="00493F05">
            <w:pPr>
              <w:spacing w:before="0"/>
              <w:jc w:val="center"/>
              <w:rPr>
                <w:rFonts w:ascii="Arial Narrow" w:hAnsi="Arial Narrow"/>
                <w:b/>
                <w:sz w:val="18"/>
                <w:szCs w:val="18"/>
              </w:rPr>
            </w:pPr>
            <w:r w:rsidRPr="00577B2E">
              <w:rPr>
                <w:rFonts w:ascii="Arial Narrow" w:hAnsi="Arial Narrow"/>
                <w:b/>
                <w:sz w:val="18"/>
                <w:szCs w:val="18"/>
              </w:rPr>
              <w:t>Placebo</w:t>
            </w:r>
          </w:p>
          <w:p w:rsidR="00285F0E" w:rsidRPr="00577B2E" w:rsidRDefault="00285F0E" w:rsidP="00493F05">
            <w:pPr>
              <w:spacing w:before="0"/>
              <w:jc w:val="center"/>
              <w:rPr>
                <w:rFonts w:ascii="Arial Narrow" w:hAnsi="Arial Narrow"/>
                <w:b/>
                <w:sz w:val="18"/>
                <w:szCs w:val="18"/>
              </w:rPr>
            </w:pPr>
            <w:proofErr w:type="gramStart"/>
            <w:r w:rsidRPr="00577B2E">
              <w:rPr>
                <w:rFonts w:ascii="Arial Narrow" w:hAnsi="Arial Narrow"/>
                <w:b/>
                <w:sz w:val="18"/>
                <w:szCs w:val="18"/>
              </w:rPr>
              <w:t>n/N</w:t>
            </w:r>
            <w:proofErr w:type="gramEnd"/>
            <w:r w:rsidRPr="00577B2E">
              <w:rPr>
                <w:rFonts w:ascii="Arial Narrow" w:hAnsi="Arial Narrow"/>
                <w:b/>
                <w:sz w:val="18"/>
                <w:szCs w:val="18"/>
              </w:rPr>
              <w:t xml:space="preserve"> (%)</w:t>
            </w:r>
          </w:p>
        </w:tc>
        <w:tc>
          <w:tcPr>
            <w:tcW w:w="749" w:type="pct"/>
            <w:gridSpan w:val="2"/>
            <w:shd w:val="clear" w:color="auto" w:fill="auto"/>
            <w:vAlign w:val="center"/>
          </w:tcPr>
          <w:p w:rsidR="00285F0E" w:rsidRPr="00577B2E" w:rsidRDefault="00285F0E" w:rsidP="00493F05">
            <w:pPr>
              <w:spacing w:before="0"/>
              <w:jc w:val="center"/>
              <w:rPr>
                <w:rFonts w:ascii="Arial Narrow" w:hAnsi="Arial Narrow"/>
                <w:b/>
                <w:sz w:val="18"/>
                <w:szCs w:val="18"/>
              </w:rPr>
            </w:pPr>
            <w:r w:rsidRPr="00577B2E">
              <w:rPr>
                <w:rFonts w:ascii="Arial Narrow" w:hAnsi="Arial Narrow"/>
                <w:b/>
                <w:sz w:val="18"/>
                <w:szCs w:val="18"/>
              </w:rPr>
              <w:t>Relative risk</w:t>
            </w:r>
          </w:p>
          <w:p w:rsidR="00285F0E" w:rsidRPr="00577B2E" w:rsidRDefault="00285F0E" w:rsidP="00493F05">
            <w:pPr>
              <w:spacing w:before="0"/>
              <w:jc w:val="center"/>
              <w:rPr>
                <w:rFonts w:ascii="Arial Narrow" w:hAnsi="Arial Narrow"/>
                <w:b/>
                <w:sz w:val="18"/>
                <w:szCs w:val="18"/>
              </w:rPr>
            </w:pPr>
            <w:r w:rsidRPr="00577B2E">
              <w:rPr>
                <w:rFonts w:ascii="Arial Narrow" w:hAnsi="Arial Narrow"/>
                <w:b/>
                <w:sz w:val="18"/>
                <w:szCs w:val="18"/>
              </w:rPr>
              <w:t>RR (95% CI)</w:t>
            </w:r>
          </w:p>
        </w:tc>
        <w:tc>
          <w:tcPr>
            <w:tcW w:w="748" w:type="pct"/>
            <w:gridSpan w:val="2"/>
            <w:shd w:val="clear" w:color="auto" w:fill="auto"/>
            <w:vAlign w:val="center"/>
          </w:tcPr>
          <w:p w:rsidR="00285F0E" w:rsidRPr="00577B2E" w:rsidRDefault="00285F0E" w:rsidP="00493F05">
            <w:pPr>
              <w:spacing w:before="0"/>
              <w:jc w:val="center"/>
              <w:rPr>
                <w:rFonts w:ascii="Arial Narrow" w:hAnsi="Arial Narrow"/>
                <w:b/>
                <w:sz w:val="18"/>
                <w:szCs w:val="18"/>
              </w:rPr>
            </w:pPr>
            <w:r w:rsidRPr="00577B2E">
              <w:rPr>
                <w:rFonts w:ascii="Arial Narrow" w:hAnsi="Arial Narrow"/>
                <w:b/>
                <w:sz w:val="18"/>
                <w:szCs w:val="18"/>
              </w:rPr>
              <w:t>Risk difference</w:t>
            </w:r>
          </w:p>
          <w:p w:rsidR="00285F0E" w:rsidRPr="00577B2E" w:rsidRDefault="00285F0E" w:rsidP="00493F05">
            <w:pPr>
              <w:spacing w:before="0"/>
              <w:jc w:val="center"/>
              <w:rPr>
                <w:rFonts w:ascii="Arial Narrow" w:hAnsi="Arial Narrow"/>
                <w:b/>
                <w:sz w:val="18"/>
                <w:szCs w:val="18"/>
              </w:rPr>
            </w:pPr>
            <w:r w:rsidRPr="00577B2E">
              <w:rPr>
                <w:rFonts w:ascii="Arial Narrow" w:hAnsi="Arial Narrow"/>
                <w:b/>
                <w:sz w:val="18"/>
                <w:szCs w:val="18"/>
              </w:rPr>
              <w:t>RD (95% CI)</w:t>
            </w:r>
          </w:p>
        </w:tc>
        <w:tc>
          <w:tcPr>
            <w:tcW w:w="748" w:type="pct"/>
            <w:shd w:val="clear" w:color="auto" w:fill="auto"/>
            <w:vAlign w:val="center"/>
          </w:tcPr>
          <w:p w:rsidR="00285F0E" w:rsidRPr="00577B2E" w:rsidRDefault="00285F0E" w:rsidP="00493F05">
            <w:pPr>
              <w:spacing w:before="0"/>
              <w:jc w:val="center"/>
              <w:rPr>
                <w:rFonts w:ascii="Arial Narrow" w:hAnsi="Arial Narrow"/>
                <w:b/>
                <w:sz w:val="18"/>
                <w:szCs w:val="18"/>
              </w:rPr>
            </w:pPr>
            <w:r w:rsidRPr="00577B2E">
              <w:rPr>
                <w:rFonts w:ascii="Arial Narrow" w:hAnsi="Arial Narrow"/>
                <w:b/>
                <w:sz w:val="18"/>
                <w:szCs w:val="18"/>
              </w:rPr>
              <w:t>Odds ratio</w:t>
            </w:r>
          </w:p>
          <w:p w:rsidR="00285F0E" w:rsidRPr="00577B2E" w:rsidRDefault="00285F0E" w:rsidP="00493F05">
            <w:pPr>
              <w:spacing w:before="0"/>
              <w:jc w:val="center"/>
              <w:rPr>
                <w:rFonts w:ascii="Arial Narrow" w:hAnsi="Arial Narrow"/>
                <w:b/>
                <w:sz w:val="18"/>
                <w:szCs w:val="18"/>
              </w:rPr>
            </w:pPr>
            <w:r w:rsidRPr="00577B2E">
              <w:rPr>
                <w:rFonts w:ascii="Arial Narrow" w:hAnsi="Arial Narrow"/>
                <w:b/>
                <w:sz w:val="18"/>
                <w:szCs w:val="18"/>
              </w:rPr>
              <w:t>OR (95% CI)</w:t>
            </w:r>
          </w:p>
        </w:tc>
      </w:tr>
      <w:tr w:rsidR="00285F0E" w:rsidRPr="00577B2E" w:rsidTr="00AA3262">
        <w:trPr>
          <w:trHeight w:val="170"/>
          <w:tblHeader/>
        </w:trPr>
        <w:tc>
          <w:tcPr>
            <w:tcW w:w="5000" w:type="pct"/>
            <w:gridSpan w:val="9"/>
            <w:shd w:val="clear" w:color="auto" w:fill="auto"/>
            <w:vAlign w:val="center"/>
          </w:tcPr>
          <w:p w:rsidR="00285F0E" w:rsidRPr="00577B2E" w:rsidRDefault="00285F0E" w:rsidP="00493F05">
            <w:pPr>
              <w:spacing w:before="0"/>
              <w:rPr>
                <w:rFonts w:ascii="Arial Narrow" w:hAnsi="Arial Narrow"/>
                <w:sz w:val="18"/>
                <w:szCs w:val="18"/>
                <w:vertAlign w:val="superscript"/>
              </w:rPr>
            </w:pPr>
            <w:r w:rsidRPr="00577B2E">
              <w:rPr>
                <w:rFonts w:ascii="Arial Narrow" w:hAnsi="Arial Narrow"/>
                <w:b/>
                <w:sz w:val="18"/>
                <w:szCs w:val="18"/>
              </w:rPr>
              <w:t>Budesonide CR Wk8</w:t>
            </w:r>
          </w:p>
        </w:tc>
      </w:tr>
      <w:tr w:rsidR="00285F0E" w:rsidRPr="00577B2E" w:rsidTr="00AA3262">
        <w:trPr>
          <w:trHeight w:val="170"/>
        </w:trPr>
        <w:tc>
          <w:tcPr>
            <w:tcW w:w="1259" w:type="pct"/>
            <w:shd w:val="clear" w:color="auto" w:fill="auto"/>
            <w:vAlign w:val="center"/>
          </w:tcPr>
          <w:p w:rsidR="00285F0E" w:rsidRPr="00FA62CA" w:rsidRDefault="00285F0E" w:rsidP="00493F05">
            <w:pPr>
              <w:spacing w:before="0"/>
              <w:rPr>
                <w:rFonts w:ascii="Arial Narrow" w:hAnsi="Arial Narrow"/>
                <w:sz w:val="18"/>
                <w:szCs w:val="18"/>
                <w:vertAlign w:val="superscript"/>
              </w:rPr>
            </w:pPr>
            <w:r w:rsidRPr="00FA62CA">
              <w:rPr>
                <w:rFonts w:ascii="Arial Narrow" w:hAnsi="Arial Narrow"/>
                <w:sz w:val="18"/>
                <w:szCs w:val="18"/>
              </w:rPr>
              <w:t>CORE I</w:t>
            </w:r>
            <w:r w:rsidRPr="00FA62CA">
              <w:rPr>
                <w:rFonts w:ascii="Arial Narrow" w:hAnsi="Arial Narrow"/>
                <w:sz w:val="18"/>
                <w:szCs w:val="18"/>
                <w:vertAlign w:val="superscript"/>
              </w:rPr>
              <w:t>1#</w:t>
            </w:r>
          </w:p>
        </w:tc>
        <w:tc>
          <w:tcPr>
            <w:tcW w:w="748" w:type="pct"/>
            <w:shd w:val="clear" w:color="auto" w:fill="auto"/>
            <w:vAlign w:val="center"/>
          </w:tcPr>
          <w:p w:rsidR="00285F0E" w:rsidRPr="00F82904" w:rsidRDefault="00F82904" w:rsidP="00493F05">
            <w:pPr>
              <w:spacing w:before="0"/>
              <w:jc w:val="center"/>
              <w:rPr>
                <w:rFonts w:ascii="Arial Narrow" w:hAnsi="Arial Narrow"/>
                <w:sz w:val="18"/>
                <w:szCs w:val="18"/>
                <w:highlight w:val="black"/>
              </w:rPr>
            </w:pPr>
            <w:r>
              <w:rPr>
                <w:rFonts w:ascii="Arial Narrow" w:hAnsi="Arial Narrow"/>
                <w:noProof/>
                <w:color w:val="000000"/>
                <w:sz w:val="18"/>
                <w:szCs w:val="18"/>
                <w:highlight w:val="black"/>
              </w:rPr>
              <w:t>''''''''''''''''' '''''''''''''</w:t>
            </w:r>
          </w:p>
        </w:tc>
        <w:tc>
          <w:tcPr>
            <w:tcW w:w="748" w:type="pct"/>
            <w:gridSpan w:val="2"/>
            <w:shd w:val="clear" w:color="auto" w:fill="auto"/>
            <w:vAlign w:val="center"/>
          </w:tcPr>
          <w:p w:rsidR="00285F0E" w:rsidRPr="00F82904" w:rsidRDefault="00F82904" w:rsidP="00493F05">
            <w:pPr>
              <w:spacing w:before="0"/>
              <w:jc w:val="center"/>
              <w:rPr>
                <w:rFonts w:ascii="Arial Narrow" w:hAnsi="Arial Narrow"/>
                <w:sz w:val="18"/>
                <w:szCs w:val="18"/>
                <w:highlight w:val="black"/>
              </w:rPr>
            </w:pPr>
            <w:r>
              <w:rPr>
                <w:rFonts w:ascii="Arial Narrow" w:hAnsi="Arial Narrow"/>
                <w:noProof/>
                <w:color w:val="000000"/>
                <w:sz w:val="18"/>
                <w:szCs w:val="18"/>
                <w:highlight w:val="black"/>
              </w:rPr>
              <w:t>'''''''''''''''' '''''''''''''</w:t>
            </w:r>
          </w:p>
        </w:tc>
        <w:tc>
          <w:tcPr>
            <w:tcW w:w="749" w:type="pct"/>
            <w:gridSpan w:val="2"/>
            <w:tcBorders>
              <w:bottom w:val="single" w:sz="4" w:space="0" w:color="auto"/>
            </w:tcBorders>
            <w:shd w:val="clear" w:color="auto" w:fill="auto"/>
            <w:vAlign w:val="center"/>
          </w:tcPr>
          <w:p w:rsidR="00285F0E" w:rsidRPr="00F82904" w:rsidRDefault="00F82904" w:rsidP="00493F05">
            <w:pPr>
              <w:spacing w:before="0"/>
              <w:jc w:val="center"/>
              <w:rPr>
                <w:rFonts w:ascii="Arial Narrow" w:hAnsi="Arial Narrow"/>
                <w:sz w:val="18"/>
                <w:szCs w:val="18"/>
                <w:highlight w:val="black"/>
              </w:rPr>
            </w:pPr>
            <w:r>
              <w:rPr>
                <w:rFonts w:ascii="Arial Narrow" w:hAnsi="Arial Narrow"/>
                <w:noProof/>
                <w:color w:val="000000"/>
                <w:sz w:val="18"/>
                <w:szCs w:val="18"/>
                <w:highlight w:val="black"/>
              </w:rPr>
              <w:t>'''''''''' ''''''''''''''''''''''''</w:t>
            </w:r>
          </w:p>
        </w:tc>
        <w:tc>
          <w:tcPr>
            <w:tcW w:w="748" w:type="pct"/>
            <w:gridSpan w:val="2"/>
            <w:tcBorders>
              <w:bottom w:val="single" w:sz="4" w:space="0" w:color="auto"/>
            </w:tcBorders>
            <w:shd w:val="clear" w:color="auto" w:fill="auto"/>
            <w:vAlign w:val="center"/>
          </w:tcPr>
          <w:p w:rsidR="00285F0E" w:rsidRPr="00F82904" w:rsidRDefault="00F82904" w:rsidP="00493F05">
            <w:pPr>
              <w:spacing w:before="0"/>
              <w:jc w:val="center"/>
              <w:rPr>
                <w:rFonts w:ascii="Arial Narrow" w:hAnsi="Arial Narrow"/>
                <w:sz w:val="18"/>
                <w:szCs w:val="18"/>
                <w:highlight w:val="black"/>
              </w:rPr>
            </w:pPr>
            <w:r>
              <w:rPr>
                <w:rFonts w:ascii="Arial Narrow" w:hAnsi="Arial Narrow"/>
                <w:noProof/>
                <w:color w:val="000000"/>
                <w:sz w:val="18"/>
                <w:szCs w:val="18"/>
                <w:highlight w:val="black"/>
              </w:rPr>
              <w:t>'''''''''''' '''''''''''''''''''''''''''</w:t>
            </w:r>
          </w:p>
        </w:tc>
        <w:tc>
          <w:tcPr>
            <w:tcW w:w="748" w:type="pct"/>
            <w:tcBorders>
              <w:bottom w:val="single" w:sz="4" w:space="0" w:color="auto"/>
            </w:tcBorders>
            <w:shd w:val="clear" w:color="auto" w:fill="auto"/>
            <w:vAlign w:val="center"/>
          </w:tcPr>
          <w:p w:rsidR="00285F0E" w:rsidRPr="00F82904" w:rsidRDefault="00F82904" w:rsidP="00493F05">
            <w:pPr>
              <w:spacing w:before="0"/>
              <w:jc w:val="center"/>
              <w:rPr>
                <w:rFonts w:ascii="Arial Narrow" w:hAnsi="Arial Narrow"/>
                <w:sz w:val="18"/>
                <w:szCs w:val="18"/>
                <w:highlight w:val="black"/>
              </w:rPr>
            </w:pPr>
            <w:r>
              <w:rPr>
                <w:rFonts w:ascii="Arial Narrow" w:eastAsia="Calibri" w:hAnsi="Arial Narrow" w:cs="Arial"/>
                <w:noProof/>
                <w:color w:val="000000"/>
                <w:sz w:val="18"/>
                <w:szCs w:val="18"/>
                <w:highlight w:val="black"/>
              </w:rPr>
              <w:t>''''''''''' '''''''''''''''''''''''''</w:t>
            </w:r>
          </w:p>
        </w:tc>
      </w:tr>
      <w:tr w:rsidR="00285F0E" w:rsidRPr="00577B2E" w:rsidTr="00AA3262">
        <w:trPr>
          <w:trHeight w:val="170"/>
        </w:trPr>
        <w:tc>
          <w:tcPr>
            <w:tcW w:w="1259" w:type="pct"/>
            <w:shd w:val="clear" w:color="auto" w:fill="auto"/>
            <w:vAlign w:val="center"/>
          </w:tcPr>
          <w:p w:rsidR="00285F0E" w:rsidRPr="00FA62CA" w:rsidRDefault="00285F0E" w:rsidP="00493F05">
            <w:pPr>
              <w:spacing w:before="0"/>
              <w:rPr>
                <w:rFonts w:ascii="Arial Narrow" w:hAnsi="Arial Narrow"/>
                <w:sz w:val="18"/>
                <w:szCs w:val="18"/>
                <w:vertAlign w:val="superscript"/>
              </w:rPr>
            </w:pPr>
            <w:r w:rsidRPr="00FA62CA">
              <w:rPr>
                <w:rFonts w:ascii="Arial Narrow" w:hAnsi="Arial Narrow"/>
                <w:sz w:val="18"/>
                <w:szCs w:val="18"/>
              </w:rPr>
              <w:t>CORE II</w:t>
            </w:r>
            <w:r w:rsidRPr="00FA62CA">
              <w:rPr>
                <w:rFonts w:ascii="Arial Narrow" w:hAnsi="Arial Narrow"/>
                <w:sz w:val="18"/>
                <w:szCs w:val="18"/>
                <w:vertAlign w:val="superscript"/>
              </w:rPr>
              <w:t>1#</w:t>
            </w:r>
          </w:p>
        </w:tc>
        <w:tc>
          <w:tcPr>
            <w:tcW w:w="748" w:type="pct"/>
            <w:shd w:val="clear" w:color="auto" w:fill="auto"/>
            <w:vAlign w:val="center"/>
          </w:tcPr>
          <w:p w:rsidR="00285F0E" w:rsidRPr="00F82904" w:rsidRDefault="00F82904" w:rsidP="00493F05">
            <w:pPr>
              <w:spacing w:before="0"/>
              <w:jc w:val="center"/>
              <w:rPr>
                <w:rFonts w:ascii="Arial Narrow" w:hAnsi="Arial Narrow"/>
                <w:sz w:val="18"/>
                <w:szCs w:val="18"/>
                <w:highlight w:val="black"/>
              </w:rPr>
            </w:pPr>
            <w:r>
              <w:rPr>
                <w:rFonts w:ascii="Arial Narrow" w:hAnsi="Arial Narrow"/>
                <w:noProof/>
                <w:color w:val="000000"/>
                <w:sz w:val="18"/>
                <w:szCs w:val="18"/>
                <w:highlight w:val="black"/>
              </w:rPr>
              <w:t>''''''''''''''''' '''''''''''''</w:t>
            </w:r>
          </w:p>
        </w:tc>
        <w:tc>
          <w:tcPr>
            <w:tcW w:w="748" w:type="pct"/>
            <w:gridSpan w:val="2"/>
            <w:shd w:val="clear" w:color="auto" w:fill="auto"/>
            <w:vAlign w:val="center"/>
          </w:tcPr>
          <w:p w:rsidR="00285F0E" w:rsidRPr="00F82904" w:rsidRDefault="00F82904" w:rsidP="00493F05">
            <w:pPr>
              <w:spacing w:before="0"/>
              <w:jc w:val="center"/>
              <w:rPr>
                <w:rFonts w:ascii="Arial Narrow" w:hAnsi="Arial Narrow"/>
                <w:sz w:val="18"/>
                <w:szCs w:val="18"/>
                <w:highlight w:val="black"/>
              </w:rPr>
            </w:pPr>
            <w:r>
              <w:rPr>
                <w:rFonts w:ascii="Arial Narrow" w:hAnsi="Arial Narrow"/>
                <w:noProof/>
                <w:color w:val="000000"/>
                <w:sz w:val="18"/>
                <w:szCs w:val="18"/>
                <w:highlight w:val="black"/>
              </w:rPr>
              <w:t>''''''''''''' '''''''''''''</w:t>
            </w:r>
          </w:p>
        </w:tc>
        <w:tc>
          <w:tcPr>
            <w:tcW w:w="749" w:type="pct"/>
            <w:gridSpan w:val="2"/>
            <w:tcBorders>
              <w:bottom w:val="single" w:sz="4" w:space="0" w:color="auto"/>
            </w:tcBorders>
            <w:shd w:val="clear" w:color="auto" w:fill="auto"/>
            <w:vAlign w:val="center"/>
          </w:tcPr>
          <w:p w:rsidR="00285F0E" w:rsidRPr="00F82904" w:rsidRDefault="00F82904" w:rsidP="00493F05">
            <w:pPr>
              <w:spacing w:before="0"/>
              <w:jc w:val="center"/>
              <w:rPr>
                <w:rFonts w:ascii="Arial Narrow" w:hAnsi="Arial Narrow"/>
                <w:sz w:val="18"/>
                <w:szCs w:val="18"/>
                <w:highlight w:val="black"/>
              </w:rPr>
            </w:pPr>
            <w:r>
              <w:rPr>
                <w:rFonts w:ascii="Arial Narrow" w:hAnsi="Arial Narrow"/>
                <w:noProof/>
                <w:color w:val="000000"/>
                <w:sz w:val="18"/>
                <w:szCs w:val="18"/>
                <w:highlight w:val="black"/>
              </w:rPr>
              <w:t>'''''''''' ''''''''''''''''''''''''</w:t>
            </w:r>
          </w:p>
        </w:tc>
        <w:tc>
          <w:tcPr>
            <w:tcW w:w="748" w:type="pct"/>
            <w:gridSpan w:val="2"/>
            <w:tcBorders>
              <w:bottom w:val="single" w:sz="4" w:space="0" w:color="auto"/>
            </w:tcBorders>
            <w:shd w:val="clear" w:color="auto" w:fill="auto"/>
            <w:vAlign w:val="center"/>
          </w:tcPr>
          <w:p w:rsidR="00285F0E" w:rsidRPr="00F82904" w:rsidRDefault="00F82904" w:rsidP="00493F05">
            <w:pPr>
              <w:spacing w:before="0"/>
              <w:jc w:val="center"/>
              <w:rPr>
                <w:rFonts w:ascii="Arial Narrow" w:hAnsi="Arial Narrow"/>
                <w:sz w:val="18"/>
                <w:szCs w:val="18"/>
                <w:highlight w:val="black"/>
              </w:rPr>
            </w:pPr>
            <w:r>
              <w:rPr>
                <w:rFonts w:ascii="Arial Narrow" w:hAnsi="Arial Narrow"/>
                <w:noProof/>
                <w:color w:val="000000"/>
                <w:sz w:val="18"/>
                <w:szCs w:val="18"/>
                <w:highlight w:val="black"/>
              </w:rPr>
              <w:t>''''''''''' '''''''''''''''''''''''''</w:t>
            </w:r>
          </w:p>
        </w:tc>
        <w:tc>
          <w:tcPr>
            <w:tcW w:w="748" w:type="pct"/>
            <w:tcBorders>
              <w:bottom w:val="single" w:sz="4" w:space="0" w:color="auto"/>
            </w:tcBorders>
            <w:shd w:val="clear" w:color="auto" w:fill="auto"/>
            <w:vAlign w:val="center"/>
          </w:tcPr>
          <w:p w:rsidR="00285F0E" w:rsidRPr="00F82904" w:rsidRDefault="00F82904" w:rsidP="00493F05">
            <w:pPr>
              <w:spacing w:before="0"/>
              <w:jc w:val="center"/>
              <w:rPr>
                <w:rFonts w:ascii="Arial Narrow" w:hAnsi="Arial Narrow"/>
                <w:sz w:val="18"/>
                <w:szCs w:val="18"/>
                <w:highlight w:val="black"/>
              </w:rPr>
            </w:pPr>
            <w:r>
              <w:rPr>
                <w:rFonts w:ascii="Arial Narrow" w:hAnsi="Arial Narrow"/>
                <w:noProof/>
                <w:color w:val="000000"/>
                <w:sz w:val="18"/>
                <w:szCs w:val="18"/>
                <w:highlight w:val="black"/>
              </w:rPr>
              <w:t>''''''''''' '''''''''''''''''''''''''</w:t>
            </w:r>
          </w:p>
        </w:tc>
      </w:tr>
      <w:tr w:rsidR="00285F0E" w:rsidRPr="00577B2E" w:rsidTr="00AA3262">
        <w:trPr>
          <w:trHeight w:val="170"/>
        </w:trPr>
        <w:tc>
          <w:tcPr>
            <w:tcW w:w="1259" w:type="pct"/>
            <w:shd w:val="clear" w:color="auto" w:fill="auto"/>
            <w:vAlign w:val="center"/>
          </w:tcPr>
          <w:p w:rsidR="00285F0E" w:rsidRPr="00577B2E" w:rsidRDefault="00285F0E" w:rsidP="00493F05">
            <w:pPr>
              <w:spacing w:before="0"/>
              <w:rPr>
                <w:rFonts w:ascii="Arial Narrow" w:hAnsi="Arial Narrow"/>
                <w:sz w:val="18"/>
                <w:szCs w:val="18"/>
                <w:vertAlign w:val="superscript"/>
              </w:rPr>
            </w:pPr>
            <w:r w:rsidRPr="00577B2E">
              <w:rPr>
                <w:rFonts w:ascii="Arial Narrow" w:hAnsi="Arial Narrow"/>
                <w:sz w:val="18"/>
                <w:szCs w:val="18"/>
              </w:rPr>
              <w:t>CONTRIBUTE</w:t>
            </w:r>
            <w:r w:rsidRPr="00577B2E">
              <w:rPr>
                <w:rFonts w:ascii="Arial Narrow" w:hAnsi="Arial Narrow"/>
                <w:sz w:val="18"/>
                <w:szCs w:val="18"/>
                <w:vertAlign w:val="superscript"/>
              </w:rPr>
              <w:t>1</w:t>
            </w:r>
          </w:p>
        </w:tc>
        <w:tc>
          <w:tcPr>
            <w:tcW w:w="748" w:type="pct"/>
            <w:shd w:val="clear" w:color="auto" w:fill="auto"/>
            <w:vAlign w:val="center"/>
          </w:tcPr>
          <w:p w:rsidR="00285F0E" w:rsidRPr="00F82904" w:rsidRDefault="00F82904" w:rsidP="00493F05">
            <w:pPr>
              <w:spacing w:before="0"/>
              <w:jc w:val="center"/>
              <w:rPr>
                <w:rFonts w:ascii="Arial Narrow" w:hAnsi="Arial Narrow"/>
                <w:sz w:val="18"/>
                <w:szCs w:val="18"/>
                <w:highlight w:val="black"/>
              </w:rPr>
            </w:pPr>
            <w:r>
              <w:rPr>
                <w:rFonts w:ascii="Arial Narrow" w:hAnsi="Arial Narrow"/>
                <w:noProof/>
                <w:color w:val="000000"/>
                <w:sz w:val="18"/>
                <w:szCs w:val="18"/>
                <w:highlight w:val="black"/>
              </w:rPr>
              <w:t>'''''''''''''''' '''''''''''''</w:t>
            </w:r>
          </w:p>
        </w:tc>
        <w:tc>
          <w:tcPr>
            <w:tcW w:w="748" w:type="pct"/>
            <w:gridSpan w:val="2"/>
            <w:shd w:val="clear" w:color="auto" w:fill="auto"/>
            <w:vAlign w:val="center"/>
          </w:tcPr>
          <w:p w:rsidR="00285F0E" w:rsidRPr="00F82904" w:rsidRDefault="00F82904" w:rsidP="00493F05">
            <w:pPr>
              <w:spacing w:before="0"/>
              <w:jc w:val="center"/>
              <w:rPr>
                <w:rFonts w:ascii="Arial Narrow" w:hAnsi="Arial Narrow"/>
                <w:sz w:val="18"/>
                <w:szCs w:val="18"/>
                <w:highlight w:val="black"/>
              </w:rPr>
            </w:pPr>
            <w:r>
              <w:rPr>
                <w:rFonts w:ascii="Arial Narrow" w:hAnsi="Arial Narrow"/>
                <w:noProof/>
                <w:color w:val="000000"/>
                <w:sz w:val="18"/>
                <w:szCs w:val="18"/>
                <w:highlight w:val="black"/>
              </w:rPr>
              <w:t>''''''''''''''''' '''''''''''''''</w:t>
            </w:r>
          </w:p>
        </w:tc>
        <w:tc>
          <w:tcPr>
            <w:tcW w:w="749" w:type="pct"/>
            <w:gridSpan w:val="2"/>
            <w:tcBorders>
              <w:bottom w:val="single" w:sz="4" w:space="0" w:color="auto"/>
              <w:right w:val="single" w:sz="4" w:space="0" w:color="auto"/>
            </w:tcBorders>
            <w:shd w:val="clear" w:color="auto" w:fill="auto"/>
            <w:vAlign w:val="center"/>
          </w:tcPr>
          <w:p w:rsidR="00285F0E" w:rsidRPr="00F82904" w:rsidRDefault="00F82904" w:rsidP="00493F05">
            <w:pPr>
              <w:spacing w:before="0"/>
              <w:jc w:val="center"/>
              <w:rPr>
                <w:rFonts w:ascii="Arial Narrow" w:hAnsi="Arial Narrow"/>
                <w:b/>
                <w:sz w:val="18"/>
                <w:szCs w:val="18"/>
                <w:highlight w:val="black"/>
              </w:rPr>
            </w:pPr>
            <w:r>
              <w:rPr>
                <w:rFonts w:ascii="Arial Narrow" w:hAnsi="Arial Narrow"/>
                <w:b/>
                <w:noProof/>
                <w:color w:val="000000"/>
                <w:sz w:val="18"/>
                <w:szCs w:val="18"/>
                <w:highlight w:val="black"/>
              </w:rPr>
              <w:t>''''''''' ''''''''''''''''''''</w:t>
            </w:r>
          </w:p>
        </w:tc>
        <w:tc>
          <w:tcPr>
            <w:tcW w:w="748" w:type="pct"/>
            <w:gridSpan w:val="2"/>
            <w:tcBorders>
              <w:bottom w:val="single" w:sz="4" w:space="0" w:color="auto"/>
              <w:right w:val="single" w:sz="4" w:space="0" w:color="auto"/>
            </w:tcBorders>
            <w:shd w:val="clear" w:color="auto" w:fill="auto"/>
            <w:vAlign w:val="center"/>
          </w:tcPr>
          <w:p w:rsidR="00285F0E" w:rsidRPr="00F82904" w:rsidRDefault="00F82904" w:rsidP="00493F05">
            <w:pPr>
              <w:spacing w:before="0"/>
              <w:jc w:val="center"/>
              <w:rPr>
                <w:rFonts w:ascii="Arial Narrow" w:hAnsi="Arial Narrow"/>
                <w:b/>
                <w:sz w:val="18"/>
                <w:szCs w:val="18"/>
                <w:highlight w:val="black"/>
              </w:rPr>
            </w:pPr>
            <w:r>
              <w:rPr>
                <w:rFonts w:ascii="Arial Narrow" w:hAnsi="Arial Narrow"/>
                <w:b/>
                <w:noProof/>
                <w:color w:val="000000"/>
                <w:sz w:val="18"/>
                <w:szCs w:val="18"/>
                <w:highlight w:val="black"/>
              </w:rPr>
              <w:t>''''''''' ''''''''''''''''''''</w:t>
            </w:r>
          </w:p>
        </w:tc>
        <w:tc>
          <w:tcPr>
            <w:tcW w:w="748" w:type="pct"/>
            <w:tcBorders>
              <w:bottom w:val="single" w:sz="4" w:space="0" w:color="auto"/>
            </w:tcBorders>
            <w:shd w:val="clear" w:color="auto" w:fill="auto"/>
            <w:vAlign w:val="center"/>
          </w:tcPr>
          <w:p w:rsidR="00285F0E" w:rsidRPr="00F82904" w:rsidRDefault="00F82904" w:rsidP="00493F05">
            <w:pPr>
              <w:spacing w:before="0"/>
              <w:jc w:val="center"/>
              <w:rPr>
                <w:rFonts w:ascii="Arial Narrow" w:hAnsi="Arial Narrow"/>
                <w:b/>
                <w:sz w:val="18"/>
                <w:szCs w:val="18"/>
                <w:highlight w:val="black"/>
              </w:rPr>
            </w:pPr>
            <w:r>
              <w:rPr>
                <w:rFonts w:ascii="Arial Narrow" w:hAnsi="Arial Narrow"/>
                <w:b/>
                <w:noProof/>
                <w:color w:val="000000"/>
                <w:sz w:val="18"/>
                <w:szCs w:val="18"/>
                <w:highlight w:val="black"/>
              </w:rPr>
              <w:t>'''''''''' '''''''''''''''''''''''</w:t>
            </w:r>
          </w:p>
        </w:tc>
      </w:tr>
      <w:tr w:rsidR="00285F0E" w:rsidRPr="00577B2E" w:rsidTr="00AA3262">
        <w:trPr>
          <w:trHeight w:val="170"/>
        </w:trPr>
        <w:tc>
          <w:tcPr>
            <w:tcW w:w="1259" w:type="pct"/>
            <w:shd w:val="clear" w:color="auto" w:fill="auto"/>
            <w:vAlign w:val="center"/>
          </w:tcPr>
          <w:p w:rsidR="00285F0E" w:rsidRPr="00577B2E" w:rsidRDefault="00285F0E" w:rsidP="00493F05">
            <w:pPr>
              <w:spacing w:before="0"/>
              <w:jc w:val="right"/>
              <w:rPr>
                <w:rFonts w:ascii="Arial Narrow" w:hAnsi="Arial Narrow"/>
                <w:sz w:val="18"/>
                <w:szCs w:val="18"/>
              </w:rPr>
            </w:pPr>
            <w:r w:rsidRPr="00577B2E">
              <w:rPr>
                <w:rFonts w:ascii="Arial Narrow" w:hAnsi="Arial Narrow"/>
                <w:sz w:val="18"/>
                <w:szCs w:val="18"/>
              </w:rPr>
              <w:t>Meta-analysis</w:t>
            </w:r>
          </w:p>
        </w:tc>
        <w:tc>
          <w:tcPr>
            <w:tcW w:w="748" w:type="pct"/>
            <w:shd w:val="clear" w:color="auto" w:fill="auto"/>
            <w:vAlign w:val="center"/>
          </w:tcPr>
          <w:p w:rsidR="00285F0E" w:rsidRPr="00F82904" w:rsidRDefault="00F82904" w:rsidP="00493F05">
            <w:pPr>
              <w:spacing w:before="0"/>
              <w:jc w:val="center"/>
              <w:rPr>
                <w:rFonts w:ascii="Arial Narrow" w:hAnsi="Arial Narrow"/>
                <w:sz w:val="18"/>
                <w:szCs w:val="18"/>
                <w:highlight w:val="black"/>
              </w:rPr>
            </w:pPr>
            <w:r>
              <w:rPr>
                <w:rFonts w:ascii="Arial Narrow" w:hAnsi="Arial Narrow"/>
                <w:noProof/>
                <w:color w:val="000000"/>
                <w:sz w:val="18"/>
                <w:szCs w:val="18"/>
                <w:highlight w:val="black"/>
              </w:rPr>
              <w:t>''''''''''''''''''''' '''''''''''''''</w:t>
            </w:r>
          </w:p>
        </w:tc>
        <w:tc>
          <w:tcPr>
            <w:tcW w:w="748" w:type="pct"/>
            <w:gridSpan w:val="2"/>
            <w:shd w:val="clear" w:color="auto" w:fill="auto"/>
            <w:vAlign w:val="center"/>
          </w:tcPr>
          <w:p w:rsidR="00285F0E" w:rsidRPr="00F82904" w:rsidRDefault="00F82904" w:rsidP="00493F05">
            <w:pPr>
              <w:spacing w:before="0"/>
              <w:jc w:val="center"/>
              <w:rPr>
                <w:rFonts w:ascii="Arial Narrow" w:hAnsi="Arial Narrow"/>
                <w:sz w:val="18"/>
                <w:szCs w:val="18"/>
                <w:highlight w:val="black"/>
              </w:rPr>
            </w:pPr>
            <w:r>
              <w:rPr>
                <w:rFonts w:ascii="Arial Narrow" w:hAnsi="Arial Narrow"/>
                <w:noProof/>
                <w:color w:val="000000"/>
                <w:sz w:val="18"/>
                <w:szCs w:val="18"/>
                <w:highlight w:val="black"/>
              </w:rPr>
              <w:t>''''''''''''''''' '''''''''''''''</w:t>
            </w:r>
          </w:p>
        </w:tc>
        <w:tc>
          <w:tcPr>
            <w:tcW w:w="749" w:type="pct"/>
            <w:gridSpan w:val="2"/>
            <w:tcBorders>
              <w:right w:val="single" w:sz="4" w:space="0" w:color="auto"/>
            </w:tcBorders>
            <w:shd w:val="clear" w:color="auto" w:fill="auto"/>
            <w:vAlign w:val="center"/>
          </w:tcPr>
          <w:p w:rsidR="00285F0E" w:rsidRPr="00F82904" w:rsidRDefault="00F82904" w:rsidP="00493F05">
            <w:pPr>
              <w:spacing w:before="0"/>
              <w:jc w:val="center"/>
              <w:rPr>
                <w:rFonts w:ascii="Arial Narrow" w:hAnsi="Arial Narrow"/>
                <w:b/>
                <w:sz w:val="18"/>
                <w:szCs w:val="18"/>
                <w:highlight w:val="black"/>
              </w:rPr>
            </w:pPr>
            <w:r>
              <w:rPr>
                <w:rFonts w:ascii="Arial Narrow" w:hAnsi="Arial Narrow"/>
                <w:b/>
                <w:noProof/>
                <w:color w:val="000000"/>
                <w:sz w:val="18"/>
                <w:szCs w:val="18"/>
                <w:highlight w:val="black"/>
              </w:rPr>
              <w:t>'''''''' '''''''''''''''''''</w:t>
            </w:r>
          </w:p>
        </w:tc>
        <w:tc>
          <w:tcPr>
            <w:tcW w:w="748" w:type="pct"/>
            <w:gridSpan w:val="2"/>
            <w:tcBorders>
              <w:right w:val="single" w:sz="4" w:space="0" w:color="auto"/>
            </w:tcBorders>
            <w:shd w:val="clear" w:color="auto" w:fill="auto"/>
            <w:vAlign w:val="center"/>
          </w:tcPr>
          <w:p w:rsidR="00285F0E" w:rsidRPr="00F82904" w:rsidRDefault="00F82904" w:rsidP="00493F05">
            <w:pPr>
              <w:spacing w:before="0"/>
              <w:jc w:val="center"/>
              <w:rPr>
                <w:rFonts w:ascii="Arial Narrow" w:hAnsi="Arial Narrow"/>
                <w:b/>
                <w:sz w:val="18"/>
                <w:szCs w:val="18"/>
                <w:highlight w:val="black"/>
              </w:rPr>
            </w:pPr>
            <w:r>
              <w:rPr>
                <w:rFonts w:ascii="Arial Narrow" w:hAnsi="Arial Narrow"/>
                <w:b/>
                <w:noProof/>
                <w:color w:val="000000"/>
                <w:sz w:val="18"/>
                <w:szCs w:val="18"/>
                <w:highlight w:val="black"/>
              </w:rPr>
              <w:t>'''''''' '''''''''''''''''''''''</w:t>
            </w:r>
          </w:p>
        </w:tc>
        <w:tc>
          <w:tcPr>
            <w:tcW w:w="748" w:type="pct"/>
            <w:tcBorders>
              <w:right w:val="single" w:sz="4" w:space="0" w:color="auto"/>
            </w:tcBorders>
            <w:shd w:val="clear" w:color="auto" w:fill="auto"/>
            <w:vAlign w:val="center"/>
          </w:tcPr>
          <w:p w:rsidR="00285F0E" w:rsidRPr="00F82904" w:rsidRDefault="00F82904" w:rsidP="00493F05">
            <w:pPr>
              <w:spacing w:before="0"/>
              <w:jc w:val="center"/>
              <w:rPr>
                <w:rFonts w:ascii="Arial Narrow" w:hAnsi="Arial Narrow"/>
                <w:b/>
                <w:sz w:val="18"/>
                <w:szCs w:val="18"/>
                <w:highlight w:val="black"/>
              </w:rPr>
            </w:pPr>
            <w:r>
              <w:rPr>
                <w:rFonts w:ascii="Arial Narrow" w:hAnsi="Arial Narrow"/>
                <w:b/>
                <w:noProof/>
                <w:color w:val="000000"/>
                <w:sz w:val="18"/>
                <w:szCs w:val="18"/>
                <w:highlight w:val="black"/>
              </w:rPr>
              <w:t>''''''''' '''''''''''''''''''''''</w:t>
            </w:r>
          </w:p>
        </w:tc>
      </w:tr>
      <w:tr w:rsidR="00285F0E" w:rsidRPr="00577B2E" w:rsidTr="00AA3262">
        <w:trPr>
          <w:trHeight w:val="170"/>
        </w:trPr>
        <w:tc>
          <w:tcPr>
            <w:tcW w:w="5000" w:type="pct"/>
            <w:gridSpan w:val="9"/>
            <w:shd w:val="clear" w:color="auto" w:fill="auto"/>
            <w:vAlign w:val="center"/>
          </w:tcPr>
          <w:p w:rsidR="00285F0E" w:rsidRPr="00EB1766" w:rsidRDefault="00285F0E" w:rsidP="00493F05">
            <w:pPr>
              <w:spacing w:before="0"/>
              <w:rPr>
                <w:rFonts w:ascii="Arial Narrow" w:hAnsi="Arial Narrow"/>
                <w:b/>
                <w:sz w:val="18"/>
                <w:szCs w:val="18"/>
                <w:vertAlign w:val="superscript"/>
              </w:rPr>
            </w:pPr>
            <w:r w:rsidRPr="00EB1766">
              <w:rPr>
                <w:rFonts w:ascii="Arial Narrow" w:hAnsi="Arial Narrow"/>
                <w:b/>
                <w:sz w:val="18"/>
                <w:szCs w:val="18"/>
              </w:rPr>
              <w:t>CORE I and CORE II by extent of anatomical involvement</w:t>
            </w:r>
            <w:r w:rsidRPr="00EB1766">
              <w:rPr>
                <w:rFonts w:ascii="Arial Narrow" w:hAnsi="Arial Narrow"/>
                <w:b/>
                <w:sz w:val="18"/>
                <w:szCs w:val="18"/>
                <w:vertAlign w:val="superscript"/>
              </w:rPr>
              <w:t>#</w:t>
            </w:r>
          </w:p>
        </w:tc>
      </w:tr>
      <w:tr w:rsidR="00285F0E" w:rsidRPr="00577B2E" w:rsidTr="00AA3262">
        <w:trPr>
          <w:trHeight w:val="170"/>
        </w:trPr>
        <w:tc>
          <w:tcPr>
            <w:tcW w:w="1259" w:type="pct"/>
            <w:shd w:val="clear" w:color="auto" w:fill="auto"/>
            <w:vAlign w:val="center"/>
          </w:tcPr>
          <w:p w:rsidR="00285F0E" w:rsidRPr="00577B2E" w:rsidRDefault="00285F0E" w:rsidP="00493F05">
            <w:pPr>
              <w:spacing w:before="0"/>
              <w:rPr>
                <w:rFonts w:ascii="Arial Narrow" w:hAnsi="Arial Narrow"/>
                <w:sz w:val="18"/>
                <w:szCs w:val="18"/>
              </w:rPr>
            </w:pPr>
            <w:r w:rsidRPr="00577B2E">
              <w:rPr>
                <w:rFonts w:ascii="Arial Narrow" w:hAnsi="Arial Narrow"/>
                <w:sz w:val="18"/>
                <w:szCs w:val="18"/>
              </w:rPr>
              <w:t xml:space="preserve">Whole trial </w:t>
            </w:r>
            <w:r w:rsidRPr="00577B2E">
              <w:rPr>
                <w:rFonts w:ascii="Arial Narrow" w:hAnsi="Arial Narrow"/>
                <w:sz w:val="18"/>
                <w:szCs w:val="18"/>
                <w:vertAlign w:val="superscript"/>
              </w:rPr>
              <w:t>1</w:t>
            </w:r>
          </w:p>
        </w:tc>
        <w:tc>
          <w:tcPr>
            <w:tcW w:w="748" w:type="pct"/>
            <w:shd w:val="clear" w:color="auto" w:fill="auto"/>
            <w:vAlign w:val="center"/>
          </w:tcPr>
          <w:p w:rsidR="00285F0E" w:rsidRPr="00F82904" w:rsidRDefault="00F82904" w:rsidP="00493F05">
            <w:pPr>
              <w:spacing w:before="0"/>
              <w:jc w:val="center"/>
              <w:rPr>
                <w:rFonts w:ascii="Arial Narrow" w:hAnsi="Arial Narrow"/>
                <w:sz w:val="18"/>
                <w:szCs w:val="18"/>
                <w:highlight w:val="black"/>
              </w:rPr>
            </w:pPr>
            <w:r>
              <w:rPr>
                <w:rFonts w:ascii="Arial Narrow" w:hAnsi="Arial Narrow"/>
                <w:noProof/>
                <w:color w:val="000000"/>
                <w:sz w:val="18"/>
                <w:szCs w:val="18"/>
                <w:highlight w:val="black"/>
              </w:rPr>
              <w:t>''''''''''''''''' '''''''''''''''</w:t>
            </w:r>
          </w:p>
        </w:tc>
        <w:tc>
          <w:tcPr>
            <w:tcW w:w="748" w:type="pct"/>
            <w:gridSpan w:val="2"/>
            <w:shd w:val="clear" w:color="auto" w:fill="auto"/>
            <w:vAlign w:val="center"/>
          </w:tcPr>
          <w:p w:rsidR="00285F0E" w:rsidRPr="00F82904" w:rsidRDefault="00F82904" w:rsidP="00493F05">
            <w:pPr>
              <w:spacing w:before="0"/>
              <w:jc w:val="center"/>
              <w:rPr>
                <w:rFonts w:ascii="Arial Narrow" w:hAnsi="Arial Narrow"/>
                <w:sz w:val="18"/>
                <w:szCs w:val="18"/>
                <w:highlight w:val="black"/>
              </w:rPr>
            </w:pPr>
            <w:r>
              <w:rPr>
                <w:rFonts w:ascii="Arial Narrow" w:hAnsi="Arial Narrow"/>
                <w:noProof/>
                <w:color w:val="000000"/>
                <w:sz w:val="18"/>
                <w:szCs w:val="18"/>
                <w:highlight w:val="black"/>
              </w:rPr>
              <w:t>'''''''''''''''' ''''''''''''</w:t>
            </w:r>
          </w:p>
        </w:tc>
        <w:tc>
          <w:tcPr>
            <w:tcW w:w="749" w:type="pct"/>
            <w:gridSpan w:val="2"/>
            <w:shd w:val="clear" w:color="auto" w:fill="auto"/>
            <w:vAlign w:val="center"/>
          </w:tcPr>
          <w:p w:rsidR="00285F0E" w:rsidRPr="00F82904" w:rsidRDefault="00F82904" w:rsidP="00493F05">
            <w:pPr>
              <w:spacing w:before="0"/>
              <w:jc w:val="center"/>
              <w:rPr>
                <w:rFonts w:ascii="Arial Narrow" w:hAnsi="Arial Narrow"/>
                <w:b/>
                <w:sz w:val="18"/>
                <w:szCs w:val="18"/>
                <w:highlight w:val="black"/>
              </w:rPr>
            </w:pPr>
            <w:r>
              <w:rPr>
                <w:rFonts w:ascii="Arial Narrow" w:hAnsi="Arial Narrow"/>
                <w:b/>
                <w:noProof/>
                <w:color w:val="000000"/>
                <w:sz w:val="18"/>
                <w:szCs w:val="18"/>
                <w:highlight w:val="black"/>
              </w:rPr>
              <w:t>'''''''' '''''''''''''''''''''''</w:t>
            </w:r>
          </w:p>
        </w:tc>
        <w:tc>
          <w:tcPr>
            <w:tcW w:w="748" w:type="pct"/>
            <w:gridSpan w:val="2"/>
            <w:shd w:val="clear" w:color="auto" w:fill="auto"/>
            <w:vAlign w:val="center"/>
          </w:tcPr>
          <w:p w:rsidR="00285F0E" w:rsidRPr="00F82904" w:rsidRDefault="00F82904" w:rsidP="00493F05">
            <w:pPr>
              <w:spacing w:before="0"/>
              <w:jc w:val="center"/>
              <w:rPr>
                <w:rFonts w:ascii="Arial Narrow" w:hAnsi="Arial Narrow"/>
                <w:b/>
                <w:sz w:val="18"/>
                <w:szCs w:val="18"/>
                <w:highlight w:val="black"/>
              </w:rPr>
            </w:pPr>
            <w:r>
              <w:rPr>
                <w:rFonts w:ascii="Arial Narrow" w:hAnsi="Arial Narrow"/>
                <w:b/>
                <w:noProof/>
                <w:color w:val="000000"/>
                <w:sz w:val="18"/>
                <w:szCs w:val="18"/>
                <w:highlight w:val="black"/>
              </w:rPr>
              <w:t>''''''''' ''''''''''''''''''''</w:t>
            </w:r>
          </w:p>
        </w:tc>
        <w:tc>
          <w:tcPr>
            <w:tcW w:w="748" w:type="pct"/>
            <w:shd w:val="clear" w:color="auto" w:fill="auto"/>
            <w:vAlign w:val="center"/>
          </w:tcPr>
          <w:p w:rsidR="00285F0E" w:rsidRPr="00F82904" w:rsidRDefault="00F82904" w:rsidP="00493F05">
            <w:pPr>
              <w:spacing w:before="0"/>
              <w:jc w:val="center"/>
              <w:rPr>
                <w:rFonts w:ascii="Arial Narrow" w:hAnsi="Arial Narrow"/>
                <w:b/>
                <w:sz w:val="18"/>
                <w:szCs w:val="18"/>
                <w:highlight w:val="black"/>
              </w:rPr>
            </w:pPr>
            <w:r>
              <w:rPr>
                <w:rFonts w:ascii="Arial Narrow" w:hAnsi="Arial Narrow"/>
                <w:b/>
                <w:noProof/>
                <w:color w:val="000000"/>
                <w:sz w:val="18"/>
                <w:szCs w:val="18"/>
                <w:highlight w:val="black"/>
              </w:rPr>
              <w:t>'''''''' '''''''''''''''''''</w:t>
            </w:r>
          </w:p>
        </w:tc>
      </w:tr>
      <w:tr w:rsidR="00285F0E" w:rsidRPr="00577B2E" w:rsidTr="00AA3262">
        <w:trPr>
          <w:trHeight w:val="170"/>
        </w:trPr>
        <w:tc>
          <w:tcPr>
            <w:tcW w:w="1259" w:type="pct"/>
            <w:shd w:val="clear" w:color="auto" w:fill="auto"/>
            <w:vAlign w:val="center"/>
          </w:tcPr>
          <w:p w:rsidR="00285F0E" w:rsidRPr="00577B2E" w:rsidRDefault="00285F0E" w:rsidP="00493F05">
            <w:pPr>
              <w:spacing w:before="0"/>
              <w:rPr>
                <w:rFonts w:ascii="Arial Narrow" w:hAnsi="Arial Narrow"/>
                <w:sz w:val="18"/>
                <w:szCs w:val="18"/>
                <w:vertAlign w:val="superscript"/>
              </w:rPr>
            </w:pPr>
            <w:r w:rsidRPr="00577B2E">
              <w:rPr>
                <w:rFonts w:ascii="Arial Narrow" w:hAnsi="Arial Narrow"/>
                <w:sz w:val="18"/>
                <w:szCs w:val="18"/>
              </w:rPr>
              <w:t>Proctosigmoiditis or Distal colitis</w:t>
            </w:r>
            <w:r w:rsidRPr="00577B2E">
              <w:rPr>
                <w:rFonts w:ascii="Arial Narrow" w:hAnsi="Arial Narrow"/>
                <w:sz w:val="18"/>
                <w:szCs w:val="18"/>
                <w:vertAlign w:val="superscript"/>
              </w:rPr>
              <w:t>1</w:t>
            </w:r>
          </w:p>
        </w:tc>
        <w:tc>
          <w:tcPr>
            <w:tcW w:w="748" w:type="pct"/>
            <w:shd w:val="clear" w:color="auto" w:fill="auto"/>
            <w:vAlign w:val="center"/>
          </w:tcPr>
          <w:p w:rsidR="00285F0E" w:rsidRPr="00F82904" w:rsidRDefault="00F82904" w:rsidP="00493F05">
            <w:pPr>
              <w:spacing w:before="0"/>
              <w:jc w:val="center"/>
              <w:rPr>
                <w:rFonts w:ascii="Arial Narrow" w:hAnsi="Arial Narrow"/>
                <w:sz w:val="18"/>
                <w:szCs w:val="18"/>
                <w:highlight w:val="black"/>
              </w:rPr>
            </w:pPr>
            <w:r>
              <w:rPr>
                <w:rFonts w:ascii="Arial Narrow" w:hAnsi="Arial Narrow"/>
                <w:noProof/>
                <w:color w:val="000000"/>
                <w:sz w:val="18"/>
                <w:szCs w:val="18"/>
                <w:highlight w:val="black"/>
              </w:rPr>
              <w:t>''''''''''''''''' '''''''''''''''</w:t>
            </w:r>
          </w:p>
        </w:tc>
        <w:tc>
          <w:tcPr>
            <w:tcW w:w="748" w:type="pct"/>
            <w:gridSpan w:val="2"/>
            <w:shd w:val="clear" w:color="auto" w:fill="auto"/>
            <w:vAlign w:val="center"/>
          </w:tcPr>
          <w:p w:rsidR="00285F0E" w:rsidRPr="00F82904" w:rsidRDefault="00F82904" w:rsidP="00493F05">
            <w:pPr>
              <w:spacing w:before="0"/>
              <w:jc w:val="center"/>
              <w:rPr>
                <w:rFonts w:ascii="Arial Narrow" w:hAnsi="Arial Narrow"/>
                <w:sz w:val="18"/>
                <w:szCs w:val="18"/>
                <w:highlight w:val="black"/>
              </w:rPr>
            </w:pPr>
            <w:r>
              <w:rPr>
                <w:rFonts w:ascii="Arial Narrow" w:hAnsi="Arial Narrow"/>
                <w:noProof/>
                <w:color w:val="000000"/>
                <w:sz w:val="18"/>
                <w:szCs w:val="18"/>
                <w:highlight w:val="black"/>
              </w:rPr>
              <w:t>'''''''''''''''''' ''''''''''''''</w:t>
            </w:r>
          </w:p>
        </w:tc>
        <w:tc>
          <w:tcPr>
            <w:tcW w:w="749" w:type="pct"/>
            <w:gridSpan w:val="2"/>
            <w:shd w:val="clear" w:color="auto" w:fill="auto"/>
            <w:vAlign w:val="center"/>
          </w:tcPr>
          <w:p w:rsidR="00285F0E" w:rsidRPr="00F82904" w:rsidRDefault="00F82904" w:rsidP="00493F05">
            <w:pPr>
              <w:spacing w:before="0"/>
              <w:jc w:val="center"/>
              <w:rPr>
                <w:rFonts w:ascii="Arial Narrow" w:hAnsi="Arial Narrow"/>
                <w:b/>
                <w:sz w:val="18"/>
                <w:szCs w:val="18"/>
                <w:highlight w:val="black"/>
              </w:rPr>
            </w:pPr>
            <w:r>
              <w:rPr>
                <w:rFonts w:ascii="Arial Narrow" w:hAnsi="Arial Narrow"/>
                <w:b/>
                <w:noProof/>
                <w:color w:val="000000"/>
                <w:sz w:val="18"/>
                <w:szCs w:val="18"/>
                <w:highlight w:val="black"/>
              </w:rPr>
              <w:t>'''''''' '''''''''''''''''''''''</w:t>
            </w:r>
          </w:p>
        </w:tc>
        <w:tc>
          <w:tcPr>
            <w:tcW w:w="748" w:type="pct"/>
            <w:gridSpan w:val="2"/>
            <w:shd w:val="clear" w:color="auto" w:fill="auto"/>
            <w:vAlign w:val="center"/>
          </w:tcPr>
          <w:p w:rsidR="00285F0E" w:rsidRPr="00F82904" w:rsidRDefault="00F82904" w:rsidP="00493F05">
            <w:pPr>
              <w:spacing w:before="0"/>
              <w:jc w:val="center"/>
              <w:rPr>
                <w:rFonts w:ascii="Arial Narrow" w:hAnsi="Arial Narrow"/>
                <w:b/>
                <w:sz w:val="18"/>
                <w:szCs w:val="18"/>
                <w:highlight w:val="black"/>
              </w:rPr>
            </w:pPr>
            <w:r>
              <w:rPr>
                <w:rFonts w:ascii="Arial Narrow" w:hAnsi="Arial Narrow"/>
                <w:b/>
                <w:noProof/>
                <w:color w:val="000000"/>
                <w:sz w:val="18"/>
                <w:szCs w:val="18"/>
                <w:highlight w:val="black"/>
              </w:rPr>
              <w:t>'''''''''' '''''''''''''''''''''''</w:t>
            </w:r>
          </w:p>
        </w:tc>
        <w:tc>
          <w:tcPr>
            <w:tcW w:w="748" w:type="pct"/>
            <w:shd w:val="clear" w:color="auto" w:fill="auto"/>
            <w:vAlign w:val="center"/>
          </w:tcPr>
          <w:p w:rsidR="00285F0E" w:rsidRPr="00F82904" w:rsidRDefault="00F82904" w:rsidP="00493F05">
            <w:pPr>
              <w:spacing w:before="0"/>
              <w:jc w:val="center"/>
              <w:rPr>
                <w:rFonts w:ascii="Arial Narrow" w:hAnsi="Arial Narrow"/>
                <w:b/>
                <w:sz w:val="18"/>
                <w:szCs w:val="18"/>
                <w:highlight w:val="black"/>
              </w:rPr>
            </w:pPr>
            <w:r>
              <w:rPr>
                <w:rFonts w:ascii="Arial Narrow" w:hAnsi="Arial Narrow"/>
                <w:b/>
                <w:noProof/>
                <w:color w:val="000000"/>
                <w:sz w:val="18"/>
                <w:szCs w:val="18"/>
                <w:highlight w:val="black"/>
              </w:rPr>
              <w:t>''''''''' ''''''''''''''''''''</w:t>
            </w:r>
          </w:p>
        </w:tc>
      </w:tr>
      <w:tr w:rsidR="002A7144" w:rsidRPr="00577B2E" w:rsidTr="00AA3262">
        <w:trPr>
          <w:trHeight w:val="170"/>
        </w:trPr>
        <w:tc>
          <w:tcPr>
            <w:tcW w:w="1259" w:type="pct"/>
            <w:tcBorders>
              <w:bottom w:val="double" w:sz="4" w:space="0" w:color="auto"/>
            </w:tcBorders>
            <w:shd w:val="clear" w:color="auto" w:fill="auto"/>
            <w:vAlign w:val="center"/>
          </w:tcPr>
          <w:p w:rsidR="002A7144" w:rsidRPr="00577B2E" w:rsidRDefault="002A7144" w:rsidP="00493F05">
            <w:pPr>
              <w:spacing w:before="0"/>
              <w:rPr>
                <w:rFonts w:ascii="Arial Narrow" w:hAnsi="Arial Narrow"/>
                <w:sz w:val="18"/>
                <w:szCs w:val="18"/>
                <w:vertAlign w:val="superscript"/>
              </w:rPr>
            </w:pPr>
            <w:r w:rsidRPr="00577B2E">
              <w:rPr>
                <w:rFonts w:ascii="Arial Narrow" w:hAnsi="Arial Narrow"/>
                <w:sz w:val="18"/>
                <w:szCs w:val="18"/>
              </w:rPr>
              <w:t xml:space="preserve">Extensive or </w:t>
            </w:r>
            <w:proofErr w:type="spellStart"/>
            <w:r w:rsidRPr="00577B2E">
              <w:rPr>
                <w:rFonts w:ascii="Arial Narrow" w:hAnsi="Arial Narrow"/>
                <w:sz w:val="18"/>
                <w:szCs w:val="18"/>
              </w:rPr>
              <w:t>pancolitis</w:t>
            </w:r>
            <w:proofErr w:type="spellEnd"/>
            <w:r w:rsidRPr="00577B2E">
              <w:rPr>
                <w:rFonts w:ascii="Arial Narrow" w:hAnsi="Arial Narrow"/>
                <w:sz w:val="18"/>
                <w:szCs w:val="18"/>
              </w:rPr>
              <w:t xml:space="preserve"> </w:t>
            </w:r>
            <w:r w:rsidRPr="00577B2E">
              <w:rPr>
                <w:rFonts w:ascii="Arial Narrow" w:hAnsi="Arial Narrow"/>
                <w:sz w:val="18"/>
                <w:szCs w:val="18"/>
                <w:vertAlign w:val="superscript"/>
              </w:rPr>
              <w:t>1</w:t>
            </w:r>
          </w:p>
        </w:tc>
        <w:tc>
          <w:tcPr>
            <w:tcW w:w="748" w:type="pct"/>
            <w:tcBorders>
              <w:bottom w:val="double" w:sz="4" w:space="0" w:color="auto"/>
            </w:tcBorders>
            <w:shd w:val="clear" w:color="auto" w:fill="auto"/>
            <w:vAlign w:val="center"/>
          </w:tcPr>
          <w:p w:rsidR="002A7144" w:rsidRPr="00F82904" w:rsidRDefault="00F82904" w:rsidP="00493F05">
            <w:pPr>
              <w:spacing w:before="0"/>
              <w:jc w:val="center"/>
              <w:rPr>
                <w:rFonts w:ascii="Arial Narrow" w:hAnsi="Arial Narrow"/>
                <w:sz w:val="18"/>
                <w:szCs w:val="18"/>
                <w:highlight w:val="black"/>
              </w:rPr>
            </w:pPr>
            <w:r>
              <w:rPr>
                <w:rFonts w:ascii="Arial Narrow" w:hAnsi="Arial Narrow"/>
                <w:noProof/>
                <w:color w:val="000000"/>
                <w:sz w:val="18"/>
                <w:szCs w:val="18"/>
                <w:highlight w:val="black"/>
              </w:rPr>
              <w:t>''''''''''''' '''''''''''''</w:t>
            </w:r>
          </w:p>
        </w:tc>
        <w:tc>
          <w:tcPr>
            <w:tcW w:w="748" w:type="pct"/>
            <w:gridSpan w:val="2"/>
            <w:tcBorders>
              <w:bottom w:val="double" w:sz="4" w:space="0" w:color="auto"/>
            </w:tcBorders>
            <w:shd w:val="clear" w:color="auto" w:fill="auto"/>
            <w:vAlign w:val="center"/>
          </w:tcPr>
          <w:p w:rsidR="002A7144" w:rsidRPr="00F82904" w:rsidRDefault="00F82904" w:rsidP="00493F05">
            <w:pPr>
              <w:spacing w:before="0"/>
              <w:jc w:val="center"/>
              <w:rPr>
                <w:rFonts w:ascii="Arial Narrow" w:hAnsi="Arial Narrow"/>
                <w:sz w:val="18"/>
                <w:szCs w:val="18"/>
                <w:highlight w:val="black"/>
              </w:rPr>
            </w:pPr>
            <w:r>
              <w:rPr>
                <w:rFonts w:ascii="Arial Narrow" w:hAnsi="Arial Narrow"/>
                <w:noProof/>
                <w:color w:val="000000"/>
                <w:sz w:val="18"/>
                <w:szCs w:val="18"/>
                <w:highlight w:val="black"/>
              </w:rPr>
              <w:t>''''''''' ''''''''''''''</w:t>
            </w:r>
          </w:p>
        </w:tc>
        <w:tc>
          <w:tcPr>
            <w:tcW w:w="749" w:type="pct"/>
            <w:gridSpan w:val="2"/>
            <w:tcBorders>
              <w:bottom w:val="double" w:sz="4" w:space="0" w:color="auto"/>
            </w:tcBorders>
            <w:shd w:val="clear" w:color="auto" w:fill="auto"/>
            <w:vAlign w:val="center"/>
          </w:tcPr>
          <w:p w:rsidR="002A7144" w:rsidRPr="00F82904" w:rsidRDefault="00F82904" w:rsidP="00493F05">
            <w:pPr>
              <w:spacing w:before="0"/>
              <w:jc w:val="center"/>
              <w:rPr>
                <w:rFonts w:ascii="Arial Narrow" w:hAnsi="Arial Narrow"/>
                <w:sz w:val="18"/>
                <w:szCs w:val="18"/>
                <w:highlight w:val="black"/>
              </w:rPr>
            </w:pPr>
            <w:r>
              <w:rPr>
                <w:rFonts w:ascii="Arial Narrow" w:hAnsi="Arial Narrow"/>
                <w:noProof/>
                <w:color w:val="000000"/>
                <w:sz w:val="18"/>
                <w:szCs w:val="18"/>
                <w:highlight w:val="black"/>
              </w:rPr>
              <w:t>''''''''''' '''''''''''''''''''''''''</w:t>
            </w:r>
          </w:p>
        </w:tc>
        <w:tc>
          <w:tcPr>
            <w:tcW w:w="748" w:type="pct"/>
            <w:gridSpan w:val="2"/>
            <w:tcBorders>
              <w:bottom w:val="double" w:sz="4" w:space="0" w:color="auto"/>
            </w:tcBorders>
            <w:shd w:val="clear" w:color="auto" w:fill="auto"/>
            <w:vAlign w:val="center"/>
          </w:tcPr>
          <w:p w:rsidR="002A7144" w:rsidRPr="00F82904" w:rsidRDefault="00F82904" w:rsidP="00493F05">
            <w:pPr>
              <w:spacing w:before="0"/>
              <w:jc w:val="center"/>
              <w:rPr>
                <w:rFonts w:ascii="Arial Narrow" w:hAnsi="Arial Narrow"/>
                <w:sz w:val="18"/>
                <w:szCs w:val="18"/>
                <w:highlight w:val="black"/>
              </w:rPr>
            </w:pPr>
            <w:r>
              <w:rPr>
                <w:rFonts w:ascii="Arial Narrow" w:hAnsi="Arial Narrow"/>
                <w:noProof/>
                <w:color w:val="000000"/>
                <w:sz w:val="18"/>
                <w:szCs w:val="18"/>
                <w:highlight w:val="black"/>
              </w:rPr>
              <w:t>'''''''''' ''''''''''''''''''''''''''''</w:t>
            </w:r>
          </w:p>
        </w:tc>
        <w:tc>
          <w:tcPr>
            <w:tcW w:w="748" w:type="pct"/>
            <w:shd w:val="clear" w:color="auto" w:fill="auto"/>
            <w:vAlign w:val="center"/>
          </w:tcPr>
          <w:p w:rsidR="002A7144" w:rsidRPr="00F82904" w:rsidRDefault="00F82904" w:rsidP="00493F05">
            <w:pPr>
              <w:spacing w:before="0"/>
              <w:jc w:val="center"/>
              <w:rPr>
                <w:rFonts w:ascii="Arial Narrow" w:hAnsi="Arial Narrow"/>
                <w:sz w:val="18"/>
                <w:szCs w:val="18"/>
                <w:highlight w:val="black"/>
              </w:rPr>
            </w:pPr>
            <w:r>
              <w:rPr>
                <w:rFonts w:ascii="Arial Narrow" w:hAnsi="Arial Narrow"/>
                <w:noProof/>
                <w:color w:val="000000"/>
                <w:sz w:val="18"/>
                <w:szCs w:val="18"/>
                <w:highlight w:val="black"/>
              </w:rPr>
              <w:t>'''''''''' ''''''''''''''''''''''''''</w:t>
            </w:r>
          </w:p>
        </w:tc>
      </w:tr>
      <w:tr w:rsidR="002A7144" w:rsidRPr="00577B2E" w:rsidTr="00AA3262">
        <w:trPr>
          <w:trHeight w:val="70"/>
        </w:trPr>
        <w:tc>
          <w:tcPr>
            <w:tcW w:w="5000" w:type="pct"/>
            <w:gridSpan w:val="9"/>
            <w:tcBorders>
              <w:top w:val="double" w:sz="4" w:space="0" w:color="auto"/>
              <w:right w:val="single" w:sz="4" w:space="0" w:color="auto"/>
            </w:tcBorders>
            <w:shd w:val="clear" w:color="auto" w:fill="auto"/>
            <w:vAlign w:val="center"/>
          </w:tcPr>
          <w:p w:rsidR="002A7144" w:rsidRPr="00577B2E" w:rsidRDefault="002A7144" w:rsidP="00493F05">
            <w:pPr>
              <w:spacing w:before="0"/>
              <w:rPr>
                <w:rFonts w:ascii="Arial Narrow" w:hAnsi="Arial Narrow"/>
                <w:b/>
                <w:sz w:val="18"/>
                <w:szCs w:val="18"/>
              </w:rPr>
            </w:pPr>
            <w:r w:rsidRPr="00577B2E">
              <w:rPr>
                <w:rFonts w:ascii="Arial Narrow" w:hAnsi="Arial Narrow"/>
                <w:b/>
                <w:sz w:val="18"/>
                <w:szCs w:val="18"/>
              </w:rPr>
              <w:t>Budesonide foam enema Wk6</w:t>
            </w:r>
          </w:p>
        </w:tc>
      </w:tr>
      <w:tr w:rsidR="002A7144" w:rsidRPr="00577B2E" w:rsidTr="00AA3262">
        <w:trPr>
          <w:trHeight w:val="227"/>
        </w:trPr>
        <w:tc>
          <w:tcPr>
            <w:tcW w:w="1259" w:type="pct"/>
            <w:shd w:val="clear" w:color="auto" w:fill="auto"/>
            <w:vAlign w:val="center"/>
          </w:tcPr>
          <w:p w:rsidR="002A7144" w:rsidRPr="00577B2E" w:rsidRDefault="002A7144" w:rsidP="00493F05">
            <w:pPr>
              <w:spacing w:before="0"/>
              <w:rPr>
                <w:rFonts w:ascii="Arial Narrow" w:hAnsi="Arial Narrow"/>
                <w:sz w:val="18"/>
                <w:szCs w:val="18"/>
                <w:vertAlign w:val="superscript"/>
              </w:rPr>
            </w:pPr>
            <w:r w:rsidRPr="00577B2E">
              <w:rPr>
                <w:rFonts w:ascii="Arial Narrow" w:hAnsi="Arial Narrow"/>
                <w:sz w:val="18"/>
                <w:szCs w:val="18"/>
              </w:rPr>
              <w:t>BUCF3001</w:t>
            </w:r>
            <w:r w:rsidRPr="00577B2E">
              <w:rPr>
                <w:rFonts w:ascii="Arial Narrow" w:hAnsi="Arial Narrow"/>
                <w:sz w:val="18"/>
                <w:szCs w:val="18"/>
                <w:vertAlign w:val="superscript"/>
              </w:rPr>
              <w:t>2</w:t>
            </w:r>
          </w:p>
        </w:tc>
        <w:tc>
          <w:tcPr>
            <w:tcW w:w="748" w:type="pct"/>
            <w:shd w:val="clear" w:color="auto" w:fill="auto"/>
            <w:vAlign w:val="center"/>
          </w:tcPr>
          <w:p w:rsidR="002A7144" w:rsidRPr="002A7144" w:rsidRDefault="002A7144" w:rsidP="00493F05">
            <w:pPr>
              <w:spacing w:before="0"/>
              <w:jc w:val="center"/>
              <w:rPr>
                <w:rFonts w:ascii="Arial Narrow" w:hAnsi="Arial Narrow"/>
                <w:sz w:val="18"/>
                <w:szCs w:val="18"/>
              </w:rPr>
            </w:pPr>
            <w:r w:rsidRPr="002A7144">
              <w:rPr>
                <w:rFonts w:ascii="Arial Narrow" w:hAnsi="Arial Narrow"/>
                <w:sz w:val="18"/>
                <w:szCs w:val="18"/>
              </w:rPr>
              <w:t>74/133 (55.6)</w:t>
            </w:r>
          </w:p>
        </w:tc>
        <w:tc>
          <w:tcPr>
            <w:tcW w:w="748" w:type="pct"/>
            <w:gridSpan w:val="2"/>
            <w:shd w:val="clear" w:color="auto" w:fill="auto"/>
            <w:vAlign w:val="center"/>
          </w:tcPr>
          <w:p w:rsidR="002A7144" w:rsidRPr="002A7144" w:rsidRDefault="002A7144" w:rsidP="00493F05">
            <w:pPr>
              <w:spacing w:before="0"/>
              <w:jc w:val="center"/>
              <w:rPr>
                <w:rFonts w:ascii="Arial Narrow" w:hAnsi="Arial Narrow"/>
                <w:sz w:val="18"/>
                <w:szCs w:val="18"/>
              </w:rPr>
            </w:pPr>
            <w:r w:rsidRPr="002A7144">
              <w:rPr>
                <w:rFonts w:ascii="Arial Narrow" w:hAnsi="Arial Narrow"/>
                <w:sz w:val="18"/>
                <w:szCs w:val="18"/>
              </w:rPr>
              <w:t>57/132 (43.2)</w:t>
            </w:r>
          </w:p>
        </w:tc>
        <w:tc>
          <w:tcPr>
            <w:tcW w:w="749" w:type="pct"/>
            <w:gridSpan w:val="2"/>
            <w:tcBorders>
              <w:right w:val="single" w:sz="4" w:space="0" w:color="auto"/>
            </w:tcBorders>
            <w:shd w:val="clear" w:color="auto" w:fill="auto"/>
            <w:vAlign w:val="center"/>
          </w:tcPr>
          <w:p w:rsidR="002A7144" w:rsidRPr="002A7144" w:rsidRDefault="002A7144" w:rsidP="00493F05">
            <w:pPr>
              <w:spacing w:before="0"/>
              <w:jc w:val="center"/>
              <w:rPr>
                <w:rFonts w:ascii="Arial Narrow" w:hAnsi="Arial Narrow"/>
                <w:b/>
                <w:sz w:val="18"/>
                <w:szCs w:val="18"/>
              </w:rPr>
            </w:pPr>
            <w:r w:rsidRPr="002A7144">
              <w:rPr>
                <w:rFonts w:ascii="Arial Narrow" w:hAnsi="Arial Narrow"/>
                <w:b/>
                <w:sz w:val="18"/>
                <w:szCs w:val="18"/>
              </w:rPr>
              <w:t>1.29 (1.01,1.65)</w:t>
            </w:r>
          </w:p>
        </w:tc>
        <w:tc>
          <w:tcPr>
            <w:tcW w:w="748" w:type="pct"/>
            <w:gridSpan w:val="2"/>
            <w:tcBorders>
              <w:right w:val="single" w:sz="4" w:space="0" w:color="auto"/>
            </w:tcBorders>
            <w:shd w:val="clear" w:color="auto" w:fill="auto"/>
            <w:vAlign w:val="center"/>
          </w:tcPr>
          <w:p w:rsidR="002A7144" w:rsidRPr="002A7144" w:rsidRDefault="002A7144" w:rsidP="00493F05">
            <w:pPr>
              <w:spacing w:before="0"/>
              <w:jc w:val="center"/>
              <w:rPr>
                <w:rFonts w:ascii="Arial Narrow" w:hAnsi="Arial Narrow"/>
                <w:b/>
                <w:sz w:val="18"/>
                <w:szCs w:val="18"/>
              </w:rPr>
            </w:pPr>
            <w:r w:rsidRPr="002A7144">
              <w:rPr>
                <w:rFonts w:ascii="Arial Narrow" w:hAnsi="Arial Narrow"/>
                <w:b/>
                <w:sz w:val="18"/>
                <w:szCs w:val="18"/>
              </w:rPr>
              <w:t>0.12 (0.01,0.24)</w:t>
            </w:r>
          </w:p>
        </w:tc>
        <w:tc>
          <w:tcPr>
            <w:tcW w:w="748" w:type="pct"/>
            <w:tcBorders>
              <w:right w:val="single" w:sz="4" w:space="0" w:color="auto"/>
            </w:tcBorders>
            <w:shd w:val="clear" w:color="auto" w:fill="auto"/>
            <w:vAlign w:val="center"/>
          </w:tcPr>
          <w:p w:rsidR="002A7144" w:rsidRPr="002A7144" w:rsidRDefault="002A7144" w:rsidP="00493F05">
            <w:pPr>
              <w:spacing w:before="0"/>
              <w:jc w:val="center"/>
              <w:rPr>
                <w:rFonts w:ascii="Arial Narrow" w:hAnsi="Arial Narrow"/>
                <w:b/>
                <w:sz w:val="18"/>
                <w:szCs w:val="18"/>
              </w:rPr>
            </w:pPr>
            <w:r w:rsidRPr="002A7144">
              <w:rPr>
                <w:rFonts w:ascii="Arial Narrow" w:hAnsi="Arial Narrow"/>
                <w:b/>
                <w:sz w:val="18"/>
                <w:szCs w:val="18"/>
              </w:rPr>
              <w:t>1.65 (1.02,2.68)</w:t>
            </w:r>
          </w:p>
        </w:tc>
      </w:tr>
      <w:tr w:rsidR="002A7144" w:rsidRPr="00577B2E" w:rsidTr="00AA3262">
        <w:trPr>
          <w:trHeight w:val="227"/>
        </w:trPr>
        <w:tc>
          <w:tcPr>
            <w:tcW w:w="1259" w:type="pct"/>
            <w:shd w:val="clear" w:color="auto" w:fill="auto"/>
            <w:vAlign w:val="center"/>
          </w:tcPr>
          <w:p w:rsidR="002A7144" w:rsidRPr="00577B2E" w:rsidRDefault="002A7144" w:rsidP="00493F05">
            <w:pPr>
              <w:spacing w:before="0"/>
              <w:rPr>
                <w:rFonts w:ascii="Arial Narrow" w:hAnsi="Arial Narrow"/>
                <w:sz w:val="18"/>
                <w:szCs w:val="18"/>
                <w:vertAlign w:val="superscript"/>
              </w:rPr>
            </w:pPr>
            <w:r w:rsidRPr="00577B2E">
              <w:rPr>
                <w:rFonts w:ascii="Arial Narrow" w:hAnsi="Arial Narrow"/>
                <w:sz w:val="18"/>
                <w:szCs w:val="18"/>
              </w:rPr>
              <w:t>BUCF3002</w:t>
            </w:r>
            <w:r w:rsidRPr="00577B2E">
              <w:rPr>
                <w:rFonts w:ascii="Arial Narrow" w:hAnsi="Arial Narrow"/>
                <w:sz w:val="18"/>
                <w:szCs w:val="18"/>
                <w:vertAlign w:val="superscript"/>
              </w:rPr>
              <w:t>2</w:t>
            </w:r>
          </w:p>
        </w:tc>
        <w:tc>
          <w:tcPr>
            <w:tcW w:w="748" w:type="pct"/>
            <w:shd w:val="clear" w:color="auto" w:fill="auto"/>
            <w:vAlign w:val="center"/>
          </w:tcPr>
          <w:p w:rsidR="002A7144" w:rsidRPr="002A7144" w:rsidRDefault="002A7144" w:rsidP="00493F05">
            <w:pPr>
              <w:spacing w:before="0"/>
              <w:jc w:val="center"/>
              <w:rPr>
                <w:rFonts w:ascii="Arial Narrow" w:hAnsi="Arial Narrow"/>
                <w:sz w:val="18"/>
                <w:szCs w:val="18"/>
              </w:rPr>
            </w:pPr>
            <w:r w:rsidRPr="002A7144">
              <w:rPr>
                <w:rFonts w:ascii="Arial Narrow" w:hAnsi="Arial Narrow"/>
                <w:sz w:val="18"/>
                <w:szCs w:val="18"/>
              </w:rPr>
              <w:t>75/134 (56.0)</w:t>
            </w:r>
          </w:p>
        </w:tc>
        <w:tc>
          <w:tcPr>
            <w:tcW w:w="748" w:type="pct"/>
            <w:gridSpan w:val="2"/>
            <w:shd w:val="clear" w:color="auto" w:fill="auto"/>
            <w:vAlign w:val="center"/>
          </w:tcPr>
          <w:p w:rsidR="002A7144" w:rsidRPr="002A7144" w:rsidRDefault="002A7144" w:rsidP="00493F05">
            <w:pPr>
              <w:spacing w:before="0"/>
              <w:jc w:val="center"/>
              <w:rPr>
                <w:rFonts w:ascii="Arial Narrow" w:hAnsi="Arial Narrow"/>
                <w:sz w:val="18"/>
                <w:szCs w:val="18"/>
              </w:rPr>
            </w:pPr>
            <w:r w:rsidRPr="002A7144">
              <w:rPr>
                <w:rFonts w:ascii="Arial Narrow" w:hAnsi="Arial Narrow"/>
                <w:sz w:val="18"/>
                <w:szCs w:val="18"/>
              </w:rPr>
              <w:t>54/147 (36.7)</w:t>
            </w:r>
          </w:p>
        </w:tc>
        <w:tc>
          <w:tcPr>
            <w:tcW w:w="749" w:type="pct"/>
            <w:gridSpan w:val="2"/>
            <w:tcBorders>
              <w:right w:val="single" w:sz="4" w:space="0" w:color="auto"/>
            </w:tcBorders>
            <w:shd w:val="clear" w:color="auto" w:fill="auto"/>
            <w:vAlign w:val="center"/>
          </w:tcPr>
          <w:p w:rsidR="002A7144" w:rsidRPr="002A7144" w:rsidRDefault="002A7144" w:rsidP="00493F05">
            <w:pPr>
              <w:spacing w:before="0"/>
              <w:jc w:val="center"/>
              <w:rPr>
                <w:rFonts w:ascii="Arial Narrow" w:hAnsi="Arial Narrow"/>
                <w:b/>
                <w:sz w:val="18"/>
                <w:szCs w:val="18"/>
              </w:rPr>
            </w:pPr>
            <w:r w:rsidRPr="002A7144">
              <w:rPr>
                <w:rFonts w:ascii="Arial Narrow" w:hAnsi="Arial Narrow"/>
                <w:b/>
                <w:sz w:val="18"/>
                <w:szCs w:val="18"/>
              </w:rPr>
              <w:t>1.52 (1.17,1.98)</w:t>
            </w:r>
          </w:p>
        </w:tc>
        <w:tc>
          <w:tcPr>
            <w:tcW w:w="748" w:type="pct"/>
            <w:gridSpan w:val="2"/>
            <w:tcBorders>
              <w:right w:val="single" w:sz="4" w:space="0" w:color="auto"/>
            </w:tcBorders>
            <w:shd w:val="clear" w:color="auto" w:fill="auto"/>
            <w:vAlign w:val="center"/>
          </w:tcPr>
          <w:p w:rsidR="002A7144" w:rsidRPr="002A7144" w:rsidRDefault="002A7144" w:rsidP="00493F05">
            <w:pPr>
              <w:spacing w:before="0"/>
              <w:jc w:val="center"/>
              <w:rPr>
                <w:rFonts w:ascii="Arial Narrow" w:hAnsi="Arial Narrow"/>
                <w:b/>
                <w:sz w:val="18"/>
                <w:szCs w:val="18"/>
              </w:rPr>
            </w:pPr>
            <w:r w:rsidRPr="002A7144">
              <w:rPr>
                <w:rFonts w:ascii="Arial Narrow" w:hAnsi="Arial Narrow"/>
                <w:b/>
                <w:sz w:val="18"/>
                <w:szCs w:val="18"/>
              </w:rPr>
              <w:t>0.19 (0.08,0.31)</w:t>
            </w:r>
          </w:p>
        </w:tc>
        <w:tc>
          <w:tcPr>
            <w:tcW w:w="748" w:type="pct"/>
            <w:tcBorders>
              <w:right w:val="single" w:sz="4" w:space="0" w:color="auto"/>
            </w:tcBorders>
            <w:shd w:val="clear" w:color="auto" w:fill="auto"/>
            <w:vAlign w:val="center"/>
          </w:tcPr>
          <w:p w:rsidR="002A7144" w:rsidRPr="002A7144" w:rsidRDefault="002A7144" w:rsidP="00493F05">
            <w:pPr>
              <w:spacing w:before="0"/>
              <w:jc w:val="center"/>
              <w:rPr>
                <w:rFonts w:ascii="Arial Narrow" w:hAnsi="Arial Narrow"/>
                <w:b/>
                <w:sz w:val="18"/>
                <w:szCs w:val="18"/>
              </w:rPr>
            </w:pPr>
            <w:r w:rsidRPr="002A7144">
              <w:rPr>
                <w:rFonts w:ascii="Arial Narrow" w:hAnsi="Arial Narrow"/>
                <w:b/>
                <w:sz w:val="18"/>
                <w:szCs w:val="18"/>
              </w:rPr>
              <w:t>2.19 (1.36,3.53)</w:t>
            </w:r>
          </w:p>
        </w:tc>
      </w:tr>
      <w:tr w:rsidR="002A7144" w:rsidRPr="00577B2E" w:rsidTr="00AA3262">
        <w:trPr>
          <w:trHeight w:val="227"/>
        </w:trPr>
        <w:tc>
          <w:tcPr>
            <w:tcW w:w="1259" w:type="pct"/>
            <w:shd w:val="clear" w:color="auto" w:fill="auto"/>
            <w:vAlign w:val="center"/>
          </w:tcPr>
          <w:p w:rsidR="002A7144" w:rsidRPr="00577B2E" w:rsidRDefault="002A7144" w:rsidP="00493F05">
            <w:pPr>
              <w:spacing w:before="0"/>
              <w:rPr>
                <w:rFonts w:ascii="Arial Narrow" w:hAnsi="Arial Narrow"/>
                <w:sz w:val="18"/>
                <w:szCs w:val="18"/>
                <w:vertAlign w:val="superscript"/>
              </w:rPr>
            </w:pPr>
            <w:proofErr w:type="spellStart"/>
            <w:r w:rsidRPr="00577B2E">
              <w:rPr>
                <w:rFonts w:ascii="Arial Narrow" w:hAnsi="Arial Narrow"/>
                <w:sz w:val="18"/>
                <w:szCs w:val="18"/>
              </w:rPr>
              <w:t>Naganuma</w:t>
            </w:r>
            <w:proofErr w:type="spellEnd"/>
            <w:r w:rsidRPr="00577B2E">
              <w:rPr>
                <w:rFonts w:ascii="Arial Narrow" w:hAnsi="Arial Narrow"/>
                <w:sz w:val="18"/>
                <w:szCs w:val="18"/>
              </w:rPr>
              <w:t xml:space="preserve"> 2016</w:t>
            </w:r>
            <w:r w:rsidRPr="00577B2E">
              <w:rPr>
                <w:rFonts w:ascii="Arial Narrow" w:hAnsi="Arial Narrow"/>
                <w:sz w:val="18"/>
                <w:szCs w:val="18"/>
                <w:vertAlign w:val="superscript"/>
              </w:rPr>
              <w:t>2</w:t>
            </w:r>
          </w:p>
        </w:tc>
        <w:tc>
          <w:tcPr>
            <w:tcW w:w="748" w:type="pct"/>
            <w:shd w:val="clear" w:color="auto" w:fill="auto"/>
            <w:vAlign w:val="center"/>
          </w:tcPr>
          <w:p w:rsidR="002A7144" w:rsidRPr="002A7144" w:rsidRDefault="002A7144" w:rsidP="00493F05">
            <w:pPr>
              <w:spacing w:before="0"/>
              <w:jc w:val="center"/>
              <w:rPr>
                <w:rFonts w:ascii="Arial Narrow" w:hAnsi="Arial Narrow"/>
                <w:sz w:val="18"/>
                <w:szCs w:val="18"/>
              </w:rPr>
            </w:pPr>
            <w:r w:rsidRPr="002A7144">
              <w:rPr>
                <w:rFonts w:ascii="Arial Narrow" w:hAnsi="Arial Narrow"/>
                <w:sz w:val="18"/>
                <w:szCs w:val="18"/>
              </w:rPr>
              <w:t>38/55 (69.1)</w:t>
            </w:r>
          </w:p>
        </w:tc>
        <w:tc>
          <w:tcPr>
            <w:tcW w:w="748" w:type="pct"/>
            <w:gridSpan w:val="2"/>
            <w:shd w:val="clear" w:color="auto" w:fill="auto"/>
            <w:vAlign w:val="center"/>
          </w:tcPr>
          <w:p w:rsidR="002A7144" w:rsidRPr="002A7144" w:rsidRDefault="002A7144" w:rsidP="00493F05">
            <w:pPr>
              <w:spacing w:before="0"/>
              <w:jc w:val="center"/>
              <w:rPr>
                <w:rFonts w:ascii="Arial Narrow" w:hAnsi="Arial Narrow"/>
                <w:sz w:val="18"/>
                <w:szCs w:val="18"/>
              </w:rPr>
            </w:pPr>
            <w:r w:rsidRPr="002A7144">
              <w:rPr>
                <w:rFonts w:ascii="Arial Narrow" w:hAnsi="Arial Narrow"/>
                <w:sz w:val="18"/>
                <w:szCs w:val="18"/>
              </w:rPr>
              <w:t>25/54 (46.3)</w:t>
            </w:r>
          </w:p>
        </w:tc>
        <w:tc>
          <w:tcPr>
            <w:tcW w:w="749" w:type="pct"/>
            <w:gridSpan w:val="2"/>
            <w:tcBorders>
              <w:right w:val="single" w:sz="4" w:space="0" w:color="auto"/>
            </w:tcBorders>
            <w:shd w:val="clear" w:color="auto" w:fill="auto"/>
            <w:vAlign w:val="center"/>
          </w:tcPr>
          <w:p w:rsidR="002A7144" w:rsidRPr="002A7144" w:rsidRDefault="002A7144" w:rsidP="00493F05">
            <w:pPr>
              <w:spacing w:before="0"/>
              <w:jc w:val="center"/>
              <w:rPr>
                <w:rFonts w:ascii="Arial Narrow" w:hAnsi="Arial Narrow"/>
                <w:b/>
                <w:sz w:val="18"/>
                <w:szCs w:val="18"/>
              </w:rPr>
            </w:pPr>
            <w:r w:rsidRPr="002A7144">
              <w:rPr>
                <w:rFonts w:ascii="Arial Narrow" w:hAnsi="Arial Narrow"/>
                <w:b/>
                <w:sz w:val="18"/>
                <w:szCs w:val="18"/>
              </w:rPr>
              <w:t>1.49 (1.07,2.09)</w:t>
            </w:r>
          </w:p>
        </w:tc>
        <w:tc>
          <w:tcPr>
            <w:tcW w:w="748" w:type="pct"/>
            <w:gridSpan w:val="2"/>
            <w:tcBorders>
              <w:right w:val="single" w:sz="4" w:space="0" w:color="auto"/>
            </w:tcBorders>
            <w:shd w:val="clear" w:color="auto" w:fill="auto"/>
            <w:vAlign w:val="center"/>
          </w:tcPr>
          <w:p w:rsidR="002A7144" w:rsidRPr="002A7144" w:rsidRDefault="002A7144" w:rsidP="00493F05">
            <w:pPr>
              <w:spacing w:before="0"/>
              <w:jc w:val="center"/>
              <w:rPr>
                <w:rFonts w:ascii="Arial Narrow" w:hAnsi="Arial Narrow"/>
                <w:b/>
                <w:sz w:val="18"/>
                <w:szCs w:val="18"/>
              </w:rPr>
            </w:pPr>
            <w:r w:rsidRPr="002A7144">
              <w:rPr>
                <w:rFonts w:ascii="Arial Narrow" w:hAnsi="Arial Narrow"/>
                <w:b/>
                <w:sz w:val="18"/>
                <w:szCs w:val="18"/>
              </w:rPr>
              <w:t>0.23 (0.05,0.41)</w:t>
            </w:r>
          </w:p>
        </w:tc>
        <w:tc>
          <w:tcPr>
            <w:tcW w:w="748" w:type="pct"/>
            <w:tcBorders>
              <w:right w:val="single" w:sz="4" w:space="0" w:color="auto"/>
            </w:tcBorders>
            <w:shd w:val="clear" w:color="auto" w:fill="auto"/>
            <w:vAlign w:val="center"/>
          </w:tcPr>
          <w:p w:rsidR="002A7144" w:rsidRPr="002A7144" w:rsidRDefault="002A7144" w:rsidP="00493F05">
            <w:pPr>
              <w:spacing w:before="0"/>
              <w:jc w:val="center"/>
              <w:rPr>
                <w:rFonts w:ascii="Arial Narrow" w:hAnsi="Arial Narrow"/>
                <w:b/>
                <w:sz w:val="18"/>
                <w:szCs w:val="18"/>
              </w:rPr>
            </w:pPr>
            <w:r w:rsidRPr="002A7144">
              <w:rPr>
                <w:rFonts w:ascii="Arial Narrow" w:hAnsi="Arial Narrow"/>
                <w:b/>
                <w:sz w:val="18"/>
                <w:szCs w:val="18"/>
              </w:rPr>
              <w:t>2.59 (1.18,5.67)</w:t>
            </w:r>
          </w:p>
        </w:tc>
      </w:tr>
      <w:tr w:rsidR="002A7144" w:rsidRPr="00577B2E" w:rsidTr="00AA3262">
        <w:trPr>
          <w:trHeight w:val="227"/>
        </w:trPr>
        <w:tc>
          <w:tcPr>
            <w:tcW w:w="1259" w:type="pct"/>
            <w:shd w:val="clear" w:color="auto" w:fill="auto"/>
            <w:vAlign w:val="center"/>
          </w:tcPr>
          <w:p w:rsidR="002A7144" w:rsidRPr="00577B2E" w:rsidRDefault="002A7144" w:rsidP="00B64B89">
            <w:pPr>
              <w:spacing w:before="0"/>
              <w:jc w:val="right"/>
              <w:rPr>
                <w:rFonts w:ascii="Arial Narrow" w:hAnsi="Arial Narrow"/>
                <w:sz w:val="18"/>
                <w:szCs w:val="18"/>
              </w:rPr>
            </w:pPr>
            <w:r w:rsidRPr="00577B2E">
              <w:rPr>
                <w:rFonts w:ascii="Arial Narrow" w:hAnsi="Arial Narrow"/>
                <w:sz w:val="18"/>
                <w:szCs w:val="18"/>
              </w:rPr>
              <w:t>Meta-analysis</w:t>
            </w:r>
          </w:p>
        </w:tc>
        <w:tc>
          <w:tcPr>
            <w:tcW w:w="748" w:type="pct"/>
            <w:shd w:val="clear" w:color="auto" w:fill="auto"/>
            <w:vAlign w:val="center"/>
          </w:tcPr>
          <w:p w:rsidR="002A7144" w:rsidRPr="002A7144" w:rsidRDefault="002A7144" w:rsidP="00B64B89">
            <w:pPr>
              <w:spacing w:before="0"/>
              <w:jc w:val="center"/>
              <w:rPr>
                <w:rFonts w:ascii="Arial Narrow" w:hAnsi="Arial Narrow"/>
                <w:sz w:val="18"/>
                <w:szCs w:val="18"/>
              </w:rPr>
            </w:pPr>
            <w:r w:rsidRPr="002A7144">
              <w:rPr>
                <w:rFonts w:ascii="Arial Narrow" w:hAnsi="Arial Narrow"/>
                <w:sz w:val="18"/>
                <w:szCs w:val="18"/>
              </w:rPr>
              <w:t>187/322 (58.1)</w:t>
            </w:r>
          </w:p>
        </w:tc>
        <w:tc>
          <w:tcPr>
            <w:tcW w:w="748" w:type="pct"/>
            <w:gridSpan w:val="2"/>
            <w:shd w:val="clear" w:color="auto" w:fill="auto"/>
            <w:vAlign w:val="center"/>
          </w:tcPr>
          <w:p w:rsidR="002A7144" w:rsidRPr="002A7144" w:rsidRDefault="002A7144" w:rsidP="00B64B89">
            <w:pPr>
              <w:spacing w:before="0"/>
              <w:jc w:val="center"/>
              <w:rPr>
                <w:rFonts w:ascii="Arial Narrow" w:hAnsi="Arial Narrow"/>
                <w:sz w:val="18"/>
                <w:szCs w:val="18"/>
              </w:rPr>
            </w:pPr>
            <w:r w:rsidRPr="002A7144">
              <w:rPr>
                <w:rFonts w:ascii="Arial Narrow" w:hAnsi="Arial Narrow"/>
                <w:sz w:val="18"/>
                <w:szCs w:val="18"/>
              </w:rPr>
              <w:t>136/333 (40.8)</w:t>
            </w:r>
          </w:p>
        </w:tc>
        <w:tc>
          <w:tcPr>
            <w:tcW w:w="749" w:type="pct"/>
            <w:gridSpan w:val="2"/>
            <w:tcBorders>
              <w:right w:val="single" w:sz="4" w:space="0" w:color="auto"/>
            </w:tcBorders>
            <w:shd w:val="clear" w:color="auto" w:fill="auto"/>
            <w:vAlign w:val="center"/>
          </w:tcPr>
          <w:p w:rsidR="002A7144" w:rsidRPr="002A7144" w:rsidRDefault="002A7144" w:rsidP="00B64B89">
            <w:pPr>
              <w:spacing w:before="0"/>
              <w:jc w:val="center"/>
              <w:rPr>
                <w:rFonts w:ascii="Arial Narrow" w:hAnsi="Arial Narrow"/>
                <w:b/>
                <w:sz w:val="18"/>
                <w:szCs w:val="18"/>
              </w:rPr>
            </w:pPr>
            <w:r w:rsidRPr="002A7144">
              <w:rPr>
                <w:rFonts w:ascii="Arial Narrow" w:hAnsi="Arial Narrow"/>
                <w:b/>
                <w:sz w:val="18"/>
                <w:szCs w:val="18"/>
              </w:rPr>
              <w:t>1.42 (1.21,1.66)</w:t>
            </w:r>
          </w:p>
        </w:tc>
        <w:tc>
          <w:tcPr>
            <w:tcW w:w="748" w:type="pct"/>
            <w:gridSpan w:val="2"/>
            <w:tcBorders>
              <w:right w:val="single" w:sz="4" w:space="0" w:color="auto"/>
            </w:tcBorders>
            <w:shd w:val="clear" w:color="auto" w:fill="auto"/>
            <w:vAlign w:val="center"/>
          </w:tcPr>
          <w:p w:rsidR="002A7144" w:rsidRPr="002A7144" w:rsidRDefault="002A7144" w:rsidP="00B64B89">
            <w:pPr>
              <w:spacing w:before="0"/>
              <w:jc w:val="center"/>
              <w:rPr>
                <w:rFonts w:ascii="Arial Narrow" w:hAnsi="Arial Narrow"/>
                <w:b/>
                <w:sz w:val="18"/>
                <w:szCs w:val="18"/>
              </w:rPr>
            </w:pPr>
            <w:r w:rsidRPr="002A7144">
              <w:rPr>
                <w:rFonts w:ascii="Arial Narrow" w:hAnsi="Arial Narrow"/>
                <w:b/>
                <w:sz w:val="18"/>
                <w:szCs w:val="18"/>
              </w:rPr>
              <w:t>0.17 (0.10,0.25)</w:t>
            </w:r>
          </w:p>
        </w:tc>
        <w:tc>
          <w:tcPr>
            <w:tcW w:w="748" w:type="pct"/>
            <w:tcBorders>
              <w:right w:val="single" w:sz="4" w:space="0" w:color="auto"/>
            </w:tcBorders>
            <w:shd w:val="clear" w:color="auto" w:fill="auto"/>
            <w:vAlign w:val="center"/>
          </w:tcPr>
          <w:p w:rsidR="002A7144" w:rsidRPr="002A7144" w:rsidRDefault="002A7144" w:rsidP="00B64B89">
            <w:pPr>
              <w:spacing w:before="0"/>
              <w:jc w:val="center"/>
              <w:rPr>
                <w:rFonts w:ascii="Arial Narrow" w:hAnsi="Arial Narrow"/>
                <w:b/>
                <w:sz w:val="18"/>
                <w:szCs w:val="18"/>
              </w:rPr>
            </w:pPr>
            <w:r w:rsidRPr="002A7144">
              <w:rPr>
                <w:rFonts w:ascii="Arial Narrow" w:hAnsi="Arial Narrow"/>
                <w:b/>
                <w:sz w:val="18"/>
                <w:szCs w:val="18"/>
              </w:rPr>
              <w:t>2.00 (1.46,2.73)</w:t>
            </w:r>
          </w:p>
        </w:tc>
      </w:tr>
      <w:tr w:rsidR="002A7144" w:rsidRPr="00577B2E" w:rsidTr="00AA3262">
        <w:trPr>
          <w:trHeight w:val="50"/>
        </w:trPr>
        <w:tc>
          <w:tcPr>
            <w:tcW w:w="5000" w:type="pct"/>
            <w:gridSpan w:val="9"/>
            <w:tcBorders>
              <w:top w:val="double" w:sz="4" w:space="0" w:color="auto"/>
              <w:right w:val="single" w:sz="4" w:space="0" w:color="auto"/>
            </w:tcBorders>
            <w:shd w:val="clear" w:color="auto" w:fill="auto"/>
            <w:vAlign w:val="center"/>
          </w:tcPr>
          <w:p w:rsidR="002A7144" w:rsidRPr="00577B2E" w:rsidRDefault="002A7144" w:rsidP="00B64B89">
            <w:pPr>
              <w:spacing w:before="0"/>
              <w:rPr>
                <w:rFonts w:ascii="Arial Narrow" w:hAnsi="Arial Narrow"/>
                <w:b/>
                <w:sz w:val="18"/>
                <w:szCs w:val="18"/>
              </w:rPr>
            </w:pPr>
            <w:r w:rsidRPr="00577B2E">
              <w:rPr>
                <w:rFonts w:ascii="Arial Narrow" w:hAnsi="Arial Narrow"/>
                <w:b/>
                <w:sz w:val="18"/>
                <w:szCs w:val="18"/>
              </w:rPr>
              <w:t>Indirect comparisons budesonide CR versus budesonide foam enemas</w:t>
            </w:r>
          </w:p>
        </w:tc>
      </w:tr>
      <w:tr w:rsidR="002A7144" w:rsidRPr="00577B2E" w:rsidTr="00AA3262">
        <w:trPr>
          <w:trHeight w:val="170"/>
        </w:trPr>
        <w:tc>
          <w:tcPr>
            <w:tcW w:w="2598" w:type="pct"/>
            <w:gridSpan w:val="3"/>
            <w:shd w:val="clear" w:color="auto" w:fill="auto"/>
            <w:vAlign w:val="center"/>
          </w:tcPr>
          <w:p w:rsidR="002A7144" w:rsidRPr="00577B2E" w:rsidRDefault="002A7144" w:rsidP="00B64B89">
            <w:pPr>
              <w:spacing w:before="0"/>
              <w:jc w:val="right"/>
              <w:rPr>
                <w:rFonts w:ascii="Arial Narrow" w:hAnsi="Arial Narrow"/>
                <w:sz w:val="18"/>
                <w:szCs w:val="18"/>
              </w:rPr>
            </w:pPr>
            <w:r w:rsidRPr="00577B2E">
              <w:rPr>
                <w:rFonts w:ascii="Arial Narrow" w:hAnsi="Arial Narrow"/>
                <w:sz w:val="18"/>
                <w:szCs w:val="18"/>
              </w:rPr>
              <w:t>Using all include trials</w:t>
            </w:r>
          </w:p>
        </w:tc>
        <w:tc>
          <w:tcPr>
            <w:tcW w:w="800" w:type="pct"/>
            <w:gridSpan w:val="2"/>
            <w:tcBorders>
              <w:bottom w:val="single" w:sz="4" w:space="0" w:color="auto"/>
              <w:right w:val="single" w:sz="4" w:space="0" w:color="auto"/>
            </w:tcBorders>
            <w:shd w:val="clear" w:color="auto" w:fill="auto"/>
            <w:vAlign w:val="center"/>
          </w:tcPr>
          <w:p w:rsidR="002A7144" w:rsidRPr="00F82904" w:rsidRDefault="00F82904" w:rsidP="00B64B89">
            <w:pPr>
              <w:spacing w:before="0"/>
              <w:jc w:val="center"/>
              <w:rPr>
                <w:rFonts w:ascii="Arial Narrow" w:hAnsi="Arial Narrow"/>
                <w:sz w:val="18"/>
                <w:szCs w:val="18"/>
                <w:highlight w:val="black"/>
              </w:rPr>
            </w:pPr>
            <w:r>
              <w:rPr>
                <w:rFonts w:ascii="Arial Narrow" w:hAnsi="Arial Narrow"/>
                <w:noProof/>
                <w:color w:val="000000"/>
                <w:sz w:val="18"/>
                <w:szCs w:val="18"/>
                <w:highlight w:val="black"/>
              </w:rPr>
              <w:t>''''''''' '''''''''''''''''''''''''</w:t>
            </w:r>
          </w:p>
        </w:tc>
        <w:tc>
          <w:tcPr>
            <w:tcW w:w="801" w:type="pct"/>
            <w:gridSpan w:val="2"/>
            <w:tcBorders>
              <w:bottom w:val="single" w:sz="4" w:space="0" w:color="auto"/>
              <w:right w:val="single" w:sz="4" w:space="0" w:color="auto"/>
            </w:tcBorders>
            <w:shd w:val="clear" w:color="auto" w:fill="auto"/>
            <w:vAlign w:val="center"/>
          </w:tcPr>
          <w:p w:rsidR="002A7144" w:rsidRPr="00F82904" w:rsidRDefault="00F82904" w:rsidP="00B64B89">
            <w:pPr>
              <w:spacing w:before="0"/>
              <w:jc w:val="center"/>
              <w:rPr>
                <w:rFonts w:ascii="Arial Narrow" w:hAnsi="Arial Narrow"/>
                <w:sz w:val="18"/>
                <w:szCs w:val="18"/>
                <w:highlight w:val="black"/>
              </w:rPr>
            </w:pPr>
            <w:r>
              <w:rPr>
                <w:rFonts w:ascii="Arial Narrow" w:hAnsi="Arial Narrow"/>
                <w:noProof/>
                <w:color w:val="000000"/>
                <w:sz w:val="18"/>
                <w:szCs w:val="18"/>
                <w:highlight w:val="black"/>
              </w:rPr>
              <w:t>''''''''''''' ''''''''''''''''''''''''''''</w:t>
            </w:r>
          </w:p>
        </w:tc>
        <w:tc>
          <w:tcPr>
            <w:tcW w:w="801" w:type="pct"/>
            <w:gridSpan w:val="2"/>
            <w:tcBorders>
              <w:bottom w:val="single" w:sz="4" w:space="0" w:color="auto"/>
            </w:tcBorders>
            <w:shd w:val="clear" w:color="auto" w:fill="auto"/>
            <w:vAlign w:val="center"/>
          </w:tcPr>
          <w:p w:rsidR="002A7144" w:rsidRPr="00F82904" w:rsidRDefault="00F82904" w:rsidP="00B64B89">
            <w:pPr>
              <w:spacing w:before="0"/>
              <w:jc w:val="center"/>
              <w:rPr>
                <w:rFonts w:ascii="Arial Narrow" w:hAnsi="Arial Narrow"/>
                <w:sz w:val="18"/>
                <w:szCs w:val="18"/>
                <w:highlight w:val="black"/>
              </w:rPr>
            </w:pPr>
            <w:r>
              <w:rPr>
                <w:rFonts w:ascii="Arial Narrow" w:hAnsi="Arial Narrow"/>
                <w:noProof/>
                <w:color w:val="000000"/>
                <w:sz w:val="18"/>
                <w:szCs w:val="18"/>
                <w:highlight w:val="black"/>
              </w:rPr>
              <w:t>'''''''''' '''''''''''''''''''''''''''</w:t>
            </w:r>
          </w:p>
        </w:tc>
      </w:tr>
      <w:tr w:rsidR="002A7144" w:rsidRPr="00577B2E" w:rsidTr="00AA3262">
        <w:trPr>
          <w:trHeight w:val="170"/>
        </w:trPr>
        <w:tc>
          <w:tcPr>
            <w:tcW w:w="2598" w:type="pct"/>
            <w:gridSpan w:val="3"/>
            <w:shd w:val="clear" w:color="auto" w:fill="auto"/>
            <w:vAlign w:val="center"/>
          </w:tcPr>
          <w:p w:rsidR="002A7144" w:rsidRPr="00577B2E" w:rsidRDefault="002A7144" w:rsidP="00B64B89">
            <w:pPr>
              <w:spacing w:before="0"/>
              <w:jc w:val="right"/>
              <w:rPr>
                <w:rFonts w:ascii="Arial Narrow" w:hAnsi="Arial Narrow"/>
                <w:sz w:val="18"/>
                <w:szCs w:val="18"/>
              </w:rPr>
            </w:pPr>
            <w:r w:rsidRPr="00577B2E">
              <w:rPr>
                <w:rFonts w:ascii="Arial Narrow" w:hAnsi="Arial Narrow"/>
                <w:sz w:val="18"/>
                <w:szCs w:val="18"/>
              </w:rPr>
              <w:t xml:space="preserve">budesonide CR vs budesonide foam enema (excluding </w:t>
            </w:r>
            <w:proofErr w:type="spellStart"/>
            <w:r w:rsidRPr="00577B2E">
              <w:rPr>
                <w:rFonts w:ascii="Arial Narrow" w:hAnsi="Arial Narrow"/>
                <w:sz w:val="18"/>
                <w:szCs w:val="18"/>
              </w:rPr>
              <w:t>Naganuma</w:t>
            </w:r>
            <w:proofErr w:type="spellEnd"/>
            <w:r w:rsidRPr="00577B2E">
              <w:rPr>
                <w:rFonts w:ascii="Arial Narrow" w:hAnsi="Arial Narrow"/>
                <w:sz w:val="18"/>
                <w:szCs w:val="18"/>
              </w:rPr>
              <w:t xml:space="preserve"> 2016)</w:t>
            </w:r>
          </w:p>
        </w:tc>
        <w:tc>
          <w:tcPr>
            <w:tcW w:w="800" w:type="pct"/>
            <w:gridSpan w:val="2"/>
            <w:tcBorders>
              <w:right w:val="single" w:sz="4" w:space="0" w:color="auto"/>
            </w:tcBorders>
            <w:shd w:val="clear" w:color="auto" w:fill="auto"/>
            <w:vAlign w:val="center"/>
          </w:tcPr>
          <w:p w:rsidR="002A7144" w:rsidRPr="00F82904" w:rsidRDefault="00F82904" w:rsidP="00B64B89">
            <w:pPr>
              <w:spacing w:before="0"/>
              <w:jc w:val="center"/>
              <w:rPr>
                <w:rFonts w:ascii="Arial Narrow" w:hAnsi="Arial Narrow"/>
                <w:sz w:val="18"/>
                <w:szCs w:val="18"/>
                <w:highlight w:val="black"/>
              </w:rPr>
            </w:pPr>
            <w:r>
              <w:rPr>
                <w:rFonts w:ascii="Arial Narrow" w:hAnsi="Arial Narrow"/>
                <w:noProof/>
                <w:color w:val="000000"/>
                <w:sz w:val="18"/>
                <w:szCs w:val="18"/>
                <w:highlight w:val="black"/>
              </w:rPr>
              <w:t>''''''''''' ''''''''''''''''''''''''</w:t>
            </w:r>
          </w:p>
        </w:tc>
        <w:tc>
          <w:tcPr>
            <w:tcW w:w="801" w:type="pct"/>
            <w:gridSpan w:val="2"/>
            <w:tcBorders>
              <w:right w:val="single" w:sz="4" w:space="0" w:color="auto"/>
            </w:tcBorders>
            <w:shd w:val="clear" w:color="auto" w:fill="auto"/>
            <w:vAlign w:val="center"/>
          </w:tcPr>
          <w:p w:rsidR="002A7144" w:rsidRPr="00F82904" w:rsidRDefault="00F82904" w:rsidP="00B64B89">
            <w:pPr>
              <w:spacing w:before="0"/>
              <w:jc w:val="center"/>
              <w:rPr>
                <w:rFonts w:ascii="Arial Narrow" w:hAnsi="Arial Narrow"/>
                <w:sz w:val="18"/>
                <w:szCs w:val="18"/>
                <w:highlight w:val="black"/>
              </w:rPr>
            </w:pPr>
            <w:r>
              <w:rPr>
                <w:rFonts w:ascii="Arial Narrow" w:hAnsi="Arial Narrow"/>
                <w:noProof/>
                <w:color w:val="000000"/>
                <w:sz w:val="18"/>
                <w:szCs w:val="18"/>
                <w:highlight w:val="black"/>
              </w:rPr>
              <w:t>'''''''''''''' '''''''''''''''''''''''''''''</w:t>
            </w:r>
          </w:p>
        </w:tc>
        <w:tc>
          <w:tcPr>
            <w:tcW w:w="801" w:type="pct"/>
            <w:gridSpan w:val="2"/>
            <w:tcBorders>
              <w:right w:val="single" w:sz="4" w:space="0" w:color="auto"/>
            </w:tcBorders>
            <w:shd w:val="clear" w:color="auto" w:fill="auto"/>
            <w:vAlign w:val="center"/>
          </w:tcPr>
          <w:p w:rsidR="002A7144" w:rsidRPr="00F82904" w:rsidRDefault="00F82904" w:rsidP="00B64B89">
            <w:pPr>
              <w:spacing w:before="0"/>
              <w:jc w:val="center"/>
              <w:rPr>
                <w:rFonts w:ascii="Arial Narrow" w:hAnsi="Arial Narrow"/>
                <w:sz w:val="18"/>
                <w:szCs w:val="18"/>
                <w:highlight w:val="black"/>
              </w:rPr>
            </w:pPr>
            <w:r>
              <w:rPr>
                <w:rFonts w:ascii="Arial Narrow" w:hAnsi="Arial Narrow"/>
                <w:noProof/>
                <w:color w:val="000000"/>
                <w:sz w:val="18"/>
                <w:szCs w:val="18"/>
                <w:highlight w:val="black"/>
              </w:rPr>
              <w:t>'''''''''' '''''''''''''''''''''''''</w:t>
            </w:r>
          </w:p>
        </w:tc>
      </w:tr>
      <w:tr w:rsidR="002A7144" w:rsidRPr="00577B2E" w:rsidTr="00AA3262">
        <w:trPr>
          <w:trHeight w:val="170"/>
        </w:trPr>
        <w:tc>
          <w:tcPr>
            <w:tcW w:w="2598" w:type="pct"/>
            <w:gridSpan w:val="3"/>
            <w:shd w:val="clear" w:color="auto" w:fill="auto"/>
            <w:vAlign w:val="center"/>
          </w:tcPr>
          <w:p w:rsidR="002A7144" w:rsidRPr="00577B2E" w:rsidRDefault="002A7144" w:rsidP="00B64B89">
            <w:pPr>
              <w:spacing w:before="0"/>
              <w:jc w:val="right"/>
              <w:rPr>
                <w:rFonts w:ascii="Arial Narrow" w:hAnsi="Arial Narrow"/>
                <w:sz w:val="18"/>
                <w:szCs w:val="18"/>
              </w:rPr>
            </w:pPr>
            <w:r w:rsidRPr="00577B2E">
              <w:rPr>
                <w:rFonts w:ascii="Arial Narrow" w:hAnsi="Arial Narrow"/>
                <w:sz w:val="18"/>
                <w:szCs w:val="18"/>
              </w:rPr>
              <w:t>Proctosigmoiditis/distal colitis subgroup of CORE I &amp; II vs budesonide foam enema (all trials included)</w:t>
            </w:r>
          </w:p>
        </w:tc>
        <w:tc>
          <w:tcPr>
            <w:tcW w:w="800" w:type="pct"/>
            <w:gridSpan w:val="2"/>
            <w:tcBorders>
              <w:right w:val="single" w:sz="4" w:space="0" w:color="auto"/>
            </w:tcBorders>
            <w:shd w:val="clear" w:color="auto" w:fill="auto"/>
            <w:vAlign w:val="center"/>
          </w:tcPr>
          <w:p w:rsidR="002A7144" w:rsidRPr="00F82904" w:rsidRDefault="00F82904" w:rsidP="00B64B89">
            <w:pPr>
              <w:spacing w:before="0"/>
              <w:jc w:val="center"/>
              <w:rPr>
                <w:rFonts w:ascii="Arial Narrow" w:hAnsi="Arial Narrow"/>
                <w:sz w:val="18"/>
                <w:szCs w:val="18"/>
                <w:highlight w:val="black"/>
              </w:rPr>
            </w:pPr>
            <w:r>
              <w:rPr>
                <w:rFonts w:ascii="Arial Narrow" w:hAnsi="Arial Narrow"/>
                <w:noProof/>
                <w:color w:val="000000"/>
                <w:sz w:val="18"/>
                <w:szCs w:val="18"/>
                <w:highlight w:val="black"/>
              </w:rPr>
              <w:t>'''''''''''' '''''''''''''''''''''''''</w:t>
            </w:r>
          </w:p>
        </w:tc>
        <w:tc>
          <w:tcPr>
            <w:tcW w:w="801" w:type="pct"/>
            <w:gridSpan w:val="2"/>
            <w:tcBorders>
              <w:right w:val="single" w:sz="4" w:space="0" w:color="auto"/>
            </w:tcBorders>
            <w:shd w:val="clear" w:color="auto" w:fill="auto"/>
            <w:vAlign w:val="center"/>
          </w:tcPr>
          <w:p w:rsidR="002A7144" w:rsidRPr="00F82904" w:rsidRDefault="00F82904" w:rsidP="00B64B89">
            <w:pPr>
              <w:spacing w:before="0"/>
              <w:jc w:val="center"/>
              <w:rPr>
                <w:rFonts w:ascii="Arial Narrow" w:hAnsi="Arial Narrow"/>
                <w:sz w:val="18"/>
                <w:szCs w:val="18"/>
                <w:highlight w:val="black"/>
              </w:rPr>
            </w:pPr>
            <w:r>
              <w:rPr>
                <w:rFonts w:ascii="Arial Narrow" w:hAnsi="Arial Narrow"/>
                <w:noProof/>
                <w:color w:val="000000"/>
                <w:sz w:val="18"/>
                <w:szCs w:val="18"/>
                <w:highlight w:val="black"/>
              </w:rPr>
              <w:t>'''''''''''' ''''''''''''''''''''''''''''''</w:t>
            </w:r>
          </w:p>
        </w:tc>
        <w:tc>
          <w:tcPr>
            <w:tcW w:w="801" w:type="pct"/>
            <w:gridSpan w:val="2"/>
            <w:tcBorders>
              <w:right w:val="single" w:sz="4" w:space="0" w:color="auto"/>
            </w:tcBorders>
            <w:shd w:val="clear" w:color="auto" w:fill="auto"/>
            <w:vAlign w:val="center"/>
          </w:tcPr>
          <w:p w:rsidR="002A7144" w:rsidRPr="00F82904" w:rsidRDefault="00F82904" w:rsidP="00B64B89">
            <w:pPr>
              <w:spacing w:before="0"/>
              <w:jc w:val="center"/>
              <w:rPr>
                <w:rFonts w:ascii="Arial Narrow" w:hAnsi="Arial Narrow"/>
                <w:sz w:val="18"/>
                <w:szCs w:val="18"/>
                <w:highlight w:val="black"/>
              </w:rPr>
            </w:pPr>
            <w:r>
              <w:rPr>
                <w:rFonts w:ascii="Arial Narrow" w:hAnsi="Arial Narrow"/>
                <w:noProof/>
                <w:color w:val="000000"/>
                <w:sz w:val="18"/>
                <w:szCs w:val="18"/>
                <w:highlight w:val="black"/>
              </w:rPr>
              <w:t>'''''''''' ''''''''''''''''''''''''''</w:t>
            </w:r>
          </w:p>
        </w:tc>
      </w:tr>
      <w:tr w:rsidR="002A7144" w:rsidRPr="00577B2E" w:rsidTr="00AA3262">
        <w:trPr>
          <w:trHeight w:val="170"/>
        </w:trPr>
        <w:tc>
          <w:tcPr>
            <w:tcW w:w="2598" w:type="pct"/>
            <w:gridSpan w:val="3"/>
            <w:shd w:val="clear" w:color="auto" w:fill="auto"/>
            <w:vAlign w:val="center"/>
          </w:tcPr>
          <w:p w:rsidR="002A7144" w:rsidRPr="00577B2E" w:rsidRDefault="002A7144" w:rsidP="00B64B89">
            <w:pPr>
              <w:spacing w:before="0"/>
              <w:jc w:val="right"/>
              <w:rPr>
                <w:rFonts w:ascii="Arial Narrow" w:hAnsi="Arial Narrow"/>
                <w:sz w:val="18"/>
                <w:szCs w:val="18"/>
              </w:rPr>
            </w:pPr>
            <w:r w:rsidRPr="00577B2E">
              <w:rPr>
                <w:rFonts w:ascii="Arial Narrow" w:hAnsi="Arial Narrow"/>
                <w:sz w:val="18"/>
                <w:szCs w:val="18"/>
              </w:rPr>
              <w:t xml:space="preserve">Proctosigmoiditis/distal colitis subgroup of  CORE I &amp; II vs budesonide foam enema (excluding </w:t>
            </w:r>
            <w:proofErr w:type="spellStart"/>
            <w:r w:rsidRPr="00577B2E">
              <w:rPr>
                <w:rFonts w:ascii="Arial Narrow" w:hAnsi="Arial Narrow"/>
                <w:sz w:val="18"/>
                <w:szCs w:val="18"/>
              </w:rPr>
              <w:t>Naganuma</w:t>
            </w:r>
            <w:proofErr w:type="spellEnd"/>
            <w:r w:rsidRPr="00577B2E">
              <w:rPr>
                <w:rFonts w:ascii="Arial Narrow" w:hAnsi="Arial Narrow"/>
                <w:sz w:val="18"/>
                <w:szCs w:val="18"/>
              </w:rPr>
              <w:t xml:space="preserve"> 2016)</w:t>
            </w:r>
          </w:p>
        </w:tc>
        <w:tc>
          <w:tcPr>
            <w:tcW w:w="800" w:type="pct"/>
            <w:gridSpan w:val="2"/>
            <w:tcBorders>
              <w:right w:val="single" w:sz="4" w:space="0" w:color="auto"/>
            </w:tcBorders>
            <w:shd w:val="clear" w:color="auto" w:fill="auto"/>
            <w:vAlign w:val="center"/>
          </w:tcPr>
          <w:p w:rsidR="002A7144" w:rsidRPr="00F82904" w:rsidRDefault="00F82904" w:rsidP="00B64B89">
            <w:pPr>
              <w:spacing w:before="0"/>
              <w:jc w:val="center"/>
              <w:rPr>
                <w:rFonts w:ascii="Arial Narrow" w:hAnsi="Arial Narrow"/>
                <w:sz w:val="18"/>
                <w:szCs w:val="18"/>
                <w:highlight w:val="black"/>
              </w:rPr>
            </w:pPr>
            <w:r>
              <w:rPr>
                <w:rFonts w:ascii="Arial Narrow" w:hAnsi="Arial Narrow"/>
                <w:noProof/>
                <w:color w:val="000000"/>
                <w:sz w:val="18"/>
                <w:szCs w:val="18"/>
                <w:highlight w:val="black"/>
              </w:rPr>
              <w:t>'''''''''' '''''''''''''''''''''''''</w:t>
            </w:r>
          </w:p>
        </w:tc>
        <w:tc>
          <w:tcPr>
            <w:tcW w:w="801" w:type="pct"/>
            <w:gridSpan w:val="2"/>
            <w:tcBorders>
              <w:right w:val="single" w:sz="4" w:space="0" w:color="auto"/>
            </w:tcBorders>
            <w:shd w:val="clear" w:color="auto" w:fill="auto"/>
            <w:vAlign w:val="center"/>
          </w:tcPr>
          <w:p w:rsidR="002A7144" w:rsidRPr="00F82904" w:rsidRDefault="00F82904" w:rsidP="00B64B89">
            <w:pPr>
              <w:spacing w:before="0"/>
              <w:jc w:val="center"/>
              <w:rPr>
                <w:rFonts w:ascii="Arial Narrow" w:hAnsi="Arial Narrow"/>
                <w:sz w:val="18"/>
                <w:szCs w:val="18"/>
                <w:highlight w:val="black"/>
              </w:rPr>
            </w:pPr>
            <w:r>
              <w:rPr>
                <w:rFonts w:ascii="Arial Narrow" w:hAnsi="Arial Narrow"/>
                <w:noProof/>
                <w:color w:val="000000"/>
                <w:sz w:val="18"/>
                <w:szCs w:val="18"/>
                <w:highlight w:val="black"/>
              </w:rPr>
              <w:t>''''''''''''' '''''''''''''''''''''''''''''</w:t>
            </w:r>
          </w:p>
        </w:tc>
        <w:tc>
          <w:tcPr>
            <w:tcW w:w="801" w:type="pct"/>
            <w:gridSpan w:val="2"/>
            <w:tcBorders>
              <w:right w:val="single" w:sz="4" w:space="0" w:color="auto"/>
            </w:tcBorders>
            <w:shd w:val="clear" w:color="auto" w:fill="auto"/>
            <w:vAlign w:val="center"/>
          </w:tcPr>
          <w:p w:rsidR="002A7144" w:rsidRPr="00F82904" w:rsidRDefault="00F82904" w:rsidP="00B64B89">
            <w:pPr>
              <w:spacing w:before="0"/>
              <w:jc w:val="center"/>
              <w:rPr>
                <w:rFonts w:ascii="Arial Narrow" w:hAnsi="Arial Narrow"/>
                <w:sz w:val="18"/>
                <w:szCs w:val="18"/>
                <w:highlight w:val="black"/>
              </w:rPr>
            </w:pPr>
            <w:r>
              <w:rPr>
                <w:rFonts w:ascii="Arial Narrow" w:hAnsi="Arial Narrow"/>
                <w:noProof/>
                <w:color w:val="000000"/>
                <w:sz w:val="18"/>
                <w:szCs w:val="18"/>
                <w:highlight w:val="black"/>
              </w:rPr>
              <w:t>''''''''''' '''''''''''''''''''''''''''</w:t>
            </w:r>
          </w:p>
        </w:tc>
      </w:tr>
    </w:tbl>
    <w:p w:rsidR="00FB7AA5" w:rsidRDefault="00285F0E" w:rsidP="00FB7AA5">
      <w:pPr>
        <w:spacing w:before="0" w:after="0"/>
        <w:rPr>
          <w:rFonts w:ascii="Arial Narrow" w:hAnsi="Arial Narrow" w:cs="Arial"/>
          <w:sz w:val="18"/>
        </w:rPr>
      </w:pPr>
      <w:bookmarkStart w:id="13" w:name="_Toc480411301"/>
      <w:bookmarkStart w:id="14" w:name="_Toc480411355"/>
      <w:r w:rsidRPr="00FB7AA5">
        <w:rPr>
          <w:rFonts w:ascii="Arial Narrow" w:hAnsi="Arial Narrow" w:cs="Arial"/>
          <w:sz w:val="18"/>
        </w:rPr>
        <w:t xml:space="preserve">Abbreviations: CI = confidence interval; CR = colonic release, </w:t>
      </w:r>
      <w:proofErr w:type="spellStart"/>
      <w:proofErr w:type="gramStart"/>
      <w:r w:rsidRPr="00FB7AA5">
        <w:rPr>
          <w:rFonts w:ascii="Arial Narrow" w:hAnsi="Arial Narrow" w:cs="Arial"/>
          <w:sz w:val="18"/>
        </w:rPr>
        <w:t>df</w:t>
      </w:r>
      <w:proofErr w:type="spellEnd"/>
      <w:proofErr w:type="gramEnd"/>
      <w:r w:rsidRPr="00FB7AA5">
        <w:rPr>
          <w:rFonts w:ascii="Arial Narrow" w:hAnsi="Arial Narrow" w:cs="Arial"/>
          <w:sz w:val="18"/>
        </w:rPr>
        <w:t xml:space="preserve"> = degrees of freedom; n = number of patients with event; N = total number of patients in group</w:t>
      </w:r>
      <w:bookmarkStart w:id="15" w:name="_Toc480411302"/>
      <w:bookmarkStart w:id="16" w:name="_Toc480411356"/>
      <w:bookmarkEnd w:id="13"/>
      <w:bookmarkEnd w:id="14"/>
    </w:p>
    <w:p w:rsidR="00285F0E" w:rsidRPr="00FB7AA5" w:rsidRDefault="00285F0E" w:rsidP="00FB7AA5">
      <w:pPr>
        <w:spacing w:before="0" w:after="0"/>
        <w:rPr>
          <w:rFonts w:ascii="Arial Narrow" w:hAnsi="Arial Narrow" w:cs="Arial"/>
          <w:sz w:val="18"/>
        </w:rPr>
      </w:pPr>
      <w:r w:rsidRPr="00FB7AA5">
        <w:rPr>
          <w:rFonts w:ascii="Arial Narrow" w:hAnsi="Arial Narrow" w:cs="Arial"/>
          <w:sz w:val="18"/>
        </w:rPr>
        <w:t>Text in bold indicate statistically significant differences</w:t>
      </w:r>
      <w:bookmarkEnd w:id="15"/>
      <w:bookmarkEnd w:id="16"/>
    </w:p>
    <w:p w:rsidR="00285F0E" w:rsidRPr="00FB7AA5" w:rsidRDefault="00285F0E" w:rsidP="00FB7AA5">
      <w:pPr>
        <w:spacing w:before="0" w:after="0"/>
        <w:rPr>
          <w:rFonts w:ascii="Arial Narrow" w:hAnsi="Arial Narrow" w:cs="Arial"/>
          <w:sz w:val="18"/>
        </w:rPr>
      </w:pPr>
      <w:bookmarkStart w:id="17" w:name="_Toc480411303"/>
      <w:bookmarkStart w:id="18" w:name="_Toc480411357"/>
      <w:r w:rsidRPr="00FB7AA5">
        <w:rPr>
          <w:rFonts w:ascii="Arial Narrow" w:hAnsi="Arial Narrow" w:cs="Arial"/>
          <w:sz w:val="18"/>
        </w:rPr>
        <w:t>1</w:t>
      </w:r>
      <w:r w:rsidRPr="00FB7AA5">
        <w:rPr>
          <w:rFonts w:ascii="Arial Narrow" w:hAnsi="Arial Narrow" w:cs="Arial"/>
          <w:sz w:val="18"/>
        </w:rPr>
        <w:tab/>
        <w:t xml:space="preserve">defined as UCDAI mucosal appearance </w:t>
      </w:r>
      <w:proofErr w:type="spellStart"/>
      <w:r w:rsidRPr="00FB7AA5">
        <w:rPr>
          <w:rFonts w:ascii="Arial Narrow" w:hAnsi="Arial Narrow" w:cs="Arial"/>
          <w:sz w:val="18"/>
        </w:rPr>
        <w:t>subscore</w:t>
      </w:r>
      <w:proofErr w:type="spellEnd"/>
      <w:r w:rsidRPr="00FB7AA5">
        <w:rPr>
          <w:rFonts w:ascii="Arial Narrow" w:hAnsi="Arial Narrow" w:cs="Arial"/>
          <w:sz w:val="18"/>
        </w:rPr>
        <w:t xml:space="preserve"> = 0</w:t>
      </w:r>
      <w:bookmarkEnd w:id="17"/>
      <w:bookmarkEnd w:id="18"/>
      <w:r w:rsidRPr="00FB7AA5">
        <w:rPr>
          <w:rFonts w:ascii="Arial Narrow" w:hAnsi="Arial Narrow" w:cs="Arial"/>
          <w:sz w:val="18"/>
        </w:rPr>
        <w:t xml:space="preserve"> </w:t>
      </w:r>
    </w:p>
    <w:p w:rsidR="00285F0E" w:rsidRPr="00FA62CA" w:rsidRDefault="00285F0E" w:rsidP="00FB7AA5">
      <w:pPr>
        <w:spacing w:before="0" w:after="0"/>
        <w:rPr>
          <w:rFonts w:ascii="Arial Narrow" w:hAnsi="Arial Narrow" w:cs="Arial"/>
          <w:sz w:val="18"/>
        </w:rPr>
      </w:pPr>
      <w:bookmarkStart w:id="19" w:name="_Toc480411304"/>
      <w:bookmarkStart w:id="20" w:name="_Toc480411358"/>
      <w:r w:rsidRPr="00FA62CA">
        <w:rPr>
          <w:rFonts w:ascii="Arial Narrow" w:hAnsi="Arial Narrow" w:cs="Arial"/>
          <w:sz w:val="18"/>
        </w:rPr>
        <w:t>2</w:t>
      </w:r>
      <w:r w:rsidRPr="00FA62CA">
        <w:rPr>
          <w:rFonts w:ascii="Arial Narrow" w:hAnsi="Arial Narrow" w:cs="Arial"/>
          <w:sz w:val="18"/>
        </w:rPr>
        <w:tab/>
        <w:t xml:space="preserve">defined as </w:t>
      </w:r>
      <w:proofErr w:type="spellStart"/>
      <w:r w:rsidRPr="00FA62CA">
        <w:rPr>
          <w:rFonts w:ascii="Arial Narrow" w:hAnsi="Arial Narrow" w:cs="Arial"/>
          <w:sz w:val="18"/>
        </w:rPr>
        <w:t>mMayo</w:t>
      </w:r>
      <w:proofErr w:type="spellEnd"/>
      <w:r w:rsidRPr="00FA62CA">
        <w:rPr>
          <w:rFonts w:ascii="Arial Narrow" w:hAnsi="Arial Narrow" w:cs="Arial"/>
          <w:sz w:val="18"/>
        </w:rPr>
        <w:t xml:space="preserve"> endoscopy </w:t>
      </w:r>
      <w:proofErr w:type="spellStart"/>
      <w:r w:rsidRPr="00FA62CA">
        <w:rPr>
          <w:rFonts w:ascii="Arial Narrow" w:hAnsi="Arial Narrow" w:cs="Arial"/>
          <w:sz w:val="18"/>
        </w:rPr>
        <w:t>subscore</w:t>
      </w:r>
      <w:proofErr w:type="spellEnd"/>
      <w:r w:rsidRPr="00FA62CA">
        <w:rPr>
          <w:rFonts w:ascii="Arial Narrow" w:hAnsi="Arial Narrow" w:cs="Arial"/>
          <w:sz w:val="18"/>
        </w:rPr>
        <w:t xml:space="preserve"> ≤ 1</w:t>
      </w:r>
      <w:bookmarkEnd w:id="19"/>
      <w:bookmarkEnd w:id="20"/>
      <w:r w:rsidRPr="00FA62CA">
        <w:rPr>
          <w:rFonts w:ascii="Arial Narrow" w:hAnsi="Arial Narrow" w:cs="Arial"/>
          <w:sz w:val="18"/>
        </w:rPr>
        <w:tab/>
      </w:r>
    </w:p>
    <w:p w:rsidR="00285F0E" w:rsidRPr="00FB7AA5" w:rsidRDefault="00285F0E" w:rsidP="00FB7AA5">
      <w:pPr>
        <w:spacing w:before="0" w:after="0"/>
        <w:rPr>
          <w:rFonts w:ascii="Arial Narrow" w:hAnsi="Arial Narrow" w:cs="Arial"/>
          <w:sz w:val="18"/>
        </w:rPr>
      </w:pPr>
      <w:bookmarkStart w:id="21" w:name="_Toc480411305"/>
      <w:bookmarkStart w:id="22" w:name="_Toc480411359"/>
      <w:r w:rsidRPr="00FA62CA">
        <w:rPr>
          <w:rFonts w:ascii="Arial Narrow" w:hAnsi="Arial Narrow" w:cs="Arial"/>
          <w:sz w:val="18"/>
        </w:rPr>
        <w:t>#</w:t>
      </w:r>
      <w:r w:rsidRPr="00FA62CA">
        <w:rPr>
          <w:rFonts w:ascii="Arial Narrow" w:hAnsi="Arial Narrow" w:cs="Arial"/>
          <w:sz w:val="18"/>
        </w:rPr>
        <w:tab/>
      </w:r>
      <w:proofErr w:type="gramStart"/>
      <w:r w:rsidRPr="00FA62CA">
        <w:rPr>
          <w:rFonts w:ascii="Arial Narrow" w:hAnsi="Arial Narrow" w:cs="Arial"/>
          <w:sz w:val="18"/>
        </w:rPr>
        <w:t>post</w:t>
      </w:r>
      <w:proofErr w:type="gramEnd"/>
      <w:r w:rsidRPr="00FA62CA">
        <w:rPr>
          <w:rFonts w:ascii="Arial Narrow" w:hAnsi="Arial Narrow" w:cs="Arial"/>
          <w:sz w:val="18"/>
        </w:rPr>
        <w:t xml:space="preserve"> hoc analysis</w:t>
      </w:r>
      <w:bookmarkEnd w:id="21"/>
      <w:bookmarkEnd w:id="22"/>
    </w:p>
    <w:p w:rsidR="00285F0E" w:rsidRPr="00FB7AA5" w:rsidRDefault="00285F0E" w:rsidP="00FB7AA5">
      <w:pPr>
        <w:spacing w:before="0"/>
        <w:rPr>
          <w:rFonts w:ascii="Arial Narrow" w:hAnsi="Arial Narrow" w:cs="Arial"/>
          <w:sz w:val="18"/>
        </w:rPr>
      </w:pPr>
      <w:bookmarkStart w:id="23" w:name="_Toc480411360"/>
      <w:r w:rsidRPr="00FB7AA5">
        <w:rPr>
          <w:rFonts w:ascii="Arial Narrow" w:hAnsi="Arial Narrow" w:cs="Arial"/>
          <w:sz w:val="18"/>
        </w:rPr>
        <w:t>Source: Tables 2.6-4 and 2.6.5, p84, Table 2.6-21, p110, Table 2.6-14, p102, Table 2.6-15, p 104 of the submission.</w:t>
      </w:r>
      <w:bookmarkEnd w:id="23"/>
    </w:p>
    <w:p w:rsidR="006D7890" w:rsidRDefault="006D7890" w:rsidP="006D7890">
      <w:pPr>
        <w:pStyle w:val="V50Instructions"/>
        <w:spacing w:before="0" w:after="0"/>
        <w:ind w:left="709"/>
        <w:jc w:val="both"/>
        <w:rPr>
          <w:rFonts w:ascii="Arial Narrow" w:hAnsi="Arial Narrow"/>
          <w:b/>
          <w:color w:val="auto"/>
          <w:sz w:val="20"/>
          <w:szCs w:val="20"/>
        </w:rPr>
      </w:pPr>
      <w:bookmarkStart w:id="24" w:name="_Toc480411361"/>
    </w:p>
    <w:p w:rsidR="00BF6C5E" w:rsidRPr="00B04F2E" w:rsidRDefault="00BF6C5E" w:rsidP="00BF6C5E">
      <w:pPr>
        <w:pStyle w:val="ListParagraph"/>
        <w:numPr>
          <w:ilvl w:val="1"/>
          <w:numId w:val="3"/>
        </w:numPr>
        <w:spacing w:before="0" w:after="120"/>
        <w:jc w:val="both"/>
      </w:pPr>
      <w:r w:rsidRPr="00B04F2E">
        <w:t xml:space="preserve">The ESC noted the non-inferiority margin previously accepted by the PBAC of 10-15% for absolute difference in remission was not met for budesonide CR versus budesonide foam enema. </w:t>
      </w:r>
      <w:r w:rsidR="0077004F" w:rsidRPr="00B04F2E">
        <w:t xml:space="preserve"> </w:t>
      </w:r>
      <w:r w:rsidR="00E23774" w:rsidRPr="00B04F2E">
        <w:t xml:space="preserve">For remission based on the individual trial definitions, an additional </w:t>
      </w:r>
      <w:r w:rsidR="00E339E0" w:rsidRPr="00EA21BF">
        <w:rPr>
          <w:rFonts w:ascii="Calibri" w:eastAsia="Calibri" w:hAnsi="Calibri" w:cs="Arial"/>
        </w:rPr>
        <w:t>9%</w:t>
      </w:r>
      <w:r w:rsidR="00E23774" w:rsidRPr="00EA21BF">
        <w:t xml:space="preserve"> of patients treated with budesonide CR compared with placebo achieved remission</w:t>
      </w:r>
      <w:r w:rsidR="00C2162C" w:rsidRPr="00EA21BF">
        <w:t>,</w:t>
      </w:r>
      <w:r w:rsidR="00E23774" w:rsidRPr="00EA21BF">
        <w:t xml:space="preserve"> </w:t>
      </w:r>
      <w:r w:rsidR="00C2162C" w:rsidRPr="00EA21BF">
        <w:t xml:space="preserve">whereas with the </w:t>
      </w:r>
      <w:r w:rsidR="00E23774" w:rsidRPr="00EA21BF">
        <w:t>budesonide foam enema</w:t>
      </w:r>
      <w:r w:rsidR="00C2162C" w:rsidRPr="00EA21BF">
        <w:t xml:space="preserve"> an additional </w:t>
      </w:r>
      <w:r w:rsidR="00E339E0" w:rsidRPr="00EA21BF">
        <w:rPr>
          <w:rFonts w:ascii="Calibri" w:eastAsia="Calibri" w:hAnsi="Calibri" w:cs="Arial"/>
        </w:rPr>
        <w:t>20%</w:t>
      </w:r>
      <w:r w:rsidR="00C2162C" w:rsidRPr="00EA21BF">
        <w:t xml:space="preserve"> of patients achieved remission</w:t>
      </w:r>
      <w:r w:rsidR="00E23774" w:rsidRPr="00EA21BF">
        <w:t>. Based on the indirect comparison, the difference</w:t>
      </w:r>
      <w:r w:rsidR="00C2162C" w:rsidRPr="00EA21BF">
        <w:t xml:space="preserve"> in remission rates</w:t>
      </w:r>
      <w:r w:rsidR="00E23774" w:rsidRPr="00EA21BF">
        <w:t xml:space="preserve"> of </w:t>
      </w:r>
      <w:r w:rsidR="00E339E0" w:rsidRPr="00EA21BF">
        <w:rPr>
          <w:rFonts w:ascii="Calibri" w:eastAsia="Calibri" w:hAnsi="Calibri" w:cs="Arial"/>
        </w:rPr>
        <w:t>11%</w:t>
      </w:r>
      <w:r w:rsidR="00E23774" w:rsidRPr="00EA21BF">
        <w:t xml:space="preserve"> between budesonide formulations was statistically significant (95% CI: -0.21, -0.01).</w:t>
      </w:r>
    </w:p>
    <w:p w:rsidR="00BF6C5E" w:rsidRDefault="00BF6C5E" w:rsidP="00BF6C5E">
      <w:pPr>
        <w:pStyle w:val="ListParagraph"/>
        <w:numPr>
          <w:ilvl w:val="1"/>
          <w:numId w:val="3"/>
        </w:numPr>
        <w:spacing w:before="0" w:after="120"/>
        <w:jc w:val="both"/>
      </w:pPr>
      <w:r w:rsidRPr="00B04F2E">
        <w:t>The ESC noted that the PSCR (p3) proposed a non-inferiority margin for relative differences (</w:t>
      </w:r>
      <w:proofErr w:type="spellStart"/>
      <w:r w:rsidRPr="00B04F2E">
        <w:t>eg</w:t>
      </w:r>
      <w:proofErr w:type="spellEnd"/>
      <w:r w:rsidRPr="00B04F2E">
        <w:t xml:space="preserve"> relative risk (RR)) of 12-20%, </w:t>
      </w:r>
      <w:r w:rsidR="00C977C4" w:rsidRPr="00B04F2E">
        <w:t xml:space="preserve">based on that </w:t>
      </w:r>
      <w:r w:rsidRPr="00B04F2E">
        <w:t xml:space="preserve">proposed in the budesonide foam </w:t>
      </w:r>
      <w:r w:rsidR="00C977C4" w:rsidRPr="00B04F2E">
        <w:t xml:space="preserve">PBAC </w:t>
      </w:r>
      <w:r w:rsidRPr="00B04F2E">
        <w:t xml:space="preserve">submission. </w:t>
      </w:r>
      <w:r w:rsidR="0077004F" w:rsidRPr="00B04F2E">
        <w:t xml:space="preserve"> </w:t>
      </w:r>
      <w:r w:rsidRPr="00B04F2E">
        <w:t>The ESC</w:t>
      </w:r>
      <w:r w:rsidR="00C977C4" w:rsidRPr="00B04F2E">
        <w:t xml:space="preserve"> noted that based on risk differences the point estimates from the indirect comparisons favoured the foam formulation whereas based on relative measures the point estimates favoured the oral formulation. </w:t>
      </w:r>
      <w:r w:rsidR="0077004F" w:rsidRPr="00B04F2E">
        <w:t xml:space="preserve"> </w:t>
      </w:r>
      <w:r w:rsidR="00C977C4" w:rsidRPr="00B04F2E">
        <w:t xml:space="preserve">This reflected the much lower remission rates in the placebo groups for the oral trials. However, for most of the indirect comparisons the lower 95% confidence interval for the relative risk was less than 0.8 and hence the proposed 20% </w:t>
      </w:r>
      <w:r w:rsidR="0027632E" w:rsidRPr="00B04F2E">
        <w:t xml:space="preserve">non-inferiority </w:t>
      </w:r>
      <w:r w:rsidR="00C977C4" w:rsidRPr="00B04F2E">
        <w:t>margin for the relative difference was not met.</w:t>
      </w:r>
      <w:r w:rsidR="00846B8D">
        <w:t xml:space="preserve"> </w:t>
      </w:r>
    </w:p>
    <w:p w:rsidR="00846B8D" w:rsidRPr="00B04F2E" w:rsidRDefault="00492604" w:rsidP="002A247D">
      <w:pPr>
        <w:pStyle w:val="ListParagraph"/>
        <w:numPr>
          <w:ilvl w:val="1"/>
          <w:numId w:val="3"/>
        </w:numPr>
        <w:spacing w:before="0" w:after="120"/>
        <w:jc w:val="both"/>
      </w:pPr>
      <w:r w:rsidRPr="00492604">
        <w:t xml:space="preserve">The </w:t>
      </w:r>
      <w:r w:rsidR="00846B8D" w:rsidRPr="00492604">
        <w:t xml:space="preserve">PBAC </w:t>
      </w:r>
      <w:r w:rsidR="00AA1A75">
        <w:t>noted the ESC advice above</w:t>
      </w:r>
      <w:r w:rsidR="00CB133A">
        <w:t>,</w:t>
      </w:r>
      <w:r w:rsidR="00846B8D">
        <w:t xml:space="preserve"> and the </w:t>
      </w:r>
      <w:r w:rsidR="002A247D">
        <w:t>p</w:t>
      </w:r>
      <w:r w:rsidR="00846B8D">
        <w:t>re-PBAC</w:t>
      </w:r>
      <w:r w:rsidR="000078ED">
        <w:t xml:space="preserve"> response</w:t>
      </w:r>
      <w:r w:rsidR="00846B8D">
        <w:t xml:space="preserve"> </w:t>
      </w:r>
      <w:r w:rsidR="002A247D">
        <w:t xml:space="preserve">proposing </w:t>
      </w:r>
      <w:r w:rsidR="000078ED">
        <w:t xml:space="preserve">a </w:t>
      </w:r>
      <w:r w:rsidR="002A247D" w:rsidRPr="002A247D">
        <w:t xml:space="preserve">non-inferiority margin based on the CORE </w:t>
      </w:r>
      <w:r w:rsidR="002A247D" w:rsidRPr="00E72ECF">
        <w:t xml:space="preserve">I, II and CONTRIBUTE studies of </w:t>
      </w:r>
      <w:r w:rsidR="00F82904">
        <w:rPr>
          <w:noProof/>
          <w:color w:val="000000"/>
          <w:highlight w:val="black"/>
        </w:rPr>
        <w:t>''''''''''''' '''''</w:t>
      </w:r>
      <w:r w:rsidR="00646388">
        <w:rPr>
          <w:rFonts w:ascii="Calibri" w:eastAsia="Calibri" w:hAnsi="Calibri" w:cs="Arial"/>
        </w:rPr>
        <w:t xml:space="preserve"> </w:t>
      </w:r>
      <w:r w:rsidR="003509A1" w:rsidRPr="00E72ECF">
        <w:t xml:space="preserve">for endoscopic remission </w:t>
      </w:r>
      <w:r w:rsidR="002A247D" w:rsidRPr="00E72ECF">
        <w:t xml:space="preserve">and </w:t>
      </w:r>
      <w:r w:rsidR="00F82904">
        <w:rPr>
          <w:noProof/>
          <w:color w:val="000000"/>
          <w:highlight w:val="black"/>
        </w:rPr>
        <w:t>'''''''''''' ''''''</w:t>
      </w:r>
      <w:r w:rsidR="00646388" w:rsidRPr="00646388">
        <w:rPr>
          <w:rFonts w:ascii="Calibri" w:eastAsia="Calibri" w:hAnsi="Calibri" w:cs="Arial"/>
        </w:rPr>
        <w:t xml:space="preserve"> </w:t>
      </w:r>
      <w:r w:rsidR="002A247D" w:rsidRPr="00E72ECF">
        <w:t>for</w:t>
      </w:r>
      <w:r w:rsidR="002A247D" w:rsidRPr="002A247D">
        <w:t xml:space="preserve"> overall remission</w:t>
      </w:r>
      <w:r w:rsidR="000078ED">
        <w:t>.</w:t>
      </w:r>
      <w:r w:rsidR="00D42C15">
        <w:t xml:space="preserve"> </w:t>
      </w:r>
      <w:r w:rsidR="002A247D">
        <w:t xml:space="preserve">The PBAC did not consider </w:t>
      </w:r>
      <w:r w:rsidR="00D469DB">
        <w:t xml:space="preserve">the proposed wider non-inferiority margins to be reasonable, and </w:t>
      </w:r>
      <w:r w:rsidR="002A247D">
        <w:t>that</w:t>
      </w:r>
      <w:r w:rsidR="00D469DB">
        <w:t xml:space="preserve"> </w:t>
      </w:r>
      <w:r w:rsidR="004D3D22">
        <w:t xml:space="preserve">the </w:t>
      </w:r>
      <w:r w:rsidR="002A247D">
        <w:t xml:space="preserve">exchangeability issues </w:t>
      </w:r>
      <w:r w:rsidR="004D3D22">
        <w:t xml:space="preserve">across </w:t>
      </w:r>
      <w:r w:rsidR="002A247D">
        <w:t xml:space="preserve">the trials </w:t>
      </w:r>
      <w:r w:rsidR="004D3D22">
        <w:t>limited the reliability of the indirect comparisons</w:t>
      </w:r>
      <w:r w:rsidR="00846B8D">
        <w:t>.</w:t>
      </w:r>
    </w:p>
    <w:p w:rsidR="00C317F3" w:rsidRPr="00577B2E" w:rsidRDefault="00C317F3" w:rsidP="00792386">
      <w:pPr>
        <w:pStyle w:val="Heading2"/>
        <w:jc w:val="both"/>
      </w:pPr>
      <w:r w:rsidRPr="00577B2E">
        <w:t>Comparative harms</w:t>
      </w:r>
      <w:bookmarkEnd w:id="0"/>
      <w:bookmarkEnd w:id="24"/>
    </w:p>
    <w:p w:rsidR="00B01140" w:rsidRPr="00577B2E" w:rsidRDefault="00F465C2" w:rsidP="00845ADB">
      <w:pPr>
        <w:pStyle w:val="ListParagraph"/>
        <w:numPr>
          <w:ilvl w:val="1"/>
          <w:numId w:val="3"/>
        </w:numPr>
        <w:spacing w:before="0" w:after="120"/>
        <w:jc w:val="both"/>
      </w:pPr>
      <w:r w:rsidRPr="00577B2E">
        <w:rPr>
          <w:iCs/>
        </w:rPr>
        <w:t>Overall, compared to placebo, treatment with budesonide</w:t>
      </w:r>
      <w:r w:rsidR="00F0287E" w:rsidRPr="00577B2E">
        <w:rPr>
          <w:iCs/>
        </w:rPr>
        <w:t xml:space="preserve"> CR or budesonide foam enema w</w:t>
      </w:r>
      <w:r w:rsidR="004D3D22">
        <w:rPr>
          <w:iCs/>
        </w:rPr>
        <w:t>as</w:t>
      </w:r>
      <w:r w:rsidRPr="00577B2E">
        <w:rPr>
          <w:iCs/>
        </w:rPr>
        <w:t xml:space="preserve"> associated with more adverse events but these events are likely to be mild in nature.  </w:t>
      </w:r>
      <w:r w:rsidR="00F0287E" w:rsidRPr="00577B2E">
        <w:rPr>
          <w:iCs/>
        </w:rPr>
        <w:t xml:space="preserve">The </w:t>
      </w:r>
      <w:r w:rsidR="00885D2B" w:rsidRPr="00577B2E">
        <w:rPr>
          <w:iCs/>
        </w:rPr>
        <w:t xml:space="preserve">indirect comparison between the two budesonide formulations </w:t>
      </w:r>
      <w:r w:rsidR="00F0287E" w:rsidRPr="00577B2E">
        <w:rPr>
          <w:iCs/>
        </w:rPr>
        <w:t xml:space="preserve">on comparable outcomes </w:t>
      </w:r>
      <w:r w:rsidR="00885D2B" w:rsidRPr="00577B2E">
        <w:rPr>
          <w:iCs/>
        </w:rPr>
        <w:t>did not find any statistically significant differences with respect to adverse events.</w:t>
      </w:r>
    </w:p>
    <w:p w:rsidR="00846B8D" w:rsidRPr="00577B2E" w:rsidRDefault="00F465C2" w:rsidP="00846B8D">
      <w:pPr>
        <w:pStyle w:val="ListParagraph"/>
        <w:numPr>
          <w:ilvl w:val="1"/>
          <w:numId w:val="3"/>
        </w:numPr>
        <w:spacing w:before="0" w:after="120"/>
        <w:jc w:val="both"/>
      </w:pPr>
      <w:r w:rsidRPr="00577B2E">
        <w:t xml:space="preserve">One adverse event of special interest in the budesonide CR trials was glucocorticoid side effects (such as moon face, striae </w:t>
      </w:r>
      <w:proofErr w:type="spellStart"/>
      <w:r w:rsidRPr="00577B2E">
        <w:t>rubrae</w:t>
      </w:r>
      <w:proofErr w:type="spellEnd"/>
      <w:r w:rsidRPr="00577B2E">
        <w:t xml:space="preserve">, flushing, fluid retention, mood changes, sleep changes, insomnia, acne and </w:t>
      </w:r>
      <w:proofErr w:type="spellStart"/>
      <w:r w:rsidRPr="00577B2E">
        <w:t>hirsuitism</w:t>
      </w:r>
      <w:proofErr w:type="spellEnd"/>
      <w:r w:rsidRPr="00577B2E">
        <w:t xml:space="preserve">) and morning plasma cortisol (as measure of adrenal suppression) </w:t>
      </w:r>
      <w:r w:rsidR="004D3D22">
        <w:t>given</w:t>
      </w:r>
      <w:r w:rsidR="004D3D22" w:rsidRPr="00577B2E">
        <w:t xml:space="preserve"> </w:t>
      </w:r>
      <w:r w:rsidRPr="00577B2E">
        <w:t>budesonide CR is an oral treatment.  This was measure</w:t>
      </w:r>
      <w:r w:rsidR="00631490" w:rsidRPr="00577B2E">
        <w:t>d</w:t>
      </w:r>
      <w:r w:rsidRPr="00577B2E">
        <w:t xml:space="preserve"> in CORE I and CORE II, and overall, there was no significant difference between budesonide CR and placebo in the incidence of </w:t>
      </w:r>
      <w:proofErr w:type="spellStart"/>
      <w:r w:rsidRPr="00577B2E">
        <w:t>glucorticoid</w:t>
      </w:r>
      <w:proofErr w:type="spellEnd"/>
      <w:r w:rsidRPr="00577B2E">
        <w:t xml:space="preserve"> related signs or symptoms however there were significant differences in cortisol levels (mean difference (95% CI): CORE </w:t>
      </w:r>
      <w:r w:rsidR="002F733D" w:rsidRPr="00E72ECF">
        <w:rPr>
          <w:rFonts w:ascii="Calibri" w:eastAsia="Calibri" w:hAnsi="Calibri" w:cs="Arial"/>
        </w:rPr>
        <w:t>I</w:t>
      </w:r>
      <w:r w:rsidR="00F82904">
        <w:rPr>
          <w:noProof/>
          <w:color w:val="000000"/>
          <w:highlight w:val="black"/>
        </w:rPr>
        <w:t>''''''''''''</w:t>
      </w:r>
      <w:r w:rsidRPr="00E72ECF">
        <w:t xml:space="preserve"> </w:t>
      </w:r>
      <w:proofErr w:type="spellStart"/>
      <w:r w:rsidRPr="00E72ECF">
        <w:t>nmol</w:t>
      </w:r>
      <w:proofErr w:type="spellEnd"/>
      <w:r w:rsidRPr="00E72ECF">
        <w:t>/L</w:t>
      </w:r>
      <w:r w:rsidR="00DF301E" w:rsidRPr="00E72ECF">
        <w:t xml:space="preserve"> </w:t>
      </w:r>
      <w:r w:rsidRPr="00E72ECF">
        <w:t>(</w:t>
      </w:r>
      <w:r w:rsidR="00F82904">
        <w:rPr>
          <w:noProof/>
          <w:color w:val="000000"/>
          <w:highlight w:val="black"/>
        </w:rPr>
        <w:t>''''''''''''''''' ''''''''''''</w:t>
      </w:r>
      <w:r w:rsidRPr="00E72ECF">
        <w:t xml:space="preserve">) and CORE II: </w:t>
      </w:r>
      <w:r w:rsidR="00F82904">
        <w:rPr>
          <w:noProof/>
          <w:color w:val="000000"/>
          <w:highlight w:val="black"/>
        </w:rPr>
        <w:t>''''''''''''</w:t>
      </w:r>
      <w:r w:rsidR="00DF301E" w:rsidRPr="00E72ECF">
        <w:t xml:space="preserve"> </w:t>
      </w:r>
      <w:proofErr w:type="spellStart"/>
      <w:r w:rsidR="00DF301E" w:rsidRPr="00E72ECF">
        <w:t>nmol</w:t>
      </w:r>
      <w:proofErr w:type="spellEnd"/>
      <w:r w:rsidR="00DF301E" w:rsidRPr="00E72ECF">
        <w:t>/L</w:t>
      </w:r>
      <w:r w:rsidRPr="00E72ECF">
        <w:t xml:space="preserve"> </w:t>
      </w:r>
      <w:r w:rsidR="00F82904">
        <w:rPr>
          <w:noProof/>
          <w:color w:val="000000"/>
          <w:highlight w:val="black"/>
        </w:rPr>
        <w:t>'''''''''''''''''' '''''' ''''''</w:t>
      </w:r>
      <w:r w:rsidRPr="00E72ECF">
        <w:t>).</w:t>
      </w:r>
      <w:r w:rsidRPr="00577B2E">
        <w:t xml:space="preserve">  Nonetheless, the lower morning cortisol levels in patients treated with budesonide CR were still within normal ranges after 8 weeks of treatment with budesonide CR in </w:t>
      </w:r>
      <w:r w:rsidR="00631490" w:rsidRPr="00577B2E">
        <w:t>C</w:t>
      </w:r>
      <w:r w:rsidRPr="00577B2E">
        <w:t>ORE I and CORE II.</w:t>
      </w:r>
    </w:p>
    <w:p w:rsidR="00C317F3" w:rsidRPr="00577B2E" w:rsidRDefault="00C317F3" w:rsidP="00792386">
      <w:pPr>
        <w:pStyle w:val="Heading2"/>
        <w:jc w:val="both"/>
      </w:pPr>
      <w:bookmarkStart w:id="25" w:name="_Toc413139281"/>
      <w:bookmarkStart w:id="26" w:name="_Toc480411364"/>
      <w:r w:rsidRPr="00577B2E">
        <w:t>Clinical claim</w:t>
      </w:r>
      <w:bookmarkEnd w:id="25"/>
      <w:bookmarkEnd w:id="26"/>
    </w:p>
    <w:p w:rsidR="00C317F3" w:rsidRPr="00B04F2E" w:rsidRDefault="004C43CE" w:rsidP="009C69ED">
      <w:pPr>
        <w:pStyle w:val="ListParagraph"/>
        <w:numPr>
          <w:ilvl w:val="1"/>
          <w:numId w:val="3"/>
        </w:numPr>
        <w:spacing w:before="0" w:after="120"/>
        <w:jc w:val="both"/>
      </w:pPr>
      <w:r w:rsidRPr="00B04F2E">
        <w:t>The submission claimed</w:t>
      </w:r>
      <w:r w:rsidR="00F465C2" w:rsidRPr="00B04F2E">
        <w:t xml:space="preserve"> that budesonide CR </w:t>
      </w:r>
      <w:r w:rsidR="00172FB7" w:rsidRPr="00B04F2E">
        <w:t>is</w:t>
      </w:r>
      <w:r w:rsidR="00F465C2" w:rsidRPr="00B04F2E">
        <w:t xml:space="preserve"> non-inferior to budesonide foam enema in efficacy and safety.  </w:t>
      </w:r>
      <w:r w:rsidR="00F465C2" w:rsidRPr="009C69ED">
        <w:t xml:space="preserve">The </w:t>
      </w:r>
      <w:r w:rsidR="0027632E" w:rsidRPr="009C69ED">
        <w:t>ESC considered th</w:t>
      </w:r>
      <w:r w:rsidR="004D3D22" w:rsidRPr="009C69ED">
        <w:t>e</w:t>
      </w:r>
      <w:r w:rsidR="00F465C2" w:rsidRPr="009C69ED">
        <w:t xml:space="preserve"> non-inferiority</w:t>
      </w:r>
      <w:r w:rsidR="004D3D22" w:rsidRPr="009C69ED">
        <w:t xml:space="preserve"> safety claim to be</w:t>
      </w:r>
      <w:r w:rsidR="00F465C2" w:rsidRPr="009C69ED">
        <w:t xml:space="preserve"> </w:t>
      </w:r>
      <w:r w:rsidR="0027632E" w:rsidRPr="009C69ED">
        <w:t>adequately supported</w:t>
      </w:r>
      <w:r w:rsidR="00F465C2" w:rsidRPr="009C69ED">
        <w:t xml:space="preserve">.  However, </w:t>
      </w:r>
      <w:r w:rsidR="0027632E" w:rsidRPr="009C69ED">
        <w:t xml:space="preserve">the ESC did not consider </w:t>
      </w:r>
      <w:r w:rsidR="00F465C2" w:rsidRPr="00127E58">
        <w:t xml:space="preserve">the claim of non-inferiority </w:t>
      </w:r>
      <w:r w:rsidR="004D3D22" w:rsidRPr="008B4A73">
        <w:t>for</w:t>
      </w:r>
      <w:r w:rsidR="00F465C2" w:rsidRPr="008B4A73">
        <w:t xml:space="preserve"> </w:t>
      </w:r>
      <w:r w:rsidRPr="008B4A73">
        <w:t xml:space="preserve">efficacy </w:t>
      </w:r>
      <w:r w:rsidR="0027632E" w:rsidRPr="008B4A73">
        <w:t>was adequately supported</w:t>
      </w:r>
      <w:r w:rsidR="0027632E" w:rsidRPr="009C69ED">
        <w:rPr>
          <w:iCs/>
        </w:rPr>
        <w:t xml:space="preserve"> </w:t>
      </w:r>
      <w:r w:rsidRPr="009C69ED">
        <w:rPr>
          <w:iCs/>
        </w:rPr>
        <w:t>because</w:t>
      </w:r>
      <w:r w:rsidR="00F465C2" w:rsidRPr="009C69ED">
        <w:rPr>
          <w:iCs/>
        </w:rPr>
        <w:t xml:space="preserve">: </w:t>
      </w:r>
    </w:p>
    <w:p w:rsidR="00D27DF3" w:rsidRPr="009C69ED" w:rsidRDefault="009C69ED" w:rsidP="009C69ED">
      <w:pPr>
        <w:pStyle w:val="ListParagraph"/>
        <w:numPr>
          <w:ilvl w:val="2"/>
          <w:numId w:val="13"/>
        </w:numPr>
        <w:spacing w:before="0" w:after="120"/>
        <w:jc w:val="both"/>
        <w:rPr>
          <w:i/>
          <w:iCs/>
        </w:rPr>
      </w:pPr>
      <w:r>
        <w:rPr>
          <w:iCs/>
        </w:rPr>
        <w:t>There were s</w:t>
      </w:r>
      <w:r w:rsidR="00D27DF3" w:rsidRPr="009C69ED">
        <w:rPr>
          <w:iCs/>
        </w:rPr>
        <w:t xml:space="preserve">ignificant differences between the trials </w:t>
      </w:r>
      <w:r>
        <w:rPr>
          <w:iCs/>
        </w:rPr>
        <w:t xml:space="preserve">used in the indirect comparisons that </w:t>
      </w:r>
      <w:r w:rsidR="00D27DF3" w:rsidRPr="009C69ED">
        <w:rPr>
          <w:iCs/>
        </w:rPr>
        <w:t>affect</w:t>
      </w:r>
      <w:r>
        <w:rPr>
          <w:iCs/>
        </w:rPr>
        <w:t>ed</w:t>
      </w:r>
      <w:r w:rsidR="00D27DF3" w:rsidRPr="009C69ED">
        <w:rPr>
          <w:iCs/>
        </w:rPr>
        <w:t xml:space="preserve"> exchangeability, including: the extent of anatomical disease (more severe for budesonide CR trials), the use of concomitant 5-ASA (taken concurrently in CONTRIBUTE, not allowed in CORE I and II and permitted in </w:t>
      </w:r>
      <w:proofErr w:type="spellStart"/>
      <w:r w:rsidR="00D27DF3" w:rsidRPr="009C69ED">
        <w:rPr>
          <w:iCs/>
        </w:rPr>
        <w:t>Naganuma</w:t>
      </w:r>
      <w:proofErr w:type="spellEnd"/>
      <w:r w:rsidR="00D27DF3" w:rsidRPr="009C69ED">
        <w:rPr>
          <w:iCs/>
        </w:rPr>
        <w:t xml:space="preserve"> 2016, BUCF3001 and 3002), prior use of 5-ASA (100% in CONTRIBUTE versus 50 to 75% in CORE I and II, BUCF3001 and BUCF3002 and 87% in </w:t>
      </w:r>
      <w:proofErr w:type="spellStart"/>
      <w:r w:rsidR="00D27DF3" w:rsidRPr="009C69ED">
        <w:rPr>
          <w:iCs/>
        </w:rPr>
        <w:t>Naganuma</w:t>
      </w:r>
      <w:proofErr w:type="spellEnd"/>
      <w:r w:rsidR="00D27DF3" w:rsidRPr="009C69ED">
        <w:rPr>
          <w:iCs/>
        </w:rPr>
        <w:t xml:space="preserve"> 2016) and the timing of trial assessments (Week 8 for budesonide CR and Week 6 for budesonide foam enema trials).  </w:t>
      </w:r>
      <w:r>
        <w:rPr>
          <w:iCs/>
        </w:rPr>
        <w:t>Consequently</w:t>
      </w:r>
      <w:r w:rsidR="00D27DF3" w:rsidRPr="009C69ED">
        <w:rPr>
          <w:iCs/>
        </w:rPr>
        <w:t>, the placebo response rates differed significantly across the trials, with much high</w:t>
      </w:r>
      <w:r w:rsidR="00713B8A" w:rsidRPr="009C69ED">
        <w:rPr>
          <w:iCs/>
        </w:rPr>
        <w:t>er</w:t>
      </w:r>
      <w:r w:rsidR="00D27DF3" w:rsidRPr="009C69ED">
        <w:rPr>
          <w:iCs/>
        </w:rPr>
        <w:t xml:space="preserve"> placebo responses noted for the enema trials (</w:t>
      </w:r>
      <w:r w:rsidR="00D27DF3" w:rsidRPr="009C69ED">
        <w:rPr>
          <w:iCs/>
        </w:rPr>
        <w:sym w:font="Symbol" w:char="F0BB"/>
      </w:r>
      <w:r w:rsidR="00D27DF3" w:rsidRPr="009C69ED">
        <w:rPr>
          <w:iCs/>
        </w:rPr>
        <w:t xml:space="preserve">23% for budesonide foam enema trials versus </w:t>
      </w:r>
      <w:r w:rsidR="00D27DF3" w:rsidRPr="009C69ED">
        <w:rPr>
          <w:iCs/>
        </w:rPr>
        <w:sym w:font="Symbol" w:char="F0BB"/>
      </w:r>
      <w:r w:rsidR="00D27DF3" w:rsidRPr="009C69ED">
        <w:rPr>
          <w:iCs/>
        </w:rPr>
        <w:t>7% a</w:t>
      </w:r>
      <w:r w:rsidR="00D27DF3" w:rsidRPr="00EA21BF">
        <w:rPr>
          <w:iCs/>
        </w:rPr>
        <w:t xml:space="preserve">nd </w:t>
      </w:r>
      <w:r w:rsidR="00F82904">
        <w:rPr>
          <w:rFonts w:ascii="Calibri" w:eastAsia="Calibri" w:hAnsi="Calibri" w:cs="Arial"/>
          <w:iCs/>
          <w:noProof/>
          <w:color w:val="000000"/>
          <w:highlight w:val="black"/>
        </w:rPr>
        <w:t>'''''</w:t>
      </w:r>
      <w:r w:rsidR="00C02AD3" w:rsidRPr="00EA21BF">
        <w:rPr>
          <w:rFonts w:ascii="Calibri" w:eastAsia="Calibri" w:hAnsi="Calibri" w:cs="Arial"/>
          <w:iCs/>
        </w:rPr>
        <w:t>%</w:t>
      </w:r>
      <w:r w:rsidR="00D27DF3" w:rsidRPr="00EA21BF">
        <w:rPr>
          <w:iCs/>
        </w:rPr>
        <w:t xml:space="preserve"> for budesonide CR trials when using the trial defined and adjusted definitions of remission and 40% for budesonide enema trials versus </w:t>
      </w:r>
      <w:r w:rsidR="00F82904">
        <w:rPr>
          <w:rFonts w:ascii="Calibri" w:eastAsia="Calibri" w:hAnsi="Calibri" w:cs="Arial"/>
          <w:iCs/>
          <w:noProof/>
          <w:color w:val="000000"/>
          <w:highlight w:val="black"/>
        </w:rPr>
        <w:t>''''''</w:t>
      </w:r>
      <w:r w:rsidR="00D27DF3" w:rsidRPr="00EA21BF">
        <w:rPr>
          <w:iCs/>
        </w:rPr>
        <w:t>%</w:t>
      </w:r>
      <w:r w:rsidR="00D27DF3" w:rsidRPr="009C69ED">
        <w:rPr>
          <w:iCs/>
        </w:rPr>
        <w:t xml:space="preserve"> for budesonide CR trials for the outcome of mucosal appearance).  Such differences reaffirm that the transitivity may have been violated</w:t>
      </w:r>
      <w:r w:rsidR="00A70653">
        <w:rPr>
          <w:iCs/>
        </w:rPr>
        <w:t xml:space="preserve"> and hence the results of the indirect comparison may not be reliable</w:t>
      </w:r>
      <w:r w:rsidR="00D27DF3" w:rsidRPr="009C69ED">
        <w:rPr>
          <w:iCs/>
        </w:rPr>
        <w:t xml:space="preserve">. </w:t>
      </w:r>
    </w:p>
    <w:p w:rsidR="00400B96" w:rsidRDefault="00E31F95" w:rsidP="00433636">
      <w:pPr>
        <w:pStyle w:val="ListParagraph"/>
        <w:numPr>
          <w:ilvl w:val="2"/>
          <w:numId w:val="13"/>
        </w:numPr>
        <w:spacing w:before="0" w:after="120"/>
        <w:ind w:left="1134" w:hanging="425"/>
        <w:jc w:val="both"/>
        <w:rPr>
          <w:iCs/>
        </w:rPr>
      </w:pPr>
      <w:r>
        <w:rPr>
          <w:iCs/>
        </w:rPr>
        <w:t>A</w:t>
      </w:r>
      <w:r w:rsidRPr="00577B2E">
        <w:rPr>
          <w:iCs/>
        </w:rPr>
        <w:t xml:space="preserve"> </w:t>
      </w:r>
      <w:r w:rsidR="00845ADB" w:rsidRPr="00577B2E">
        <w:rPr>
          <w:iCs/>
        </w:rPr>
        <w:t xml:space="preserve">non-inferiority margin was </w:t>
      </w:r>
      <w:r>
        <w:rPr>
          <w:iCs/>
        </w:rPr>
        <w:t xml:space="preserve">not </w:t>
      </w:r>
      <w:r w:rsidR="00845ADB" w:rsidRPr="00577B2E">
        <w:rPr>
          <w:iCs/>
        </w:rPr>
        <w:t xml:space="preserve">nominated by the submission. </w:t>
      </w:r>
      <w:r w:rsidR="00845ADB" w:rsidRPr="00577B2E">
        <w:t xml:space="preserve"> </w:t>
      </w:r>
      <w:r w:rsidR="00845ADB" w:rsidRPr="00577B2E">
        <w:rPr>
          <w:iCs/>
        </w:rPr>
        <w:t>The PBAC ha</w:t>
      </w:r>
      <w:r w:rsidR="00A70653">
        <w:rPr>
          <w:iCs/>
        </w:rPr>
        <w:t>s</w:t>
      </w:r>
      <w:r w:rsidR="00845ADB" w:rsidRPr="00577B2E">
        <w:rPr>
          <w:iCs/>
        </w:rPr>
        <w:t xml:space="preserve"> previously considered a non-inferiority margin of 10-15% to be reasonable for </w:t>
      </w:r>
      <w:r w:rsidR="00196395">
        <w:rPr>
          <w:iCs/>
        </w:rPr>
        <w:t xml:space="preserve">absolute difference in </w:t>
      </w:r>
      <w:r w:rsidR="00845ADB" w:rsidRPr="00577B2E">
        <w:rPr>
          <w:iCs/>
        </w:rPr>
        <w:t xml:space="preserve">remission in </w:t>
      </w:r>
      <w:r w:rsidR="00E64AA8" w:rsidRPr="00577B2E">
        <w:rPr>
          <w:iCs/>
        </w:rPr>
        <w:t>UC</w:t>
      </w:r>
      <w:r w:rsidR="00845ADB" w:rsidRPr="00577B2E">
        <w:rPr>
          <w:iCs/>
        </w:rPr>
        <w:t>.  If this margin was to be adopted for this submission, then none of the indirect comparison results</w:t>
      </w:r>
      <w:r w:rsidR="00371AB4" w:rsidRPr="00577B2E">
        <w:rPr>
          <w:iCs/>
        </w:rPr>
        <w:t xml:space="preserve"> except for the outcome of trial defined remission when comparing the </w:t>
      </w:r>
      <w:r w:rsidR="00371AB4" w:rsidRPr="00577B2E">
        <w:t xml:space="preserve">post </w:t>
      </w:r>
      <w:r w:rsidR="00371AB4" w:rsidRPr="00577B2E">
        <w:rPr>
          <w:iCs/>
        </w:rPr>
        <w:t xml:space="preserve">hoc results from patients with Proctosigmoiditis/distal colitis CORE I &amp; II for budesonide CR vs budesonide foam enema (excluding </w:t>
      </w:r>
      <w:proofErr w:type="spellStart"/>
      <w:r w:rsidR="00371AB4" w:rsidRPr="00577B2E">
        <w:rPr>
          <w:iCs/>
        </w:rPr>
        <w:t>Naganuma</w:t>
      </w:r>
      <w:proofErr w:type="spellEnd"/>
      <w:r w:rsidR="00371AB4" w:rsidRPr="00577B2E">
        <w:rPr>
          <w:iCs/>
        </w:rPr>
        <w:t xml:space="preserve"> 2016)</w:t>
      </w:r>
      <w:r w:rsidR="00845ADB" w:rsidRPr="00577B2E">
        <w:rPr>
          <w:iCs/>
        </w:rPr>
        <w:t xml:space="preserve"> would satisfied this criterion, as the lower 95% confidence interval for the indirect comparison results consistently exceeded the 15% margin.</w:t>
      </w:r>
    </w:p>
    <w:p w:rsidR="00845ADB" w:rsidRPr="00EA21BF" w:rsidRDefault="00845ADB" w:rsidP="00845ADB">
      <w:pPr>
        <w:pStyle w:val="ListParagraph"/>
        <w:numPr>
          <w:ilvl w:val="2"/>
          <w:numId w:val="13"/>
        </w:numPr>
        <w:spacing w:before="0" w:after="120"/>
        <w:ind w:left="1134" w:hanging="425"/>
        <w:jc w:val="both"/>
        <w:rPr>
          <w:iCs/>
        </w:rPr>
      </w:pPr>
      <w:r w:rsidRPr="00577B2E">
        <w:rPr>
          <w:iCs/>
        </w:rPr>
        <w:t xml:space="preserve">The submission’s conclusion of non-inferiority focused on results expressed in the relative risk (RR) statistic which favoured budesonide CR.  </w:t>
      </w:r>
      <w:r w:rsidR="002E704D">
        <w:rPr>
          <w:iCs/>
        </w:rPr>
        <w:t>Unlike</w:t>
      </w:r>
      <w:r w:rsidRPr="00577B2E">
        <w:rPr>
          <w:iCs/>
        </w:rPr>
        <w:t xml:space="preserve"> RR, risk difference</w:t>
      </w:r>
      <w:r w:rsidR="002E704D">
        <w:rPr>
          <w:iCs/>
        </w:rPr>
        <w:t>s</w:t>
      </w:r>
      <w:r w:rsidRPr="00577B2E">
        <w:rPr>
          <w:iCs/>
        </w:rPr>
        <w:t xml:space="preserve"> (RD) generally do not favour budesonide CR</w:t>
      </w:r>
      <w:r w:rsidR="00EE5F21">
        <w:rPr>
          <w:iCs/>
        </w:rPr>
        <w:t>,</w:t>
      </w:r>
      <w:r w:rsidR="002E704D">
        <w:rPr>
          <w:iCs/>
        </w:rPr>
        <w:t xml:space="preserve"> </w:t>
      </w:r>
      <w:r w:rsidRPr="00577B2E">
        <w:rPr>
          <w:iCs/>
        </w:rPr>
        <w:t>with a</w:t>
      </w:r>
      <w:r w:rsidR="002E704D">
        <w:rPr>
          <w:iCs/>
        </w:rPr>
        <w:t xml:space="preserve"> significantly</w:t>
      </w:r>
      <w:r w:rsidRPr="00577B2E">
        <w:rPr>
          <w:iCs/>
        </w:rPr>
        <w:t xml:space="preserve"> lower proportion of patients attaining remission with budesonide CR versus budesonide foam enemas (</w:t>
      </w:r>
      <w:r w:rsidRPr="00EA21BF">
        <w:rPr>
          <w:iCs/>
        </w:rPr>
        <w:t>RD (95%CI):</w:t>
      </w:r>
      <w:r w:rsidR="00D27DF3" w:rsidRPr="00EA21BF">
        <w:rPr>
          <w:iCs/>
        </w:rPr>
        <w:t xml:space="preserve"> </w:t>
      </w:r>
      <w:r w:rsidRPr="00EA21BF">
        <w:rPr>
          <w:iCs/>
        </w:rPr>
        <w:t>-0.11(-0.21, -0.</w:t>
      </w:r>
      <w:r w:rsidR="004E27AF" w:rsidRPr="00EA21BF">
        <w:rPr>
          <w:rFonts w:ascii="Calibri" w:eastAsia="Calibri" w:hAnsi="Calibri" w:cs="Arial"/>
          <w:iCs/>
        </w:rPr>
        <w:t xml:space="preserve"> 01</w:t>
      </w:r>
      <w:r w:rsidRPr="00EA21BF">
        <w:rPr>
          <w:iCs/>
        </w:rPr>
        <w:t>)</w:t>
      </w:r>
      <w:r w:rsidR="00172FB7" w:rsidRPr="00EA21BF">
        <w:rPr>
          <w:iCs/>
        </w:rPr>
        <w:t>)</w:t>
      </w:r>
      <w:r w:rsidRPr="00EA21BF">
        <w:rPr>
          <w:iCs/>
        </w:rPr>
        <w:t>.</w:t>
      </w:r>
    </w:p>
    <w:p w:rsidR="00D27DF3" w:rsidRPr="00B04F2E" w:rsidRDefault="00D27DF3" w:rsidP="00D27DF3">
      <w:pPr>
        <w:pStyle w:val="ListParagraph"/>
        <w:numPr>
          <w:ilvl w:val="2"/>
          <w:numId w:val="13"/>
        </w:numPr>
        <w:spacing w:before="0" w:after="120"/>
        <w:ind w:left="1134" w:hanging="425"/>
        <w:jc w:val="both"/>
        <w:rPr>
          <w:iCs/>
        </w:rPr>
      </w:pPr>
      <w:r w:rsidRPr="00EA21BF">
        <w:t xml:space="preserve">The ESC noted using a non-inferiority margin of 12-20% for the RR, as proposed in the PSCR (p3), only 1 of the 4 comparisons using the individual trial definitions of </w:t>
      </w:r>
      <w:r w:rsidR="00A30EEA" w:rsidRPr="00EA21BF">
        <w:t>remission</w:t>
      </w:r>
      <w:r w:rsidRPr="00EA21BF">
        <w:t xml:space="preserve"> met this criterion (the post-hoc analysis using only patients with Proctosigmoiditis/distal colitis and excluding </w:t>
      </w:r>
      <w:proofErr w:type="spellStart"/>
      <w:r w:rsidRPr="00EA21BF">
        <w:t>Naganuma</w:t>
      </w:r>
      <w:proofErr w:type="spellEnd"/>
      <w:r w:rsidRPr="00EA21BF">
        <w:t xml:space="preserve"> 2016, indirect RR=1.69, 95% CI 0.84,3.</w:t>
      </w:r>
      <w:r w:rsidR="004E27AF" w:rsidRPr="00EA21BF">
        <w:rPr>
          <w:rFonts w:ascii="Calibri" w:eastAsia="Calibri" w:hAnsi="Calibri" w:cs="Arial"/>
        </w:rPr>
        <w:t xml:space="preserve"> 40</w:t>
      </w:r>
      <w:r w:rsidRPr="00EA21BF">
        <w:t>). With the adjusted remission definition for the CORE I and CORE II trials none of the comparisons</w:t>
      </w:r>
      <w:r w:rsidRPr="00B04F2E">
        <w:t xml:space="preserve"> met this criterion.</w:t>
      </w:r>
      <w:r w:rsidRPr="00B04F2E">
        <w:rPr>
          <w:iCs/>
        </w:rPr>
        <w:t xml:space="preserve"> </w:t>
      </w:r>
    </w:p>
    <w:p w:rsidR="00845ADB" w:rsidRPr="00577B2E" w:rsidRDefault="00845ADB" w:rsidP="00845ADB">
      <w:pPr>
        <w:pStyle w:val="ListParagraph"/>
        <w:numPr>
          <w:ilvl w:val="2"/>
          <w:numId w:val="13"/>
        </w:numPr>
        <w:spacing w:before="0" w:after="120"/>
        <w:ind w:left="1134" w:hanging="425"/>
        <w:jc w:val="both"/>
        <w:rPr>
          <w:iCs/>
        </w:rPr>
      </w:pPr>
      <w:r w:rsidRPr="00577B2E">
        <w:rPr>
          <w:iCs/>
        </w:rPr>
        <w:t xml:space="preserve">For the subgroup of patients with extensive UC or </w:t>
      </w:r>
      <w:proofErr w:type="spellStart"/>
      <w:r w:rsidRPr="00577B2E">
        <w:rPr>
          <w:iCs/>
        </w:rPr>
        <w:t>pancolitis</w:t>
      </w:r>
      <w:proofErr w:type="spellEnd"/>
      <w:r w:rsidRPr="00577B2E">
        <w:rPr>
          <w:iCs/>
        </w:rPr>
        <w:t xml:space="preserve">, the results of the subgroup analysis of CORE I and CORE II trials also did not find any significant differences in remission between budesonide CR and placebo treated patients, however the size of the subgroup is likely to be under powered to detect any statistically significant differences. </w:t>
      </w:r>
    </w:p>
    <w:p w:rsidR="00845ADB" w:rsidRDefault="008A2034" w:rsidP="00AA3262">
      <w:pPr>
        <w:pStyle w:val="ListParagraph"/>
        <w:numPr>
          <w:ilvl w:val="1"/>
          <w:numId w:val="3"/>
        </w:numPr>
        <w:spacing w:before="0" w:after="120"/>
        <w:jc w:val="both"/>
      </w:pPr>
      <w:r w:rsidRPr="00AA3262">
        <w:t xml:space="preserve">The ESC considered that an </w:t>
      </w:r>
      <w:r w:rsidR="0086348E" w:rsidRPr="00AA3262">
        <w:t xml:space="preserve">alternate conclusion </w:t>
      </w:r>
      <w:r w:rsidR="007A23D7" w:rsidRPr="00AA3262">
        <w:t xml:space="preserve">to the proposed clinical claim </w:t>
      </w:r>
      <w:r w:rsidR="008C1BD6" w:rsidRPr="00AA3262">
        <w:t>might be</w:t>
      </w:r>
      <w:r w:rsidR="007A23D7" w:rsidRPr="00AA3262">
        <w:t>,</w:t>
      </w:r>
      <w:r w:rsidR="008C1BD6" w:rsidRPr="00AA3262">
        <w:t xml:space="preserve"> </w:t>
      </w:r>
      <w:r w:rsidR="0086348E" w:rsidRPr="00AA3262">
        <w:t xml:space="preserve">there is </w:t>
      </w:r>
      <w:r w:rsidR="00845ADB" w:rsidRPr="00AA3262">
        <w:t xml:space="preserve">insufficient evidence </w:t>
      </w:r>
      <w:r w:rsidR="008C1BD6" w:rsidRPr="00AA3262">
        <w:t xml:space="preserve">to support that budesonide CR is </w:t>
      </w:r>
      <w:r w:rsidR="00845ADB" w:rsidRPr="00AA3262">
        <w:t xml:space="preserve">non-inferior to budesonide foam enema </w:t>
      </w:r>
      <w:r w:rsidR="008C1BD6" w:rsidRPr="00AA3262">
        <w:t>in terms of remission and mucosal appearance (or endoscopic sub</w:t>
      </w:r>
      <w:r w:rsidRPr="00AA3262">
        <w:t>-</w:t>
      </w:r>
      <w:r w:rsidR="008C1BD6" w:rsidRPr="00AA3262">
        <w:t xml:space="preserve">score) in patients with mild to moderate active </w:t>
      </w:r>
      <w:r w:rsidR="00E64AA8" w:rsidRPr="00AA3262">
        <w:t>UC</w:t>
      </w:r>
      <w:r w:rsidR="008C1BD6" w:rsidRPr="00AA3262">
        <w:t xml:space="preserve"> </w:t>
      </w:r>
      <w:r w:rsidR="00845ADB" w:rsidRPr="00AA3262">
        <w:t xml:space="preserve">based on </w:t>
      </w:r>
      <w:r w:rsidR="008C1BD6" w:rsidRPr="00AA3262">
        <w:t>a non-inferiority margin of 15%</w:t>
      </w:r>
      <w:r w:rsidR="00D27DF3" w:rsidRPr="00AA3262">
        <w:t xml:space="preserve"> for the risk difference</w:t>
      </w:r>
      <w:r w:rsidR="00A30EEA" w:rsidRPr="00AA3262">
        <w:t xml:space="preserve"> or 20% for the relative risk</w:t>
      </w:r>
      <w:r w:rsidR="008C1BD6" w:rsidRPr="00AA3262">
        <w:t>.</w:t>
      </w:r>
    </w:p>
    <w:p w:rsidR="00EE5F21" w:rsidRDefault="00A94469" w:rsidP="00EE5F21">
      <w:pPr>
        <w:pStyle w:val="ListParagraph"/>
        <w:numPr>
          <w:ilvl w:val="1"/>
          <w:numId w:val="3"/>
        </w:numPr>
        <w:spacing w:before="0" w:after="120"/>
        <w:jc w:val="both"/>
        <w:rPr>
          <w:rFonts w:cs="Arial"/>
          <w:snapToGrid w:val="0"/>
          <w:szCs w:val="20"/>
        </w:rPr>
      </w:pPr>
      <w:r w:rsidRPr="00143649">
        <w:rPr>
          <w:rFonts w:cs="Arial"/>
          <w:snapToGrid w:val="0"/>
          <w:szCs w:val="20"/>
        </w:rPr>
        <w:t>The PBAC considered that the claim of non-inferior comparative effectiveness was not adequately supported by the data</w:t>
      </w:r>
      <w:r w:rsidR="00846B8D" w:rsidRPr="00143649">
        <w:rPr>
          <w:rFonts w:cs="Arial"/>
          <w:snapToGrid w:val="0"/>
          <w:szCs w:val="20"/>
        </w:rPr>
        <w:t xml:space="preserve">. </w:t>
      </w:r>
    </w:p>
    <w:p w:rsidR="00A94469" w:rsidRPr="00EE5F21" w:rsidRDefault="00A94469" w:rsidP="00EE5F21">
      <w:pPr>
        <w:pStyle w:val="ListParagraph"/>
        <w:numPr>
          <w:ilvl w:val="1"/>
          <w:numId w:val="3"/>
        </w:numPr>
        <w:spacing w:before="0" w:after="120"/>
        <w:jc w:val="both"/>
        <w:rPr>
          <w:rFonts w:cs="Arial"/>
          <w:snapToGrid w:val="0"/>
          <w:szCs w:val="20"/>
        </w:rPr>
      </w:pPr>
      <w:r w:rsidRPr="00EE5F21">
        <w:rPr>
          <w:rFonts w:cs="Arial"/>
          <w:snapToGrid w:val="0"/>
          <w:szCs w:val="20"/>
        </w:rPr>
        <w:t>The PBAC considered that the claim of non-inferior comparative safety was reasonable.</w:t>
      </w:r>
    </w:p>
    <w:p w:rsidR="00C317F3" w:rsidRPr="00577B2E" w:rsidRDefault="00C317F3" w:rsidP="00792386">
      <w:pPr>
        <w:pStyle w:val="Heading2"/>
        <w:jc w:val="both"/>
      </w:pPr>
      <w:bookmarkStart w:id="27" w:name="_Toc413139282"/>
      <w:bookmarkStart w:id="28" w:name="_Toc480411365"/>
      <w:r w:rsidRPr="00577B2E">
        <w:t>Economic analysis</w:t>
      </w:r>
      <w:bookmarkEnd w:id="27"/>
      <w:bookmarkEnd w:id="28"/>
    </w:p>
    <w:p w:rsidR="00C317F3" w:rsidRPr="00B04F2E" w:rsidRDefault="00A00D77" w:rsidP="00845ADB">
      <w:pPr>
        <w:pStyle w:val="ListParagraph"/>
        <w:numPr>
          <w:ilvl w:val="1"/>
          <w:numId w:val="3"/>
        </w:numPr>
        <w:spacing w:before="0" w:after="120"/>
        <w:jc w:val="both"/>
      </w:pPr>
      <w:r w:rsidRPr="00B04F2E">
        <w:t>The submission present</w:t>
      </w:r>
      <w:r w:rsidR="008C1BD6" w:rsidRPr="00B04F2E">
        <w:t>ed</w:t>
      </w:r>
      <w:r w:rsidRPr="00B04F2E">
        <w:t xml:space="preserve"> a cost minimisation analysis of budesonide CR against budesonide foam enema. </w:t>
      </w:r>
      <w:r w:rsidR="008A2034" w:rsidRPr="00B04F2E">
        <w:t xml:space="preserve"> The ESC noted that this would only be appropriate if the PBAC considers that budesonide CR is non-inferior in efficacy to budesonide foam.</w:t>
      </w:r>
    </w:p>
    <w:p w:rsidR="00C317F3" w:rsidRPr="00577B2E" w:rsidRDefault="008C1BD6" w:rsidP="00A00D77">
      <w:pPr>
        <w:pStyle w:val="ListParagraph"/>
        <w:numPr>
          <w:ilvl w:val="1"/>
          <w:numId w:val="3"/>
        </w:numPr>
        <w:spacing w:before="0" w:after="120"/>
        <w:jc w:val="both"/>
      </w:pPr>
      <w:r w:rsidRPr="00577B2E">
        <w:t xml:space="preserve">The </w:t>
      </w:r>
      <w:proofErr w:type="spellStart"/>
      <w:r w:rsidRPr="00577B2E">
        <w:t>equi</w:t>
      </w:r>
      <w:proofErr w:type="spellEnd"/>
      <w:r w:rsidRPr="00577B2E">
        <w:t>-effective doses we</w:t>
      </w:r>
      <w:r w:rsidR="00F1303B" w:rsidRPr="00577B2E">
        <w:t xml:space="preserve">re estimated to be </w:t>
      </w:r>
      <w:r w:rsidR="00A00D77" w:rsidRPr="00577B2E">
        <w:t>budesonide CR 9</w:t>
      </w:r>
      <w:r w:rsidR="00F3128F">
        <w:t xml:space="preserve"> </w:t>
      </w:r>
      <w:r w:rsidR="00A00D77" w:rsidRPr="00577B2E">
        <w:t>mg orally once daily</w:t>
      </w:r>
      <w:r w:rsidR="00C317F3" w:rsidRPr="00577B2E">
        <w:t xml:space="preserve"> for </w:t>
      </w:r>
      <w:r w:rsidR="00172FB7" w:rsidRPr="00577B2E">
        <w:t xml:space="preserve">8 </w:t>
      </w:r>
      <w:r w:rsidR="00A00D77" w:rsidRPr="00577B2E">
        <w:t>weeks</w:t>
      </w:r>
      <w:r w:rsidR="00F1303B" w:rsidRPr="00577B2E">
        <w:t xml:space="preserve"> versus </w:t>
      </w:r>
      <w:r w:rsidR="00A00D77" w:rsidRPr="00577B2E">
        <w:t>budesonide foam enema 2</w:t>
      </w:r>
      <w:r w:rsidR="00F3128F">
        <w:t xml:space="preserve"> </w:t>
      </w:r>
      <w:r w:rsidR="00C317F3" w:rsidRPr="00577B2E">
        <w:t>mg</w:t>
      </w:r>
      <w:r w:rsidR="00A00D77" w:rsidRPr="00577B2E">
        <w:t>/25mL administered rectally once daily</w:t>
      </w:r>
      <w:r w:rsidR="00C317F3" w:rsidRPr="00577B2E">
        <w:t xml:space="preserve"> for </w:t>
      </w:r>
      <w:r w:rsidR="00A00D77" w:rsidRPr="00577B2E">
        <w:t>8 weeks</w:t>
      </w:r>
      <w:r w:rsidR="00C317F3" w:rsidRPr="00577B2E">
        <w:t xml:space="preserve">.  </w:t>
      </w:r>
      <w:r w:rsidR="005F5D5A" w:rsidRPr="00577B2E">
        <w:t>While t</w:t>
      </w:r>
      <w:r w:rsidRPr="00577B2E">
        <w:t>he dosage for budesonide CR was</w:t>
      </w:r>
      <w:r w:rsidR="00A00D77" w:rsidRPr="00577B2E">
        <w:t xml:space="preserve"> based on</w:t>
      </w:r>
      <w:r w:rsidRPr="00577B2E">
        <w:t xml:space="preserve"> the clinical trial doses</w:t>
      </w:r>
      <w:r w:rsidR="00F1303B" w:rsidRPr="00577B2E">
        <w:t>,</w:t>
      </w:r>
      <w:r w:rsidRPr="00577B2E">
        <w:t xml:space="preserve"> </w:t>
      </w:r>
      <w:r w:rsidR="00A00D77" w:rsidRPr="00577B2E">
        <w:t>the dose reg</w:t>
      </w:r>
      <w:r w:rsidR="005F5D5A" w:rsidRPr="00577B2E">
        <w:t>imen assumed for budesonide foam enema wa</w:t>
      </w:r>
      <w:r w:rsidR="00A00D77" w:rsidRPr="00577B2E">
        <w:t>s based on the maximum dose recommended in</w:t>
      </w:r>
      <w:r w:rsidR="005F5D5A" w:rsidRPr="00577B2E">
        <w:t xml:space="preserve"> its </w:t>
      </w:r>
      <w:r w:rsidR="00E31F95">
        <w:t>PI</w:t>
      </w:r>
      <w:r w:rsidR="005F5D5A" w:rsidRPr="00577B2E">
        <w:t xml:space="preserve">, which </w:t>
      </w:r>
      <w:r w:rsidR="00A00D77" w:rsidRPr="00577B2E">
        <w:rPr>
          <w:iCs/>
        </w:rPr>
        <w:t>differ</w:t>
      </w:r>
      <w:r w:rsidR="005F5D5A" w:rsidRPr="00577B2E">
        <w:rPr>
          <w:iCs/>
        </w:rPr>
        <w:t xml:space="preserve">ed </w:t>
      </w:r>
      <w:r w:rsidR="00A00D77" w:rsidRPr="00577B2E">
        <w:rPr>
          <w:iCs/>
        </w:rPr>
        <w:t>to the dos</w:t>
      </w:r>
      <w:r w:rsidR="005F5D5A" w:rsidRPr="00577B2E">
        <w:rPr>
          <w:iCs/>
        </w:rPr>
        <w:t xml:space="preserve">age used in the clinical trials.  The number of doses </w:t>
      </w:r>
      <w:r w:rsidR="0058030A" w:rsidRPr="00577B2E">
        <w:rPr>
          <w:iCs/>
        </w:rPr>
        <w:t xml:space="preserve">recommended in the PI was 56 </w:t>
      </w:r>
      <w:r w:rsidR="00A00D77" w:rsidRPr="00577B2E">
        <w:rPr>
          <w:iCs/>
        </w:rPr>
        <w:t xml:space="preserve">doses </w:t>
      </w:r>
      <w:r w:rsidR="0058030A" w:rsidRPr="00577B2E">
        <w:rPr>
          <w:iCs/>
        </w:rPr>
        <w:t xml:space="preserve">over 8 weeks compared to 56 doses over 6 weeks in </w:t>
      </w:r>
      <w:r w:rsidR="00A00D77" w:rsidRPr="00577B2E">
        <w:rPr>
          <w:iCs/>
        </w:rPr>
        <w:t>BUCF3001 and B</w:t>
      </w:r>
      <w:r w:rsidR="005F5D5A" w:rsidRPr="00577B2E">
        <w:rPr>
          <w:iCs/>
        </w:rPr>
        <w:t xml:space="preserve">UCF3002 </w:t>
      </w:r>
      <w:r w:rsidR="0058030A" w:rsidRPr="00577B2E">
        <w:rPr>
          <w:iCs/>
        </w:rPr>
        <w:t xml:space="preserve">and </w:t>
      </w:r>
      <w:r w:rsidR="005F5D5A" w:rsidRPr="00577B2E">
        <w:rPr>
          <w:iCs/>
        </w:rPr>
        <w:t>42 doses over 6 weeks</w:t>
      </w:r>
      <w:r w:rsidR="0058030A" w:rsidRPr="00577B2E">
        <w:rPr>
          <w:iCs/>
        </w:rPr>
        <w:t xml:space="preserve"> in </w:t>
      </w:r>
      <w:proofErr w:type="spellStart"/>
      <w:r w:rsidR="0058030A" w:rsidRPr="00577B2E">
        <w:rPr>
          <w:iCs/>
        </w:rPr>
        <w:t>Naganuma</w:t>
      </w:r>
      <w:proofErr w:type="spellEnd"/>
      <w:r w:rsidR="0058030A" w:rsidRPr="00577B2E">
        <w:rPr>
          <w:iCs/>
        </w:rPr>
        <w:t xml:space="preserve"> 2016</w:t>
      </w:r>
      <w:r w:rsidR="005F5D5A" w:rsidRPr="00577B2E">
        <w:rPr>
          <w:iCs/>
        </w:rPr>
        <w:t>.</w:t>
      </w:r>
    </w:p>
    <w:p w:rsidR="00C317F3" w:rsidRDefault="00092870" w:rsidP="00092870">
      <w:pPr>
        <w:pStyle w:val="ListParagraph"/>
        <w:numPr>
          <w:ilvl w:val="1"/>
          <w:numId w:val="3"/>
        </w:numPr>
        <w:spacing w:before="0" w:after="120"/>
        <w:jc w:val="both"/>
      </w:pPr>
      <w:r w:rsidRPr="00577B2E">
        <w:t xml:space="preserve">A comparison of budesonide CR with budesonide foam enema is presented in </w:t>
      </w:r>
      <w:r w:rsidR="0058030A" w:rsidRPr="00577B2E">
        <w:t>T</w:t>
      </w:r>
      <w:r w:rsidR="00232B36" w:rsidRPr="00577B2E">
        <w:t xml:space="preserve">able </w:t>
      </w:r>
      <w:r w:rsidR="008B2620">
        <w:t>7</w:t>
      </w:r>
      <w:r w:rsidRPr="00577B2E">
        <w:t xml:space="preserve">. </w:t>
      </w:r>
    </w:p>
    <w:p w:rsidR="008B2620" w:rsidRDefault="008B2620" w:rsidP="008B2620">
      <w:pPr>
        <w:pStyle w:val="Caption"/>
        <w:keepNext/>
      </w:pPr>
      <w:r>
        <w:t xml:space="preserve">Table </w:t>
      </w:r>
      <w:r w:rsidR="009C2BB0">
        <w:rPr>
          <w:noProof/>
        </w:rPr>
        <w:t>7</w:t>
      </w:r>
      <w:r w:rsidRPr="006C03B9">
        <w:t>: Comparison of cost of budesonide CR and budesonide foam enema</w:t>
      </w:r>
    </w:p>
    <w:tbl>
      <w:tblPr>
        <w:tblStyle w:val="TableGrid"/>
        <w:tblW w:w="9072"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Comparison of cost of budesonide CR and budesonide foam enema"/>
      </w:tblPr>
      <w:tblGrid>
        <w:gridCol w:w="2207"/>
        <w:gridCol w:w="1396"/>
        <w:gridCol w:w="1524"/>
        <w:gridCol w:w="969"/>
        <w:gridCol w:w="1417"/>
        <w:gridCol w:w="1559"/>
      </w:tblGrid>
      <w:tr w:rsidR="006D7890" w:rsidRPr="00577B2E" w:rsidTr="00255F1F">
        <w:trPr>
          <w:cnfStyle w:val="100000000000" w:firstRow="1" w:lastRow="0" w:firstColumn="0" w:lastColumn="0" w:oddVBand="0" w:evenVBand="0" w:oddHBand="0" w:evenHBand="0" w:firstRowFirstColumn="0" w:firstRowLastColumn="0" w:lastRowFirstColumn="0" w:lastRowLastColumn="0"/>
          <w:tblHeader/>
        </w:trPr>
        <w:tc>
          <w:tcPr>
            <w:tcW w:w="220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D7890" w:rsidRPr="00577B2E" w:rsidRDefault="006D7890" w:rsidP="000A5FD1">
            <w:pPr>
              <w:spacing w:before="0"/>
              <w:jc w:val="both"/>
              <w:rPr>
                <w:rFonts w:ascii="Arial Narrow" w:hAnsi="Arial Narrow"/>
                <w:sz w:val="20"/>
                <w:szCs w:val="20"/>
              </w:rPr>
            </w:pPr>
            <w:r w:rsidRPr="00577B2E">
              <w:rPr>
                <w:rFonts w:ascii="Arial Narrow" w:hAnsi="Arial Narrow"/>
                <w:sz w:val="20"/>
                <w:szCs w:val="20"/>
              </w:rPr>
              <w:t>Drug</w:t>
            </w:r>
          </w:p>
        </w:tc>
        <w:tc>
          <w:tcPr>
            <w:tcW w:w="139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D7890" w:rsidRPr="00577B2E" w:rsidRDefault="006D7890" w:rsidP="000A5FD1">
            <w:pPr>
              <w:spacing w:before="0"/>
              <w:jc w:val="both"/>
              <w:rPr>
                <w:rFonts w:ascii="Arial Narrow" w:hAnsi="Arial Narrow"/>
                <w:sz w:val="20"/>
                <w:szCs w:val="20"/>
              </w:rPr>
            </w:pPr>
            <w:r w:rsidRPr="00577B2E">
              <w:rPr>
                <w:rFonts w:ascii="Arial Narrow" w:hAnsi="Arial Narrow"/>
                <w:sz w:val="20"/>
                <w:szCs w:val="20"/>
              </w:rPr>
              <w:t>Max quantity</w:t>
            </w:r>
          </w:p>
        </w:tc>
        <w:tc>
          <w:tcPr>
            <w:tcW w:w="152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D7890" w:rsidRPr="00577B2E" w:rsidRDefault="006D7890" w:rsidP="000A5FD1">
            <w:pPr>
              <w:spacing w:before="0"/>
              <w:jc w:val="both"/>
              <w:rPr>
                <w:rFonts w:ascii="Arial Narrow" w:hAnsi="Arial Narrow"/>
                <w:sz w:val="20"/>
                <w:szCs w:val="20"/>
                <w:vertAlign w:val="superscript"/>
              </w:rPr>
            </w:pPr>
            <w:r w:rsidRPr="00577B2E">
              <w:rPr>
                <w:rFonts w:ascii="Arial Narrow" w:hAnsi="Arial Narrow"/>
                <w:sz w:val="20"/>
                <w:szCs w:val="20"/>
              </w:rPr>
              <w:t>Dosage</w:t>
            </w:r>
            <w:r w:rsidRPr="00577B2E">
              <w:rPr>
                <w:rFonts w:ascii="Arial Narrow" w:hAnsi="Arial Narrow"/>
                <w:sz w:val="20"/>
                <w:szCs w:val="20"/>
                <w:vertAlign w:val="superscript"/>
              </w:rPr>
              <w:t>1</w:t>
            </w:r>
          </w:p>
        </w:tc>
        <w:tc>
          <w:tcPr>
            <w:tcW w:w="9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D7890" w:rsidRPr="00577B2E" w:rsidRDefault="006D7890" w:rsidP="000A5FD1">
            <w:pPr>
              <w:spacing w:before="0"/>
              <w:jc w:val="both"/>
              <w:rPr>
                <w:rFonts w:ascii="Arial Narrow" w:hAnsi="Arial Narrow"/>
                <w:sz w:val="20"/>
                <w:szCs w:val="20"/>
              </w:rPr>
            </w:pPr>
            <w:r w:rsidRPr="00577B2E">
              <w:rPr>
                <w:rFonts w:ascii="Arial Narrow" w:hAnsi="Arial Narrow"/>
                <w:sz w:val="20"/>
                <w:szCs w:val="20"/>
              </w:rPr>
              <w:t>DPMQ</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D7890" w:rsidRPr="00577B2E" w:rsidRDefault="006D7890" w:rsidP="000A5FD1">
            <w:pPr>
              <w:spacing w:before="0"/>
              <w:jc w:val="both"/>
              <w:rPr>
                <w:rFonts w:ascii="Arial Narrow" w:hAnsi="Arial Narrow"/>
                <w:sz w:val="20"/>
                <w:szCs w:val="20"/>
              </w:rPr>
            </w:pPr>
            <w:r w:rsidRPr="00577B2E">
              <w:rPr>
                <w:rFonts w:ascii="Arial Narrow" w:hAnsi="Arial Narrow"/>
                <w:sz w:val="20"/>
                <w:szCs w:val="20"/>
              </w:rPr>
              <w:t>Cost/daily dose</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D7890" w:rsidRPr="00577B2E" w:rsidRDefault="006D7890" w:rsidP="000A5FD1">
            <w:pPr>
              <w:spacing w:before="0"/>
              <w:jc w:val="center"/>
              <w:rPr>
                <w:rFonts w:ascii="Arial Narrow" w:hAnsi="Arial Narrow"/>
                <w:sz w:val="20"/>
                <w:szCs w:val="20"/>
              </w:rPr>
            </w:pPr>
            <w:r w:rsidRPr="00577B2E">
              <w:rPr>
                <w:rFonts w:ascii="Arial Narrow" w:hAnsi="Arial Narrow"/>
                <w:sz w:val="20"/>
                <w:szCs w:val="20"/>
              </w:rPr>
              <w:t>Cost/course</w:t>
            </w:r>
          </w:p>
        </w:tc>
      </w:tr>
      <w:tr w:rsidR="006D7890" w:rsidRPr="00577B2E" w:rsidTr="00AA3262">
        <w:tc>
          <w:tcPr>
            <w:tcW w:w="2207" w:type="dxa"/>
            <w:tcBorders>
              <w:top w:val="single" w:sz="4" w:space="0" w:color="auto"/>
              <w:left w:val="single" w:sz="4" w:space="0" w:color="auto"/>
              <w:bottom w:val="single" w:sz="4" w:space="0" w:color="auto"/>
              <w:right w:val="single" w:sz="4" w:space="0" w:color="auto"/>
            </w:tcBorders>
            <w:vAlign w:val="center"/>
            <w:hideMark/>
          </w:tcPr>
          <w:p w:rsidR="006D7890" w:rsidRPr="00577B2E" w:rsidRDefault="006D7890" w:rsidP="000A5FD1">
            <w:pPr>
              <w:spacing w:before="0"/>
              <w:jc w:val="both"/>
              <w:rPr>
                <w:rFonts w:ascii="Arial Narrow" w:hAnsi="Arial Narrow"/>
                <w:sz w:val="20"/>
                <w:szCs w:val="20"/>
              </w:rPr>
            </w:pPr>
            <w:r w:rsidRPr="00577B2E">
              <w:rPr>
                <w:rFonts w:ascii="Arial Narrow" w:hAnsi="Arial Narrow"/>
                <w:sz w:val="20"/>
                <w:szCs w:val="20"/>
              </w:rPr>
              <w:t>Budesonide CR</w:t>
            </w:r>
          </w:p>
        </w:tc>
        <w:tc>
          <w:tcPr>
            <w:tcW w:w="1396" w:type="dxa"/>
            <w:tcBorders>
              <w:top w:val="single" w:sz="4" w:space="0" w:color="auto"/>
              <w:left w:val="single" w:sz="4" w:space="0" w:color="auto"/>
              <w:bottom w:val="single" w:sz="4" w:space="0" w:color="auto"/>
              <w:right w:val="single" w:sz="4" w:space="0" w:color="auto"/>
            </w:tcBorders>
            <w:vAlign w:val="center"/>
            <w:hideMark/>
          </w:tcPr>
          <w:p w:rsidR="006D7890" w:rsidRPr="00577B2E" w:rsidRDefault="006D7890" w:rsidP="000A5FD1">
            <w:pPr>
              <w:spacing w:before="0"/>
              <w:jc w:val="both"/>
              <w:rPr>
                <w:rFonts w:ascii="Arial Narrow" w:hAnsi="Arial Narrow"/>
                <w:sz w:val="20"/>
                <w:szCs w:val="20"/>
              </w:rPr>
            </w:pPr>
            <w:r w:rsidRPr="00577B2E">
              <w:rPr>
                <w:rFonts w:ascii="Arial Narrow" w:hAnsi="Arial Narrow"/>
                <w:sz w:val="20"/>
                <w:szCs w:val="20"/>
              </w:rPr>
              <w:t>30</w:t>
            </w:r>
          </w:p>
        </w:tc>
        <w:tc>
          <w:tcPr>
            <w:tcW w:w="1524" w:type="dxa"/>
            <w:tcBorders>
              <w:top w:val="single" w:sz="4" w:space="0" w:color="auto"/>
              <w:left w:val="single" w:sz="4" w:space="0" w:color="auto"/>
              <w:bottom w:val="single" w:sz="4" w:space="0" w:color="auto"/>
              <w:right w:val="single" w:sz="4" w:space="0" w:color="auto"/>
            </w:tcBorders>
            <w:vAlign w:val="center"/>
            <w:hideMark/>
          </w:tcPr>
          <w:p w:rsidR="006D7890" w:rsidRPr="00577B2E" w:rsidRDefault="006D7890" w:rsidP="00EA3E9E">
            <w:pPr>
              <w:spacing w:before="0"/>
              <w:jc w:val="both"/>
              <w:rPr>
                <w:rFonts w:ascii="Arial Narrow" w:hAnsi="Arial Narrow"/>
                <w:sz w:val="20"/>
                <w:szCs w:val="20"/>
              </w:rPr>
            </w:pPr>
            <w:r w:rsidRPr="00577B2E">
              <w:rPr>
                <w:rFonts w:ascii="Arial Narrow" w:hAnsi="Arial Narrow"/>
                <w:sz w:val="20"/>
                <w:szCs w:val="20"/>
              </w:rPr>
              <w:t xml:space="preserve">1 daily </w:t>
            </w:r>
            <w:r w:rsidR="00EA3E9E">
              <w:rPr>
                <w:rFonts w:ascii="Arial Narrow" w:hAnsi="Arial Narrow"/>
                <w:sz w:val="20"/>
                <w:szCs w:val="20"/>
              </w:rPr>
              <w:t xml:space="preserve"> up to </w:t>
            </w:r>
            <w:r w:rsidRPr="00577B2E">
              <w:rPr>
                <w:rFonts w:ascii="Arial Narrow" w:hAnsi="Arial Narrow"/>
                <w:sz w:val="20"/>
                <w:szCs w:val="20"/>
              </w:rPr>
              <w:t>8 weeks</w:t>
            </w:r>
          </w:p>
        </w:tc>
        <w:tc>
          <w:tcPr>
            <w:tcW w:w="969" w:type="dxa"/>
            <w:tcBorders>
              <w:top w:val="single" w:sz="4" w:space="0" w:color="auto"/>
              <w:left w:val="single" w:sz="4" w:space="0" w:color="auto"/>
              <w:bottom w:val="single" w:sz="4" w:space="0" w:color="auto"/>
              <w:right w:val="single" w:sz="4" w:space="0" w:color="auto"/>
            </w:tcBorders>
            <w:vAlign w:val="center"/>
            <w:hideMark/>
          </w:tcPr>
          <w:p w:rsidR="006D7890" w:rsidRPr="00577B2E" w:rsidRDefault="006D7890" w:rsidP="000A5FD1">
            <w:pPr>
              <w:spacing w:before="0"/>
              <w:jc w:val="both"/>
              <w:rPr>
                <w:rFonts w:ascii="Arial Narrow" w:hAnsi="Arial Narrow"/>
                <w:sz w:val="20"/>
                <w:szCs w:val="20"/>
              </w:rPr>
            </w:pPr>
            <w:r w:rsidRPr="00577B2E">
              <w:rPr>
                <w:rFonts w:ascii="Arial Narrow" w:hAnsi="Arial Narrow"/>
                <w:sz w:val="20"/>
                <w:szCs w:val="20"/>
              </w:rPr>
              <w:t>$</w:t>
            </w:r>
            <w:r w:rsidR="00F82904">
              <w:rPr>
                <w:rFonts w:ascii="Arial Narrow" w:hAnsi="Arial Narrow"/>
                <w:noProof/>
                <w:color w:val="000000"/>
                <w:sz w:val="20"/>
                <w:szCs w:val="20"/>
                <w:highlight w:val="black"/>
              </w:rPr>
              <w:t>'''''''''''''''</w:t>
            </w:r>
          </w:p>
        </w:tc>
        <w:tc>
          <w:tcPr>
            <w:tcW w:w="1417" w:type="dxa"/>
            <w:tcBorders>
              <w:top w:val="single" w:sz="4" w:space="0" w:color="auto"/>
              <w:left w:val="single" w:sz="4" w:space="0" w:color="auto"/>
              <w:bottom w:val="single" w:sz="4" w:space="0" w:color="auto"/>
              <w:right w:val="single" w:sz="4" w:space="0" w:color="auto"/>
            </w:tcBorders>
            <w:vAlign w:val="center"/>
            <w:hideMark/>
          </w:tcPr>
          <w:p w:rsidR="006D7890" w:rsidRPr="00577B2E" w:rsidRDefault="006D7890" w:rsidP="000A5FD1">
            <w:pPr>
              <w:spacing w:before="0"/>
              <w:jc w:val="both"/>
              <w:rPr>
                <w:rFonts w:ascii="Arial Narrow" w:hAnsi="Arial Narrow"/>
                <w:sz w:val="20"/>
                <w:szCs w:val="20"/>
              </w:rPr>
            </w:pPr>
            <w:r w:rsidRPr="00577B2E">
              <w:rPr>
                <w:rFonts w:ascii="Arial Narrow" w:hAnsi="Arial Narrow"/>
                <w:sz w:val="20"/>
                <w:szCs w:val="20"/>
              </w:rPr>
              <w:t>$</w:t>
            </w:r>
            <w:r w:rsidR="00F82904">
              <w:rPr>
                <w:rFonts w:ascii="Arial Narrow" w:hAnsi="Arial Narrow"/>
                <w:noProof/>
                <w:color w:val="000000"/>
                <w:sz w:val="20"/>
                <w:szCs w:val="20"/>
                <w:highlight w:val="black"/>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6D7890" w:rsidRPr="00F936F2" w:rsidRDefault="006D7890" w:rsidP="00F936F2">
            <w:pPr>
              <w:spacing w:before="0"/>
              <w:rPr>
                <w:rFonts w:ascii="Arial Narrow" w:hAnsi="Arial Narrow"/>
                <w:sz w:val="20"/>
                <w:szCs w:val="20"/>
                <w:vertAlign w:val="superscript"/>
              </w:rPr>
            </w:pPr>
            <w:r w:rsidRPr="00577B2E">
              <w:rPr>
                <w:rFonts w:ascii="Arial Narrow" w:hAnsi="Arial Narrow"/>
                <w:sz w:val="20"/>
                <w:szCs w:val="20"/>
              </w:rPr>
              <w:t>$</w:t>
            </w:r>
            <w:r w:rsidR="00F82904">
              <w:rPr>
                <w:rFonts w:ascii="Arial Narrow" w:hAnsi="Arial Narrow"/>
                <w:noProof/>
                <w:color w:val="000000"/>
                <w:sz w:val="20"/>
                <w:szCs w:val="20"/>
                <w:highlight w:val="black"/>
              </w:rPr>
              <w:t>'''''''''''''''</w:t>
            </w:r>
            <w:r w:rsidR="00323BE9" w:rsidRPr="00CB055A">
              <w:rPr>
                <w:rFonts w:ascii="Arial Narrow" w:hAnsi="Arial Narrow"/>
                <w:sz w:val="20"/>
                <w:szCs w:val="20"/>
                <w:vertAlign w:val="superscript"/>
              </w:rPr>
              <w:t>a</w:t>
            </w:r>
          </w:p>
        </w:tc>
      </w:tr>
      <w:tr w:rsidR="006D7890" w:rsidRPr="00577B2E" w:rsidTr="00AA3262">
        <w:tc>
          <w:tcPr>
            <w:tcW w:w="2207" w:type="dxa"/>
            <w:tcBorders>
              <w:top w:val="single" w:sz="4" w:space="0" w:color="auto"/>
              <w:left w:val="single" w:sz="4" w:space="0" w:color="auto"/>
              <w:bottom w:val="single" w:sz="4" w:space="0" w:color="auto"/>
              <w:right w:val="single" w:sz="4" w:space="0" w:color="auto"/>
            </w:tcBorders>
            <w:vAlign w:val="center"/>
            <w:hideMark/>
          </w:tcPr>
          <w:p w:rsidR="006D7890" w:rsidRPr="00577B2E" w:rsidRDefault="006D7890" w:rsidP="000A5FD1">
            <w:pPr>
              <w:spacing w:before="0"/>
              <w:rPr>
                <w:rFonts w:ascii="Arial Narrow" w:hAnsi="Arial Narrow"/>
                <w:sz w:val="20"/>
                <w:szCs w:val="20"/>
              </w:rPr>
            </w:pPr>
            <w:r w:rsidRPr="00577B2E">
              <w:rPr>
                <w:rFonts w:ascii="Arial Narrow" w:hAnsi="Arial Narrow"/>
                <w:sz w:val="20"/>
                <w:szCs w:val="20"/>
              </w:rPr>
              <w:t xml:space="preserve">Budesonide Foam </w:t>
            </w:r>
            <w:r w:rsidRPr="00F3128F">
              <w:rPr>
                <w:rFonts w:ascii="Arial Narrow" w:hAnsi="Arial Narrow"/>
                <w:sz w:val="20"/>
                <w:szCs w:val="20"/>
              </w:rPr>
              <w:t>2</w:t>
            </w:r>
            <w:r w:rsidR="00F3128F">
              <w:rPr>
                <w:rFonts w:ascii="Arial Narrow" w:hAnsi="Arial Narrow"/>
                <w:sz w:val="20"/>
                <w:szCs w:val="20"/>
              </w:rPr>
              <w:t> </w:t>
            </w:r>
            <w:r w:rsidRPr="00F3128F">
              <w:rPr>
                <w:rFonts w:ascii="Arial Narrow" w:hAnsi="Arial Narrow"/>
                <w:sz w:val="20"/>
                <w:szCs w:val="20"/>
              </w:rPr>
              <w:t>mg</w:t>
            </w:r>
            <w:r w:rsidRPr="00577B2E">
              <w:rPr>
                <w:rFonts w:ascii="Arial Narrow" w:hAnsi="Arial Narrow"/>
                <w:sz w:val="20"/>
                <w:szCs w:val="20"/>
              </w:rPr>
              <w:t>/20mL</w:t>
            </w:r>
          </w:p>
        </w:tc>
        <w:tc>
          <w:tcPr>
            <w:tcW w:w="1396" w:type="dxa"/>
            <w:tcBorders>
              <w:top w:val="single" w:sz="4" w:space="0" w:color="auto"/>
              <w:left w:val="single" w:sz="4" w:space="0" w:color="auto"/>
              <w:bottom w:val="single" w:sz="4" w:space="0" w:color="auto"/>
              <w:right w:val="single" w:sz="4" w:space="0" w:color="auto"/>
            </w:tcBorders>
            <w:vAlign w:val="center"/>
            <w:hideMark/>
          </w:tcPr>
          <w:p w:rsidR="006D7890" w:rsidRPr="00577B2E" w:rsidRDefault="006D7890" w:rsidP="000A5FD1">
            <w:pPr>
              <w:spacing w:before="0"/>
              <w:jc w:val="both"/>
              <w:rPr>
                <w:rFonts w:ascii="Arial Narrow" w:hAnsi="Arial Narrow"/>
                <w:sz w:val="20"/>
                <w:szCs w:val="20"/>
              </w:rPr>
            </w:pPr>
            <w:r w:rsidRPr="00577B2E">
              <w:rPr>
                <w:rFonts w:ascii="Arial Narrow" w:hAnsi="Arial Narrow"/>
                <w:sz w:val="20"/>
                <w:szCs w:val="20"/>
              </w:rPr>
              <w:t>28 applications</w:t>
            </w:r>
          </w:p>
        </w:tc>
        <w:tc>
          <w:tcPr>
            <w:tcW w:w="1524" w:type="dxa"/>
            <w:tcBorders>
              <w:top w:val="single" w:sz="4" w:space="0" w:color="auto"/>
              <w:left w:val="single" w:sz="4" w:space="0" w:color="auto"/>
              <w:bottom w:val="single" w:sz="4" w:space="0" w:color="auto"/>
              <w:right w:val="single" w:sz="4" w:space="0" w:color="auto"/>
            </w:tcBorders>
            <w:vAlign w:val="center"/>
            <w:hideMark/>
          </w:tcPr>
          <w:p w:rsidR="006D7890" w:rsidRPr="00577B2E" w:rsidRDefault="006D7890" w:rsidP="000A5FD1">
            <w:pPr>
              <w:spacing w:before="0"/>
              <w:jc w:val="both"/>
              <w:rPr>
                <w:rFonts w:ascii="Arial Narrow" w:hAnsi="Arial Narrow"/>
                <w:sz w:val="20"/>
                <w:szCs w:val="20"/>
              </w:rPr>
            </w:pPr>
            <w:r w:rsidRPr="00577B2E">
              <w:rPr>
                <w:rFonts w:ascii="Arial Narrow" w:hAnsi="Arial Narrow"/>
                <w:sz w:val="20"/>
                <w:szCs w:val="20"/>
              </w:rPr>
              <w:t>1 daily 6-8 weeks</w:t>
            </w:r>
          </w:p>
        </w:tc>
        <w:tc>
          <w:tcPr>
            <w:tcW w:w="969" w:type="dxa"/>
            <w:tcBorders>
              <w:top w:val="single" w:sz="4" w:space="0" w:color="auto"/>
              <w:left w:val="single" w:sz="4" w:space="0" w:color="auto"/>
              <w:bottom w:val="single" w:sz="4" w:space="0" w:color="auto"/>
              <w:right w:val="single" w:sz="4" w:space="0" w:color="auto"/>
            </w:tcBorders>
            <w:vAlign w:val="center"/>
            <w:hideMark/>
          </w:tcPr>
          <w:p w:rsidR="006D7890" w:rsidRPr="00577B2E" w:rsidRDefault="006D7890" w:rsidP="000A5FD1">
            <w:pPr>
              <w:spacing w:before="0"/>
              <w:jc w:val="both"/>
              <w:rPr>
                <w:rFonts w:ascii="Arial Narrow" w:hAnsi="Arial Narrow"/>
                <w:sz w:val="20"/>
                <w:szCs w:val="20"/>
              </w:rPr>
            </w:pPr>
            <w:r w:rsidRPr="00577B2E">
              <w:rPr>
                <w:rFonts w:ascii="Arial Narrow" w:hAnsi="Arial Narrow"/>
                <w:sz w:val="20"/>
                <w:szCs w:val="20"/>
              </w:rPr>
              <w:t>$</w:t>
            </w:r>
            <w:r w:rsidRPr="00A5391E">
              <w:rPr>
                <w:rFonts w:ascii="Arial Narrow" w:hAnsi="Arial Narrow"/>
                <w:sz w:val="20"/>
                <w:szCs w:val="20"/>
              </w:rPr>
              <w:t>188.11</w:t>
            </w:r>
          </w:p>
        </w:tc>
        <w:tc>
          <w:tcPr>
            <w:tcW w:w="1417" w:type="dxa"/>
            <w:tcBorders>
              <w:top w:val="single" w:sz="4" w:space="0" w:color="auto"/>
              <w:left w:val="single" w:sz="4" w:space="0" w:color="auto"/>
              <w:bottom w:val="single" w:sz="4" w:space="0" w:color="auto"/>
              <w:right w:val="single" w:sz="4" w:space="0" w:color="auto"/>
            </w:tcBorders>
            <w:vAlign w:val="center"/>
            <w:hideMark/>
          </w:tcPr>
          <w:p w:rsidR="006D7890" w:rsidRPr="00577B2E" w:rsidRDefault="006D7890" w:rsidP="000A5FD1">
            <w:pPr>
              <w:spacing w:before="0"/>
              <w:jc w:val="both"/>
              <w:rPr>
                <w:rFonts w:ascii="Arial Narrow" w:hAnsi="Arial Narrow"/>
                <w:sz w:val="20"/>
                <w:szCs w:val="20"/>
              </w:rPr>
            </w:pPr>
            <w:r w:rsidRPr="00577B2E">
              <w:rPr>
                <w:rFonts w:ascii="Arial Narrow" w:hAnsi="Arial Narrow"/>
                <w:sz w:val="20"/>
                <w:szCs w:val="20"/>
              </w:rPr>
              <w:t>$</w:t>
            </w:r>
            <w:r w:rsidRPr="00A5391E">
              <w:rPr>
                <w:rFonts w:ascii="Arial Narrow" w:hAnsi="Arial Narrow"/>
                <w:sz w:val="20"/>
                <w:szCs w:val="20"/>
              </w:rPr>
              <w:t>6.72</w:t>
            </w:r>
          </w:p>
        </w:tc>
        <w:tc>
          <w:tcPr>
            <w:tcW w:w="1559" w:type="dxa"/>
            <w:tcBorders>
              <w:top w:val="single" w:sz="4" w:space="0" w:color="auto"/>
              <w:left w:val="single" w:sz="4" w:space="0" w:color="auto"/>
              <w:bottom w:val="single" w:sz="4" w:space="0" w:color="auto"/>
              <w:right w:val="single" w:sz="4" w:space="0" w:color="auto"/>
            </w:tcBorders>
            <w:vAlign w:val="center"/>
            <w:hideMark/>
          </w:tcPr>
          <w:p w:rsidR="006D7890" w:rsidRPr="00577B2E" w:rsidRDefault="006D7890" w:rsidP="00F3128F">
            <w:pPr>
              <w:spacing w:before="0"/>
              <w:rPr>
                <w:rFonts w:ascii="Arial Narrow" w:hAnsi="Arial Narrow"/>
                <w:sz w:val="20"/>
                <w:szCs w:val="20"/>
              </w:rPr>
            </w:pPr>
            <w:r w:rsidRPr="00577B2E">
              <w:rPr>
                <w:rFonts w:ascii="Arial Narrow" w:hAnsi="Arial Narrow"/>
                <w:sz w:val="20"/>
                <w:szCs w:val="20"/>
              </w:rPr>
              <w:t>$</w:t>
            </w:r>
            <w:r w:rsidRPr="00A5391E">
              <w:rPr>
                <w:rFonts w:ascii="Arial Narrow" w:hAnsi="Arial Narrow"/>
                <w:sz w:val="20"/>
                <w:szCs w:val="20"/>
              </w:rPr>
              <w:t>282.17-$376.22</w:t>
            </w:r>
          </w:p>
        </w:tc>
      </w:tr>
    </w:tbl>
    <w:p w:rsidR="0092540F" w:rsidRPr="00577B2E" w:rsidRDefault="0092540F" w:rsidP="00AA3262">
      <w:pPr>
        <w:spacing w:before="0" w:after="0"/>
        <w:jc w:val="both"/>
        <w:rPr>
          <w:rFonts w:ascii="Arial Narrow" w:hAnsi="Arial Narrow"/>
          <w:sz w:val="18"/>
          <w:szCs w:val="20"/>
        </w:rPr>
      </w:pPr>
      <w:r w:rsidRPr="00577B2E">
        <w:rPr>
          <w:rFonts w:ascii="Arial Narrow" w:hAnsi="Arial Narrow"/>
          <w:sz w:val="18"/>
          <w:szCs w:val="20"/>
        </w:rPr>
        <w:t>Abbreviations: CR=colonic release</w:t>
      </w:r>
    </w:p>
    <w:p w:rsidR="00F936F2" w:rsidRPr="00F936F2" w:rsidRDefault="00F936F2" w:rsidP="00AA3262">
      <w:pPr>
        <w:spacing w:before="0" w:after="0"/>
        <w:jc w:val="both"/>
        <w:rPr>
          <w:rFonts w:ascii="Arial Narrow" w:hAnsi="Arial Narrow"/>
          <w:sz w:val="18"/>
          <w:szCs w:val="20"/>
        </w:rPr>
      </w:pPr>
      <w:proofErr w:type="gramStart"/>
      <w:r>
        <w:rPr>
          <w:rFonts w:ascii="Arial Narrow" w:hAnsi="Arial Narrow"/>
          <w:sz w:val="18"/>
          <w:szCs w:val="20"/>
          <w:vertAlign w:val="superscript"/>
        </w:rPr>
        <w:t>1</w:t>
      </w:r>
      <w:r>
        <w:rPr>
          <w:rFonts w:ascii="Arial Narrow" w:hAnsi="Arial Narrow"/>
          <w:sz w:val="18"/>
          <w:szCs w:val="20"/>
        </w:rPr>
        <w:t xml:space="preserve"> </w:t>
      </w:r>
      <w:proofErr w:type="spellStart"/>
      <w:r>
        <w:rPr>
          <w:rFonts w:ascii="Arial Narrow" w:hAnsi="Arial Narrow"/>
          <w:sz w:val="18"/>
          <w:szCs w:val="20"/>
        </w:rPr>
        <w:t>Doasage</w:t>
      </w:r>
      <w:proofErr w:type="spellEnd"/>
      <w:r>
        <w:rPr>
          <w:rFonts w:ascii="Arial Narrow" w:hAnsi="Arial Narrow"/>
          <w:sz w:val="18"/>
          <w:szCs w:val="20"/>
        </w:rPr>
        <w:t xml:space="preserve"> as per PI.</w:t>
      </w:r>
      <w:proofErr w:type="gramEnd"/>
    </w:p>
    <w:p w:rsidR="00323BE9" w:rsidRPr="00323BE9" w:rsidRDefault="00323BE9" w:rsidP="00AA3262">
      <w:pPr>
        <w:spacing w:before="0" w:after="0"/>
        <w:jc w:val="both"/>
        <w:rPr>
          <w:rFonts w:ascii="Arial Narrow" w:hAnsi="Arial Narrow"/>
          <w:sz w:val="18"/>
          <w:szCs w:val="20"/>
        </w:rPr>
      </w:pPr>
      <w:proofErr w:type="gramStart"/>
      <w:r>
        <w:rPr>
          <w:rFonts w:ascii="Arial Narrow" w:hAnsi="Arial Narrow"/>
          <w:sz w:val="18"/>
          <w:szCs w:val="20"/>
          <w:vertAlign w:val="superscript"/>
        </w:rPr>
        <w:t>a</w:t>
      </w:r>
      <w:proofErr w:type="gramEnd"/>
      <w:r>
        <w:rPr>
          <w:rFonts w:ascii="Arial Narrow" w:hAnsi="Arial Narrow"/>
          <w:sz w:val="18"/>
          <w:szCs w:val="20"/>
        </w:rPr>
        <w:t xml:space="preserve"> Based </w:t>
      </w:r>
      <w:r w:rsidRPr="00323BE9">
        <w:rPr>
          <w:rFonts w:ascii="Arial Narrow" w:hAnsi="Arial Narrow"/>
          <w:sz w:val="18"/>
          <w:szCs w:val="20"/>
        </w:rPr>
        <w:t xml:space="preserve">on </w:t>
      </w:r>
      <w:r w:rsidR="00F82904">
        <w:rPr>
          <w:rFonts w:ascii="Arial Narrow" w:hAnsi="Arial Narrow"/>
          <w:noProof/>
          <w:color w:val="000000"/>
          <w:sz w:val="18"/>
          <w:szCs w:val="20"/>
          <w:highlight w:val="black"/>
        </w:rPr>
        <w:t>''''''</w:t>
      </w:r>
      <w:r w:rsidRPr="00323BE9">
        <w:rPr>
          <w:rFonts w:ascii="Arial Narrow" w:hAnsi="Arial Narrow"/>
          <w:sz w:val="18"/>
          <w:szCs w:val="20"/>
        </w:rPr>
        <w:t xml:space="preserve"> tablets whereas </w:t>
      </w:r>
      <w:r w:rsidR="00F82904">
        <w:rPr>
          <w:rFonts w:ascii="Arial Narrow" w:hAnsi="Arial Narrow"/>
          <w:noProof/>
          <w:color w:val="000000"/>
          <w:sz w:val="18"/>
          <w:szCs w:val="20"/>
          <w:highlight w:val="black"/>
        </w:rPr>
        <w:t>''''</w:t>
      </w:r>
      <w:r w:rsidRPr="00323BE9">
        <w:rPr>
          <w:rFonts w:ascii="Arial Narrow" w:hAnsi="Arial Narrow"/>
          <w:sz w:val="18"/>
          <w:szCs w:val="20"/>
        </w:rPr>
        <w:t xml:space="preserve"> packs would be </w:t>
      </w:r>
      <w:r w:rsidR="00F82904">
        <w:rPr>
          <w:rFonts w:ascii="Arial Narrow" w:hAnsi="Arial Narrow"/>
          <w:noProof/>
          <w:color w:val="000000"/>
          <w:sz w:val="18"/>
          <w:szCs w:val="20"/>
          <w:highlight w:val="black"/>
        </w:rPr>
        <w:t>''''''</w:t>
      </w:r>
      <w:r w:rsidRPr="00323BE9">
        <w:rPr>
          <w:rFonts w:ascii="Arial Narrow" w:hAnsi="Arial Narrow"/>
          <w:sz w:val="18"/>
          <w:szCs w:val="20"/>
        </w:rPr>
        <w:t xml:space="preserve"> tablets at a cost of $</w:t>
      </w:r>
      <w:r w:rsidR="00F82904">
        <w:rPr>
          <w:rFonts w:ascii="Arial Narrow" w:hAnsi="Arial Narrow"/>
          <w:noProof/>
          <w:color w:val="000000"/>
          <w:sz w:val="18"/>
          <w:szCs w:val="20"/>
          <w:highlight w:val="black"/>
        </w:rPr>
        <w:t>'''''''''''''''''</w:t>
      </w:r>
      <w:r>
        <w:rPr>
          <w:rFonts w:ascii="Arial Narrow" w:hAnsi="Arial Narrow"/>
          <w:sz w:val="18"/>
          <w:szCs w:val="20"/>
        </w:rPr>
        <w:t>.</w:t>
      </w:r>
    </w:p>
    <w:p w:rsidR="006D7890" w:rsidRDefault="0092540F" w:rsidP="00AA3262">
      <w:pPr>
        <w:spacing w:before="0" w:after="0"/>
        <w:jc w:val="both"/>
        <w:rPr>
          <w:rFonts w:ascii="Arial Narrow" w:hAnsi="Arial Narrow"/>
          <w:sz w:val="18"/>
          <w:szCs w:val="20"/>
        </w:rPr>
      </w:pPr>
      <w:r w:rsidRPr="00577B2E">
        <w:rPr>
          <w:rFonts w:ascii="Arial Narrow" w:hAnsi="Arial Narrow"/>
          <w:sz w:val="18"/>
          <w:szCs w:val="20"/>
        </w:rPr>
        <w:t>Source: Constructed during evaluation using information in the submission, PBS schedule online and relevant product information</w:t>
      </w:r>
    </w:p>
    <w:p w:rsidR="00AA3262" w:rsidRPr="00AA3262" w:rsidRDefault="00AA3262" w:rsidP="00AA3262">
      <w:pPr>
        <w:spacing w:before="0" w:after="0"/>
        <w:ind w:left="709"/>
        <w:jc w:val="both"/>
        <w:rPr>
          <w:rFonts w:ascii="Arial Narrow" w:hAnsi="Arial Narrow"/>
          <w:sz w:val="18"/>
          <w:szCs w:val="20"/>
        </w:rPr>
      </w:pPr>
    </w:p>
    <w:p w:rsidR="00A51DD1" w:rsidRDefault="008A2034" w:rsidP="00A51DD1">
      <w:pPr>
        <w:pStyle w:val="ListParagraph"/>
        <w:numPr>
          <w:ilvl w:val="1"/>
          <w:numId w:val="3"/>
        </w:numPr>
        <w:spacing w:before="0" w:after="120"/>
        <w:jc w:val="both"/>
      </w:pPr>
      <w:r w:rsidRPr="00B04F2E">
        <w:t xml:space="preserve">The </w:t>
      </w:r>
      <w:r w:rsidR="00A51DD1" w:rsidRPr="00B04F2E">
        <w:t xml:space="preserve">ESC noted that </w:t>
      </w:r>
      <w:r w:rsidR="00A30EEA" w:rsidRPr="00B04F2E">
        <w:t>b</w:t>
      </w:r>
      <w:r w:rsidR="00A51DD1" w:rsidRPr="00B04F2E">
        <w:t xml:space="preserve">udesonide CR is priced </w:t>
      </w:r>
      <w:r w:rsidR="007A38FF" w:rsidRPr="00B04F2E">
        <w:t>lower</w:t>
      </w:r>
      <w:r w:rsidR="00A51DD1" w:rsidRPr="00B04F2E">
        <w:t xml:space="preserve"> </w:t>
      </w:r>
      <w:r w:rsidRPr="00B04F2E">
        <w:t>than the foam due to</w:t>
      </w:r>
      <w:r w:rsidR="00A51DD1" w:rsidRPr="00B04F2E">
        <w:t xml:space="preserve"> the </w:t>
      </w:r>
      <w:r w:rsidR="00EA3E9E" w:rsidRPr="00B04F2E">
        <w:t xml:space="preserve">assumed </w:t>
      </w:r>
      <w:r w:rsidR="00A51DD1" w:rsidRPr="00B04F2E">
        <w:t xml:space="preserve">different </w:t>
      </w:r>
      <w:r w:rsidR="00EA3E9E" w:rsidRPr="00B04F2E">
        <w:t>treatment durations (56 days versus 42 days respectively)</w:t>
      </w:r>
      <w:r w:rsidR="00A51DD1" w:rsidRPr="00B04F2E">
        <w:t xml:space="preserve">. </w:t>
      </w:r>
    </w:p>
    <w:p w:rsidR="005E2F91" w:rsidRDefault="005E2F91" w:rsidP="00A51DD1">
      <w:pPr>
        <w:pStyle w:val="ListParagraph"/>
        <w:numPr>
          <w:ilvl w:val="1"/>
          <w:numId w:val="3"/>
        </w:numPr>
        <w:spacing w:before="0" w:after="120"/>
        <w:jc w:val="both"/>
      </w:pPr>
      <w:r>
        <w:t>The PBAC considered that the cost minimisation approach presented in the submission was no</w:t>
      </w:r>
      <w:r w:rsidR="00F3128F">
        <w:t xml:space="preserve">t </w:t>
      </w:r>
      <w:r>
        <w:t xml:space="preserve">informative as </w:t>
      </w:r>
      <w:r w:rsidR="00F3128F">
        <w:t xml:space="preserve">non-inferiority of </w:t>
      </w:r>
      <w:r w:rsidR="00F3128F" w:rsidRPr="00B04F2E">
        <w:t xml:space="preserve">budesonide CR </w:t>
      </w:r>
      <w:r w:rsidR="00F3128F">
        <w:t>to budesonide foam enema was</w:t>
      </w:r>
      <w:r>
        <w:t xml:space="preserve"> not </w:t>
      </w:r>
      <w:r w:rsidR="00F3128F">
        <w:t xml:space="preserve">adequately </w:t>
      </w:r>
      <w:r>
        <w:t>support</w:t>
      </w:r>
      <w:r w:rsidR="00F3128F">
        <w:t>ed by</w:t>
      </w:r>
      <w:r>
        <w:t xml:space="preserve"> the </w:t>
      </w:r>
      <w:r w:rsidR="00F3128F">
        <w:t>clinical data presented</w:t>
      </w:r>
      <w:r>
        <w:t>.</w:t>
      </w:r>
    </w:p>
    <w:p w:rsidR="00C317F3" w:rsidRPr="00577B2E" w:rsidRDefault="00C317F3" w:rsidP="00092870">
      <w:pPr>
        <w:pStyle w:val="Heading2"/>
        <w:jc w:val="both"/>
      </w:pPr>
      <w:bookmarkStart w:id="29" w:name="_Toc480411366"/>
      <w:bookmarkStart w:id="30" w:name="_Toc413139283"/>
      <w:r w:rsidRPr="00577B2E">
        <w:t>Drug cost/patient/</w:t>
      </w:r>
      <w:r w:rsidR="007315FB" w:rsidRPr="00577B2E">
        <w:t xml:space="preserve">8 week </w:t>
      </w:r>
      <w:r w:rsidRPr="00577B2E">
        <w:t>course</w:t>
      </w:r>
      <w:r w:rsidR="007315FB" w:rsidRPr="00577B2E">
        <w:t>:</w:t>
      </w:r>
      <w:r w:rsidR="00092870" w:rsidRPr="00577B2E">
        <w:t xml:space="preserve"> </w:t>
      </w:r>
      <w:r w:rsidR="00A00D77" w:rsidRPr="00577B2E">
        <w:t>$</w:t>
      </w:r>
      <w:bookmarkEnd w:id="29"/>
      <w:r w:rsidR="00F82904">
        <w:rPr>
          <w:noProof/>
          <w:color w:val="000000"/>
          <w:highlight w:val="black"/>
        </w:rPr>
        <w:t>''''''''''''</w:t>
      </w:r>
      <w:r w:rsidR="00A00D77" w:rsidRPr="00577B2E">
        <w:t xml:space="preserve"> </w:t>
      </w:r>
      <w:bookmarkEnd w:id="30"/>
    </w:p>
    <w:p w:rsidR="00C317F3" w:rsidRPr="00B04F2E" w:rsidRDefault="007315FB" w:rsidP="00846B8D">
      <w:pPr>
        <w:pStyle w:val="ListParagraph"/>
        <w:numPr>
          <w:ilvl w:val="1"/>
          <w:numId w:val="3"/>
        </w:numPr>
        <w:spacing w:before="0" w:after="120"/>
        <w:jc w:val="both"/>
      </w:pPr>
      <w:r w:rsidRPr="00B04F2E">
        <w:t xml:space="preserve">The cost per course was based on the DPMQ for 56 doses over </w:t>
      </w:r>
      <w:r w:rsidR="00092870" w:rsidRPr="00B04F2E">
        <w:t>8 weeks of treatment.</w:t>
      </w:r>
      <w:r w:rsidR="00C024A2" w:rsidRPr="00B04F2E">
        <w:t xml:space="preserve"> For </w:t>
      </w:r>
      <w:r w:rsidR="00F82904">
        <w:rPr>
          <w:noProof/>
          <w:color w:val="000000"/>
          <w:highlight w:val="black"/>
        </w:rPr>
        <w:t>''</w:t>
      </w:r>
      <w:r w:rsidR="00C024A2" w:rsidRPr="00B04F2E">
        <w:t xml:space="preserve"> packs of </w:t>
      </w:r>
      <w:r w:rsidR="00F82904">
        <w:rPr>
          <w:noProof/>
          <w:color w:val="000000"/>
          <w:highlight w:val="black"/>
        </w:rPr>
        <w:t>'''''</w:t>
      </w:r>
      <w:r w:rsidR="00C024A2" w:rsidRPr="00B04F2E">
        <w:t xml:space="preserve"> tablets the cost per 2 months of treatment is $</w:t>
      </w:r>
      <w:r w:rsidR="00F82904">
        <w:rPr>
          <w:noProof/>
          <w:color w:val="000000"/>
          <w:highlight w:val="black"/>
        </w:rPr>
        <w:t>''''''''''''''</w:t>
      </w:r>
      <w:r w:rsidR="00323BE9" w:rsidRPr="00B04F2E">
        <w:t>.</w:t>
      </w:r>
      <w:r w:rsidRPr="00B04F2E">
        <w:t xml:space="preserve">  Comparatively, the cost for two </w:t>
      </w:r>
      <w:r w:rsidR="00092870" w:rsidRPr="00B04F2E">
        <w:t>boxes of budesonide foam enema, sufficient for 56 doses</w:t>
      </w:r>
      <w:r w:rsidRPr="00B04F2E">
        <w:t xml:space="preserve"> over 8 weeks</w:t>
      </w:r>
      <w:r w:rsidR="00092870" w:rsidRPr="00B04F2E">
        <w:t>, is $</w:t>
      </w:r>
      <w:r w:rsidR="00F82904">
        <w:rPr>
          <w:noProof/>
          <w:color w:val="000000"/>
          <w:highlight w:val="black"/>
        </w:rPr>
        <w:t>'''''''''''''</w:t>
      </w:r>
      <w:r w:rsidRPr="00B04F2E">
        <w:t xml:space="preserve">.  The requested maximum and number of repeats would provide up to </w:t>
      </w:r>
      <w:r w:rsidR="0004398E" w:rsidRPr="00B04F2E">
        <w:t xml:space="preserve">four </w:t>
      </w:r>
      <w:r w:rsidRPr="00B04F2E">
        <w:t>(</w:t>
      </w:r>
      <w:r w:rsidR="0004398E" w:rsidRPr="00B04F2E">
        <w:t xml:space="preserve">16 </w:t>
      </w:r>
      <w:r w:rsidRPr="00B04F2E">
        <w:t>week) courses of budesonide CR.</w:t>
      </w:r>
      <w:r w:rsidR="0004398E" w:rsidRPr="00B04F2E">
        <w:t xml:space="preserve"> </w:t>
      </w:r>
      <w:r w:rsidR="000078ED">
        <w:t xml:space="preserve"> </w:t>
      </w:r>
      <w:r w:rsidR="0004398E" w:rsidRPr="00B04F2E">
        <w:t xml:space="preserve">The </w:t>
      </w:r>
      <w:r w:rsidR="00CC4F79">
        <w:t xml:space="preserve">PBAC </w:t>
      </w:r>
      <w:r w:rsidR="0004398E" w:rsidRPr="00B04F2E">
        <w:t>considered one repeat providing up to two (8 week) courses would be more appropriate</w:t>
      </w:r>
      <w:r w:rsidR="000078ED">
        <w:t xml:space="preserve"> in any recommended listing</w:t>
      </w:r>
      <w:r w:rsidR="0004398E" w:rsidRPr="00B04F2E">
        <w:t>.</w:t>
      </w:r>
      <w:r w:rsidR="00846B8D">
        <w:t xml:space="preserve"> </w:t>
      </w:r>
    </w:p>
    <w:p w:rsidR="00C317F3" w:rsidRPr="00577B2E" w:rsidRDefault="00C317F3" w:rsidP="00792386">
      <w:pPr>
        <w:pStyle w:val="Heading2"/>
        <w:jc w:val="both"/>
      </w:pPr>
      <w:bookmarkStart w:id="31" w:name="_Toc413139284"/>
      <w:bookmarkStart w:id="32" w:name="_Toc480411367"/>
      <w:r w:rsidRPr="00577B2E">
        <w:t>Estimated PBS usage &amp; financial implications</w:t>
      </w:r>
      <w:bookmarkEnd w:id="31"/>
      <w:bookmarkEnd w:id="32"/>
    </w:p>
    <w:p w:rsidR="00C317F3" w:rsidRPr="00577B2E" w:rsidRDefault="00092870" w:rsidP="00890381">
      <w:pPr>
        <w:pStyle w:val="ListParagraph"/>
        <w:numPr>
          <w:ilvl w:val="1"/>
          <w:numId w:val="3"/>
        </w:numPr>
        <w:spacing w:before="0" w:after="120"/>
        <w:jc w:val="both"/>
      </w:pPr>
      <w:r w:rsidRPr="00577B2E">
        <w:t xml:space="preserve">This submission </w:t>
      </w:r>
      <w:r w:rsidR="00377CCA">
        <w:t>wa</w:t>
      </w:r>
      <w:r w:rsidRPr="00577B2E">
        <w:t xml:space="preserve">s </w:t>
      </w:r>
      <w:r w:rsidR="00C317F3" w:rsidRPr="00577B2E">
        <w:t>no</w:t>
      </w:r>
      <w:r w:rsidRPr="00577B2E">
        <w:t>t</w:t>
      </w:r>
      <w:r w:rsidR="00C317F3" w:rsidRPr="00577B2E">
        <w:t xml:space="preserve"> considered by DUSC.  </w:t>
      </w:r>
      <w:r w:rsidRPr="00577B2E">
        <w:t xml:space="preserve">A market share approach </w:t>
      </w:r>
      <w:r w:rsidR="007315FB" w:rsidRPr="00577B2E">
        <w:t>wa</w:t>
      </w:r>
      <w:r w:rsidRPr="00577B2E">
        <w:t xml:space="preserve">s used by the submission for the financial estimates. </w:t>
      </w:r>
      <w:r w:rsidR="000078ED">
        <w:t xml:space="preserve"> </w:t>
      </w:r>
      <w:r w:rsidR="004E5790" w:rsidRPr="00577B2E">
        <w:t>The submission assume</w:t>
      </w:r>
      <w:r w:rsidR="007315FB" w:rsidRPr="00577B2E">
        <w:t>d</w:t>
      </w:r>
      <w:r w:rsidR="004E5790" w:rsidRPr="00577B2E">
        <w:t xml:space="preserve"> that the introduction of budesonide CR w</w:t>
      </w:r>
      <w:r w:rsidR="000078ED">
        <w:t>ould</w:t>
      </w:r>
      <w:r w:rsidR="004E5790" w:rsidRPr="00577B2E">
        <w:t xml:space="preserve"> not grow the market and any market growth will be based on </w:t>
      </w:r>
      <w:r w:rsidR="007315FB" w:rsidRPr="00577B2E">
        <w:t>usage patterns</w:t>
      </w:r>
      <w:r w:rsidR="004E5790" w:rsidRPr="00577B2E">
        <w:t xml:space="preserve"> of existing rectal corticosteroids.  </w:t>
      </w:r>
      <w:r w:rsidR="00890381" w:rsidRPr="00577B2E">
        <w:t xml:space="preserve">This assumption may not be </w:t>
      </w:r>
      <w:proofErr w:type="gramStart"/>
      <w:r w:rsidR="00890381" w:rsidRPr="00577B2E">
        <w:t>appropriate,</w:t>
      </w:r>
      <w:proofErr w:type="gramEnd"/>
      <w:r w:rsidR="00890381" w:rsidRPr="00577B2E">
        <w:t xml:space="preserve"> it is possible that budesonide CR will additionally grow the UC market since it is the first orally delivered but locally active corticosteroid for </w:t>
      </w:r>
      <w:r w:rsidR="00E64AA8" w:rsidRPr="00577B2E">
        <w:t>UC</w:t>
      </w:r>
      <w:r w:rsidR="00890381" w:rsidRPr="00577B2E">
        <w:t>.  Patients who may have been reluctant to use rectal treatments may be more willing to start treatment with an oral agent.</w:t>
      </w:r>
    </w:p>
    <w:p w:rsidR="004E5790" w:rsidRPr="00577B2E" w:rsidRDefault="004E5790" w:rsidP="004E5790">
      <w:pPr>
        <w:pStyle w:val="ListParagraph"/>
        <w:numPr>
          <w:ilvl w:val="1"/>
          <w:numId w:val="3"/>
        </w:numPr>
        <w:spacing w:before="0" w:after="120"/>
        <w:jc w:val="both"/>
      </w:pPr>
      <w:r w:rsidRPr="00577B2E">
        <w:t xml:space="preserve">The submission conducted a review of a 10% </w:t>
      </w:r>
      <w:r w:rsidR="00890381" w:rsidRPr="00577B2E">
        <w:t>Medicare</w:t>
      </w:r>
      <w:r w:rsidRPr="00577B2E">
        <w:t xml:space="preserve"> sample to determine how many scripts for rectal corticosteroids are being used for </w:t>
      </w:r>
      <w:r w:rsidR="00E64AA8" w:rsidRPr="00577B2E">
        <w:t>UC</w:t>
      </w:r>
      <w:r w:rsidRPr="00577B2E">
        <w:t xml:space="preserve"> compared to other conditions.  </w:t>
      </w:r>
      <w:r w:rsidR="002340C7" w:rsidRPr="00577B2E">
        <w:t>The method</w:t>
      </w:r>
      <w:r w:rsidR="00D40D5F">
        <w:t>s used are</w:t>
      </w:r>
      <w:r w:rsidR="002340C7" w:rsidRPr="00577B2E">
        <w:t xml:space="preserve"> likely to</w:t>
      </w:r>
      <w:r w:rsidR="00D40D5F">
        <w:t xml:space="preserve"> have</w:t>
      </w:r>
      <w:r w:rsidR="002340C7" w:rsidRPr="00577B2E">
        <w:t xml:space="preserve"> overestimate</w:t>
      </w:r>
      <w:r w:rsidR="00D40D5F">
        <w:t>d</w:t>
      </w:r>
      <w:r w:rsidR="002340C7" w:rsidRPr="00577B2E">
        <w:t xml:space="preserve"> the use of rectal corticosteroids for </w:t>
      </w:r>
      <w:r w:rsidR="00E64AA8" w:rsidRPr="00577B2E">
        <w:t>UC</w:t>
      </w:r>
      <w:r w:rsidR="002340C7" w:rsidRPr="00577B2E">
        <w:t xml:space="preserve">.  </w:t>
      </w:r>
      <w:r w:rsidRPr="00577B2E">
        <w:rPr>
          <w:iCs/>
        </w:rPr>
        <w:t xml:space="preserve">However, different values were used in the estimate presented and the </w:t>
      </w:r>
      <w:r w:rsidR="00656AFB" w:rsidRPr="00577B2E">
        <w:rPr>
          <w:iCs/>
        </w:rPr>
        <w:t>reasons for this deviation were</w:t>
      </w:r>
      <w:r w:rsidRPr="00577B2E">
        <w:rPr>
          <w:iCs/>
        </w:rPr>
        <w:t xml:space="preserve"> not explained.  A sensitivity analysis using the values obtained from the 10% </w:t>
      </w:r>
      <w:r w:rsidR="00890381" w:rsidRPr="00577B2E">
        <w:rPr>
          <w:iCs/>
        </w:rPr>
        <w:t>Medicare</w:t>
      </w:r>
      <w:r w:rsidRPr="00577B2E">
        <w:rPr>
          <w:iCs/>
        </w:rPr>
        <w:t xml:space="preserve"> sample analysis was conducted during evaluation. </w:t>
      </w:r>
    </w:p>
    <w:p w:rsidR="00B04F2E" w:rsidRDefault="00A0664D" w:rsidP="00B04F2E">
      <w:pPr>
        <w:pStyle w:val="ListParagraph"/>
        <w:numPr>
          <w:ilvl w:val="1"/>
          <w:numId w:val="3"/>
        </w:numPr>
        <w:spacing w:before="0" w:after="120"/>
        <w:jc w:val="both"/>
      </w:pPr>
      <w:r w:rsidRPr="00577B2E">
        <w:t xml:space="preserve">Table </w:t>
      </w:r>
      <w:r w:rsidR="009C2BB0">
        <w:t>8</w:t>
      </w:r>
      <w:r w:rsidR="00092870" w:rsidRPr="00577B2E">
        <w:t xml:space="preserve"> summarises the financial estima</w:t>
      </w:r>
      <w:r w:rsidR="00B04F2E">
        <w:t>tes presented by the submission.</w:t>
      </w:r>
    </w:p>
    <w:p w:rsidR="009C2BB0" w:rsidRDefault="009C2BB0" w:rsidP="009C2BB0">
      <w:pPr>
        <w:pStyle w:val="Caption"/>
        <w:keepNext/>
      </w:pPr>
      <w:r>
        <w:t xml:space="preserve">Table </w:t>
      </w:r>
      <w:r>
        <w:rPr>
          <w:noProof/>
        </w:rPr>
        <w:t>8</w:t>
      </w:r>
      <w:r w:rsidRPr="004E7D90">
        <w:t>: Summary of financial impact and change in prescription numbers for listing budesonide CR</w:t>
      </w:r>
    </w:p>
    <w:tbl>
      <w:tblPr>
        <w:tblStyle w:val="TableGrid"/>
        <w:tblW w:w="9072"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Summary of financial impact and change in prescription numbers for listing budesonide CR"/>
      </w:tblPr>
      <w:tblGrid>
        <w:gridCol w:w="2516"/>
        <w:gridCol w:w="1092"/>
        <w:gridCol w:w="1093"/>
        <w:gridCol w:w="1093"/>
        <w:gridCol w:w="1092"/>
        <w:gridCol w:w="1093"/>
        <w:gridCol w:w="1093"/>
      </w:tblGrid>
      <w:tr w:rsidR="008F78E2" w:rsidRPr="00577B2E" w:rsidTr="00255F1F">
        <w:trPr>
          <w:cnfStyle w:val="100000000000" w:firstRow="1" w:lastRow="0" w:firstColumn="0" w:lastColumn="0" w:oddVBand="0" w:evenVBand="0" w:oddHBand="0" w:evenHBand="0" w:firstRowFirstColumn="0" w:firstRowLastColumn="0" w:lastRowFirstColumn="0" w:lastRowLastColumn="0"/>
          <w:trHeight w:val="70"/>
          <w:tblHeader/>
        </w:trPr>
        <w:tc>
          <w:tcPr>
            <w:tcW w:w="2516" w:type="dxa"/>
            <w:shd w:val="clear" w:color="auto" w:fill="auto"/>
            <w:tcMar>
              <w:left w:w="28" w:type="dxa"/>
              <w:right w:w="28" w:type="dxa"/>
            </w:tcMar>
            <w:vAlign w:val="center"/>
          </w:tcPr>
          <w:p w:rsidR="008F78E2" w:rsidRPr="00577B2E" w:rsidRDefault="008F78E2" w:rsidP="00842F06">
            <w:pPr>
              <w:spacing w:before="0"/>
              <w:rPr>
                <w:rFonts w:ascii="Arial Narrow" w:hAnsi="Arial Narrow"/>
                <w:sz w:val="20"/>
                <w:szCs w:val="20"/>
                <w:lang w:val="en-AU"/>
              </w:rPr>
            </w:pPr>
          </w:p>
        </w:tc>
        <w:tc>
          <w:tcPr>
            <w:tcW w:w="1092" w:type="dxa"/>
            <w:shd w:val="clear" w:color="auto" w:fill="auto"/>
            <w:tcMar>
              <w:left w:w="28" w:type="dxa"/>
              <w:right w:w="28" w:type="dxa"/>
            </w:tcMar>
            <w:vAlign w:val="center"/>
          </w:tcPr>
          <w:p w:rsidR="008F78E2" w:rsidRPr="00577B2E" w:rsidRDefault="008F78E2" w:rsidP="00842F06">
            <w:pPr>
              <w:spacing w:before="0"/>
              <w:jc w:val="center"/>
              <w:rPr>
                <w:rFonts w:ascii="Arial Narrow" w:hAnsi="Arial Narrow"/>
                <w:sz w:val="20"/>
                <w:szCs w:val="20"/>
                <w:lang w:val="en-AU"/>
              </w:rPr>
            </w:pPr>
            <w:r w:rsidRPr="00577B2E">
              <w:rPr>
                <w:rFonts w:ascii="Arial Narrow" w:hAnsi="Arial Narrow"/>
                <w:sz w:val="20"/>
                <w:szCs w:val="20"/>
              </w:rPr>
              <w:t>Year 1</w:t>
            </w:r>
          </w:p>
        </w:tc>
        <w:tc>
          <w:tcPr>
            <w:tcW w:w="1093" w:type="dxa"/>
            <w:shd w:val="clear" w:color="auto" w:fill="auto"/>
            <w:tcMar>
              <w:left w:w="28" w:type="dxa"/>
              <w:right w:w="28" w:type="dxa"/>
            </w:tcMar>
            <w:vAlign w:val="center"/>
          </w:tcPr>
          <w:p w:rsidR="008F78E2" w:rsidRPr="00577B2E" w:rsidRDefault="008F78E2" w:rsidP="00842F06">
            <w:pPr>
              <w:spacing w:before="0"/>
              <w:jc w:val="center"/>
              <w:rPr>
                <w:rFonts w:ascii="Arial Narrow" w:hAnsi="Arial Narrow"/>
                <w:sz w:val="20"/>
                <w:szCs w:val="20"/>
                <w:lang w:val="en-AU"/>
              </w:rPr>
            </w:pPr>
            <w:r w:rsidRPr="00577B2E">
              <w:rPr>
                <w:rFonts w:ascii="Arial Narrow" w:hAnsi="Arial Narrow"/>
                <w:sz w:val="20"/>
                <w:szCs w:val="20"/>
              </w:rPr>
              <w:t>Year 2</w:t>
            </w:r>
          </w:p>
        </w:tc>
        <w:tc>
          <w:tcPr>
            <w:tcW w:w="1093" w:type="dxa"/>
            <w:shd w:val="clear" w:color="auto" w:fill="auto"/>
            <w:tcMar>
              <w:left w:w="28" w:type="dxa"/>
              <w:right w:w="28" w:type="dxa"/>
            </w:tcMar>
            <w:vAlign w:val="center"/>
          </w:tcPr>
          <w:p w:rsidR="008F78E2" w:rsidRPr="00577B2E" w:rsidRDefault="008F78E2" w:rsidP="00842F06">
            <w:pPr>
              <w:spacing w:before="0"/>
              <w:jc w:val="center"/>
              <w:rPr>
                <w:rFonts w:ascii="Arial Narrow" w:hAnsi="Arial Narrow"/>
                <w:sz w:val="20"/>
                <w:szCs w:val="20"/>
                <w:lang w:val="en-AU"/>
              </w:rPr>
            </w:pPr>
            <w:r w:rsidRPr="00577B2E">
              <w:rPr>
                <w:rFonts w:ascii="Arial Narrow" w:hAnsi="Arial Narrow"/>
                <w:sz w:val="20"/>
                <w:szCs w:val="20"/>
              </w:rPr>
              <w:t>Year 3</w:t>
            </w:r>
          </w:p>
        </w:tc>
        <w:tc>
          <w:tcPr>
            <w:tcW w:w="1092" w:type="dxa"/>
            <w:shd w:val="clear" w:color="auto" w:fill="auto"/>
            <w:tcMar>
              <w:left w:w="28" w:type="dxa"/>
              <w:right w:w="28" w:type="dxa"/>
            </w:tcMar>
            <w:vAlign w:val="center"/>
          </w:tcPr>
          <w:p w:rsidR="008F78E2" w:rsidRPr="00577B2E" w:rsidRDefault="008F78E2" w:rsidP="00842F06">
            <w:pPr>
              <w:spacing w:before="0"/>
              <w:jc w:val="center"/>
              <w:rPr>
                <w:rFonts w:ascii="Arial Narrow" w:hAnsi="Arial Narrow"/>
                <w:b w:val="0"/>
                <w:sz w:val="20"/>
                <w:szCs w:val="20"/>
                <w:lang w:val="en-AU"/>
              </w:rPr>
            </w:pPr>
            <w:r w:rsidRPr="00577B2E">
              <w:rPr>
                <w:rFonts w:ascii="Arial Narrow" w:hAnsi="Arial Narrow"/>
                <w:sz w:val="20"/>
                <w:szCs w:val="20"/>
              </w:rPr>
              <w:t>Year 4</w:t>
            </w:r>
          </w:p>
        </w:tc>
        <w:tc>
          <w:tcPr>
            <w:tcW w:w="1093" w:type="dxa"/>
            <w:shd w:val="clear" w:color="auto" w:fill="auto"/>
            <w:tcMar>
              <w:left w:w="28" w:type="dxa"/>
              <w:right w:w="28" w:type="dxa"/>
            </w:tcMar>
            <w:vAlign w:val="center"/>
          </w:tcPr>
          <w:p w:rsidR="008F78E2" w:rsidRPr="00577B2E" w:rsidRDefault="008F78E2" w:rsidP="00842F06">
            <w:pPr>
              <w:spacing w:before="0"/>
              <w:jc w:val="center"/>
              <w:rPr>
                <w:rFonts w:ascii="Arial Narrow" w:hAnsi="Arial Narrow"/>
                <w:b w:val="0"/>
                <w:sz w:val="20"/>
                <w:szCs w:val="20"/>
                <w:lang w:val="en-AU"/>
              </w:rPr>
            </w:pPr>
            <w:r w:rsidRPr="00577B2E">
              <w:rPr>
                <w:rFonts w:ascii="Arial Narrow" w:hAnsi="Arial Narrow"/>
                <w:sz w:val="20"/>
                <w:szCs w:val="20"/>
              </w:rPr>
              <w:t>Year 5</w:t>
            </w:r>
          </w:p>
        </w:tc>
        <w:tc>
          <w:tcPr>
            <w:tcW w:w="1093" w:type="dxa"/>
            <w:shd w:val="clear" w:color="auto" w:fill="auto"/>
            <w:tcMar>
              <w:left w:w="28" w:type="dxa"/>
              <w:right w:w="28" w:type="dxa"/>
            </w:tcMar>
            <w:vAlign w:val="center"/>
          </w:tcPr>
          <w:p w:rsidR="008F78E2" w:rsidRPr="00577B2E" w:rsidRDefault="008F78E2" w:rsidP="00842F06">
            <w:pPr>
              <w:spacing w:before="0"/>
              <w:jc w:val="center"/>
              <w:rPr>
                <w:rFonts w:ascii="Arial Narrow" w:hAnsi="Arial Narrow"/>
                <w:b w:val="0"/>
                <w:sz w:val="20"/>
                <w:szCs w:val="20"/>
                <w:lang w:val="en-AU"/>
              </w:rPr>
            </w:pPr>
            <w:r w:rsidRPr="00577B2E">
              <w:rPr>
                <w:rFonts w:ascii="Arial Narrow" w:hAnsi="Arial Narrow"/>
                <w:sz w:val="20"/>
                <w:szCs w:val="20"/>
              </w:rPr>
              <w:t>Year 6</w:t>
            </w:r>
          </w:p>
        </w:tc>
      </w:tr>
      <w:tr w:rsidR="008F78E2" w:rsidRPr="00577B2E" w:rsidTr="00842F06">
        <w:tc>
          <w:tcPr>
            <w:tcW w:w="9072" w:type="dxa"/>
            <w:gridSpan w:val="7"/>
            <w:shd w:val="clear" w:color="auto" w:fill="auto"/>
            <w:tcMar>
              <w:left w:w="28" w:type="dxa"/>
              <w:right w:w="28" w:type="dxa"/>
            </w:tcMar>
            <w:vAlign w:val="center"/>
          </w:tcPr>
          <w:p w:rsidR="008F78E2" w:rsidRPr="00577B2E" w:rsidRDefault="008F78E2" w:rsidP="00842F06">
            <w:pPr>
              <w:spacing w:before="0"/>
              <w:rPr>
                <w:rFonts w:ascii="Arial Narrow" w:hAnsi="Arial Narrow"/>
                <w:b/>
                <w:bCs/>
                <w:sz w:val="20"/>
                <w:szCs w:val="20"/>
                <w:lang w:val="en-AU"/>
              </w:rPr>
            </w:pPr>
            <w:r w:rsidRPr="00577B2E">
              <w:rPr>
                <w:rFonts w:ascii="Arial Narrow" w:hAnsi="Arial Narrow"/>
                <w:b/>
                <w:bCs/>
                <w:sz w:val="20"/>
                <w:szCs w:val="20"/>
              </w:rPr>
              <w:t>Projected Total PBS/RPBS prescriptions for ulcerative colitis (no budesonide CR)</w:t>
            </w:r>
          </w:p>
        </w:tc>
      </w:tr>
      <w:tr w:rsidR="008F78E2" w:rsidRPr="00577B2E" w:rsidTr="00842F06">
        <w:tc>
          <w:tcPr>
            <w:tcW w:w="2516" w:type="dxa"/>
            <w:shd w:val="clear" w:color="auto" w:fill="auto"/>
            <w:tcMar>
              <w:left w:w="28" w:type="dxa"/>
              <w:right w:w="28" w:type="dxa"/>
            </w:tcMar>
            <w:vAlign w:val="center"/>
          </w:tcPr>
          <w:p w:rsidR="008F78E2" w:rsidRPr="00577B2E" w:rsidRDefault="008F78E2" w:rsidP="00842F06">
            <w:pPr>
              <w:spacing w:before="0"/>
              <w:rPr>
                <w:rFonts w:ascii="Arial Narrow" w:hAnsi="Arial Narrow"/>
                <w:sz w:val="20"/>
                <w:szCs w:val="20"/>
                <w:lang w:val="en-AU"/>
              </w:rPr>
            </w:pPr>
            <w:r w:rsidRPr="00577B2E">
              <w:rPr>
                <w:rFonts w:ascii="Arial Narrow" w:hAnsi="Arial Narrow"/>
                <w:sz w:val="20"/>
                <w:szCs w:val="20"/>
              </w:rPr>
              <w:t>Budesonide foam enema</w:t>
            </w:r>
          </w:p>
        </w:tc>
        <w:tc>
          <w:tcPr>
            <w:tcW w:w="1092" w:type="dxa"/>
            <w:shd w:val="clear" w:color="auto" w:fill="auto"/>
            <w:tcMar>
              <w:left w:w="28" w:type="dxa"/>
              <w:right w:w="28" w:type="dxa"/>
            </w:tcMar>
            <w:vAlign w:val="center"/>
          </w:tcPr>
          <w:p w:rsidR="008F78E2" w:rsidRPr="00F82904" w:rsidRDefault="00F82904" w:rsidP="00842F06">
            <w:pPr>
              <w:spacing w:before="0"/>
              <w:jc w:val="center"/>
              <w:rPr>
                <w:rFonts w:ascii="Arial Narrow" w:hAnsi="Arial Narrow"/>
                <w:sz w:val="20"/>
                <w:szCs w:val="20"/>
                <w:highlight w:val="black"/>
                <w:lang w:val="en-AU"/>
              </w:rPr>
            </w:pPr>
            <w:r>
              <w:rPr>
                <w:rFonts w:ascii="Arial Narrow" w:hAnsi="Arial Narrow"/>
                <w:noProof/>
                <w:color w:val="000000"/>
                <w:sz w:val="20"/>
                <w:szCs w:val="20"/>
                <w:highlight w:val="black"/>
              </w:rPr>
              <w:t>''''''''''''''</w:t>
            </w:r>
          </w:p>
        </w:tc>
        <w:tc>
          <w:tcPr>
            <w:tcW w:w="1093" w:type="dxa"/>
            <w:shd w:val="clear" w:color="auto" w:fill="auto"/>
            <w:tcMar>
              <w:left w:w="28" w:type="dxa"/>
              <w:right w:w="28" w:type="dxa"/>
            </w:tcMar>
            <w:vAlign w:val="center"/>
          </w:tcPr>
          <w:p w:rsidR="008F78E2" w:rsidRPr="00F82904" w:rsidRDefault="00F82904" w:rsidP="00842F06">
            <w:pPr>
              <w:spacing w:before="0"/>
              <w:jc w:val="center"/>
              <w:rPr>
                <w:rFonts w:ascii="Arial Narrow" w:hAnsi="Arial Narrow"/>
                <w:sz w:val="20"/>
                <w:szCs w:val="20"/>
                <w:highlight w:val="black"/>
                <w:lang w:val="en-AU"/>
              </w:rPr>
            </w:pPr>
            <w:r>
              <w:rPr>
                <w:rFonts w:ascii="Arial Narrow" w:hAnsi="Arial Narrow"/>
                <w:noProof/>
                <w:color w:val="000000"/>
                <w:sz w:val="20"/>
                <w:szCs w:val="20"/>
                <w:highlight w:val="black"/>
              </w:rPr>
              <w:t>'''''''''''''''</w:t>
            </w:r>
          </w:p>
        </w:tc>
        <w:tc>
          <w:tcPr>
            <w:tcW w:w="1093" w:type="dxa"/>
            <w:shd w:val="clear" w:color="auto" w:fill="auto"/>
            <w:tcMar>
              <w:left w:w="28" w:type="dxa"/>
              <w:right w:w="28" w:type="dxa"/>
            </w:tcMar>
            <w:vAlign w:val="center"/>
          </w:tcPr>
          <w:p w:rsidR="008F78E2" w:rsidRPr="00F82904" w:rsidRDefault="00F82904" w:rsidP="00842F06">
            <w:pPr>
              <w:spacing w:before="0"/>
              <w:jc w:val="center"/>
              <w:rPr>
                <w:rFonts w:ascii="Arial Narrow" w:hAnsi="Arial Narrow"/>
                <w:sz w:val="20"/>
                <w:szCs w:val="20"/>
                <w:highlight w:val="black"/>
                <w:lang w:val="en-AU"/>
              </w:rPr>
            </w:pPr>
            <w:r>
              <w:rPr>
                <w:rFonts w:ascii="Arial Narrow" w:hAnsi="Arial Narrow"/>
                <w:noProof/>
                <w:color w:val="000000"/>
                <w:sz w:val="20"/>
                <w:szCs w:val="20"/>
                <w:highlight w:val="black"/>
              </w:rPr>
              <w:t>''''''''''''''</w:t>
            </w:r>
          </w:p>
        </w:tc>
        <w:tc>
          <w:tcPr>
            <w:tcW w:w="1092" w:type="dxa"/>
            <w:shd w:val="clear" w:color="auto" w:fill="auto"/>
            <w:tcMar>
              <w:left w:w="28" w:type="dxa"/>
              <w:right w:w="28" w:type="dxa"/>
            </w:tcMar>
            <w:vAlign w:val="center"/>
          </w:tcPr>
          <w:p w:rsidR="008F78E2" w:rsidRPr="00F82904" w:rsidRDefault="00F82904" w:rsidP="00842F06">
            <w:pPr>
              <w:spacing w:before="0"/>
              <w:jc w:val="center"/>
              <w:rPr>
                <w:rFonts w:ascii="Arial Narrow" w:hAnsi="Arial Narrow"/>
                <w:sz w:val="20"/>
                <w:szCs w:val="20"/>
                <w:highlight w:val="black"/>
                <w:lang w:val="en-AU"/>
              </w:rPr>
            </w:pPr>
            <w:r>
              <w:rPr>
                <w:rFonts w:ascii="Arial Narrow" w:hAnsi="Arial Narrow"/>
                <w:noProof/>
                <w:color w:val="000000"/>
                <w:sz w:val="20"/>
                <w:szCs w:val="20"/>
                <w:highlight w:val="black"/>
              </w:rPr>
              <w:t>'''''''''''''</w:t>
            </w:r>
          </w:p>
        </w:tc>
        <w:tc>
          <w:tcPr>
            <w:tcW w:w="1093" w:type="dxa"/>
            <w:shd w:val="clear" w:color="auto" w:fill="auto"/>
            <w:tcMar>
              <w:left w:w="28" w:type="dxa"/>
              <w:right w:w="28" w:type="dxa"/>
            </w:tcMar>
            <w:vAlign w:val="center"/>
          </w:tcPr>
          <w:p w:rsidR="008F78E2" w:rsidRPr="00F82904" w:rsidRDefault="00F82904" w:rsidP="00842F06">
            <w:pPr>
              <w:spacing w:before="0"/>
              <w:jc w:val="center"/>
              <w:rPr>
                <w:rFonts w:ascii="Arial Narrow" w:hAnsi="Arial Narrow"/>
                <w:sz w:val="20"/>
                <w:szCs w:val="20"/>
                <w:highlight w:val="black"/>
                <w:lang w:val="en-AU"/>
              </w:rPr>
            </w:pPr>
            <w:r>
              <w:rPr>
                <w:rFonts w:ascii="Arial Narrow" w:hAnsi="Arial Narrow"/>
                <w:noProof/>
                <w:color w:val="000000"/>
                <w:sz w:val="20"/>
                <w:szCs w:val="20"/>
                <w:highlight w:val="black"/>
              </w:rPr>
              <w:t>'''''''''''''</w:t>
            </w:r>
          </w:p>
        </w:tc>
        <w:tc>
          <w:tcPr>
            <w:tcW w:w="1093" w:type="dxa"/>
            <w:shd w:val="clear" w:color="auto" w:fill="auto"/>
            <w:tcMar>
              <w:left w:w="28" w:type="dxa"/>
              <w:right w:w="28" w:type="dxa"/>
            </w:tcMar>
            <w:vAlign w:val="center"/>
          </w:tcPr>
          <w:p w:rsidR="008F78E2" w:rsidRPr="00F82904" w:rsidRDefault="00F82904" w:rsidP="00842F06">
            <w:pPr>
              <w:spacing w:before="0"/>
              <w:jc w:val="center"/>
              <w:rPr>
                <w:rFonts w:ascii="Arial Narrow" w:hAnsi="Arial Narrow"/>
                <w:sz w:val="20"/>
                <w:szCs w:val="20"/>
                <w:highlight w:val="black"/>
                <w:lang w:val="en-AU"/>
              </w:rPr>
            </w:pPr>
            <w:r>
              <w:rPr>
                <w:rFonts w:ascii="Arial Narrow" w:hAnsi="Arial Narrow"/>
                <w:noProof/>
                <w:color w:val="000000"/>
                <w:sz w:val="20"/>
                <w:szCs w:val="20"/>
                <w:highlight w:val="black"/>
              </w:rPr>
              <w:t>''''''''''''</w:t>
            </w:r>
          </w:p>
        </w:tc>
      </w:tr>
      <w:tr w:rsidR="008F78E2" w:rsidRPr="00577B2E" w:rsidTr="00842F06">
        <w:tc>
          <w:tcPr>
            <w:tcW w:w="2516" w:type="dxa"/>
            <w:shd w:val="clear" w:color="auto" w:fill="auto"/>
            <w:tcMar>
              <w:left w:w="28" w:type="dxa"/>
              <w:right w:w="28" w:type="dxa"/>
            </w:tcMar>
            <w:vAlign w:val="center"/>
          </w:tcPr>
          <w:p w:rsidR="008F78E2" w:rsidRPr="00577B2E" w:rsidRDefault="008F78E2" w:rsidP="00842F06">
            <w:pPr>
              <w:spacing w:before="0"/>
              <w:rPr>
                <w:rFonts w:ascii="Arial Narrow" w:hAnsi="Arial Narrow"/>
                <w:sz w:val="20"/>
                <w:szCs w:val="20"/>
                <w:lang w:val="en-AU"/>
              </w:rPr>
            </w:pPr>
            <w:r w:rsidRPr="00577B2E">
              <w:rPr>
                <w:rFonts w:ascii="Arial Narrow" w:hAnsi="Arial Narrow"/>
                <w:sz w:val="20"/>
                <w:szCs w:val="20"/>
              </w:rPr>
              <w:t>Hydrocortisone foam enema</w:t>
            </w:r>
          </w:p>
        </w:tc>
        <w:tc>
          <w:tcPr>
            <w:tcW w:w="1092" w:type="dxa"/>
            <w:shd w:val="clear" w:color="auto" w:fill="auto"/>
            <w:tcMar>
              <w:left w:w="28" w:type="dxa"/>
              <w:right w:w="28" w:type="dxa"/>
            </w:tcMar>
            <w:vAlign w:val="center"/>
          </w:tcPr>
          <w:p w:rsidR="008F78E2" w:rsidRPr="00F82904" w:rsidRDefault="00F82904" w:rsidP="00842F06">
            <w:pPr>
              <w:spacing w:before="0"/>
              <w:jc w:val="center"/>
              <w:rPr>
                <w:rFonts w:ascii="Arial Narrow" w:hAnsi="Arial Narrow"/>
                <w:sz w:val="20"/>
                <w:szCs w:val="20"/>
                <w:highlight w:val="black"/>
                <w:lang w:val="en-AU"/>
              </w:rPr>
            </w:pPr>
            <w:r>
              <w:rPr>
                <w:rFonts w:ascii="Arial Narrow" w:hAnsi="Arial Narrow"/>
                <w:noProof/>
                <w:color w:val="000000"/>
                <w:sz w:val="20"/>
                <w:szCs w:val="20"/>
                <w:highlight w:val="black"/>
              </w:rPr>
              <w:t>'''''''''''''''</w:t>
            </w:r>
          </w:p>
        </w:tc>
        <w:tc>
          <w:tcPr>
            <w:tcW w:w="1093" w:type="dxa"/>
            <w:shd w:val="clear" w:color="auto" w:fill="auto"/>
            <w:tcMar>
              <w:left w:w="28" w:type="dxa"/>
              <w:right w:w="28" w:type="dxa"/>
            </w:tcMar>
            <w:vAlign w:val="center"/>
          </w:tcPr>
          <w:p w:rsidR="008F78E2" w:rsidRPr="00F82904" w:rsidRDefault="00F82904" w:rsidP="00842F06">
            <w:pPr>
              <w:spacing w:before="0"/>
              <w:jc w:val="center"/>
              <w:rPr>
                <w:rFonts w:ascii="Arial Narrow" w:hAnsi="Arial Narrow"/>
                <w:sz w:val="20"/>
                <w:szCs w:val="20"/>
                <w:highlight w:val="black"/>
                <w:lang w:val="en-AU"/>
              </w:rPr>
            </w:pPr>
            <w:r>
              <w:rPr>
                <w:rFonts w:ascii="Arial Narrow" w:hAnsi="Arial Narrow"/>
                <w:noProof/>
                <w:color w:val="000000"/>
                <w:sz w:val="20"/>
                <w:szCs w:val="20"/>
                <w:highlight w:val="black"/>
              </w:rPr>
              <w:t>'''''''''''''</w:t>
            </w:r>
          </w:p>
        </w:tc>
        <w:tc>
          <w:tcPr>
            <w:tcW w:w="1093" w:type="dxa"/>
            <w:shd w:val="clear" w:color="auto" w:fill="auto"/>
            <w:tcMar>
              <w:left w:w="28" w:type="dxa"/>
              <w:right w:w="28" w:type="dxa"/>
            </w:tcMar>
            <w:vAlign w:val="center"/>
          </w:tcPr>
          <w:p w:rsidR="008F78E2" w:rsidRPr="00F82904" w:rsidRDefault="00F82904" w:rsidP="00842F06">
            <w:pPr>
              <w:spacing w:before="0"/>
              <w:jc w:val="center"/>
              <w:rPr>
                <w:rFonts w:ascii="Arial Narrow" w:hAnsi="Arial Narrow"/>
                <w:sz w:val="20"/>
                <w:szCs w:val="20"/>
                <w:highlight w:val="black"/>
                <w:lang w:val="en-AU"/>
              </w:rPr>
            </w:pPr>
            <w:r>
              <w:rPr>
                <w:rFonts w:ascii="Arial Narrow" w:hAnsi="Arial Narrow"/>
                <w:noProof/>
                <w:color w:val="000000"/>
                <w:sz w:val="20"/>
                <w:szCs w:val="20"/>
                <w:highlight w:val="black"/>
              </w:rPr>
              <w:t>''''''''''''''</w:t>
            </w:r>
          </w:p>
        </w:tc>
        <w:tc>
          <w:tcPr>
            <w:tcW w:w="1092" w:type="dxa"/>
            <w:shd w:val="clear" w:color="auto" w:fill="auto"/>
            <w:tcMar>
              <w:left w:w="28" w:type="dxa"/>
              <w:right w:w="28" w:type="dxa"/>
            </w:tcMar>
            <w:vAlign w:val="center"/>
          </w:tcPr>
          <w:p w:rsidR="008F78E2" w:rsidRPr="00F82904" w:rsidRDefault="00F82904" w:rsidP="00842F06">
            <w:pPr>
              <w:spacing w:before="0"/>
              <w:jc w:val="center"/>
              <w:rPr>
                <w:rFonts w:ascii="Arial Narrow" w:hAnsi="Arial Narrow"/>
                <w:sz w:val="20"/>
                <w:szCs w:val="20"/>
                <w:highlight w:val="black"/>
                <w:lang w:val="en-AU"/>
              </w:rPr>
            </w:pPr>
            <w:r>
              <w:rPr>
                <w:rFonts w:ascii="Arial Narrow" w:hAnsi="Arial Narrow"/>
                <w:noProof/>
                <w:color w:val="000000"/>
                <w:sz w:val="20"/>
                <w:szCs w:val="20"/>
                <w:highlight w:val="black"/>
              </w:rPr>
              <w:t>'''''''''''''</w:t>
            </w:r>
          </w:p>
        </w:tc>
        <w:tc>
          <w:tcPr>
            <w:tcW w:w="1093" w:type="dxa"/>
            <w:shd w:val="clear" w:color="auto" w:fill="auto"/>
            <w:tcMar>
              <w:left w:w="28" w:type="dxa"/>
              <w:right w:w="28" w:type="dxa"/>
            </w:tcMar>
            <w:vAlign w:val="center"/>
          </w:tcPr>
          <w:p w:rsidR="008F78E2" w:rsidRPr="00F82904" w:rsidRDefault="00F82904" w:rsidP="00842F06">
            <w:pPr>
              <w:spacing w:before="0"/>
              <w:jc w:val="center"/>
              <w:rPr>
                <w:rFonts w:ascii="Arial Narrow" w:hAnsi="Arial Narrow"/>
                <w:sz w:val="20"/>
                <w:szCs w:val="20"/>
                <w:highlight w:val="black"/>
                <w:lang w:val="en-AU"/>
              </w:rPr>
            </w:pPr>
            <w:r>
              <w:rPr>
                <w:rFonts w:ascii="Arial Narrow" w:hAnsi="Arial Narrow"/>
                <w:noProof/>
                <w:color w:val="000000"/>
                <w:sz w:val="20"/>
                <w:szCs w:val="20"/>
                <w:highlight w:val="black"/>
              </w:rPr>
              <w:t>'''''''''''''</w:t>
            </w:r>
          </w:p>
        </w:tc>
        <w:tc>
          <w:tcPr>
            <w:tcW w:w="1093" w:type="dxa"/>
            <w:shd w:val="clear" w:color="auto" w:fill="auto"/>
            <w:tcMar>
              <w:left w:w="28" w:type="dxa"/>
              <w:right w:w="28" w:type="dxa"/>
            </w:tcMar>
            <w:vAlign w:val="center"/>
          </w:tcPr>
          <w:p w:rsidR="008F78E2" w:rsidRPr="00F82904" w:rsidRDefault="00F82904" w:rsidP="00842F06">
            <w:pPr>
              <w:spacing w:before="0"/>
              <w:jc w:val="center"/>
              <w:rPr>
                <w:rFonts w:ascii="Arial Narrow" w:hAnsi="Arial Narrow"/>
                <w:sz w:val="20"/>
                <w:szCs w:val="20"/>
                <w:highlight w:val="black"/>
                <w:lang w:val="en-AU"/>
              </w:rPr>
            </w:pPr>
            <w:r>
              <w:rPr>
                <w:rFonts w:ascii="Arial Narrow" w:hAnsi="Arial Narrow"/>
                <w:noProof/>
                <w:color w:val="000000"/>
                <w:sz w:val="20"/>
                <w:szCs w:val="20"/>
                <w:highlight w:val="black"/>
              </w:rPr>
              <w:t>''''''''''''</w:t>
            </w:r>
          </w:p>
        </w:tc>
      </w:tr>
      <w:tr w:rsidR="008F78E2" w:rsidRPr="00577B2E" w:rsidTr="00842F06">
        <w:tc>
          <w:tcPr>
            <w:tcW w:w="2516" w:type="dxa"/>
            <w:shd w:val="clear" w:color="auto" w:fill="auto"/>
            <w:tcMar>
              <w:left w:w="28" w:type="dxa"/>
              <w:right w:w="28" w:type="dxa"/>
            </w:tcMar>
            <w:vAlign w:val="center"/>
          </w:tcPr>
          <w:p w:rsidR="008F78E2" w:rsidRPr="00577B2E" w:rsidRDefault="008F78E2" w:rsidP="00842F06">
            <w:pPr>
              <w:spacing w:before="0"/>
              <w:rPr>
                <w:rFonts w:ascii="Arial Narrow" w:hAnsi="Arial Narrow"/>
                <w:sz w:val="20"/>
                <w:szCs w:val="20"/>
                <w:lang w:val="en-AU"/>
              </w:rPr>
            </w:pPr>
            <w:r w:rsidRPr="00577B2E">
              <w:rPr>
                <w:rFonts w:ascii="Arial Narrow" w:hAnsi="Arial Narrow"/>
                <w:sz w:val="20"/>
                <w:szCs w:val="20"/>
              </w:rPr>
              <w:t>Prednisolone liquid enema</w:t>
            </w:r>
          </w:p>
        </w:tc>
        <w:tc>
          <w:tcPr>
            <w:tcW w:w="1092" w:type="dxa"/>
            <w:shd w:val="clear" w:color="auto" w:fill="auto"/>
            <w:tcMar>
              <w:left w:w="28" w:type="dxa"/>
              <w:right w:w="28" w:type="dxa"/>
            </w:tcMar>
            <w:vAlign w:val="center"/>
          </w:tcPr>
          <w:p w:rsidR="008F78E2" w:rsidRPr="00F82904" w:rsidRDefault="00F82904" w:rsidP="00842F06">
            <w:pPr>
              <w:spacing w:before="0"/>
              <w:jc w:val="center"/>
              <w:rPr>
                <w:rFonts w:ascii="Arial Narrow" w:hAnsi="Arial Narrow"/>
                <w:sz w:val="20"/>
                <w:szCs w:val="20"/>
                <w:highlight w:val="black"/>
                <w:lang w:val="en-AU"/>
              </w:rPr>
            </w:pPr>
            <w:r>
              <w:rPr>
                <w:rFonts w:ascii="Arial Narrow" w:hAnsi="Arial Narrow"/>
                <w:noProof/>
                <w:color w:val="000000"/>
                <w:sz w:val="20"/>
                <w:szCs w:val="20"/>
                <w:highlight w:val="black"/>
              </w:rPr>
              <w:t>'''''''''''''''</w:t>
            </w:r>
          </w:p>
        </w:tc>
        <w:tc>
          <w:tcPr>
            <w:tcW w:w="1093" w:type="dxa"/>
            <w:shd w:val="clear" w:color="auto" w:fill="auto"/>
            <w:tcMar>
              <w:left w:w="28" w:type="dxa"/>
              <w:right w:w="28" w:type="dxa"/>
            </w:tcMar>
            <w:vAlign w:val="center"/>
          </w:tcPr>
          <w:p w:rsidR="008F78E2" w:rsidRPr="00F82904" w:rsidRDefault="00F82904" w:rsidP="00842F06">
            <w:pPr>
              <w:spacing w:before="0"/>
              <w:jc w:val="center"/>
              <w:rPr>
                <w:rFonts w:ascii="Arial Narrow" w:hAnsi="Arial Narrow"/>
                <w:sz w:val="20"/>
                <w:szCs w:val="20"/>
                <w:highlight w:val="black"/>
                <w:lang w:val="en-AU"/>
              </w:rPr>
            </w:pPr>
            <w:r>
              <w:rPr>
                <w:rFonts w:ascii="Arial Narrow" w:hAnsi="Arial Narrow"/>
                <w:noProof/>
                <w:color w:val="000000"/>
                <w:sz w:val="20"/>
                <w:szCs w:val="20"/>
                <w:highlight w:val="black"/>
              </w:rPr>
              <w:t>'''''''''''''</w:t>
            </w:r>
          </w:p>
        </w:tc>
        <w:tc>
          <w:tcPr>
            <w:tcW w:w="1093" w:type="dxa"/>
            <w:shd w:val="clear" w:color="auto" w:fill="auto"/>
            <w:tcMar>
              <w:left w:w="28" w:type="dxa"/>
              <w:right w:w="28" w:type="dxa"/>
            </w:tcMar>
            <w:vAlign w:val="center"/>
          </w:tcPr>
          <w:p w:rsidR="008F78E2" w:rsidRPr="00F82904" w:rsidRDefault="00F82904" w:rsidP="00842F06">
            <w:pPr>
              <w:spacing w:before="0"/>
              <w:jc w:val="center"/>
              <w:rPr>
                <w:rFonts w:ascii="Arial Narrow" w:hAnsi="Arial Narrow"/>
                <w:sz w:val="20"/>
                <w:szCs w:val="20"/>
                <w:highlight w:val="black"/>
                <w:lang w:val="en-AU"/>
              </w:rPr>
            </w:pPr>
            <w:r>
              <w:rPr>
                <w:rFonts w:ascii="Arial Narrow" w:hAnsi="Arial Narrow"/>
                <w:noProof/>
                <w:color w:val="000000"/>
                <w:sz w:val="20"/>
                <w:szCs w:val="20"/>
                <w:highlight w:val="black"/>
              </w:rPr>
              <w:t>''''''''''''''</w:t>
            </w:r>
          </w:p>
        </w:tc>
        <w:tc>
          <w:tcPr>
            <w:tcW w:w="1092" w:type="dxa"/>
            <w:shd w:val="clear" w:color="auto" w:fill="auto"/>
            <w:tcMar>
              <w:left w:w="28" w:type="dxa"/>
              <w:right w:w="28" w:type="dxa"/>
            </w:tcMar>
            <w:vAlign w:val="center"/>
          </w:tcPr>
          <w:p w:rsidR="008F78E2" w:rsidRPr="00F82904" w:rsidRDefault="00F82904" w:rsidP="00842F06">
            <w:pPr>
              <w:spacing w:before="0"/>
              <w:jc w:val="center"/>
              <w:rPr>
                <w:rFonts w:ascii="Arial Narrow" w:hAnsi="Arial Narrow"/>
                <w:sz w:val="20"/>
                <w:szCs w:val="20"/>
                <w:highlight w:val="black"/>
                <w:lang w:val="en-AU"/>
              </w:rPr>
            </w:pPr>
            <w:r>
              <w:rPr>
                <w:rFonts w:ascii="Arial Narrow" w:hAnsi="Arial Narrow"/>
                <w:noProof/>
                <w:color w:val="000000"/>
                <w:sz w:val="20"/>
                <w:szCs w:val="20"/>
                <w:highlight w:val="black"/>
              </w:rPr>
              <w:t>'''''''''''''</w:t>
            </w:r>
          </w:p>
        </w:tc>
        <w:tc>
          <w:tcPr>
            <w:tcW w:w="1093" w:type="dxa"/>
            <w:shd w:val="clear" w:color="auto" w:fill="auto"/>
            <w:tcMar>
              <w:left w:w="28" w:type="dxa"/>
              <w:right w:w="28" w:type="dxa"/>
            </w:tcMar>
            <w:vAlign w:val="center"/>
          </w:tcPr>
          <w:p w:rsidR="008F78E2" w:rsidRPr="00F82904" w:rsidRDefault="00F82904" w:rsidP="00842F06">
            <w:pPr>
              <w:spacing w:before="0"/>
              <w:jc w:val="center"/>
              <w:rPr>
                <w:rFonts w:ascii="Arial Narrow" w:hAnsi="Arial Narrow"/>
                <w:sz w:val="20"/>
                <w:szCs w:val="20"/>
                <w:highlight w:val="black"/>
                <w:lang w:val="en-AU"/>
              </w:rPr>
            </w:pPr>
            <w:r>
              <w:rPr>
                <w:rFonts w:ascii="Arial Narrow" w:hAnsi="Arial Narrow"/>
                <w:noProof/>
                <w:color w:val="000000"/>
                <w:sz w:val="20"/>
                <w:szCs w:val="20"/>
                <w:highlight w:val="black"/>
              </w:rPr>
              <w:t>'''''''''''''''</w:t>
            </w:r>
          </w:p>
        </w:tc>
        <w:tc>
          <w:tcPr>
            <w:tcW w:w="1093" w:type="dxa"/>
            <w:shd w:val="clear" w:color="auto" w:fill="auto"/>
            <w:tcMar>
              <w:left w:w="28" w:type="dxa"/>
              <w:right w:w="28" w:type="dxa"/>
            </w:tcMar>
            <w:vAlign w:val="center"/>
          </w:tcPr>
          <w:p w:rsidR="008F78E2" w:rsidRPr="00F82904" w:rsidRDefault="00F82904" w:rsidP="00842F06">
            <w:pPr>
              <w:spacing w:before="0"/>
              <w:jc w:val="center"/>
              <w:rPr>
                <w:rFonts w:ascii="Arial Narrow" w:hAnsi="Arial Narrow"/>
                <w:sz w:val="20"/>
                <w:szCs w:val="20"/>
                <w:highlight w:val="black"/>
                <w:lang w:val="en-AU"/>
              </w:rPr>
            </w:pPr>
            <w:r>
              <w:rPr>
                <w:rFonts w:ascii="Arial Narrow" w:hAnsi="Arial Narrow"/>
                <w:noProof/>
                <w:color w:val="000000"/>
                <w:sz w:val="20"/>
                <w:szCs w:val="20"/>
                <w:highlight w:val="black"/>
              </w:rPr>
              <w:t>''''''''''''</w:t>
            </w:r>
          </w:p>
        </w:tc>
      </w:tr>
      <w:tr w:rsidR="008F78E2" w:rsidRPr="00577B2E" w:rsidTr="00842F06">
        <w:tc>
          <w:tcPr>
            <w:tcW w:w="2516" w:type="dxa"/>
            <w:shd w:val="clear" w:color="auto" w:fill="auto"/>
            <w:tcMar>
              <w:left w:w="28" w:type="dxa"/>
              <w:right w:w="28" w:type="dxa"/>
            </w:tcMar>
            <w:vAlign w:val="center"/>
          </w:tcPr>
          <w:p w:rsidR="008F78E2" w:rsidRPr="00577B2E" w:rsidRDefault="008F78E2" w:rsidP="00842F06">
            <w:pPr>
              <w:spacing w:before="0"/>
              <w:rPr>
                <w:rFonts w:ascii="Arial Narrow" w:hAnsi="Arial Narrow"/>
                <w:sz w:val="20"/>
                <w:szCs w:val="20"/>
                <w:lang w:val="en-AU"/>
              </w:rPr>
            </w:pPr>
            <w:r w:rsidRPr="00577B2E">
              <w:rPr>
                <w:rFonts w:ascii="Arial Narrow" w:hAnsi="Arial Narrow"/>
                <w:sz w:val="20"/>
                <w:szCs w:val="20"/>
              </w:rPr>
              <w:t>Total</w:t>
            </w:r>
          </w:p>
        </w:tc>
        <w:tc>
          <w:tcPr>
            <w:tcW w:w="1092" w:type="dxa"/>
            <w:shd w:val="clear" w:color="auto" w:fill="auto"/>
            <w:tcMar>
              <w:left w:w="28" w:type="dxa"/>
              <w:right w:w="28" w:type="dxa"/>
            </w:tcMar>
            <w:vAlign w:val="center"/>
          </w:tcPr>
          <w:p w:rsidR="008F78E2" w:rsidRPr="00F82904" w:rsidRDefault="00F82904" w:rsidP="00842F06">
            <w:pPr>
              <w:spacing w:before="0"/>
              <w:jc w:val="center"/>
              <w:rPr>
                <w:rFonts w:ascii="Arial Narrow" w:hAnsi="Arial Narrow"/>
                <w:sz w:val="20"/>
                <w:szCs w:val="20"/>
                <w:highlight w:val="black"/>
                <w:lang w:val="en-AU"/>
              </w:rPr>
            </w:pPr>
            <w:r>
              <w:rPr>
                <w:rFonts w:ascii="Arial Narrow" w:hAnsi="Arial Narrow"/>
                <w:noProof/>
                <w:color w:val="000000"/>
                <w:sz w:val="20"/>
                <w:szCs w:val="20"/>
                <w:highlight w:val="black"/>
              </w:rPr>
              <w:t>'''''''''''''''''</w:t>
            </w:r>
          </w:p>
        </w:tc>
        <w:tc>
          <w:tcPr>
            <w:tcW w:w="1093" w:type="dxa"/>
            <w:shd w:val="clear" w:color="auto" w:fill="auto"/>
            <w:tcMar>
              <w:left w:w="28" w:type="dxa"/>
              <w:right w:w="28" w:type="dxa"/>
            </w:tcMar>
            <w:vAlign w:val="center"/>
          </w:tcPr>
          <w:p w:rsidR="008F78E2" w:rsidRPr="00F82904" w:rsidRDefault="00F82904" w:rsidP="00842F06">
            <w:pPr>
              <w:spacing w:before="0"/>
              <w:jc w:val="center"/>
              <w:rPr>
                <w:rFonts w:ascii="Arial Narrow" w:hAnsi="Arial Narrow"/>
                <w:sz w:val="20"/>
                <w:szCs w:val="20"/>
                <w:highlight w:val="black"/>
                <w:lang w:val="en-AU"/>
              </w:rPr>
            </w:pPr>
            <w:r>
              <w:rPr>
                <w:rFonts w:ascii="Arial Narrow" w:hAnsi="Arial Narrow"/>
                <w:noProof/>
                <w:color w:val="000000"/>
                <w:sz w:val="20"/>
                <w:szCs w:val="20"/>
                <w:highlight w:val="black"/>
              </w:rPr>
              <w:t>''''''''''''''''''</w:t>
            </w:r>
          </w:p>
        </w:tc>
        <w:tc>
          <w:tcPr>
            <w:tcW w:w="1093" w:type="dxa"/>
            <w:shd w:val="clear" w:color="auto" w:fill="auto"/>
            <w:tcMar>
              <w:left w:w="28" w:type="dxa"/>
              <w:right w:w="28" w:type="dxa"/>
            </w:tcMar>
            <w:vAlign w:val="center"/>
          </w:tcPr>
          <w:p w:rsidR="008F78E2" w:rsidRPr="00F82904" w:rsidRDefault="00F82904" w:rsidP="00842F06">
            <w:pPr>
              <w:spacing w:before="0"/>
              <w:jc w:val="center"/>
              <w:rPr>
                <w:rFonts w:ascii="Arial Narrow" w:hAnsi="Arial Narrow"/>
                <w:sz w:val="20"/>
                <w:szCs w:val="20"/>
                <w:highlight w:val="black"/>
                <w:lang w:val="en-AU"/>
              </w:rPr>
            </w:pPr>
            <w:r>
              <w:rPr>
                <w:rFonts w:ascii="Arial Narrow" w:hAnsi="Arial Narrow"/>
                <w:noProof/>
                <w:color w:val="000000"/>
                <w:sz w:val="20"/>
                <w:szCs w:val="20"/>
                <w:highlight w:val="black"/>
              </w:rPr>
              <w:t>'''''''''''''''</w:t>
            </w:r>
          </w:p>
        </w:tc>
        <w:tc>
          <w:tcPr>
            <w:tcW w:w="1092" w:type="dxa"/>
            <w:shd w:val="clear" w:color="auto" w:fill="auto"/>
            <w:tcMar>
              <w:left w:w="28" w:type="dxa"/>
              <w:right w:w="28" w:type="dxa"/>
            </w:tcMar>
            <w:vAlign w:val="center"/>
          </w:tcPr>
          <w:p w:rsidR="008F78E2" w:rsidRPr="00F82904" w:rsidRDefault="00F82904" w:rsidP="00842F06">
            <w:pPr>
              <w:spacing w:before="0"/>
              <w:jc w:val="center"/>
              <w:rPr>
                <w:rFonts w:ascii="Arial Narrow" w:hAnsi="Arial Narrow"/>
                <w:sz w:val="20"/>
                <w:szCs w:val="20"/>
                <w:highlight w:val="black"/>
                <w:lang w:val="en-AU"/>
              </w:rPr>
            </w:pPr>
            <w:r>
              <w:rPr>
                <w:rFonts w:ascii="Arial Narrow" w:hAnsi="Arial Narrow"/>
                <w:noProof/>
                <w:color w:val="000000"/>
                <w:sz w:val="20"/>
                <w:szCs w:val="20"/>
                <w:highlight w:val="black"/>
              </w:rPr>
              <w:t>''''''''''''''''</w:t>
            </w:r>
          </w:p>
        </w:tc>
        <w:tc>
          <w:tcPr>
            <w:tcW w:w="1093" w:type="dxa"/>
            <w:shd w:val="clear" w:color="auto" w:fill="auto"/>
            <w:tcMar>
              <w:left w:w="28" w:type="dxa"/>
              <w:right w:w="28" w:type="dxa"/>
            </w:tcMar>
            <w:vAlign w:val="center"/>
          </w:tcPr>
          <w:p w:rsidR="008F78E2" w:rsidRPr="00F82904" w:rsidRDefault="00F82904" w:rsidP="00842F06">
            <w:pPr>
              <w:spacing w:before="0"/>
              <w:jc w:val="center"/>
              <w:rPr>
                <w:rFonts w:ascii="Arial Narrow" w:hAnsi="Arial Narrow"/>
                <w:sz w:val="20"/>
                <w:szCs w:val="20"/>
                <w:highlight w:val="black"/>
                <w:lang w:val="en-AU"/>
              </w:rPr>
            </w:pPr>
            <w:r>
              <w:rPr>
                <w:rFonts w:ascii="Arial Narrow" w:hAnsi="Arial Narrow"/>
                <w:noProof/>
                <w:color w:val="000000"/>
                <w:sz w:val="20"/>
                <w:szCs w:val="20"/>
                <w:highlight w:val="black"/>
              </w:rPr>
              <w:t>'''''''''''''''</w:t>
            </w:r>
          </w:p>
        </w:tc>
        <w:tc>
          <w:tcPr>
            <w:tcW w:w="1093" w:type="dxa"/>
            <w:shd w:val="clear" w:color="auto" w:fill="auto"/>
            <w:tcMar>
              <w:left w:w="28" w:type="dxa"/>
              <w:right w:w="28" w:type="dxa"/>
            </w:tcMar>
            <w:vAlign w:val="center"/>
          </w:tcPr>
          <w:p w:rsidR="008F78E2" w:rsidRPr="00F82904" w:rsidRDefault="00F82904" w:rsidP="00842F06">
            <w:pPr>
              <w:spacing w:before="0"/>
              <w:jc w:val="center"/>
              <w:rPr>
                <w:rFonts w:ascii="Arial Narrow" w:hAnsi="Arial Narrow"/>
                <w:sz w:val="20"/>
                <w:szCs w:val="20"/>
                <w:highlight w:val="black"/>
                <w:lang w:val="en-AU"/>
              </w:rPr>
            </w:pPr>
            <w:r>
              <w:rPr>
                <w:rFonts w:ascii="Arial Narrow" w:hAnsi="Arial Narrow"/>
                <w:noProof/>
                <w:color w:val="000000"/>
                <w:sz w:val="20"/>
                <w:szCs w:val="20"/>
                <w:highlight w:val="black"/>
              </w:rPr>
              <w:t>'''''''''''''''</w:t>
            </w:r>
          </w:p>
        </w:tc>
      </w:tr>
      <w:tr w:rsidR="008F78E2" w:rsidRPr="00577B2E" w:rsidTr="00842F06">
        <w:tc>
          <w:tcPr>
            <w:tcW w:w="9072" w:type="dxa"/>
            <w:gridSpan w:val="7"/>
            <w:shd w:val="clear" w:color="auto" w:fill="auto"/>
            <w:tcMar>
              <w:left w:w="28" w:type="dxa"/>
              <w:right w:w="28" w:type="dxa"/>
            </w:tcMar>
            <w:vAlign w:val="center"/>
          </w:tcPr>
          <w:p w:rsidR="008F78E2" w:rsidRPr="00577B2E" w:rsidRDefault="008F78E2" w:rsidP="00842F06">
            <w:pPr>
              <w:spacing w:before="0"/>
              <w:rPr>
                <w:rFonts w:ascii="Arial Narrow" w:hAnsi="Arial Narrow"/>
                <w:b/>
                <w:bCs/>
                <w:sz w:val="20"/>
                <w:szCs w:val="20"/>
                <w:lang w:val="en-AU"/>
              </w:rPr>
            </w:pPr>
            <w:r w:rsidRPr="00577B2E">
              <w:rPr>
                <w:rFonts w:ascii="Arial Narrow" w:hAnsi="Arial Narrow"/>
                <w:b/>
                <w:bCs/>
                <w:sz w:val="20"/>
                <w:szCs w:val="20"/>
              </w:rPr>
              <w:t>Budesonide CR uptake/substitution from existing therapy</w:t>
            </w:r>
          </w:p>
        </w:tc>
      </w:tr>
      <w:tr w:rsidR="008F78E2" w:rsidRPr="00577B2E" w:rsidTr="00842F06">
        <w:tc>
          <w:tcPr>
            <w:tcW w:w="2516" w:type="dxa"/>
            <w:shd w:val="clear" w:color="auto" w:fill="auto"/>
            <w:tcMar>
              <w:left w:w="28" w:type="dxa"/>
              <w:right w:w="28" w:type="dxa"/>
            </w:tcMar>
            <w:vAlign w:val="center"/>
          </w:tcPr>
          <w:p w:rsidR="008F78E2" w:rsidRPr="00577B2E" w:rsidRDefault="008F78E2" w:rsidP="00842F06">
            <w:pPr>
              <w:spacing w:before="0"/>
              <w:rPr>
                <w:rFonts w:ascii="Arial Narrow" w:hAnsi="Arial Narrow"/>
                <w:sz w:val="20"/>
                <w:szCs w:val="20"/>
                <w:lang w:val="en-AU"/>
              </w:rPr>
            </w:pPr>
            <w:r w:rsidRPr="00577B2E">
              <w:rPr>
                <w:rFonts w:ascii="Arial Narrow" w:hAnsi="Arial Narrow"/>
                <w:sz w:val="20"/>
                <w:szCs w:val="20"/>
              </w:rPr>
              <w:t>Budesonide foam enema</w:t>
            </w:r>
          </w:p>
        </w:tc>
        <w:tc>
          <w:tcPr>
            <w:tcW w:w="1092" w:type="dxa"/>
            <w:shd w:val="clear" w:color="auto" w:fill="auto"/>
            <w:tcMar>
              <w:left w:w="28" w:type="dxa"/>
              <w:right w:w="28" w:type="dxa"/>
            </w:tcMar>
            <w:vAlign w:val="center"/>
          </w:tcPr>
          <w:p w:rsidR="008F78E2" w:rsidRPr="00F82904" w:rsidRDefault="00F82904" w:rsidP="00842F06">
            <w:pPr>
              <w:spacing w:before="0"/>
              <w:jc w:val="center"/>
              <w:rPr>
                <w:rFonts w:ascii="Arial Narrow" w:hAnsi="Arial Narrow"/>
                <w:sz w:val="20"/>
                <w:szCs w:val="20"/>
                <w:highlight w:val="black"/>
                <w:lang w:val="en-AU"/>
              </w:rPr>
            </w:pPr>
            <w:r>
              <w:rPr>
                <w:rFonts w:ascii="Arial Narrow" w:hAnsi="Arial Narrow"/>
                <w:noProof/>
                <w:color w:val="000000"/>
                <w:sz w:val="20"/>
                <w:szCs w:val="20"/>
                <w:highlight w:val="black"/>
              </w:rPr>
              <w:t>''''''''''''''''</w:t>
            </w:r>
          </w:p>
        </w:tc>
        <w:tc>
          <w:tcPr>
            <w:tcW w:w="1093" w:type="dxa"/>
            <w:shd w:val="clear" w:color="auto" w:fill="auto"/>
            <w:tcMar>
              <w:left w:w="28" w:type="dxa"/>
              <w:right w:w="28" w:type="dxa"/>
            </w:tcMar>
            <w:vAlign w:val="center"/>
          </w:tcPr>
          <w:p w:rsidR="008F78E2" w:rsidRPr="00F82904" w:rsidRDefault="00F82904" w:rsidP="00842F06">
            <w:pPr>
              <w:spacing w:before="0"/>
              <w:jc w:val="center"/>
              <w:rPr>
                <w:rFonts w:ascii="Arial Narrow" w:hAnsi="Arial Narrow"/>
                <w:sz w:val="20"/>
                <w:szCs w:val="20"/>
                <w:highlight w:val="black"/>
                <w:lang w:val="en-AU"/>
              </w:rPr>
            </w:pPr>
            <w:r>
              <w:rPr>
                <w:rFonts w:ascii="Arial Narrow" w:hAnsi="Arial Narrow"/>
                <w:noProof/>
                <w:color w:val="000000"/>
                <w:sz w:val="20"/>
                <w:szCs w:val="20"/>
                <w:highlight w:val="black"/>
              </w:rPr>
              <w:t>'''''''''''''''</w:t>
            </w:r>
          </w:p>
        </w:tc>
        <w:tc>
          <w:tcPr>
            <w:tcW w:w="1093" w:type="dxa"/>
            <w:shd w:val="clear" w:color="auto" w:fill="auto"/>
            <w:tcMar>
              <w:left w:w="28" w:type="dxa"/>
              <w:right w:w="28" w:type="dxa"/>
            </w:tcMar>
            <w:vAlign w:val="center"/>
          </w:tcPr>
          <w:p w:rsidR="008F78E2" w:rsidRPr="00F82904" w:rsidRDefault="00F82904" w:rsidP="00842F06">
            <w:pPr>
              <w:spacing w:before="0"/>
              <w:jc w:val="center"/>
              <w:rPr>
                <w:rFonts w:ascii="Arial Narrow" w:hAnsi="Arial Narrow"/>
                <w:sz w:val="20"/>
                <w:szCs w:val="20"/>
                <w:highlight w:val="black"/>
                <w:lang w:val="en-AU"/>
              </w:rPr>
            </w:pPr>
            <w:r>
              <w:rPr>
                <w:rFonts w:ascii="Arial Narrow" w:hAnsi="Arial Narrow"/>
                <w:noProof/>
                <w:color w:val="000000"/>
                <w:sz w:val="20"/>
                <w:szCs w:val="20"/>
                <w:highlight w:val="black"/>
              </w:rPr>
              <w:t>''''''''''''''''</w:t>
            </w:r>
          </w:p>
        </w:tc>
        <w:tc>
          <w:tcPr>
            <w:tcW w:w="1092" w:type="dxa"/>
            <w:shd w:val="clear" w:color="auto" w:fill="auto"/>
            <w:tcMar>
              <w:left w:w="28" w:type="dxa"/>
              <w:right w:w="28" w:type="dxa"/>
            </w:tcMar>
            <w:vAlign w:val="center"/>
          </w:tcPr>
          <w:p w:rsidR="008F78E2" w:rsidRPr="00F82904" w:rsidRDefault="00F82904" w:rsidP="00842F06">
            <w:pPr>
              <w:spacing w:before="0"/>
              <w:jc w:val="center"/>
              <w:rPr>
                <w:rFonts w:ascii="Arial Narrow" w:hAnsi="Arial Narrow"/>
                <w:sz w:val="20"/>
                <w:szCs w:val="20"/>
                <w:highlight w:val="black"/>
                <w:lang w:val="en-AU"/>
              </w:rPr>
            </w:pPr>
            <w:r>
              <w:rPr>
                <w:rFonts w:ascii="Arial Narrow" w:hAnsi="Arial Narrow"/>
                <w:noProof/>
                <w:color w:val="000000"/>
                <w:sz w:val="20"/>
                <w:szCs w:val="20"/>
                <w:highlight w:val="black"/>
              </w:rPr>
              <w:t>'''''''''''''''</w:t>
            </w:r>
          </w:p>
        </w:tc>
        <w:tc>
          <w:tcPr>
            <w:tcW w:w="1093" w:type="dxa"/>
            <w:shd w:val="clear" w:color="auto" w:fill="auto"/>
            <w:tcMar>
              <w:left w:w="28" w:type="dxa"/>
              <w:right w:w="28" w:type="dxa"/>
            </w:tcMar>
            <w:vAlign w:val="center"/>
          </w:tcPr>
          <w:p w:rsidR="008F78E2" w:rsidRPr="00F82904" w:rsidRDefault="00F82904" w:rsidP="00842F06">
            <w:pPr>
              <w:spacing w:before="0"/>
              <w:jc w:val="center"/>
              <w:rPr>
                <w:rFonts w:ascii="Arial Narrow" w:hAnsi="Arial Narrow"/>
                <w:sz w:val="20"/>
                <w:szCs w:val="20"/>
                <w:highlight w:val="black"/>
                <w:lang w:val="en-AU"/>
              </w:rPr>
            </w:pPr>
            <w:r>
              <w:rPr>
                <w:rFonts w:ascii="Arial Narrow" w:hAnsi="Arial Narrow"/>
                <w:noProof/>
                <w:color w:val="000000"/>
                <w:sz w:val="20"/>
                <w:szCs w:val="20"/>
                <w:highlight w:val="black"/>
              </w:rPr>
              <w:t>'''''''''''''''</w:t>
            </w:r>
          </w:p>
        </w:tc>
        <w:tc>
          <w:tcPr>
            <w:tcW w:w="1093" w:type="dxa"/>
            <w:shd w:val="clear" w:color="auto" w:fill="auto"/>
            <w:tcMar>
              <w:left w:w="28" w:type="dxa"/>
              <w:right w:w="28" w:type="dxa"/>
            </w:tcMar>
            <w:vAlign w:val="center"/>
          </w:tcPr>
          <w:p w:rsidR="008F78E2" w:rsidRPr="00F82904" w:rsidRDefault="00F82904" w:rsidP="00842F06">
            <w:pPr>
              <w:spacing w:before="0"/>
              <w:jc w:val="center"/>
              <w:rPr>
                <w:rFonts w:ascii="Arial Narrow" w:hAnsi="Arial Narrow"/>
                <w:sz w:val="20"/>
                <w:szCs w:val="20"/>
                <w:highlight w:val="black"/>
                <w:lang w:val="en-AU"/>
              </w:rPr>
            </w:pPr>
            <w:r>
              <w:rPr>
                <w:rFonts w:ascii="Arial Narrow" w:hAnsi="Arial Narrow"/>
                <w:noProof/>
                <w:color w:val="000000"/>
                <w:sz w:val="20"/>
                <w:szCs w:val="20"/>
                <w:highlight w:val="black"/>
              </w:rPr>
              <w:t>''''''''''''''</w:t>
            </w:r>
          </w:p>
        </w:tc>
      </w:tr>
      <w:tr w:rsidR="008F78E2" w:rsidRPr="00577B2E" w:rsidTr="00842F06">
        <w:tc>
          <w:tcPr>
            <w:tcW w:w="2516" w:type="dxa"/>
            <w:shd w:val="clear" w:color="auto" w:fill="auto"/>
            <w:tcMar>
              <w:left w:w="28" w:type="dxa"/>
              <w:right w:w="28" w:type="dxa"/>
            </w:tcMar>
            <w:vAlign w:val="center"/>
          </w:tcPr>
          <w:p w:rsidR="008F78E2" w:rsidRPr="00577B2E" w:rsidRDefault="008F78E2" w:rsidP="00842F06">
            <w:pPr>
              <w:spacing w:before="0"/>
              <w:rPr>
                <w:rFonts w:ascii="Arial Narrow" w:hAnsi="Arial Narrow"/>
                <w:sz w:val="20"/>
                <w:szCs w:val="20"/>
                <w:lang w:val="en-AU"/>
              </w:rPr>
            </w:pPr>
            <w:r w:rsidRPr="00577B2E">
              <w:rPr>
                <w:rFonts w:ascii="Arial Narrow" w:hAnsi="Arial Narrow"/>
                <w:sz w:val="20"/>
                <w:szCs w:val="20"/>
              </w:rPr>
              <w:t>Hydrocortisone foam enema</w:t>
            </w:r>
          </w:p>
        </w:tc>
        <w:tc>
          <w:tcPr>
            <w:tcW w:w="1092" w:type="dxa"/>
            <w:shd w:val="clear" w:color="auto" w:fill="auto"/>
            <w:tcMar>
              <w:left w:w="28" w:type="dxa"/>
              <w:right w:w="28" w:type="dxa"/>
            </w:tcMar>
            <w:vAlign w:val="center"/>
          </w:tcPr>
          <w:p w:rsidR="008F78E2" w:rsidRPr="00F82904" w:rsidRDefault="00F82904" w:rsidP="00842F06">
            <w:pPr>
              <w:spacing w:before="0"/>
              <w:jc w:val="center"/>
              <w:rPr>
                <w:rFonts w:ascii="Arial Narrow" w:hAnsi="Arial Narrow"/>
                <w:sz w:val="20"/>
                <w:szCs w:val="20"/>
                <w:highlight w:val="black"/>
                <w:lang w:val="en-AU"/>
              </w:rPr>
            </w:pPr>
            <w:r>
              <w:rPr>
                <w:rFonts w:ascii="Arial Narrow" w:hAnsi="Arial Narrow"/>
                <w:noProof/>
                <w:color w:val="000000"/>
                <w:sz w:val="20"/>
                <w:szCs w:val="20"/>
                <w:highlight w:val="black"/>
              </w:rPr>
              <w:t>''''''''''''''''</w:t>
            </w:r>
          </w:p>
        </w:tc>
        <w:tc>
          <w:tcPr>
            <w:tcW w:w="1093" w:type="dxa"/>
            <w:shd w:val="clear" w:color="auto" w:fill="auto"/>
            <w:tcMar>
              <w:left w:w="28" w:type="dxa"/>
              <w:right w:w="28" w:type="dxa"/>
            </w:tcMar>
            <w:vAlign w:val="center"/>
          </w:tcPr>
          <w:p w:rsidR="008F78E2" w:rsidRPr="00F82904" w:rsidRDefault="00F82904" w:rsidP="00842F06">
            <w:pPr>
              <w:spacing w:before="0"/>
              <w:jc w:val="center"/>
              <w:rPr>
                <w:rFonts w:ascii="Arial Narrow" w:hAnsi="Arial Narrow"/>
                <w:sz w:val="20"/>
                <w:szCs w:val="20"/>
                <w:highlight w:val="black"/>
                <w:lang w:val="en-AU"/>
              </w:rPr>
            </w:pPr>
            <w:r>
              <w:rPr>
                <w:rFonts w:ascii="Arial Narrow" w:hAnsi="Arial Narrow"/>
                <w:noProof/>
                <w:color w:val="000000"/>
                <w:sz w:val="20"/>
                <w:szCs w:val="20"/>
                <w:highlight w:val="black"/>
              </w:rPr>
              <w:t>''''''''''''''''</w:t>
            </w:r>
          </w:p>
        </w:tc>
        <w:tc>
          <w:tcPr>
            <w:tcW w:w="1093" w:type="dxa"/>
            <w:shd w:val="clear" w:color="auto" w:fill="auto"/>
            <w:tcMar>
              <w:left w:w="28" w:type="dxa"/>
              <w:right w:w="28" w:type="dxa"/>
            </w:tcMar>
            <w:vAlign w:val="center"/>
          </w:tcPr>
          <w:p w:rsidR="008F78E2" w:rsidRPr="00F82904" w:rsidRDefault="00F82904" w:rsidP="00842F06">
            <w:pPr>
              <w:spacing w:before="0"/>
              <w:jc w:val="center"/>
              <w:rPr>
                <w:rFonts w:ascii="Arial Narrow" w:hAnsi="Arial Narrow"/>
                <w:sz w:val="20"/>
                <w:szCs w:val="20"/>
                <w:highlight w:val="black"/>
                <w:lang w:val="en-AU"/>
              </w:rPr>
            </w:pPr>
            <w:r>
              <w:rPr>
                <w:rFonts w:ascii="Arial Narrow" w:hAnsi="Arial Narrow"/>
                <w:noProof/>
                <w:color w:val="000000"/>
                <w:sz w:val="20"/>
                <w:szCs w:val="20"/>
                <w:highlight w:val="black"/>
              </w:rPr>
              <w:t>''''''''''''''''</w:t>
            </w:r>
          </w:p>
        </w:tc>
        <w:tc>
          <w:tcPr>
            <w:tcW w:w="1092" w:type="dxa"/>
            <w:shd w:val="clear" w:color="auto" w:fill="auto"/>
            <w:tcMar>
              <w:left w:w="28" w:type="dxa"/>
              <w:right w:w="28" w:type="dxa"/>
            </w:tcMar>
            <w:vAlign w:val="center"/>
          </w:tcPr>
          <w:p w:rsidR="008F78E2" w:rsidRPr="00F82904" w:rsidRDefault="00F82904" w:rsidP="00842F06">
            <w:pPr>
              <w:spacing w:before="0"/>
              <w:jc w:val="center"/>
              <w:rPr>
                <w:rFonts w:ascii="Arial Narrow" w:hAnsi="Arial Narrow"/>
                <w:sz w:val="20"/>
                <w:szCs w:val="20"/>
                <w:highlight w:val="black"/>
                <w:lang w:val="en-AU"/>
              </w:rPr>
            </w:pPr>
            <w:r>
              <w:rPr>
                <w:rFonts w:ascii="Arial Narrow" w:hAnsi="Arial Narrow"/>
                <w:noProof/>
                <w:color w:val="000000"/>
                <w:sz w:val="20"/>
                <w:szCs w:val="20"/>
                <w:highlight w:val="black"/>
              </w:rPr>
              <w:t>'''''''''''''''</w:t>
            </w:r>
          </w:p>
        </w:tc>
        <w:tc>
          <w:tcPr>
            <w:tcW w:w="1093" w:type="dxa"/>
            <w:shd w:val="clear" w:color="auto" w:fill="auto"/>
            <w:tcMar>
              <w:left w:w="28" w:type="dxa"/>
              <w:right w:w="28" w:type="dxa"/>
            </w:tcMar>
            <w:vAlign w:val="center"/>
          </w:tcPr>
          <w:p w:rsidR="008F78E2" w:rsidRPr="00F82904" w:rsidRDefault="00F82904" w:rsidP="00842F06">
            <w:pPr>
              <w:spacing w:before="0"/>
              <w:jc w:val="center"/>
              <w:rPr>
                <w:rFonts w:ascii="Arial Narrow" w:hAnsi="Arial Narrow"/>
                <w:sz w:val="20"/>
                <w:szCs w:val="20"/>
                <w:highlight w:val="black"/>
                <w:lang w:val="en-AU"/>
              </w:rPr>
            </w:pPr>
            <w:r>
              <w:rPr>
                <w:rFonts w:ascii="Arial Narrow" w:hAnsi="Arial Narrow"/>
                <w:noProof/>
                <w:color w:val="000000"/>
                <w:sz w:val="20"/>
                <w:szCs w:val="20"/>
                <w:highlight w:val="black"/>
              </w:rPr>
              <w:t>'''''''''''''''''</w:t>
            </w:r>
          </w:p>
        </w:tc>
        <w:tc>
          <w:tcPr>
            <w:tcW w:w="1093" w:type="dxa"/>
            <w:shd w:val="clear" w:color="auto" w:fill="auto"/>
            <w:tcMar>
              <w:left w:w="28" w:type="dxa"/>
              <w:right w:w="28" w:type="dxa"/>
            </w:tcMar>
            <w:vAlign w:val="center"/>
          </w:tcPr>
          <w:p w:rsidR="008F78E2" w:rsidRPr="00F82904" w:rsidRDefault="00F82904" w:rsidP="00842F06">
            <w:pPr>
              <w:spacing w:before="0"/>
              <w:jc w:val="center"/>
              <w:rPr>
                <w:rFonts w:ascii="Arial Narrow" w:hAnsi="Arial Narrow"/>
                <w:sz w:val="20"/>
                <w:szCs w:val="20"/>
                <w:highlight w:val="black"/>
                <w:lang w:val="en-AU"/>
              </w:rPr>
            </w:pPr>
            <w:r>
              <w:rPr>
                <w:rFonts w:ascii="Arial Narrow" w:hAnsi="Arial Narrow"/>
                <w:noProof/>
                <w:color w:val="000000"/>
                <w:sz w:val="20"/>
                <w:szCs w:val="20"/>
                <w:highlight w:val="black"/>
              </w:rPr>
              <w:t>''''''''''''''</w:t>
            </w:r>
          </w:p>
        </w:tc>
      </w:tr>
      <w:tr w:rsidR="008F78E2" w:rsidRPr="00577B2E" w:rsidTr="00842F06">
        <w:tc>
          <w:tcPr>
            <w:tcW w:w="2516" w:type="dxa"/>
            <w:shd w:val="clear" w:color="auto" w:fill="auto"/>
            <w:tcMar>
              <w:left w:w="28" w:type="dxa"/>
              <w:right w:w="28" w:type="dxa"/>
            </w:tcMar>
            <w:vAlign w:val="center"/>
          </w:tcPr>
          <w:p w:rsidR="008F78E2" w:rsidRPr="00577B2E" w:rsidRDefault="008F78E2" w:rsidP="00842F06">
            <w:pPr>
              <w:spacing w:before="0"/>
              <w:rPr>
                <w:rFonts w:ascii="Arial Narrow" w:hAnsi="Arial Narrow"/>
                <w:sz w:val="20"/>
                <w:szCs w:val="20"/>
                <w:lang w:val="en-AU"/>
              </w:rPr>
            </w:pPr>
            <w:r w:rsidRPr="00577B2E">
              <w:rPr>
                <w:rFonts w:ascii="Arial Narrow" w:hAnsi="Arial Narrow"/>
                <w:sz w:val="20"/>
                <w:szCs w:val="20"/>
              </w:rPr>
              <w:t>Prednisolone liquid enema</w:t>
            </w:r>
          </w:p>
        </w:tc>
        <w:tc>
          <w:tcPr>
            <w:tcW w:w="1092" w:type="dxa"/>
            <w:shd w:val="clear" w:color="auto" w:fill="auto"/>
            <w:tcMar>
              <w:left w:w="28" w:type="dxa"/>
              <w:right w:w="28" w:type="dxa"/>
            </w:tcMar>
            <w:vAlign w:val="center"/>
          </w:tcPr>
          <w:p w:rsidR="008F78E2" w:rsidRPr="00F82904" w:rsidRDefault="00F82904" w:rsidP="00842F06">
            <w:pPr>
              <w:spacing w:before="0"/>
              <w:jc w:val="center"/>
              <w:rPr>
                <w:rFonts w:ascii="Arial Narrow" w:hAnsi="Arial Narrow"/>
                <w:sz w:val="20"/>
                <w:szCs w:val="20"/>
                <w:highlight w:val="black"/>
                <w:lang w:val="en-AU"/>
              </w:rPr>
            </w:pPr>
            <w:r>
              <w:rPr>
                <w:rFonts w:ascii="Arial Narrow" w:hAnsi="Arial Narrow"/>
                <w:noProof/>
                <w:color w:val="000000"/>
                <w:sz w:val="20"/>
                <w:szCs w:val="20"/>
                <w:highlight w:val="black"/>
              </w:rPr>
              <w:t>'''''''''''''''''</w:t>
            </w:r>
          </w:p>
        </w:tc>
        <w:tc>
          <w:tcPr>
            <w:tcW w:w="1093" w:type="dxa"/>
            <w:shd w:val="clear" w:color="auto" w:fill="auto"/>
            <w:tcMar>
              <w:left w:w="28" w:type="dxa"/>
              <w:right w:w="28" w:type="dxa"/>
            </w:tcMar>
            <w:vAlign w:val="center"/>
          </w:tcPr>
          <w:p w:rsidR="008F78E2" w:rsidRPr="00F82904" w:rsidRDefault="00F82904" w:rsidP="00842F06">
            <w:pPr>
              <w:spacing w:before="0"/>
              <w:jc w:val="center"/>
              <w:rPr>
                <w:rFonts w:ascii="Arial Narrow" w:hAnsi="Arial Narrow"/>
                <w:sz w:val="20"/>
                <w:szCs w:val="20"/>
                <w:highlight w:val="black"/>
                <w:lang w:val="en-AU"/>
              </w:rPr>
            </w:pPr>
            <w:r>
              <w:rPr>
                <w:rFonts w:ascii="Arial Narrow" w:hAnsi="Arial Narrow"/>
                <w:noProof/>
                <w:color w:val="000000"/>
                <w:sz w:val="20"/>
                <w:szCs w:val="20"/>
                <w:highlight w:val="black"/>
              </w:rPr>
              <w:t>''''''''''''''''</w:t>
            </w:r>
          </w:p>
        </w:tc>
        <w:tc>
          <w:tcPr>
            <w:tcW w:w="1093" w:type="dxa"/>
            <w:shd w:val="clear" w:color="auto" w:fill="auto"/>
            <w:tcMar>
              <w:left w:w="28" w:type="dxa"/>
              <w:right w:w="28" w:type="dxa"/>
            </w:tcMar>
            <w:vAlign w:val="center"/>
          </w:tcPr>
          <w:p w:rsidR="008F78E2" w:rsidRPr="00F82904" w:rsidRDefault="00F82904" w:rsidP="00842F06">
            <w:pPr>
              <w:spacing w:before="0"/>
              <w:jc w:val="center"/>
              <w:rPr>
                <w:rFonts w:ascii="Arial Narrow" w:hAnsi="Arial Narrow"/>
                <w:sz w:val="20"/>
                <w:szCs w:val="20"/>
                <w:highlight w:val="black"/>
                <w:lang w:val="en-AU"/>
              </w:rPr>
            </w:pPr>
            <w:r>
              <w:rPr>
                <w:rFonts w:ascii="Arial Narrow" w:hAnsi="Arial Narrow"/>
                <w:noProof/>
                <w:color w:val="000000"/>
                <w:sz w:val="20"/>
                <w:szCs w:val="20"/>
                <w:highlight w:val="black"/>
              </w:rPr>
              <w:t>''''''''''''''</w:t>
            </w:r>
          </w:p>
        </w:tc>
        <w:tc>
          <w:tcPr>
            <w:tcW w:w="1092" w:type="dxa"/>
            <w:shd w:val="clear" w:color="auto" w:fill="auto"/>
            <w:tcMar>
              <w:left w:w="28" w:type="dxa"/>
              <w:right w:w="28" w:type="dxa"/>
            </w:tcMar>
            <w:vAlign w:val="center"/>
          </w:tcPr>
          <w:p w:rsidR="008F78E2" w:rsidRPr="00F82904" w:rsidRDefault="00F82904" w:rsidP="00842F06">
            <w:pPr>
              <w:spacing w:before="0"/>
              <w:jc w:val="center"/>
              <w:rPr>
                <w:rFonts w:ascii="Arial Narrow" w:hAnsi="Arial Narrow"/>
                <w:sz w:val="20"/>
                <w:szCs w:val="20"/>
                <w:highlight w:val="black"/>
                <w:lang w:val="en-AU"/>
              </w:rPr>
            </w:pPr>
            <w:r>
              <w:rPr>
                <w:rFonts w:ascii="Arial Narrow" w:hAnsi="Arial Narrow"/>
                <w:noProof/>
                <w:color w:val="000000"/>
                <w:sz w:val="20"/>
                <w:szCs w:val="20"/>
                <w:highlight w:val="black"/>
              </w:rPr>
              <w:t>'''''''''''''''</w:t>
            </w:r>
          </w:p>
        </w:tc>
        <w:tc>
          <w:tcPr>
            <w:tcW w:w="1093" w:type="dxa"/>
            <w:shd w:val="clear" w:color="auto" w:fill="auto"/>
            <w:tcMar>
              <w:left w:w="28" w:type="dxa"/>
              <w:right w:w="28" w:type="dxa"/>
            </w:tcMar>
            <w:vAlign w:val="center"/>
          </w:tcPr>
          <w:p w:rsidR="008F78E2" w:rsidRPr="00F82904" w:rsidRDefault="00F82904" w:rsidP="00842F06">
            <w:pPr>
              <w:spacing w:before="0"/>
              <w:jc w:val="center"/>
              <w:rPr>
                <w:rFonts w:ascii="Arial Narrow" w:hAnsi="Arial Narrow"/>
                <w:sz w:val="20"/>
                <w:szCs w:val="20"/>
                <w:highlight w:val="black"/>
                <w:lang w:val="en-AU"/>
              </w:rPr>
            </w:pPr>
            <w:r>
              <w:rPr>
                <w:rFonts w:ascii="Arial Narrow" w:hAnsi="Arial Narrow"/>
                <w:noProof/>
                <w:color w:val="000000"/>
                <w:sz w:val="20"/>
                <w:szCs w:val="20"/>
                <w:highlight w:val="black"/>
              </w:rPr>
              <w:t>''''''''''''''</w:t>
            </w:r>
          </w:p>
        </w:tc>
        <w:tc>
          <w:tcPr>
            <w:tcW w:w="1093" w:type="dxa"/>
            <w:shd w:val="clear" w:color="auto" w:fill="auto"/>
            <w:tcMar>
              <w:left w:w="28" w:type="dxa"/>
              <w:right w:w="28" w:type="dxa"/>
            </w:tcMar>
            <w:vAlign w:val="center"/>
          </w:tcPr>
          <w:p w:rsidR="008F78E2" w:rsidRPr="00F82904" w:rsidRDefault="00F82904" w:rsidP="00842F06">
            <w:pPr>
              <w:spacing w:before="0"/>
              <w:jc w:val="center"/>
              <w:rPr>
                <w:rFonts w:ascii="Arial Narrow" w:hAnsi="Arial Narrow"/>
                <w:sz w:val="20"/>
                <w:szCs w:val="20"/>
                <w:highlight w:val="black"/>
                <w:lang w:val="en-AU"/>
              </w:rPr>
            </w:pPr>
            <w:r>
              <w:rPr>
                <w:rFonts w:ascii="Arial Narrow" w:hAnsi="Arial Narrow"/>
                <w:noProof/>
                <w:color w:val="000000"/>
                <w:sz w:val="20"/>
                <w:szCs w:val="20"/>
                <w:highlight w:val="black"/>
              </w:rPr>
              <w:t>''''''''''''''</w:t>
            </w:r>
          </w:p>
        </w:tc>
      </w:tr>
      <w:tr w:rsidR="008F78E2" w:rsidRPr="00577B2E" w:rsidTr="00842F06">
        <w:trPr>
          <w:trHeight w:val="70"/>
        </w:trPr>
        <w:tc>
          <w:tcPr>
            <w:tcW w:w="2516" w:type="dxa"/>
            <w:shd w:val="clear" w:color="auto" w:fill="auto"/>
            <w:tcMar>
              <w:left w:w="28" w:type="dxa"/>
              <w:right w:w="28" w:type="dxa"/>
            </w:tcMar>
            <w:vAlign w:val="center"/>
          </w:tcPr>
          <w:p w:rsidR="008F78E2" w:rsidRPr="00577B2E" w:rsidRDefault="008F78E2" w:rsidP="00842F06">
            <w:pPr>
              <w:spacing w:before="0"/>
              <w:rPr>
                <w:rFonts w:ascii="Arial Narrow" w:hAnsi="Arial Narrow"/>
                <w:sz w:val="20"/>
                <w:szCs w:val="20"/>
                <w:lang w:val="en-AU"/>
              </w:rPr>
            </w:pPr>
            <w:r w:rsidRPr="00577B2E">
              <w:rPr>
                <w:rFonts w:ascii="Arial Narrow" w:hAnsi="Arial Narrow"/>
                <w:sz w:val="20"/>
                <w:szCs w:val="20"/>
              </w:rPr>
              <w:t xml:space="preserve">Budesonide CR </w:t>
            </w:r>
          </w:p>
        </w:tc>
        <w:tc>
          <w:tcPr>
            <w:tcW w:w="1092" w:type="dxa"/>
            <w:shd w:val="clear" w:color="auto" w:fill="auto"/>
            <w:tcMar>
              <w:left w:w="28" w:type="dxa"/>
              <w:right w:w="28" w:type="dxa"/>
            </w:tcMar>
            <w:vAlign w:val="center"/>
          </w:tcPr>
          <w:p w:rsidR="008F78E2" w:rsidRPr="00F82904" w:rsidRDefault="00F82904" w:rsidP="00842F06">
            <w:pPr>
              <w:spacing w:before="0"/>
              <w:jc w:val="center"/>
              <w:rPr>
                <w:rFonts w:ascii="Arial Narrow" w:hAnsi="Arial Narrow"/>
                <w:sz w:val="20"/>
                <w:szCs w:val="20"/>
                <w:highlight w:val="black"/>
                <w:lang w:val="en-AU"/>
              </w:rPr>
            </w:pPr>
            <w:r>
              <w:rPr>
                <w:rFonts w:ascii="Arial Narrow" w:hAnsi="Arial Narrow"/>
                <w:noProof/>
                <w:color w:val="000000"/>
                <w:sz w:val="20"/>
                <w:szCs w:val="20"/>
                <w:highlight w:val="black"/>
              </w:rPr>
              <w:t>'''''''''''''''</w:t>
            </w:r>
          </w:p>
        </w:tc>
        <w:tc>
          <w:tcPr>
            <w:tcW w:w="1093" w:type="dxa"/>
            <w:shd w:val="clear" w:color="auto" w:fill="auto"/>
            <w:tcMar>
              <w:left w:w="28" w:type="dxa"/>
              <w:right w:w="28" w:type="dxa"/>
            </w:tcMar>
            <w:vAlign w:val="center"/>
          </w:tcPr>
          <w:p w:rsidR="008F78E2" w:rsidRPr="00F82904" w:rsidRDefault="00F82904" w:rsidP="00842F06">
            <w:pPr>
              <w:spacing w:before="0"/>
              <w:jc w:val="center"/>
              <w:rPr>
                <w:rFonts w:ascii="Arial Narrow" w:hAnsi="Arial Narrow"/>
                <w:sz w:val="20"/>
                <w:szCs w:val="20"/>
                <w:highlight w:val="black"/>
                <w:lang w:val="en-AU"/>
              </w:rPr>
            </w:pPr>
            <w:r>
              <w:rPr>
                <w:rFonts w:ascii="Arial Narrow" w:hAnsi="Arial Narrow"/>
                <w:noProof/>
                <w:color w:val="000000"/>
                <w:sz w:val="20"/>
                <w:szCs w:val="20"/>
                <w:highlight w:val="black"/>
              </w:rPr>
              <w:t>'''''''''''''</w:t>
            </w:r>
          </w:p>
        </w:tc>
        <w:tc>
          <w:tcPr>
            <w:tcW w:w="1093" w:type="dxa"/>
            <w:shd w:val="clear" w:color="auto" w:fill="auto"/>
            <w:tcMar>
              <w:left w:w="28" w:type="dxa"/>
              <w:right w:w="28" w:type="dxa"/>
            </w:tcMar>
            <w:vAlign w:val="center"/>
          </w:tcPr>
          <w:p w:rsidR="008F78E2" w:rsidRPr="00F82904" w:rsidRDefault="00F82904" w:rsidP="00842F06">
            <w:pPr>
              <w:spacing w:before="0"/>
              <w:jc w:val="center"/>
              <w:rPr>
                <w:rFonts w:ascii="Arial Narrow" w:hAnsi="Arial Narrow"/>
                <w:sz w:val="20"/>
                <w:szCs w:val="20"/>
                <w:highlight w:val="black"/>
                <w:lang w:val="en-AU"/>
              </w:rPr>
            </w:pPr>
            <w:r>
              <w:rPr>
                <w:rFonts w:ascii="Arial Narrow" w:hAnsi="Arial Narrow"/>
                <w:noProof/>
                <w:color w:val="000000"/>
                <w:sz w:val="20"/>
                <w:szCs w:val="20"/>
                <w:highlight w:val="black"/>
              </w:rPr>
              <w:t>''''''''''''''</w:t>
            </w:r>
          </w:p>
        </w:tc>
        <w:tc>
          <w:tcPr>
            <w:tcW w:w="1092" w:type="dxa"/>
            <w:shd w:val="clear" w:color="auto" w:fill="auto"/>
            <w:tcMar>
              <w:left w:w="28" w:type="dxa"/>
              <w:right w:w="28" w:type="dxa"/>
            </w:tcMar>
            <w:vAlign w:val="center"/>
          </w:tcPr>
          <w:p w:rsidR="008F78E2" w:rsidRPr="00F82904" w:rsidRDefault="00F82904" w:rsidP="00842F06">
            <w:pPr>
              <w:spacing w:before="0"/>
              <w:jc w:val="center"/>
              <w:rPr>
                <w:rFonts w:ascii="Arial Narrow" w:hAnsi="Arial Narrow"/>
                <w:sz w:val="20"/>
                <w:szCs w:val="20"/>
                <w:highlight w:val="black"/>
                <w:lang w:val="en-AU"/>
              </w:rPr>
            </w:pPr>
            <w:r>
              <w:rPr>
                <w:rFonts w:ascii="Arial Narrow" w:hAnsi="Arial Narrow"/>
                <w:noProof/>
                <w:color w:val="000000"/>
                <w:sz w:val="20"/>
                <w:szCs w:val="20"/>
                <w:highlight w:val="black"/>
              </w:rPr>
              <w:t>'''''''''''''</w:t>
            </w:r>
          </w:p>
        </w:tc>
        <w:tc>
          <w:tcPr>
            <w:tcW w:w="1093" w:type="dxa"/>
            <w:shd w:val="clear" w:color="auto" w:fill="auto"/>
            <w:tcMar>
              <w:left w:w="28" w:type="dxa"/>
              <w:right w:w="28" w:type="dxa"/>
            </w:tcMar>
            <w:vAlign w:val="center"/>
          </w:tcPr>
          <w:p w:rsidR="008F78E2" w:rsidRPr="00F82904" w:rsidRDefault="00F82904" w:rsidP="00842F06">
            <w:pPr>
              <w:spacing w:before="0"/>
              <w:jc w:val="center"/>
              <w:rPr>
                <w:rFonts w:ascii="Arial Narrow" w:hAnsi="Arial Narrow"/>
                <w:sz w:val="20"/>
                <w:szCs w:val="20"/>
                <w:highlight w:val="black"/>
                <w:lang w:val="en-AU"/>
              </w:rPr>
            </w:pPr>
            <w:r>
              <w:rPr>
                <w:rFonts w:ascii="Arial Narrow" w:hAnsi="Arial Narrow"/>
                <w:noProof/>
                <w:color w:val="000000"/>
                <w:sz w:val="20"/>
                <w:szCs w:val="20"/>
                <w:highlight w:val="black"/>
              </w:rPr>
              <w:t>'''''''''''''</w:t>
            </w:r>
          </w:p>
        </w:tc>
        <w:tc>
          <w:tcPr>
            <w:tcW w:w="1093" w:type="dxa"/>
            <w:shd w:val="clear" w:color="auto" w:fill="auto"/>
            <w:tcMar>
              <w:left w:w="28" w:type="dxa"/>
              <w:right w:w="28" w:type="dxa"/>
            </w:tcMar>
            <w:vAlign w:val="center"/>
          </w:tcPr>
          <w:p w:rsidR="008F78E2" w:rsidRPr="00F82904" w:rsidRDefault="00F82904" w:rsidP="00842F06">
            <w:pPr>
              <w:spacing w:before="0"/>
              <w:jc w:val="center"/>
              <w:rPr>
                <w:rFonts w:ascii="Arial Narrow" w:hAnsi="Arial Narrow"/>
                <w:sz w:val="20"/>
                <w:szCs w:val="20"/>
                <w:highlight w:val="black"/>
                <w:lang w:val="en-AU"/>
              </w:rPr>
            </w:pPr>
            <w:r>
              <w:rPr>
                <w:rFonts w:ascii="Arial Narrow" w:hAnsi="Arial Narrow"/>
                <w:noProof/>
                <w:color w:val="000000"/>
                <w:sz w:val="20"/>
                <w:szCs w:val="20"/>
                <w:highlight w:val="black"/>
              </w:rPr>
              <w:t>'''''''''''''''</w:t>
            </w:r>
          </w:p>
        </w:tc>
      </w:tr>
      <w:tr w:rsidR="008F78E2" w:rsidRPr="00577B2E" w:rsidTr="00842F06">
        <w:tc>
          <w:tcPr>
            <w:tcW w:w="9072" w:type="dxa"/>
            <w:gridSpan w:val="7"/>
            <w:shd w:val="clear" w:color="auto" w:fill="auto"/>
            <w:tcMar>
              <w:left w:w="28" w:type="dxa"/>
              <w:right w:w="28" w:type="dxa"/>
            </w:tcMar>
            <w:vAlign w:val="center"/>
          </w:tcPr>
          <w:p w:rsidR="008F78E2" w:rsidRPr="00577B2E" w:rsidRDefault="008F78E2" w:rsidP="00842F06">
            <w:pPr>
              <w:spacing w:before="0"/>
              <w:rPr>
                <w:rFonts w:ascii="Arial Narrow" w:hAnsi="Arial Narrow"/>
                <w:b/>
                <w:bCs/>
                <w:sz w:val="20"/>
                <w:szCs w:val="20"/>
                <w:lang w:val="en-AU"/>
              </w:rPr>
            </w:pPr>
            <w:r w:rsidRPr="00577B2E">
              <w:rPr>
                <w:rFonts w:ascii="Arial Narrow" w:hAnsi="Arial Narrow"/>
                <w:b/>
                <w:bCs/>
                <w:sz w:val="20"/>
                <w:szCs w:val="20"/>
              </w:rPr>
              <w:t>Cost to PBS and RPBS (net copayments)</w:t>
            </w:r>
          </w:p>
        </w:tc>
      </w:tr>
      <w:tr w:rsidR="008F78E2" w:rsidRPr="00577B2E" w:rsidTr="00842F06">
        <w:tc>
          <w:tcPr>
            <w:tcW w:w="2516" w:type="dxa"/>
            <w:shd w:val="clear" w:color="auto" w:fill="auto"/>
            <w:tcMar>
              <w:left w:w="28" w:type="dxa"/>
              <w:right w:w="28" w:type="dxa"/>
            </w:tcMar>
            <w:vAlign w:val="center"/>
          </w:tcPr>
          <w:p w:rsidR="008F78E2" w:rsidRPr="00577B2E" w:rsidRDefault="008F78E2" w:rsidP="00842F06">
            <w:pPr>
              <w:spacing w:before="0"/>
              <w:rPr>
                <w:rFonts w:ascii="Arial Narrow" w:hAnsi="Arial Narrow"/>
                <w:sz w:val="20"/>
                <w:szCs w:val="20"/>
                <w:lang w:val="en-AU"/>
              </w:rPr>
            </w:pPr>
            <w:r w:rsidRPr="00577B2E">
              <w:rPr>
                <w:rFonts w:ascii="Arial Narrow" w:hAnsi="Arial Narrow"/>
                <w:sz w:val="20"/>
                <w:szCs w:val="20"/>
              </w:rPr>
              <w:t>Budesonide foam enema</w:t>
            </w:r>
          </w:p>
        </w:tc>
        <w:tc>
          <w:tcPr>
            <w:tcW w:w="1092" w:type="dxa"/>
            <w:shd w:val="clear" w:color="auto" w:fill="auto"/>
            <w:tcMar>
              <w:left w:w="28" w:type="dxa"/>
              <w:right w:w="28" w:type="dxa"/>
            </w:tcMar>
            <w:vAlign w:val="center"/>
          </w:tcPr>
          <w:p w:rsidR="008F78E2" w:rsidRPr="00577B2E" w:rsidRDefault="008F78E2" w:rsidP="00842F06">
            <w:pPr>
              <w:spacing w:before="0"/>
              <w:jc w:val="center"/>
              <w:rPr>
                <w:rFonts w:ascii="Arial Narrow" w:hAnsi="Arial Narrow"/>
                <w:sz w:val="20"/>
                <w:szCs w:val="20"/>
                <w:lang w:val="en-AU"/>
              </w:rPr>
            </w:pPr>
            <w:r w:rsidRPr="00577B2E">
              <w:rPr>
                <w:rFonts w:ascii="Arial Narrow" w:hAnsi="Arial Narrow"/>
                <w:sz w:val="20"/>
                <w:szCs w:val="20"/>
              </w:rPr>
              <w:t>-$</w:t>
            </w:r>
            <w:r w:rsidR="00F82904">
              <w:rPr>
                <w:rFonts w:ascii="Arial Narrow" w:hAnsi="Arial Narrow"/>
                <w:noProof/>
                <w:color w:val="000000"/>
                <w:sz w:val="20"/>
                <w:szCs w:val="20"/>
                <w:highlight w:val="black"/>
              </w:rPr>
              <w:t>'''''''''''''''''''''</w:t>
            </w:r>
          </w:p>
        </w:tc>
        <w:tc>
          <w:tcPr>
            <w:tcW w:w="1093" w:type="dxa"/>
            <w:shd w:val="clear" w:color="auto" w:fill="auto"/>
            <w:tcMar>
              <w:left w:w="28" w:type="dxa"/>
              <w:right w:w="28" w:type="dxa"/>
            </w:tcMar>
            <w:vAlign w:val="center"/>
          </w:tcPr>
          <w:p w:rsidR="008F78E2" w:rsidRPr="00577B2E" w:rsidRDefault="008F78E2" w:rsidP="00842F06">
            <w:pPr>
              <w:spacing w:before="0"/>
              <w:jc w:val="center"/>
              <w:rPr>
                <w:rFonts w:ascii="Arial Narrow" w:hAnsi="Arial Narrow"/>
                <w:sz w:val="20"/>
                <w:szCs w:val="20"/>
                <w:lang w:val="en-AU"/>
              </w:rPr>
            </w:pPr>
            <w:r w:rsidRPr="00577B2E">
              <w:rPr>
                <w:rFonts w:ascii="Arial Narrow" w:hAnsi="Arial Narrow"/>
                <w:sz w:val="20"/>
                <w:szCs w:val="20"/>
              </w:rPr>
              <w:t>-$</w:t>
            </w:r>
            <w:r w:rsidR="00F82904">
              <w:rPr>
                <w:rFonts w:ascii="Arial Narrow" w:hAnsi="Arial Narrow"/>
                <w:noProof/>
                <w:color w:val="000000"/>
                <w:sz w:val="20"/>
                <w:szCs w:val="20"/>
                <w:highlight w:val="black"/>
              </w:rPr>
              <w:t>'''''''''''''''''''''</w:t>
            </w:r>
          </w:p>
        </w:tc>
        <w:tc>
          <w:tcPr>
            <w:tcW w:w="1093" w:type="dxa"/>
            <w:shd w:val="clear" w:color="auto" w:fill="auto"/>
            <w:tcMar>
              <w:left w:w="28" w:type="dxa"/>
              <w:right w:w="28" w:type="dxa"/>
            </w:tcMar>
            <w:vAlign w:val="center"/>
          </w:tcPr>
          <w:p w:rsidR="008F78E2" w:rsidRPr="00577B2E" w:rsidRDefault="008F78E2" w:rsidP="00842F06">
            <w:pPr>
              <w:spacing w:before="0"/>
              <w:jc w:val="center"/>
              <w:rPr>
                <w:rFonts w:ascii="Arial Narrow" w:hAnsi="Arial Narrow"/>
                <w:sz w:val="20"/>
                <w:szCs w:val="20"/>
                <w:lang w:val="en-AU"/>
              </w:rPr>
            </w:pPr>
            <w:r w:rsidRPr="00577B2E">
              <w:rPr>
                <w:rFonts w:ascii="Arial Narrow" w:hAnsi="Arial Narrow"/>
                <w:sz w:val="20"/>
                <w:szCs w:val="20"/>
              </w:rPr>
              <w:t>-$</w:t>
            </w:r>
            <w:r w:rsidR="00F82904">
              <w:rPr>
                <w:rFonts w:ascii="Arial Narrow" w:hAnsi="Arial Narrow"/>
                <w:noProof/>
                <w:color w:val="000000"/>
                <w:sz w:val="20"/>
                <w:szCs w:val="20"/>
                <w:highlight w:val="black"/>
              </w:rPr>
              <w:t>''''''''''''''''''''</w:t>
            </w:r>
          </w:p>
        </w:tc>
        <w:tc>
          <w:tcPr>
            <w:tcW w:w="1092" w:type="dxa"/>
            <w:shd w:val="clear" w:color="auto" w:fill="auto"/>
            <w:tcMar>
              <w:left w:w="28" w:type="dxa"/>
              <w:right w:w="28" w:type="dxa"/>
            </w:tcMar>
            <w:vAlign w:val="center"/>
          </w:tcPr>
          <w:p w:rsidR="008F78E2" w:rsidRPr="00F82904" w:rsidRDefault="008F78E2" w:rsidP="00842F06">
            <w:pPr>
              <w:spacing w:before="0"/>
              <w:jc w:val="center"/>
              <w:rPr>
                <w:rFonts w:ascii="Arial Narrow" w:hAnsi="Arial Narrow"/>
                <w:sz w:val="20"/>
                <w:szCs w:val="20"/>
                <w:lang w:val="en-AU"/>
              </w:rPr>
            </w:pPr>
            <w:r w:rsidRPr="00CB055A">
              <w:rPr>
                <w:rFonts w:ascii="Arial Narrow" w:hAnsi="Arial Narrow"/>
                <w:sz w:val="20"/>
                <w:szCs w:val="20"/>
              </w:rPr>
              <w:t>-$</w:t>
            </w:r>
            <w:r w:rsidR="00F82904">
              <w:rPr>
                <w:rFonts w:ascii="Arial Narrow" w:hAnsi="Arial Narrow"/>
                <w:noProof/>
                <w:color w:val="000000"/>
                <w:sz w:val="20"/>
                <w:szCs w:val="20"/>
                <w:highlight w:val="black"/>
              </w:rPr>
              <w:t>''''''''''''''''''''</w:t>
            </w:r>
          </w:p>
        </w:tc>
        <w:tc>
          <w:tcPr>
            <w:tcW w:w="1093" w:type="dxa"/>
            <w:shd w:val="clear" w:color="auto" w:fill="auto"/>
            <w:tcMar>
              <w:left w:w="28" w:type="dxa"/>
              <w:right w:w="28" w:type="dxa"/>
            </w:tcMar>
            <w:vAlign w:val="center"/>
          </w:tcPr>
          <w:p w:rsidR="008F78E2" w:rsidRPr="00F82904" w:rsidRDefault="008F78E2" w:rsidP="00842F06">
            <w:pPr>
              <w:spacing w:before="0"/>
              <w:jc w:val="center"/>
              <w:rPr>
                <w:rFonts w:ascii="Arial Narrow" w:hAnsi="Arial Narrow"/>
                <w:sz w:val="20"/>
                <w:szCs w:val="20"/>
                <w:lang w:val="en-AU"/>
              </w:rPr>
            </w:pPr>
            <w:r w:rsidRPr="00CB055A">
              <w:rPr>
                <w:rFonts w:ascii="Arial Narrow" w:hAnsi="Arial Narrow"/>
                <w:sz w:val="20"/>
                <w:szCs w:val="20"/>
              </w:rPr>
              <w:t>-$</w:t>
            </w:r>
            <w:r w:rsidR="00F82904">
              <w:rPr>
                <w:rFonts w:ascii="Arial Narrow" w:hAnsi="Arial Narrow"/>
                <w:noProof/>
                <w:color w:val="000000"/>
                <w:sz w:val="20"/>
                <w:szCs w:val="20"/>
                <w:highlight w:val="black"/>
              </w:rPr>
              <w:t>'''''''''''''''''''</w:t>
            </w:r>
          </w:p>
        </w:tc>
        <w:tc>
          <w:tcPr>
            <w:tcW w:w="1093" w:type="dxa"/>
            <w:shd w:val="clear" w:color="auto" w:fill="auto"/>
            <w:tcMar>
              <w:left w:w="28" w:type="dxa"/>
              <w:right w:w="28" w:type="dxa"/>
            </w:tcMar>
            <w:vAlign w:val="center"/>
          </w:tcPr>
          <w:p w:rsidR="008F78E2" w:rsidRPr="00F82904" w:rsidRDefault="008F78E2" w:rsidP="00842F06">
            <w:pPr>
              <w:spacing w:before="0"/>
              <w:jc w:val="center"/>
              <w:rPr>
                <w:rFonts w:ascii="Arial Narrow" w:hAnsi="Arial Narrow"/>
                <w:sz w:val="20"/>
                <w:szCs w:val="20"/>
                <w:lang w:val="en-AU"/>
              </w:rPr>
            </w:pPr>
            <w:r w:rsidRPr="00CB055A">
              <w:rPr>
                <w:rFonts w:ascii="Arial Narrow" w:hAnsi="Arial Narrow"/>
                <w:sz w:val="20"/>
                <w:szCs w:val="20"/>
              </w:rPr>
              <w:t>-$</w:t>
            </w:r>
            <w:r w:rsidR="00F82904">
              <w:rPr>
                <w:rFonts w:ascii="Arial Narrow" w:hAnsi="Arial Narrow"/>
                <w:noProof/>
                <w:color w:val="000000"/>
                <w:sz w:val="20"/>
                <w:szCs w:val="20"/>
                <w:highlight w:val="black"/>
              </w:rPr>
              <w:t>'''''''''''''''''''''</w:t>
            </w:r>
          </w:p>
        </w:tc>
      </w:tr>
      <w:tr w:rsidR="008F78E2" w:rsidRPr="00577B2E" w:rsidTr="00842F06">
        <w:tc>
          <w:tcPr>
            <w:tcW w:w="2516" w:type="dxa"/>
            <w:shd w:val="clear" w:color="auto" w:fill="auto"/>
            <w:tcMar>
              <w:left w:w="28" w:type="dxa"/>
              <w:right w:w="28" w:type="dxa"/>
            </w:tcMar>
            <w:vAlign w:val="center"/>
          </w:tcPr>
          <w:p w:rsidR="008F78E2" w:rsidRPr="00577B2E" w:rsidRDefault="008F78E2" w:rsidP="00842F06">
            <w:pPr>
              <w:spacing w:before="0"/>
              <w:rPr>
                <w:rFonts w:ascii="Arial Narrow" w:hAnsi="Arial Narrow"/>
                <w:sz w:val="20"/>
                <w:szCs w:val="20"/>
                <w:lang w:val="en-AU"/>
              </w:rPr>
            </w:pPr>
            <w:r w:rsidRPr="00577B2E">
              <w:rPr>
                <w:rFonts w:ascii="Arial Narrow" w:hAnsi="Arial Narrow"/>
                <w:sz w:val="20"/>
                <w:szCs w:val="20"/>
              </w:rPr>
              <w:t>Hydrocortisone foam enema</w:t>
            </w:r>
          </w:p>
        </w:tc>
        <w:tc>
          <w:tcPr>
            <w:tcW w:w="1092" w:type="dxa"/>
            <w:shd w:val="clear" w:color="auto" w:fill="auto"/>
            <w:tcMar>
              <w:left w:w="28" w:type="dxa"/>
              <w:right w:w="28" w:type="dxa"/>
            </w:tcMar>
            <w:vAlign w:val="center"/>
          </w:tcPr>
          <w:p w:rsidR="008F78E2" w:rsidRPr="00577B2E" w:rsidRDefault="008F78E2" w:rsidP="00842F06">
            <w:pPr>
              <w:spacing w:before="0"/>
              <w:jc w:val="center"/>
              <w:rPr>
                <w:rFonts w:ascii="Arial Narrow" w:hAnsi="Arial Narrow"/>
                <w:sz w:val="20"/>
                <w:szCs w:val="20"/>
                <w:lang w:val="en-AU"/>
              </w:rPr>
            </w:pPr>
            <w:r w:rsidRPr="00577B2E">
              <w:rPr>
                <w:rFonts w:ascii="Arial Narrow" w:hAnsi="Arial Narrow"/>
                <w:sz w:val="20"/>
                <w:szCs w:val="20"/>
              </w:rPr>
              <w:t>-$</w:t>
            </w:r>
            <w:r w:rsidR="00F82904">
              <w:rPr>
                <w:rFonts w:ascii="Arial Narrow" w:hAnsi="Arial Narrow"/>
                <w:noProof/>
                <w:color w:val="000000"/>
                <w:sz w:val="20"/>
                <w:szCs w:val="20"/>
                <w:highlight w:val="black"/>
              </w:rPr>
              <w:t>'''''''''''''''</w:t>
            </w:r>
          </w:p>
        </w:tc>
        <w:tc>
          <w:tcPr>
            <w:tcW w:w="1093" w:type="dxa"/>
            <w:shd w:val="clear" w:color="auto" w:fill="auto"/>
            <w:tcMar>
              <w:left w:w="28" w:type="dxa"/>
              <w:right w:w="28" w:type="dxa"/>
            </w:tcMar>
            <w:vAlign w:val="center"/>
          </w:tcPr>
          <w:p w:rsidR="008F78E2" w:rsidRPr="00577B2E" w:rsidRDefault="008F78E2" w:rsidP="00842F06">
            <w:pPr>
              <w:spacing w:before="0"/>
              <w:jc w:val="center"/>
              <w:rPr>
                <w:rFonts w:ascii="Arial Narrow" w:hAnsi="Arial Narrow"/>
                <w:sz w:val="20"/>
                <w:szCs w:val="20"/>
                <w:lang w:val="en-AU"/>
              </w:rPr>
            </w:pPr>
            <w:r w:rsidRPr="00577B2E">
              <w:rPr>
                <w:rFonts w:ascii="Arial Narrow" w:hAnsi="Arial Narrow"/>
                <w:sz w:val="20"/>
                <w:szCs w:val="20"/>
              </w:rPr>
              <w:t>-$</w:t>
            </w:r>
            <w:r w:rsidR="00F82904">
              <w:rPr>
                <w:rFonts w:ascii="Arial Narrow" w:hAnsi="Arial Narrow"/>
                <w:noProof/>
                <w:color w:val="000000"/>
                <w:sz w:val="20"/>
                <w:szCs w:val="20"/>
                <w:highlight w:val="black"/>
              </w:rPr>
              <w:t>'''''''''''''''''</w:t>
            </w:r>
          </w:p>
        </w:tc>
        <w:tc>
          <w:tcPr>
            <w:tcW w:w="1093" w:type="dxa"/>
            <w:shd w:val="clear" w:color="auto" w:fill="auto"/>
            <w:tcMar>
              <w:left w:w="28" w:type="dxa"/>
              <w:right w:w="28" w:type="dxa"/>
            </w:tcMar>
            <w:vAlign w:val="center"/>
          </w:tcPr>
          <w:p w:rsidR="008F78E2" w:rsidRPr="00577B2E" w:rsidRDefault="008F78E2" w:rsidP="00842F06">
            <w:pPr>
              <w:spacing w:before="0"/>
              <w:jc w:val="center"/>
              <w:rPr>
                <w:rFonts w:ascii="Arial Narrow" w:hAnsi="Arial Narrow"/>
                <w:sz w:val="20"/>
                <w:szCs w:val="20"/>
                <w:lang w:val="en-AU"/>
              </w:rPr>
            </w:pPr>
            <w:r w:rsidRPr="00577B2E">
              <w:rPr>
                <w:rFonts w:ascii="Arial Narrow" w:hAnsi="Arial Narrow"/>
                <w:sz w:val="20"/>
                <w:szCs w:val="20"/>
              </w:rPr>
              <w:t>-$</w:t>
            </w:r>
            <w:r w:rsidR="00F82904">
              <w:rPr>
                <w:rFonts w:ascii="Arial Narrow" w:hAnsi="Arial Narrow"/>
                <w:noProof/>
                <w:color w:val="000000"/>
                <w:sz w:val="20"/>
                <w:szCs w:val="20"/>
                <w:highlight w:val="black"/>
              </w:rPr>
              <w:t>''''''''''''''''''</w:t>
            </w:r>
          </w:p>
        </w:tc>
        <w:tc>
          <w:tcPr>
            <w:tcW w:w="1092" w:type="dxa"/>
            <w:shd w:val="clear" w:color="auto" w:fill="auto"/>
            <w:tcMar>
              <w:left w:w="28" w:type="dxa"/>
              <w:right w:w="28" w:type="dxa"/>
            </w:tcMar>
            <w:vAlign w:val="center"/>
          </w:tcPr>
          <w:p w:rsidR="008F78E2" w:rsidRPr="00F82904" w:rsidRDefault="008F78E2" w:rsidP="00842F06">
            <w:pPr>
              <w:spacing w:before="0"/>
              <w:jc w:val="center"/>
              <w:rPr>
                <w:rFonts w:ascii="Arial Narrow" w:hAnsi="Arial Narrow"/>
                <w:sz w:val="20"/>
                <w:szCs w:val="20"/>
                <w:lang w:val="en-AU"/>
              </w:rPr>
            </w:pPr>
            <w:r w:rsidRPr="00CB055A">
              <w:rPr>
                <w:rFonts w:ascii="Arial Narrow" w:hAnsi="Arial Narrow"/>
                <w:sz w:val="20"/>
                <w:szCs w:val="20"/>
              </w:rPr>
              <w:t>-$</w:t>
            </w:r>
            <w:r w:rsidR="00F82904">
              <w:rPr>
                <w:rFonts w:ascii="Arial Narrow" w:hAnsi="Arial Narrow"/>
                <w:noProof/>
                <w:color w:val="000000"/>
                <w:sz w:val="20"/>
                <w:szCs w:val="20"/>
                <w:highlight w:val="black"/>
              </w:rPr>
              <w:t>''''''''''''''''</w:t>
            </w:r>
          </w:p>
        </w:tc>
        <w:tc>
          <w:tcPr>
            <w:tcW w:w="1093" w:type="dxa"/>
            <w:shd w:val="clear" w:color="auto" w:fill="auto"/>
            <w:tcMar>
              <w:left w:w="28" w:type="dxa"/>
              <w:right w:w="28" w:type="dxa"/>
            </w:tcMar>
            <w:vAlign w:val="center"/>
          </w:tcPr>
          <w:p w:rsidR="008F78E2" w:rsidRPr="00F82904" w:rsidRDefault="008F78E2" w:rsidP="00842F06">
            <w:pPr>
              <w:spacing w:before="0"/>
              <w:jc w:val="center"/>
              <w:rPr>
                <w:rFonts w:ascii="Arial Narrow" w:hAnsi="Arial Narrow"/>
                <w:sz w:val="20"/>
                <w:szCs w:val="20"/>
                <w:lang w:val="en-AU"/>
              </w:rPr>
            </w:pPr>
            <w:r w:rsidRPr="00CB055A">
              <w:rPr>
                <w:rFonts w:ascii="Arial Narrow" w:hAnsi="Arial Narrow"/>
                <w:sz w:val="20"/>
                <w:szCs w:val="20"/>
              </w:rPr>
              <w:t>-$</w:t>
            </w:r>
            <w:r w:rsidR="00F82904">
              <w:rPr>
                <w:rFonts w:ascii="Arial Narrow" w:hAnsi="Arial Narrow"/>
                <w:noProof/>
                <w:color w:val="000000"/>
                <w:sz w:val="20"/>
                <w:szCs w:val="20"/>
                <w:highlight w:val="black"/>
              </w:rPr>
              <w:t>''''''''''''''''</w:t>
            </w:r>
          </w:p>
        </w:tc>
        <w:tc>
          <w:tcPr>
            <w:tcW w:w="1093" w:type="dxa"/>
            <w:shd w:val="clear" w:color="auto" w:fill="auto"/>
            <w:tcMar>
              <w:left w:w="28" w:type="dxa"/>
              <w:right w:w="28" w:type="dxa"/>
            </w:tcMar>
            <w:vAlign w:val="center"/>
          </w:tcPr>
          <w:p w:rsidR="008F78E2" w:rsidRPr="00F82904" w:rsidRDefault="008F78E2" w:rsidP="00842F06">
            <w:pPr>
              <w:spacing w:before="0"/>
              <w:jc w:val="center"/>
              <w:rPr>
                <w:rFonts w:ascii="Arial Narrow" w:hAnsi="Arial Narrow"/>
                <w:sz w:val="20"/>
                <w:szCs w:val="20"/>
                <w:lang w:val="en-AU"/>
              </w:rPr>
            </w:pPr>
            <w:r w:rsidRPr="00CB055A">
              <w:rPr>
                <w:rFonts w:ascii="Arial Narrow" w:hAnsi="Arial Narrow"/>
                <w:sz w:val="20"/>
                <w:szCs w:val="20"/>
              </w:rPr>
              <w:t>-$</w:t>
            </w:r>
            <w:r w:rsidR="00F82904">
              <w:rPr>
                <w:rFonts w:ascii="Arial Narrow" w:hAnsi="Arial Narrow"/>
                <w:noProof/>
                <w:color w:val="000000"/>
                <w:sz w:val="20"/>
                <w:szCs w:val="20"/>
                <w:highlight w:val="black"/>
              </w:rPr>
              <w:t>''''''''''''''''</w:t>
            </w:r>
          </w:p>
        </w:tc>
      </w:tr>
      <w:tr w:rsidR="008F78E2" w:rsidRPr="00577B2E" w:rsidTr="00842F06">
        <w:tc>
          <w:tcPr>
            <w:tcW w:w="2516" w:type="dxa"/>
            <w:shd w:val="clear" w:color="auto" w:fill="auto"/>
            <w:tcMar>
              <w:left w:w="28" w:type="dxa"/>
              <w:right w:w="28" w:type="dxa"/>
            </w:tcMar>
            <w:vAlign w:val="center"/>
          </w:tcPr>
          <w:p w:rsidR="008F78E2" w:rsidRPr="00577B2E" w:rsidRDefault="008F78E2" w:rsidP="00842F06">
            <w:pPr>
              <w:spacing w:before="0"/>
              <w:rPr>
                <w:rFonts w:ascii="Arial Narrow" w:hAnsi="Arial Narrow"/>
                <w:sz w:val="20"/>
                <w:szCs w:val="20"/>
                <w:lang w:val="en-AU"/>
              </w:rPr>
            </w:pPr>
            <w:r w:rsidRPr="00577B2E">
              <w:rPr>
                <w:rFonts w:ascii="Arial Narrow" w:hAnsi="Arial Narrow"/>
                <w:sz w:val="20"/>
                <w:szCs w:val="20"/>
              </w:rPr>
              <w:t>Prednisolone liquid enema</w:t>
            </w:r>
          </w:p>
        </w:tc>
        <w:tc>
          <w:tcPr>
            <w:tcW w:w="1092" w:type="dxa"/>
            <w:shd w:val="clear" w:color="auto" w:fill="auto"/>
            <w:tcMar>
              <w:left w:w="28" w:type="dxa"/>
              <w:right w:w="28" w:type="dxa"/>
            </w:tcMar>
            <w:vAlign w:val="center"/>
          </w:tcPr>
          <w:p w:rsidR="008F78E2" w:rsidRPr="00577B2E" w:rsidRDefault="008F78E2" w:rsidP="00842F06">
            <w:pPr>
              <w:spacing w:before="0"/>
              <w:jc w:val="center"/>
              <w:rPr>
                <w:rFonts w:ascii="Arial Narrow" w:hAnsi="Arial Narrow"/>
                <w:sz w:val="20"/>
                <w:szCs w:val="20"/>
                <w:lang w:val="en-AU"/>
              </w:rPr>
            </w:pPr>
            <w:r w:rsidRPr="00577B2E">
              <w:rPr>
                <w:rFonts w:ascii="Arial Narrow" w:hAnsi="Arial Narrow"/>
                <w:sz w:val="20"/>
                <w:szCs w:val="20"/>
              </w:rPr>
              <w:t>-$</w:t>
            </w:r>
            <w:r w:rsidR="00F82904">
              <w:rPr>
                <w:rFonts w:ascii="Arial Narrow" w:hAnsi="Arial Narrow"/>
                <w:noProof/>
                <w:color w:val="000000"/>
                <w:sz w:val="20"/>
                <w:szCs w:val="20"/>
                <w:highlight w:val="black"/>
              </w:rPr>
              <w:t>'''''''''''''''''</w:t>
            </w:r>
          </w:p>
        </w:tc>
        <w:tc>
          <w:tcPr>
            <w:tcW w:w="1093" w:type="dxa"/>
            <w:shd w:val="clear" w:color="auto" w:fill="auto"/>
            <w:tcMar>
              <w:left w:w="28" w:type="dxa"/>
              <w:right w:w="28" w:type="dxa"/>
            </w:tcMar>
            <w:vAlign w:val="center"/>
          </w:tcPr>
          <w:p w:rsidR="008F78E2" w:rsidRPr="00577B2E" w:rsidRDefault="008F78E2" w:rsidP="00842F06">
            <w:pPr>
              <w:spacing w:before="0"/>
              <w:jc w:val="center"/>
              <w:rPr>
                <w:rFonts w:ascii="Arial Narrow" w:hAnsi="Arial Narrow"/>
                <w:sz w:val="20"/>
                <w:szCs w:val="20"/>
                <w:lang w:val="en-AU"/>
              </w:rPr>
            </w:pPr>
            <w:r w:rsidRPr="00577B2E">
              <w:rPr>
                <w:rFonts w:ascii="Arial Narrow" w:hAnsi="Arial Narrow"/>
                <w:sz w:val="20"/>
                <w:szCs w:val="20"/>
              </w:rPr>
              <w:t>-$</w:t>
            </w:r>
            <w:r w:rsidR="00F82904">
              <w:rPr>
                <w:rFonts w:ascii="Arial Narrow" w:hAnsi="Arial Narrow"/>
                <w:noProof/>
                <w:color w:val="000000"/>
                <w:sz w:val="20"/>
                <w:szCs w:val="20"/>
                <w:highlight w:val="black"/>
              </w:rPr>
              <w:t>''''''''''''''''''</w:t>
            </w:r>
          </w:p>
        </w:tc>
        <w:tc>
          <w:tcPr>
            <w:tcW w:w="1093" w:type="dxa"/>
            <w:shd w:val="clear" w:color="auto" w:fill="auto"/>
            <w:tcMar>
              <w:left w:w="28" w:type="dxa"/>
              <w:right w:w="28" w:type="dxa"/>
            </w:tcMar>
            <w:vAlign w:val="center"/>
          </w:tcPr>
          <w:p w:rsidR="008F78E2" w:rsidRPr="00577B2E" w:rsidRDefault="008F78E2" w:rsidP="00842F06">
            <w:pPr>
              <w:spacing w:before="0"/>
              <w:jc w:val="center"/>
              <w:rPr>
                <w:rFonts w:ascii="Arial Narrow" w:hAnsi="Arial Narrow"/>
                <w:sz w:val="20"/>
                <w:szCs w:val="20"/>
                <w:lang w:val="en-AU"/>
              </w:rPr>
            </w:pPr>
            <w:r w:rsidRPr="00577B2E">
              <w:rPr>
                <w:rFonts w:ascii="Arial Narrow" w:hAnsi="Arial Narrow"/>
                <w:sz w:val="20"/>
                <w:szCs w:val="20"/>
              </w:rPr>
              <w:t>-$</w:t>
            </w:r>
            <w:r w:rsidR="00F82904">
              <w:rPr>
                <w:rFonts w:ascii="Arial Narrow" w:hAnsi="Arial Narrow"/>
                <w:noProof/>
                <w:color w:val="000000"/>
                <w:sz w:val="20"/>
                <w:szCs w:val="20"/>
                <w:highlight w:val="black"/>
              </w:rPr>
              <w:t>'''''''''''''''''''''</w:t>
            </w:r>
          </w:p>
        </w:tc>
        <w:tc>
          <w:tcPr>
            <w:tcW w:w="1092" w:type="dxa"/>
            <w:shd w:val="clear" w:color="auto" w:fill="auto"/>
            <w:tcMar>
              <w:left w:w="28" w:type="dxa"/>
              <w:right w:w="28" w:type="dxa"/>
            </w:tcMar>
            <w:vAlign w:val="center"/>
          </w:tcPr>
          <w:p w:rsidR="008F78E2" w:rsidRPr="00F82904" w:rsidRDefault="008F78E2" w:rsidP="00842F06">
            <w:pPr>
              <w:spacing w:before="0"/>
              <w:jc w:val="center"/>
              <w:rPr>
                <w:rFonts w:ascii="Arial Narrow" w:hAnsi="Arial Narrow"/>
                <w:sz w:val="20"/>
                <w:szCs w:val="20"/>
                <w:lang w:val="en-AU"/>
              </w:rPr>
            </w:pPr>
            <w:r w:rsidRPr="00CB055A">
              <w:rPr>
                <w:rFonts w:ascii="Arial Narrow" w:hAnsi="Arial Narrow"/>
                <w:sz w:val="20"/>
                <w:szCs w:val="20"/>
              </w:rPr>
              <w:t>-$</w:t>
            </w:r>
            <w:r w:rsidR="00F82904">
              <w:rPr>
                <w:rFonts w:ascii="Arial Narrow" w:hAnsi="Arial Narrow"/>
                <w:noProof/>
                <w:color w:val="000000"/>
                <w:sz w:val="20"/>
                <w:szCs w:val="20"/>
                <w:highlight w:val="black"/>
              </w:rPr>
              <w:t>'''''''''''''''''''</w:t>
            </w:r>
          </w:p>
        </w:tc>
        <w:tc>
          <w:tcPr>
            <w:tcW w:w="1093" w:type="dxa"/>
            <w:shd w:val="clear" w:color="auto" w:fill="auto"/>
            <w:tcMar>
              <w:left w:w="28" w:type="dxa"/>
              <w:right w:w="28" w:type="dxa"/>
            </w:tcMar>
            <w:vAlign w:val="center"/>
          </w:tcPr>
          <w:p w:rsidR="008F78E2" w:rsidRPr="00F82904" w:rsidRDefault="008F78E2" w:rsidP="00842F06">
            <w:pPr>
              <w:spacing w:before="0"/>
              <w:jc w:val="center"/>
              <w:rPr>
                <w:rFonts w:ascii="Arial Narrow" w:hAnsi="Arial Narrow"/>
                <w:sz w:val="20"/>
                <w:szCs w:val="20"/>
                <w:lang w:val="en-AU"/>
              </w:rPr>
            </w:pPr>
            <w:r w:rsidRPr="00CB055A">
              <w:rPr>
                <w:rFonts w:ascii="Arial Narrow" w:hAnsi="Arial Narrow"/>
                <w:sz w:val="20"/>
                <w:szCs w:val="20"/>
              </w:rPr>
              <w:t>-$</w:t>
            </w:r>
            <w:r w:rsidR="00F82904">
              <w:rPr>
                <w:rFonts w:ascii="Arial Narrow" w:hAnsi="Arial Narrow"/>
                <w:noProof/>
                <w:color w:val="000000"/>
                <w:sz w:val="20"/>
                <w:szCs w:val="20"/>
                <w:highlight w:val="black"/>
              </w:rPr>
              <w:t>''''''''''''''''''''</w:t>
            </w:r>
          </w:p>
        </w:tc>
        <w:tc>
          <w:tcPr>
            <w:tcW w:w="1093" w:type="dxa"/>
            <w:shd w:val="clear" w:color="auto" w:fill="auto"/>
            <w:tcMar>
              <w:left w:w="28" w:type="dxa"/>
              <w:right w:w="28" w:type="dxa"/>
            </w:tcMar>
            <w:vAlign w:val="center"/>
          </w:tcPr>
          <w:p w:rsidR="008F78E2" w:rsidRPr="00F82904" w:rsidRDefault="008F78E2" w:rsidP="00842F06">
            <w:pPr>
              <w:spacing w:before="0"/>
              <w:jc w:val="center"/>
              <w:rPr>
                <w:rFonts w:ascii="Arial Narrow" w:hAnsi="Arial Narrow"/>
                <w:sz w:val="20"/>
                <w:szCs w:val="20"/>
                <w:lang w:val="en-AU"/>
              </w:rPr>
            </w:pPr>
            <w:r w:rsidRPr="00CB055A">
              <w:rPr>
                <w:rFonts w:ascii="Arial Narrow" w:hAnsi="Arial Narrow"/>
                <w:sz w:val="20"/>
                <w:szCs w:val="20"/>
              </w:rPr>
              <w:t>-$</w:t>
            </w:r>
            <w:r w:rsidR="00F82904">
              <w:rPr>
                <w:rFonts w:ascii="Arial Narrow" w:hAnsi="Arial Narrow"/>
                <w:noProof/>
                <w:color w:val="000000"/>
                <w:sz w:val="20"/>
                <w:szCs w:val="20"/>
                <w:highlight w:val="black"/>
              </w:rPr>
              <w:t>'''''''''''''''''''</w:t>
            </w:r>
          </w:p>
        </w:tc>
      </w:tr>
      <w:tr w:rsidR="008F78E2" w:rsidRPr="00577B2E" w:rsidTr="00842F06">
        <w:tc>
          <w:tcPr>
            <w:tcW w:w="2516" w:type="dxa"/>
            <w:shd w:val="clear" w:color="auto" w:fill="auto"/>
            <w:tcMar>
              <w:left w:w="28" w:type="dxa"/>
              <w:right w:w="28" w:type="dxa"/>
            </w:tcMar>
            <w:vAlign w:val="center"/>
          </w:tcPr>
          <w:p w:rsidR="008F78E2" w:rsidRPr="00577B2E" w:rsidRDefault="008F78E2" w:rsidP="00842F06">
            <w:pPr>
              <w:spacing w:before="0"/>
              <w:rPr>
                <w:rFonts w:ascii="Arial Narrow" w:hAnsi="Arial Narrow"/>
                <w:sz w:val="20"/>
                <w:szCs w:val="20"/>
                <w:lang w:val="en-AU"/>
              </w:rPr>
            </w:pPr>
            <w:r w:rsidRPr="00577B2E">
              <w:rPr>
                <w:rFonts w:ascii="Arial Narrow" w:hAnsi="Arial Narrow"/>
                <w:sz w:val="20"/>
                <w:szCs w:val="20"/>
              </w:rPr>
              <w:t>Total cost offsets</w:t>
            </w:r>
          </w:p>
        </w:tc>
        <w:tc>
          <w:tcPr>
            <w:tcW w:w="1092" w:type="dxa"/>
            <w:shd w:val="clear" w:color="auto" w:fill="auto"/>
            <w:tcMar>
              <w:left w:w="28" w:type="dxa"/>
              <w:right w:w="28" w:type="dxa"/>
            </w:tcMar>
            <w:vAlign w:val="center"/>
          </w:tcPr>
          <w:p w:rsidR="008F78E2" w:rsidRPr="00577B2E" w:rsidRDefault="008F78E2" w:rsidP="00842F06">
            <w:pPr>
              <w:spacing w:before="0"/>
              <w:jc w:val="center"/>
              <w:rPr>
                <w:rFonts w:ascii="Arial Narrow" w:hAnsi="Arial Narrow"/>
                <w:sz w:val="20"/>
                <w:szCs w:val="20"/>
                <w:lang w:val="en-AU"/>
              </w:rPr>
            </w:pPr>
            <w:r w:rsidRPr="00577B2E">
              <w:rPr>
                <w:rFonts w:ascii="Arial Narrow" w:hAnsi="Arial Narrow"/>
                <w:sz w:val="20"/>
                <w:szCs w:val="20"/>
              </w:rPr>
              <w:t>-$</w:t>
            </w:r>
            <w:r w:rsidR="00F82904">
              <w:rPr>
                <w:rFonts w:ascii="Arial Narrow" w:hAnsi="Arial Narrow"/>
                <w:noProof/>
                <w:color w:val="000000"/>
                <w:sz w:val="20"/>
                <w:szCs w:val="20"/>
                <w:highlight w:val="black"/>
              </w:rPr>
              <w:t>'''''''''''''''''''</w:t>
            </w:r>
          </w:p>
        </w:tc>
        <w:tc>
          <w:tcPr>
            <w:tcW w:w="1093" w:type="dxa"/>
            <w:shd w:val="clear" w:color="auto" w:fill="auto"/>
            <w:tcMar>
              <w:left w:w="28" w:type="dxa"/>
              <w:right w:w="28" w:type="dxa"/>
            </w:tcMar>
            <w:vAlign w:val="center"/>
          </w:tcPr>
          <w:p w:rsidR="008F78E2" w:rsidRPr="00577B2E" w:rsidRDefault="008F78E2" w:rsidP="00842F06">
            <w:pPr>
              <w:spacing w:before="0"/>
              <w:jc w:val="center"/>
              <w:rPr>
                <w:rFonts w:ascii="Arial Narrow" w:hAnsi="Arial Narrow"/>
                <w:sz w:val="20"/>
                <w:szCs w:val="20"/>
                <w:lang w:val="en-AU"/>
              </w:rPr>
            </w:pPr>
            <w:r w:rsidRPr="00577B2E">
              <w:rPr>
                <w:rFonts w:ascii="Arial Narrow" w:hAnsi="Arial Narrow"/>
                <w:sz w:val="20"/>
                <w:szCs w:val="20"/>
              </w:rPr>
              <w:t>-$</w:t>
            </w:r>
            <w:r w:rsidR="00F82904">
              <w:rPr>
                <w:rFonts w:ascii="Arial Narrow" w:hAnsi="Arial Narrow"/>
                <w:noProof/>
                <w:color w:val="000000"/>
                <w:sz w:val="20"/>
                <w:szCs w:val="20"/>
                <w:highlight w:val="black"/>
              </w:rPr>
              <w:t>''''''''''''''''''</w:t>
            </w:r>
          </w:p>
        </w:tc>
        <w:tc>
          <w:tcPr>
            <w:tcW w:w="1093" w:type="dxa"/>
            <w:shd w:val="clear" w:color="auto" w:fill="auto"/>
            <w:tcMar>
              <w:left w:w="28" w:type="dxa"/>
              <w:right w:w="28" w:type="dxa"/>
            </w:tcMar>
            <w:vAlign w:val="center"/>
          </w:tcPr>
          <w:p w:rsidR="008F78E2" w:rsidRPr="00577B2E" w:rsidRDefault="008F78E2" w:rsidP="00842F06">
            <w:pPr>
              <w:spacing w:before="0"/>
              <w:jc w:val="center"/>
              <w:rPr>
                <w:rFonts w:ascii="Arial Narrow" w:hAnsi="Arial Narrow"/>
                <w:sz w:val="20"/>
                <w:szCs w:val="20"/>
                <w:lang w:val="en-AU"/>
              </w:rPr>
            </w:pPr>
            <w:r w:rsidRPr="00577B2E">
              <w:rPr>
                <w:rFonts w:ascii="Arial Narrow" w:hAnsi="Arial Narrow"/>
                <w:sz w:val="20"/>
                <w:szCs w:val="20"/>
              </w:rPr>
              <w:t>-$</w:t>
            </w:r>
            <w:r w:rsidR="00F82904">
              <w:rPr>
                <w:rFonts w:ascii="Arial Narrow" w:hAnsi="Arial Narrow"/>
                <w:noProof/>
                <w:color w:val="000000"/>
                <w:sz w:val="20"/>
                <w:szCs w:val="20"/>
                <w:highlight w:val="black"/>
              </w:rPr>
              <w:t>'''''''''''''''''''''</w:t>
            </w:r>
          </w:p>
        </w:tc>
        <w:tc>
          <w:tcPr>
            <w:tcW w:w="1092" w:type="dxa"/>
            <w:shd w:val="clear" w:color="auto" w:fill="auto"/>
            <w:tcMar>
              <w:left w:w="28" w:type="dxa"/>
              <w:right w:w="28" w:type="dxa"/>
            </w:tcMar>
            <w:vAlign w:val="center"/>
          </w:tcPr>
          <w:p w:rsidR="008F78E2" w:rsidRPr="00F82904" w:rsidRDefault="008F78E2" w:rsidP="00842F06">
            <w:pPr>
              <w:spacing w:before="0"/>
              <w:jc w:val="center"/>
              <w:rPr>
                <w:rFonts w:ascii="Arial Narrow" w:hAnsi="Arial Narrow"/>
                <w:sz w:val="20"/>
                <w:szCs w:val="20"/>
                <w:lang w:val="en-AU"/>
              </w:rPr>
            </w:pPr>
            <w:r w:rsidRPr="00CB055A">
              <w:rPr>
                <w:rFonts w:ascii="Arial Narrow" w:hAnsi="Arial Narrow"/>
                <w:sz w:val="20"/>
                <w:szCs w:val="20"/>
              </w:rPr>
              <w:t>-$</w:t>
            </w:r>
            <w:r w:rsidR="00F82904">
              <w:rPr>
                <w:rFonts w:ascii="Arial Narrow" w:hAnsi="Arial Narrow"/>
                <w:noProof/>
                <w:color w:val="000000"/>
                <w:sz w:val="20"/>
                <w:szCs w:val="20"/>
                <w:highlight w:val="black"/>
              </w:rPr>
              <w:t>''''''''''''''''''''''''''</w:t>
            </w:r>
          </w:p>
        </w:tc>
        <w:tc>
          <w:tcPr>
            <w:tcW w:w="1093" w:type="dxa"/>
            <w:shd w:val="clear" w:color="auto" w:fill="auto"/>
            <w:tcMar>
              <w:left w:w="28" w:type="dxa"/>
              <w:right w:w="28" w:type="dxa"/>
            </w:tcMar>
            <w:vAlign w:val="center"/>
          </w:tcPr>
          <w:p w:rsidR="008F78E2" w:rsidRPr="00F82904" w:rsidRDefault="008F78E2" w:rsidP="00842F06">
            <w:pPr>
              <w:spacing w:before="0"/>
              <w:jc w:val="center"/>
              <w:rPr>
                <w:rFonts w:ascii="Arial Narrow" w:hAnsi="Arial Narrow"/>
                <w:sz w:val="20"/>
                <w:szCs w:val="20"/>
                <w:lang w:val="en-AU"/>
              </w:rPr>
            </w:pPr>
            <w:r w:rsidRPr="00CB055A">
              <w:rPr>
                <w:rFonts w:ascii="Arial Narrow" w:hAnsi="Arial Narrow"/>
                <w:sz w:val="20"/>
                <w:szCs w:val="20"/>
              </w:rPr>
              <w:t>-$</w:t>
            </w:r>
            <w:r w:rsidR="00F82904">
              <w:rPr>
                <w:rFonts w:ascii="Arial Narrow" w:hAnsi="Arial Narrow"/>
                <w:noProof/>
                <w:color w:val="000000"/>
                <w:sz w:val="20"/>
                <w:szCs w:val="20"/>
                <w:highlight w:val="black"/>
              </w:rPr>
              <w:t>''''''''''''''''''''''''</w:t>
            </w:r>
          </w:p>
        </w:tc>
        <w:tc>
          <w:tcPr>
            <w:tcW w:w="1093" w:type="dxa"/>
            <w:shd w:val="clear" w:color="auto" w:fill="auto"/>
            <w:tcMar>
              <w:left w:w="28" w:type="dxa"/>
              <w:right w:w="28" w:type="dxa"/>
            </w:tcMar>
            <w:vAlign w:val="center"/>
          </w:tcPr>
          <w:p w:rsidR="008F78E2" w:rsidRPr="00F82904" w:rsidRDefault="008F78E2" w:rsidP="00842F06">
            <w:pPr>
              <w:spacing w:before="0"/>
              <w:jc w:val="center"/>
              <w:rPr>
                <w:rFonts w:ascii="Arial Narrow" w:hAnsi="Arial Narrow"/>
                <w:sz w:val="20"/>
                <w:szCs w:val="20"/>
                <w:lang w:val="en-AU"/>
              </w:rPr>
            </w:pPr>
            <w:r w:rsidRPr="00CB055A">
              <w:rPr>
                <w:rFonts w:ascii="Arial Narrow" w:hAnsi="Arial Narrow"/>
                <w:sz w:val="20"/>
                <w:szCs w:val="20"/>
              </w:rPr>
              <w:t>-$</w:t>
            </w:r>
            <w:r w:rsidR="00F82904">
              <w:rPr>
                <w:rFonts w:ascii="Arial Narrow" w:hAnsi="Arial Narrow"/>
                <w:noProof/>
                <w:color w:val="000000"/>
                <w:sz w:val="20"/>
                <w:szCs w:val="20"/>
                <w:highlight w:val="black"/>
              </w:rPr>
              <w:t>'''''''''''''''''''''''''</w:t>
            </w:r>
          </w:p>
        </w:tc>
      </w:tr>
      <w:tr w:rsidR="008F78E2" w:rsidRPr="00577B2E" w:rsidTr="00842F06">
        <w:tc>
          <w:tcPr>
            <w:tcW w:w="2516" w:type="dxa"/>
            <w:shd w:val="clear" w:color="auto" w:fill="auto"/>
            <w:tcMar>
              <w:left w:w="28" w:type="dxa"/>
              <w:right w:w="28" w:type="dxa"/>
            </w:tcMar>
            <w:vAlign w:val="center"/>
          </w:tcPr>
          <w:p w:rsidR="008F78E2" w:rsidRPr="00577B2E" w:rsidRDefault="008F78E2" w:rsidP="00842F06">
            <w:pPr>
              <w:spacing w:before="0"/>
              <w:rPr>
                <w:rFonts w:ascii="Arial Narrow" w:hAnsi="Arial Narrow"/>
                <w:sz w:val="20"/>
                <w:szCs w:val="20"/>
                <w:lang w:val="en-AU"/>
              </w:rPr>
            </w:pPr>
            <w:r w:rsidRPr="00577B2E">
              <w:rPr>
                <w:rFonts w:ascii="Arial Narrow" w:hAnsi="Arial Narrow"/>
                <w:sz w:val="20"/>
                <w:szCs w:val="20"/>
              </w:rPr>
              <w:t>Budesonide CR</w:t>
            </w:r>
          </w:p>
        </w:tc>
        <w:tc>
          <w:tcPr>
            <w:tcW w:w="1092" w:type="dxa"/>
            <w:shd w:val="clear" w:color="auto" w:fill="auto"/>
            <w:tcMar>
              <w:left w:w="28" w:type="dxa"/>
              <w:right w:w="28" w:type="dxa"/>
            </w:tcMar>
            <w:vAlign w:val="center"/>
          </w:tcPr>
          <w:p w:rsidR="008F78E2" w:rsidRPr="00577B2E" w:rsidRDefault="008F78E2" w:rsidP="00842F06">
            <w:pPr>
              <w:spacing w:before="0"/>
              <w:jc w:val="center"/>
              <w:rPr>
                <w:rFonts w:ascii="Arial Narrow" w:hAnsi="Arial Narrow"/>
                <w:sz w:val="20"/>
                <w:szCs w:val="20"/>
                <w:lang w:val="en-AU"/>
              </w:rPr>
            </w:pPr>
            <w:r w:rsidRPr="00577B2E">
              <w:rPr>
                <w:rFonts w:ascii="Arial Narrow" w:hAnsi="Arial Narrow"/>
                <w:sz w:val="20"/>
                <w:szCs w:val="20"/>
              </w:rPr>
              <w:t>$</w:t>
            </w:r>
            <w:r w:rsidR="00F82904">
              <w:rPr>
                <w:rFonts w:ascii="Arial Narrow" w:hAnsi="Arial Narrow"/>
                <w:noProof/>
                <w:color w:val="000000"/>
                <w:sz w:val="20"/>
                <w:szCs w:val="20"/>
                <w:highlight w:val="black"/>
              </w:rPr>
              <w:t>'''''''''''''''''''</w:t>
            </w:r>
          </w:p>
        </w:tc>
        <w:tc>
          <w:tcPr>
            <w:tcW w:w="1093" w:type="dxa"/>
            <w:shd w:val="clear" w:color="auto" w:fill="auto"/>
            <w:tcMar>
              <w:left w:w="28" w:type="dxa"/>
              <w:right w:w="28" w:type="dxa"/>
            </w:tcMar>
            <w:vAlign w:val="center"/>
          </w:tcPr>
          <w:p w:rsidR="008F78E2" w:rsidRPr="00577B2E" w:rsidRDefault="008F78E2" w:rsidP="00842F06">
            <w:pPr>
              <w:spacing w:before="0"/>
              <w:jc w:val="center"/>
              <w:rPr>
                <w:rFonts w:ascii="Arial Narrow" w:hAnsi="Arial Narrow"/>
                <w:sz w:val="20"/>
                <w:szCs w:val="20"/>
                <w:lang w:val="en-AU"/>
              </w:rPr>
            </w:pPr>
            <w:r w:rsidRPr="00577B2E">
              <w:rPr>
                <w:rFonts w:ascii="Arial Narrow" w:hAnsi="Arial Narrow"/>
                <w:sz w:val="20"/>
                <w:szCs w:val="20"/>
              </w:rPr>
              <w:t>$</w:t>
            </w:r>
            <w:r w:rsidR="00F82904">
              <w:rPr>
                <w:rFonts w:ascii="Arial Narrow" w:hAnsi="Arial Narrow"/>
                <w:noProof/>
                <w:color w:val="000000"/>
                <w:sz w:val="20"/>
                <w:szCs w:val="20"/>
                <w:highlight w:val="black"/>
              </w:rPr>
              <w:t>'''''''''''''''''</w:t>
            </w:r>
          </w:p>
        </w:tc>
        <w:tc>
          <w:tcPr>
            <w:tcW w:w="1093" w:type="dxa"/>
            <w:shd w:val="clear" w:color="auto" w:fill="auto"/>
            <w:tcMar>
              <w:left w:w="28" w:type="dxa"/>
              <w:right w:w="28" w:type="dxa"/>
            </w:tcMar>
            <w:vAlign w:val="center"/>
          </w:tcPr>
          <w:p w:rsidR="008F78E2" w:rsidRPr="00577B2E" w:rsidRDefault="008F78E2" w:rsidP="00842F06">
            <w:pPr>
              <w:spacing w:before="0"/>
              <w:jc w:val="center"/>
              <w:rPr>
                <w:rFonts w:ascii="Arial Narrow" w:hAnsi="Arial Narrow"/>
                <w:sz w:val="20"/>
                <w:szCs w:val="20"/>
                <w:lang w:val="en-AU"/>
              </w:rPr>
            </w:pPr>
            <w:r w:rsidRPr="00577B2E">
              <w:rPr>
                <w:rFonts w:ascii="Arial Narrow" w:hAnsi="Arial Narrow"/>
                <w:sz w:val="20"/>
                <w:szCs w:val="20"/>
              </w:rPr>
              <w:t>$</w:t>
            </w:r>
            <w:r w:rsidR="00F82904">
              <w:rPr>
                <w:rFonts w:ascii="Arial Narrow" w:hAnsi="Arial Narrow"/>
                <w:noProof/>
                <w:color w:val="000000"/>
                <w:sz w:val="20"/>
                <w:szCs w:val="20"/>
                <w:highlight w:val="black"/>
              </w:rPr>
              <w:t>''''''''''''''''''</w:t>
            </w:r>
          </w:p>
        </w:tc>
        <w:tc>
          <w:tcPr>
            <w:tcW w:w="1092" w:type="dxa"/>
            <w:shd w:val="clear" w:color="auto" w:fill="auto"/>
            <w:tcMar>
              <w:left w:w="28" w:type="dxa"/>
              <w:right w:w="28" w:type="dxa"/>
            </w:tcMar>
            <w:vAlign w:val="center"/>
          </w:tcPr>
          <w:p w:rsidR="008F78E2" w:rsidRPr="00F82904" w:rsidRDefault="008F78E2" w:rsidP="00842F06">
            <w:pPr>
              <w:spacing w:before="0"/>
              <w:jc w:val="center"/>
              <w:rPr>
                <w:rFonts w:ascii="Arial Narrow" w:hAnsi="Arial Narrow"/>
                <w:sz w:val="20"/>
                <w:szCs w:val="20"/>
                <w:lang w:val="en-AU"/>
              </w:rPr>
            </w:pPr>
            <w:r w:rsidRPr="00CB055A">
              <w:rPr>
                <w:rFonts w:ascii="Arial Narrow" w:hAnsi="Arial Narrow"/>
                <w:sz w:val="20"/>
                <w:szCs w:val="20"/>
              </w:rPr>
              <w:t>$</w:t>
            </w:r>
            <w:r w:rsidR="00F82904">
              <w:rPr>
                <w:rFonts w:ascii="Arial Narrow" w:hAnsi="Arial Narrow"/>
                <w:noProof/>
                <w:color w:val="000000"/>
                <w:sz w:val="20"/>
                <w:szCs w:val="20"/>
                <w:highlight w:val="black"/>
              </w:rPr>
              <w:t>'''''''''''''''''''''''''</w:t>
            </w:r>
          </w:p>
        </w:tc>
        <w:tc>
          <w:tcPr>
            <w:tcW w:w="1093" w:type="dxa"/>
            <w:shd w:val="clear" w:color="auto" w:fill="auto"/>
            <w:tcMar>
              <w:left w:w="28" w:type="dxa"/>
              <w:right w:w="28" w:type="dxa"/>
            </w:tcMar>
            <w:vAlign w:val="center"/>
          </w:tcPr>
          <w:p w:rsidR="008F78E2" w:rsidRPr="00F82904" w:rsidRDefault="008F78E2" w:rsidP="00842F06">
            <w:pPr>
              <w:spacing w:before="0"/>
              <w:jc w:val="center"/>
              <w:rPr>
                <w:rFonts w:ascii="Arial Narrow" w:hAnsi="Arial Narrow"/>
                <w:sz w:val="20"/>
                <w:szCs w:val="20"/>
                <w:lang w:val="en-AU"/>
              </w:rPr>
            </w:pPr>
            <w:r w:rsidRPr="00CB055A">
              <w:rPr>
                <w:rFonts w:ascii="Arial Narrow" w:hAnsi="Arial Narrow"/>
                <w:sz w:val="20"/>
                <w:szCs w:val="20"/>
              </w:rPr>
              <w:t>$</w:t>
            </w:r>
            <w:r w:rsidR="00F82904">
              <w:rPr>
                <w:rFonts w:ascii="Arial Narrow" w:hAnsi="Arial Narrow"/>
                <w:noProof/>
                <w:color w:val="000000"/>
                <w:sz w:val="20"/>
                <w:szCs w:val="20"/>
                <w:highlight w:val="black"/>
              </w:rPr>
              <w:t>''''''''''''''''''''''''''</w:t>
            </w:r>
          </w:p>
        </w:tc>
        <w:tc>
          <w:tcPr>
            <w:tcW w:w="1093" w:type="dxa"/>
            <w:shd w:val="clear" w:color="auto" w:fill="auto"/>
            <w:tcMar>
              <w:left w:w="28" w:type="dxa"/>
              <w:right w:w="28" w:type="dxa"/>
            </w:tcMar>
            <w:vAlign w:val="center"/>
          </w:tcPr>
          <w:p w:rsidR="008F78E2" w:rsidRPr="00F82904" w:rsidRDefault="008F78E2" w:rsidP="00842F06">
            <w:pPr>
              <w:spacing w:before="0"/>
              <w:jc w:val="center"/>
              <w:rPr>
                <w:rFonts w:ascii="Arial Narrow" w:hAnsi="Arial Narrow"/>
                <w:sz w:val="20"/>
                <w:szCs w:val="20"/>
                <w:lang w:val="en-AU"/>
              </w:rPr>
            </w:pPr>
            <w:r w:rsidRPr="00CB055A">
              <w:rPr>
                <w:rFonts w:ascii="Arial Narrow" w:hAnsi="Arial Narrow"/>
                <w:sz w:val="20"/>
                <w:szCs w:val="20"/>
              </w:rPr>
              <w:t>$</w:t>
            </w:r>
            <w:r w:rsidR="00F82904">
              <w:rPr>
                <w:rFonts w:ascii="Arial Narrow" w:hAnsi="Arial Narrow"/>
                <w:noProof/>
                <w:color w:val="000000"/>
                <w:sz w:val="20"/>
                <w:szCs w:val="20"/>
                <w:highlight w:val="black"/>
              </w:rPr>
              <w:t>''''''''''''''''''''''''</w:t>
            </w:r>
          </w:p>
        </w:tc>
      </w:tr>
      <w:tr w:rsidR="008F78E2" w:rsidRPr="00577B2E" w:rsidTr="00842F06">
        <w:tc>
          <w:tcPr>
            <w:tcW w:w="2516" w:type="dxa"/>
            <w:shd w:val="clear" w:color="auto" w:fill="auto"/>
            <w:tcMar>
              <w:left w:w="28" w:type="dxa"/>
              <w:right w:w="28" w:type="dxa"/>
            </w:tcMar>
            <w:vAlign w:val="center"/>
          </w:tcPr>
          <w:p w:rsidR="008F78E2" w:rsidRPr="00577B2E" w:rsidRDefault="008F78E2" w:rsidP="00842F06">
            <w:pPr>
              <w:spacing w:before="0"/>
              <w:rPr>
                <w:rFonts w:ascii="Arial Narrow" w:hAnsi="Arial Narrow"/>
                <w:b/>
                <w:bCs/>
                <w:sz w:val="20"/>
                <w:szCs w:val="20"/>
                <w:lang w:val="en-AU"/>
              </w:rPr>
            </w:pPr>
            <w:r w:rsidRPr="00577B2E">
              <w:rPr>
                <w:rFonts w:ascii="Arial Narrow" w:hAnsi="Arial Narrow"/>
                <w:b/>
                <w:bCs/>
                <w:sz w:val="20"/>
                <w:szCs w:val="20"/>
              </w:rPr>
              <w:t>Net financial impact PBS/RPBS</w:t>
            </w:r>
          </w:p>
        </w:tc>
        <w:tc>
          <w:tcPr>
            <w:tcW w:w="1092" w:type="dxa"/>
            <w:shd w:val="clear" w:color="auto" w:fill="auto"/>
            <w:tcMar>
              <w:left w:w="28" w:type="dxa"/>
              <w:right w:w="28" w:type="dxa"/>
            </w:tcMar>
            <w:vAlign w:val="center"/>
          </w:tcPr>
          <w:p w:rsidR="008F78E2" w:rsidRPr="00577B2E" w:rsidRDefault="008F78E2" w:rsidP="00842F06">
            <w:pPr>
              <w:spacing w:before="0"/>
              <w:jc w:val="center"/>
              <w:rPr>
                <w:rFonts w:ascii="Arial Narrow" w:hAnsi="Arial Narrow"/>
                <w:sz w:val="20"/>
                <w:szCs w:val="20"/>
                <w:lang w:val="en-AU"/>
              </w:rPr>
            </w:pPr>
            <w:r w:rsidRPr="00577B2E">
              <w:rPr>
                <w:rFonts w:ascii="Arial Narrow" w:hAnsi="Arial Narrow"/>
                <w:sz w:val="20"/>
                <w:szCs w:val="20"/>
              </w:rPr>
              <w:t>$</w:t>
            </w:r>
            <w:r w:rsidR="00F82904">
              <w:rPr>
                <w:rFonts w:ascii="Arial Narrow" w:hAnsi="Arial Narrow"/>
                <w:noProof/>
                <w:color w:val="000000"/>
                <w:sz w:val="20"/>
                <w:szCs w:val="20"/>
                <w:highlight w:val="black"/>
              </w:rPr>
              <w:t>''''''''''''''''</w:t>
            </w:r>
          </w:p>
        </w:tc>
        <w:tc>
          <w:tcPr>
            <w:tcW w:w="1093" w:type="dxa"/>
            <w:shd w:val="clear" w:color="auto" w:fill="auto"/>
            <w:tcMar>
              <w:left w:w="28" w:type="dxa"/>
              <w:right w:w="28" w:type="dxa"/>
            </w:tcMar>
            <w:vAlign w:val="center"/>
          </w:tcPr>
          <w:p w:rsidR="008F78E2" w:rsidRPr="00577B2E" w:rsidRDefault="008F78E2" w:rsidP="00842F06">
            <w:pPr>
              <w:spacing w:before="0"/>
              <w:jc w:val="center"/>
              <w:rPr>
                <w:rFonts w:ascii="Arial Narrow" w:hAnsi="Arial Narrow"/>
                <w:sz w:val="20"/>
                <w:szCs w:val="20"/>
                <w:lang w:val="en-AU"/>
              </w:rPr>
            </w:pPr>
            <w:r w:rsidRPr="00577B2E">
              <w:rPr>
                <w:rFonts w:ascii="Arial Narrow" w:hAnsi="Arial Narrow"/>
                <w:sz w:val="20"/>
                <w:szCs w:val="20"/>
              </w:rPr>
              <w:t>$</w:t>
            </w:r>
            <w:r w:rsidR="00F82904">
              <w:rPr>
                <w:rFonts w:ascii="Arial Narrow" w:hAnsi="Arial Narrow"/>
                <w:noProof/>
                <w:color w:val="000000"/>
                <w:sz w:val="20"/>
                <w:szCs w:val="20"/>
                <w:highlight w:val="black"/>
              </w:rPr>
              <w:t>''''''''''''''''</w:t>
            </w:r>
          </w:p>
        </w:tc>
        <w:tc>
          <w:tcPr>
            <w:tcW w:w="1093" w:type="dxa"/>
            <w:shd w:val="clear" w:color="auto" w:fill="auto"/>
            <w:tcMar>
              <w:left w:w="28" w:type="dxa"/>
              <w:right w:w="28" w:type="dxa"/>
            </w:tcMar>
            <w:vAlign w:val="center"/>
          </w:tcPr>
          <w:p w:rsidR="008F78E2" w:rsidRPr="00577B2E" w:rsidRDefault="008F78E2" w:rsidP="00842F06">
            <w:pPr>
              <w:spacing w:before="0"/>
              <w:jc w:val="center"/>
              <w:rPr>
                <w:rFonts w:ascii="Arial Narrow" w:hAnsi="Arial Narrow"/>
                <w:sz w:val="20"/>
                <w:szCs w:val="20"/>
                <w:lang w:val="en-AU"/>
              </w:rPr>
            </w:pPr>
            <w:r w:rsidRPr="00577B2E">
              <w:rPr>
                <w:rFonts w:ascii="Arial Narrow" w:hAnsi="Arial Narrow"/>
                <w:sz w:val="20"/>
                <w:szCs w:val="20"/>
              </w:rPr>
              <w:t>-$</w:t>
            </w:r>
            <w:r w:rsidR="00F82904">
              <w:rPr>
                <w:rFonts w:ascii="Arial Narrow" w:hAnsi="Arial Narrow"/>
                <w:noProof/>
                <w:color w:val="000000"/>
                <w:sz w:val="20"/>
                <w:szCs w:val="20"/>
                <w:highlight w:val="black"/>
              </w:rPr>
              <w:t>''''''''''''</w:t>
            </w:r>
          </w:p>
        </w:tc>
        <w:tc>
          <w:tcPr>
            <w:tcW w:w="1092" w:type="dxa"/>
            <w:shd w:val="clear" w:color="auto" w:fill="auto"/>
            <w:tcMar>
              <w:left w:w="28" w:type="dxa"/>
              <w:right w:w="28" w:type="dxa"/>
            </w:tcMar>
            <w:vAlign w:val="center"/>
          </w:tcPr>
          <w:p w:rsidR="008F78E2" w:rsidRPr="00F82904" w:rsidRDefault="008F78E2" w:rsidP="00842F06">
            <w:pPr>
              <w:spacing w:before="0"/>
              <w:jc w:val="center"/>
              <w:rPr>
                <w:rFonts w:ascii="Arial Narrow" w:hAnsi="Arial Narrow"/>
                <w:sz w:val="20"/>
                <w:szCs w:val="20"/>
                <w:lang w:val="en-AU"/>
              </w:rPr>
            </w:pPr>
            <w:r w:rsidRPr="00CB055A">
              <w:rPr>
                <w:rFonts w:ascii="Arial Narrow" w:hAnsi="Arial Narrow"/>
                <w:sz w:val="20"/>
                <w:szCs w:val="20"/>
              </w:rPr>
              <w:t>-$</w:t>
            </w:r>
            <w:r w:rsidR="00F82904">
              <w:rPr>
                <w:rFonts w:ascii="Arial Narrow" w:hAnsi="Arial Narrow"/>
                <w:noProof/>
                <w:color w:val="000000"/>
                <w:sz w:val="20"/>
                <w:szCs w:val="20"/>
                <w:highlight w:val="black"/>
              </w:rPr>
              <w:t>'''''''''''''''</w:t>
            </w:r>
          </w:p>
        </w:tc>
        <w:tc>
          <w:tcPr>
            <w:tcW w:w="1093" w:type="dxa"/>
            <w:shd w:val="clear" w:color="auto" w:fill="auto"/>
            <w:tcMar>
              <w:left w:w="28" w:type="dxa"/>
              <w:right w:w="28" w:type="dxa"/>
            </w:tcMar>
            <w:vAlign w:val="center"/>
          </w:tcPr>
          <w:p w:rsidR="008F78E2" w:rsidRPr="00F82904" w:rsidRDefault="008F78E2" w:rsidP="00842F06">
            <w:pPr>
              <w:spacing w:before="0"/>
              <w:jc w:val="center"/>
              <w:rPr>
                <w:rFonts w:ascii="Arial Narrow" w:hAnsi="Arial Narrow"/>
                <w:sz w:val="20"/>
                <w:szCs w:val="20"/>
                <w:lang w:val="en-AU"/>
              </w:rPr>
            </w:pPr>
            <w:r w:rsidRPr="00CB055A">
              <w:rPr>
                <w:rFonts w:ascii="Arial Narrow" w:hAnsi="Arial Narrow"/>
                <w:sz w:val="20"/>
                <w:szCs w:val="20"/>
              </w:rPr>
              <w:t>-$</w:t>
            </w:r>
            <w:r w:rsidR="00F82904">
              <w:rPr>
                <w:rFonts w:ascii="Arial Narrow" w:hAnsi="Arial Narrow"/>
                <w:noProof/>
                <w:color w:val="000000"/>
                <w:sz w:val="20"/>
                <w:szCs w:val="20"/>
                <w:highlight w:val="black"/>
              </w:rPr>
              <w:t>'''''''''''''''''</w:t>
            </w:r>
          </w:p>
        </w:tc>
        <w:tc>
          <w:tcPr>
            <w:tcW w:w="1093" w:type="dxa"/>
            <w:shd w:val="clear" w:color="auto" w:fill="auto"/>
            <w:tcMar>
              <w:left w:w="28" w:type="dxa"/>
              <w:right w:w="28" w:type="dxa"/>
            </w:tcMar>
            <w:vAlign w:val="center"/>
          </w:tcPr>
          <w:p w:rsidR="008F78E2" w:rsidRPr="00F82904" w:rsidRDefault="008F78E2" w:rsidP="00842F06">
            <w:pPr>
              <w:spacing w:before="0"/>
              <w:jc w:val="center"/>
              <w:rPr>
                <w:rFonts w:ascii="Arial Narrow" w:hAnsi="Arial Narrow"/>
                <w:sz w:val="20"/>
                <w:szCs w:val="20"/>
                <w:lang w:val="en-AU"/>
              </w:rPr>
            </w:pPr>
            <w:r w:rsidRPr="00CB055A">
              <w:rPr>
                <w:rFonts w:ascii="Arial Narrow" w:hAnsi="Arial Narrow"/>
                <w:sz w:val="20"/>
                <w:szCs w:val="20"/>
              </w:rPr>
              <w:t>-$</w:t>
            </w:r>
            <w:r w:rsidR="00F82904">
              <w:rPr>
                <w:rFonts w:ascii="Arial Narrow" w:hAnsi="Arial Narrow"/>
                <w:noProof/>
                <w:color w:val="000000"/>
                <w:sz w:val="20"/>
                <w:szCs w:val="20"/>
                <w:highlight w:val="black"/>
              </w:rPr>
              <w:t>'''''''''''''''''''</w:t>
            </w:r>
          </w:p>
        </w:tc>
      </w:tr>
      <w:tr w:rsidR="008F78E2" w:rsidRPr="00577B2E" w:rsidTr="00842F06">
        <w:tc>
          <w:tcPr>
            <w:tcW w:w="2516" w:type="dxa"/>
            <w:shd w:val="clear" w:color="auto" w:fill="auto"/>
            <w:tcMar>
              <w:left w:w="28" w:type="dxa"/>
              <w:right w:w="28" w:type="dxa"/>
            </w:tcMar>
            <w:vAlign w:val="center"/>
          </w:tcPr>
          <w:p w:rsidR="008F78E2" w:rsidRPr="00577B2E" w:rsidRDefault="008F78E2" w:rsidP="00842F06">
            <w:pPr>
              <w:spacing w:before="0"/>
              <w:rPr>
                <w:rFonts w:ascii="Arial Narrow" w:hAnsi="Arial Narrow"/>
                <w:b/>
                <w:bCs/>
                <w:sz w:val="20"/>
                <w:szCs w:val="20"/>
                <w:lang w:val="en-AU"/>
              </w:rPr>
            </w:pPr>
            <w:r w:rsidRPr="00577B2E">
              <w:rPr>
                <w:rFonts w:ascii="Arial Narrow" w:hAnsi="Arial Narrow"/>
                <w:b/>
                <w:bCs/>
                <w:sz w:val="20"/>
                <w:szCs w:val="20"/>
              </w:rPr>
              <w:t>MBS changes</w:t>
            </w:r>
          </w:p>
        </w:tc>
        <w:tc>
          <w:tcPr>
            <w:tcW w:w="1092" w:type="dxa"/>
            <w:shd w:val="clear" w:color="auto" w:fill="auto"/>
            <w:tcMar>
              <w:left w:w="28" w:type="dxa"/>
              <w:right w:w="28" w:type="dxa"/>
            </w:tcMar>
            <w:vAlign w:val="center"/>
          </w:tcPr>
          <w:p w:rsidR="008F78E2" w:rsidRPr="00577B2E" w:rsidRDefault="008F78E2" w:rsidP="00842F06">
            <w:pPr>
              <w:spacing w:before="0"/>
              <w:jc w:val="center"/>
              <w:rPr>
                <w:rFonts w:ascii="Arial Narrow" w:hAnsi="Arial Narrow"/>
                <w:sz w:val="20"/>
                <w:szCs w:val="20"/>
                <w:lang w:val="en-AU"/>
              </w:rPr>
            </w:pPr>
            <w:r w:rsidRPr="00577B2E">
              <w:rPr>
                <w:rFonts w:ascii="Arial Narrow" w:hAnsi="Arial Narrow"/>
                <w:sz w:val="20"/>
                <w:szCs w:val="20"/>
              </w:rPr>
              <w:t>$0</w:t>
            </w:r>
          </w:p>
        </w:tc>
        <w:tc>
          <w:tcPr>
            <w:tcW w:w="1093" w:type="dxa"/>
            <w:shd w:val="clear" w:color="auto" w:fill="auto"/>
            <w:tcMar>
              <w:left w:w="28" w:type="dxa"/>
              <w:right w:w="28" w:type="dxa"/>
            </w:tcMar>
            <w:vAlign w:val="center"/>
          </w:tcPr>
          <w:p w:rsidR="008F78E2" w:rsidRPr="00577B2E" w:rsidRDefault="008F78E2" w:rsidP="00842F06">
            <w:pPr>
              <w:spacing w:before="0"/>
              <w:jc w:val="center"/>
              <w:rPr>
                <w:rFonts w:ascii="Arial Narrow" w:hAnsi="Arial Narrow"/>
                <w:sz w:val="20"/>
                <w:szCs w:val="20"/>
                <w:lang w:val="en-AU"/>
              </w:rPr>
            </w:pPr>
            <w:r w:rsidRPr="00577B2E">
              <w:rPr>
                <w:rFonts w:ascii="Arial Narrow" w:hAnsi="Arial Narrow"/>
                <w:sz w:val="20"/>
                <w:szCs w:val="20"/>
              </w:rPr>
              <w:t>$0</w:t>
            </w:r>
          </w:p>
        </w:tc>
        <w:tc>
          <w:tcPr>
            <w:tcW w:w="1093" w:type="dxa"/>
            <w:shd w:val="clear" w:color="auto" w:fill="auto"/>
            <w:tcMar>
              <w:left w:w="28" w:type="dxa"/>
              <w:right w:w="28" w:type="dxa"/>
            </w:tcMar>
            <w:vAlign w:val="center"/>
          </w:tcPr>
          <w:p w:rsidR="008F78E2" w:rsidRPr="00577B2E" w:rsidRDefault="008F78E2" w:rsidP="00842F06">
            <w:pPr>
              <w:spacing w:before="0"/>
              <w:jc w:val="center"/>
              <w:rPr>
                <w:rFonts w:ascii="Arial Narrow" w:hAnsi="Arial Narrow"/>
                <w:sz w:val="20"/>
                <w:szCs w:val="20"/>
                <w:lang w:val="en-AU"/>
              </w:rPr>
            </w:pPr>
            <w:r w:rsidRPr="00577B2E">
              <w:rPr>
                <w:rFonts w:ascii="Arial Narrow" w:hAnsi="Arial Narrow"/>
                <w:sz w:val="20"/>
                <w:szCs w:val="20"/>
              </w:rPr>
              <w:t>$0</w:t>
            </w:r>
          </w:p>
        </w:tc>
        <w:tc>
          <w:tcPr>
            <w:tcW w:w="1092" w:type="dxa"/>
            <w:shd w:val="clear" w:color="auto" w:fill="auto"/>
            <w:tcMar>
              <w:left w:w="28" w:type="dxa"/>
              <w:right w:w="28" w:type="dxa"/>
            </w:tcMar>
            <w:vAlign w:val="center"/>
          </w:tcPr>
          <w:p w:rsidR="008F78E2" w:rsidRPr="00F82904" w:rsidRDefault="00F82904" w:rsidP="00842F06">
            <w:pPr>
              <w:spacing w:before="0"/>
              <w:jc w:val="center"/>
              <w:rPr>
                <w:rFonts w:ascii="Arial Narrow" w:hAnsi="Arial Narrow"/>
                <w:sz w:val="20"/>
                <w:szCs w:val="20"/>
                <w:highlight w:val="black"/>
                <w:lang w:val="en-AU"/>
              </w:rPr>
            </w:pPr>
            <w:r>
              <w:rPr>
                <w:rFonts w:ascii="Arial Narrow" w:hAnsi="Arial Narrow"/>
                <w:noProof/>
                <w:color w:val="000000"/>
                <w:sz w:val="20"/>
                <w:szCs w:val="20"/>
                <w:highlight w:val="black"/>
              </w:rPr>
              <w:t>''''''</w:t>
            </w:r>
          </w:p>
        </w:tc>
        <w:tc>
          <w:tcPr>
            <w:tcW w:w="1093" w:type="dxa"/>
            <w:shd w:val="clear" w:color="auto" w:fill="auto"/>
            <w:tcMar>
              <w:left w:w="28" w:type="dxa"/>
              <w:right w:w="28" w:type="dxa"/>
            </w:tcMar>
            <w:vAlign w:val="center"/>
          </w:tcPr>
          <w:p w:rsidR="008F78E2" w:rsidRPr="00F82904" w:rsidRDefault="00F82904" w:rsidP="00842F06">
            <w:pPr>
              <w:spacing w:before="0"/>
              <w:jc w:val="center"/>
              <w:rPr>
                <w:rFonts w:ascii="Arial Narrow" w:hAnsi="Arial Narrow"/>
                <w:sz w:val="20"/>
                <w:szCs w:val="20"/>
                <w:highlight w:val="black"/>
                <w:lang w:val="en-AU"/>
              </w:rPr>
            </w:pPr>
            <w:r>
              <w:rPr>
                <w:rFonts w:ascii="Arial Narrow" w:hAnsi="Arial Narrow"/>
                <w:noProof/>
                <w:color w:val="000000"/>
                <w:sz w:val="20"/>
                <w:szCs w:val="20"/>
                <w:highlight w:val="black"/>
              </w:rPr>
              <w:t>''''''</w:t>
            </w:r>
          </w:p>
        </w:tc>
        <w:tc>
          <w:tcPr>
            <w:tcW w:w="1093" w:type="dxa"/>
            <w:shd w:val="clear" w:color="auto" w:fill="auto"/>
            <w:tcMar>
              <w:left w:w="28" w:type="dxa"/>
              <w:right w:w="28" w:type="dxa"/>
            </w:tcMar>
            <w:vAlign w:val="center"/>
          </w:tcPr>
          <w:p w:rsidR="008F78E2" w:rsidRPr="00F82904" w:rsidRDefault="00F82904" w:rsidP="00842F06">
            <w:pPr>
              <w:spacing w:before="0"/>
              <w:jc w:val="center"/>
              <w:rPr>
                <w:rFonts w:ascii="Arial Narrow" w:hAnsi="Arial Narrow"/>
                <w:sz w:val="20"/>
                <w:szCs w:val="20"/>
                <w:highlight w:val="black"/>
                <w:lang w:val="en-AU"/>
              </w:rPr>
            </w:pPr>
            <w:r>
              <w:rPr>
                <w:rFonts w:ascii="Arial Narrow" w:hAnsi="Arial Narrow"/>
                <w:noProof/>
                <w:color w:val="000000"/>
                <w:sz w:val="20"/>
                <w:szCs w:val="20"/>
                <w:highlight w:val="black"/>
              </w:rPr>
              <w:t>''''''</w:t>
            </w:r>
          </w:p>
        </w:tc>
      </w:tr>
      <w:tr w:rsidR="008F78E2" w:rsidRPr="00577B2E" w:rsidTr="00842F06">
        <w:tc>
          <w:tcPr>
            <w:tcW w:w="2516" w:type="dxa"/>
            <w:shd w:val="clear" w:color="auto" w:fill="auto"/>
            <w:tcMar>
              <w:left w:w="28" w:type="dxa"/>
              <w:right w:w="28" w:type="dxa"/>
            </w:tcMar>
            <w:vAlign w:val="center"/>
          </w:tcPr>
          <w:p w:rsidR="008F78E2" w:rsidRPr="00577B2E" w:rsidRDefault="008F78E2" w:rsidP="00842F06">
            <w:pPr>
              <w:spacing w:before="0"/>
              <w:rPr>
                <w:rFonts w:ascii="Arial Narrow" w:hAnsi="Arial Narrow"/>
                <w:b/>
                <w:bCs/>
                <w:sz w:val="20"/>
                <w:szCs w:val="20"/>
                <w:lang w:val="en-AU"/>
              </w:rPr>
            </w:pPr>
            <w:r w:rsidRPr="00577B2E">
              <w:rPr>
                <w:rFonts w:ascii="Arial Narrow" w:hAnsi="Arial Narrow"/>
                <w:b/>
                <w:bCs/>
                <w:sz w:val="20"/>
                <w:szCs w:val="20"/>
              </w:rPr>
              <w:t xml:space="preserve">Net financial impact </w:t>
            </w:r>
          </w:p>
        </w:tc>
        <w:tc>
          <w:tcPr>
            <w:tcW w:w="1092" w:type="dxa"/>
            <w:shd w:val="clear" w:color="auto" w:fill="auto"/>
            <w:tcMar>
              <w:left w:w="28" w:type="dxa"/>
              <w:right w:w="28" w:type="dxa"/>
            </w:tcMar>
            <w:vAlign w:val="center"/>
          </w:tcPr>
          <w:p w:rsidR="008F78E2" w:rsidRPr="00577B2E" w:rsidRDefault="008F78E2" w:rsidP="00842F06">
            <w:pPr>
              <w:spacing w:before="0"/>
              <w:jc w:val="center"/>
              <w:rPr>
                <w:rFonts w:ascii="Arial Narrow" w:hAnsi="Arial Narrow"/>
                <w:sz w:val="20"/>
                <w:szCs w:val="20"/>
                <w:lang w:val="en-AU"/>
              </w:rPr>
            </w:pPr>
            <w:r w:rsidRPr="00577B2E">
              <w:rPr>
                <w:rFonts w:ascii="Arial Narrow" w:hAnsi="Arial Narrow"/>
                <w:sz w:val="20"/>
                <w:szCs w:val="20"/>
              </w:rPr>
              <w:t>$</w:t>
            </w:r>
            <w:r w:rsidR="00F82904">
              <w:rPr>
                <w:rFonts w:ascii="Arial Narrow" w:hAnsi="Arial Narrow"/>
                <w:noProof/>
                <w:color w:val="000000"/>
                <w:sz w:val="20"/>
                <w:szCs w:val="20"/>
                <w:highlight w:val="black"/>
              </w:rPr>
              <w:t>'''''''''''''''</w:t>
            </w:r>
          </w:p>
        </w:tc>
        <w:tc>
          <w:tcPr>
            <w:tcW w:w="1093" w:type="dxa"/>
            <w:shd w:val="clear" w:color="auto" w:fill="auto"/>
            <w:tcMar>
              <w:left w:w="28" w:type="dxa"/>
              <w:right w:w="28" w:type="dxa"/>
            </w:tcMar>
            <w:vAlign w:val="center"/>
          </w:tcPr>
          <w:p w:rsidR="008F78E2" w:rsidRPr="00577B2E" w:rsidRDefault="008F78E2" w:rsidP="00842F06">
            <w:pPr>
              <w:spacing w:before="0"/>
              <w:jc w:val="center"/>
              <w:rPr>
                <w:rFonts w:ascii="Arial Narrow" w:hAnsi="Arial Narrow"/>
                <w:sz w:val="20"/>
                <w:szCs w:val="20"/>
                <w:lang w:val="en-AU"/>
              </w:rPr>
            </w:pPr>
            <w:r w:rsidRPr="00577B2E">
              <w:rPr>
                <w:rFonts w:ascii="Arial Narrow" w:hAnsi="Arial Narrow"/>
                <w:sz w:val="20"/>
                <w:szCs w:val="20"/>
              </w:rPr>
              <w:t>$</w:t>
            </w:r>
            <w:r w:rsidR="00F82904">
              <w:rPr>
                <w:rFonts w:ascii="Arial Narrow" w:hAnsi="Arial Narrow"/>
                <w:noProof/>
                <w:color w:val="000000"/>
                <w:sz w:val="20"/>
                <w:szCs w:val="20"/>
                <w:highlight w:val="black"/>
              </w:rPr>
              <w:t>'''''''''''''''''</w:t>
            </w:r>
          </w:p>
        </w:tc>
        <w:tc>
          <w:tcPr>
            <w:tcW w:w="1093" w:type="dxa"/>
            <w:shd w:val="clear" w:color="auto" w:fill="auto"/>
            <w:tcMar>
              <w:left w:w="28" w:type="dxa"/>
              <w:right w:w="28" w:type="dxa"/>
            </w:tcMar>
            <w:vAlign w:val="center"/>
          </w:tcPr>
          <w:p w:rsidR="008F78E2" w:rsidRPr="00577B2E" w:rsidRDefault="008F78E2" w:rsidP="00842F06">
            <w:pPr>
              <w:spacing w:before="0"/>
              <w:jc w:val="center"/>
              <w:rPr>
                <w:rFonts w:ascii="Arial Narrow" w:hAnsi="Arial Narrow"/>
                <w:sz w:val="20"/>
                <w:szCs w:val="20"/>
                <w:lang w:val="en-AU"/>
              </w:rPr>
            </w:pPr>
            <w:r w:rsidRPr="00577B2E">
              <w:rPr>
                <w:rFonts w:ascii="Arial Narrow" w:hAnsi="Arial Narrow"/>
                <w:sz w:val="20"/>
                <w:szCs w:val="20"/>
              </w:rPr>
              <w:t>-$</w:t>
            </w:r>
            <w:r w:rsidR="00F82904">
              <w:rPr>
                <w:rFonts w:ascii="Arial Narrow" w:hAnsi="Arial Narrow"/>
                <w:noProof/>
                <w:color w:val="000000"/>
                <w:sz w:val="20"/>
                <w:szCs w:val="20"/>
                <w:highlight w:val="black"/>
              </w:rPr>
              <w:t>'''''''''''''''</w:t>
            </w:r>
          </w:p>
        </w:tc>
        <w:tc>
          <w:tcPr>
            <w:tcW w:w="1092" w:type="dxa"/>
            <w:shd w:val="clear" w:color="auto" w:fill="auto"/>
            <w:tcMar>
              <w:left w:w="28" w:type="dxa"/>
              <w:right w:w="28" w:type="dxa"/>
            </w:tcMar>
            <w:vAlign w:val="center"/>
          </w:tcPr>
          <w:p w:rsidR="008F78E2" w:rsidRPr="00F82904" w:rsidRDefault="008F78E2" w:rsidP="00842F06">
            <w:pPr>
              <w:spacing w:before="0"/>
              <w:jc w:val="center"/>
              <w:rPr>
                <w:rFonts w:ascii="Arial Narrow" w:hAnsi="Arial Narrow"/>
                <w:sz w:val="20"/>
                <w:szCs w:val="20"/>
                <w:lang w:val="en-AU"/>
              </w:rPr>
            </w:pPr>
            <w:r w:rsidRPr="00CB055A">
              <w:rPr>
                <w:rFonts w:ascii="Arial Narrow" w:hAnsi="Arial Narrow"/>
                <w:sz w:val="20"/>
                <w:szCs w:val="20"/>
              </w:rPr>
              <w:t>-$</w:t>
            </w:r>
            <w:r w:rsidR="00F82904">
              <w:rPr>
                <w:rFonts w:ascii="Arial Narrow" w:hAnsi="Arial Narrow"/>
                <w:noProof/>
                <w:color w:val="000000"/>
                <w:sz w:val="20"/>
                <w:szCs w:val="20"/>
                <w:highlight w:val="black"/>
              </w:rPr>
              <w:t>''''''''''''''''</w:t>
            </w:r>
          </w:p>
        </w:tc>
        <w:tc>
          <w:tcPr>
            <w:tcW w:w="1093" w:type="dxa"/>
            <w:shd w:val="clear" w:color="auto" w:fill="auto"/>
            <w:tcMar>
              <w:left w:w="28" w:type="dxa"/>
              <w:right w:w="28" w:type="dxa"/>
            </w:tcMar>
            <w:vAlign w:val="center"/>
          </w:tcPr>
          <w:p w:rsidR="008F78E2" w:rsidRPr="00F82904" w:rsidRDefault="008F78E2" w:rsidP="00842F06">
            <w:pPr>
              <w:spacing w:before="0"/>
              <w:jc w:val="center"/>
              <w:rPr>
                <w:rFonts w:ascii="Arial Narrow" w:hAnsi="Arial Narrow"/>
                <w:sz w:val="20"/>
                <w:szCs w:val="20"/>
                <w:lang w:val="en-AU"/>
              </w:rPr>
            </w:pPr>
            <w:r w:rsidRPr="00CB055A">
              <w:rPr>
                <w:rFonts w:ascii="Arial Narrow" w:hAnsi="Arial Narrow"/>
                <w:sz w:val="20"/>
                <w:szCs w:val="20"/>
              </w:rPr>
              <w:t>-$</w:t>
            </w:r>
            <w:r w:rsidR="00F82904">
              <w:rPr>
                <w:rFonts w:ascii="Arial Narrow" w:hAnsi="Arial Narrow"/>
                <w:noProof/>
                <w:color w:val="000000"/>
                <w:sz w:val="20"/>
                <w:szCs w:val="20"/>
                <w:highlight w:val="black"/>
              </w:rPr>
              <w:t>'''''''''''''''''</w:t>
            </w:r>
          </w:p>
        </w:tc>
        <w:tc>
          <w:tcPr>
            <w:tcW w:w="1093" w:type="dxa"/>
            <w:shd w:val="clear" w:color="auto" w:fill="auto"/>
            <w:tcMar>
              <w:left w:w="28" w:type="dxa"/>
              <w:right w:w="28" w:type="dxa"/>
            </w:tcMar>
            <w:vAlign w:val="center"/>
          </w:tcPr>
          <w:p w:rsidR="008F78E2" w:rsidRPr="00F82904" w:rsidRDefault="008F78E2" w:rsidP="00842F06">
            <w:pPr>
              <w:spacing w:before="0"/>
              <w:jc w:val="center"/>
              <w:rPr>
                <w:rFonts w:ascii="Arial Narrow" w:hAnsi="Arial Narrow"/>
                <w:sz w:val="20"/>
                <w:szCs w:val="20"/>
                <w:lang w:val="en-AU"/>
              </w:rPr>
            </w:pPr>
            <w:r w:rsidRPr="00CB055A">
              <w:rPr>
                <w:rFonts w:ascii="Arial Narrow" w:hAnsi="Arial Narrow"/>
                <w:sz w:val="20"/>
                <w:szCs w:val="20"/>
              </w:rPr>
              <w:t>-$</w:t>
            </w:r>
            <w:r w:rsidR="00F82904">
              <w:rPr>
                <w:rFonts w:ascii="Arial Narrow" w:hAnsi="Arial Narrow"/>
                <w:noProof/>
                <w:color w:val="000000"/>
                <w:sz w:val="20"/>
                <w:szCs w:val="20"/>
                <w:highlight w:val="black"/>
              </w:rPr>
              <w:t>'''''''''''''''''''</w:t>
            </w:r>
          </w:p>
        </w:tc>
      </w:tr>
    </w:tbl>
    <w:p w:rsidR="008F78E2" w:rsidRPr="00577B2E" w:rsidRDefault="008F78E2" w:rsidP="008F78E2">
      <w:pPr>
        <w:spacing w:before="0" w:after="0"/>
        <w:jc w:val="both"/>
        <w:rPr>
          <w:rFonts w:ascii="Arial Narrow" w:hAnsi="Arial Narrow"/>
          <w:sz w:val="20"/>
          <w:szCs w:val="20"/>
        </w:rPr>
      </w:pPr>
      <w:r w:rsidRPr="00577B2E">
        <w:rPr>
          <w:rFonts w:ascii="Arial Narrow" w:hAnsi="Arial Narrow"/>
          <w:sz w:val="20"/>
          <w:szCs w:val="20"/>
        </w:rPr>
        <w:t>Source</w:t>
      </w:r>
      <w:r w:rsidRPr="0092540F">
        <w:rPr>
          <w:rFonts w:ascii="Arial Narrow" w:hAnsi="Arial Narrow"/>
          <w:sz w:val="20"/>
          <w:szCs w:val="20"/>
        </w:rPr>
        <w:t xml:space="preserve">: </w:t>
      </w:r>
      <w:r w:rsidRPr="00CB2C63">
        <w:rPr>
          <w:rFonts w:ascii="Arial Narrow" w:hAnsi="Arial Narrow"/>
          <w:sz w:val="20"/>
          <w:szCs w:val="20"/>
        </w:rPr>
        <w:t>table 4.2-1</w:t>
      </w:r>
      <w:r w:rsidRPr="0092540F">
        <w:rPr>
          <w:rFonts w:ascii="Arial Narrow" w:hAnsi="Arial Narrow"/>
          <w:sz w:val="20"/>
          <w:szCs w:val="20"/>
        </w:rPr>
        <w:t>, p129,</w:t>
      </w:r>
      <w:r w:rsidRPr="00CB2C63">
        <w:rPr>
          <w:rFonts w:ascii="Arial Narrow" w:hAnsi="Arial Narrow"/>
          <w:sz w:val="20"/>
          <w:szCs w:val="20"/>
        </w:rPr>
        <w:t xml:space="preserve"> table 4.2-4</w:t>
      </w:r>
      <w:r w:rsidRPr="0092540F">
        <w:rPr>
          <w:rFonts w:ascii="Arial Narrow" w:hAnsi="Arial Narrow"/>
          <w:sz w:val="20"/>
          <w:szCs w:val="20"/>
        </w:rPr>
        <w:t xml:space="preserve">, p131, tables 4.2-7 and 4.3-1, p133, </w:t>
      </w:r>
      <w:r w:rsidRPr="00CB2C63">
        <w:rPr>
          <w:rFonts w:ascii="Arial Narrow" w:hAnsi="Arial Narrow"/>
          <w:sz w:val="20"/>
          <w:szCs w:val="20"/>
        </w:rPr>
        <w:t>table 4.3-4</w:t>
      </w:r>
      <w:r w:rsidRPr="0092540F">
        <w:rPr>
          <w:rFonts w:ascii="Arial Narrow" w:hAnsi="Arial Narrow"/>
          <w:sz w:val="20"/>
          <w:szCs w:val="20"/>
        </w:rPr>
        <w:t xml:space="preserve">, p135, </w:t>
      </w:r>
      <w:r w:rsidRPr="00CB2C63">
        <w:rPr>
          <w:rFonts w:ascii="Arial Narrow" w:hAnsi="Arial Narrow"/>
          <w:sz w:val="20"/>
          <w:szCs w:val="20"/>
        </w:rPr>
        <w:t>table 4.4-1</w:t>
      </w:r>
      <w:r w:rsidRPr="0092540F">
        <w:rPr>
          <w:rFonts w:ascii="Arial Narrow" w:hAnsi="Arial Narrow"/>
          <w:sz w:val="20"/>
          <w:szCs w:val="20"/>
        </w:rPr>
        <w:t>,</w:t>
      </w:r>
      <w:r w:rsidRPr="00577B2E">
        <w:rPr>
          <w:rFonts w:ascii="Arial Narrow" w:hAnsi="Arial Narrow"/>
          <w:sz w:val="20"/>
          <w:szCs w:val="20"/>
        </w:rPr>
        <w:t xml:space="preserve"> p136 and 4.5-2, p137 of the submission.</w:t>
      </w:r>
    </w:p>
    <w:p w:rsidR="008F78E2" w:rsidRDefault="008F78E2" w:rsidP="008F78E2">
      <w:pPr>
        <w:spacing w:before="0" w:after="0"/>
        <w:jc w:val="both"/>
        <w:rPr>
          <w:rFonts w:ascii="Arial Narrow" w:hAnsi="Arial Narrow"/>
          <w:sz w:val="20"/>
          <w:szCs w:val="20"/>
        </w:rPr>
      </w:pPr>
    </w:p>
    <w:p w:rsidR="00496B02" w:rsidRPr="00F82904" w:rsidRDefault="00496B02" w:rsidP="00F82904">
      <w:pPr>
        <w:pStyle w:val="ListParagraph"/>
        <w:numPr>
          <w:ilvl w:val="1"/>
          <w:numId w:val="3"/>
        </w:numPr>
        <w:spacing w:before="0" w:after="120"/>
        <w:jc w:val="both"/>
      </w:pPr>
      <w:r w:rsidRPr="00F82904">
        <w:t>The redacted table above shows that at year 6 the estimated number of patients was 10,000 – 20,000 and the net savings to the PBS would be less than $10 million.</w:t>
      </w:r>
    </w:p>
    <w:p w:rsidR="008F78E2" w:rsidRPr="00577B2E" w:rsidRDefault="008F78E2" w:rsidP="00143649">
      <w:pPr>
        <w:pStyle w:val="ListParagraph"/>
        <w:numPr>
          <w:ilvl w:val="1"/>
          <w:numId w:val="3"/>
        </w:numPr>
        <w:spacing w:before="0" w:after="120"/>
        <w:jc w:val="both"/>
      </w:pPr>
      <w:r w:rsidRPr="00577B2E">
        <w:t xml:space="preserve">The submission assumed that one budesonide CR script will replace one budesonide foam enema/hydrocortisone foam enema or one prednisolone liquid enema script.  </w:t>
      </w:r>
      <w:r w:rsidRPr="005E2F91">
        <w:t>This is inappropriate</w:t>
      </w:r>
      <w:r w:rsidRPr="00577B2E">
        <w:t xml:space="preserve"> </w:t>
      </w:r>
      <w:r w:rsidRPr="005E2F91">
        <w:t>given the differences in recommended treatment regimens, particularly treatment duration (1-2 doses daily for 2-3 weeks (1-2 scripts) for hydrocortisone foam enema, 1 dose daily for 2-4 weeks (1 script)</w:t>
      </w:r>
      <w:r w:rsidRPr="000C5EF9">
        <w:t xml:space="preserve"> for prednisolone liquid enema and 1 tablet daily for 8 weeks for budesonide CR (2 scripts)).  </w:t>
      </w:r>
      <w:r w:rsidRPr="00FA2C43">
        <w:t>The ESC agreed that the different dosing durations had not been appropriately accounted for in the proposed financial estimates.</w:t>
      </w:r>
      <w:r w:rsidR="00CC4F79" w:rsidRPr="00CC4F79">
        <w:t xml:space="preserve"> The PBAC </w:t>
      </w:r>
      <w:r w:rsidR="00CC4F79">
        <w:t xml:space="preserve">noted the </w:t>
      </w:r>
      <w:r w:rsidR="00CC4F79" w:rsidRPr="00CC4F79">
        <w:t>pre-PBAC response</w:t>
      </w:r>
      <w:r w:rsidR="00F3128F">
        <w:t xml:space="preserve"> (p3)</w:t>
      </w:r>
      <w:r w:rsidR="00CC4F79" w:rsidRPr="00CC4F79">
        <w:t>, which stated that prednisolone enema treatment may continue after the initial 2-4 weeks and therefore 2 scripts is ”not unreasonable”.</w:t>
      </w:r>
      <w:r w:rsidR="000078ED">
        <w:t xml:space="preserve"> </w:t>
      </w:r>
      <w:r w:rsidR="00CC4F79" w:rsidRPr="00CC4F79">
        <w:t xml:space="preserve"> </w:t>
      </w:r>
      <w:r w:rsidR="00CC4F79">
        <w:t xml:space="preserve">The </w:t>
      </w:r>
      <w:r w:rsidR="00CC4F79" w:rsidRPr="00CC4F79">
        <w:t xml:space="preserve">PBAC </w:t>
      </w:r>
      <w:r w:rsidR="00CC4F79">
        <w:t xml:space="preserve">did not accept </w:t>
      </w:r>
      <w:r w:rsidR="004F1121">
        <w:t>this claim</w:t>
      </w:r>
      <w:r w:rsidR="00D84FB8">
        <w:t xml:space="preserve"> </w:t>
      </w:r>
      <w:r w:rsidR="00CC4F79">
        <w:t xml:space="preserve">and noted the wording of the prednisolone enema PI on dosing that </w:t>
      </w:r>
      <w:r w:rsidR="000078ED">
        <w:t>“</w:t>
      </w:r>
      <w:r w:rsidR="00D84FB8">
        <w:t>use of one enema nightly o</w:t>
      </w:r>
      <w:r w:rsidR="00CC4F79" w:rsidRPr="00CC4F79">
        <w:t>n retiring</w:t>
      </w:r>
      <w:r w:rsidR="005610A4">
        <w:t xml:space="preserve"> for</w:t>
      </w:r>
      <w:r w:rsidR="00CC4F79" w:rsidRPr="00CC4F79">
        <w:t xml:space="preserve"> two to four weeks, treatment </w:t>
      </w:r>
      <w:r w:rsidR="00CC4F79" w:rsidRPr="005610A4">
        <w:rPr>
          <w:u w:val="single"/>
        </w:rPr>
        <w:t>may</w:t>
      </w:r>
      <w:r w:rsidR="00CC4F79" w:rsidRPr="00CC4F79">
        <w:t xml:space="preserve"> be continued in patients showing progressive improvement but it should not be persisted with if the response has been inadequate.</w:t>
      </w:r>
      <w:r w:rsidR="005610A4">
        <w:t>”</w:t>
      </w:r>
    </w:p>
    <w:p w:rsidR="008F78E2" w:rsidRPr="00577B2E" w:rsidRDefault="008F78E2" w:rsidP="008F78E2">
      <w:pPr>
        <w:pStyle w:val="ListParagraph"/>
        <w:numPr>
          <w:ilvl w:val="1"/>
          <w:numId w:val="3"/>
        </w:numPr>
        <w:spacing w:before="0" w:after="120"/>
        <w:jc w:val="both"/>
      </w:pPr>
      <w:r w:rsidRPr="00577B2E">
        <w:t xml:space="preserve">Sensitivity analyses using the proportion of patients using rectal corticosteroids for UC from the 10% Medicare sample analysis and altering the substitution of prednisolone liquid enema to account for a shorter treatment duration (assume that 2 scripts of budesonide CR per 8 week course will substitute for 1 script of prednisolone liquid for a 4 week course to be consistent with the PIs) is presented in Table </w:t>
      </w:r>
      <w:r w:rsidR="009C2BB0">
        <w:t>9</w:t>
      </w:r>
      <w:r w:rsidRPr="00577B2E">
        <w:t xml:space="preserve">.  </w:t>
      </w:r>
      <w:r w:rsidR="005610A4">
        <w:t xml:space="preserve">The </w:t>
      </w:r>
      <w:r w:rsidR="00D84FB8" w:rsidRPr="00143649">
        <w:t>PBAC</w:t>
      </w:r>
      <w:r w:rsidRPr="00143649">
        <w:t xml:space="preserve"> noted that</w:t>
      </w:r>
      <w:r w:rsidRPr="00D84FB8">
        <w:t xml:space="preserve"> this</w:t>
      </w:r>
      <w:r w:rsidRPr="00577B2E">
        <w:t xml:space="preserve"> had the effect of switching the estimated financial implication to the government from </w:t>
      </w:r>
      <w:r w:rsidR="005610A4">
        <w:t>a net saving</w:t>
      </w:r>
      <w:r w:rsidRPr="00577B2E">
        <w:t xml:space="preserve"> to </w:t>
      </w:r>
      <w:r w:rsidR="005610A4">
        <w:t>a net cost</w:t>
      </w:r>
      <w:r w:rsidRPr="00577B2E">
        <w:t xml:space="preserve"> due to an increase in the cost of budesonide CR.</w:t>
      </w:r>
    </w:p>
    <w:p w:rsidR="009C2BB0" w:rsidRDefault="009C2BB0" w:rsidP="009C2BB0">
      <w:pPr>
        <w:pStyle w:val="Caption"/>
        <w:keepNext/>
      </w:pPr>
      <w:r>
        <w:t xml:space="preserve">Table </w:t>
      </w:r>
      <w:r>
        <w:rPr>
          <w:noProof/>
        </w:rPr>
        <w:t>9</w:t>
      </w:r>
      <w:r w:rsidRPr="00F83AEF">
        <w:t>: Sensitivity analysis around financial estimates of net cost to government</w:t>
      </w:r>
    </w:p>
    <w:tbl>
      <w:tblPr>
        <w:tblStyle w:val="TableGrid"/>
        <w:tblW w:w="9072"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Sensitivity analysis around financial estimates of net cost to government"/>
      </w:tblPr>
      <w:tblGrid>
        <w:gridCol w:w="2696"/>
        <w:gridCol w:w="1062"/>
        <w:gridCol w:w="1063"/>
        <w:gridCol w:w="1063"/>
        <w:gridCol w:w="1062"/>
        <w:gridCol w:w="1063"/>
        <w:gridCol w:w="1063"/>
      </w:tblGrid>
      <w:tr w:rsidR="008F78E2" w:rsidRPr="00577B2E" w:rsidTr="00255F1F">
        <w:trPr>
          <w:cnfStyle w:val="100000000000" w:firstRow="1" w:lastRow="0" w:firstColumn="0" w:lastColumn="0" w:oddVBand="0" w:evenVBand="0" w:oddHBand="0" w:evenHBand="0" w:firstRowFirstColumn="0" w:firstRowLastColumn="0" w:lastRowFirstColumn="0" w:lastRowLastColumn="0"/>
          <w:trHeight w:val="70"/>
          <w:tblHeader/>
        </w:trPr>
        <w:tc>
          <w:tcPr>
            <w:tcW w:w="2696" w:type="dxa"/>
            <w:shd w:val="clear" w:color="auto" w:fill="auto"/>
          </w:tcPr>
          <w:p w:rsidR="008F78E2" w:rsidRPr="00577B2E" w:rsidRDefault="008F78E2" w:rsidP="00842F06">
            <w:pPr>
              <w:spacing w:before="0"/>
              <w:rPr>
                <w:rFonts w:ascii="Arial Narrow" w:hAnsi="Arial Narrow"/>
                <w:sz w:val="20"/>
                <w:szCs w:val="20"/>
                <w:lang w:val="en-AU"/>
              </w:rPr>
            </w:pPr>
          </w:p>
        </w:tc>
        <w:tc>
          <w:tcPr>
            <w:tcW w:w="1062" w:type="dxa"/>
            <w:shd w:val="clear" w:color="auto" w:fill="auto"/>
          </w:tcPr>
          <w:p w:rsidR="008F78E2" w:rsidRPr="00577B2E" w:rsidRDefault="008F78E2" w:rsidP="00842F06">
            <w:pPr>
              <w:spacing w:before="0"/>
              <w:jc w:val="center"/>
              <w:rPr>
                <w:rFonts w:ascii="Arial Narrow" w:hAnsi="Arial Narrow"/>
                <w:sz w:val="20"/>
                <w:szCs w:val="20"/>
                <w:lang w:val="en-AU"/>
              </w:rPr>
            </w:pPr>
            <w:r w:rsidRPr="00577B2E">
              <w:rPr>
                <w:rFonts w:ascii="Arial Narrow" w:hAnsi="Arial Narrow"/>
                <w:sz w:val="20"/>
                <w:szCs w:val="20"/>
              </w:rPr>
              <w:t>Year 1</w:t>
            </w:r>
          </w:p>
        </w:tc>
        <w:tc>
          <w:tcPr>
            <w:tcW w:w="1063" w:type="dxa"/>
            <w:shd w:val="clear" w:color="auto" w:fill="auto"/>
          </w:tcPr>
          <w:p w:rsidR="008F78E2" w:rsidRPr="00577B2E" w:rsidRDefault="008F78E2" w:rsidP="00842F06">
            <w:pPr>
              <w:spacing w:before="0"/>
              <w:jc w:val="center"/>
              <w:rPr>
                <w:rFonts w:ascii="Arial Narrow" w:hAnsi="Arial Narrow"/>
                <w:sz w:val="20"/>
                <w:szCs w:val="20"/>
                <w:lang w:val="en-AU"/>
              </w:rPr>
            </w:pPr>
            <w:r w:rsidRPr="00577B2E">
              <w:rPr>
                <w:rFonts w:ascii="Arial Narrow" w:hAnsi="Arial Narrow"/>
                <w:sz w:val="20"/>
                <w:szCs w:val="20"/>
              </w:rPr>
              <w:t>Year 2</w:t>
            </w:r>
          </w:p>
        </w:tc>
        <w:tc>
          <w:tcPr>
            <w:tcW w:w="1063" w:type="dxa"/>
            <w:shd w:val="clear" w:color="auto" w:fill="auto"/>
          </w:tcPr>
          <w:p w:rsidR="008F78E2" w:rsidRPr="00577B2E" w:rsidRDefault="008F78E2" w:rsidP="00842F06">
            <w:pPr>
              <w:spacing w:before="0"/>
              <w:jc w:val="center"/>
              <w:rPr>
                <w:rFonts w:ascii="Arial Narrow" w:hAnsi="Arial Narrow"/>
                <w:sz w:val="20"/>
                <w:szCs w:val="20"/>
                <w:lang w:val="en-AU"/>
              </w:rPr>
            </w:pPr>
            <w:r w:rsidRPr="00577B2E">
              <w:rPr>
                <w:rFonts w:ascii="Arial Narrow" w:hAnsi="Arial Narrow"/>
                <w:sz w:val="20"/>
                <w:szCs w:val="20"/>
              </w:rPr>
              <w:t>Year 3</w:t>
            </w:r>
          </w:p>
        </w:tc>
        <w:tc>
          <w:tcPr>
            <w:tcW w:w="1062" w:type="dxa"/>
            <w:shd w:val="clear" w:color="auto" w:fill="auto"/>
          </w:tcPr>
          <w:p w:rsidR="008F78E2" w:rsidRPr="00577B2E" w:rsidRDefault="008F78E2" w:rsidP="00842F06">
            <w:pPr>
              <w:spacing w:before="0"/>
              <w:jc w:val="center"/>
              <w:rPr>
                <w:rFonts w:ascii="Arial Narrow" w:hAnsi="Arial Narrow"/>
                <w:sz w:val="20"/>
                <w:szCs w:val="20"/>
                <w:lang w:val="en-AU"/>
              </w:rPr>
            </w:pPr>
            <w:r w:rsidRPr="00577B2E">
              <w:rPr>
                <w:rFonts w:ascii="Arial Narrow" w:hAnsi="Arial Narrow"/>
                <w:sz w:val="20"/>
                <w:szCs w:val="20"/>
              </w:rPr>
              <w:t>Year 4</w:t>
            </w:r>
          </w:p>
        </w:tc>
        <w:tc>
          <w:tcPr>
            <w:tcW w:w="1063" w:type="dxa"/>
            <w:shd w:val="clear" w:color="auto" w:fill="auto"/>
          </w:tcPr>
          <w:p w:rsidR="008F78E2" w:rsidRPr="00577B2E" w:rsidRDefault="008F78E2" w:rsidP="00842F06">
            <w:pPr>
              <w:spacing w:before="0"/>
              <w:jc w:val="center"/>
              <w:rPr>
                <w:rFonts w:ascii="Arial Narrow" w:hAnsi="Arial Narrow"/>
                <w:sz w:val="20"/>
                <w:szCs w:val="20"/>
                <w:lang w:val="en-AU"/>
              </w:rPr>
            </w:pPr>
            <w:r w:rsidRPr="00577B2E">
              <w:rPr>
                <w:rFonts w:ascii="Arial Narrow" w:hAnsi="Arial Narrow"/>
                <w:sz w:val="20"/>
                <w:szCs w:val="20"/>
              </w:rPr>
              <w:t>Year 5</w:t>
            </w:r>
          </w:p>
        </w:tc>
        <w:tc>
          <w:tcPr>
            <w:tcW w:w="1063" w:type="dxa"/>
            <w:shd w:val="clear" w:color="auto" w:fill="auto"/>
          </w:tcPr>
          <w:p w:rsidR="008F78E2" w:rsidRPr="00577B2E" w:rsidRDefault="008F78E2" w:rsidP="00842F06">
            <w:pPr>
              <w:spacing w:before="0"/>
              <w:jc w:val="center"/>
              <w:rPr>
                <w:rFonts w:ascii="Arial Narrow" w:hAnsi="Arial Narrow"/>
                <w:sz w:val="20"/>
                <w:szCs w:val="20"/>
                <w:lang w:val="en-AU"/>
              </w:rPr>
            </w:pPr>
            <w:r w:rsidRPr="00577B2E">
              <w:rPr>
                <w:rFonts w:ascii="Arial Narrow" w:hAnsi="Arial Narrow"/>
                <w:sz w:val="20"/>
                <w:szCs w:val="20"/>
              </w:rPr>
              <w:t>Year 6</w:t>
            </w:r>
          </w:p>
        </w:tc>
      </w:tr>
      <w:tr w:rsidR="008F78E2" w:rsidRPr="00577B2E" w:rsidTr="00842F06">
        <w:tc>
          <w:tcPr>
            <w:tcW w:w="2696" w:type="dxa"/>
            <w:shd w:val="clear" w:color="auto" w:fill="auto"/>
          </w:tcPr>
          <w:p w:rsidR="008F78E2" w:rsidRPr="00577B2E" w:rsidRDefault="008F78E2" w:rsidP="00842F06">
            <w:pPr>
              <w:spacing w:before="0"/>
              <w:rPr>
                <w:rFonts w:ascii="Arial Narrow" w:hAnsi="Arial Narrow"/>
                <w:sz w:val="20"/>
                <w:szCs w:val="20"/>
                <w:lang w:val="en-AU"/>
              </w:rPr>
            </w:pPr>
            <w:r w:rsidRPr="00577B2E">
              <w:rPr>
                <w:rFonts w:ascii="Arial Narrow" w:hAnsi="Arial Narrow"/>
                <w:sz w:val="20"/>
                <w:szCs w:val="20"/>
              </w:rPr>
              <w:t>Base case (88%, 73%, 69%)</w:t>
            </w:r>
            <w:r w:rsidRPr="00577B2E">
              <w:rPr>
                <w:rFonts w:ascii="Arial Narrow" w:hAnsi="Arial Narrow"/>
                <w:sz w:val="20"/>
                <w:szCs w:val="20"/>
                <w:vertAlign w:val="superscript"/>
              </w:rPr>
              <w:t>1</w:t>
            </w:r>
            <w:r w:rsidRPr="00577B2E">
              <w:rPr>
                <w:rFonts w:ascii="Arial Narrow" w:hAnsi="Arial Narrow"/>
                <w:sz w:val="20"/>
                <w:szCs w:val="20"/>
              </w:rPr>
              <w:t xml:space="preserve"> </w:t>
            </w:r>
          </w:p>
        </w:tc>
        <w:tc>
          <w:tcPr>
            <w:tcW w:w="1062" w:type="dxa"/>
            <w:shd w:val="clear" w:color="auto" w:fill="auto"/>
            <w:vAlign w:val="center"/>
          </w:tcPr>
          <w:p w:rsidR="008F78E2" w:rsidRPr="00577B2E" w:rsidRDefault="008F78E2" w:rsidP="00842F06">
            <w:pPr>
              <w:spacing w:before="0"/>
              <w:jc w:val="center"/>
              <w:rPr>
                <w:rFonts w:ascii="Arial Narrow" w:hAnsi="Arial Narrow"/>
                <w:sz w:val="20"/>
                <w:szCs w:val="20"/>
                <w:lang w:val="en-AU"/>
              </w:rPr>
            </w:pPr>
            <w:r w:rsidRPr="00577B2E">
              <w:rPr>
                <w:rFonts w:ascii="Arial Narrow" w:hAnsi="Arial Narrow"/>
                <w:sz w:val="20"/>
                <w:szCs w:val="20"/>
              </w:rPr>
              <w:t>$</w:t>
            </w:r>
            <w:r w:rsidR="00F82904">
              <w:rPr>
                <w:rFonts w:ascii="Arial Narrow" w:hAnsi="Arial Narrow"/>
                <w:noProof/>
                <w:color w:val="000000"/>
                <w:sz w:val="20"/>
                <w:szCs w:val="20"/>
                <w:highlight w:val="black"/>
              </w:rPr>
              <w:t>'''''''''''''''</w:t>
            </w:r>
          </w:p>
        </w:tc>
        <w:tc>
          <w:tcPr>
            <w:tcW w:w="1063" w:type="dxa"/>
            <w:shd w:val="clear" w:color="auto" w:fill="auto"/>
            <w:vAlign w:val="center"/>
          </w:tcPr>
          <w:p w:rsidR="008F78E2" w:rsidRPr="00577B2E" w:rsidRDefault="008F78E2" w:rsidP="00842F06">
            <w:pPr>
              <w:spacing w:before="0"/>
              <w:jc w:val="center"/>
              <w:rPr>
                <w:rFonts w:ascii="Arial Narrow" w:hAnsi="Arial Narrow"/>
                <w:sz w:val="20"/>
                <w:szCs w:val="20"/>
                <w:lang w:val="en-AU"/>
              </w:rPr>
            </w:pPr>
            <w:r w:rsidRPr="00577B2E">
              <w:rPr>
                <w:rFonts w:ascii="Arial Narrow" w:hAnsi="Arial Narrow"/>
                <w:sz w:val="20"/>
                <w:szCs w:val="20"/>
              </w:rPr>
              <w:t>$</w:t>
            </w:r>
            <w:r w:rsidR="00F82904">
              <w:rPr>
                <w:rFonts w:ascii="Arial Narrow" w:hAnsi="Arial Narrow"/>
                <w:noProof/>
                <w:color w:val="000000"/>
                <w:sz w:val="20"/>
                <w:szCs w:val="20"/>
                <w:highlight w:val="black"/>
              </w:rPr>
              <w:t>'''''''''''''''</w:t>
            </w:r>
          </w:p>
        </w:tc>
        <w:tc>
          <w:tcPr>
            <w:tcW w:w="1063" w:type="dxa"/>
            <w:shd w:val="clear" w:color="auto" w:fill="auto"/>
            <w:vAlign w:val="center"/>
          </w:tcPr>
          <w:p w:rsidR="008F78E2" w:rsidRPr="00577B2E" w:rsidRDefault="008F78E2" w:rsidP="00842F06">
            <w:pPr>
              <w:spacing w:before="0"/>
              <w:jc w:val="center"/>
              <w:rPr>
                <w:rFonts w:ascii="Arial Narrow" w:hAnsi="Arial Narrow"/>
                <w:sz w:val="20"/>
                <w:szCs w:val="20"/>
                <w:lang w:val="en-AU"/>
              </w:rPr>
            </w:pPr>
            <w:r w:rsidRPr="00577B2E">
              <w:rPr>
                <w:rFonts w:ascii="Arial Narrow" w:hAnsi="Arial Narrow"/>
                <w:sz w:val="20"/>
                <w:szCs w:val="20"/>
              </w:rPr>
              <w:t>-$</w:t>
            </w:r>
            <w:r w:rsidR="00F82904">
              <w:rPr>
                <w:rFonts w:ascii="Arial Narrow" w:hAnsi="Arial Narrow"/>
                <w:noProof/>
                <w:color w:val="000000"/>
                <w:sz w:val="20"/>
                <w:szCs w:val="20"/>
                <w:highlight w:val="black"/>
              </w:rPr>
              <w:t>''''''''''''''</w:t>
            </w:r>
          </w:p>
        </w:tc>
        <w:tc>
          <w:tcPr>
            <w:tcW w:w="1062" w:type="dxa"/>
            <w:shd w:val="clear" w:color="auto" w:fill="auto"/>
            <w:vAlign w:val="center"/>
          </w:tcPr>
          <w:p w:rsidR="008F78E2" w:rsidRPr="00577B2E" w:rsidRDefault="008F78E2" w:rsidP="00842F06">
            <w:pPr>
              <w:spacing w:before="0"/>
              <w:jc w:val="center"/>
              <w:rPr>
                <w:rFonts w:ascii="Arial Narrow" w:hAnsi="Arial Narrow"/>
                <w:sz w:val="20"/>
                <w:szCs w:val="20"/>
                <w:lang w:val="en-AU"/>
              </w:rPr>
            </w:pPr>
            <w:r w:rsidRPr="00577B2E">
              <w:rPr>
                <w:rFonts w:ascii="Arial Narrow" w:hAnsi="Arial Narrow"/>
                <w:sz w:val="20"/>
                <w:szCs w:val="20"/>
              </w:rPr>
              <w:t>-$</w:t>
            </w:r>
            <w:r w:rsidR="00F82904">
              <w:rPr>
                <w:rFonts w:ascii="Arial Narrow" w:hAnsi="Arial Narrow"/>
                <w:noProof/>
                <w:color w:val="000000"/>
                <w:sz w:val="20"/>
                <w:szCs w:val="20"/>
                <w:highlight w:val="black"/>
              </w:rPr>
              <w:t>''''''''''''''''''</w:t>
            </w:r>
          </w:p>
        </w:tc>
        <w:tc>
          <w:tcPr>
            <w:tcW w:w="1063" w:type="dxa"/>
            <w:shd w:val="clear" w:color="auto" w:fill="auto"/>
            <w:vAlign w:val="center"/>
          </w:tcPr>
          <w:p w:rsidR="008F78E2" w:rsidRPr="00577B2E" w:rsidRDefault="008F78E2" w:rsidP="00842F06">
            <w:pPr>
              <w:spacing w:before="0"/>
              <w:jc w:val="center"/>
              <w:rPr>
                <w:rFonts w:ascii="Arial Narrow" w:hAnsi="Arial Narrow"/>
                <w:sz w:val="20"/>
                <w:szCs w:val="20"/>
                <w:lang w:val="en-AU"/>
              </w:rPr>
            </w:pPr>
            <w:r w:rsidRPr="00577B2E">
              <w:rPr>
                <w:rFonts w:ascii="Arial Narrow" w:hAnsi="Arial Narrow"/>
                <w:sz w:val="20"/>
                <w:szCs w:val="20"/>
              </w:rPr>
              <w:t>-$</w:t>
            </w:r>
            <w:r w:rsidR="00F82904">
              <w:rPr>
                <w:rFonts w:ascii="Arial Narrow" w:hAnsi="Arial Narrow"/>
                <w:noProof/>
                <w:color w:val="000000"/>
                <w:sz w:val="20"/>
                <w:szCs w:val="20"/>
                <w:highlight w:val="black"/>
              </w:rPr>
              <w:t>''''''''''''''''</w:t>
            </w:r>
          </w:p>
        </w:tc>
        <w:tc>
          <w:tcPr>
            <w:tcW w:w="1063" w:type="dxa"/>
            <w:shd w:val="clear" w:color="auto" w:fill="auto"/>
            <w:vAlign w:val="center"/>
          </w:tcPr>
          <w:p w:rsidR="008F78E2" w:rsidRPr="00577B2E" w:rsidRDefault="008F78E2" w:rsidP="00842F06">
            <w:pPr>
              <w:spacing w:before="0"/>
              <w:jc w:val="center"/>
              <w:rPr>
                <w:rFonts w:ascii="Arial Narrow" w:hAnsi="Arial Narrow"/>
                <w:sz w:val="20"/>
                <w:szCs w:val="20"/>
                <w:lang w:val="en-AU"/>
              </w:rPr>
            </w:pPr>
            <w:r w:rsidRPr="00577B2E">
              <w:rPr>
                <w:rFonts w:ascii="Arial Narrow" w:hAnsi="Arial Narrow"/>
                <w:sz w:val="20"/>
                <w:szCs w:val="20"/>
              </w:rPr>
              <w:t>-$</w:t>
            </w:r>
            <w:r w:rsidR="00F82904">
              <w:rPr>
                <w:rFonts w:ascii="Arial Narrow" w:hAnsi="Arial Narrow"/>
                <w:noProof/>
                <w:color w:val="000000"/>
                <w:sz w:val="20"/>
                <w:szCs w:val="20"/>
                <w:highlight w:val="black"/>
              </w:rPr>
              <w:t>''''''''''''''''''</w:t>
            </w:r>
          </w:p>
        </w:tc>
      </w:tr>
      <w:tr w:rsidR="008F78E2" w:rsidRPr="00577B2E" w:rsidTr="00842F06">
        <w:tc>
          <w:tcPr>
            <w:tcW w:w="2696" w:type="dxa"/>
            <w:shd w:val="clear" w:color="auto" w:fill="auto"/>
          </w:tcPr>
          <w:p w:rsidR="008F78E2" w:rsidRPr="00577B2E" w:rsidRDefault="008F78E2" w:rsidP="00842F06">
            <w:pPr>
              <w:spacing w:before="0"/>
              <w:rPr>
                <w:rFonts w:ascii="Arial Narrow" w:hAnsi="Arial Narrow"/>
                <w:sz w:val="20"/>
                <w:szCs w:val="20"/>
                <w:vertAlign w:val="superscript"/>
                <w:lang w:val="en-AU"/>
              </w:rPr>
            </w:pPr>
            <w:r w:rsidRPr="00577B2E">
              <w:rPr>
                <w:rFonts w:ascii="Arial Narrow" w:hAnsi="Arial Narrow"/>
                <w:sz w:val="20"/>
                <w:szCs w:val="20"/>
              </w:rPr>
              <w:t>Using 10% sample proportions for patients with ulcerative colitis (88%, 67%, 70%)</w:t>
            </w:r>
            <w:r w:rsidRPr="00577B2E">
              <w:rPr>
                <w:rFonts w:ascii="Arial Narrow" w:hAnsi="Arial Narrow"/>
                <w:sz w:val="20"/>
                <w:szCs w:val="20"/>
                <w:vertAlign w:val="superscript"/>
              </w:rPr>
              <w:t>1</w:t>
            </w:r>
          </w:p>
        </w:tc>
        <w:tc>
          <w:tcPr>
            <w:tcW w:w="1062" w:type="dxa"/>
            <w:shd w:val="clear" w:color="auto" w:fill="auto"/>
            <w:vAlign w:val="center"/>
          </w:tcPr>
          <w:p w:rsidR="008F78E2" w:rsidRPr="00577B2E" w:rsidRDefault="008F78E2" w:rsidP="00842F06">
            <w:pPr>
              <w:spacing w:before="0"/>
              <w:jc w:val="center"/>
              <w:rPr>
                <w:rFonts w:ascii="Arial Narrow" w:hAnsi="Arial Narrow"/>
                <w:sz w:val="20"/>
                <w:szCs w:val="20"/>
                <w:lang w:val="en-AU"/>
              </w:rPr>
            </w:pPr>
            <w:r w:rsidRPr="00577B2E">
              <w:rPr>
                <w:rFonts w:ascii="Arial Narrow" w:hAnsi="Arial Narrow"/>
                <w:sz w:val="20"/>
                <w:szCs w:val="20"/>
              </w:rPr>
              <w:t>$</w:t>
            </w:r>
            <w:r w:rsidR="00F82904">
              <w:rPr>
                <w:rFonts w:ascii="Arial Narrow" w:hAnsi="Arial Narrow"/>
                <w:noProof/>
                <w:color w:val="000000"/>
                <w:sz w:val="20"/>
                <w:szCs w:val="20"/>
                <w:highlight w:val="black"/>
              </w:rPr>
              <w:t>'''''''''''''''</w:t>
            </w:r>
          </w:p>
        </w:tc>
        <w:tc>
          <w:tcPr>
            <w:tcW w:w="1063" w:type="dxa"/>
            <w:shd w:val="clear" w:color="auto" w:fill="auto"/>
            <w:vAlign w:val="center"/>
          </w:tcPr>
          <w:p w:rsidR="008F78E2" w:rsidRPr="00577B2E" w:rsidRDefault="008F78E2" w:rsidP="00842F06">
            <w:pPr>
              <w:spacing w:before="0"/>
              <w:jc w:val="center"/>
              <w:rPr>
                <w:rFonts w:ascii="Arial Narrow" w:hAnsi="Arial Narrow"/>
                <w:sz w:val="20"/>
                <w:szCs w:val="20"/>
                <w:lang w:val="en-AU"/>
              </w:rPr>
            </w:pPr>
            <w:r w:rsidRPr="00577B2E">
              <w:rPr>
                <w:rFonts w:ascii="Arial Narrow" w:hAnsi="Arial Narrow"/>
                <w:sz w:val="20"/>
                <w:szCs w:val="20"/>
              </w:rPr>
              <w:t>$</w:t>
            </w:r>
            <w:r w:rsidR="00F82904">
              <w:rPr>
                <w:rFonts w:ascii="Arial Narrow" w:hAnsi="Arial Narrow"/>
                <w:noProof/>
                <w:color w:val="000000"/>
                <w:sz w:val="20"/>
                <w:szCs w:val="20"/>
                <w:highlight w:val="black"/>
              </w:rPr>
              <w:t>'''''''''''''''</w:t>
            </w:r>
          </w:p>
        </w:tc>
        <w:tc>
          <w:tcPr>
            <w:tcW w:w="1063" w:type="dxa"/>
            <w:shd w:val="clear" w:color="auto" w:fill="auto"/>
            <w:vAlign w:val="center"/>
          </w:tcPr>
          <w:p w:rsidR="008F78E2" w:rsidRPr="00577B2E" w:rsidRDefault="008F78E2" w:rsidP="00842F06">
            <w:pPr>
              <w:spacing w:before="0"/>
              <w:jc w:val="center"/>
              <w:rPr>
                <w:rFonts w:ascii="Arial Narrow" w:hAnsi="Arial Narrow"/>
                <w:sz w:val="20"/>
                <w:szCs w:val="20"/>
                <w:lang w:val="en-AU"/>
              </w:rPr>
            </w:pPr>
            <w:r w:rsidRPr="00577B2E">
              <w:rPr>
                <w:rFonts w:ascii="Arial Narrow" w:hAnsi="Arial Narrow"/>
                <w:sz w:val="20"/>
                <w:szCs w:val="20"/>
              </w:rPr>
              <w:t>-$</w:t>
            </w:r>
            <w:r w:rsidR="00F82904">
              <w:rPr>
                <w:rFonts w:ascii="Arial Narrow" w:hAnsi="Arial Narrow"/>
                <w:noProof/>
                <w:color w:val="000000"/>
                <w:sz w:val="20"/>
                <w:szCs w:val="20"/>
                <w:highlight w:val="black"/>
              </w:rPr>
              <w:t>'''''''''''''''''</w:t>
            </w:r>
          </w:p>
        </w:tc>
        <w:tc>
          <w:tcPr>
            <w:tcW w:w="1062" w:type="dxa"/>
            <w:shd w:val="clear" w:color="auto" w:fill="auto"/>
            <w:vAlign w:val="center"/>
          </w:tcPr>
          <w:p w:rsidR="008F78E2" w:rsidRPr="00577B2E" w:rsidRDefault="008F78E2" w:rsidP="00842F06">
            <w:pPr>
              <w:spacing w:before="0"/>
              <w:jc w:val="center"/>
              <w:rPr>
                <w:rFonts w:ascii="Arial Narrow" w:hAnsi="Arial Narrow"/>
                <w:sz w:val="20"/>
                <w:szCs w:val="20"/>
                <w:lang w:val="en-AU"/>
              </w:rPr>
            </w:pPr>
            <w:r w:rsidRPr="00577B2E">
              <w:rPr>
                <w:rFonts w:ascii="Arial Narrow" w:hAnsi="Arial Narrow"/>
                <w:sz w:val="20"/>
                <w:szCs w:val="20"/>
              </w:rPr>
              <w:t>-$</w:t>
            </w:r>
            <w:r w:rsidR="00F82904">
              <w:rPr>
                <w:rFonts w:ascii="Arial Narrow" w:hAnsi="Arial Narrow"/>
                <w:noProof/>
                <w:color w:val="000000"/>
                <w:sz w:val="20"/>
                <w:szCs w:val="20"/>
                <w:highlight w:val="black"/>
              </w:rPr>
              <w:t>''''''''''''''''</w:t>
            </w:r>
          </w:p>
        </w:tc>
        <w:tc>
          <w:tcPr>
            <w:tcW w:w="1063" w:type="dxa"/>
            <w:shd w:val="clear" w:color="auto" w:fill="auto"/>
            <w:vAlign w:val="center"/>
          </w:tcPr>
          <w:p w:rsidR="008F78E2" w:rsidRPr="00577B2E" w:rsidRDefault="008F78E2" w:rsidP="00842F06">
            <w:pPr>
              <w:spacing w:before="0"/>
              <w:jc w:val="center"/>
              <w:rPr>
                <w:rFonts w:ascii="Arial Narrow" w:hAnsi="Arial Narrow"/>
                <w:sz w:val="20"/>
                <w:szCs w:val="20"/>
                <w:lang w:val="en-AU"/>
              </w:rPr>
            </w:pPr>
            <w:r w:rsidRPr="00577B2E">
              <w:rPr>
                <w:rFonts w:ascii="Arial Narrow" w:hAnsi="Arial Narrow"/>
                <w:sz w:val="20"/>
                <w:szCs w:val="20"/>
              </w:rPr>
              <w:t>-$</w:t>
            </w:r>
            <w:r w:rsidR="00F82904">
              <w:rPr>
                <w:rFonts w:ascii="Arial Narrow" w:hAnsi="Arial Narrow"/>
                <w:noProof/>
                <w:color w:val="000000"/>
                <w:sz w:val="20"/>
                <w:szCs w:val="20"/>
                <w:highlight w:val="black"/>
              </w:rPr>
              <w:t>''''''''''''''''''''</w:t>
            </w:r>
          </w:p>
        </w:tc>
        <w:tc>
          <w:tcPr>
            <w:tcW w:w="1063" w:type="dxa"/>
            <w:shd w:val="clear" w:color="auto" w:fill="auto"/>
            <w:vAlign w:val="center"/>
          </w:tcPr>
          <w:p w:rsidR="008F78E2" w:rsidRPr="00577B2E" w:rsidRDefault="008F78E2" w:rsidP="00842F06">
            <w:pPr>
              <w:spacing w:before="0"/>
              <w:jc w:val="center"/>
              <w:rPr>
                <w:rFonts w:ascii="Arial Narrow" w:hAnsi="Arial Narrow"/>
                <w:sz w:val="20"/>
                <w:szCs w:val="20"/>
                <w:lang w:val="en-AU"/>
              </w:rPr>
            </w:pPr>
            <w:r w:rsidRPr="00577B2E">
              <w:rPr>
                <w:rFonts w:ascii="Arial Narrow" w:hAnsi="Arial Narrow"/>
                <w:sz w:val="20"/>
                <w:szCs w:val="20"/>
              </w:rPr>
              <w:t>-$</w:t>
            </w:r>
            <w:r w:rsidR="00F82904">
              <w:rPr>
                <w:rFonts w:ascii="Arial Narrow" w:hAnsi="Arial Narrow"/>
                <w:noProof/>
                <w:color w:val="000000"/>
                <w:sz w:val="20"/>
                <w:szCs w:val="20"/>
                <w:highlight w:val="black"/>
              </w:rPr>
              <w:t>'''''''''''''''''''</w:t>
            </w:r>
          </w:p>
        </w:tc>
      </w:tr>
      <w:tr w:rsidR="008F78E2" w:rsidRPr="00577B2E" w:rsidTr="00842F06">
        <w:tc>
          <w:tcPr>
            <w:tcW w:w="2696" w:type="dxa"/>
            <w:shd w:val="clear" w:color="auto" w:fill="auto"/>
          </w:tcPr>
          <w:p w:rsidR="008F78E2" w:rsidRPr="00577B2E" w:rsidRDefault="008F78E2" w:rsidP="00842F06">
            <w:pPr>
              <w:spacing w:before="0"/>
              <w:rPr>
                <w:rFonts w:ascii="Arial Narrow" w:hAnsi="Arial Narrow"/>
                <w:sz w:val="20"/>
                <w:szCs w:val="20"/>
                <w:lang w:val="en-AU"/>
              </w:rPr>
            </w:pPr>
            <w:r w:rsidRPr="00577B2E">
              <w:rPr>
                <w:rFonts w:ascii="Arial Narrow" w:hAnsi="Arial Narrow"/>
                <w:sz w:val="20"/>
                <w:szCs w:val="20"/>
              </w:rPr>
              <w:t xml:space="preserve">Base case (1:1 budesonide </w:t>
            </w:r>
            <w:proofErr w:type="spellStart"/>
            <w:r w:rsidRPr="00577B2E">
              <w:rPr>
                <w:rFonts w:ascii="Arial Narrow" w:hAnsi="Arial Narrow"/>
                <w:sz w:val="20"/>
                <w:szCs w:val="20"/>
              </w:rPr>
              <w:t>CR:prednisolone</w:t>
            </w:r>
            <w:proofErr w:type="spellEnd"/>
            <w:r w:rsidRPr="00577B2E">
              <w:rPr>
                <w:rFonts w:ascii="Arial Narrow" w:hAnsi="Arial Narrow"/>
                <w:sz w:val="20"/>
                <w:szCs w:val="20"/>
              </w:rPr>
              <w:t xml:space="preserve"> enema) </w:t>
            </w:r>
          </w:p>
        </w:tc>
        <w:tc>
          <w:tcPr>
            <w:tcW w:w="1062" w:type="dxa"/>
            <w:shd w:val="clear" w:color="auto" w:fill="auto"/>
            <w:vAlign w:val="center"/>
          </w:tcPr>
          <w:p w:rsidR="008F78E2" w:rsidRPr="00577B2E" w:rsidRDefault="008F78E2" w:rsidP="00842F06">
            <w:pPr>
              <w:spacing w:before="0"/>
              <w:jc w:val="center"/>
              <w:rPr>
                <w:rFonts w:ascii="Arial Narrow" w:hAnsi="Arial Narrow"/>
                <w:sz w:val="20"/>
                <w:szCs w:val="20"/>
                <w:lang w:val="en-AU"/>
              </w:rPr>
            </w:pPr>
            <w:r w:rsidRPr="00577B2E">
              <w:rPr>
                <w:rFonts w:ascii="Arial Narrow" w:hAnsi="Arial Narrow"/>
                <w:sz w:val="20"/>
                <w:szCs w:val="20"/>
              </w:rPr>
              <w:t>$</w:t>
            </w:r>
            <w:r w:rsidR="00F82904">
              <w:rPr>
                <w:rFonts w:ascii="Arial Narrow" w:hAnsi="Arial Narrow"/>
                <w:noProof/>
                <w:color w:val="000000"/>
                <w:sz w:val="20"/>
                <w:szCs w:val="20"/>
                <w:highlight w:val="black"/>
              </w:rPr>
              <w:t>'''''''''''''''</w:t>
            </w:r>
          </w:p>
        </w:tc>
        <w:tc>
          <w:tcPr>
            <w:tcW w:w="1063" w:type="dxa"/>
            <w:shd w:val="clear" w:color="auto" w:fill="auto"/>
            <w:vAlign w:val="center"/>
          </w:tcPr>
          <w:p w:rsidR="008F78E2" w:rsidRPr="00577B2E" w:rsidRDefault="008F78E2" w:rsidP="00842F06">
            <w:pPr>
              <w:spacing w:before="0"/>
              <w:jc w:val="center"/>
              <w:rPr>
                <w:rFonts w:ascii="Arial Narrow" w:hAnsi="Arial Narrow"/>
                <w:sz w:val="20"/>
                <w:szCs w:val="20"/>
                <w:lang w:val="en-AU"/>
              </w:rPr>
            </w:pPr>
            <w:r w:rsidRPr="00577B2E">
              <w:rPr>
                <w:rFonts w:ascii="Arial Narrow" w:hAnsi="Arial Narrow"/>
                <w:sz w:val="20"/>
                <w:szCs w:val="20"/>
              </w:rPr>
              <w:t>$</w:t>
            </w:r>
            <w:r w:rsidR="00F82904">
              <w:rPr>
                <w:rFonts w:ascii="Arial Narrow" w:hAnsi="Arial Narrow"/>
                <w:noProof/>
                <w:color w:val="000000"/>
                <w:sz w:val="20"/>
                <w:szCs w:val="20"/>
                <w:highlight w:val="black"/>
              </w:rPr>
              <w:t>''''''''''''''''''</w:t>
            </w:r>
          </w:p>
        </w:tc>
        <w:tc>
          <w:tcPr>
            <w:tcW w:w="1063" w:type="dxa"/>
            <w:shd w:val="clear" w:color="auto" w:fill="auto"/>
            <w:vAlign w:val="center"/>
          </w:tcPr>
          <w:p w:rsidR="008F78E2" w:rsidRPr="00577B2E" w:rsidRDefault="008F78E2" w:rsidP="00842F06">
            <w:pPr>
              <w:spacing w:before="0"/>
              <w:jc w:val="center"/>
              <w:rPr>
                <w:rFonts w:ascii="Arial Narrow" w:hAnsi="Arial Narrow"/>
                <w:sz w:val="20"/>
                <w:szCs w:val="20"/>
                <w:lang w:val="en-AU"/>
              </w:rPr>
            </w:pPr>
            <w:r w:rsidRPr="00577B2E">
              <w:rPr>
                <w:rFonts w:ascii="Arial Narrow" w:hAnsi="Arial Narrow"/>
                <w:sz w:val="20"/>
                <w:szCs w:val="20"/>
              </w:rPr>
              <w:t>-$</w:t>
            </w:r>
            <w:r w:rsidR="00F82904">
              <w:rPr>
                <w:rFonts w:ascii="Arial Narrow" w:hAnsi="Arial Narrow"/>
                <w:noProof/>
                <w:color w:val="000000"/>
                <w:sz w:val="20"/>
                <w:szCs w:val="20"/>
                <w:highlight w:val="black"/>
              </w:rPr>
              <w:t>''''''''''''''</w:t>
            </w:r>
          </w:p>
        </w:tc>
        <w:tc>
          <w:tcPr>
            <w:tcW w:w="1062" w:type="dxa"/>
            <w:shd w:val="clear" w:color="auto" w:fill="auto"/>
            <w:vAlign w:val="center"/>
          </w:tcPr>
          <w:p w:rsidR="008F78E2" w:rsidRPr="00577B2E" w:rsidRDefault="008F78E2" w:rsidP="00842F06">
            <w:pPr>
              <w:spacing w:before="0"/>
              <w:jc w:val="center"/>
              <w:rPr>
                <w:rFonts w:ascii="Arial Narrow" w:hAnsi="Arial Narrow"/>
                <w:sz w:val="20"/>
                <w:szCs w:val="20"/>
                <w:lang w:val="en-AU"/>
              </w:rPr>
            </w:pPr>
            <w:r w:rsidRPr="00577B2E">
              <w:rPr>
                <w:rFonts w:ascii="Arial Narrow" w:hAnsi="Arial Narrow"/>
                <w:sz w:val="20"/>
                <w:szCs w:val="20"/>
              </w:rPr>
              <w:t>-$</w:t>
            </w:r>
            <w:r w:rsidR="00F82904">
              <w:rPr>
                <w:rFonts w:ascii="Arial Narrow" w:hAnsi="Arial Narrow"/>
                <w:noProof/>
                <w:color w:val="000000"/>
                <w:sz w:val="20"/>
                <w:szCs w:val="20"/>
                <w:highlight w:val="black"/>
              </w:rPr>
              <w:t>'''''''''''''''''</w:t>
            </w:r>
          </w:p>
        </w:tc>
        <w:tc>
          <w:tcPr>
            <w:tcW w:w="1063" w:type="dxa"/>
            <w:shd w:val="clear" w:color="auto" w:fill="auto"/>
            <w:vAlign w:val="center"/>
          </w:tcPr>
          <w:p w:rsidR="008F78E2" w:rsidRPr="00577B2E" w:rsidRDefault="008F78E2" w:rsidP="00842F06">
            <w:pPr>
              <w:spacing w:before="0"/>
              <w:jc w:val="center"/>
              <w:rPr>
                <w:rFonts w:ascii="Arial Narrow" w:hAnsi="Arial Narrow"/>
                <w:sz w:val="20"/>
                <w:szCs w:val="20"/>
                <w:lang w:val="en-AU"/>
              </w:rPr>
            </w:pPr>
            <w:r w:rsidRPr="00577B2E">
              <w:rPr>
                <w:rFonts w:ascii="Arial Narrow" w:hAnsi="Arial Narrow"/>
                <w:sz w:val="20"/>
                <w:szCs w:val="20"/>
              </w:rPr>
              <w:t>-$</w:t>
            </w:r>
            <w:r w:rsidR="00F82904">
              <w:rPr>
                <w:rFonts w:ascii="Arial Narrow" w:hAnsi="Arial Narrow"/>
                <w:noProof/>
                <w:color w:val="000000"/>
                <w:sz w:val="20"/>
                <w:szCs w:val="20"/>
                <w:highlight w:val="black"/>
              </w:rPr>
              <w:t>'''''''''''''''</w:t>
            </w:r>
          </w:p>
        </w:tc>
        <w:tc>
          <w:tcPr>
            <w:tcW w:w="1063" w:type="dxa"/>
            <w:shd w:val="clear" w:color="auto" w:fill="auto"/>
            <w:vAlign w:val="center"/>
          </w:tcPr>
          <w:p w:rsidR="008F78E2" w:rsidRPr="00577B2E" w:rsidRDefault="008F78E2" w:rsidP="00842F06">
            <w:pPr>
              <w:spacing w:before="0"/>
              <w:jc w:val="center"/>
              <w:rPr>
                <w:rFonts w:ascii="Arial Narrow" w:hAnsi="Arial Narrow"/>
                <w:sz w:val="20"/>
                <w:szCs w:val="20"/>
                <w:lang w:val="en-AU"/>
              </w:rPr>
            </w:pPr>
            <w:r w:rsidRPr="00577B2E">
              <w:rPr>
                <w:rFonts w:ascii="Arial Narrow" w:hAnsi="Arial Narrow"/>
                <w:sz w:val="20"/>
                <w:szCs w:val="20"/>
              </w:rPr>
              <w:t>-$</w:t>
            </w:r>
            <w:r w:rsidR="00F82904">
              <w:rPr>
                <w:rFonts w:ascii="Arial Narrow" w:hAnsi="Arial Narrow"/>
                <w:noProof/>
                <w:color w:val="000000"/>
                <w:sz w:val="20"/>
                <w:szCs w:val="20"/>
                <w:highlight w:val="black"/>
              </w:rPr>
              <w:t>''''''''''''''''''</w:t>
            </w:r>
          </w:p>
        </w:tc>
      </w:tr>
      <w:tr w:rsidR="008F78E2" w:rsidRPr="00577B2E" w:rsidTr="00842F06">
        <w:tc>
          <w:tcPr>
            <w:tcW w:w="2696" w:type="dxa"/>
            <w:shd w:val="clear" w:color="auto" w:fill="auto"/>
          </w:tcPr>
          <w:p w:rsidR="008F78E2" w:rsidRPr="00577B2E" w:rsidRDefault="008F78E2" w:rsidP="00842F06">
            <w:pPr>
              <w:spacing w:before="0"/>
              <w:rPr>
                <w:rFonts w:ascii="Arial Narrow" w:hAnsi="Arial Narrow"/>
                <w:sz w:val="20"/>
                <w:szCs w:val="20"/>
                <w:lang w:val="en-AU"/>
              </w:rPr>
            </w:pPr>
            <w:r w:rsidRPr="00577B2E">
              <w:rPr>
                <w:rFonts w:ascii="Arial Narrow" w:hAnsi="Arial Narrow"/>
                <w:sz w:val="20"/>
                <w:szCs w:val="20"/>
              </w:rPr>
              <w:t xml:space="preserve">Assume 2:1 budesonide </w:t>
            </w:r>
            <w:proofErr w:type="spellStart"/>
            <w:r w:rsidRPr="00577B2E">
              <w:rPr>
                <w:rFonts w:ascii="Arial Narrow" w:hAnsi="Arial Narrow"/>
                <w:sz w:val="20"/>
                <w:szCs w:val="20"/>
              </w:rPr>
              <w:t>CR:prednisolone</w:t>
            </w:r>
            <w:proofErr w:type="spellEnd"/>
            <w:r w:rsidRPr="00577B2E">
              <w:rPr>
                <w:rFonts w:ascii="Arial Narrow" w:hAnsi="Arial Narrow"/>
                <w:sz w:val="20"/>
                <w:szCs w:val="20"/>
              </w:rPr>
              <w:t xml:space="preserve"> enema</w:t>
            </w:r>
          </w:p>
        </w:tc>
        <w:tc>
          <w:tcPr>
            <w:tcW w:w="1062" w:type="dxa"/>
            <w:shd w:val="clear" w:color="auto" w:fill="auto"/>
            <w:vAlign w:val="center"/>
          </w:tcPr>
          <w:p w:rsidR="008F78E2" w:rsidRPr="00577B2E" w:rsidRDefault="008F78E2" w:rsidP="00842F06">
            <w:pPr>
              <w:spacing w:before="0"/>
              <w:jc w:val="center"/>
              <w:rPr>
                <w:rFonts w:ascii="Arial Narrow" w:hAnsi="Arial Narrow"/>
                <w:sz w:val="20"/>
                <w:szCs w:val="20"/>
                <w:lang w:val="en-AU"/>
              </w:rPr>
            </w:pPr>
            <w:r w:rsidRPr="00577B2E">
              <w:rPr>
                <w:rFonts w:ascii="Arial Narrow" w:hAnsi="Arial Narrow"/>
                <w:sz w:val="20"/>
                <w:szCs w:val="20"/>
              </w:rPr>
              <w:t>$</w:t>
            </w:r>
            <w:r w:rsidR="00F82904">
              <w:rPr>
                <w:rFonts w:ascii="Arial Narrow" w:hAnsi="Arial Narrow"/>
                <w:noProof/>
                <w:color w:val="000000"/>
                <w:sz w:val="20"/>
                <w:szCs w:val="20"/>
                <w:highlight w:val="black"/>
              </w:rPr>
              <w:t>''''''''''''''''''''''</w:t>
            </w:r>
          </w:p>
        </w:tc>
        <w:tc>
          <w:tcPr>
            <w:tcW w:w="1063" w:type="dxa"/>
            <w:shd w:val="clear" w:color="auto" w:fill="auto"/>
            <w:vAlign w:val="center"/>
          </w:tcPr>
          <w:p w:rsidR="008F78E2" w:rsidRPr="00577B2E" w:rsidRDefault="008F78E2" w:rsidP="00842F06">
            <w:pPr>
              <w:spacing w:before="0"/>
              <w:jc w:val="center"/>
              <w:rPr>
                <w:rFonts w:ascii="Arial Narrow" w:hAnsi="Arial Narrow"/>
                <w:sz w:val="20"/>
                <w:szCs w:val="20"/>
                <w:lang w:val="en-AU"/>
              </w:rPr>
            </w:pPr>
            <w:r w:rsidRPr="00577B2E">
              <w:rPr>
                <w:rFonts w:ascii="Arial Narrow" w:hAnsi="Arial Narrow"/>
                <w:sz w:val="20"/>
                <w:szCs w:val="20"/>
              </w:rPr>
              <w:t>$</w:t>
            </w:r>
            <w:r w:rsidR="00F82904">
              <w:rPr>
                <w:rFonts w:ascii="Arial Narrow" w:hAnsi="Arial Narrow"/>
                <w:noProof/>
                <w:color w:val="000000"/>
                <w:sz w:val="20"/>
                <w:szCs w:val="20"/>
                <w:highlight w:val="black"/>
              </w:rPr>
              <w:t>''''''''''''''''''''</w:t>
            </w:r>
          </w:p>
        </w:tc>
        <w:tc>
          <w:tcPr>
            <w:tcW w:w="1063" w:type="dxa"/>
            <w:shd w:val="clear" w:color="auto" w:fill="auto"/>
            <w:vAlign w:val="center"/>
          </w:tcPr>
          <w:p w:rsidR="008F78E2" w:rsidRPr="00577B2E" w:rsidRDefault="008F78E2" w:rsidP="00842F06">
            <w:pPr>
              <w:spacing w:before="0"/>
              <w:jc w:val="center"/>
              <w:rPr>
                <w:rFonts w:ascii="Arial Narrow" w:hAnsi="Arial Narrow"/>
                <w:sz w:val="20"/>
                <w:szCs w:val="20"/>
                <w:lang w:val="en-AU"/>
              </w:rPr>
            </w:pPr>
            <w:r w:rsidRPr="00577B2E">
              <w:rPr>
                <w:rFonts w:ascii="Arial Narrow" w:hAnsi="Arial Narrow"/>
                <w:sz w:val="20"/>
                <w:szCs w:val="20"/>
              </w:rPr>
              <w:t>$</w:t>
            </w:r>
            <w:r w:rsidR="00F82904">
              <w:rPr>
                <w:rFonts w:ascii="Arial Narrow" w:hAnsi="Arial Narrow"/>
                <w:noProof/>
                <w:color w:val="000000"/>
                <w:sz w:val="20"/>
                <w:szCs w:val="20"/>
                <w:highlight w:val="black"/>
              </w:rPr>
              <w:t>''''''''''''''''''</w:t>
            </w:r>
          </w:p>
        </w:tc>
        <w:tc>
          <w:tcPr>
            <w:tcW w:w="1062" w:type="dxa"/>
            <w:shd w:val="clear" w:color="auto" w:fill="auto"/>
            <w:vAlign w:val="center"/>
          </w:tcPr>
          <w:p w:rsidR="008F78E2" w:rsidRPr="00577B2E" w:rsidRDefault="008F78E2" w:rsidP="00842F06">
            <w:pPr>
              <w:spacing w:before="0"/>
              <w:jc w:val="center"/>
              <w:rPr>
                <w:rFonts w:ascii="Arial Narrow" w:hAnsi="Arial Narrow"/>
                <w:sz w:val="20"/>
                <w:szCs w:val="20"/>
                <w:lang w:val="en-AU"/>
              </w:rPr>
            </w:pPr>
            <w:r w:rsidRPr="00577B2E">
              <w:rPr>
                <w:rFonts w:ascii="Arial Narrow" w:hAnsi="Arial Narrow"/>
                <w:sz w:val="20"/>
                <w:szCs w:val="20"/>
              </w:rPr>
              <w:t>$</w:t>
            </w:r>
            <w:r w:rsidR="00F82904">
              <w:rPr>
                <w:rFonts w:ascii="Arial Narrow" w:hAnsi="Arial Narrow"/>
                <w:noProof/>
                <w:color w:val="000000"/>
                <w:sz w:val="20"/>
                <w:szCs w:val="20"/>
                <w:highlight w:val="black"/>
              </w:rPr>
              <w:t>'''''''''''''''''''</w:t>
            </w:r>
          </w:p>
        </w:tc>
        <w:tc>
          <w:tcPr>
            <w:tcW w:w="1063" w:type="dxa"/>
            <w:shd w:val="clear" w:color="auto" w:fill="auto"/>
            <w:vAlign w:val="center"/>
          </w:tcPr>
          <w:p w:rsidR="008F78E2" w:rsidRPr="00577B2E" w:rsidRDefault="008F78E2" w:rsidP="00842F06">
            <w:pPr>
              <w:spacing w:before="0"/>
              <w:jc w:val="center"/>
              <w:rPr>
                <w:rFonts w:ascii="Arial Narrow" w:hAnsi="Arial Narrow"/>
                <w:sz w:val="20"/>
                <w:szCs w:val="20"/>
                <w:lang w:val="en-AU"/>
              </w:rPr>
            </w:pPr>
            <w:r w:rsidRPr="00577B2E">
              <w:rPr>
                <w:rFonts w:ascii="Arial Narrow" w:hAnsi="Arial Narrow"/>
                <w:sz w:val="20"/>
                <w:szCs w:val="20"/>
              </w:rPr>
              <w:t>$</w:t>
            </w:r>
            <w:r w:rsidR="00F82904">
              <w:rPr>
                <w:rFonts w:ascii="Arial Narrow" w:hAnsi="Arial Narrow"/>
                <w:noProof/>
                <w:color w:val="000000"/>
                <w:sz w:val="20"/>
                <w:szCs w:val="20"/>
                <w:highlight w:val="black"/>
              </w:rPr>
              <w:t>''''''''''''''''''</w:t>
            </w:r>
          </w:p>
        </w:tc>
        <w:tc>
          <w:tcPr>
            <w:tcW w:w="1063" w:type="dxa"/>
            <w:shd w:val="clear" w:color="auto" w:fill="auto"/>
            <w:vAlign w:val="center"/>
          </w:tcPr>
          <w:p w:rsidR="008F78E2" w:rsidRPr="00577B2E" w:rsidRDefault="008F78E2" w:rsidP="00842F06">
            <w:pPr>
              <w:spacing w:before="0"/>
              <w:jc w:val="center"/>
              <w:rPr>
                <w:rFonts w:ascii="Arial Narrow" w:hAnsi="Arial Narrow"/>
                <w:sz w:val="20"/>
                <w:szCs w:val="20"/>
                <w:lang w:val="en-AU"/>
              </w:rPr>
            </w:pPr>
            <w:r w:rsidRPr="00577B2E">
              <w:rPr>
                <w:rFonts w:ascii="Arial Narrow" w:hAnsi="Arial Narrow"/>
                <w:sz w:val="20"/>
                <w:szCs w:val="20"/>
              </w:rPr>
              <w:t>$</w:t>
            </w:r>
            <w:r w:rsidR="00F82904">
              <w:rPr>
                <w:rFonts w:ascii="Arial Narrow" w:hAnsi="Arial Narrow"/>
                <w:noProof/>
                <w:color w:val="000000"/>
                <w:sz w:val="20"/>
                <w:szCs w:val="20"/>
                <w:highlight w:val="black"/>
              </w:rPr>
              <w:t>'''''''''''''''''''''</w:t>
            </w:r>
          </w:p>
        </w:tc>
      </w:tr>
    </w:tbl>
    <w:p w:rsidR="008F78E2" w:rsidRPr="00AA3262" w:rsidRDefault="008F78E2" w:rsidP="008F78E2">
      <w:pPr>
        <w:spacing w:before="0" w:after="0"/>
        <w:jc w:val="both"/>
        <w:rPr>
          <w:rFonts w:ascii="Arial Narrow" w:hAnsi="Arial Narrow"/>
          <w:sz w:val="18"/>
          <w:szCs w:val="20"/>
        </w:rPr>
      </w:pPr>
      <w:r w:rsidRPr="00AA3262">
        <w:rPr>
          <w:rFonts w:ascii="Arial Narrow" w:hAnsi="Arial Narrow"/>
          <w:sz w:val="18"/>
          <w:szCs w:val="20"/>
          <w:vertAlign w:val="superscript"/>
        </w:rPr>
        <w:t>1</w:t>
      </w:r>
      <w:r w:rsidRPr="00AA3262">
        <w:rPr>
          <w:rFonts w:ascii="Arial Narrow" w:hAnsi="Arial Narrow"/>
          <w:sz w:val="18"/>
          <w:szCs w:val="20"/>
          <w:vertAlign w:val="superscript"/>
        </w:rPr>
        <w:tab/>
      </w:r>
      <w:r w:rsidRPr="00AA3262">
        <w:rPr>
          <w:rFonts w:ascii="Arial Narrow" w:hAnsi="Arial Narrow"/>
          <w:sz w:val="18"/>
          <w:szCs w:val="20"/>
        </w:rPr>
        <w:t>Proportion reported for assumed budesonide foam enema, hydrocortisone foam enema and prednisolone liquid enema use for ulcerative colitis respectively</w:t>
      </w:r>
    </w:p>
    <w:p w:rsidR="008F78E2" w:rsidRPr="00AA3262" w:rsidRDefault="008F78E2" w:rsidP="008F78E2">
      <w:pPr>
        <w:spacing w:before="0" w:after="0"/>
        <w:jc w:val="both"/>
        <w:rPr>
          <w:rFonts w:ascii="Arial Narrow" w:hAnsi="Arial Narrow"/>
          <w:sz w:val="18"/>
          <w:szCs w:val="20"/>
        </w:rPr>
      </w:pPr>
      <w:r w:rsidRPr="00AA3262">
        <w:rPr>
          <w:rFonts w:ascii="Arial Narrow" w:hAnsi="Arial Narrow"/>
          <w:sz w:val="18"/>
          <w:szCs w:val="20"/>
        </w:rPr>
        <w:t xml:space="preserve">Source: Constructed during evaluation </w:t>
      </w:r>
    </w:p>
    <w:p w:rsidR="00846B8D" w:rsidRDefault="00846B8D" w:rsidP="00846B8D">
      <w:pPr>
        <w:pStyle w:val="ListParagraph"/>
        <w:rPr>
          <w:i/>
        </w:rPr>
      </w:pPr>
      <w:r w:rsidRPr="00932CED">
        <w:rPr>
          <w:i/>
        </w:rPr>
        <w:t>For more detail on PBAC’s view, see section 7 “PBAC outcome”</w:t>
      </w:r>
    </w:p>
    <w:p w:rsidR="00F82904" w:rsidRPr="00F0397B" w:rsidRDefault="00F82904" w:rsidP="00846B8D">
      <w:pPr>
        <w:pStyle w:val="ListParagraph"/>
        <w:rPr>
          <w:i/>
        </w:rPr>
      </w:pPr>
    </w:p>
    <w:p w:rsidR="00B04F2E" w:rsidRPr="00B04F2E" w:rsidRDefault="00B04F2E" w:rsidP="00B04F2E">
      <w:pPr>
        <w:pStyle w:val="PBACHeading1"/>
      </w:pPr>
      <w:r w:rsidRPr="00B04F2E">
        <w:t>P</w:t>
      </w:r>
      <w:r w:rsidR="008F78E2">
        <w:t>BAC Outcome</w:t>
      </w:r>
    </w:p>
    <w:p w:rsidR="00492604" w:rsidRDefault="00492604" w:rsidP="00D17304">
      <w:pPr>
        <w:pStyle w:val="ListParagraph"/>
        <w:numPr>
          <w:ilvl w:val="1"/>
          <w:numId w:val="3"/>
        </w:numPr>
        <w:jc w:val="both"/>
        <w:rPr>
          <w:rFonts w:ascii="Calibri" w:eastAsia="Times New Roman" w:hAnsi="Calibri" w:cs="Arial"/>
          <w:bCs/>
          <w:snapToGrid w:val="0"/>
          <w:szCs w:val="24"/>
          <w:lang w:val="en-GB"/>
        </w:rPr>
      </w:pPr>
      <w:r>
        <w:rPr>
          <w:rFonts w:ascii="Calibri" w:eastAsia="Times New Roman" w:hAnsi="Calibri" w:cs="Arial"/>
          <w:bCs/>
          <w:snapToGrid w:val="0"/>
          <w:szCs w:val="24"/>
          <w:lang w:val="en-GB"/>
        </w:rPr>
        <w:t xml:space="preserve">The PBAC did not </w:t>
      </w:r>
      <w:r w:rsidR="00846B8D" w:rsidRPr="00846B8D">
        <w:rPr>
          <w:rFonts w:ascii="Calibri" w:eastAsia="Times New Roman" w:hAnsi="Calibri" w:cs="Arial"/>
          <w:bCs/>
          <w:snapToGrid w:val="0"/>
          <w:szCs w:val="24"/>
          <w:lang w:val="en-GB"/>
        </w:rPr>
        <w:t>recommend the listing of budesonide</w:t>
      </w:r>
      <w:r w:rsidR="005610A4">
        <w:rPr>
          <w:rFonts w:ascii="Calibri" w:eastAsia="Times New Roman" w:hAnsi="Calibri" w:cs="Arial"/>
          <w:bCs/>
          <w:snapToGrid w:val="0"/>
          <w:szCs w:val="24"/>
          <w:lang w:val="en-GB"/>
        </w:rPr>
        <w:t xml:space="preserve"> colonic release (CR)</w:t>
      </w:r>
      <w:r w:rsidR="00846B8D" w:rsidRPr="00846B8D">
        <w:rPr>
          <w:rFonts w:ascii="Calibri" w:eastAsia="Times New Roman" w:hAnsi="Calibri" w:cs="Arial"/>
          <w:bCs/>
          <w:snapToGrid w:val="0"/>
          <w:szCs w:val="24"/>
          <w:lang w:val="en-GB"/>
        </w:rPr>
        <w:t xml:space="preserve"> </w:t>
      </w:r>
      <w:r w:rsidR="001E4448">
        <w:rPr>
          <w:rFonts w:ascii="Calibri" w:eastAsia="Times New Roman" w:hAnsi="Calibri" w:cs="Arial"/>
          <w:bCs/>
          <w:snapToGrid w:val="0"/>
          <w:szCs w:val="24"/>
          <w:lang w:val="en-GB"/>
        </w:rPr>
        <w:t xml:space="preserve">tablets on the PBS </w:t>
      </w:r>
      <w:r w:rsidR="00846B8D" w:rsidRPr="00846B8D">
        <w:rPr>
          <w:rFonts w:ascii="Calibri" w:eastAsia="Times New Roman" w:hAnsi="Calibri" w:cs="Arial"/>
          <w:bCs/>
          <w:snapToGrid w:val="0"/>
          <w:szCs w:val="24"/>
          <w:lang w:val="en-GB"/>
        </w:rPr>
        <w:t xml:space="preserve">for the treatment of </w:t>
      </w:r>
      <w:r w:rsidR="00377CCA" w:rsidRPr="00377CCA">
        <w:rPr>
          <w:rFonts w:ascii="Calibri" w:eastAsia="Times New Roman" w:hAnsi="Calibri" w:cs="Arial"/>
          <w:bCs/>
          <w:snapToGrid w:val="0"/>
          <w:szCs w:val="24"/>
          <w:lang w:val="en-GB"/>
        </w:rPr>
        <w:t>ulcerative colitis</w:t>
      </w:r>
      <w:r w:rsidR="00846B8D" w:rsidRPr="00846B8D">
        <w:rPr>
          <w:rFonts w:ascii="Calibri" w:eastAsia="Times New Roman" w:hAnsi="Calibri" w:cs="Arial"/>
          <w:bCs/>
          <w:snapToGrid w:val="0"/>
          <w:szCs w:val="24"/>
          <w:lang w:val="en-GB"/>
        </w:rPr>
        <w:t xml:space="preserve"> as the clinical data </w:t>
      </w:r>
      <w:r w:rsidR="00377CCA">
        <w:rPr>
          <w:rFonts w:ascii="Calibri" w:eastAsia="Times New Roman" w:hAnsi="Calibri" w:cs="Arial"/>
          <w:bCs/>
          <w:snapToGrid w:val="0"/>
          <w:szCs w:val="24"/>
          <w:lang w:val="en-GB"/>
        </w:rPr>
        <w:t xml:space="preserve">did not support a claim of non-inferior effectiveness against </w:t>
      </w:r>
      <w:r w:rsidR="008B1CE4">
        <w:rPr>
          <w:rFonts w:ascii="Calibri" w:eastAsia="Times New Roman" w:hAnsi="Calibri" w:cs="Arial"/>
          <w:bCs/>
          <w:snapToGrid w:val="0"/>
          <w:szCs w:val="24"/>
          <w:lang w:val="en-GB"/>
        </w:rPr>
        <w:t xml:space="preserve">budesonide </w:t>
      </w:r>
      <w:r w:rsidR="00377CCA">
        <w:rPr>
          <w:rFonts w:ascii="Calibri" w:eastAsia="Times New Roman" w:hAnsi="Calibri" w:cs="Arial"/>
          <w:bCs/>
          <w:snapToGrid w:val="0"/>
          <w:szCs w:val="24"/>
          <w:lang w:val="en-GB"/>
        </w:rPr>
        <w:t>foam enema</w:t>
      </w:r>
      <w:r w:rsidR="001E4448">
        <w:rPr>
          <w:rFonts w:ascii="Calibri" w:eastAsia="Times New Roman" w:hAnsi="Calibri" w:cs="Arial"/>
          <w:bCs/>
          <w:snapToGrid w:val="0"/>
          <w:szCs w:val="24"/>
          <w:lang w:val="en-GB"/>
        </w:rPr>
        <w:t>s</w:t>
      </w:r>
      <w:r w:rsidR="00846B8D" w:rsidRPr="00846B8D">
        <w:rPr>
          <w:rFonts w:ascii="Calibri" w:eastAsia="Times New Roman" w:hAnsi="Calibri" w:cs="Arial"/>
          <w:bCs/>
          <w:snapToGrid w:val="0"/>
          <w:szCs w:val="24"/>
          <w:lang w:val="en-GB"/>
        </w:rPr>
        <w:t>.</w:t>
      </w:r>
    </w:p>
    <w:p w:rsidR="005646AA" w:rsidRDefault="005646AA" w:rsidP="00D17304">
      <w:pPr>
        <w:pStyle w:val="ListParagraph"/>
        <w:numPr>
          <w:ilvl w:val="1"/>
          <w:numId w:val="3"/>
        </w:numPr>
        <w:jc w:val="both"/>
        <w:rPr>
          <w:rFonts w:ascii="Calibri" w:eastAsia="Times New Roman" w:hAnsi="Calibri" w:cs="Arial"/>
          <w:bCs/>
          <w:snapToGrid w:val="0"/>
          <w:szCs w:val="24"/>
          <w:lang w:val="en-GB"/>
        </w:rPr>
      </w:pPr>
      <w:r w:rsidRPr="005646AA">
        <w:rPr>
          <w:rFonts w:ascii="Calibri" w:eastAsia="Times New Roman" w:hAnsi="Calibri" w:cs="Arial"/>
          <w:bCs/>
          <w:snapToGrid w:val="0"/>
          <w:szCs w:val="24"/>
          <w:lang w:val="en-GB"/>
        </w:rPr>
        <w:t xml:space="preserve">The PBAC considered that an unrestricted listing would not be appropriate for the CR </w:t>
      </w:r>
      <w:r w:rsidR="00D17304">
        <w:rPr>
          <w:rFonts w:ascii="Calibri" w:eastAsia="Times New Roman" w:hAnsi="Calibri" w:cs="Arial"/>
          <w:bCs/>
          <w:snapToGrid w:val="0"/>
          <w:szCs w:val="24"/>
          <w:lang w:val="en-GB"/>
        </w:rPr>
        <w:t xml:space="preserve">oral </w:t>
      </w:r>
      <w:r w:rsidRPr="005646AA">
        <w:rPr>
          <w:rFonts w:ascii="Calibri" w:eastAsia="Times New Roman" w:hAnsi="Calibri" w:cs="Arial"/>
          <w:bCs/>
          <w:snapToGrid w:val="0"/>
          <w:szCs w:val="24"/>
          <w:lang w:val="en-GB"/>
        </w:rPr>
        <w:t>form of budesonide as patients are required to be treated after a 5-ASA or be intolerant to a 5-ASA</w:t>
      </w:r>
      <w:r w:rsidR="00D17304">
        <w:rPr>
          <w:rFonts w:ascii="Calibri" w:eastAsia="Times New Roman" w:hAnsi="Calibri" w:cs="Arial"/>
          <w:bCs/>
          <w:snapToGrid w:val="0"/>
          <w:szCs w:val="24"/>
          <w:lang w:val="en-GB"/>
        </w:rPr>
        <w:t xml:space="preserve"> and an unrestricted PBS listing</w:t>
      </w:r>
      <w:r w:rsidR="00D17304">
        <w:t xml:space="preserve"> may result in use before 5-ASAs and use in Crohn’s disease</w:t>
      </w:r>
      <w:r w:rsidR="00D17304">
        <w:rPr>
          <w:rFonts w:ascii="Calibri" w:eastAsia="Times New Roman" w:hAnsi="Calibri" w:cs="Arial"/>
          <w:bCs/>
          <w:snapToGrid w:val="0"/>
          <w:szCs w:val="24"/>
          <w:lang w:val="en-GB"/>
        </w:rPr>
        <w:t>.</w:t>
      </w:r>
      <w:r>
        <w:rPr>
          <w:rFonts w:ascii="Calibri" w:eastAsia="Times New Roman" w:hAnsi="Calibri" w:cs="Arial"/>
          <w:bCs/>
          <w:snapToGrid w:val="0"/>
          <w:szCs w:val="24"/>
          <w:lang w:val="en-GB"/>
        </w:rPr>
        <w:t xml:space="preserve"> </w:t>
      </w:r>
      <w:r w:rsidR="00D17304">
        <w:rPr>
          <w:rFonts w:ascii="Calibri" w:eastAsia="Times New Roman" w:hAnsi="Calibri" w:cs="Arial"/>
          <w:bCs/>
          <w:snapToGrid w:val="0"/>
          <w:szCs w:val="24"/>
          <w:lang w:val="en-GB"/>
        </w:rPr>
        <w:t>A</w:t>
      </w:r>
      <w:r>
        <w:rPr>
          <w:rFonts w:ascii="Calibri" w:eastAsia="Times New Roman" w:hAnsi="Calibri" w:cs="Arial"/>
          <w:bCs/>
          <w:snapToGrid w:val="0"/>
          <w:szCs w:val="24"/>
          <w:lang w:val="en-GB"/>
        </w:rPr>
        <w:t xml:space="preserve"> Restricted Benefit listing </w:t>
      </w:r>
      <w:r w:rsidR="00D17304">
        <w:rPr>
          <w:rFonts w:ascii="Calibri" w:eastAsia="Times New Roman" w:hAnsi="Calibri" w:cs="Arial"/>
          <w:bCs/>
          <w:snapToGrid w:val="0"/>
          <w:szCs w:val="24"/>
          <w:lang w:val="en-GB"/>
        </w:rPr>
        <w:t xml:space="preserve">for mild to moderate UC </w:t>
      </w:r>
      <w:r w:rsidR="00D17304" w:rsidRPr="00D17304">
        <w:rPr>
          <w:rFonts w:ascii="Calibri" w:eastAsia="Times New Roman" w:hAnsi="Calibri" w:cs="Arial"/>
          <w:bCs/>
          <w:snapToGrid w:val="0"/>
          <w:szCs w:val="24"/>
          <w:lang w:val="en-GB"/>
        </w:rPr>
        <w:t>in patients for whom 5-ASA is not sufficient or tolerated</w:t>
      </w:r>
      <w:r w:rsidR="00D17304">
        <w:rPr>
          <w:rFonts w:ascii="Calibri" w:eastAsia="Times New Roman" w:hAnsi="Calibri" w:cs="Arial"/>
          <w:bCs/>
          <w:snapToGrid w:val="0"/>
          <w:szCs w:val="24"/>
          <w:lang w:val="en-GB"/>
        </w:rPr>
        <w:t>,</w:t>
      </w:r>
      <w:r w:rsidR="00D17304" w:rsidRPr="00D17304">
        <w:rPr>
          <w:rFonts w:ascii="Calibri" w:eastAsia="Times New Roman" w:hAnsi="Calibri" w:cs="Arial"/>
          <w:bCs/>
          <w:snapToGrid w:val="0"/>
          <w:szCs w:val="24"/>
          <w:lang w:val="en-GB"/>
        </w:rPr>
        <w:t xml:space="preserve"> </w:t>
      </w:r>
      <w:r>
        <w:rPr>
          <w:rFonts w:ascii="Calibri" w:eastAsia="Times New Roman" w:hAnsi="Calibri" w:cs="Arial"/>
          <w:bCs/>
          <w:snapToGrid w:val="0"/>
          <w:szCs w:val="24"/>
          <w:lang w:val="en-GB"/>
        </w:rPr>
        <w:t>would be more appropriate</w:t>
      </w:r>
      <w:r w:rsidRPr="005646AA">
        <w:rPr>
          <w:rFonts w:ascii="Calibri" w:eastAsia="Times New Roman" w:hAnsi="Calibri" w:cs="Arial"/>
          <w:bCs/>
          <w:snapToGrid w:val="0"/>
          <w:szCs w:val="24"/>
          <w:lang w:val="en-GB"/>
        </w:rPr>
        <w:t xml:space="preserve">. </w:t>
      </w:r>
    </w:p>
    <w:p w:rsidR="005646AA" w:rsidRDefault="005646AA" w:rsidP="00D17304">
      <w:pPr>
        <w:pStyle w:val="ListParagraph"/>
        <w:numPr>
          <w:ilvl w:val="1"/>
          <w:numId w:val="3"/>
        </w:numPr>
        <w:jc w:val="both"/>
        <w:rPr>
          <w:rFonts w:ascii="Calibri" w:eastAsia="Times New Roman" w:hAnsi="Calibri" w:cs="Arial"/>
          <w:bCs/>
          <w:snapToGrid w:val="0"/>
          <w:szCs w:val="24"/>
          <w:lang w:val="en-GB"/>
        </w:rPr>
      </w:pPr>
      <w:r>
        <w:rPr>
          <w:rFonts w:ascii="Calibri" w:eastAsia="Times New Roman" w:hAnsi="Calibri" w:cs="Arial"/>
          <w:bCs/>
          <w:snapToGrid w:val="0"/>
          <w:szCs w:val="24"/>
          <w:lang w:val="en-GB"/>
        </w:rPr>
        <w:t xml:space="preserve">The PBAC considered that </w:t>
      </w:r>
      <w:r w:rsidRPr="005646AA">
        <w:rPr>
          <w:rFonts w:ascii="Calibri" w:eastAsia="Times New Roman" w:hAnsi="Calibri" w:cs="Arial"/>
          <w:bCs/>
          <w:snapToGrid w:val="0"/>
          <w:szCs w:val="24"/>
          <w:lang w:val="en-GB"/>
        </w:rPr>
        <w:t>budesonide foam enema</w:t>
      </w:r>
      <w:r>
        <w:rPr>
          <w:rFonts w:ascii="Calibri" w:eastAsia="Times New Roman" w:hAnsi="Calibri" w:cs="Arial"/>
          <w:bCs/>
          <w:snapToGrid w:val="0"/>
          <w:szCs w:val="24"/>
          <w:lang w:val="en-GB"/>
        </w:rPr>
        <w:t xml:space="preserve"> </w:t>
      </w:r>
      <w:r w:rsidR="00D17304">
        <w:rPr>
          <w:rFonts w:ascii="Calibri" w:eastAsia="Times New Roman" w:hAnsi="Calibri" w:cs="Arial"/>
          <w:bCs/>
          <w:snapToGrid w:val="0"/>
          <w:szCs w:val="24"/>
          <w:lang w:val="en-GB"/>
        </w:rPr>
        <w:t>was the most</w:t>
      </w:r>
      <w:r>
        <w:rPr>
          <w:rFonts w:ascii="Calibri" w:eastAsia="Times New Roman" w:hAnsi="Calibri" w:cs="Arial"/>
          <w:bCs/>
          <w:snapToGrid w:val="0"/>
          <w:szCs w:val="24"/>
          <w:lang w:val="en-GB"/>
        </w:rPr>
        <w:t xml:space="preserve"> appropriate comparator for the CR </w:t>
      </w:r>
      <w:r w:rsidR="00D17304">
        <w:rPr>
          <w:rFonts w:ascii="Calibri" w:eastAsia="Times New Roman" w:hAnsi="Calibri" w:cs="Arial"/>
          <w:bCs/>
          <w:snapToGrid w:val="0"/>
          <w:szCs w:val="24"/>
          <w:lang w:val="en-GB"/>
        </w:rPr>
        <w:t>tablets</w:t>
      </w:r>
      <w:r>
        <w:rPr>
          <w:rFonts w:ascii="Calibri" w:eastAsia="Times New Roman" w:hAnsi="Calibri" w:cs="Arial"/>
          <w:bCs/>
          <w:snapToGrid w:val="0"/>
          <w:szCs w:val="24"/>
          <w:lang w:val="en-GB"/>
        </w:rPr>
        <w:t xml:space="preserve"> as they contain the same active ingredient</w:t>
      </w:r>
      <w:r w:rsidR="00D17304">
        <w:rPr>
          <w:rFonts w:ascii="Calibri" w:eastAsia="Times New Roman" w:hAnsi="Calibri" w:cs="Arial"/>
          <w:bCs/>
          <w:snapToGrid w:val="0"/>
          <w:szCs w:val="24"/>
          <w:lang w:val="en-GB"/>
        </w:rPr>
        <w:t xml:space="preserve"> and </w:t>
      </w:r>
      <w:r w:rsidR="00D17304" w:rsidRPr="005646AA">
        <w:rPr>
          <w:rFonts w:ascii="Calibri" w:eastAsia="Times New Roman" w:hAnsi="Calibri" w:cs="Arial"/>
          <w:bCs/>
          <w:snapToGrid w:val="0"/>
          <w:szCs w:val="24"/>
          <w:lang w:val="en-GB"/>
        </w:rPr>
        <w:t>budesonide foam enema</w:t>
      </w:r>
      <w:r w:rsidR="00D17304">
        <w:rPr>
          <w:rFonts w:ascii="Calibri" w:eastAsia="Times New Roman" w:hAnsi="Calibri" w:cs="Arial"/>
          <w:bCs/>
          <w:snapToGrid w:val="0"/>
          <w:szCs w:val="24"/>
          <w:lang w:val="en-GB"/>
        </w:rPr>
        <w:t xml:space="preserve"> has a </w:t>
      </w:r>
      <w:r w:rsidRPr="005646AA">
        <w:rPr>
          <w:rFonts w:ascii="Calibri" w:eastAsia="Times New Roman" w:hAnsi="Calibri" w:cs="Arial"/>
          <w:bCs/>
          <w:snapToGrid w:val="0"/>
          <w:szCs w:val="24"/>
          <w:lang w:val="en-GB"/>
        </w:rPr>
        <w:t>better safety profile than hydrocortisone foam enema</w:t>
      </w:r>
      <w:r>
        <w:rPr>
          <w:rFonts w:ascii="Calibri" w:eastAsia="Times New Roman" w:hAnsi="Calibri" w:cs="Arial"/>
          <w:bCs/>
          <w:snapToGrid w:val="0"/>
          <w:szCs w:val="24"/>
          <w:lang w:val="en-GB"/>
        </w:rPr>
        <w:t>.</w:t>
      </w:r>
    </w:p>
    <w:p w:rsidR="00B755F9" w:rsidRDefault="00B755F9" w:rsidP="00FA1F95">
      <w:pPr>
        <w:pStyle w:val="ListParagraph"/>
        <w:numPr>
          <w:ilvl w:val="1"/>
          <w:numId w:val="3"/>
        </w:numPr>
        <w:jc w:val="both"/>
        <w:rPr>
          <w:rFonts w:ascii="Calibri" w:eastAsia="Times New Roman" w:hAnsi="Calibri" w:cs="Arial"/>
          <w:bCs/>
          <w:snapToGrid w:val="0"/>
          <w:szCs w:val="24"/>
          <w:lang w:val="en-GB"/>
        </w:rPr>
      </w:pPr>
      <w:r w:rsidRPr="00FA1F95">
        <w:rPr>
          <w:rFonts w:ascii="Calibri" w:eastAsia="Times New Roman" w:hAnsi="Calibri" w:cs="Arial"/>
          <w:bCs/>
          <w:snapToGrid w:val="0"/>
          <w:szCs w:val="24"/>
          <w:lang w:val="en-GB"/>
        </w:rPr>
        <w:t>T</w:t>
      </w:r>
      <w:r w:rsidR="00FA1F95" w:rsidRPr="00FA1F95">
        <w:rPr>
          <w:rFonts w:ascii="Calibri" w:eastAsia="Times New Roman" w:hAnsi="Calibri" w:cs="Arial"/>
          <w:bCs/>
          <w:snapToGrid w:val="0"/>
          <w:szCs w:val="24"/>
          <w:lang w:val="en-GB"/>
        </w:rPr>
        <w:t xml:space="preserve">he PBAC </w:t>
      </w:r>
      <w:r w:rsidR="005F5B39">
        <w:rPr>
          <w:rFonts w:ascii="Calibri" w:eastAsia="Times New Roman" w:hAnsi="Calibri" w:cs="Arial"/>
          <w:bCs/>
          <w:snapToGrid w:val="0"/>
          <w:szCs w:val="24"/>
          <w:lang w:val="en-GB"/>
        </w:rPr>
        <w:t xml:space="preserve">considered the indirect comparison between budesonide CR tablet and budesonide foam enema was unreliable. The PBAC </w:t>
      </w:r>
      <w:r w:rsidR="00FA1F95" w:rsidRPr="00FA1F95">
        <w:rPr>
          <w:rFonts w:ascii="Calibri" w:eastAsia="Times New Roman" w:hAnsi="Calibri" w:cs="Arial"/>
          <w:bCs/>
          <w:snapToGrid w:val="0"/>
          <w:szCs w:val="24"/>
          <w:lang w:val="en-GB"/>
        </w:rPr>
        <w:t xml:space="preserve">noted </w:t>
      </w:r>
      <w:r w:rsidR="005A72BC">
        <w:rPr>
          <w:rFonts w:ascii="Calibri" w:eastAsia="Times New Roman" w:hAnsi="Calibri" w:cs="Arial"/>
          <w:bCs/>
          <w:snapToGrid w:val="0"/>
          <w:szCs w:val="24"/>
          <w:lang w:val="en-GB"/>
        </w:rPr>
        <w:t>the</w:t>
      </w:r>
      <w:r w:rsidR="00FA1F95" w:rsidRPr="00FA1F95">
        <w:rPr>
          <w:rFonts w:ascii="Calibri" w:eastAsia="Times New Roman" w:hAnsi="Calibri" w:cs="Arial"/>
          <w:bCs/>
          <w:snapToGrid w:val="0"/>
          <w:szCs w:val="24"/>
          <w:lang w:val="en-GB"/>
        </w:rPr>
        <w:t xml:space="preserve"> transitivity issues between the clinical trials</w:t>
      </w:r>
      <w:r w:rsidR="00FA1F95">
        <w:rPr>
          <w:rFonts w:ascii="Calibri" w:eastAsia="Times New Roman" w:hAnsi="Calibri" w:cs="Arial"/>
          <w:bCs/>
          <w:snapToGrid w:val="0"/>
          <w:szCs w:val="24"/>
          <w:lang w:val="en-GB"/>
        </w:rPr>
        <w:t xml:space="preserve"> used in the indirect comparison</w:t>
      </w:r>
      <w:r w:rsidR="005F5B39">
        <w:rPr>
          <w:rFonts w:ascii="Calibri" w:eastAsia="Times New Roman" w:hAnsi="Calibri" w:cs="Arial"/>
          <w:bCs/>
          <w:snapToGrid w:val="0"/>
          <w:szCs w:val="24"/>
          <w:lang w:val="en-GB"/>
        </w:rPr>
        <w:t xml:space="preserve">, including the extent of anatomical disease, the use of concomitant 5-ASA and </w:t>
      </w:r>
      <w:r w:rsidR="00E677DC">
        <w:rPr>
          <w:rFonts w:ascii="Calibri" w:eastAsia="Times New Roman" w:hAnsi="Calibri" w:cs="Arial"/>
          <w:bCs/>
          <w:snapToGrid w:val="0"/>
          <w:szCs w:val="24"/>
          <w:lang w:val="en-GB"/>
        </w:rPr>
        <w:t xml:space="preserve">the </w:t>
      </w:r>
      <w:r w:rsidR="005F5B39">
        <w:rPr>
          <w:rFonts w:ascii="Calibri" w:eastAsia="Times New Roman" w:hAnsi="Calibri" w:cs="Arial"/>
          <w:bCs/>
          <w:snapToGrid w:val="0"/>
          <w:szCs w:val="24"/>
          <w:lang w:val="en-GB"/>
        </w:rPr>
        <w:t>timing of trial assessment</w:t>
      </w:r>
      <w:r w:rsidR="00E677DC">
        <w:rPr>
          <w:rFonts w:ascii="Calibri" w:eastAsia="Times New Roman" w:hAnsi="Calibri" w:cs="Arial"/>
          <w:bCs/>
          <w:snapToGrid w:val="0"/>
          <w:szCs w:val="24"/>
          <w:lang w:val="en-GB"/>
        </w:rPr>
        <w:t>.</w:t>
      </w:r>
      <w:r w:rsidR="005F5B39">
        <w:rPr>
          <w:rFonts w:ascii="Calibri" w:eastAsia="Times New Roman" w:hAnsi="Calibri" w:cs="Arial"/>
          <w:bCs/>
          <w:snapToGrid w:val="0"/>
          <w:szCs w:val="24"/>
          <w:lang w:val="en-GB"/>
        </w:rPr>
        <w:t xml:space="preserve"> </w:t>
      </w:r>
      <w:r w:rsidR="00E677DC">
        <w:rPr>
          <w:rFonts w:ascii="Calibri" w:eastAsia="Times New Roman" w:hAnsi="Calibri" w:cs="Arial"/>
          <w:bCs/>
          <w:snapToGrid w:val="0"/>
          <w:szCs w:val="24"/>
          <w:lang w:val="en-GB"/>
        </w:rPr>
        <w:t>T</w:t>
      </w:r>
      <w:r w:rsidR="00FA1F95" w:rsidRPr="00FA1F95">
        <w:rPr>
          <w:rFonts w:ascii="Calibri" w:eastAsia="Times New Roman" w:hAnsi="Calibri" w:cs="Arial"/>
          <w:bCs/>
          <w:snapToGrid w:val="0"/>
          <w:szCs w:val="24"/>
          <w:lang w:val="en-GB"/>
        </w:rPr>
        <w:t>he</w:t>
      </w:r>
      <w:r w:rsidR="00E677DC">
        <w:rPr>
          <w:rFonts w:ascii="Calibri" w:eastAsia="Times New Roman" w:hAnsi="Calibri" w:cs="Arial"/>
          <w:bCs/>
          <w:snapToGrid w:val="0"/>
          <w:szCs w:val="24"/>
          <w:lang w:val="en-GB"/>
        </w:rPr>
        <w:t>re were</w:t>
      </w:r>
      <w:r w:rsidR="00FA1F95" w:rsidRPr="00FA1F95">
        <w:rPr>
          <w:rFonts w:ascii="Calibri" w:eastAsia="Times New Roman" w:hAnsi="Calibri" w:cs="Arial"/>
          <w:bCs/>
          <w:snapToGrid w:val="0"/>
          <w:szCs w:val="24"/>
          <w:lang w:val="en-GB"/>
        </w:rPr>
        <w:t xml:space="preserve"> </w:t>
      </w:r>
      <w:r w:rsidR="00FA1F95">
        <w:rPr>
          <w:rFonts w:ascii="Calibri" w:eastAsia="Times New Roman" w:hAnsi="Calibri" w:cs="Arial"/>
          <w:bCs/>
          <w:snapToGrid w:val="0"/>
          <w:szCs w:val="24"/>
          <w:lang w:val="en-GB"/>
        </w:rPr>
        <w:t>d</w:t>
      </w:r>
      <w:r w:rsidRPr="00FA1F95">
        <w:rPr>
          <w:rFonts w:ascii="Calibri" w:eastAsia="Times New Roman" w:hAnsi="Calibri" w:cs="Arial"/>
          <w:bCs/>
          <w:snapToGrid w:val="0"/>
          <w:szCs w:val="24"/>
          <w:lang w:val="en-GB"/>
        </w:rPr>
        <w:t>ifferent placebo response rate</w:t>
      </w:r>
      <w:r w:rsidR="00FA1F95">
        <w:rPr>
          <w:rFonts w:ascii="Calibri" w:eastAsia="Times New Roman" w:hAnsi="Calibri" w:cs="Arial"/>
          <w:bCs/>
          <w:snapToGrid w:val="0"/>
          <w:szCs w:val="24"/>
          <w:lang w:val="en-GB"/>
        </w:rPr>
        <w:t>s</w:t>
      </w:r>
      <w:r w:rsidR="00E677DC">
        <w:rPr>
          <w:rFonts w:ascii="Calibri" w:eastAsia="Times New Roman" w:hAnsi="Calibri" w:cs="Arial"/>
          <w:bCs/>
          <w:snapToGrid w:val="0"/>
          <w:szCs w:val="24"/>
          <w:lang w:val="en-GB"/>
        </w:rPr>
        <w:t xml:space="preserve"> across the trials and t</w:t>
      </w:r>
      <w:r w:rsidR="005F5B39">
        <w:rPr>
          <w:rFonts w:ascii="Calibri" w:eastAsia="Times New Roman" w:hAnsi="Calibri" w:cs="Arial"/>
          <w:bCs/>
          <w:snapToGrid w:val="0"/>
          <w:szCs w:val="24"/>
          <w:lang w:val="en-GB"/>
        </w:rPr>
        <w:t>he conclusion of non-inferiority varied depending</w:t>
      </w:r>
      <w:r w:rsidRPr="00FA1F95">
        <w:rPr>
          <w:rFonts w:ascii="Calibri" w:eastAsia="Times New Roman" w:hAnsi="Calibri" w:cs="Arial"/>
          <w:bCs/>
          <w:snapToGrid w:val="0"/>
          <w:szCs w:val="24"/>
          <w:lang w:val="en-GB"/>
        </w:rPr>
        <w:t xml:space="preserve"> </w:t>
      </w:r>
      <w:r w:rsidR="00E677DC">
        <w:rPr>
          <w:rFonts w:ascii="Calibri" w:eastAsia="Times New Roman" w:hAnsi="Calibri" w:cs="Arial"/>
          <w:bCs/>
          <w:snapToGrid w:val="0"/>
          <w:szCs w:val="24"/>
          <w:lang w:val="en-GB"/>
        </w:rPr>
        <w:t>on whether</w:t>
      </w:r>
      <w:r w:rsidRPr="00FA1F95">
        <w:rPr>
          <w:rFonts w:ascii="Calibri" w:eastAsia="Times New Roman" w:hAnsi="Calibri" w:cs="Arial"/>
          <w:bCs/>
          <w:snapToGrid w:val="0"/>
          <w:szCs w:val="24"/>
          <w:lang w:val="en-GB"/>
        </w:rPr>
        <w:t xml:space="preserve"> </w:t>
      </w:r>
      <w:r w:rsidR="00FA1F95">
        <w:rPr>
          <w:rFonts w:ascii="Calibri" w:eastAsia="Times New Roman" w:hAnsi="Calibri" w:cs="Arial"/>
          <w:bCs/>
          <w:snapToGrid w:val="0"/>
          <w:szCs w:val="24"/>
          <w:lang w:val="en-GB"/>
        </w:rPr>
        <w:t xml:space="preserve">an </w:t>
      </w:r>
      <w:r w:rsidRPr="00FA1F95">
        <w:rPr>
          <w:rFonts w:ascii="Calibri" w:eastAsia="Times New Roman" w:hAnsi="Calibri" w:cs="Arial"/>
          <w:bCs/>
          <w:snapToGrid w:val="0"/>
          <w:szCs w:val="24"/>
          <w:lang w:val="en-GB"/>
        </w:rPr>
        <w:t xml:space="preserve">absolute </w:t>
      </w:r>
      <w:r w:rsidR="00E677DC">
        <w:rPr>
          <w:rFonts w:ascii="Calibri" w:eastAsia="Times New Roman" w:hAnsi="Calibri" w:cs="Arial"/>
          <w:bCs/>
          <w:snapToGrid w:val="0"/>
          <w:szCs w:val="24"/>
          <w:lang w:val="en-GB"/>
        </w:rPr>
        <w:t>or</w:t>
      </w:r>
      <w:r w:rsidRPr="00FA1F95">
        <w:rPr>
          <w:rFonts w:ascii="Calibri" w:eastAsia="Times New Roman" w:hAnsi="Calibri" w:cs="Arial"/>
          <w:bCs/>
          <w:snapToGrid w:val="0"/>
          <w:szCs w:val="24"/>
          <w:lang w:val="en-GB"/>
        </w:rPr>
        <w:t xml:space="preserve"> </w:t>
      </w:r>
      <w:r w:rsidR="00FA1F95">
        <w:rPr>
          <w:rFonts w:ascii="Calibri" w:eastAsia="Times New Roman" w:hAnsi="Calibri" w:cs="Arial"/>
          <w:bCs/>
          <w:snapToGrid w:val="0"/>
          <w:szCs w:val="24"/>
          <w:lang w:val="en-GB"/>
        </w:rPr>
        <w:t xml:space="preserve">a </w:t>
      </w:r>
      <w:r w:rsidRPr="00FA1F95">
        <w:rPr>
          <w:rFonts w:ascii="Calibri" w:eastAsia="Times New Roman" w:hAnsi="Calibri" w:cs="Arial"/>
          <w:bCs/>
          <w:snapToGrid w:val="0"/>
          <w:szCs w:val="24"/>
          <w:lang w:val="en-GB"/>
        </w:rPr>
        <w:t>relative measure</w:t>
      </w:r>
      <w:r w:rsidR="00FA1F95">
        <w:rPr>
          <w:rFonts w:ascii="Calibri" w:eastAsia="Times New Roman" w:hAnsi="Calibri" w:cs="Arial"/>
          <w:bCs/>
          <w:snapToGrid w:val="0"/>
          <w:szCs w:val="24"/>
          <w:lang w:val="en-GB"/>
        </w:rPr>
        <w:t xml:space="preserve"> for outcomes</w:t>
      </w:r>
      <w:r w:rsidR="00E677DC">
        <w:rPr>
          <w:rFonts w:ascii="Calibri" w:eastAsia="Times New Roman" w:hAnsi="Calibri" w:cs="Arial"/>
          <w:bCs/>
          <w:snapToGrid w:val="0"/>
          <w:szCs w:val="24"/>
          <w:lang w:val="en-GB"/>
        </w:rPr>
        <w:t xml:space="preserve"> was used</w:t>
      </w:r>
      <w:r w:rsidR="00FA1F95">
        <w:rPr>
          <w:rFonts w:ascii="Calibri" w:eastAsia="Times New Roman" w:hAnsi="Calibri" w:cs="Arial"/>
          <w:bCs/>
          <w:snapToGrid w:val="0"/>
          <w:szCs w:val="24"/>
          <w:lang w:val="en-GB"/>
        </w:rPr>
        <w:t xml:space="preserve">. These </w:t>
      </w:r>
      <w:r w:rsidR="00E677DC">
        <w:rPr>
          <w:rFonts w:ascii="Calibri" w:eastAsia="Times New Roman" w:hAnsi="Calibri" w:cs="Arial"/>
          <w:bCs/>
          <w:snapToGrid w:val="0"/>
          <w:szCs w:val="24"/>
          <w:lang w:val="en-GB"/>
        </w:rPr>
        <w:t xml:space="preserve">issues </w:t>
      </w:r>
      <w:r w:rsidR="005F5B39">
        <w:rPr>
          <w:rFonts w:ascii="Calibri" w:eastAsia="Times New Roman" w:hAnsi="Calibri" w:cs="Arial"/>
          <w:bCs/>
          <w:snapToGrid w:val="0"/>
          <w:szCs w:val="24"/>
          <w:lang w:val="en-GB"/>
        </w:rPr>
        <w:t xml:space="preserve">reduced </w:t>
      </w:r>
      <w:r w:rsidR="00FA1F95">
        <w:rPr>
          <w:rFonts w:ascii="Calibri" w:eastAsia="Times New Roman" w:hAnsi="Calibri" w:cs="Arial"/>
          <w:bCs/>
          <w:snapToGrid w:val="0"/>
          <w:szCs w:val="24"/>
          <w:lang w:val="en-GB"/>
        </w:rPr>
        <w:t>the reliability of the indirect comparison.</w:t>
      </w:r>
    </w:p>
    <w:p w:rsidR="009818B1" w:rsidRPr="00E677DC" w:rsidRDefault="00FA1F95" w:rsidP="00E677DC">
      <w:pPr>
        <w:pStyle w:val="ListParagraph"/>
        <w:numPr>
          <w:ilvl w:val="1"/>
          <w:numId w:val="3"/>
        </w:numPr>
        <w:jc w:val="both"/>
        <w:rPr>
          <w:rFonts w:ascii="Calibri" w:eastAsia="Times New Roman" w:hAnsi="Calibri" w:cs="Arial"/>
          <w:bCs/>
          <w:snapToGrid w:val="0"/>
          <w:szCs w:val="24"/>
        </w:rPr>
      </w:pPr>
      <w:r w:rsidRPr="00E677DC">
        <w:rPr>
          <w:rFonts w:ascii="Calibri" w:eastAsia="Times New Roman" w:hAnsi="Calibri" w:cs="Arial"/>
          <w:bCs/>
          <w:snapToGrid w:val="0"/>
          <w:szCs w:val="24"/>
          <w:lang w:val="en-GB"/>
        </w:rPr>
        <w:t xml:space="preserve">The PBAC recalled that it had previously considered a non-inferiority margin of 10-15% to be reasonable for absolute difference in remission in ulcerative colitis. The indirect comparison </w:t>
      </w:r>
      <w:r w:rsidR="00072530" w:rsidRPr="00E677DC">
        <w:rPr>
          <w:rFonts w:ascii="Calibri" w:eastAsia="Times New Roman" w:hAnsi="Calibri" w:cs="Arial"/>
          <w:bCs/>
          <w:snapToGrid w:val="0"/>
          <w:szCs w:val="24"/>
          <w:lang w:val="en-GB"/>
        </w:rPr>
        <w:t>did not meet</w:t>
      </w:r>
      <w:r w:rsidRPr="00E677DC">
        <w:rPr>
          <w:rFonts w:ascii="Calibri" w:eastAsia="Times New Roman" w:hAnsi="Calibri" w:cs="Arial"/>
          <w:bCs/>
          <w:snapToGrid w:val="0"/>
          <w:szCs w:val="24"/>
          <w:lang w:val="en-GB"/>
        </w:rPr>
        <w:t xml:space="preserve"> this non-inferiority margin</w:t>
      </w:r>
      <w:r w:rsidR="00072530" w:rsidRPr="00E677DC">
        <w:rPr>
          <w:rFonts w:ascii="Calibri" w:eastAsia="Times New Roman" w:hAnsi="Calibri" w:cs="Arial"/>
          <w:bCs/>
          <w:snapToGrid w:val="0"/>
          <w:szCs w:val="24"/>
          <w:lang w:val="en-GB"/>
        </w:rPr>
        <w:t>. The PBAC noted the pre-PBAC response</w:t>
      </w:r>
      <w:r w:rsidR="00E677DC" w:rsidRPr="00E677DC">
        <w:rPr>
          <w:rFonts w:ascii="Calibri" w:eastAsia="Times New Roman" w:hAnsi="Calibri" w:cs="Arial"/>
          <w:bCs/>
          <w:snapToGrid w:val="0"/>
          <w:szCs w:val="24"/>
          <w:lang w:val="en-GB"/>
        </w:rPr>
        <w:t xml:space="preserve"> (pp1-2)</w:t>
      </w:r>
      <w:r w:rsidR="00072530" w:rsidRPr="00E677DC">
        <w:rPr>
          <w:rFonts w:ascii="Calibri" w:eastAsia="Times New Roman" w:hAnsi="Calibri" w:cs="Arial"/>
          <w:bCs/>
          <w:snapToGrid w:val="0"/>
          <w:szCs w:val="24"/>
          <w:lang w:val="en-GB"/>
        </w:rPr>
        <w:t xml:space="preserve"> </w:t>
      </w:r>
      <w:r w:rsidR="00E677DC" w:rsidRPr="00E677DC">
        <w:rPr>
          <w:rFonts w:ascii="Calibri" w:eastAsia="Times New Roman" w:hAnsi="Calibri" w:cs="Arial"/>
          <w:bCs/>
          <w:snapToGrid w:val="0"/>
          <w:szCs w:val="24"/>
          <w:lang w:val="en-US"/>
        </w:rPr>
        <w:t>argued</w:t>
      </w:r>
      <w:r w:rsidR="009F1A9C" w:rsidRPr="00E677DC">
        <w:rPr>
          <w:rFonts w:ascii="Calibri" w:eastAsia="Times New Roman" w:hAnsi="Calibri" w:cs="Arial"/>
          <w:bCs/>
          <w:snapToGrid w:val="0"/>
          <w:szCs w:val="24"/>
          <w:lang w:val="en-US"/>
        </w:rPr>
        <w:t xml:space="preserve"> that </w:t>
      </w:r>
      <w:r w:rsidR="00E677DC" w:rsidRPr="00E677DC">
        <w:rPr>
          <w:rFonts w:ascii="Calibri" w:eastAsia="Times New Roman" w:hAnsi="Calibri" w:cs="Arial"/>
          <w:bCs/>
          <w:snapToGrid w:val="0"/>
          <w:szCs w:val="24"/>
          <w:lang w:val="en-US"/>
        </w:rPr>
        <w:t>th</w:t>
      </w:r>
      <w:r w:rsidR="005A72BC">
        <w:rPr>
          <w:rFonts w:ascii="Calibri" w:eastAsia="Times New Roman" w:hAnsi="Calibri" w:cs="Arial"/>
          <w:bCs/>
          <w:snapToGrid w:val="0"/>
          <w:szCs w:val="24"/>
          <w:lang w:val="en-US"/>
        </w:rPr>
        <w:t>is</w:t>
      </w:r>
      <w:r w:rsidR="00E677DC" w:rsidRPr="00E677DC">
        <w:rPr>
          <w:rFonts w:ascii="Calibri" w:eastAsia="Times New Roman" w:hAnsi="Calibri" w:cs="Arial"/>
          <w:bCs/>
          <w:snapToGrid w:val="0"/>
          <w:szCs w:val="24"/>
          <w:lang w:val="en-US"/>
        </w:rPr>
        <w:t xml:space="preserve"> </w:t>
      </w:r>
      <w:r w:rsidR="009F1A9C" w:rsidRPr="00E677DC">
        <w:rPr>
          <w:rFonts w:ascii="Calibri" w:eastAsia="Times New Roman" w:hAnsi="Calibri" w:cs="Arial"/>
          <w:bCs/>
          <w:snapToGrid w:val="0"/>
          <w:szCs w:val="24"/>
          <w:lang w:val="en-US"/>
        </w:rPr>
        <w:t xml:space="preserve">non-inferiority margin is </w:t>
      </w:r>
      <w:r w:rsidR="00E677DC" w:rsidRPr="00E677DC">
        <w:rPr>
          <w:rFonts w:ascii="Calibri" w:eastAsia="Times New Roman" w:hAnsi="Calibri" w:cs="Arial"/>
          <w:bCs/>
          <w:snapToGrid w:val="0"/>
          <w:szCs w:val="24"/>
          <w:lang w:val="en-US"/>
        </w:rPr>
        <w:t xml:space="preserve">based on power calculations </w:t>
      </w:r>
      <w:r w:rsidR="009F1A9C" w:rsidRPr="00E677DC">
        <w:rPr>
          <w:rFonts w:ascii="Calibri" w:eastAsia="Times New Roman" w:hAnsi="Calibri" w:cs="Arial"/>
          <w:bCs/>
          <w:snapToGrid w:val="0"/>
          <w:szCs w:val="24"/>
          <w:lang w:val="en-US"/>
        </w:rPr>
        <w:t xml:space="preserve">for head-to-head comparisons and </w:t>
      </w:r>
      <w:r w:rsidR="005A72BC">
        <w:rPr>
          <w:rFonts w:ascii="Calibri" w:eastAsia="Times New Roman" w:hAnsi="Calibri" w:cs="Arial"/>
          <w:bCs/>
          <w:snapToGrid w:val="0"/>
          <w:szCs w:val="24"/>
          <w:lang w:val="en-US"/>
        </w:rPr>
        <w:t xml:space="preserve">instead </w:t>
      </w:r>
      <w:r w:rsidR="009F1A9C" w:rsidRPr="00E677DC">
        <w:rPr>
          <w:rFonts w:ascii="Calibri" w:eastAsia="Times New Roman" w:hAnsi="Calibri" w:cs="Arial"/>
          <w:bCs/>
          <w:snapToGrid w:val="0"/>
          <w:szCs w:val="24"/>
          <w:lang w:val="en-US"/>
        </w:rPr>
        <w:t>propose</w:t>
      </w:r>
      <w:r w:rsidR="00E677DC" w:rsidRPr="00E677DC">
        <w:rPr>
          <w:rFonts w:ascii="Calibri" w:eastAsia="Times New Roman" w:hAnsi="Calibri" w:cs="Arial"/>
          <w:bCs/>
          <w:snapToGrid w:val="0"/>
          <w:szCs w:val="24"/>
          <w:lang w:val="en-US"/>
        </w:rPr>
        <w:t>d</w:t>
      </w:r>
      <w:r w:rsidR="009F1A9C" w:rsidRPr="00E677DC">
        <w:rPr>
          <w:rFonts w:ascii="Calibri" w:eastAsia="Times New Roman" w:hAnsi="Calibri" w:cs="Arial"/>
          <w:bCs/>
          <w:snapToGrid w:val="0"/>
          <w:szCs w:val="24"/>
          <w:lang w:val="en-US"/>
        </w:rPr>
        <w:t xml:space="preserve"> </w:t>
      </w:r>
      <w:r w:rsidR="00E677DC" w:rsidRPr="00E677DC">
        <w:rPr>
          <w:rFonts w:ascii="Calibri" w:eastAsia="Times New Roman" w:hAnsi="Calibri" w:cs="Arial"/>
          <w:bCs/>
          <w:snapToGrid w:val="0"/>
          <w:szCs w:val="24"/>
          <w:lang w:val="en-US"/>
        </w:rPr>
        <w:t xml:space="preserve">a </w:t>
      </w:r>
      <w:r w:rsidR="00E677DC" w:rsidRPr="00E677DC">
        <w:rPr>
          <w:rFonts w:ascii="Calibri" w:eastAsia="Times New Roman" w:hAnsi="Calibri" w:cs="Arial"/>
          <w:bCs/>
          <w:snapToGrid w:val="0"/>
          <w:szCs w:val="24"/>
        </w:rPr>
        <w:t>clinically meaningful non-inferiority margin as a proxy for a MCID use the method described</w:t>
      </w:r>
      <w:r w:rsidR="00E677DC">
        <w:rPr>
          <w:rFonts w:ascii="Calibri" w:eastAsia="Times New Roman" w:hAnsi="Calibri" w:cs="Arial"/>
          <w:bCs/>
          <w:snapToGrid w:val="0"/>
          <w:szCs w:val="24"/>
        </w:rPr>
        <w:t xml:space="preserve"> </w:t>
      </w:r>
      <w:r w:rsidR="00E677DC" w:rsidRPr="00E677DC">
        <w:rPr>
          <w:rFonts w:ascii="Calibri" w:eastAsia="Times New Roman" w:hAnsi="Calibri" w:cs="Arial"/>
          <w:bCs/>
          <w:snapToGrid w:val="0"/>
          <w:szCs w:val="24"/>
        </w:rPr>
        <w:t xml:space="preserve">by </w:t>
      </w:r>
      <w:proofErr w:type="spellStart"/>
      <w:r w:rsidR="00E677DC" w:rsidRPr="00E677DC">
        <w:rPr>
          <w:rFonts w:ascii="Calibri" w:eastAsia="Times New Roman" w:hAnsi="Calibri" w:cs="Arial"/>
          <w:bCs/>
          <w:snapToGrid w:val="0"/>
          <w:szCs w:val="24"/>
        </w:rPr>
        <w:t>Massacesi</w:t>
      </w:r>
      <w:proofErr w:type="spellEnd"/>
      <w:r w:rsidR="00E677DC">
        <w:rPr>
          <w:rStyle w:val="FootnoteReference"/>
          <w:rFonts w:ascii="Calibri" w:eastAsia="Times New Roman" w:hAnsi="Calibri" w:cs="Arial"/>
          <w:bCs/>
          <w:snapToGrid w:val="0"/>
          <w:szCs w:val="24"/>
        </w:rPr>
        <w:footnoteReference w:id="3"/>
      </w:r>
      <w:r w:rsidR="00E677DC" w:rsidRPr="00E677DC">
        <w:rPr>
          <w:rFonts w:ascii="Calibri" w:eastAsia="Times New Roman" w:hAnsi="Calibri" w:cs="Arial"/>
          <w:bCs/>
          <w:snapToGrid w:val="0"/>
          <w:szCs w:val="24"/>
        </w:rPr>
        <w:t>.</w:t>
      </w:r>
      <w:r w:rsidR="00E677DC" w:rsidRPr="00E677DC">
        <w:rPr>
          <w:rFonts w:ascii="Calibri" w:eastAsia="Times New Roman" w:hAnsi="Calibri" w:cs="Arial"/>
          <w:bCs/>
          <w:snapToGrid w:val="0"/>
          <w:szCs w:val="24"/>
          <w:lang w:val="en-US"/>
        </w:rPr>
        <w:t xml:space="preserve"> </w:t>
      </w:r>
      <w:r w:rsidR="00E677DC">
        <w:rPr>
          <w:rFonts w:ascii="Calibri" w:eastAsia="Times New Roman" w:hAnsi="Calibri" w:cs="Arial"/>
          <w:bCs/>
          <w:snapToGrid w:val="0"/>
          <w:szCs w:val="24"/>
          <w:lang w:val="en-US"/>
        </w:rPr>
        <w:t xml:space="preserve">This resulted in </w:t>
      </w:r>
      <w:r w:rsidR="009F1A9C" w:rsidRPr="00E677DC">
        <w:rPr>
          <w:rFonts w:ascii="Calibri" w:eastAsia="Times New Roman" w:hAnsi="Calibri" w:cs="Arial"/>
          <w:bCs/>
          <w:snapToGrid w:val="0"/>
          <w:szCs w:val="24"/>
          <w:lang w:val="en-US"/>
        </w:rPr>
        <w:t xml:space="preserve">non-inferiority margins based on the CORE I, II and CONTRIBUTE studies of </w:t>
      </w:r>
      <w:r w:rsidR="00F82904">
        <w:rPr>
          <w:rFonts w:ascii="Calibri" w:eastAsia="Times New Roman" w:hAnsi="Calibri" w:cs="Arial"/>
          <w:bCs/>
          <w:noProof/>
          <w:snapToGrid w:val="0"/>
          <w:color w:val="000000"/>
          <w:szCs w:val="24"/>
          <w:highlight w:val="black"/>
          <w:lang w:val="en-US"/>
        </w:rPr>
        <w:t>'''''''''''''''''''</w:t>
      </w:r>
      <w:r w:rsidR="009F1A9C" w:rsidRPr="00EA21BF">
        <w:rPr>
          <w:rFonts w:ascii="Calibri" w:eastAsia="Times New Roman" w:hAnsi="Calibri" w:cs="Arial"/>
          <w:bCs/>
          <w:snapToGrid w:val="0"/>
          <w:szCs w:val="24"/>
          <w:lang w:val="en-US"/>
        </w:rPr>
        <w:t xml:space="preserve"> and </w:t>
      </w:r>
      <w:r w:rsidR="00F82904">
        <w:rPr>
          <w:rFonts w:ascii="Calibri" w:eastAsia="Times New Roman" w:hAnsi="Calibri" w:cs="Arial"/>
          <w:bCs/>
          <w:noProof/>
          <w:snapToGrid w:val="0"/>
          <w:color w:val="000000"/>
          <w:szCs w:val="24"/>
          <w:highlight w:val="black"/>
          <w:lang w:val="en-US"/>
        </w:rPr>
        <w:t>'''''''''''''''''</w:t>
      </w:r>
      <w:r w:rsidR="009F1A9C" w:rsidRPr="00E677DC">
        <w:rPr>
          <w:rFonts w:ascii="Calibri" w:eastAsia="Times New Roman" w:hAnsi="Calibri" w:cs="Arial"/>
          <w:bCs/>
          <w:snapToGrid w:val="0"/>
          <w:szCs w:val="24"/>
          <w:lang w:val="en-US"/>
        </w:rPr>
        <w:t xml:space="preserve"> for endoscopic remission and overall remission respectively</w:t>
      </w:r>
      <w:r w:rsidR="005A72BC">
        <w:rPr>
          <w:rFonts w:ascii="Calibri" w:eastAsia="Times New Roman" w:hAnsi="Calibri" w:cs="Arial"/>
          <w:bCs/>
          <w:snapToGrid w:val="0"/>
          <w:szCs w:val="24"/>
          <w:lang w:val="en-US"/>
        </w:rPr>
        <w:t>. However, PBAC considered this did not resolve the exchangeability issues as demonstrated by the different placebo rates of remission.</w:t>
      </w:r>
      <w:r w:rsidR="009F1A9C" w:rsidRPr="00E677DC">
        <w:rPr>
          <w:rFonts w:ascii="Calibri" w:eastAsia="Times New Roman" w:hAnsi="Calibri" w:cs="Arial"/>
          <w:bCs/>
          <w:snapToGrid w:val="0"/>
          <w:szCs w:val="24"/>
          <w:lang w:val="en-US"/>
        </w:rPr>
        <w:t xml:space="preserve"> </w:t>
      </w:r>
    </w:p>
    <w:p w:rsidR="00072530" w:rsidRPr="005A72BC" w:rsidRDefault="00E677DC" w:rsidP="00072530">
      <w:pPr>
        <w:pStyle w:val="ListParagraph"/>
        <w:numPr>
          <w:ilvl w:val="1"/>
          <w:numId w:val="3"/>
        </w:numPr>
        <w:jc w:val="both"/>
        <w:rPr>
          <w:rFonts w:ascii="Calibri" w:eastAsia="Times New Roman" w:hAnsi="Calibri" w:cs="Arial"/>
          <w:bCs/>
          <w:snapToGrid w:val="0"/>
          <w:szCs w:val="24"/>
          <w:lang w:val="en-GB"/>
        </w:rPr>
      </w:pPr>
      <w:r w:rsidRPr="005A72BC">
        <w:rPr>
          <w:rFonts w:ascii="Calibri" w:eastAsia="Times New Roman" w:hAnsi="Calibri" w:cs="Arial"/>
          <w:bCs/>
          <w:snapToGrid w:val="0"/>
          <w:szCs w:val="24"/>
          <w:lang w:val="en-GB"/>
        </w:rPr>
        <w:t xml:space="preserve"> </w:t>
      </w:r>
      <w:r w:rsidR="00072530" w:rsidRPr="005A72BC">
        <w:rPr>
          <w:rFonts w:ascii="Calibri" w:eastAsia="Times New Roman" w:hAnsi="Calibri" w:cs="Arial"/>
          <w:bCs/>
          <w:snapToGrid w:val="0"/>
          <w:szCs w:val="24"/>
          <w:lang w:val="en-GB"/>
        </w:rPr>
        <w:t>The PBAC did not accept that budesonide CR was non-inferior to budesonide foam enemas for efficacy</w:t>
      </w:r>
      <w:r w:rsidR="00CB2735" w:rsidRPr="005A72BC">
        <w:rPr>
          <w:rFonts w:ascii="Calibri" w:eastAsia="Times New Roman" w:hAnsi="Calibri" w:cs="Arial"/>
          <w:bCs/>
          <w:snapToGrid w:val="0"/>
          <w:szCs w:val="24"/>
          <w:lang w:val="en-GB"/>
        </w:rPr>
        <w:t xml:space="preserve"> as it was not supported by the data</w:t>
      </w:r>
      <w:r w:rsidR="00072530" w:rsidRPr="005A72BC">
        <w:rPr>
          <w:rFonts w:ascii="Calibri" w:eastAsia="Times New Roman" w:hAnsi="Calibri" w:cs="Arial"/>
          <w:bCs/>
          <w:snapToGrid w:val="0"/>
          <w:szCs w:val="24"/>
          <w:lang w:val="en-GB"/>
        </w:rPr>
        <w:t>.</w:t>
      </w:r>
    </w:p>
    <w:p w:rsidR="007E1865" w:rsidRPr="005646AA" w:rsidRDefault="00072530" w:rsidP="005A72BC">
      <w:pPr>
        <w:pStyle w:val="ListParagraph"/>
        <w:numPr>
          <w:ilvl w:val="1"/>
          <w:numId w:val="3"/>
        </w:numPr>
        <w:jc w:val="both"/>
        <w:rPr>
          <w:rFonts w:ascii="Calibri" w:eastAsia="Times New Roman" w:hAnsi="Calibri" w:cs="Arial"/>
          <w:bCs/>
          <w:snapToGrid w:val="0"/>
          <w:szCs w:val="24"/>
          <w:lang w:val="en-GB"/>
        </w:rPr>
      </w:pPr>
      <w:r>
        <w:rPr>
          <w:rFonts w:ascii="Calibri" w:eastAsia="Times New Roman" w:hAnsi="Calibri" w:cs="Arial"/>
          <w:bCs/>
          <w:snapToGrid w:val="0"/>
          <w:szCs w:val="24"/>
          <w:lang w:val="en-GB"/>
        </w:rPr>
        <w:t>The PBAC considered that n</w:t>
      </w:r>
      <w:r w:rsidR="00B755F9" w:rsidRPr="00B755F9">
        <w:rPr>
          <w:rFonts w:ascii="Calibri" w:eastAsia="Times New Roman" w:hAnsi="Calibri" w:cs="Arial"/>
          <w:bCs/>
          <w:snapToGrid w:val="0"/>
          <w:szCs w:val="24"/>
          <w:lang w:val="en-GB"/>
        </w:rPr>
        <w:t xml:space="preserve">on-inferiority </w:t>
      </w:r>
      <w:r w:rsidR="00CB2735">
        <w:rPr>
          <w:rFonts w:ascii="Calibri" w:eastAsia="Times New Roman" w:hAnsi="Calibri" w:cs="Arial"/>
          <w:bCs/>
          <w:snapToGrid w:val="0"/>
          <w:szCs w:val="24"/>
          <w:lang w:val="en-GB"/>
        </w:rPr>
        <w:t xml:space="preserve">for </w:t>
      </w:r>
      <w:r w:rsidR="00CB2735" w:rsidRPr="00CB2735">
        <w:rPr>
          <w:rFonts w:ascii="Calibri" w:eastAsia="Times New Roman" w:hAnsi="Calibri" w:cs="Arial"/>
          <w:bCs/>
          <w:snapToGrid w:val="0"/>
          <w:szCs w:val="24"/>
          <w:lang w:val="en-GB"/>
        </w:rPr>
        <w:t>comparative safety was reasonable</w:t>
      </w:r>
      <w:r>
        <w:rPr>
          <w:rFonts w:ascii="Calibri" w:eastAsia="Times New Roman" w:hAnsi="Calibri" w:cs="Arial"/>
          <w:bCs/>
          <w:snapToGrid w:val="0"/>
          <w:szCs w:val="24"/>
          <w:lang w:val="en-GB"/>
        </w:rPr>
        <w:t>.</w:t>
      </w:r>
    </w:p>
    <w:p w:rsidR="00725B6E" w:rsidRPr="00143649" w:rsidRDefault="00725B6E" w:rsidP="005A72BC">
      <w:pPr>
        <w:pStyle w:val="ListParagraph"/>
        <w:numPr>
          <w:ilvl w:val="1"/>
          <w:numId w:val="3"/>
        </w:numPr>
        <w:jc w:val="both"/>
        <w:rPr>
          <w:rFonts w:ascii="Calibri" w:eastAsia="Times New Roman" w:hAnsi="Calibri" w:cs="Arial"/>
          <w:bCs/>
          <w:snapToGrid w:val="0"/>
          <w:szCs w:val="24"/>
          <w:lang w:val="en-GB"/>
        </w:rPr>
      </w:pPr>
      <w:r>
        <w:rPr>
          <w:rFonts w:ascii="Calibri" w:eastAsia="Times New Roman" w:hAnsi="Calibri" w:cs="Arial"/>
          <w:bCs/>
          <w:snapToGrid w:val="0"/>
          <w:szCs w:val="24"/>
          <w:lang w:val="en-GB"/>
        </w:rPr>
        <w:t xml:space="preserve">The PBAC considered that due to the lack of non-inferiority </w:t>
      </w:r>
      <w:r w:rsidR="00276DB9">
        <w:rPr>
          <w:rFonts w:ascii="Calibri" w:eastAsia="Times New Roman" w:hAnsi="Calibri" w:cs="Arial"/>
          <w:bCs/>
          <w:snapToGrid w:val="0"/>
          <w:szCs w:val="24"/>
          <w:lang w:val="en-GB"/>
        </w:rPr>
        <w:t>to the foam enema form the cost minimisation approach and financial implications</w:t>
      </w:r>
      <w:r w:rsidR="000C5EF9">
        <w:rPr>
          <w:rFonts w:ascii="Calibri" w:eastAsia="Times New Roman" w:hAnsi="Calibri" w:cs="Arial"/>
          <w:bCs/>
          <w:snapToGrid w:val="0"/>
          <w:szCs w:val="24"/>
          <w:lang w:val="en-GB"/>
        </w:rPr>
        <w:t xml:space="preserve"> presented in the submission</w:t>
      </w:r>
      <w:r w:rsidR="00276DB9">
        <w:rPr>
          <w:rFonts w:ascii="Calibri" w:eastAsia="Times New Roman" w:hAnsi="Calibri" w:cs="Arial"/>
          <w:bCs/>
          <w:snapToGrid w:val="0"/>
          <w:szCs w:val="24"/>
          <w:lang w:val="en-GB"/>
        </w:rPr>
        <w:t xml:space="preserve"> were uninformative.</w:t>
      </w:r>
    </w:p>
    <w:p w:rsidR="00846B8D" w:rsidRPr="00BF5F46" w:rsidRDefault="00846B8D" w:rsidP="005A72BC">
      <w:pPr>
        <w:pStyle w:val="ListParagraph"/>
        <w:widowControl w:val="0"/>
        <w:numPr>
          <w:ilvl w:val="1"/>
          <w:numId w:val="3"/>
        </w:numPr>
        <w:spacing w:before="0" w:after="120"/>
        <w:jc w:val="both"/>
        <w:rPr>
          <w:rFonts w:ascii="Calibri" w:eastAsia="Times New Roman" w:hAnsi="Calibri" w:cs="Arial"/>
          <w:bCs/>
          <w:snapToGrid w:val="0"/>
          <w:szCs w:val="24"/>
          <w:lang w:val="en-GB"/>
        </w:rPr>
      </w:pPr>
      <w:r w:rsidRPr="00BF5F46">
        <w:rPr>
          <w:rFonts w:ascii="Calibri" w:eastAsia="Times New Roman" w:hAnsi="Calibri" w:cs="Arial"/>
          <w:bCs/>
          <w:snapToGrid w:val="0"/>
          <w:szCs w:val="24"/>
          <w:lang w:val="en-GB"/>
        </w:rPr>
        <w:t xml:space="preserve">The PBAC noted that this submission </w:t>
      </w:r>
      <w:r w:rsidR="009F1A9C">
        <w:rPr>
          <w:rFonts w:ascii="Calibri" w:eastAsia="Times New Roman" w:hAnsi="Calibri" w:cs="Arial"/>
          <w:bCs/>
          <w:snapToGrid w:val="0"/>
          <w:szCs w:val="24"/>
          <w:lang w:val="en-GB"/>
        </w:rPr>
        <w:t>may be</w:t>
      </w:r>
      <w:r w:rsidR="00492604" w:rsidRPr="00BF5F46">
        <w:rPr>
          <w:rFonts w:ascii="Calibri" w:eastAsia="Times New Roman" w:hAnsi="Calibri" w:cs="Arial"/>
          <w:bCs/>
          <w:snapToGrid w:val="0"/>
          <w:szCs w:val="24"/>
          <w:lang w:val="en-GB"/>
        </w:rPr>
        <w:t xml:space="preserve"> </w:t>
      </w:r>
      <w:r w:rsidRPr="00BF5F46">
        <w:rPr>
          <w:rFonts w:ascii="Calibri" w:eastAsia="Times New Roman" w:hAnsi="Calibri" w:cs="Arial"/>
          <w:bCs/>
          <w:snapToGrid w:val="0"/>
          <w:szCs w:val="24"/>
          <w:lang w:val="en-GB"/>
        </w:rPr>
        <w:t>eligible for an Independent Review</w:t>
      </w:r>
      <w:r w:rsidR="00492604" w:rsidRPr="00BF5F46">
        <w:rPr>
          <w:rFonts w:ascii="Calibri" w:eastAsia="Times New Roman" w:hAnsi="Calibri" w:cs="Arial"/>
          <w:bCs/>
          <w:snapToGrid w:val="0"/>
          <w:szCs w:val="24"/>
          <w:lang w:val="en-GB"/>
        </w:rPr>
        <w:t xml:space="preserve"> because it is</w:t>
      </w:r>
      <w:r w:rsidR="00BF5F46">
        <w:rPr>
          <w:rFonts w:ascii="Calibri" w:eastAsia="Times New Roman" w:hAnsi="Calibri" w:cs="Arial"/>
          <w:bCs/>
          <w:snapToGrid w:val="0"/>
          <w:szCs w:val="24"/>
          <w:lang w:val="en-GB"/>
        </w:rPr>
        <w:t xml:space="preserve"> for</w:t>
      </w:r>
      <w:r w:rsidR="00492604" w:rsidRPr="00BF5F46">
        <w:rPr>
          <w:rFonts w:ascii="Calibri" w:eastAsia="Times New Roman" w:hAnsi="Calibri" w:cs="Arial"/>
          <w:bCs/>
          <w:snapToGrid w:val="0"/>
          <w:szCs w:val="24"/>
          <w:lang w:val="en-GB"/>
        </w:rPr>
        <w:t xml:space="preserve"> a new form of </w:t>
      </w:r>
      <w:r w:rsidR="009F1A9C">
        <w:rPr>
          <w:rFonts w:ascii="Calibri" w:eastAsia="Times New Roman" w:hAnsi="Calibri" w:cs="Arial"/>
          <w:bCs/>
          <w:snapToGrid w:val="0"/>
          <w:szCs w:val="24"/>
          <w:lang w:val="en-GB"/>
        </w:rPr>
        <w:t>a PBS listed</w:t>
      </w:r>
      <w:r w:rsidR="00492604" w:rsidRPr="00BF5F46">
        <w:rPr>
          <w:rFonts w:ascii="Calibri" w:eastAsia="Times New Roman" w:hAnsi="Calibri" w:cs="Arial"/>
          <w:bCs/>
          <w:snapToGrid w:val="0"/>
          <w:szCs w:val="24"/>
          <w:lang w:val="en-GB"/>
        </w:rPr>
        <w:t xml:space="preserve"> drug.</w:t>
      </w:r>
    </w:p>
    <w:p w:rsidR="00B04F2E" w:rsidRPr="00B04F2E" w:rsidRDefault="00B04F2E" w:rsidP="001E4448">
      <w:pPr>
        <w:widowControl w:val="0"/>
        <w:spacing w:before="0" w:after="120"/>
        <w:ind w:left="720"/>
        <w:jc w:val="both"/>
        <w:rPr>
          <w:rFonts w:ascii="Calibri" w:eastAsia="Times New Roman" w:hAnsi="Calibri" w:cs="Arial"/>
          <w:bCs/>
          <w:snapToGrid w:val="0"/>
          <w:szCs w:val="24"/>
          <w:highlight w:val="yellow"/>
          <w:lang w:val="en-GB"/>
        </w:rPr>
      </w:pPr>
    </w:p>
    <w:p w:rsidR="00B04F2E" w:rsidRPr="00143649" w:rsidRDefault="00B04F2E" w:rsidP="00B04F2E">
      <w:pPr>
        <w:spacing w:before="240" w:after="120"/>
        <w:jc w:val="both"/>
        <w:rPr>
          <w:rFonts w:ascii="Calibri" w:eastAsia="Times New Roman" w:hAnsi="Calibri" w:cs="Arial"/>
          <w:b/>
          <w:bCs/>
          <w:snapToGrid w:val="0"/>
          <w:szCs w:val="24"/>
          <w:lang w:val="en-GB"/>
        </w:rPr>
      </w:pPr>
      <w:r w:rsidRPr="00143649">
        <w:rPr>
          <w:rFonts w:ascii="Calibri" w:eastAsia="Times New Roman" w:hAnsi="Calibri" w:cs="Arial"/>
          <w:b/>
          <w:bCs/>
          <w:snapToGrid w:val="0"/>
          <w:szCs w:val="24"/>
          <w:lang w:val="en-GB"/>
        </w:rPr>
        <w:t>Outcome:</w:t>
      </w:r>
    </w:p>
    <w:p w:rsidR="00143649" w:rsidRDefault="00B04F2E" w:rsidP="00143649">
      <w:pPr>
        <w:spacing w:before="0" w:after="120"/>
        <w:jc w:val="both"/>
        <w:rPr>
          <w:rFonts w:ascii="Calibri" w:eastAsia="Times New Roman" w:hAnsi="Calibri" w:cs="Arial"/>
          <w:bCs/>
          <w:snapToGrid w:val="0"/>
          <w:szCs w:val="24"/>
          <w:lang w:val="en-GB"/>
        </w:rPr>
      </w:pPr>
      <w:r w:rsidRPr="00143649">
        <w:rPr>
          <w:rFonts w:ascii="Calibri" w:eastAsia="Times New Roman" w:hAnsi="Calibri" w:cs="Arial"/>
          <w:bCs/>
          <w:snapToGrid w:val="0"/>
          <w:szCs w:val="24"/>
          <w:lang w:val="en-GB"/>
        </w:rPr>
        <w:t xml:space="preserve">Rejected </w:t>
      </w:r>
    </w:p>
    <w:p w:rsidR="00492604" w:rsidRDefault="00492604" w:rsidP="005A72BC">
      <w:pPr>
        <w:jc w:val="both"/>
        <w:rPr>
          <w:rFonts w:ascii="Calibri" w:eastAsia="Times New Roman" w:hAnsi="Calibri" w:cs="Arial"/>
          <w:b/>
          <w:bCs/>
          <w:snapToGrid w:val="0"/>
          <w:szCs w:val="24"/>
        </w:rPr>
      </w:pPr>
    </w:p>
    <w:p w:rsidR="008F22DC" w:rsidRPr="00440A84" w:rsidRDefault="008F22DC" w:rsidP="00CB055A">
      <w:pPr>
        <w:pStyle w:val="PBACHeading1"/>
        <w:rPr>
          <w:szCs w:val="24"/>
        </w:rPr>
      </w:pPr>
      <w:r w:rsidRPr="00F5580B">
        <w:t>Context</w:t>
      </w:r>
      <w:r w:rsidRPr="006C2DAA">
        <w:rPr>
          <w:szCs w:val="32"/>
        </w:rPr>
        <w:t xml:space="preserve"> for Decision</w:t>
      </w:r>
    </w:p>
    <w:p w:rsidR="008F22DC" w:rsidRPr="00440A84" w:rsidRDefault="008F22DC" w:rsidP="00F82904">
      <w:pPr>
        <w:spacing w:after="0"/>
        <w:jc w:val="both"/>
        <w:rPr>
          <w:rFonts w:cs="Arial"/>
          <w:szCs w:val="24"/>
        </w:rPr>
      </w:pPr>
      <w:r w:rsidRPr="00440A84">
        <w:rPr>
          <w:rFonts w:cs="Arial"/>
          <w:szCs w:val="24"/>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8F22DC" w:rsidRPr="00440A84" w:rsidRDefault="008F22DC" w:rsidP="008F22DC">
      <w:pPr>
        <w:ind w:left="426"/>
        <w:jc w:val="both"/>
        <w:rPr>
          <w:rFonts w:cs="Arial"/>
          <w:szCs w:val="24"/>
        </w:rPr>
      </w:pPr>
    </w:p>
    <w:p w:rsidR="008F22DC" w:rsidRPr="00C163B2" w:rsidRDefault="008F22DC" w:rsidP="00CB055A">
      <w:pPr>
        <w:pStyle w:val="PBACHeading1"/>
        <w:rPr>
          <w:bCs/>
          <w:szCs w:val="24"/>
          <w:lang w:val="en-GB"/>
        </w:rPr>
      </w:pPr>
      <w:r w:rsidRPr="00C163B2">
        <w:rPr>
          <w:szCs w:val="32"/>
        </w:rPr>
        <w:t>Sponsor’s Comment</w:t>
      </w:r>
    </w:p>
    <w:p w:rsidR="008F22DC" w:rsidRPr="00143649" w:rsidRDefault="00885114" w:rsidP="005A72BC">
      <w:pPr>
        <w:jc w:val="both"/>
        <w:rPr>
          <w:rFonts w:ascii="Calibri" w:eastAsia="Times New Roman" w:hAnsi="Calibri" w:cs="Arial"/>
          <w:b/>
          <w:bCs/>
          <w:snapToGrid w:val="0"/>
          <w:szCs w:val="24"/>
        </w:rPr>
      </w:pPr>
      <w:proofErr w:type="spellStart"/>
      <w:r w:rsidRPr="00885114">
        <w:rPr>
          <w:rFonts w:cs="Arial"/>
          <w:bCs/>
          <w:szCs w:val="24"/>
          <w:lang w:val="en-GB"/>
        </w:rPr>
        <w:t>Ferring</w:t>
      </w:r>
      <w:proofErr w:type="spellEnd"/>
      <w:r w:rsidRPr="00885114">
        <w:rPr>
          <w:rFonts w:cs="Arial"/>
          <w:bCs/>
          <w:szCs w:val="24"/>
          <w:lang w:val="en-GB"/>
        </w:rPr>
        <w:t xml:space="preserve"> is disappointed that the PBAC decided not to recommend CORTIMENT® (budesonide) for the treatment of active ulcerative colitis. Patient bodies and HCPs have indicated that there is a clinical need for additional (orally delivered) therapies, such as CORTIMENT, that have demonstrated to be effective and well tolerated. </w:t>
      </w:r>
      <w:proofErr w:type="spellStart"/>
      <w:r w:rsidRPr="00885114">
        <w:rPr>
          <w:rFonts w:cs="Arial"/>
          <w:bCs/>
          <w:szCs w:val="24"/>
          <w:lang w:val="en-GB"/>
        </w:rPr>
        <w:t>Ferring</w:t>
      </w:r>
      <w:proofErr w:type="spellEnd"/>
      <w:r w:rsidRPr="00885114">
        <w:rPr>
          <w:rFonts w:cs="Arial"/>
          <w:bCs/>
          <w:szCs w:val="24"/>
          <w:lang w:val="en-GB"/>
        </w:rPr>
        <w:t xml:space="preserve"> will therefore continue to work with the PBAC to ensure that Australian patients with active ulcerative colitis have access to CORTIMENT.</w:t>
      </w:r>
    </w:p>
    <w:sectPr w:rsidR="008F22DC" w:rsidRPr="00143649" w:rsidSect="00550A4F">
      <w:headerReference w:type="even" r:id="rId9"/>
      <w:headerReference w:type="default" r:id="rId10"/>
      <w:footerReference w:type="even" r:id="rId11"/>
      <w:footerReference w:type="default" r:id="rId12"/>
      <w:headerReference w:type="first" r:id="rId13"/>
      <w:footerReference w:type="first" r:id="rId14"/>
      <w:pgSz w:w="11906" w:h="16838"/>
      <w:pgMar w:top="1440" w:right="1416" w:bottom="1440" w:left="1440" w:header="1440"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2904" w:rsidRDefault="00F82904" w:rsidP="00BA3306">
      <w:pPr>
        <w:spacing w:before="0" w:after="0"/>
      </w:pPr>
      <w:r>
        <w:separator/>
      </w:r>
    </w:p>
  </w:endnote>
  <w:endnote w:type="continuationSeparator" w:id="0">
    <w:p w:rsidR="00F82904" w:rsidRDefault="00F82904" w:rsidP="00BA330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Calibri"/>
    <w:panose1 w:val="020F0302020204030204"/>
    <w:charset w:val="00"/>
    <w:family w:val="swiss"/>
    <w:pitch w:val="variable"/>
    <w:sig w:usb0="A00002EF" w:usb1="4000207B"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1C7" w:rsidRDefault="00AA21C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1C7" w:rsidRDefault="00AA21C7" w:rsidP="00A94469">
    <w:pPr>
      <w:pStyle w:val="Footer"/>
      <w:jc w:val="center"/>
    </w:pPr>
    <w:r w:rsidRPr="00A94469">
      <w:rPr>
        <w:rFonts w:ascii="Calibri" w:eastAsia="Times New Roman" w:hAnsi="Calibri" w:cs="Arial"/>
        <w:szCs w:val="24"/>
      </w:rPr>
      <w:fldChar w:fldCharType="begin"/>
    </w:r>
    <w:r w:rsidRPr="00A94469">
      <w:rPr>
        <w:rFonts w:ascii="Calibri" w:eastAsia="Times New Roman" w:hAnsi="Calibri" w:cs="Arial"/>
        <w:szCs w:val="24"/>
      </w:rPr>
      <w:instrText xml:space="preserve"> PAGE   \* MERGEFORMAT </w:instrText>
    </w:r>
    <w:r w:rsidRPr="00A94469">
      <w:rPr>
        <w:rFonts w:ascii="Calibri" w:eastAsia="Times New Roman" w:hAnsi="Calibri" w:cs="Arial"/>
        <w:szCs w:val="24"/>
      </w:rPr>
      <w:fldChar w:fldCharType="separate"/>
    </w:r>
    <w:r w:rsidR="007C7059">
      <w:rPr>
        <w:rFonts w:ascii="Calibri" w:eastAsia="Times New Roman" w:hAnsi="Calibri" w:cs="Arial"/>
        <w:noProof/>
        <w:szCs w:val="24"/>
      </w:rPr>
      <w:t>14</w:t>
    </w:r>
    <w:r w:rsidRPr="00A94469">
      <w:rPr>
        <w:rFonts w:ascii="Calibri" w:eastAsia="Times New Roman" w:hAnsi="Calibri" w:cs="Arial"/>
        <w:noProof/>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1C7" w:rsidRDefault="00AA21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2904" w:rsidRDefault="00F82904" w:rsidP="00BA3306">
      <w:pPr>
        <w:spacing w:before="0" w:after="0"/>
      </w:pPr>
      <w:r>
        <w:separator/>
      </w:r>
    </w:p>
  </w:footnote>
  <w:footnote w:type="continuationSeparator" w:id="0">
    <w:p w:rsidR="00F82904" w:rsidRDefault="00F82904" w:rsidP="00BA3306">
      <w:pPr>
        <w:spacing w:before="0" w:after="0"/>
      </w:pPr>
      <w:r>
        <w:continuationSeparator/>
      </w:r>
    </w:p>
  </w:footnote>
  <w:footnote w:id="1">
    <w:p w:rsidR="00AA21C7" w:rsidRPr="00D62104" w:rsidRDefault="00AA21C7">
      <w:pPr>
        <w:pStyle w:val="FootnoteText"/>
      </w:pPr>
      <w:r w:rsidRPr="00D62104">
        <w:rPr>
          <w:rStyle w:val="FootnoteReference"/>
        </w:rPr>
        <w:footnoteRef/>
      </w:r>
      <w:r w:rsidRPr="00D62104">
        <w:t xml:space="preserve"> </w:t>
      </w:r>
      <w:proofErr w:type="gramStart"/>
      <w:r w:rsidRPr="00D62104">
        <w:t>PWC.</w:t>
      </w:r>
      <w:proofErr w:type="gramEnd"/>
      <w:r w:rsidRPr="00D62104">
        <w:t xml:space="preserve"> </w:t>
      </w:r>
      <w:proofErr w:type="gramStart"/>
      <w:r w:rsidRPr="00D62104">
        <w:t>Improving Inflammatory Bowel Disease care across Australia.</w:t>
      </w:r>
      <w:proofErr w:type="gramEnd"/>
      <w:r w:rsidRPr="00D62104">
        <w:t xml:space="preserve"> March 2013. Available from </w:t>
      </w:r>
      <w:hyperlink r:id="rId1" w:history="1">
        <w:r w:rsidRPr="00D62104">
          <w:rPr>
            <w:rStyle w:val="Hyperlink"/>
            <w:color w:val="auto"/>
          </w:rPr>
          <w:t>https://www.crohnsandcolitis.com.au/site/wp-content/uploads/PwC-Report-2013-Executive-Summary.pdf</w:t>
        </w:r>
      </w:hyperlink>
      <w:r w:rsidRPr="00D62104">
        <w:t xml:space="preserve"> , accessed </w:t>
      </w:r>
      <w:r>
        <w:t>4 May 2017</w:t>
      </w:r>
    </w:p>
    <w:p w:rsidR="00AA21C7" w:rsidRPr="00D62104" w:rsidRDefault="00AA21C7">
      <w:pPr>
        <w:pStyle w:val="FootnoteText"/>
      </w:pPr>
    </w:p>
  </w:footnote>
  <w:footnote w:id="2">
    <w:p w:rsidR="00AA21C7" w:rsidRDefault="00AA21C7">
      <w:pPr>
        <w:pStyle w:val="FootnoteText"/>
      </w:pPr>
      <w:r w:rsidRPr="00D62104">
        <w:rPr>
          <w:rStyle w:val="FootnoteReference"/>
        </w:rPr>
        <w:footnoteRef/>
      </w:r>
      <w:r w:rsidRPr="00D62104">
        <w:t xml:space="preserve"> </w:t>
      </w:r>
      <w:proofErr w:type="gramStart"/>
      <w:r w:rsidRPr="00D62104">
        <w:t>Access Economic.</w:t>
      </w:r>
      <w:proofErr w:type="gramEnd"/>
      <w:r w:rsidRPr="00D62104">
        <w:t xml:space="preserve"> </w:t>
      </w:r>
      <w:proofErr w:type="gramStart"/>
      <w:r w:rsidRPr="00D62104">
        <w:t xml:space="preserve">The Economic Costs of Crohn’s </w:t>
      </w:r>
      <w:proofErr w:type="spellStart"/>
      <w:r w:rsidRPr="00D62104">
        <w:t>Diease</w:t>
      </w:r>
      <w:proofErr w:type="spellEnd"/>
      <w:r w:rsidRPr="00D62104">
        <w:t xml:space="preserve"> and Ulcerative Colitis.</w:t>
      </w:r>
      <w:proofErr w:type="gramEnd"/>
      <w:r w:rsidRPr="00D62104">
        <w:t xml:space="preserve"> 9 June 2007 Available from </w:t>
      </w:r>
      <w:hyperlink r:id="rId2" w:history="1">
        <w:r w:rsidRPr="00D62104">
          <w:rPr>
            <w:rStyle w:val="Hyperlink"/>
            <w:color w:val="auto"/>
          </w:rPr>
          <w:t>https://www.crohnsandcolitis.com.au/site/wp-content/uploads/Deloitte-Access-Economics-Report.pdf</w:t>
        </w:r>
      </w:hyperlink>
      <w:r w:rsidRPr="00D62104">
        <w:t xml:space="preserve"> , accessed 4/5/17</w:t>
      </w:r>
    </w:p>
  </w:footnote>
  <w:footnote w:id="3">
    <w:p w:rsidR="00AA21C7" w:rsidRDefault="00AA21C7">
      <w:pPr>
        <w:pStyle w:val="FootnoteText"/>
      </w:pPr>
      <w:r>
        <w:rPr>
          <w:rStyle w:val="FootnoteReference"/>
        </w:rPr>
        <w:footnoteRef/>
      </w:r>
      <w:r>
        <w:t xml:space="preserve"> </w:t>
      </w:r>
      <w:r>
        <w:rPr>
          <w:rFonts w:ascii="Calibri" w:hAnsi="Calibri" w:cs="Calibri"/>
          <w:sz w:val="13"/>
          <w:szCs w:val="13"/>
        </w:rPr>
        <w:t xml:space="preserve">1 </w:t>
      </w:r>
      <w:r>
        <w:rPr>
          <w:rFonts w:ascii="Calibri" w:hAnsi="Calibri" w:cs="Calibri"/>
          <w:sz w:val="20"/>
        </w:rPr>
        <w:t>http://www.ema.europa.eu/docs/en_GB/document_library/Presentation/2013/11/WC500154161.pdf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1C7" w:rsidRDefault="00AA21C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1C7" w:rsidRPr="00A94469" w:rsidRDefault="00AA21C7" w:rsidP="00550A4F">
    <w:pPr>
      <w:tabs>
        <w:tab w:val="center" w:pos="4153"/>
        <w:tab w:val="right" w:pos="8306"/>
      </w:tabs>
      <w:spacing w:before="0" w:after="120"/>
      <w:ind w:left="360"/>
      <w:jc w:val="center"/>
    </w:pPr>
    <w:r>
      <w:rPr>
        <w:rFonts w:ascii="Calibri" w:eastAsia="Times New Roman" w:hAnsi="Calibri" w:cs="Arial"/>
        <w:i/>
        <w:color w:val="808080"/>
        <w:szCs w:val="24"/>
      </w:rPr>
      <w:t>Public Summary Document</w:t>
    </w:r>
    <w:r w:rsidRPr="00A94469">
      <w:rPr>
        <w:rFonts w:ascii="Calibri" w:eastAsia="Times New Roman" w:hAnsi="Calibri" w:cs="Arial"/>
        <w:i/>
        <w:color w:val="808080"/>
        <w:szCs w:val="24"/>
      </w:rPr>
      <w:t xml:space="preserve">– </w:t>
    </w:r>
    <w:r>
      <w:rPr>
        <w:rFonts w:ascii="Calibri" w:eastAsia="Times New Roman" w:hAnsi="Calibri" w:cs="Arial"/>
        <w:i/>
        <w:color w:val="808080"/>
        <w:szCs w:val="24"/>
      </w:rPr>
      <w:t>July 2017</w:t>
    </w:r>
    <w:r w:rsidRPr="00A94469">
      <w:rPr>
        <w:rFonts w:ascii="Calibri" w:eastAsia="Times New Roman" w:hAnsi="Calibri" w:cs="Arial"/>
        <w:i/>
        <w:color w:val="808080"/>
        <w:szCs w:val="24"/>
      </w:rPr>
      <w:t xml:space="preserve"> PBAC Meeting</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1C7" w:rsidRDefault="00AA21C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11A6134"/>
    <w:multiLevelType w:val="hybridMultilevel"/>
    <w:tmpl w:val="CBFC18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3B30D4D"/>
    <w:multiLevelType w:val="multilevel"/>
    <w:tmpl w:val="EF040090"/>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6BF7F1B"/>
    <w:multiLevelType w:val="hybridMultilevel"/>
    <w:tmpl w:val="1DC6B27A"/>
    <w:lvl w:ilvl="0" w:tplc="9718EE8E">
      <w:start w:val="1"/>
      <w:numFmt w:val="bullet"/>
      <w:lvlText w:val="•"/>
      <w:lvlJc w:val="left"/>
      <w:pPr>
        <w:tabs>
          <w:tab w:val="num" w:pos="720"/>
        </w:tabs>
        <w:ind w:left="720" w:hanging="360"/>
      </w:pPr>
      <w:rPr>
        <w:rFonts w:ascii="Arial" w:hAnsi="Arial" w:hint="default"/>
      </w:rPr>
    </w:lvl>
    <w:lvl w:ilvl="1" w:tplc="52F6237E" w:tentative="1">
      <w:start w:val="1"/>
      <w:numFmt w:val="bullet"/>
      <w:lvlText w:val="•"/>
      <w:lvlJc w:val="left"/>
      <w:pPr>
        <w:tabs>
          <w:tab w:val="num" w:pos="1440"/>
        </w:tabs>
        <w:ind w:left="1440" w:hanging="360"/>
      </w:pPr>
      <w:rPr>
        <w:rFonts w:ascii="Arial" w:hAnsi="Arial" w:hint="default"/>
      </w:rPr>
    </w:lvl>
    <w:lvl w:ilvl="2" w:tplc="13E6B842" w:tentative="1">
      <w:start w:val="1"/>
      <w:numFmt w:val="bullet"/>
      <w:lvlText w:val="•"/>
      <w:lvlJc w:val="left"/>
      <w:pPr>
        <w:tabs>
          <w:tab w:val="num" w:pos="2160"/>
        </w:tabs>
        <w:ind w:left="2160" w:hanging="360"/>
      </w:pPr>
      <w:rPr>
        <w:rFonts w:ascii="Arial" w:hAnsi="Arial" w:hint="default"/>
      </w:rPr>
    </w:lvl>
    <w:lvl w:ilvl="3" w:tplc="2D0682CC" w:tentative="1">
      <w:start w:val="1"/>
      <w:numFmt w:val="bullet"/>
      <w:lvlText w:val="•"/>
      <w:lvlJc w:val="left"/>
      <w:pPr>
        <w:tabs>
          <w:tab w:val="num" w:pos="2880"/>
        </w:tabs>
        <w:ind w:left="2880" w:hanging="360"/>
      </w:pPr>
      <w:rPr>
        <w:rFonts w:ascii="Arial" w:hAnsi="Arial" w:hint="default"/>
      </w:rPr>
    </w:lvl>
    <w:lvl w:ilvl="4" w:tplc="2C564A88" w:tentative="1">
      <w:start w:val="1"/>
      <w:numFmt w:val="bullet"/>
      <w:lvlText w:val="•"/>
      <w:lvlJc w:val="left"/>
      <w:pPr>
        <w:tabs>
          <w:tab w:val="num" w:pos="3600"/>
        </w:tabs>
        <w:ind w:left="3600" w:hanging="360"/>
      </w:pPr>
      <w:rPr>
        <w:rFonts w:ascii="Arial" w:hAnsi="Arial" w:hint="default"/>
      </w:rPr>
    </w:lvl>
    <w:lvl w:ilvl="5" w:tplc="9DEA9A58" w:tentative="1">
      <w:start w:val="1"/>
      <w:numFmt w:val="bullet"/>
      <w:lvlText w:val="•"/>
      <w:lvlJc w:val="left"/>
      <w:pPr>
        <w:tabs>
          <w:tab w:val="num" w:pos="4320"/>
        </w:tabs>
        <w:ind w:left="4320" w:hanging="360"/>
      </w:pPr>
      <w:rPr>
        <w:rFonts w:ascii="Arial" w:hAnsi="Arial" w:hint="default"/>
      </w:rPr>
    </w:lvl>
    <w:lvl w:ilvl="6" w:tplc="B290F47E" w:tentative="1">
      <w:start w:val="1"/>
      <w:numFmt w:val="bullet"/>
      <w:lvlText w:val="•"/>
      <w:lvlJc w:val="left"/>
      <w:pPr>
        <w:tabs>
          <w:tab w:val="num" w:pos="5040"/>
        </w:tabs>
        <w:ind w:left="5040" w:hanging="360"/>
      </w:pPr>
      <w:rPr>
        <w:rFonts w:ascii="Arial" w:hAnsi="Arial" w:hint="default"/>
      </w:rPr>
    </w:lvl>
    <w:lvl w:ilvl="7" w:tplc="3AAC5E9E" w:tentative="1">
      <w:start w:val="1"/>
      <w:numFmt w:val="bullet"/>
      <w:lvlText w:val="•"/>
      <w:lvlJc w:val="left"/>
      <w:pPr>
        <w:tabs>
          <w:tab w:val="num" w:pos="5760"/>
        </w:tabs>
        <w:ind w:left="5760" w:hanging="360"/>
      </w:pPr>
      <w:rPr>
        <w:rFonts w:ascii="Arial" w:hAnsi="Arial" w:hint="default"/>
      </w:rPr>
    </w:lvl>
    <w:lvl w:ilvl="8" w:tplc="459AB466" w:tentative="1">
      <w:start w:val="1"/>
      <w:numFmt w:val="bullet"/>
      <w:lvlText w:val="•"/>
      <w:lvlJc w:val="left"/>
      <w:pPr>
        <w:tabs>
          <w:tab w:val="num" w:pos="6480"/>
        </w:tabs>
        <w:ind w:left="6480" w:hanging="360"/>
      </w:pPr>
      <w:rPr>
        <w:rFonts w:ascii="Arial" w:hAnsi="Arial" w:hint="default"/>
      </w:rPr>
    </w:lvl>
  </w:abstractNum>
  <w:abstractNum w:abstractNumId="4">
    <w:nsid w:val="074227B4"/>
    <w:multiLevelType w:val="hybridMultilevel"/>
    <w:tmpl w:val="C1FECA4C"/>
    <w:lvl w:ilvl="0" w:tplc="B018371A">
      <w:start w:val="1"/>
      <w:numFmt w:val="bullet"/>
      <w:lvlText w:val="-"/>
      <w:lvlJc w:val="left"/>
      <w:pPr>
        <w:ind w:left="971" w:hanging="360"/>
      </w:pPr>
      <w:rPr>
        <w:rFonts w:ascii="Arial Narrow" w:hAnsi="Arial Narrow" w:hint="default"/>
      </w:rPr>
    </w:lvl>
    <w:lvl w:ilvl="1" w:tplc="0C090003" w:tentative="1">
      <w:start w:val="1"/>
      <w:numFmt w:val="bullet"/>
      <w:lvlText w:val="o"/>
      <w:lvlJc w:val="left"/>
      <w:pPr>
        <w:ind w:left="1691" w:hanging="360"/>
      </w:pPr>
      <w:rPr>
        <w:rFonts w:ascii="Courier New" w:hAnsi="Courier New" w:cs="Courier New" w:hint="default"/>
      </w:rPr>
    </w:lvl>
    <w:lvl w:ilvl="2" w:tplc="0C090005" w:tentative="1">
      <w:start w:val="1"/>
      <w:numFmt w:val="bullet"/>
      <w:lvlText w:val=""/>
      <w:lvlJc w:val="left"/>
      <w:pPr>
        <w:ind w:left="2411" w:hanging="360"/>
      </w:pPr>
      <w:rPr>
        <w:rFonts w:ascii="Wingdings" w:hAnsi="Wingdings" w:hint="default"/>
      </w:rPr>
    </w:lvl>
    <w:lvl w:ilvl="3" w:tplc="0C090001" w:tentative="1">
      <w:start w:val="1"/>
      <w:numFmt w:val="bullet"/>
      <w:lvlText w:val=""/>
      <w:lvlJc w:val="left"/>
      <w:pPr>
        <w:ind w:left="3131" w:hanging="360"/>
      </w:pPr>
      <w:rPr>
        <w:rFonts w:ascii="Symbol" w:hAnsi="Symbol" w:hint="default"/>
      </w:rPr>
    </w:lvl>
    <w:lvl w:ilvl="4" w:tplc="0C090003" w:tentative="1">
      <w:start w:val="1"/>
      <w:numFmt w:val="bullet"/>
      <w:lvlText w:val="o"/>
      <w:lvlJc w:val="left"/>
      <w:pPr>
        <w:ind w:left="3851" w:hanging="360"/>
      </w:pPr>
      <w:rPr>
        <w:rFonts w:ascii="Courier New" w:hAnsi="Courier New" w:cs="Courier New" w:hint="default"/>
      </w:rPr>
    </w:lvl>
    <w:lvl w:ilvl="5" w:tplc="0C090005" w:tentative="1">
      <w:start w:val="1"/>
      <w:numFmt w:val="bullet"/>
      <w:lvlText w:val=""/>
      <w:lvlJc w:val="left"/>
      <w:pPr>
        <w:ind w:left="4571" w:hanging="360"/>
      </w:pPr>
      <w:rPr>
        <w:rFonts w:ascii="Wingdings" w:hAnsi="Wingdings" w:hint="default"/>
      </w:rPr>
    </w:lvl>
    <w:lvl w:ilvl="6" w:tplc="0C090001" w:tentative="1">
      <w:start w:val="1"/>
      <w:numFmt w:val="bullet"/>
      <w:lvlText w:val=""/>
      <w:lvlJc w:val="left"/>
      <w:pPr>
        <w:ind w:left="5291" w:hanging="360"/>
      </w:pPr>
      <w:rPr>
        <w:rFonts w:ascii="Symbol" w:hAnsi="Symbol" w:hint="default"/>
      </w:rPr>
    </w:lvl>
    <w:lvl w:ilvl="7" w:tplc="0C090003" w:tentative="1">
      <w:start w:val="1"/>
      <w:numFmt w:val="bullet"/>
      <w:lvlText w:val="o"/>
      <w:lvlJc w:val="left"/>
      <w:pPr>
        <w:ind w:left="6011" w:hanging="360"/>
      </w:pPr>
      <w:rPr>
        <w:rFonts w:ascii="Courier New" w:hAnsi="Courier New" w:cs="Courier New" w:hint="default"/>
      </w:rPr>
    </w:lvl>
    <w:lvl w:ilvl="8" w:tplc="0C090005" w:tentative="1">
      <w:start w:val="1"/>
      <w:numFmt w:val="bullet"/>
      <w:lvlText w:val=""/>
      <w:lvlJc w:val="left"/>
      <w:pPr>
        <w:ind w:left="6731" w:hanging="360"/>
      </w:pPr>
      <w:rPr>
        <w:rFonts w:ascii="Wingdings" w:hAnsi="Wingdings" w:hint="default"/>
      </w:rPr>
    </w:lvl>
  </w:abstractNum>
  <w:abstractNum w:abstractNumId="5">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0CA55010"/>
    <w:multiLevelType w:val="multilevel"/>
    <w:tmpl w:val="006C9AF4"/>
    <w:lvl w:ilvl="0">
      <w:start w:val="3"/>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191A3662"/>
    <w:multiLevelType w:val="hybridMultilevel"/>
    <w:tmpl w:val="194E28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1E817A10"/>
    <w:multiLevelType w:val="hybridMultilevel"/>
    <w:tmpl w:val="2DDC9F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6C877DA"/>
    <w:multiLevelType w:val="hybridMultilevel"/>
    <w:tmpl w:val="7FAA331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nsid w:val="284E6825"/>
    <w:multiLevelType w:val="multilevel"/>
    <w:tmpl w:val="D966B28A"/>
    <w:lvl w:ilvl="0">
      <w:start w:val="2"/>
      <w:numFmt w:val="decimal"/>
      <w:pStyle w:val="Heading1"/>
      <w:lvlText w:val="%1"/>
      <w:lvlJc w:val="left"/>
      <w:pPr>
        <w:ind w:left="432" w:hanging="432"/>
      </w:pPr>
      <w:rPr>
        <w:rFonts w:hint="default"/>
      </w:rPr>
    </w:lvl>
    <w:lvl w:ilvl="1">
      <w:start w:val="6"/>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nsid w:val="29D6369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29EA2DF5"/>
    <w:multiLevelType w:val="multilevel"/>
    <w:tmpl w:val="D6C6E4B2"/>
    <w:styleLink w:val="Headings"/>
    <w:lvl w:ilvl="0">
      <w:start w:val="1"/>
      <w:numFmt w:val="decimal"/>
      <w:lvlText w:val="%1"/>
      <w:lvlJc w:val="left"/>
      <w:pPr>
        <w:ind w:left="720" w:hanging="720"/>
      </w:pPr>
      <w:rPr>
        <w:rFonts w:hint="default"/>
        <w:b/>
      </w:rPr>
    </w:lvl>
    <w:lvl w:ilvl="1">
      <w:start w:val="1"/>
      <w:numFmt w:val="decimal"/>
      <w:lvlText w:val=".%2%1"/>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2D857040"/>
    <w:multiLevelType w:val="hybridMultilevel"/>
    <w:tmpl w:val="57221764"/>
    <w:lvl w:ilvl="0" w:tplc="BAC6DCC4">
      <w:start w:val="2"/>
      <w:numFmt w:val="decimal"/>
      <w:lvlText w:val="%1"/>
      <w:lvlJc w:val="left"/>
      <w:pPr>
        <w:ind w:left="720" w:hanging="360"/>
      </w:pPr>
      <w:rPr>
        <w:rFonts w:eastAsia="Calibri" w:cstheme="minorHAnsi" w:hint="default"/>
        <w:b/>
        <w:bCs w:val="0"/>
        <w:vertAlign w:val="superscrip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2DC77382"/>
    <w:multiLevelType w:val="hybridMultilevel"/>
    <w:tmpl w:val="9A066660"/>
    <w:lvl w:ilvl="0" w:tplc="B018371A">
      <w:start w:val="1"/>
      <w:numFmt w:val="bullet"/>
      <w:lvlText w:val="-"/>
      <w:lvlJc w:val="left"/>
      <w:pPr>
        <w:ind w:left="720" w:hanging="360"/>
      </w:pPr>
      <w:rPr>
        <w:rFonts w:ascii="Arial Narrow" w:hAnsi="Arial Narro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3345149F"/>
    <w:multiLevelType w:val="hybridMultilevel"/>
    <w:tmpl w:val="A8E4AB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433F0A6B"/>
    <w:multiLevelType w:val="hybridMultilevel"/>
    <w:tmpl w:val="767CDC9A"/>
    <w:lvl w:ilvl="0" w:tplc="0C090001">
      <w:start w:val="1"/>
      <w:numFmt w:val="bullet"/>
      <w:lvlText w:val=""/>
      <w:lvlJc w:val="left"/>
      <w:pPr>
        <w:ind w:left="720" w:hanging="360"/>
      </w:pPr>
      <w:rPr>
        <w:rFonts w:ascii="Symbol" w:hAnsi="Symbol" w:hint="default"/>
      </w:rPr>
    </w:lvl>
    <w:lvl w:ilvl="1" w:tplc="0C09001B">
      <w:start w:val="1"/>
      <w:numFmt w:val="lowerRoman"/>
      <w:lvlText w:val="%2."/>
      <w:lvlJc w:val="righ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435E32CC"/>
    <w:multiLevelType w:val="hybridMultilevel"/>
    <w:tmpl w:val="17A42C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4A3A5A78"/>
    <w:multiLevelType w:val="hybridMultilevel"/>
    <w:tmpl w:val="CBD8C2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4B2875A5"/>
    <w:multiLevelType w:val="hybridMultilevel"/>
    <w:tmpl w:val="4D8C6658"/>
    <w:lvl w:ilvl="0" w:tplc="CF184C6A">
      <w:start w:val="1"/>
      <w:numFmt w:val="bullet"/>
      <w:pStyle w:val="V50Instructions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4E956612"/>
    <w:multiLevelType w:val="hybridMultilevel"/>
    <w:tmpl w:val="3806C7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57E12C8A"/>
    <w:multiLevelType w:val="hybridMultilevel"/>
    <w:tmpl w:val="E5F451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5BB56875"/>
    <w:multiLevelType w:val="multilevel"/>
    <w:tmpl w:val="0C09001F"/>
    <w:lvl w:ilvl="0">
      <w:start w:val="1"/>
      <w:numFmt w:val="decimal"/>
      <w:lvlText w:val="%1."/>
      <w:lvlJc w:val="left"/>
      <w:pPr>
        <w:ind w:left="360" w:hanging="360"/>
      </w:pPr>
    </w:lvl>
    <w:lvl w:ilvl="1">
      <w:start w:val="1"/>
      <w:numFmt w:val="decimal"/>
      <w:lvlText w:val="%1.%2."/>
      <w:lvlJc w:val="left"/>
      <w:pPr>
        <w:ind w:left="43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5ED00A85"/>
    <w:multiLevelType w:val="hybridMultilevel"/>
    <w:tmpl w:val="A1223F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5F2724BA"/>
    <w:multiLevelType w:val="hybridMultilevel"/>
    <w:tmpl w:val="058C4D0E"/>
    <w:lvl w:ilvl="0" w:tplc="775200BE">
      <w:start w:val="1"/>
      <w:numFmt w:val="bullet"/>
      <w:pStyle w:val="BulletLa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6DF062B7"/>
    <w:multiLevelType w:val="hybridMultilevel"/>
    <w:tmpl w:val="8FE4AD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E976E4E"/>
    <w:multiLevelType w:val="hybridMultilevel"/>
    <w:tmpl w:val="F7F87C0A"/>
    <w:lvl w:ilvl="0" w:tplc="94D42A88">
      <w:start w:val="1"/>
      <w:numFmt w:val="bullet"/>
      <w:lvlText w:val="-"/>
      <w:lvlJc w:val="left"/>
      <w:pPr>
        <w:ind w:left="360" w:hanging="360"/>
      </w:pPr>
      <w:rPr>
        <w:rFonts w:ascii="Courier New" w:hAnsi="Courier New"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nsid w:val="6EF91405"/>
    <w:multiLevelType w:val="multilevel"/>
    <w:tmpl w:val="4434F0D6"/>
    <w:lvl w:ilvl="0">
      <w:start w:val="3"/>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72322910"/>
    <w:multiLevelType w:val="hybridMultilevel"/>
    <w:tmpl w:val="41BAE080"/>
    <w:lvl w:ilvl="0" w:tplc="94D42A88">
      <w:start w:val="1"/>
      <w:numFmt w:val="bullet"/>
      <w:lvlText w:val="-"/>
      <w:lvlJc w:val="left"/>
      <w:pPr>
        <w:ind w:left="360" w:hanging="360"/>
      </w:pPr>
      <w:rPr>
        <w:rFonts w:ascii="Courier New" w:hAnsi="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nsid w:val="73FC5650"/>
    <w:multiLevelType w:val="multilevel"/>
    <w:tmpl w:val="0A5CA9CE"/>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nsid w:val="784D033C"/>
    <w:multiLevelType w:val="multilevel"/>
    <w:tmpl w:val="9E1C16AE"/>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nsid w:val="7AC065AB"/>
    <w:multiLevelType w:val="multilevel"/>
    <w:tmpl w:val="C390F9AC"/>
    <w:lvl w:ilvl="0">
      <w:start w:val="2"/>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7C727235"/>
    <w:multiLevelType w:val="multilevel"/>
    <w:tmpl w:val="33384B2A"/>
    <w:lvl w:ilvl="0">
      <w:start w:val="2"/>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5"/>
  </w:num>
  <w:num w:numId="2">
    <w:abstractNumId w:val="20"/>
  </w:num>
  <w:num w:numId="3">
    <w:abstractNumId w:val="32"/>
  </w:num>
  <w:num w:numId="4">
    <w:abstractNumId w:val="13"/>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num>
  <w:num w:numId="7">
    <w:abstractNumId w:val="34"/>
  </w:num>
  <w:num w:numId="8">
    <w:abstractNumId w:val="33"/>
  </w:num>
  <w:num w:numId="9">
    <w:abstractNumId w:val="26"/>
  </w:num>
  <w:num w:numId="10">
    <w:abstractNumId w:val="2"/>
  </w:num>
  <w:num w:numId="11">
    <w:abstractNumId w:val="29"/>
  </w:num>
  <w:num w:numId="12">
    <w:abstractNumId w:val="6"/>
  </w:num>
  <w:num w:numId="13">
    <w:abstractNumId w:val="31"/>
  </w:num>
  <w:num w:numId="14">
    <w:abstractNumId w:val="30"/>
  </w:num>
  <w:num w:numId="15">
    <w:abstractNumId w:val="28"/>
  </w:num>
  <w:num w:numId="16">
    <w:abstractNumId w:val="1"/>
  </w:num>
  <w:num w:numId="17">
    <w:abstractNumId w:val="18"/>
  </w:num>
  <w:num w:numId="18">
    <w:abstractNumId w:val="11"/>
  </w:num>
  <w:num w:numId="19">
    <w:abstractNumId w:val="15"/>
  </w:num>
  <w:num w:numId="20">
    <w:abstractNumId w:val="7"/>
  </w:num>
  <w:num w:numId="21">
    <w:abstractNumId w:val="8"/>
  </w:num>
  <w:num w:numId="22">
    <w:abstractNumId w:val="14"/>
  </w:num>
  <w:num w:numId="23">
    <w:abstractNumId w:val="16"/>
  </w:num>
  <w:num w:numId="24">
    <w:abstractNumId w:val="12"/>
  </w:num>
  <w:num w:numId="25">
    <w:abstractNumId w:val="11"/>
    <w:lvlOverride w:ilvl="0">
      <w:startOverride w:val="2"/>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 w:numId="28">
    <w:abstractNumId w:val="11"/>
    <w:lvlOverride w:ilvl="0">
      <w:startOverride w:val="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num>
  <w:num w:numId="30">
    <w:abstractNumId w:val="23"/>
  </w:num>
  <w:num w:numId="31">
    <w:abstractNumId w:val="10"/>
  </w:num>
  <w:num w:numId="32">
    <w:abstractNumId w:val="32"/>
  </w:num>
  <w:num w:numId="33">
    <w:abstractNumId w:val="18"/>
  </w:num>
  <w:num w:numId="34">
    <w:abstractNumId w:val="27"/>
  </w:num>
  <w:num w:numId="3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num>
  <w:num w:numId="38">
    <w:abstractNumId w:val="22"/>
  </w:num>
  <w:num w:numId="39">
    <w:abstractNumId w:val="5"/>
  </w:num>
  <w:num w:numId="40">
    <w:abstractNumId w:val="0"/>
  </w:num>
  <w:num w:numId="41">
    <w:abstractNumId w:val="9"/>
  </w:num>
  <w:num w:numId="4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num>
  <w:num w:numId="44">
    <w:abstractNumId w:val="3"/>
  </w:num>
  <w:num w:numId="45">
    <w:abstractNumId w:val="32"/>
  </w:num>
  <w:num w:numId="46">
    <w:abstractNumId w:val="32"/>
  </w:num>
  <w:num w:numId="47">
    <w:abstractNumId w:val="32"/>
  </w:num>
  <w:num w:numId="48">
    <w:abstractNumId w:val="32"/>
  </w:num>
  <w:numIdMacAtCleanup w:val="31"/>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irsten Howard">
    <w15:presenceInfo w15:providerId="AD" w15:userId="S-1-5-21-653478955-3067283134-999092648-38696"/>
  </w15:person>
  <w15:person w15:author="David Newby">
    <w15:presenceInfo w15:providerId="None" w15:userId="David Newb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17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A29"/>
    <w:rsid w:val="00001AB4"/>
    <w:rsid w:val="000036FE"/>
    <w:rsid w:val="00003C02"/>
    <w:rsid w:val="00007399"/>
    <w:rsid w:val="000078ED"/>
    <w:rsid w:val="0001066F"/>
    <w:rsid w:val="0001067D"/>
    <w:rsid w:val="00010839"/>
    <w:rsid w:val="000115B2"/>
    <w:rsid w:val="000129F3"/>
    <w:rsid w:val="00012A03"/>
    <w:rsid w:val="00012A2B"/>
    <w:rsid w:val="00013222"/>
    <w:rsid w:val="000143C8"/>
    <w:rsid w:val="00015B69"/>
    <w:rsid w:val="00017B68"/>
    <w:rsid w:val="0002095B"/>
    <w:rsid w:val="00023265"/>
    <w:rsid w:val="00023AB6"/>
    <w:rsid w:val="00025236"/>
    <w:rsid w:val="00026946"/>
    <w:rsid w:val="00030B8F"/>
    <w:rsid w:val="0003140B"/>
    <w:rsid w:val="00031810"/>
    <w:rsid w:val="000326E4"/>
    <w:rsid w:val="00033492"/>
    <w:rsid w:val="00033B6B"/>
    <w:rsid w:val="00034404"/>
    <w:rsid w:val="00036EE4"/>
    <w:rsid w:val="00037BEC"/>
    <w:rsid w:val="0004187C"/>
    <w:rsid w:val="00041B78"/>
    <w:rsid w:val="00042CDE"/>
    <w:rsid w:val="000435F6"/>
    <w:rsid w:val="0004398E"/>
    <w:rsid w:val="000440D8"/>
    <w:rsid w:val="000461CF"/>
    <w:rsid w:val="0005097D"/>
    <w:rsid w:val="00052607"/>
    <w:rsid w:val="000533DD"/>
    <w:rsid w:val="00053914"/>
    <w:rsid w:val="00054EEE"/>
    <w:rsid w:val="000558F2"/>
    <w:rsid w:val="00057F71"/>
    <w:rsid w:val="00060501"/>
    <w:rsid w:val="00060ABC"/>
    <w:rsid w:val="00062067"/>
    <w:rsid w:val="0006274E"/>
    <w:rsid w:val="00062E93"/>
    <w:rsid w:val="00065C62"/>
    <w:rsid w:val="00065CDE"/>
    <w:rsid w:val="00065F4A"/>
    <w:rsid w:val="00067FE5"/>
    <w:rsid w:val="00072148"/>
    <w:rsid w:val="00072530"/>
    <w:rsid w:val="000727F1"/>
    <w:rsid w:val="00073972"/>
    <w:rsid w:val="0007480B"/>
    <w:rsid w:val="00077277"/>
    <w:rsid w:val="00077830"/>
    <w:rsid w:val="00080843"/>
    <w:rsid w:val="00080FF3"/>
    <w:rsid w:val="000847FE"/>
    <w:rsid w:val="000849DE"/>
    <w:rsid w:val="00086133"/>
    <w:rsid w:val="000868CA"/>
    <w:rsid w:val="000909B4"/>
    <w:rsid w:val="00092870"/>
    <w:rsid w:val="000936B3"/>
    <w:rsid w:val="00094C6C"/>
    <w:rsid w:val="000A02A3"/>
    <w:rsid w:val="000A0CCB"/>
    <w:rsid w:val="000A2694"/>
    <w:rsid w:val="000A2EF1"/>
    <w:rsid w:val="000A393C"/>
    <w:rsid w:val="000A5FD1"/>
    <w:rsid w:val="000A6667"/>
    <w:rsid w:val="000A696E"/>
    <w:rsid w:val="000A6FBD"/>
    <w:rsid w:val="000B2C03"/>
    <w:rsid w:val="000B3676"/>
    <w:rsid w:val="000B3DD9"/>
    <w:rsid w:val="000B3EFB"/>
    <w:rsid w:val="000B45E4"/>
    <w:rsid w:val="000B56CD"/>
    <w:rsid w:val="000B64F7"/>
    <w:rsid w:val="000B6B69"/>
    <w:rsid w:val="000C0142"/>
    <w:rsid w:val="000C1C2B"/>
    <w:rsid w:val="000C5DFD"/>
    <w:rsid w:val="000C5EF9"/>
    <w:rsid w:val="000C6A40"/>
    <w:rsid w:val="000C7650"/>
    <w:rsid w:val="000D0023"/>
    <w:rsid w:val="000D1022"/>
    <w:rsid w:val="000D1A29"/>
    <w:rsid w:val="000D4420"/>
    <w:rsid w:val="000E0856"/>
    <w:rsid w:val="000E0B93"/>
    <w:rsid w:val="000E126A"/>
    <w:rsid w:val="000E25DC"/>
    <w:rsid w:val="000F2097"/>
    <w:rsid w:val="000F2534"/>
    <w:rsid w:val="000F3652"/>
    <w:rsid w:val="000F4DFF"/>
    <w:rsid w:val="00101EC1"/>
    <w:rsid w:val="001044AD"/>
    <w:rsid w:val="00112204"/>
    <w:rsid w:val="0011231F"/>
    <w:rsid w:val="00112A2F"/>
    <w:rsid w:val="00114FBC"/>
    <w:rsid w:val="001151B2"/>
    <w:rsid w:val="00116FD1"/>
    <w:rsid w:val="00117136"/>
    <w:rsid w:val="0012192A"/>
    <w:rsid w:val="00124CF8"/>
    <w:rsid w:val="00124D08"/>
    <w:rsid w:val="001257F6"/>
    <w:rsid w:val="00126B7B"/>
    <w:rsid w:val="0012701F"/>
    <w:rsid w:val="001279AE"/>
    <w:rsid w:val="00127E58"/>
    <w:rsid w:val="0013148D"/>
    <w:rsid w:val="0013180D"/>
    <w:rsid w:val="00131E44"/>
    <w:rsid w:val="001346D7"/>
    <w:rsid w:val="00134DD0"/>
    <w:rsid w:val="00136E76"/>
    <w:rsid w:val="00137251"/>
    <w:rsid w:val="0014163A"/>
    <w:rsid w:val="00142FD4"/>
    <w:rsid w:val="00143649"/>
    <w:rsid w:val="00143B68"/>
    <w:rsid w:val="001468C6"/>
    <w:rsid w:val="00146C47"/>
    <w:rsid w:val="0015061A"/>
    <w:rsid w:val="00150D5A"/>
    <w:rsid w:val="001516EB"/>
    <w:rsid w:val="00152850"/>
    <w:rsid w:val="00152C84"/>
    <w:rsid w:val="00155048"/>
    <w:rsid w:val="00156E15"/>
    <w:rsid w:val="0016247B"/>
    <w:rsid w:val="0016343B"/>
    <w:rsid w:val="00163F88"/>
    <w:rsid w:val="00165A49"/>
    <w:rsid w:val="00171DEA"/>
    <w:rsid w:val="00172FB7"/>
    <w:rsid w:val="00173577"/>
    <w:rsid w:val="00173E6E"/>
    <w:rsid w:val="00176AA5"/>
    <w:rsid w:val="0017720E"/>
    <w:rsid w:val="00177893"/>
    <w:rsid w:val="00177E49"/>
    <w:rsid w:val="001802E0"/>
    <w:rsid w:val="00181F23"/>
    <w:rsid w:val="0018307F"/>
    <w:rsid w:val="00184221"/>
    <w:rsid w:val="00186307"/>
    <w:rsid w:val="00186EBC"/>
    <w:rsid w:val="00187570"/>
    <w:rsid w:val="00187940"/>
    <w:rsid w:val="00187E31"/>
    <w:rsid w:val="00190097"/>
    <w:rsid w:val="00193349"/>
    <w:rsid w:val="00193F9B"/>
    <w:rsid w:val="00195DA4"/>
    <w:rsid w:val="00196395"/>
    <w:rsid w:val="001A0142"/>
    <w:rsid w:val="001A080E"/>
    <w:rsid w:val="001A296A"/>
    <w:rsid w:val="001A3BB8"/>
    <w:rsid w:val="001A3EB0"/>
    <w:rsid w:val="001A47C6"/>
    <w:rsid w:val="001A4A4B"/>
    <w:rsid w:val="001A53AB"/>
    <w:rsid w:val="001B00CE"/>
    <w:rsid w:val="001B0DCE"/>
    <w:rsid w:val="001B2089"/>
    <w:rsid w:val="001B2B0E"/>
    <w:rsid w:val="001B43A9"/>
    <w:rsid w:val="001B6389"/>
    <w:rsid w:val="001C04CC"/>
    <w:rsid w:val="001C051E"/>
    <w:rsid w:val="001C1F88"/>
    <w:rsid w:val="001C26A0"/>
    <w:rsid w:val="001C2F79"/>
    <w:rsid w:val="001C346D"/>
    <w:rsid w:val="001C5C50"/>
    <w:rsid w:val="001D1A6B"/>
    <w:rsid w:val="001D3D1D"/>
    <w:rsid w:val="001D5D47"/>
    <w:rsid w:val="001D5DE3"/>
    <w:rsid w:val="001D64F7"/>
    <w:rsid w:val="001E4448"/>
    <w:rsid w:val="001E45F1"/>
    <w:rsid w:val="001E46A5"/>
    <w:rsid w:val="001E4A16"/>
    <w:rsid w:val="001E5918"/>
    <w:rsid w:val="001F073C"/>
    <w:rsid w:val="001F10FA"/>
    <w:rsid w:val="001F2912"/>
    <w:rsid w:val="001F50BD"/>
    <w:rsid w:val="001F5539"/>
    <w:rsid w:val="001F5B07"/>
    <w:rsid w:val="001F65DF"/>
    <w:rsid w:val="001F6729"/>
    <w:rsid w:val="00200296"/>
    <w:rsid w:val="00201ADB"/>
    <w:rsid w:val="00203932"/>
    <w:rsid w:val="0020495A"/>
    <w:rsid w:val="002058E5"/>
    <w:rsid w:val="00207F38"/>
    <w:rsid w:val="00210FAA"/>
    <w:rsid w:val="00211F7E"/>
    <w:rsid w:val="00214565"/>
    <w:rsid w:val="002150BC"/>
    <w:rsid w:val="00215269"/>
    <w:rsid w:val="00215529"/>
    <w:rsid w:val="00217342"/>
    <w:rsid w:val="00221091"/>
    <w:rsid w:val="002234A6"/>
    <w:rsid w:val="00225692"/>
    <w:rsid w:val="00231A66"/>
    <w:rsid w:val="00232B36"/>
    <w:rsid w:val="002333FA"/>
    <w:rsid w:val="002340C7"/>
    <w:rsid w:val="0024155C"/>
    <w:rsid w:val="002425EA"/>
    <w:rsid w:val="00242EA0"/>
    <w:rsid w:val="002435C4"/>
    <w:rsid w:val="00243685"/>
    <w:rsid w:val="002465D1"/>
    <w:rsid w:val="0025056B"/>
    <w:rsid w:val="002528EB"/>
    <w:rsid w:val="00253B14"/>
    <w:rsid w:val="002540B0"/>
    <w:rsid w:val="00255134"/>
    <w:rsid w:val="00255F1F"/>
    <w:rsid w:val="0025605E"/>
    <w:rsid w:val="0025613F"/>
    <w:rsid w:val="002606F6"/>
    <w:rsid w:val="00261DC6"/>
    <w:rsid w:val="00263F9C"/>
    <w:rsid w:val="00264623"/>
    <w:rsid w:val="002728A9"/>
    <w:rsid w:val="00273FAB"/>
    <w:rsid w:val="00275333"/>
    <w:rsid w:val="0027632E"/>
    <w:rsid w:val="00276DB9"/>
    <w:rsid w:val="00280B5B"/>
    <w:rsid w:val="002836DF"/>
    <w:rsid w:val="00283EB3"/>
    <w:rsid w:val="00285568"/>
    <w:rsid w:val="00285F0E"/>
    <w:rsid w:val="00286E71"/>
    <w:rsid w:val="00287154"/>
    <w:rsid w:val="00290CE3"/>
    <w:rsid w:val="00292095"/>
    <w:rsid w:val="002925E4"/>
    <w:rsid w:val="002928F4"/>
    <w:rsid w:val="00295DD6"/>
    <w:rsid w:val="002A19A8"/>
    <w:rsid w:val="002A247D"/>
    <w:rsid w:val="002A4503"/>
    <w:rsid w:val="002A5456"/>
    <w:rsid w:val="002A54BE"/>
    <w:rsid w:val="002A6AFD"/>
    <w:rsid w:val="002A7144"/>
    <w:rsid w:val="002B2099"/>
    <w:rsid w:val="002B3282"/>
    <w:rsid w:val="002B4941"/>
    <w:rsid w:val="002B58B3"/>
    <w:rsid w:val="002B5D74"/>
    <w:rsid w:val="002B7ADB"/>
    <w:rsid w:val="002B7BF4"/>
    <w:rsid w:val="002B7FF6"/>
    <w:rsid w:val="002C0475"/>
    <w:rsid w:val="002C1D2F"/>
    <w:rsid w:val="002C42FC"/>
    <w:rsid w:val="002C57C3"/>
    <w:rsid w:val="002C69B3"/>
    <w:rsid w:val="002C70A5"/>
    <w:rsid w:val="002C7BF8"/>
    <w:rsid w:val="002D2FCA"/>
    <w:rsid w:val="002D436E"/>
    <w:rsid w:val="002D7823"/>
    <w:rsid w:val="002E0584"/>
    <w:rsid w:val="002E2021"/>
    <w:rsid w:val="002E3236"/>
    <w:rsid w:val="002E4B14"/>
    <w:rsid w:val="002E4C2D"/>
    <w:rsid w:val="002E5DEA"/>
    <w:rsid w:val="002E6244"/>
    <w:rsid w:val="002E69C6"/>
    <w:rsid w:val="002E704D"/>
    <w:rsid w:val="002E724A"/>
    <w:rsid w:val="002F311E"/>
    <w:rsid w:val="002F5FD2"/>
    <w:rsid w:val="002F64ED"/>
    <w:rsid w:val="002F71B8"/>
    <w:rsid w:val="002F733D"/>
    <w:rsid w:val="00301EA1"/>
    <w:rsid w:val="00302FCC"/>
    <w:rsid w:val="00303961"/>
    <w:rsid w:val="003062AE"/>
    <w:rsid w:val="00315514"/>
    <w:rsid w:val="003159FB"/>
    <w:rsid w:val="00320552"/>
    <w:rsid w:val="003210A5"/>
    <w:rsid w:val="00323BE9"/>
    <w:rsid w:val="00326F6C"/>
    <w:rsid w:val="003270EF"/>
    <w:rsid w:val="00327271"/>
    <w:rsid w:val="00332617"/>
    <w:rsid w:val="00334ACF"/>
    <w:rsid w:val="00341A14"/>
    <w:rsid w:val="0034278F"/>
    <w:rsid w:val="00345B87"/>
    <w:rsid w:val="003509A1"/>
    <w:rsid w:val="00351381"/>
    <w:rsid w:val="003530A6"/>
    <w:rsid w:val="00353627"/>
    <w:rsid w:val="00355ADB"/>
    <w:rsid w:val="00355F72"/>
    <w:rsid w:val="00356BF5"/>
    <w:rsid w:val="00357657"/>
    <w:rsid w:val="003610A8"/>
    <w:rsid w:val="003639A6"/>
    <w:rsid w:val="0036665D"/>
    <w:rsid w:val="003669C8"/>
    <w:rsid w:val="003678FD"/>
    <w:rsid w:val="003679AE"/>
    <w:rsid w:val="00370F9E"/>
    <w:rsid w:val="00371AB4"/>
    <w:rsid w:val="00372A6B"/>
    <w:rsid w:val="00373880"/>
    <w:rsid w:val="00373FF1"/>
    <w:rsid w:val="00377CCA"/>
    <w:rsid w:val="003819B1"/>
    <w:rsid w:val="0038281C"/>
    <w:rsid w:val="00384777"/>
    <w:rsid w:val="00385A64"/>
    <w:rsid w:val="00386564"/>
    <w:rsid w:val="00386D1A"/>
    <w:rsid w:val="00392747"/>
    <w:rsid w:val="00394947"/>
    <w:rsid w:val="00397170"/>
    <w:rsid w:val="003A09D3"/>
    <w:rsid w:val="003A201F"/>
    <w:rsid w:val="003A2C8F"/>
    <w:rsid w:val="003A3433"/>
    <w:rsid w:val="003A537E"/>
    <w:rsid w:val="003A5EF9"/>
    <w:rsid w:val="003A648E"/>
    <w:rsid w:val="003A660F"/>
    <w:rsid w:val="003A6BC0"/>
    <w:rsid w:val="003B095E"/>
    <w:rsid w:val="003B0D17"/>
    <w:rsid w:val="003B1312"/>
    <w:rsid w:val="003B3C94"/>
    <w:rsid w:val="003B4987"/>
    <w:rsid w:val="003B5422"/>
    <w:rsid w:val="003C0EAF"/>
    <w:rsid w:val="003C1A9F"/>
    <w:rsid w:val="003C25CA"/>
    <w:rsid w:val="003C35B8"/>
    <w:rsid w:val="003C3BE2"/>
    <w:rsid w:val="003C5397"/>
    <w:rsid w:val="003D0C2E"/>
    <w:rsid w:val="003D11A9"/>
    <w:rsid w:val="003D2A37"/>
    <w:rsid w:val="003D331A"/>
    <w:rsid w:val="003D3569"/>
    <w:rsid w:val="003D69EF"/>
    <w:rsid w:val="003E0EDB"/>
    <w:rsid w:val="003E0F5A"/>
    <w:rsid w:val="003E2FAC"/>
    <w:rsid w:val="003E540A"/>
    <w:rsid w:val="003E6475"/>
    <w:rsid w:val="003E7857"/>
    <w:rsid w:val="003F0D04"/>
    <w:rsid w:val="003F105A"/>
    <w:rsid w:val="003F393B"/>
    <w:rsid w:val="003F475C"/>
    <w:rsid w:val="003F5D9E"/>
    <w:rsid w:val="003F6199"/>
    <w:rsid w:val="00400B96"/>
    <w:rsid w:val="004017ED"/>
    <w:rsid w:val="004033BF"/>
    <w:rsid w:val="00403B69"/>
    <w:rsid w:val="00405117"/>
    <w:rsid w:val="00406000"/>
    <w:rsid w:val="0040752F"/>
    <w:rsid w:val="0041014D"/>
    <w:rsid w:val="00411211"/>
    <w:rsid w:val="004125AD"/>
    <w:rsid w:val="0042028D"/>
    <w:rsid w:val="00421450"/>
    <w:rsid w:val="00427E55"/>
    <w:rsid w:val="0043295A"/>
    <w:rsid w:val="00432B82"/>
    <w:rsid w:val="00433636"/>
    <w:rsid w:val="0043390C"/>
    <w:rsid w:val="0043395A"/>
    <w:rsid w:val="00433C64"/>
    <w:rsid w:val="0043491B"/>
    <w:rsid w:val="00437BB5"/>
    <w:rsid w:val="00440417"/>
    <w:rsid w:val="00441021"/>
    <w:rsid w:val="00441624"/>
    <w:rsid w:val="00443505"/>
    <w:rsid w:val="00443945"/>
    <w:rsid w:val="00443CAB"/>
    <w:rsid w:val="00445558"/>
    <w:rsid w:val="00446200"/>
    <w:rsid w:val="00446FC8"/>
    <w:rsid w:val="004471FC"/>
    <w:rsid w:val="00447B4D"/>
    <w:rsid w:val="00451D51"/>
    <w:rsid w:val="00453AB7"/>
    <w:rsid w:val="00453BAE"/>
    <w:rsid w:val="00453D59"/>
    <w:rsid w:val="00455CBB"/>
    <w:rsid w:val="00460761"/>
    <w:rsid w:val="004619BB"/>
    <w:rsid w:val="00465D3F"/>
    <w:rsid w:val="0046621E"/>
    <w:rsid w:val="00472144"/>
    <w:rsid w:val="00472249"/>
    <w:rsid w:val="00472D4D"/>
    <w:rsid w:val="00472FBC"/>
    <w:rsid w:val="00474CED"/>
    <w:rsid w:val="00481A55"/>
    <w:rsid w:val="0048241C"/>
    <w:rsid w:val="00482455"/>
    <w:rsid w:val="00483C3C"/>
    <w:rsid w:val="00486774"/>
    <w:rsid w:val="00487F27"/>
    <w:rsid w:val="004919DD"/>
    <w:rsid w:val="00492604"/>
    <w:rsid w:val="00493F05"/>
    <w:rsid w:val="0049427B"/>
    <w:rsid w:val="00494F7C"/>
    <w:rsid w:val="0049551F"/>
    <w:rsid w:val="00496B02"/>
    <w:rsid w:val="004976AE"/>
    <w:rsid w:val="00497D60"/>
    <w:rsid w:val="004A2DF5"/>
    <w:rsid w:val="004A2EDC"/>
    <w:rsid w:val="004A31BA"/>
    <w:rsid w:val="004A36C1"/>
    <w:rsid w:val="004A4B4E"/>
    <w:rsid w:val="004A4EF3"/>
    <w:rsid w:val="004B0D65"/>
    <w:rsid w:val="004B3C00"/>
    <w:rsid w:val="004B5DAD"/>
    <w:rsid w:val="004C156B"/>
    <w:rsid w:val="004C1DAC"/>
    <w:rsid w:val="004C412B"/>
    <w:rsid w:val="004C429B"/>
    <w:rsid w:val="004C43CE"/>
    <w:rsid w:val="004C6692"/>
    <w:rsid w:val="004C7BC1"/>
    <w:rsid w:val="004D1006"/>
    <w:rsid w:val="004D3D22"/>
    <w:rsid w:val="004D45DF"/>
    <w:rsid w:val="004D77EA"/>
    <w:rsid w:val="004E03E0"/>
    <w:rsid w:val="004E0587"/>
    <w:rsid w:val="004E0C0B"/>
    <w:rsid w:val="004E2125"/>
    <w:rsid w:val="004E27AF"/>
    <w:rsid w:val="004E288F"/>
    <w:rsid w:val="004E5790"/>
    <w:rsid w:val="004E6BDD"/>
    <w:rsid w:val="004E6C14"/>
    <w:rsid w:val="004F1121"/>
    <w:rsid w:val="004F1D54"/>
    <w:rsid w:val="004F2225"/>
    <w:rsid w:val="004F2503"/>
    <w:rsid w:val="004F2B5D"/>
    <w:rsid w:val="004F3688"/>
    <w:rsid w:val="004F3AAE"/>
    <w:rsid w:val="004F4BDE"/>
    <w:rsid w:val="004F673E"/>
    <w:rsid w:val="004F6A6D"/>
    <w:rsid w:val="004F7CAC"/>
    <w:rsid w:val="0050014C"/>
    <w:rsid w:val="00507A32"/>
    <w:rsid w:val="00510CFE"/>
    <w:rsid w:val="00510DBE"/>
    <w:rsid w:val="00511320"/>
    <w:rsid w:val="005123B3"/>
    <w:rsid w:val="005125AD"/>
    <w:rsid w:val="00512FF7"/>
    <w:rsid w:val="005143F9"/>
    <w:rsid w:val="00516566"/>
    <w:rsid w:val="0051683D"/>
    <w:rsid w:val="005218C3"/>
    <w:rsid w:val="005226B2"/>
    <w:rsid w:val="00524296"/>
    <w:rsid w:val="0052676E"/>
    <w:rsid w:val="00530164"/>
    <w:rsid w:val="00531C11"/>
    <w:rsid w:val="00535399"/>
    <w:rsid w:val="00535C74"/>
    <w:rsid w:val="005361AB"/>
    <w:rsid w:val="00536D74"/>
    <w:rsid w:val="00537B13"/>
    <w:rsid w:val="005417E4"/>
    <w:rsid w:val="00541D43"/>
    <w:rsid w:val="00542068"/>
    <w:rsid w:val="00543AF9"/>
    <w:rsid w:val="00544602"/>
    <w:rsid w:val="00545DF5"/>
    <w:rsid w:val="00546C98"/>
    <w:rsid w:val="00550A4F"/>
    <w:rsid w:val="00551B6B"/>
    <w:rsid w:val="00551E0D"/>
    <w:rsid w:val="005526F2"/>
    <w:rsid w:val="005528DD"/>
    <w:rsid w:val="005552C2"/>
    <w:rsid w:val="0055532F"/>
    <w:rsid w:val="005558A9"/>
    <w:rsid w:val="00556F9A"/>
    <w:rsid w:val="00557A6D"/>
    <w:rsid w:val="00557CA1"/>
    <w:rsid w:val="005610A4"/>
    <w:rsid w:val="005616CD"/>
    <w:rsid w:val="00561D24"/>
    <w:rsid w:val="00563420"/>
    <w:rsid w:val="005646AA"/>
    <w:rsid w:val="0056751C"/>
    <w:rsid w:val="00571D6F"/>
    <w:rsid w:val="005735AB"/>
    <w:rsid w:val="00574E1C"/>
    <w:rsid w:val="0057628D"/>
    <w:rsid w:val="00576ADE"/>
    <w:rsid w:val="00576D42"/>
    <w:rsid w:val="00577408"/>
    <w:rsid w:val="00577B2E"/>
    <w:rsid w:val="00577CFD"/>
    <w:rsid w:val="00577DEF"/>
    <w:rsid w:val="0058030A"/>
    <w:rsid w:val="00581C41"/>
    <w:rsid w:val="005838B5"/>
    <w:rsid w:val="00584B8B"/>
    <w:rsid w:val="005911F3"/>
    <w:rsid w:val="0059208D"/>
    <w:rsid w:val="00592BFD"/>
    <w:rsid w:val="00597972"/>
    <w:rsid w:val="00597AA2"/>
    <w:rsid w:val="005A16F5"/>
    <w:rsid w:val="005A5686"/>
    <w:rsid w:val="005A72BC"/>
    <w:rsid w:val="005B3060"/>
    <w:rsid w:val="005B3127"/>
    <w:rsid w:val="005B495C"/>
    <w:rsid w:val="005C257B"/>
    <w:rsid w:val="005C7D99"/>
    <w:rsid w:val="005D1FB5"/>
    <w:rsid w:val="005D30AC"/>
    <w:rsid w:val="005D5369"/>
    <w:rsid w:val="005D5BA1"/>
    <w:rsid w:val="005D7C02"/>
    <w:rsid w:val="005E02CC"/>
    <w:rsid w:val="005E2F91"/>
    <w:rsid w:val="005E39F2"/>
    <w:rsid w:val="005E49B2"/>
    <w:rsid w:val="005E6CCA"/>
    <w:rsid w:val="005F0AE8"/>
    <w:rsid w:val="005F2A6B"/>
    <w:rsid w:val="005F40C1"/>
    <w:rsid w:val="005F5B39"/>
    <w:rsid w:val="005F5D5A"/>
    <w:rsid w:val="005F62A1"/>
    <w:rsid w:val="005F68AF"/>
    <w:rsid w:val="00601A93"/>
    <w:rsid w:val="006024D3"/>
    <w:rsid w:val="0060382D"/>
    <w:rsid w:val="006040D0"/>
    <w:rsid w:val="00605D19"/>
    <w:rsid w:val="00606585"/>
    <w:rsid w:val="006069E8"/>
    <w:rsid w:val="00606EF9"/>
    <w:rsid w:val="0060706A"/>
    <w:rsid w:val="00607758"/>
    <w:rsid w:val="006079F4"/>
    <w:rsid w:val="00610D40"/>
    <w:rsid w:val="00610D5E"/>
    <w:rsid w:val="006110E8"/>
    <w:rsid w:val="00613467"/>
    <w:rsid w:val="0061362F"/>
    <w:rsid w:val="006163AA"/>
    <w:rsid w:val="006177C3"/>
    <w:rsid w:val="00624315"/>
    <w:rsid w:val="006253ED"/>
    <w:rsid w:val="0062545B"/>
    <w:rsid w:val="0062552A"/>
    <w:rsid w:val="00625F37"/>
    <w:rsid w:val="00626F55"/>
    <w:rsid w:val="00627373"/>
    <w:rsid w:val="00631490"/>
    <w:rsid w:val="006319AA"/>
    <w:rsid w:val="006332BE"/>
    <w:rsid w:val="00634FD5"/>
    <w:rsid w:val="006408C3"/>
    <w:rsid w:val="00641234"/>
    <w:rsid w:val="0064620D"/>
    <w:rsid w:val="00646388"/>
    <w:rsid w:val="00651079"/>
    <w:rsid w:val="00651C18"/>
    <w:rsid w:val="00653BC8"/>
    <w:rsid w:val="00655749"/>
    <w:rsid w:val="00655D74"/>
    <w:rsid w:val="00655ED8"/>
    <w:rsid w:val="00656AFB"/>
    <w:rsid w:val="00657754"/>
    <w:rsid w:val="006614F7"/>
    <w:rsid w:val="00662976"/>
    <w:rsid w:val="00662DFF"/>
    <w:rsid w:val="00664356"/>
    <w:rsid w:val="00672120"/>
    <w:rsid w:val="00672931"/>
    <w:rsid w:val="0067661C"/>
    <w:rsid w:val="006819F3"/>
    <w:rsid w:val="006826A5"/>
    <w:rsid w:val="00686405"/>
    <w:rsid w:val="00687739"/>
    <w:rsid w:val="00690C51"/>
    <w:rsid w:val="00691913"/>
    <w:rsid w:val="00692EF6"/>
    <w:rsid w:val="006A0572"/>
    <w:rsid w:val="006A138B"/>
    <w:rsid w:val="006A51B7"/>
    <w:rsid w:val="006A576E"/>
    <w:rsid w:val="006B140A"/>
    <w:rsid w:val="006B2BCB"/>
    <w:rsid w:val="006B3882"/>
    <w:rsid w:val="006B64DC"/>
    <w:rsid w:val="006B70D9"/>
    <w:rsid w:val="006C05C0"/>
    <w:rsid w:val="006C4906"/>
    <w:rsid w:val="006C6ED5"/>
    <w:rsid w:val="006C705D"/>
    <w:rsid w:val="006D2E89"/>
    <w:rsid w:val="006D3271"/>
    <w:rsid w:val="006D51BD"/>
    <w:rsid w:val="006D7890"/>
    <w:rsid w:val="006E0FA9"/>
    <w:rsid w:val="006E1300"/>
    <w:rsid w:val="006E1BB5"/>
    <w:rsid w:val="006E57D4"/>
    <w:rsid w:val="006E7302"/>
    <w:rsid w:val="006F161E"/>
    <w:rsid w:val="006F21CC"/>
    <w:rsid w:val="006F422A"/>
    <w:rsid w:val="006F5CD1"/>
    <w:rsid w:val="00700E70"/>
    <w:rsid w:val="00711A81"/>
    <w:rsid w:val="00712BE0"/>
    <w:rsid w:val="00712C73"/>
    <w:rsid w:val="00713B8A"/>
    <w:rsid w:val="007234DA"/>
    <w:rsid w:val="00723E1E"/>
    <w:rsid w:val="0072415C"/>
    <w:rsid w:val="00724340"/>
    <w:rsid w:val="00725B6E"/>
    <w:rsid w:val="007264E9"/>
    <w:rsid w:val="0072683F"/>
    <w:rsid w:val="00726F15"/>
    <w:rsid w:val="007308E6"/>
    <w:rsid w:val="007315FB"/>
    <w:rsid w:val="0073340F"/>
    <w:rsid w:val="00736EB1"/>
    <w:rsid w:val="00741AE0"/>
    <w:rsid w:val="00742C16"/>
    <w:rsid w:val="007438BC"/>
    <w:rsid w:val="00744797"/>
    <w:rsid w:val="007447D5"/>
    <w:rsid w:val="007505EF"/>
    <w:rsid w:val="007509A6"/>
    <w:rsid w:val="00750B5A"/>
    <w:rsid w:val="007510E9"/>
    <w:rsid w:val="00752EBF"/>
    <w:rsid w:val="00754188"/>
    <w:rsid w:val="00761371"/>
    <w:rsid w:val="00767794"/>
    <w:rsid w:val="0077004F"/>
    <w:rsid w:val="00772C70"/>
    <w:rsid w:val="00772EC4"/>
    <w:rsid w:val="0077610F"/>
    <w:rsid w:val="00776ED1"/>
    <w:rsid w:val="00780109"/>
    <w:rsid w:val="00780E0C"/>
    <w:rsid w:val="007847FA"/>
    <w:rsid w:val="0078582A"/>
    <w:rsid w:val="0078582E"/>
    <w:rsid w:val="00790910"/>
    <w:rsid w:val="00791DE1"/>
    <w:rsid w:val="00792386"/>
    <w:rsid w:val="0079271F"/>
    <w:rsid w:val="00795F8F"/>
    <w:rsid w:val="00797C32"/>
    <w:rsid w:val="00797D34"/>
    <w:rsid w:val="007A23D7"/>
    <w:rsid w:val="007A25B2"/>
    <w:rsid w:val="007A38FF"/>
    <w:rsid w:val="007A3A8C"/>
    <w:rsid w:val="007A3FAE"/>
    <w:rsid w:val="007A5D40"/>
    <w:rsid w:val="007B0207"/>
    <w:rsid w:val="007B0E0C"/>
    <w:rsid w:val="007B1AD3"/>
    <w:rsid w:val="007B4584"/>
    <w:rsid w:val="007B4783"/>
    <w:rsid w:val="007B4B5F"/>
    <w:rsid w:val="007B4F8A"/>
    <w:rsid w:val="007B782A"/>
    <w:rsid w:val="007C26E5"/>
    <w:rsid w:val="007C700A"/>
    <w:rsid w:val="007C7059"/>
    <w:rsid w:val="007C720A"/>
    <w:rsid w:val="007C74A4"/>
    <w:rsid w:val="007C7CC8"/>
    <w:rsid w:val="007D0AF9"/>
    <w:rsid w:val="007D1092"/>
    <w:rsid w:val="007D151B"/>
    <w:rsid w:val="007D2621"/>
    <w:rsid w:val="007D4CDB"/>
    <w:rsid w:val="007D6238"/>
    <w:rsid w:val="007E1591"/>
    <w:rsid w:val="007E1865"/>
    <w:rsid w:val="007E18FC"/>
    <w:rsid w:val="007E48E4"/>
    <w:rsid w:val="007E56C9"/>
    <w:rsid w:val="007E7E30"/>
    <w:rsid w:val="007F08CA"/>
    <w:rsid w:val="007F2229"/>
    <w:rsid w:val="007F23B1"/>
    <w:rsid w:val="007F3905"/>
    <w:rsid w:val="007F3B6E"/>
    <w:rsid w:val="007F408E"/>
    <w:rsid w:val="00802066"/>
    <w:rsid w:val="00802102"/>
    <w:rsid w:val="00802CE0"/>
    <w:rsid w:val="008030A3"/>
    <w:rsid w:val="008039E0"/>
    <w:rsid w:val="00806434"/>
    <w:rsid w:val="00810F8A"/>
    <w:rsid w:val="0081195E"/>
    <w:rsid w:val="008122E9"/>
    <w:rsid w:val="00812EE1"/>
    <w:rsid w:val="00813288"/>
    <w:rsid w:val="00821A29"/>
    <w:rsid w:val="00823233"/>
    <w:rsid w:val="00824426"/>
    <w:rsid w:val="008248FE"/>
    <w:rsid w:val="008274F4"/>
    <w:rsid w:val="00830E52"/>
    <w:rsid w:val="008324E3"/>
    <w:rsid w:val="00836E8D"/>
    <w:rsid w:val="00842F06"/>
    <w:rsid w:val="00845754"/>
    <w:rsid w:val="00845946"/>
    <w:rsid w:val="00845ADB"/>
    <w:rsid w:val="00846978"/>
    <w:rsid w:val="00846B8D"/>
    <w:rsid w:val="00846ED6"/>
    <w:rsid w:val="008476A0"/>
    <w:rsid w:val="00847D79"/>
    <w:rsid w:val="0085287C"/>
    <w:rsid w:val="00852F38"/>
    <w:rsid w:val="00854722"/>
    <w:rsid w:val="00855855"/>
    <w:rsid w:val="00856C34"/>
    <w:rsid w:val="00856D11"/>
    <w:rsid w:val="00860B89"/>
    <w:rsid w:val="00861EB0"/>
    <w:rsid w:val="0086348E"/>
    <w:rsid w:val="00863F8C"/>
    <w:rsid w:val="00865DC1"/>
    <w:rsid w:val="008718A8"/>
    <w:rsid w:val="00873C61"/>
    <w:rsid w:val="008750F9"/>
    <w:rsid w:val="00875341"/>
    <w:rsid w:val="0087536F"/>
    <w:rsid w:val="00876FDC"/>
    <w:rsid w:val="00880913"/>
    <w:rsid w:val="00880A40"/>
    <w:rsid w:val="008848F3"/>
    <w:rsid w:val="00885114"/>
    <w:rsid w:val="00885D2B"/>
    <w:rsid w:val="00886359"/>
    <w:rsid w:val="008869F4"/>
    <w:rsid w:val="00887A6F"/>
    <w:rsid w:val="00890381"/>
    <w:rsid w:val="0089048F"/>
    <w:rsid w:val="008939A3"/>
    <w:rsid w:val="00893EEF"/>
    <w:rsid w:val="00896BE6"/>
    <w:rsid w:val="00897C0C"/>
    <w:rsid w:val="00897D7F"/>
    <w:rsid w:val="008A0247"/>
    <w:rsid w:val="008A084A"/>
    <w:rsid w:val="008A2034"/>
    <w:rsid w:val="008A40BC"/>
    <w:rsid w:val="008A4880"/>
    <w:rsid w:val="008A52B1"/>
    <w:rsid w:val="008A58FE"/>
    <w:rsid w:val="008A6759"/>
    <w:rsid w:val="008B1CE4"/>
    <w:rsid w:val="008B25CB"/>
    <w:rsid w:val="008B2620"/>
    <w:rsid w:val="008B4A73"/>
    <w:rsid w:val="008B5B32"/>
    <w:rsid w:val="008B6B5D"/>
    <w:rsid w:val="008B71CD"/>
    <w:rsid w:val="008C1BD6"/>
    <w:rsid w:val="008C2E88"/>
    <w:rsid w:val="008D01AB"/>
    <w:rsid w:val="008D1D2D"/>
    <w:rsid w:val="008D78FF"/>
    <w:rsid w:val="008E0E2A"/>
    <w:rsid w:val="008E0EF7"/>
    <w:rsid w:val="008E12B9"/>
    <w:rsid w:val="008E3579"/>
    <w:rsid w:val="008E49D5"/>
    <w:rsid w:val="008E7756"/>
    <w:rsid w:val="008F22DC"/>
    <w:rsid w:val="008F3A72"/>
    <w:rsid w:val="008F78E2"/>
    <w:rsid w:val="00901036"/>
    <w:rsid w:val="009013C2"/>
    <w:rsid w:val="009029A2"/>
    <w:rsid w:val="00902DC2"/>
    <w:rsid w:val="00903436"/>
    <w:rsid w:val="00903758"/>
    <w:rsid w:val="00906B53"/>
    <w:rsid w:val="00907AE5"/>
    <w:rsid w:val="00907BF6"/>
    <w:rsid w:val="0091187F"/>
    <w:rsid w:val="009123FC"/>
    <w:rsid w:val="00914DA7"/>
    <w:rsid w:val="00915F63"/>
    <w:rsid w:val="00916737"/>
    <w:rsid w:val="009177E9"/>
    <w:rsid w:val="009240C1"/>
    <w:rsid w:val="009248FE"/>
    <w:rsid w:val="0092540F"/>
    <w:rsid w:val="009328B5"/>
    <w:rsid w:val="00932A3A"/>
    <w:rsid w:val="009331CF"/>
    <w:rsid w:val="009331F8"/>
    <w:rsid w:val="0093326F"/>
    <w:rsid w:val="009334AC"/>
    <w:rsid w:val="009335DE"/>
    <w:rsid w:val="009359B7"/>
    <w:rsid w:val="00942010"/>
    <w:rsid w:val="00943193"/>
    <w:rsid w:val="0094320A"/>
    <w:rsid w:val="009446A8"/>
    <w:rsid w:val="009462D3"/>
    <w:rsid w:val="00950613"/>
    <w:rsid w:val="0095170D"/>
    <w:rsid w:val="00951DF9"/>
    <w:rsid w:val="0095307F"/>
    <w:rsid w:val="00955526"/>
    <w:rsid w:val="00955CC5"/>
    <w:rsid w:val="00956988"/>
    <w:rsid w:val="00956B2C"/>
    <w:rsid w:val="009611B5"/>
    <w:rsid w:val="00961A23"/>
    <w:rsid w:val="009635F7"/>
    <w:rsid w:val="00964E70"/>
    <w:rsid w:val="00966134"/>
    <w:rsid w:val="00966C09"/>
    <w:rsid w:val="0096728D"/>
    <w:rsid w:val="009716C0"/>
    <w:rsid w:val="00975899"/>
    <w:rsid w:val="00976595"/>
    <w:rsid w:val="0098040E"/>
    <w:rsid w:val="00981655"/>
    <w:rsid w:val="009818B1"/>
    <w:rsid w:val="00981CA1"/>
    <w:rsid w:val="009827D4"/>
    <w:rsid w:val="00984441"/>
    <w:rsid w:val="009844CF"/>
    <w:rsid w:val="00984DD8"/>
    <w:rsid w:val="00985A50"/>
    <w:rsid w:val="0099085F"/>
    <w:rsid w:val="00990B9D"/>
    <w:rsid w:val="00991681"/>
    <w:rsid w:val="009925DB"/>
    <w:rsid w:val="009928FB"/>
    <w:rsid w:val="00993CC9"/>
    <w:rsid w:val="00996067"/>
    <w:rsid w:val="00997058"/>
    <w:rsid w:val="009A4DE2"/>
    <w:rsid w:val="009A6F74"/>
    <w:rsid w:val="009B7607"/>
    <w:rsid w:val="009C2BB0"/>
    <w:rsid w:val="009C2FFD"/>
    <w:rsid w:val="009C37E7"/>
    <w:rsid w:val="009C4841"/>
    <w:rsid w:val="009C69ED"/>
    <w:rsid w:val="009D027B"/>
    <w:rsid w:val="009D11B0"/>
    <w:rsid w:val="009D2E9B"/>
    <w:rsid w:val="009D31F9"/>
    <w:rsid w:val="009D3628"/>
    <w:rsid w:val="009D4C2A"/>
    <w:rsid w:val="009D589C"/>
    <w:rsid w:val="009D6914"/>
    <w:rsid w:val="009E154F"/>
    <w:rsid w:val="009E1C22"/>
    <w:rsid w:val="009E20D4"/>
    <w:rsid w:val="009E2481"/>
    <w:rsid w:val="009E2572"/>
    <w:rsid w:val="009E34F8"/>
    <w:rsid w:val="009E4519"/>
    <w:rsid w:val="009E65DA"/>
    <w:rsid w:val="009E7ACF"/>
    <w:rsid w:val="009E7BF7"/>
    <w:rsid w:val="009F0BF3"/>
    <w:rsid w:val="009F1A9C"/>
    <w:rsid w:val="009F3631"/>
    <w:rsid w:val="009F3790"/>
    <w:rsid w:val="009F42BD"/>
    <w:rsid w:val="009F5C36"/>
    <w:rsid w:val="009F681E"/>
    <w:rsid w:val="009F7CEB"/>
    <w:rsid w:val="00A00D77"/>
    <w:rsid w:val="00A02381"/>
    <w:rsid w:val="00A03134"/>
    <w:rsid w:val="00A040FD"/>
    <w:rsid w:val="00A0426A"/>
    <w:rsid w:val="00A04C0D"/>
    <w:rsid w:val="00A04FFD"/>
    <w:rsid w:val="00A05FE5"/>
    <w:rsid w:val="00A0664D"/>
    <w:rsid w:val="00A078BF"/>
    <w:rsid w:val="00A10036"/>
    <w:rsid w:val="00A10BC9"/>
    <w:rsid w:val="00A12009"/>
    <w:rsid w:val="00A20B1A"/>
    <w:rsid w:val="00A21B45"/>
    <w:rsid w:val="00A22A39"/>
    <w:rsid w:val="00A2359F"/>
    <w:rsid w:val="00A238E7"/>
    <w:rsid w:val="00A244EE"/>
    <w:rsid w:val="00A246AF"/>
    <w:rsid w:val="00A254D4"/>
    <w:rsid w:val="00A26329"/>
    <w:rsid w:val="00A27888"/>
    <w:rsid w:val="00A306EA"/>
    <w:rsid w:val="00A30EEA"/>
    <w:rsid w:val="00A316CE"/>
    <w:rsid w:val="00A316D2"/>
    <w:rsid w:val="00A33F61"/>
    <w:rsid w:val="00A34077"/>
    <w:rsid w:val="00A358D6"/>
    <w:rsid w:val="00A36201"/>
    <w:rsid w:val="00A41E5D"/>
    <w:rsid w:val="00A44D73"/>
    <w:rsid w:val="00A50276"/>
    <w:rsid w:val="00A517BC"/>
    <w:rsid w:val="00A51DD1"/>
    <w:rsid w:val="00A535FB"/>
    <w:rsid w:val="00A5391E"/>
    <w:rsid w:val="00A53FEB"/>
    <w:rsid w:val="00A5578F"/>
    <w:rsid w:val="00A6176B"/>
    <w:rsid w:val="00A62742"/>
    <w:rsid w:val="00A6374D"/>
    <w:rsid w:val="00A63F47"/>
    <w:rsid w:val="00A64587"/>
    <w:rsid w:val="00A70653"/>
    <w:rsid w:val="00A74C03"/>
    <w:rsid w:val="00A75135"/>
    <w:rsid w:val="00A755B5"/>
    <w:rsid w:val="00A760D1"/>
    <w:rsid w:val="00A76C9C"/>
    <w:rsid w:val="00A7726F"/>
    <w:rsid w:val="00A81F82"/>
    <w:rsid w:val="00A841B0"/>
    <w:rsid w:val="00A843CC"/>
    <w:rsid w:val="00A85A2B"/>
    <w:rsid w:val="00A85C7E"/>
    <w:rsid w:val="00A86A50"/>
    <w:rsid w:val="00A90865"/>
    <w:rsid w:val="00A91C12"/>
    <w:rsid w:val="00A92C91"/>
    <w:rsid w:val="00A93543"/>
    <w:rsid w:val="00A94469"/>
    <w:rsid w:val="00A94EFC"/>
    <w:rsid w:val="00A96988"/>
    <w:rsid w:val="00A97A35"/>
    <w:rsid w:val="00AA11F2"/>
    <w:rsid w:val="00AA1681"/>
    <w:rsid w:val="00AA1A75"/>
    <w:rsid w:val="00AA21C7"/>
    <w:rsid w:val="00AA2FA1"/>
    <w:rsid w:val="00AA3262"/>
    <w:rsid w:val="00AA51C1"/>
    <w:rsid w:val="00AA546A"/>
    <w:rsid w:val="00AA6156"/>
    <w:rsid w:val="00AA7384"/>
    <w:rsid w:val="00AA73AC"/>
    <w:rsid w:val="00AA7B77"/>
    <w:rsid w:val="00AB09D0"/>
    <w:rsid w:val="00AB0DDA"/>
    <w:rsid w:val="00AB187A"/>
    <w:rsid w:val="00AB514A"/>
    <w:rsid w:val="00AC3683"/>
    <w:rsid w:val="00AC50E3"/>
    <w:rsid w:val="00AC6425"/>
    <w:rsid w:val="00AC76E8"/>
    <w:rsid w:val="00AC7CC6"/>
    <w:rsid w:val="00AD0CE8"/>
    <w:rsid w:val="00AD518C"/>
    <w:rsid w:val="00AD51C9"/>
    <w:rsid w:val="00AD66B2"/>
    <w:rsid w:val="00AD79CB"/>
    <w:rsid w:val="00AE01C8"/>
    <w:rsid w:val="00AE098C"/>
    <w:rsid w:val="00AE2A1B"/>
    <w:rsid w:val="00AE2A68"/>
    <w:rsid w:val="00AE2CFC"/>
    <w:rsid w:val="00AE490D"/>
    <w:rsid w:val="00AF0DF9"/>
    <w:rsid w:val="00AF2929"/>
    <w:rsid w:val="00AF4BE4"/>
    <w:rsid w:val="00AF5414"/>
    <w:rsid w:val="00AF693E"/>
    <w:rsid w:val="00AF716C"/>
    <w:rsid w:val="00AF7C88"/>
    <w:rsid w:val="00B0096C"/>
    <w:rsid w:val="00B01140"/>
    <w:rsid w:val="00B04F2E"/>
    <w:rsid w:val="00B05A6C"/>
    <w:rsid w:val="00B05C2A"/>
    <w:rsid w:val="00B11D3D"/>
    <w:rsid w:val="00B11EA0"/>
    <w:rsid w:val="00B17A71"/>
    <w:rsid w:val="00B17FDB"/>
    <w:rsid w:val="00B20C63"/>
    <w:rsid w:val="00B21B25"/>
    <w:rsid w:val="00B21BB1"/>
    <w:rsid w:val="00B25C23"/>
    <w:rsid w:val="00B25D68"/>
    <w:rsid w:val="00B2761E"/>
    <w:rsid w:val="00B2777B"/>
    <w:rsid w:val="00B3323F"/>
    <w:rsid w:val="00B3356A"/>
    <w:rsid w:val="00B35CEF"/>
    <w:rsid w:val="00B36B6D"/>
    <w:rsid w:val="00B373FA"/>
    <w:rsid w:val="00B37433"/>
    <w:rsid w:val="00B42368"/>
    <w:rsid w:val="00B42936"/>
    <w:rsid w:val="00B43F2A"/>
    <w:rsid w:val="00B43FDD"/>
    <w:rsid w:val="00B441C0"/>
    <w:rsid w:val="00B450DE"/>
    <w:rsid w:val="00B470B0"/>
    <w:rsid w:val="00B51176"/>
    <w:rsid w:val="00B5128C"/>
    <w:rsid w:val="00B51495"/>
    <w:rsid w:val="00B52373"/>
    <w:rsid w:val="00B551B7"/>
    <w:rsid w:val="00B57027"/>
    <w:rsid w:val="00B6165C"/>
    <w:rsid w:val="00B61BA6"/>
    <w:rsid w:val="00B6393A"/>
    <w:rsid w:val="00B64B89"/>
    <w:rsid w:val="00B655FB"/>
    <w:rsid w:val="00B66C37"/>
    <w:rsid w:val="00B67119"/>
    <w:rsid w:val="00B7140E"/>
    <w:rsid w:val="00B71675"/>
    <w:rsid w:val="00B71866"/>
    <w:rsid w:val="00B71B62"/>
    <w:rsid w:val="00B731F9"/>
    <w:rsid w:val="00B74840"/>
    <w:rsid w:val="00B755F9"/>
    <w:rsid w:val="00B75BC0"/>
    <w:rsid w:val="00B7717B"/>
    <w:rsid w:val="00B7796D"/>
    <w:rsid w:val="00B80B83"/>
    <w:rsid w:val="00B85A28"/>
    <w:rsid w:val="00B863A0"/>
    <w:rsid w:val="00B869E7"/>
    <w:rsid w:val="00B87D8D"/>
    <w:rsid w:val="00B90974"/>
    <w:rsid w:val="00B95D8C"/>
    <w:rsid w:val="00B97011"/>
    <w:rsid w:val="00BA01AB"/>
    <w:rsid w:val="00BA0606"/>
    <w:rsid w:val="00BA2F2D"/>
    <w:rsid w:val="00BA3306"/>
    <w:rsid w:val="00BA61A7"/>
    <w:rsid w:val="00BA73EE"/>
    <w:rsid w:val="00BA7961"/>
    <w:rsid w:val="00BB0523"/>
    <w:rsid w:val="00BB3015"/>
    <w:rsid w:val="00BB6E30"/>
    <w:rsid w:val="00BC205B"/>
    <w:rsid w:val="00BC2B10"/>
    <w:rsid w:val="00BC725E"/>
    <w:rsid w:val="00BD020D"/>
    <w:rsid w:val="00BD03EC"/>
    <w:rsid w:val="00BD0B73"/>
    <w:rsid w:val="00BD1B97"/>
    <w:rsid w:val="00BD48BC"/>
    <w:rsid w:val="00BD5D2F"/>
    <w:rsid w:val="00BD677E"/>
    <w:rsid w:val="00BD6889"/>
    <w:rsid w:val="00BD6D85"/>
    <w:rsid w:val="00BD7DDB"/>
    <w:rsid w:val="00BE004F"/>
    <w:rsid w:val="00BE13B7"/>
    <w:rsid w:val="00BE1C79"/>
    <w:rsid w:val="00BE1E2F"/>
    <w:rsid w:val="00BE3CAA"/>
    <w:rsid w:val="00BE3E5F"/>
    <w:rsid w:val="00BE4249"/>
    <w:rsid w:val="00BE583A"/>
    <w:rsid w:val="00BF1806"/>
    <w:rsid w:val="00BF1B51"/>
    <w:rsid w:val="00BF26CF"/>
    <w:rsid w:val="00BF5F46"/>
    <w:rsid w:val="00BF698F"/>
    <w:rsid w:val="00BF6C5E"/>
    <w:rsid w:val="00C024A2"/>
    <w:rsid w:val="00C02AD3"/>
    <w:rsid w:val="00C030E0"/>
    <w:rsid w:val="00C03D96"/>
    <w:rsid w:val="00C03F3D"/>
    <w:rsid w:val="00C07417"/>
    <w:rsid w:val="00C07BBA"/>
    <w:rsid w:val="00C1133A"/>
    <w:rsid w:val="00C115E6"/>
    <w:rsid w:val="00C131D6"/>
    <w:rsid w:val="00C1338B"/>
    <w:rsid w:val="00C163B2"/>
    <w:rsid w:val="00C174CA"/>
    <w:rsid w:val="00C178F2"/>
    <w:rsid w:val="00C2162C"/>
    <w:rsid w:val="00C229A1"/>
    <w:rsid w:val="00C230D7"/>
    <w:rsid w:val="00C23FEA"/>
    <w:rsid w:val="00C317F3"/>
    <w:rsid w:val="00C3236D"/>
    <w:rsid w:val="00C34BA4"/>
    <w:rsid w:val="00C41FA8"/>
    <w:rsid w:val="00C43B3D"/>
    <w:rsid w:val="00C44C37"/>
    <w:rsid w:val="00C44D3D"/>
    <w:rsid w:val="00C46AE5"/>
    <w:rsid w:val="00C47654"/>
    <w:rsid w:val="00C52738"/>
    <w:rsid w:val="00C52E7A"/>
    <w:rsid w:val="00C548F4"/>
    <w:rsid w:val="00C57E4D"/>
    <w:rsid w:val="00C60A2A"/>
    <w:rsid w:val="00C6161F"/>
    <w:rsid w:val="00C61777"/>
    <w:rsid w:val="00C626E2"/>
    <w:rsid w:val="00C62834"/>
    <w:rsid w:val="00C628C8"/>
    <w:rsid w:val="00C7519E"/>
    <w:rsid w:val="00C7722D"/>
    <w:rsid w:val="00C81015"/>
    <w:rsid w:val="00C81A12"/>
    <w:rsid w:val="00C846BE"/>
    <w:rsid w:val="00C84B07"/>
    <w:rsid w:val="00C9256A"/>
    <w:rsid w:val="00C930AC"/>
    <w:rsid w:val="00C9629B"/>
    <w:rsid w:val="00C963DE"/>
    <w:rsid w:val="00C977C4"/>
    <w:rsid w:val="00CA0C26"/>
    <w:rsid w:val="00CA1671"/>
    <w:rsid w:val="00CA1802"/>
    <w:rsid w:val="00CA1D6B"/>
    <w:rsid w:val="00CA34CC"/>
    <w:rsid w:val="00CA5C3F"/>
    <w:rsid w:val="00CB055A"/>
    <w:rsid w:val="00CB07A8"/>
    <w:rsid w:val="00CB0F36"/>
    <w:rsid w:val="00CB133A"/>
    <w:rsid w:val="00CB164D"/>
    <w:rsid w:val="00CB1CE9"/>
    <w:rsid w:val="00CB1D9E"/>
    <w:rsid w:val="00CB2735"/>
    <w:rsid w:val="00CB2C63"/>
    <w:rsid w:val="00CB5389"/>
    <w:rsid w:val="00CB7894"/>
    <w:rsid w:val="00CC055A"/>
    <w:rsid w:val="00CC10E1"/>
    <w:rsid w:val="00CC12A0"/>
    <w:rsid w:val="00CC27DD"/>
    <w:rsid w:val="00CC2C6C"/>
    <w:rsid w:val="00CC3EDB"/>
    <w:rsid w:val="00CC4E26"/>
    <w:rsid w:val="00CC4F79"/>
    <w:rsid w:val="00CC60BD"/>
    <w:rsid w:val="00CD12E3"/>
    <w:rsid w:val="00CD3050"/>
    <w:rsid w:val="00CD6327"/>
    <w:rsid w:val="00CD6E27"/>
    <w:rsid w:val="00CE2B78"/>
    <w:rsid w:val="00CE2C36"/>
    <w:rsid w:val="00CE3476"/>
    <w:rsid w:val="00CE52F6"/>
    <w:rsid w:val="00CE5793"/>
    <w:rsid w:val="00CE72A5"/>
    <w:rsid w:val="00CE74A3"/>
    <w:rsid w:val="00CF1175"/>
    <w:rsid w:val="00CF319E"/>
    <w:rsid w:val="00CF438B"/>
    <w:rsid w:val="00CF63CC"/>
    <w:rsid w:val="00D0047C"/>
    <w:rsid w:val="00D017E5"/>
    <w:rsid w:val="00D034DD"/>
    <w:rsid w:val="00D03A38"/>
    <w:rsid w:val="00D04952"/>
    <w:rsid w:val="00D04A0C"/>
    <w:rsid w:val="00D056AA"/>
    <w:rsid w:val="00D059E8"/>
    <w:rsid w:val="00D06A16"/>
    <w:rsid w:val="00D1078F"/>
    <w:rsid w:val="00D10A4C"/>
    <w:rsid w:val="00D10E60"/>
    <w:rsid w:val="00D1117F"/>
    <w:rsid w:val="00D12537"/>
    <w:rsid w:val="00D12CD2"/>
    <w:rsid w:val="00D14D23"/>
    <w:rsid w:val="00D15D8B"/>
    <w:rsid w:val="00D17304"/>
    <w:rsid w:val="00D177D5"/>
    <w:rsid w:val="00D17984"/>
    <w:rsid w:val="00D212F2"/>
    <w:rsid w:val="00D21A5C"/>
    <w:rsid w:val="00D22A65"/>
    <w:rsid w:val="00D23406"/>
    <w:rsid w:val="00D24DAD"/>
    <w:rsid w:val="00D255C1"/>
    <w:rsid w:val="00D25916"/>
    <w:rsid w:val="00D27DF3"/>
    <w:rsid w:val="00D307F9"/>
    <w:rsid w:val="00D31CDE"/>
    <w:rsid w:val="00D329E6"/>
    <w:rsid w:val="00D33664"/>
    <w:rsid w:val="00D37972"/>
    <w:rsid w:val="00D40667"/>
    <w:rsid w:val="00D40742"/>
    <w:rsid w:val="00D40896"/>
    <w:rsid w:val="00D40D5F"/>
    <w:rsid w:val="00D41466"/>
    <w:rsid w:val="00D41534"/>
    <w:rsid w:val="00D428D9"/>
    <w:rsid w:val="00D42C15"/>
    <w:rsid w:val="00D431AE"/>
    <w:rsid w:val="00D442BA"/>
    <w:rsid w:val="00D451FC"/>
    <w:rsid w:val="00D454D2"/>
    <w:rsid w:val="00D45A9F"/>
    <w:rsid w:val="00D463C8"/>
    <w:rsid w:val="00D469DB"/>
    <w:rsid w:val="00D51BFB"/>
    <w:rsid w:val="00D521AF"/>
    <w:rsid w:val="00D5237E"/>
    <w:rsid w:val="00D55307"/>
    <w:rsid w:val="00D57E18"/>
    <w:rsid w:val="00D62104"/>
    <w:rsid w:val="00D63C48"/>
    <w:rsid w:val="00D64289"/>
    <w:rsid w:val="00D65296"/>
    <w:rsid w:val="00D65E4A"/>
    <w:rsid w:val="00D6667B"/>
    <w:rsid w:val="00D70CA9"/>
    <w:rsid w:val="00D71400"/>
    <w:rsid w:val="00D740B4"/>
    <w:rsid w:val="00D74610"/>
    <w:rsid w:val="00D82140"/>
    <w:rsid w:val="00D829D5"/>
    <w:rsid w:val="00D8440F"/>
    <w:rsid w:val="00D846F1"/>
    <w:rsid w:val="00D84FB8"/>
    <w:rsid w:val="00D8686A"/>
    <w:rsid w:val="00D876B7"/>
    <w:rsid w:val="00D9239B"/>
    <w:rsid w:val="00D924FF"/>
    <w:rsid w:val="00D94871"/>
    <w:rsid w:val="00D95394"/>
    <w:rsid w:val="00D965A8"/>
    <w:rsid w:val="00D970E7"/>
    <w:rsid w:val="00DA032B"/>
    <w:rsid w:val="00DA0456"/>
    <w:rsid w:val="00DA55BB"/>
    <w:rsid w:val="00DA6568"/>
    <w:rsid w:val="00DA6B3E"/>
    <w:rsid w:val="00DA73EE"/>
    <w:rsid w:val="00DA75C2"/>
    <w:rsid w:val="00DA75F7"/>
    <w:rsid w:val="00DB00B9"/>
    <w:rsid w:val="00DB2A47"/>
    <w:rsid w:val="00DB5D97"/>
    <w:rsid w:val="00DC1743"/>
    <w:rsid w:val="00DC4CC9"/>
    <w:rsid w:val="00DC5AC4"/>
    <w:rsid w:val="00DC7746"/>
    <w:rsid w:val="00DD1308"/>
    <w:rsid w:val="00DD1A53"/>
    <w:rsid w:val="00DD1FFC"/>
    <w:rsid w:val="00DD3049"/>
    <w:rsid w:val="00DD66A6"/>
    <w:rsid w:val="00DD77A7"/>
    <w:rsid w:val="00DD7FDE"/>
    <w:rsid w:val="00DE30E2"/>
    <w:rsid w:val="00DE3377"/>
    <w:rsid w:val="00DE3A9A"/>
    <w:rsid w:val="00DE6421"/>
    <w:rsid w:val="00DF16C0"/>
    <w:rsid w:val="00DF301E"/>
    <w:rsid w:val="00DF548B"/>
    <w:rsid w:val="00DF635F"/>
    <w:rsid w:val="00DF7077"/>
    <w:rsid w:val="00E007CC"/>
    <w:rsid w:val="00E05FBC"/>
    <w:rsid w:val="00E10077"/>
    <w:rsid w:val="00E10552"/>
    <w:rsid w:val="00E10B7D"/>
    <w:rsid w:val="00E127CD"/>
    <w:rsid w:val="00E13FFD"/>
    <w:rsid w:val="00E15626"/>
    <w:rsid w:val="00E16219"/>
    <w:rsid w:val="00E227EA"/>
    <w:rsid w:val="00E23614"/>
    <w:rsid w:val="00E23660"/>
    <w:rsid w:val="00E23774"/>
    <w:rsid w:val="00E2761D"/>
    <w:rsid w:val="00E31A1E"/>
    <w:rsid w:val="00E31F95"/>
    <w:rsid w:val="00E339E0"/>
    <w:rsid w:val="00E34484"/>
    <w:rsid w:val="00E356A8"/>
    <w:rsid w:val="00E35DC4"/>
    <w:rsid w:val="00E37424"/>
    <w:rsid w:val="00E37EC4"/>
    <w:rsid w:val="00E40793"/>
    <w:rsid w:val="00E41A39"/>
    <w:rsid w:val="00E41D77"/>
    <w:rsid w:val="00E43941"/>
    <w:rsid w:val="00E450D7"/>
    <w:rsid w:val="00E45180"/>
    <w:rsid w:val="00E45305"/>
    <w:rsid w:val="00E45482"/>
    <w:rsid w:val="00E46AC9"/>
    <w:rsid w:val="00E507CF"/>
    <w:rsid w:val="00E51F80"/>
    <w:rsid w:val="00E525D5"/>
    <w:rsid w:val="00E53DB6"/>
    <w:rsid w:val="00E54FB3"/>
    <w:rsid w:val="00E55904"/>
    <w:rsid w:val="00E55E72"/>
    <w:rsid w:val="00E611BB"/>
    <w:rsid w:val="00E62412"/>
    <w:rsid w:val="00E63FAB"/>
    <w:rsid w:val="00E64AA8"/>
    <w:rsid w:val="00E64AB1"/>
    <w:rsid w:val="00E66614"/>
    <w:rsid w:val="00E677DC"/>
    <w:rsid w:val="00E702B7"/>
    <w:rsid w:val="00E70FDA"/>
    <w:rsid w:val="00E7104D"/>
    <w:rsid w:val="00E72ECF"/>
    <w:rsid w:val="00E7312F"/>
    <w:rsid w:val="00E74635"/>
    <w:rsid w:val="00E750C2"/>
    <w:rsid w:val="00E76B48"/>
    <w:rsid w:val="00E8269B"/>
    <w:rsid w:val="00E86D5D"/>
    <w:rsid w:val="00E8711B"/>
    <w:rsid w:val="00E87E25"/>
    <w:rsid w:val="00E930FA"/>
    <w:rsid w:val="00E93CA8"/>
    <w:rsid w:val="00E97188"/>
    <w:rsid w:val="00EA1B29"/>
    <w:rsid w:val="00EA21BF"/>
    <w:rsid w:val="00EA2A2E"/>
    <w:rsid w:val="00EA3E9E"/>
    <w:rsid w:val="00EA66E6"/>
    <w:rsid w:val="00EA7CF0"/>
    <w:rsid w:val="00EB170B"/>
    <w:rsid w:val="00EB1766"/>
    <w:rsid w:val="00EB426B"/>
    <w:rsid w:val="00EB44DF"/>
    <w:rsid w:val="00EB5E6D"/>
    <w:rsid w:val="00EB64A0"/>
    <w:rsid w:val="00EB64B1"/>
    <w:rsid w:val="00EC2051"/>
    <w:rsid w:val="00EC2A42"/>
    <w:rsid w:val="00EC67B1"/>
    <w:rsid w:val="00ED0CDE"/>
    <w:rsid w:val="00ED1835"/>
    <w:rsid w:val="00ED1A72"/>
    <w:rsid w:val="00ED74C3"/>
    <w:rsid w:val="00ED7553"/>
    <w:rsid w:val="00EE0F59"/>
    <w:rsid w:val="00EE3DDC"/>
    <w:rsid w:val="00EE5F21"/>
    <w:rsid w:val="00EF1381"/>
    <w:rsid w:val="00EF2C8E"/>
    <w:rsid w:val="00EF3278"/>
    <w:rsid w:val="00EF4AFB"/>
    <w:rsid w:val="00F0287E"/>
    <w:rsid w:val="00F049EC"/>
    <w:rsid w:val="00F053D2"/>
    <w:rsid w:val="00F0759F"/>
    <w:rsid w:val="00F07965"/>
    <w:rsid w:val="00F1012F"/>
    <w:rsid w:val="00F127CC"/>
    <w:rsid w:val="00F1303B"/>
    <w:rsid w:val="00F158D1"/>
    <w:rsid w:val="00F16044"/>
    <w:rsid w:val="00F16A43"/>
    <w:rsid w:val="00F16B41"/>
    <w:rsid w:val="00F20DEC"/>
    <w:rsid w:val="00F21BA2"/>
    <w:rsid w:val="00F24FD2"/>
    <w:rsid w:val="00F25B2D"/>
    <w:rsid w:val="00F26B4B"/>
    <w:rsid w:val="00F2706C"/>
    <w:rsid w:val="00F300F3"/>
    <w:rsid w:val="00F3094A"/>
    <w:rsid w:val="00F3128F"/>
    <w:rsid w:val="00F33580"/>
    <w:rsid w:val="00F3731C"/>
    <w:rsid w:val="00F4165D"/>
    <w:rsid w:val="00F41887"/>
    <w:rsid w:val="00F43991"/>
    <w:rsid w:val="00F465C2"/>
    <w:rsid w:val="00F5480F"/>
    <w:rsid w:val="00F54E4E"/>
    <w:rsid w:val="00F555ED"/>
    <w:rsid w:val="00F5580B"/>
    <w:rsid w:val="00F56314"/>
    <w:rsid w:val="00F63B13"/>
    <w:rsid w:val="00F709FF"/>
    <w:rsid w:val="00F7106F"/>
    <w:rsid w:val="00F72B42"/>
    <w:rsid w:val="00F733F3"/>
    <w:rsid w:val="00F73A39"/>
    <w:rsid w:val="00F75D3A"/>
    <w:rsid w:val="00F80139"/>
    <w:rsid w:val="00F81B64"/>
    <w:rsid w:val="00F822B5"/>
    <w:rsid w:val="00F82904"/>
    <w:rsid w:val="00F83C28"/>
    <w:rsid w:val="00F87C31"/>
    <w:rsid w:val="00F90591"/>
    <w:rsid w:val="00F909FA"/>
    <w:rsid w:val="00F90F25"/>
    <w:rsid w:val="00F91355"/>
    <w:rsid w:val="00F9192B"/>
    <w:rsid w:val="00F9212E"/>
    <w:rsid w:val="00F923CA"/>
    <w:rsid w:val="00F936F2"/>
    <w:rsid w:val="00F95014"/>
    <w:rsid w:val="00F95EA5"/>
    <w:rsid w:val="00F95FC8"/>
    <w:rsid w:val="00F961A2"/>
    <w:rsid w:val="00F96320"/>
    <w:rsid w:val="00F97486"/>
    <w:rsid w:val="00F9755A"/>
    <w:rsid w:val="00F97575"/>
    <w:rsid w:val="00FA0329"/>
    <w:rsid w:val="00FA1B7D"/>
    <w:rsid w:val="00FA1DFF"/>
    <w:rsid w:val="00FA1F95"/>
    <w:rsid w:val="00FA2C43"/>
    <w:rsid w:val="00FA563A"/>
    <w:rsid w:val="00FA62CA"/>
    <w:rsid w:val="00FA7524"/>
    <w:rsid w:val="00FB1E52"/>
    <w:rsid w:val="00FB29B3"/>
    <w:rsid w:val="00FB2B4A"/>
    <w:rsid w:val="00FB57DB"/>
    <w:rsid w:val="00FB5ECE"/>
    <w:rsid w:val="00FB6A88"/>
    <w:rsid w:val="00FB6F3A"/>
    <w:rsid w:val="00FB7AA5"/>
    <w:rsid w:val="00FC02C7"/>
    <w:rsid w:val="00FC06E3"/>
    <w:rsid w:val="00FC0A66"/>
    <w:rsid w:val="00FC22AB"/>
    <w:rsid w:val="00FC3603"/>
    <w:rsid w:val="00FC594B"/>
    <w:rsid w:val="00FD0472"/>
    <w:rsid w:val="00FD0DA5"/>
    <w:rsid w:val="00FD26C7"/>
    <w:rsid w:val="00FD61AF"/>
    <w:rsid w:val="00FD7364"/>
    <w:rsid w:val="00FD7841"/>
    <w:rsid w:val="00FE1009"/>
    <w:rsid w:val="00FE2431"/>
    <w:rsid w:val="00FE2D51"/>
    <w:rsid w:val="00FE41CD"/>
    <w:rsid w:val="00FE43FA"/>
    <w:rsid w:val="00FE46B3"/>
    <w:rsid w:val="00FE4976"/>
    <w:rsid w:val="00FE4BF3"/>
    <w:rsid w:val="00FE4C58"/>
    <w:rsid w:val="00FE6746"/>
    <w:rsid w:val="00FE6976"/>
    <w:rsid w:val="00FE7CB0"/>
    <w:rsid w:val="00FF2550"/>
    <w:rsid w:val="00FF572D"/>
    <w:rsid w:val="00FF610D"/>
    <w:rsid w:val="00FF6367"/>
    <w:rsid w:val="00FF6E1C"/>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9F3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5" w:qFormat="1"/>
    <w:lsdException w:name="heading 5" w:uiPriority="7" w:qFormat="1"/>
    <w:lsdException w:name="heading 6" w:uiPriority="7" w:qFormat="1"/>
    <w:lsdException w:name="heading 7" w:uiPriority="7" w:qFormat="1"/>
    <w:lsdException w:name="heading 8" w:uiPriority="7" w:qFormat="1"/>
    <w:lsdException w:name="heading 9" w:uiPriority="7" w:qFormat="1"/>
    <w:lsdException w:name="toc 1" w:uiPriority="39"/>
    <w:lsdException w:name="toc 2" w:uiPriority="39"/>
    <w:lsdException w:name="toc 3" w:uiPriority="39"/>
    <w:lsdException w:name="toc 4" w:uiPriority="9"/>
    <w:lsdException w:name="toc 5" w:uiPriority="9"/>
    <w:lsdException w:name="toc 6" w:uiPriority="9"/>
    <w:lsdException w:name="toc 7" w:uiPriority="9"/>
    <w:lsdException w:name="toc 8" w:uiPriority="9"/>
    <w:lsdException w:name="toc 9" w:uiPriority="9"/>
    <w:lsdException w:name="annotation text" w:uiPriority="0"/>
    <w:lsdException w:name="caption" w:uiPriority="35" w:qFormat="1"/>
    <w:lsdException w:name="annotation reference" w:uiPriority="0" w:qFormat="1"/>
    <w:lsdException w:name="Title" w:semiHidden="0" w:uiPriority="7" w:unhideWhenUsed="0" w:qFormat="1"/>
    <w:lsdException w:name="Default Paragraph Font" w:uiPriority="1"/>
    <w:lsdException w:name="Body Text" w:uiPriority="0" w:qFormat="1"/>
    <w:lsdException w:name="Body Text Indent" w:uiPriority="9"/>
    <w:lsdException w:name="Subtitle" w:semiHidden="0" w:uiPriority="9" w:unhideWhenUsed="0" w:qFormat="1"/>
    <w:lsdException w:name="Body Text 2" w:uiPriority="9"/>
    <w:lsdException w:name="Body Text 3" w:uiPriority="9"/>
    <w:lsdException w:name="Strong" w:semiHidden="0" w:uiPriority="22" w:unhideWhenUsed="0" w:qFormat="1"/>
    <w:lsdException w:name="Emphasis" w:semiHidden="0" w:uiPriority="20" w:unhideWhenUsed="0" w:qFormat="1"/>
    <w:lsdException w:name="annotation subject" w:uiPriority="9"/>
    <w:lsdException w:name="Balloon Text" w:uiPriority="9"/>
    <w:lsdException w:name="Table Grid" w:semiHidden="0" w:uiPriority="39" w:unhideWhenUsed="0"/>
    <w:lsdException w:name="Placeholder Text" w:unhideWhenUsed="0"/>
    <w:lsdException w:name="No Spacing" w:semiHidden="0" w:uiPriority="7"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3B6E"/>
    <w:pPr>
      <w:spacing w:before="120" w:line="240" w:lineRule="auto"/>
    </w:pPr>
    <w:rPr>
      <w:sz w:val="24"/>
    </w:rPr>
  </w:style>
  <w:style w:type="paragraph" w:styleId="Heading1">
    <w:name w:val="heading 1"/>
    <w:basedOn w:val="Normal"/>
    <w:next w:val="Normal"/>
    <w:link w:val="Heading1Char"/>
    <w:uiPriority w:val="1"/>
    <w:qFormat/>
    <w:rsid w:val="00D24DAD"/>
    <w:pPr>
      <w:keepNext/>
      <w:keepLines/>
      <w:numPr>
        <w:numId w:val="18"/>
      </w:numPr>
      <w:spacing w:before="400" w:after="120"/>
      <w:outlineLvl w:val="0"/>
    </w:pPr>
    <w:rPr>
      <w:rFonts w:eastAsiaTheme="majorEastAsia" w:cstheme="majorBidi"/>
      <w:b/>
      <w:sz w:val="32"/>
      <w:szCs w:val="28"/>
    </w:rPr>
  </w:style>
  <w:style w:type="paragraph" w:styleId="Heading2">
    <w:name w:val="heading 2"/>
    <w:basedOn w:val="Normal"/>
    <w:next w:val="Normal"/>
    <w:link w:val="Heading2Char"/>
    <w:uiPriority w:val="1"/>
    <w:unhideWhenUsed/>
    <w:qFormat/>
    <w:rsid w:val="00DF16C0"/>
    <w:pPr>
      <w:keepNext/>
      <w:keepLines/>
      <w:spacing w:before="240" w:after="120"/>
      <w:outlineLvl w:val="1"/>
    </w:pPr>
    <w:rPr>
      <w:rFonts w:eastAsiaTheme="majorEastAsia" w:cstheme="majorBidi"/>
      <w:b/>
      <w:i/>
      <w:sz w:val="28"/>
      <w:szCs w:val="28"/>
    </w:rPr>
  </w:style>
  <w:style w:type="paragraph" w:styleId="Heading3">
    <w:name w:val="heading 3"/>
    <w:basedOn w:val="Normal"/>
    <w:next w:val="Normal"/>
    <w:link w:val="Heading3Char"/>
    <w:uiPriority w:val="1"/>
    <w:unhideWhenUsed/>
    <w:qFormat/>
    <w:rsid w:val="00186307"/>
    <w:pPr>
      <w:keepNext/>
      <w:keepLines/>
      <w:spacing w:after="120"/>
      <w:outlineLvl w:val="2"/>
    </w:pPr>
    <w:rPr>
      <w:rFonts w:eastAsiaTheme="majorEastAsia" w:cstheme="majorBidi"/>
      <w:b/>
      <w:sz w:val="28"/>
      <w:szCs w:val="28"/>
    </w:rPr>
  </w:style>
  <w:style w:type="paragraph" w:styleId="Heading4">
    <w:name w:val="heading 4"/>
    <w:aliases w:val="Heading 1 - Body"/>
    <w:basedOn w:val="Heading1"/>
    <w:next w:val="Normal"/>
    <w:link w:val="Heading4Char"/>
    <w:uiPriority w:val="5"/>
    <w:unhideWhenUsed/>
    <w:qFormat/>
    <w:rsid w:val="00624315"/>
    <w:pPr>
      <w:outlineLvl w:val="3"/>
    </w:pPr>
  </w:style>
  <w:style w:type="paragraph" w:styleId="Heading5">
    <w:name w:val="heading 5"/>
    <w:aliases w:val="Heading 2 - Body"/>
    <w:basedOn w:val="Heading2"/>
    <w:next w:val="Normal"/>
    <w:link w:val="Heading5Char"/>
    <w:uiPriority w:val="7"/>
    <w:unhideWhenUsed/>
    <w:qFormat/>
    <w:rsid w:val="003B095E"/>
    <w:pPr>
      <w:outlineLvl w:val="4"/>
    </w:pPr>
  </w:style>
  <w:style w:type="paragraph" w:styleId="Heading6">
    <w:name w:val="heading 6"/>
    <w:aliases w:val="Heading 3 - Body"/>
    <w:basedOn w:val="Heading3"/>
    <w:next w:val="Normal"/>
    <w:link w:val="Heading6Char"/>
    <w:uiPriority w:val="7"/>
    <w:unhideWhenUsed/>
    <w:qFormat/>
    <w:rsid w:val="00624315"/>
    <w:pPr>
      <w:outlineLvl w:val="5"/>
    </w:pPr>
    <w:rPr>
      <w:sz w:val="24"/>
    </w:rPr>
  </w:style>
  <w:style w:type="paragraph" w:styleId="Heading7">
    <w:name w:val="heading 7"/>
    <w:basedOn w:val="Heading1"/>
    <w:next w:val="Normal"/>
    <w:link w:val="Heading7Char"/>
    <w:uiPriority w:val="7"/>
    <w:unhideWhenUsed/>
    <w:qFormat/>
    <w:rsid w:val="00472D4D"/>
    <w:pPr>
      <w:numPr>
        <w:numId w:val="0"/>
      </w:numPr>
      <w:spacing w:before="120"/>
      <w:ind w:left="709" w:hanging="709"/>
      <w:outlineLvl w:val="6"/>
    </w:pPr>
    <w:rPr>
      <w:i/>
      <w:sz w:val="24"/>
      <w:szCs w:val="24"/>
    </w:rPr>
  </w:style>
  <w:style w:type="paragraph" w:styleId="Heading8">
    <w:name w:val="heading 8"/>
    <w:basedOn w:val="Normal"/>
    <w:next w:val="Normal"/>
    <w:link w:val="Heading8Char"/>
    <w:uiPriority w:val="7"/>
    <w:unhideWhenUsed/>
    <w:qFormat/>
    <w:rsid w:val="002B5D74"/>
    <w:pPr>
      <w:keepNext/>
      <w:keepLines/>
      <w:numPr>
        <w:ilvl w:val="7"/>
        <w:numId w:val="18"/>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Section heading - Body"/>
    <w:basedOn w:val="Heading1"/>
    <w:next w:val="Normal"/>
    <w:link w:val="Heading9Char"/>
    <w:uiPriority w:val="7"/>
    <w:unhideWhenUsed/>
    <w:qFormat/>
    <w:rsid w:val="002A4503"/>
    <w:pP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24DAD"/>
    <w:rPr>
      <w:rFonts w:eastAsiaTheme="majorEastAsia" w:cstheme="majorBidi"/>
      <w:b/>
      <w:sz w:val="32"/>
      <w:szCs w:val="28"/>
    </w:rPr>
  </w:style>
  <w:style w:type="character" w:customStyle="1" w:styleId="Heading2Char">
    <w:name w:val="Heading 2 Char"/>
    <w:basedOn w:val="DefaultParagraphFont"/>
    <w:link w:val="Heading2"/>
    <w:uiPriority w:val="1"/>
    <w:rsid w:val="00DF16C0"/>
    <w:rPr>
      <w:rFonts w:eastAsiaTheme="majorEastAsia" w:cstheme="majorBidi"/>
      <w:b/>
      <w:i/>
      <w:sz w:val="28"/>
      <w:szCs w:val="28"/>
    </w:rPr>
  </w:style>
  <w:style w:type="character" w:customStyle="1" w:styleId="Heading3Char">
    <w:name w:val="Heading 3 Char"/>
    <w:basedOn w:val="DefaultParagraphFont"/>
    <w:link w:val="Heading3"/>
    <w:uiPriority w:val="9"/>
    <w:rsid w:val="00186307"/>
    <w:rPr>
      <w:rFonts w:eastAsiaTheme="majorEastAsia" w:cstheme="majorBidi"/>
      <w:b/>
      <w:sz w:val="28"/>
      <w:szCs w:val="28"/>
    </w:rPr>
  </w:style>
  <w:style w:type="paragraph" w:styleId="ListParagraph">
    <w:name w:val="List Paragraph"/>
    <w:aliases w:val="BulletPoints"/>
    <w:basedOn w:val="Normal"/>
    <w:link w:val="ListParagraphChar"/>
    <w:uiPriority w:val="34"/>
    <w:qFormat/>
    <w:rsid w:val="0095170D"/>
    <w:pPr>
      <w:ind w:left="720"/>
    </w:pPr>
  </w:style>
  <w:style w:type="paragraph" w:customStyle="1" w:styleId="V50Heading2nonumbers">
    <w:name w:val="V5.0 Heading 2 no numbers"/>
    <w:basedOn w:val="Heading2"/>
    <w:qFormat/>
    <w:rsid w:val="00186307"/>
    <w:pPr>
      <w:ind w:left="578" w:hanging="578"/>
    </w:pPr>
  </w:style>
  <w:style w:type="paragraph" w:customStyle="1" w:styleId="V50Instructions">
    <w:name w:val="V5.0 Instructions"/>
    <w:basedOn w:val="Normal"/>
    <w:link w:val="V50InstructionsChar"/>
    <w:qFormat/>
    <w:rsid w:val="003E6475"/>
    <w:rPr>
      <w:color w:val="4472C4" w:themeColor="accent5"/>
    </w:rPr>
  </w:style>
  <w:style w:type="character" w:customStyle="1" w:styleId="Heading4Char">
    <w:name w:val="Heading 4 Char"/>
    <w:aliases w:val="Heading 1 - Body Char"/>
    <w:basedOn w:val="DefaultParagraphFont"/>
    <w:link w:val="Heading4"/>
    <w:uiPriority w:val="5"/>
    <w:rsid w:val="00624315"/>
    <w:rPr>
      <w:rFonts w:eastAsiaTheme="majorEastAsia" w:cstheme="majorBidi"/>
      <w:b/>
      <w:sz w:val="32"/>
      <w:szCs w:val="28"/>
    </w:rPr>
  </w:style>
  <w:style w:type="character" w:customStyle="1" w:styleId="Heading5Char">
    <w:name w:val="Heading 5 Char"/>
    <w:aliases w:val="Heading 2 - Body Char"/>
    <w:basedOn w:val="DefaultParagraphFont"/>
    <w:link w:val="Heading5"/>
    <w:uiPriority w:val="7"/>
    <w:rsid w:val="003B095E"/>
    <w:rPr>
      <w:rFonts w:eastAsiaTheme="majorEastAsia" w:cstheme="majorBidi"/>
      <w:b/>
      <w:sz w:val="28"/>
      <w:szCs w:val="36"/>
    </w:rPr>
  </w:style>
  <w:style w:type="character" w:customStyle="1" w:styleId="Heading6Char">
    <w:name w:val="Heading 6 Char"/>
    <w:aliases w:val="Heading 3 - Body Char"/>
    <w:basedOn w:val="DefaultParagraphFont"/>
    <w:link w:val="Heading6"/>
    <w:uiPriority w:val="9"/>
    <w:rsid w:val="00624315"/>
    <w:rPr>
      <w:rFonts w:eastAsiaTheme="majorEastAsia" w:cstheme="majorBidi"/>
      <w:b/>
      <w:sz w:val="24"/>
      <w:szCs w:val="28"/>
    </w:rPr>
  </w:style>
  <w:style w:type="character" w:customStyle="1" w:styleId="Heading7Char">
    <w:name w:val="Heading 7 Char"/>
    <w:basedOn w:val="DefaultParagraphFont"/>
    <w:link w:val="Heading7"/>
    <w:uiPriority w:val="7"/>
    <w:rsid w:val="00472D4D"/>
    <w:rPr>
      <w:rFonts w:eastAsiaTheme="majorEastAsia" w:cstheme="majorBidi"/>
      <w:b/>
      <w:i/>
      <w:sz w:val="24"/>
      <w:szCs w:val="24"/>
    </w:rPr>
  </w:style>
  <w:style w:type="character" w:customStyle="1" w:styleId="Heading8Char">
    <w:name w:val="Heading 8 Char"/>
    <w:basedOn w:val="DefaultParagraphFont"/>
    <w:link w:val="Heading8"/>
    <w:uiPriority w:val="7"/>
    <w:rsid w:val="002B5D74"/>
    <w:rPr>
      <w:rFonts w:asciiTheme="majorHAnsi" w:eastAsiaTheme="majorEastAsia" w:hAnsiTheme="majorHAnsi" w:cstheme="majorBidi"/>
      <w:color w:val="272727" w:themeColor="text1" w:themeTint="D8"/>
      <w:sz w:val="21"/>
      <w:szCs w:val="21"/>
    </w:rPr>
  </w:style>
  <w:style w:type="character" w:customStyle="1" w:styleId="Heading9Char">
    <w:name w:val="Heading 9 Char"/>
    <w:aliases w:val="Section heading - Body Char"/>
    <w:basedOn w:val="DefaultParagraphFont"/>
    <w:link w:val="Heading9"/>
    <w:uiPriority w:val="7"/>
    <w:rsid w:val="002A4503"/>
    <w:rPr>
      <w:rFonts w:eastAsiaTheme="majorEastAsia" w:cstheme="majorBidi"/>
      <w:b/>
      <w:sz w:val="36"/>
      <w:szCs w:val="28"/>
    </w:rPr>
  </w:style>
  <w:style w:type="paragraph" w:customStyle="1" w:styleId="V50Heading1nonumbers">
    <w:name w:val="V5.0 Heading 1 no numbers"/>
    <w:basedOn w:val="Heading1"/>
    <w:qFormat/>
    <w:rsid w:val="00186307"/>
    <w:pPr>
      <w:numPr>
        <w:numId w:val="0"/>
      </w:numPr>
    </w:pPr>
  </w:style>
  <w:style w:type="table" w:styleId="TableGrid">
    <w:name w:val="Table Grid"/>
    <w:aliases w:val="Summary box,Table Gridbeth"/>
    <w:basedOn w:val="TableNormal"/>
    <w:uiPriority w:val="39"/>
    <w:rsid w:val="004033BF"/>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shd w:val="clear" w:color="auto" w:fill="F2F2F2" w:themeFill="background1" w:themeFillShade="F2"/>
      </w:tcPr>
    </w:tblStylePr>
  </w:style>
  <w:style w:type="paragraph" w:styleId="Caption">
    <w:name w:val="caption"/>
    <w:aliases w:val="V5.0 Caption,Caption Char2 Char,Caption Char Char Char2,Caption Char1 Char Char Char1,Caption Char2 Char Char Char1 Char1,Caption Char Char1 Char Char Char1 Char1,Caption Char1 Char Char Char Char Char Char,Caption Char2,Caption Char1,c"/>
    <w:basedOn w:val="Normal"/>
    <w:next w:val="Normal"/>
    <w:link w:val="CaptionChar"/>
    <w:uiPriority w:val="35"/>
    <w:unhideWhenUsed/>
    <w:qFormat/>
    <w:rsid w:val="008B2620"/>
    <w:pPr>
      <w:spacing w:before="0" w:after="0"/>
      <w:jc w:val="both"/>
    </w:pPr>
    <w:rPr>
      <w:rFonts w:ascii="Arial Narrow" w:hAnsi="Arial Narrow"/>
      <w:b/>
      <w:bCs/>
      <w:sz w:val="20"/>
      <w:szCs w:val="20"/>
    </w:rPr>
  </w:style>
  <w:style w:type="paragraph" w:customStyle="1" w:styleId="V50TableText">
    <w:name w:val="V5.0 TableText"/>
    <w:link w:val="V50TableTextChar"/>
    <w:qFormat/>
    <w:rsid w:val="00186307"/>
    <w:pPr>
      <w:spacing w:after="0" w:line="240" w:lineRule="auto"/>
    </w:pPr>
    <w:rPr>
      <w:sz w:val="20"/>
      <w:szCs w:val="24"/>
      <w:lang w:val="en-US"/>
    </w:rPr>
  </w:style>
  <w:style w:type="paragraph" w:customStyle="1" w:styleId="V50TableTextInstruction">
    <w:name w:val="V5.0 TableText Instruction"/>
    <w:basedOn w:val="V50TableText"/>
    <w:qFormat/>
    <w:rsid w:val="00597972"/>
    <w:rPr>
      <w:b/>
      <w:color w:val="4472C4" w:themeColor="accent5"/>
    </w:rPr>
  </w:style>
  <w:style w:type="paragraph" w:customStyle="1" w:styleId="V50InstructionsBullets">
    <w:name w:val="V5.0 Instructions Bullets"/>
    <w:basedOn w:val="V50Instructions"/>
    <w:qFormat/>
    <w:rsid w:val="007F08CA"/>
    <w:pPr>
      <w:numPr>
        <w:numId w:val="2"/>
      </w:numPr>
      <w:spacing w:before="0" w:after="0"/>
      <w:ind w:left="714" w:hanging="357"/>
    </w:pPr>
  </w:style>
  <w:style w:type="table" w:customStyle="1" w:styleId="TableGridLight1">
    <w:name w:val="Table Grid Light1"/>
    <w:basedOn w:val="TableNormal"/>
    <w:uiPriority w:val="40"/>
    <w:rsid w:val="00D6667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
    <w:name w:val="Plain Table 21"/>
    <w:basedOn w:val="TableNormal"/>
    <w:uiPriority w:val="42"/>
    <w:rsid w:val="00EA1B2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Text">
    <w:name w:val="Table Text"/>
    <w:basedOn w:val="Normal"/>
    <w:qFormat/>
    <w:rsid w:val="00C846BE"/>
    <w:pPr>
      <w:keepNext/>
      <w:spacing w:before="40" w:after="40"/>
    </w:pPr>
    <w:rPr>
      <w:rFonts w:ascii="Arial Narrow" w:hAnsi="Arial Narrow"/>
      <w:sz w:val="20"/>
    </w:rPr>
  </w:style>
  <w:style w:type="character" w:styleId="Hyperlink">
    <w:name w:val="Hyperlink"/>
    <w:basedOn w:val="DefaultParagraphFont"/>
    <w:uiPriority w:val="99"/>
    <w:unhideWhenUsed/>
    <w:rsid w:val="00BA3306"/>
    <w:rPr>
      <w:color w:val="00B0F0"/>
      <w:u w:val="single"/>
    </w:rPr>
  </w:style>
  <w:style w:type="paragraph" w:customStyle="1" w:styleId="TableName">
    <w:name w:val="TableName"/>
    <w:basedOn w:val="Normal"/>
    <w:qFormat/>
    <w:rsid w:val="00BA3306"/>
    <w:pPr>
      <w:keepNext/>
      <w:spacing w:before="0" w:after="240"/>
      <w:ind w:left="1418" w:hanging="1418"/>
    </w:pPr>
    <w:rPr>
      <w:rFonts w:ascii="Franklin Gothic Medium" w:hAnsi="Franklin Gothic Medium"/>
      <w:sz w:val="22"/>
    </w:rPr>
  </w:style>
  <w:style w:type="paragraph" w:customStyle="1" w:styleId="TableHeading">
    <w:name w:val="TableHeading"/>
    <w:basedOn w:val="Caption"/>
    <w:qFormat/>
    <w:rsid w:val="00624315"/>
    <w:pPr>
      <w:ind w:left="709"/>
    </w:pPr>
  </w:style>
  <w:style w:type="paragraph" w:styleId="FootnoteText">
    <w:name w:val="footnote text"/>
    <w:basedOn w:val="Normal"/>
    <w:link w:val="FootnoteTextChar"/>
    <w:uiPriority w:val="99"/>
    <w:unhideWhenUsed/>
    <w:rsid w:val="00BA3306"/>
    <w:pPr>
      <w:spacing w:before="0" w:after="0"/>
    </w:pPr>
    <w:rPr>
      <w:sz w:val="18"/>
      <w:szCs w:val="20"/>
    </w:rPr>
  </w:style>
  <w:style w:type="character" w:customStyle="1" w:styleId="FootnoteTextChar">
    <w:name w:val="Footnote Text Char"/>
    <w:basedOn w:val="DefaultParagraphFont"/>
    <w:link w:val="FootnoteText"/>
    <w:uiPriority w:val="99"/>
    <w:rsid w:val="00BA3306"/>
    <w:rPr>
      <w:sz w:val="18"/>
      <w:szCs w:val="20"/>
    </w:rPr>
  </w:style>
  <w:style w:type="character" w:styleId="FootnoteReference">
    <w:name w:val="footnote reference"/>
    <w:basedOn w:val="DefaultParagraphFont"/>
    <w:uiPriority w:val="99"/>
    <w:unhideWhenUsed/>
    <w:rsid w:val="00BA3306"/>
    <w:rPr>
      <w:vertAlign w:val="superscript"/>
    </w:rPr>
  </w:style>
  <w:style w:type="paragraph" w:customStyle="1" w:styleId="TableFigNoteLast">
    <w:name w:val="TableFigNote Last"/>
    <w:basedOn w:val="Normal"/>
    <w:qFormat/>
    <w:rsid w:val="00BA3306"/>
    <w:pPr>
      <w:spacing w:before="0" w:after="360"/>
    </w:pPr>
    <w:rPr>
      <w:sz w:val="18"/>
    </w:rPr>
  </w:style>
  <w:style w:type="character" w:styleId="Emphasis">
    <w:name w:val="Emphasis"/>
    <w:basedOn w:val="DefaultParagraphFont"/>
    <w:uiPriority w:val="20"/>
    <w:qFormat/>
    <w:rsid w:val="00BA3306"/>
    <w:rPr>
      <w:b w:val="0"/>
      <w:i/>
      <w:iCs/>
    </w:rPr>
  </w:style>
  <w:style w:type="character" w:styleId="CommentReference">
    <w:name w:val="annotation reference"/>
    <w:aliases w:val="Table Title"/>
    <w:basedOn w:val="DefaultParagraphFont"/>
    <w:unhideWhenUsed/>
    <w:qFormat/>
    <w:rsid w:val="004619BB"/>
    <w:rPr>
      <w:sz w:val="16"/>
      <w:szCs w:val="16"/>
    </w:rPr>
  </w:style>
  <w:style w:type="paragraph" w:styleId="CommentText">
    <w:name w:val="annotation text"/>
    <w:basedOn w:val="Normal"/>
    <w:link w:val="CommentTextChar"/>
    <w:unhideWhenUsed/>
    <w:rsid w:val="004619BB"/>
    <w:rPr>
      <w:sz w:val="20"/>
      <w:szCs w:val="20"/>
    </w:rPr>
  </w:style>
  <w:style w:type="character" w:customStyle="1" w:styleId="CommentTextChar">
    <w:name w:val="Comment Text Char"/>
    <w:basedOn w:val="DefaultParagraphFont"/>
    <w:link w:val="CommentText"/>
    <w:rsid w:val="004619BB"/>
    <w:rPr>
      <w:sz w:val="20"/>
      <w:szCs w:val="20"/>
    </w:rPr>
  </w:style>
  <w:style w:type="paragraph" w:styleId="CommentSubject">
    <w:name w:val="annotation subject"/>
    <w:basedOn w:val="CommentText"/>
    <w:next w:val="CommentText"/>
    <w:link w:val="CommentSubjectChar"/>
    <w:uiPriority w:val="9"/>
    <w:unhideWhenUsed/>
    <w:rsid w:val="004619BB"/>
    <w:rPr>
      <w:b/>
      <w:bCs/>
    </w:rPr>
  </w:style>
  <w:style w:type="character" w:customStyle="1" w:styleId="CommentSubjectChar">
    <w:name w:val="Comment Subject Char"/>
    <w:basedOn w:val="CommentTextChar"/>
    <w:link w:val="CommentSubject"/>
    <w:uiPriority w:val="9"/>
    <w:rsid w:val="004619BB"/>
    <w:rPr>
      <w:b/>
      <w:bCs/>
      <w:sz w:val="20"/>
      <w:szCs w:val="20"/>
    </w:rPr>
  </w:style>
  <w:style w:type="paragraph" w:styleId="BalloonText">
    <w:name w:val="Balloon Text"/>
    <w:basedOn w:val="Normal"/>
    <w:link w:val="BalloonTextChar"/>
    <w:uiPriority w:val="9"/>
    <w:unhideWhenUsed/>
    <w:rsid w:val="004619BB"/>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
    <w:rsid w:val="004619BB"/>
    <w:rPr>
      <w:rFonts w:ascii="Segoe UI" w:hAnsi="Segoe UI" w:cs="Segoe UI"/>
      <w:sz w:val="18"/>
      <w:szCs w:val="18"/>
    </w:rPr>
  </w:style>
  <w:style w:type="paragraph" w:customStyle="1" w:styleId="TableHeading0">
    <w:name w:val="Table Heading"/>
    <w:basedOn w:val="Normal"/>
    <w:qFormat/>
    <w:rsid w:val="00FF610D"/>
    <w:pPr>
      <w:keepNext/>
      <w:spacing w:before="0" w:after="60"/>
    </w:pPr>
    <w:rPr>
      <w:rFonts w:ascii="Arial Narrow" w:hAnsi="Arial Narrow"/>
      <w:b/>
      <w:sz w:val="20"/>
    </w:rPr>
  </w:style>
  <w:style w:type="character" w:customStyle="1" w:styleId="V50InstructionsChar">
    <w:name w:val="V5.0 Instructions Char"/>
    <w:basedOn w:val="DefaultParagraphFont"/>
    <w:link w:val="V50Instructions"/>
    <w:rsid w:val="00C317F3"/>
    <w:rPr>
      <w:color w:val="4472C4" w:themeColor="accent5"/>
      <w:sz w:val="24"/>
    </w:rPr>
  </w:style>
  <w:style w:type="character" w:customStyle="1" w:styleId="CaptionChar">
    <w:name w:val="Caption Char"/>
    <w:aliases w:val="V5.0 Caption Char,Caption Char2 Char Char,Caption Char Char Char2 Char,Caption Char1 Char Char Char1 Char,Caption Char2 Char Char Char1 Char1 Char,Caption Char Char1 Char Char Char1 Char1 Char,Caption Char2 Char1,Caption Char1 Char,c Char"/>
    <w:link w:val="Caption"/>
    <w:uiPriority w:val="35"/>
    <w:rsid w:val="008B2620"/>
    <w:rPr>
      <w:rFonts w:ascii="Arial Narrow" w:hAnsi="Arial Narrow"/>
      <w:b/>
      <w:bCs/>
      <w:sz w:val="20"/>
      <w:szCs w:val="20"/>
    </w:rPr>
  </w:style>
  <w:style w:type="character" w:customStyle="1" w:styleId="V50TableTextChar">
    <w:name w:val="V5.0 TableText Char"/>
    <w:basedOn w:val="DefaultParagraphFont"/>
    <w:link w:val="V50TableText"/>
    <w:rsid w:val="00C317F3"/>
    <w:rPr>
      <w:sz w:val="20"/>
      <w:szCs w:val="24"/>
      <w:lang w:val="en-US"/>
    </w:rPr>
  </w:style>
  <w:style w:type="paragraph" w:customStyle="1" w:styleId="V50Tablename">
    <w:name w:val="V5.0 Table name"/>
    <w:basedOn w:val="V50TableText"/>
    <w:link w:val="V50TablenameChar"/>
    <w:qFormat/>
    <w:rsid w:val="00DF16C0"/>
    <w:pPr>
      <w:keepNext/>
    </w:pPr>
    <w:rPr>
      <w:b/>
    </w:rPr>
  </w:style>
  <w:style w:type="character" w:customStyle="1" w:styleId="V50TablenameChar">
    <w:name w:val="V5.0 Table name Char"/>
    <w:basedOn w:val="DefaultParagraphFont"/>
    <w:link w:val="V50Tablename"/>
    <w:rsid w:val="00DF16C0"/>
    <w:rPr>
      <w:b/>
      <w:sz w:val="20"/>
      <w:szCs w:val="24"/>
      <w:lang w:val="en-US"/>
    </w:rPr>
  </w:style>
  <w:style w:type="paragraph" w:customStyle="1" w:styleId="V50Tablenote">
    <w:name w:val="V5.0 Tablenote"/>
    <w:basedOn w:val="V50TableText"/>
    <w:link w:val="V50TablenoteChar"/>
    <w:qFormat/>
    <w:rsid w:val="00DF16C0"/>
    <w:pPr>
      <w:spacing w:after="120"/>
      <w:contextualSpacing/>
      <w:jc w:val="both"/>
    </w:pPr>
    <w:rPr>
      <w:sz w:val="18"/>
      <w:szCs w:val="18"/>
    </w:rPr>
  </w:style>
  <w:style w:type="character" w:customStyle="1" w:styleId="V50TablenoteChar">
    <w:name w:val="V5.0 Tablenote Char"/>
    <w:basedOn w:val="DefaultParagraphFont"/>
    <w:link w:val="V50Tablenote"/>
    <w:rsid w:val="00DF16C0"/>
    <w:rPr>
      <w:sz w:val="18"/>
      <w:szCs w:val="18"/>
      <w:lang w:val="en-US"/>
    </w:rPr>
  </w:style>
  <w:style w:type="paragraph" w:customStyle="1" w:styleId="TableFooter">
    <w:name w:val="Table Footer"/>
    <w:basedOn w:val="Normal"/>
    <w:link w:val="TableFooterChar"/>
    <w:qFormat/>
    <w:rsid w:val="00C846BE"/>
    <w:pPr>
      <w:widowControl w:val="0"/>
      <w:spacing w:before="0" w:after="120"/>
      <w:contextualSpacing/>
      <w:jc w:val="both"/>
    </w:pPr>
    <w:rPr>
      <w:rFonts w:ascii="Arial Narrow" w:eastAsia="Times New Roman" w:hAnsi="Arial Narrow" w:cs="Arial"/>
      <w:snapToGrid w:val="0"/>
      <w:sz w:val="18"/>
      <w:szCs w:val="20"/>
    </w:rPr>
  </w:style>
  <w:style w:type="character" w:customStyle="1" w:styleId="TableFooterChar">
    <w:name w:val="Table Footer Char"/>
    <w:link w:val="TableFooter"/>
    <w:rsid w:val="00C846BE"/>
    <w:rPr>
      <w:rFonts w:ascii="Arial Narrow" w:eastAsia="Times New Roman" w:hAnsi="Arial Narrow" w:cs="Arial"/>
      <w:snapToGrid w:val="0"/>
      <w:sz w:val="18"/>
      <w:szCs w:val="20"/>
    </w:rPr>
  </w:style>
  <w:style w:type="paragraph" w:customStyle="1" w:styleId="TableNotes">
    <w:name w:val="TableNotes"/>
    <w:basedOn w:val="Normal"/>
    <w:qFormat/>
    <w:rsid w:val="00C317F3"/>
    <w:pPr>
      <w:spacing w:before="0" w:after="60"/>
    </w:pPr>
    <w:rPr>
      <w:sz w:val="20"/>
    </w:rPr>
  </w:style>
  <w:style w:type="paragraph" w:customStyle="1" w:styleId="oldTablefooter">
    <w:name w:val="old Table footer"/>
    <w:basedOn w:val="Normal"/>
    <w:link w:val="oldTablefooterChar"/>
    <w:qFormat/>
    <w:rsid w:val="00C317F3"/>
    <w:pPr>
      <w:spacing w:before="0" w:after="0"/>
      <w:jc w:val="both"/>
    </w:pPr>
    <w:rPr>
      <w:rFonts w:cs="Arial"/>
      <w:sz w:val="18"/>
      <w:szCs w:val="18"/>
      <w:lang w:val="en-US" w:eastAsia="en-AU"/>
    </w:rPr>
  </w:style>
  <w:style w:type="character" w:customStyle="1" w:styleId="oldTablefooterChar">
    <w:name w:val="old Table footer Char"/>
    <w:basedOn w:val="V50TableTextChar"/>
    <w:link w:val="oldTablefooter"/>
    <w:rsid w:val="00C317F3"/>
    <w:rPr>
      <w:rFonts w:cs="Arial"/>
      <w:sz w:val="18"/>
      <w:szCs w:val="18"/>
      <w:lang w:val="en-US" w:eastAsia="en-AU"/>
    </w:rPr>
  </w:style>
  <w:style w:type="paragraph" w:styleId="Header">
    <w:name w:val="header"/>
    <w:aliases w:val="Page Header,Header title,he=header,cntr/bld"/>
    <w:basedOn w:val="Normal"/>
    <w:link w:val="HeaderChar"/>
    <w:uiPriority w:val="99"/>
    <w:unhideWhenUsed/>
    <w:rsid w:val="00C317F3"/>
    <w:pPr>
      <w:tabs>
        <w:tab w:val="center" w:pos="4513"/>
        <w:tab w:val="right" w:pos="9026"/>
      </w:tabs>
      <w:spacing w:before="0" w:after="0"/>
    </w:pPr>
  </w:style>
  <w:style w:type="character" w:customStyle="1" w:styleId="HeaderChar">
    <w:name w:val="Header Char"/>
    <w:aliases w:val="Page Header Char,Header title Char,he=header Char,cntr/bld Char"/>
    <w:basedOn w:val="DefaultParagraphFont"/>
    <w:link w:val="Header"/>
    <w:uiPriority w:val="99"/>
    <w:rsid w:val="00C317F3"/>
    <w:rPr>
      <w:sz w:val="24"/>
    </w:rPr>
  </w:style>
  <w:style w:type="paragraph" w:styleId="Footer">
    <w:name w:val="footer"/>
    <w:basedOn w:val="Normal"/>
    <w:link w:val="FooterChar"/>
    <w:uiPriority w:val="99"/>
    <w:unhideWhenUsed/>
    <w:rsid w:val="00C317F3"/>
    <w:pPr>
      <w:tabs>
        <w:tab w:val="center" w:pos="4513"/>
        <w:tab w:val="right" w:pos="9026"/>
      </w:tabs>
      <w:spacing w:before="0" w:after="0"/>
    </w:pPr>
  </w:style>
  <w:style w:type="character" w:customStyle="1" w:styleId="FooterChar">
    <w:name w:val="Footer Char"/>
    <w:basedOn w:val="DefaultParagraphFont"/>
    <w:link w:val="Footer"/>
    <w:uiPriority w:val="99"/>
    <w:rsid w:val="00C317F3"/>
    <w:rPr>
      <w:sz w:val="24"/>
    </w:rPr>
  </w:style>
  <w:style w:type="paragraph" w:styleId="TOC2">
    <w:name w:val="toc 2"/>
    <w:basedOn w:val="Normal"/>
    <w:next w:val="Normal"/>
    <w:autoRedefine/>
    <w:uiPriority w:val="39"/>
    <w:rsid w:val="00C317F3"/>
    <w:pPr>
      <w:widowControl w:val="0"/>
      <w:tabs>
        <w:tab w:val="left" w:pos="880"/>
        <w:tab w:val="right" w:leader="dot" w:pos="9016"/>
      </w:tabs>
      <w:spacing w:after="0"/>
      <w:ind w:left="220"/>
    </w:pPr>
    <w:rPr>
      <w:rFonts w:ascii="Arial" w:eastAsia="Times New Roman" w:hAnsi="Arial" w:cs="Arial"/>
      <w:iCs/>
      <w:snapToGrid w:val="0"/>
      <w:sz w:val="20"/>
      <w:szCs w:val="20"/>
    </w:rPr>
  </w:style>
  <w:style w:type="paragraph" w:styleId="TOC1">
    <w:name w:val="toc 1"/>
    <w:basedOn w:val="Normal"/>
    <w:next w:val="Normal"/>
    <w:autoRedefine/>
    <w:uiPriority w:val="39"/>
    <w:rsid w:val="00C317F3"/>
    <w:pPr>
      <w:widowControl w:val="0"/>
      <w:spacing w:before="240" w:after="120"/>
    </w:pPr>
    <w:rPr>
      <w:rFonts w:ascii="Arial" w:eastAsia="Times New Roman" w:hAnsi="Arial" w:cs="Arial"/>
      <w:bCs/>
      <w:snapToGrid w:val="0"/>
      <w:sz w:val="20"/>
      <w:szCs w:val="20"/>
    </w:rPr>
  </w:style>
  <w:style w:type="paragraph" w:customStyle="1" w:styleId="TableHeader">
    <w:name w:val="Table Header"/>
    <w:basedOn w:val="Normal"/>
    <w:next w:val="Normal"/>
    <w:uiPriority w:val="3"/>
    <w:qFormat/>
    <w:rsid w:val="00C317F3"/>
    <w:pPr>
      <w:widowControl w:val="0"/>
      <w:spacing w:before="0" w:after="0"/>
      <w:jc w:val="both"/>
    </w:pPr>
    <w:rPr>
      <w:rFonts w:ascii="Arial Narrow" w:eastAsia="Times New Roman" w:hAnsi="Arial Narrow" w:cs="Arial"/>
      <w:b/>
      <w:snapToGrid w:val="0"/>
      <w:sz w:val="20"/>
      <w:szCs w:val="20"/>
    </w:rPr>
  </w:style>
  <w:style w:type="paragraph" w:styleId="Title">
    <w:name w:val="Title"/>
    <w:basedOn w:val="Normal"/>
    <w:next w:val="Normal"/>
    <w:link w:val="TitleChar"/>
    <w:uiPriority w:val="7"/>
    <w:rsid w:val="00C317F3"/>
    <w:pPr>
      <w:widowControl w:val="0"/>
      <w:spacing w:before="240" w:after="60"/>
      <w:jc w:val="center"/>
      <w:outlineLvl w:val="0"/>
    </w:pPr>
    <w:rPr>
      <w:rFonts w:ascii="Cambria" w:eastAsia="Times New Roman" w:hAnsi="Cambria" w:cs="Arial"/>
      <w:b/>
      <w:bCs/>
      <w:snapToGrid w:val="0"/>
      <w:kern w:val="28"/>
      <w:sz w:val="32"/>
      <w:szCs w:val="32"/>
    </w:rPr>
  </w:style>
  <w:style w:type="character" w:customStyle="1" w:styleId="TitleChar">
    <w:name w:val="Title Char"/>
    <w:basedOn w:val="DefaultParagraphFont"/>
    <w:link w:val="Title"/>
    <w:uiPriority w:val="7"/>
    <w:rsid w:val="00C317F3"/>
    <w:rPr>
      <w:rFonts w:ascii="Cambria" w:eastAsia="Times New Roman" w:hAnsi="Cambria" w:cs="Arial"/>
      <w:b/>
      <w:bCs/>
      <w:snapToGrid w:val="0"/>
      <w:kern w:val="28"/>
      <w:sz w:val="32"/>
      <w:szCs w:val="32"/>
    </w:rPr>
  </w:style>
  <w:style w:type="paragraph" w:styleId="BodyText">
    <w:name w:val="Body Text"/>
    <w:basedOn w:val="Normal"/>
    <w:link w:val="BodyTextChar"/>
    <w:qFormat/>
    <w:rsid w:val="00C317F3"/>
    <w:pPr>
      <w:widowControl w:val="0"/>
      <w:spacing w:before="0" w:after="0"/>
    </w:pPr>
    <w:rPr>
      <w:rFonts w:ascii="Arial" w:eastAsia="Times New Roman" w:hAnsi="Arial" w:cs="Arial"/>
      <w:snapToGrid w:val="0"/>
      <w:sz w:val="22"/>
      <w:szCs w:val="20"/>
    </w:rPr>
  </w:style>
  <w:style w:type="character" w:customStyle="1" w:styleId="BodyTextChar">
    <w:name w:val="Body Text Char"/>
    <w:basedOn w:val="DefaultParagraphFont"/>
    <w:link w:val="BodyText"/>
    <w:rsid w:val="00C317F3"/>
    <w:rPr>
      <w:rFonts w:ascii="Arial" w:eastAsia="Times New Roman" w:hAnsi="Arial" w:cs="Arial"/>
      <w:snapToGrid w:val="0"/>
      <w:szCs w:val="20"/>
    </w:rPr>
  </w:style>
  <w:style w:type="paragraph" w:customStyle="1" w:styleId="RegularText">
    <w:name w:val="Regular Text"/>
    <w:basedOn w:val="BodyText"/>
    <w:link w:val="RegularTextChar"/>
    <w:uiPriority w:val="9"/>
    <w:rsid w:val="00C317F3"/>
    <w:rPr>
      <w:b/>
    </w:rPr>
  </w:style>
  <w:style w:type="character" w:customStyle="1" w:styleId="RegularTextChar">
    <w:name w:val="Regular Text Char"/>
    <w:basedOn w:val="BodyTextChar"/>
    <w:link w:val="RegularText"/>
    <w:uiPriority w:val="9"/>
    <w:rsid w:val="00C317F3"/>
    <w:rPr>
      <w:rFonts w:ascii="Arial" w:eastAsia="Times New Roman" w:hAnsi="Arial" w:cs="Arial"/>
      <w:b/>
      <w:snapToGrid w:val="0"/>
      <w:szCs w:val="20"/>
    </w:rPr>
  </w:style>
  <w:style w:type="paragraph" w:styleId="NoSpacing">
    <w:name w:val="No Spacing"/>
    <w:uiPriority w:val="7"/>
    <w:rsid w:val="00C317F3"/>
    <w:pPr>
      <w:widowControl w:val="0"/>
      <w:spacing w:after="0" w:line="240" w:lineRule="auto"/>
      <w:jc w:val="both"/>
    </w:pPr>
    <w:rPr>
      <w:rFonts w:ascii="Arial" w:eastAsia="Times New Roman" w:hAnsi="Arial" w:cs="Arial"/>
      <w:snapToGrid w:val="0"/>
      <w:szCs w:val="20"/>
    </w:rPr>
  </w:style>
  <w:style w:type="paragraph" w:customStyle="1" w:styleId="Tabletext0">
    <w:name w:val="Table text"/>
    <w:basedOn w:val="Normal"/>
    <w:link w:val="TabletextChar"/>
    <w:uiPriority w:val="2"/>
    <w:qFormat/>
    <w:rsid w:val="00C317F3"/>
    <w:pPr>
      <w:spacing w:before="0" w:after="0"/>
    </w:pPr>
    <w:rPr>
      <w:rFonts w:ascii="Arial Narrow" w:eastAsia="Times New Roman" w:hAnsi="Arial Narrow" w:cs="Times New Roman"/>
      <w:sz w:val="20"/>
      <w:szCs w:val="20"/>
    </w:rPr>
  </w:style>
  <w:style w:type="character" w:customStyle="1" w:styleId="TabletextChar">
    <w:name w:val="Table text Char"/>
    <w:link w:val="Tabletext0"/>
    <w:uiPriority w:val="2"/>
    <w:rsid w:val="00C317F3"/>
    <w:rPr>
      <w:rFonts w:ascii="Arial Narrow" w:eastAsia="Times New Roman" w:hAnsi="Arial Narrow" w:cs="Times New Roman"/>
      <w:sz w:val="20"/>
      <w:szCs w:val="20"/>
    </w:rPr>
  </w:style>
  <w:style w:type="paragraph" w:customStyle="1" w:styleId="Corpsdetextemarge">
    <w:name w:val="Corps de texte marge"/>
    <w:basedOn w:val="BodyText"/>
    <w:uiPriority w:val="99"/>
    <w:rsid w:val="00C317F3"/>
    <w:pPr>
      <w:widowControl/>
      <w:jc w:val="both"/>
    </w:pPr>
    <w:rPr>
      <w:rFonts w:ascii="Times" w:hAnsi="Times" w:cs="Times New Roman"/>
      <w:snapToGrid/>
      <w:sz w:val="24"/>
      <w:lang w:val="en-US"/>
    </w:rPr>
  </w:style>
  <w:style w:type="paragraph" w:styleId="NormalWeb">
    <w:name w:val="Normal (Web)"/>
    <w:basedOn w:val="Normal"/>
    <w:uiPriority w:val="99"/>
    <w:rsid w:val="00C317F3"/>
    <w:pPr>
      <w:spacing w:before="100" w:after="100"/>
    </w:pPr>
    <w:rPr>
      <w:rFonts w:ascii="Times New Roman" w:eastAsia="Times New Roman" w:hAnsi="Times New Roman" w:cs="Times New Roman"/>
      <w:szCs w:val="20"/>
      <w:lang w:val="en-GB"/>
    </w:rPr>
  </w:style>
  <w:style w:type="paragraph" w:styleId="TOCHeading">
    <w:name w:val="TOC Heading"/>
    <w:basedOn w:val="Heading1"/>
    <w:next w:val="Normal"/>
    <w:uiPriority w:val="39"/>
    <w:unhideWhenUsed/>
    <w:rsid w:val="00C317F3"/>
    <w:pPr>
      <w:numPr>
        <w:numId w:val="0"/>
      </w:numPr>
      <w:spacing w:before="480" w:after="0" w:line="276" w:lineRule="auto"/>
      <w:outlineLvl w:val="9"/>
    </w:pPr>
    <w:rPr>
      <w:rFonts w:asciiTheme="majorHAnsi" w:hAnsiTheme="majorHAnsi"/>
      <w:bCs/>
      <w:caps/>
      <w:color w:val="2E74B5" w:themeColor="accent1" w:themeShade="BF"/>
      <w:sz w:val="28"/>
      <w:lang w:val="en-US" w:eastAsia="ja-JP"/>
    </w:rPr>
  </w:style>
  <w:style w:type="paragraph" w:styleId="TOC3">
    <w:name w:val="toc 3"/>
    <w:basedOn w:val="Normal"/>
    <w:next w:val="Normal"/>
    <w:autoRedefine/>
    <w:uiPriority w:val="39"/>
    <w:unhideWhenUsed/>
    <w:rsid w:val="00C317F3"/>
    <w:pPr>
      <w:widowControl w:val="0"/>
      <w:spacing w:before="0" w:after="0"/>
      <w:ind w:left="440"/>
    </w:pPr>
    <w:rPr>
      <w:rFonts w:eastAsia="Times New Roman" w:cs="Arial"/>
      <w:snapToGrid w:val="0"/>
      <w:sz w:val="20"/>
      <w:szCs w:val="20"/>
    </w:rPr>
  </w:style>
  <w:style w:type="paragraph" w:styleId="BodyText3">
    <w:name w:val="Body Text 3"/>
    <w:basedOn w:val="Normal"/>
    <w:link w:val="BodyText3Char"/>
    <w:uiPriority w:val="9"/>
    <w:rsid w:val="00C317F3"/>
    <w:pPr>
      <w:widowControl w:val="0"/>
      <w:spacing w:before="0" w:after="120"/>
      <w:jc w:val="both"/>
    </w:pPr>
    <w:rPr>
      <w:rFonts w:ascii="Arial" w:eastAsia="Times New Roman" w:hAnsi="Arial" w:cs="Arial"/>
      <w:snapToGrid w:val="0"/>
      <w:sz w:val="16"/>
      <w:szCs w:val="16"/>
    </w:rPr>
  </w:style>
  <w:style w:type="character" w:customStyle="1" w:styleId="BodyText3Char">
    <w:name w:val="Body Text 3 Char"/>
    <w:basedOn w:val="DefaultParagraphFont"/>
    <w:link w:val="BodyText3"/>
    <w:uiPriority w:val="9"/>
    <w:rsid w:val="00C317F3"/>
    <w:rPr>
      <w:rFonts w:ascii="Arial" w:eastAsia="Times New Roman" w:hAnsi="Arial" w:cs="Arial"/>
      <w:snapToGrid w:val="0"/>
      <w:sz w:val="16"/>
      <w:szCs w:val="16"/>
    </w:rPr>
  </w:style>
  <w:style w:type="paragraph" w:styleId="TOC4">
    <w:name w:val="toc 4"/>
    <w:basedOn w:val="Normal"/>
    <w:next w:val="Normal"/>
    <w:autoRedefine/>
    <w:uiPriority w:val="9"/>
    <w:rsid w:val="00C317F3"/>
    <w:pPr>
      <w:widowControl w:val="0"/>
      <w:spacing w:before="0" w:after="0"/>
      <w:ind w:left="660"/>
    </w:pPr>
    <w:rPr>
      <w:rFonts w:eastAsia="Times New Roman" w:cs="Arial"/>
      <w:snapToGrid w:val="0"/>
      <w:sz w:val="20"/>
      <w:szCs w:val="20"/>
    </w:rPr>
  </w:style>
  <w:style w:type="paragraph" w:styleId="TOC5">
    <w:name w:val="toc 5"/>
    <w:basedOn w:val="Normal"/>
    <w:next w:val="Normal"/>
    <w:autoRedefine/>
    <w:uiPriority w:val="9"/>
    <w:rsid w:val="00C317F3"/>
    <w:pPr>
      <w:widowControl w:val="0"/>
      <w:spacing w:before="0" w:after="0"/>
      <w:ind w:left="880"/>
    </w:pPr>
    <w:rPr>
      <w:rFonts w:eastAsia="Times New Roman" w:cs="Arial"/>
      <w:snapToGrid w:val="0"/>
      <w:sz w:val="20"/>
      <w:szCs w:val="20"/>
    </w:rPr>
  </w:style>
  <w:style w:type="paragraph" w:styleId="TOC6">
    <w:name w:val="toc 6"/>
    <w:basedOn w:val="Normal"/>
    <w:next w:val="Normal"/>
    <w:autoRedefine/>
    <w:uiPriority w:val="9"/>
    <w:rsid w:val="00C317F3"/>
    <w:pPr>
      <w:widowControl w:val="0"/>
      <w:spacing w:before="0" w:after="0"/>
      <w:ind w:left="1100"/>
    </w:pPr>
    <w:rPr>
      <w:rFonts w:eastAsia="Times New Roman" w:cs="Arial"/>
      <w:snapToGrid w:val="0"/>
      <w:sz w:val="20"/>
      <w:szCs w:val="20"/>
    </w:rPr>
  </w:style>
  <w:style w:type="paragraph" w:styleId="TOC7">
    <w:name w:val="toc 7"/>
    <w:basedOn w:val="Normal"/>
    <w:next w:val="Normal"/>
    <w:autoRedefine/>
    <w:uiPriority w:val="9"/>
    <w:rsid w:val="00C317F3"/>
    <w:pPr>
      <w:widowControl w:val="0"/>
      <w:spacing w:before="0" w:after="0"/>
      <w:ind w:left="1320"/>
    </w:pPr>
    <w:rPr>
      <w:rFonts w:eastAsia="Times New Roman" w:cs="Arial"/>
      <w:snapToGrid w:val="0"/>
      <w:sz w:val="20"/>
      <w:szCs w:val="20"/>
    </w:rPr>
  </w:style>
  <w:style w:type="paragraph" w:styleId="TOC8">
    <w:name w:val="toc 8"/>
    <w:basedOn w:val="Normal"/>
    <w:next w:val="Normal"/>
    <w:autoRedefine/>
    <w:uiPriority w:val="9"/>
    <w:rsid w:val="00C317F3"/>
    <w:pPr>
      <w:widowControl w:val="0"/>
      <w:spacing w:before="0" w:after="0"/>
      <w:ind w:left="1540"/>
    </w:pPr>
    <w:rPr>
      <w:rFonts w:eastAsia="Times New Roman" w:cs="Arial"/>
      <w:snapToGrid w:val="0"/>
      <w:sz w:val="20"/>
      <w:szCs w:val="20"/>
    </w:rPr>
  </w:style>
  <w:style w:type="paragraph" w:styleId="TOC9">
    <w:name w:val="toc 9"/>
    <w:basedOn w:val="Normal"/>
    <w:next w:val="Normal"/>
    <w:autoRedefine/>
    <w:uiPriority w:val="9"/>
    <w:rsid w:val="00C317F3"/>
    <w:pPr>
      <w:widowControl w:val="0"/>
      <w:spacing w:before="0" w:after="0"/>
      <w:ind w:left="1760"/>
    </w:pPr>
    <w:rPr>
      <w:rFonts w:eastAsia="Times New Roman" w:cs="Arial"/>
      <w:snapToGrid w:val="0"/>
      <w:sz w:val="20"/>
      <w:szCs w:val="20"/>
    </w:rPr>
  </w:style>
  <w:style w:type="paragraph" w:styleId="BodyText2">
    <w:name w:val="Body Text 2"/>
    <w:basedOn w:val="Normal"/>
    <w:link w:val="BodyText2Char"/>
    <w:uiPriority w:val="9"/>
    <w:rsid w:val="00C317F3"/>
    <w:pPr>
      <w:widowControl w:val="0"/>
      <w:spacing w:before="0" w:after="120" w:line="480" w:lineRule="auto"/>
      <w:jc w:val="both"/>
    </w:pPr>
    <w:rPr>
      <w:rFonts w:ascii="Arial" w:eastAsia="Times New Roman" w:hAnsi="Arial" w:cs="Arial"/>
      <w:snapToGrid w:val="0"/>
      <w:sz w:val="22"/>
      <w:szCs w:val="20"/>
    </w:rPr>
  </w:style>
  <w:style w:type="character" w:customStyle="1" w:styleId="BodyText2Char">
    <w:name w:val="Body Text 2 Char"/>
    <w:basedOn w:val="DefaultParagraphFont"/>
    <w:link w:val="BodyText2"/>
    <w:uiPriority w:val="9"/>
    <w:rsid w:val="00C317F3"/>
    <w:rPr>
      <w:rFonts w:ascii="Arial" w:eastAsia="Times New Roman" w:hAnsi="Arial" w:cs="Arial"/>
      <w:snapToGrid w:val="0"/>
      <w:szCs w:val="20"/>
    </w:rPr>
  </w:style>
  <w:style w:type="paragraph" w:customStyle="1" w:styleId="TableText1">
    <w:name w:val="TableText"/>
    <w:basedOn w:val="Normal"/>
    <w:uiPriority w:val="9"/>
    <w:rsid w:val="00C317F3"/>
    <w:pPr>
      <w:keepNext/>
      <w:spacing w:before="40" w:after="40"/>
    </w:pPr>
    <w:rPr>
      <w:rFonts w:ascii="Arial Narrow" w:eastAsia="Times New Roman" w:hAnsi="Arial Narrow" w:cs="Arial Narrow"/>
      <w:sz w:val="20"/>
      <w:szCs w:val="20"/>
    </w:rPr>
  </w:style>
  <w:style w:type="paragraph" w:customStyle="1" w:styleId="TableNotes18">
    <w:name w:val="TableNotes+18"/>
    <w:basedOn w:val="TableText1"/>
    <w:uiPriority w:val="9"/>
    <w:rsid w:val="00C317F3"/>
    <w:pPr>
      <w:keepNext w:val="0"/>
      <w:keepLines/>
      <w:spacing w:before="0" w:after="360"/>
      <w:ind w:left="720"/>
    </w:pPr>
    <w:rPr>
      <w:sz w:val="18"/>
      <w:szCs w:val="18"/>
    </w:rPr>
  </w:style>
  <w:style w:type="paragraph" w:customStyle="1" w:styleId="TableNotes0">
    <w:name w:val="TableNotes+0"/>
    <w:basedOn w:val="TableNotes18"/>
    <w:uiPriority w:val="9"/>
    <w:rsid w:val="00C317F3"/>
    <w:pPr>
      <w:keepNext/>
      <w:spacing w:after="0"/>
    </w:pPr>
  </w:style>
  <w:style w:type="paragraph" w:styleId="Revision">
    <w:name w:val="Revision"/>
    <w:hidden/>
    <w:uiPriority w:val="99"/>
    <w:semiHidden/>
    <w:rsid w:val="00C317F3"/>
    <w:pPr>
      <w:spacing w:after="0" w:line="240" w:lineRule="auto"/>
    </w:pPr>
    <w:rPr>
      <w:rFonts w:ascii="Arial" w:eastAsia="Times New Roman" w:hAnsi="Arial" w:cs="Arial"/>
      <w:snapToGrid w:val="0"/>
      <w:szCs w:val="20"/>
    </w:rPr>
  </w:style>
  <w:style w:type="paragraph" w:styleId="BodyTextIndent">
    <w:name w:val="Body Text Indent"/>
    <w:basedOn w:val="Normal"/>
    <w:link w:val="BodyTextIndentChar"/>
    <w:uiPriority w:val="9"/>
    <w:rsid w:val="00C317F3"/>
    <w:pPr>
      <w:widowControl w:val="0"/>
      <w:spacing w:before="0" w:after="120"/>
      <w:ind w:left="283"/>
      <w:jc w:val="both"/>
    </w:pPr>
    <w:rPr>
      <w:rFonts w:ascii="Arial" w:eastAsia="Times New Roman" w:hAnsi="Arial" w:cs="Arial"/>
      <w:snapToGrid w:val="0"/>
      <w:sz w:val="22"/>
      <w:szCs w:val="20"/>
    </w:rPr>
  </w:style>
  <w:style w:type="character" w:customStyle="1" w:styleId="BodyTextIndentChar">
    <w:name w:val="Body Text Indent Char"/>
    <w:basedOn w:val="DefaultParagraphFont"/>
    <w:link w:val="BodyTextIndent"/>
    <w:uiPriority w:val="9"/>
    <w:rsid w:val="00C317F3"/>
    <w:rPr>
      <w:rFonts w:ascii="Arial" w:eastAsia="Times New Roman" w:hAnsi="Arial" w:cs="Arial"/>
      <w:snapToGrid w:val="0"/>
      <w:szCs w:val="20"/>
    </w:rPr>
  </w:style>
  <w:style w:type="paragraph" w:customStyle="1" w:styleId="Char1CharCharChar">
    <w:name w:val="Char1 Char Char Char"/>
    <w:basedOn w:val="Normal"/>
    <w:uiPriority w:val="9"/>
    <w:rsid w:val="00C317F3"/>
    <w:pPr>
      <w:spacing w:before="0" w:line="240" w:lineRule="exact"/>
    </w:pPr>
    <w:rPr>
      <w:rFonts w:ascii="Verdana" w:eastAsia="MS Mincho" w:hAnsi="Verdana" w:cs="Verdana"/>
      <w:sz w:val="20"/>
      <w:szCs w:val="20"/>
      <w:lang w:val="en-US"/>
    </w:rPr>
  </w:style>
  <w:style w:type="character" w:customStyle="1" w:styleId="SubtitleChar">
    <w:name w:val="Subtitle Char"/>
    <w:link w:val="Subtitle"/>
    <w:uiPriority w:val="9"/>
    <w:rsid w:val="00C317F3"/>
  </w:style>
  <w:style w:type="paragraph" w:styleId="Subtitle">
    <w:name w:val="Subtitle"/>
    <w:basedOn w:val="Normal"/>
    <w:link w:val="SubtitleChar"/>
    <w:uiPriority w:val="9"/>
    <w:rsid w:val="00C317F3"/>
    <w:pPr>
      <w:spacing w:before="0" w:after="0"/>
      <w:jc w:val="both"/>
    </w:pPr>
    <w:rPr>
      <w:sz w:val="22"/>
    </w:rPr>
  </w:style>
  <w:style w:type="character" w:customStyle="1" w:styleId="SubtitleChar1">
    <w:name w:val="Subtitle Char1"/>
    <w:basedOn w:val="DefaultParagraphFont"/>
    <w:uiPriority w:val="9"/>
    <w:rsid w:val="00C317F3"/>
    <w:rPr>
      <w:rFonts w:asciiTheme="majorHAnsi" w:eastAsiaTheme="majorEastAsia" w:hAnsiTheme="majorHAnsi" w:cstheme="majorBidi"/>
      <w:i/>
      <w:iCs/>
      <w:color w:val="5B9BD5" w:themeColor="accent1"/>
      <w:spacing w:val="15"/>
      <w:sz w:val="24"/>
      <w:szCs w:val="24"/>
    </w:rPr>
  </w:style>
  <w:style w:type="paragraph" w:customStyle="1" w:styleId="PBACHeading1">
    <w:name w:val="PBAC Heading 1"/>
    <w:qFormat/>
    <w:rsid w:val="00FB7AA5"/>
    <w:pPr>
      <w:numPr>
        <w:numId w:val="3"/>
      </w:numPr>
      <w:spacing w:before="200" w:after="120" w:line="240" w:lineRule="auto"/>
      <w:outlineLvl w:val="0"/>
    </w:pPr>
    <w:rPr>
      <w:rFonts w:eastAsia="Times New Roman" w:cs="Arial"/>
      <w:b/>
      <w:snapToGrid w:val="0"/>
      <w:sz w:val="32"/>
    </w:rPr>
  </w:style>
  <w:style w:type="paragraph" w:customStyle="1" w:styleId="Style1">
    <w:name w:val="Style1"/>
    <w:basedOn w:val="Normal"/>
    <w:rsid w:val="00C317F3"/>
    <w:pPr>
      <w:widowControl w:val="0"/>
      <w:spacing w:before="0" w:after="0"/>
      <w:jc w:val="both"/>
    </w:pPr>
    <w:rPr>
      <w:rFonts w:ascii="Arial" w:eastAsia="Times New Roman" w:hAnsi="Arial" w:cs="Arial"/>
      <w:snapToGrid w:val="0"/>
      <w:sz w:val="22"/>
      <w:szCs w:val="20"/>
    </w:rPr>
  </w:style>
  <w:style w:type="paragraph" w:customStyle="1" w:styleId="PBACheading10">
    <w:name w:val="PBAC heading 1"/>
    <w:qFormat/>
    <w:rsid w:val="00C317F3"/>
    <w:pPr>
      <w:spacing w:after="0" w:line="240" w:lineRule="auto"/>
      <w:ind w:left="720" w:hanging="720"/>
    </w:pPr>
    <w:rPr>
      <w:rFonts w:ascii="Arial" w:eastAsia="Times New Roman" w:hAnsi="Arial" w:cs="Arial"/>
      <w:snapToGrid w:val="0"/>
    </w:rPr>
  </w:style>
  <w:style w:type="character" w:customStyle="1" w:styleId="ListParagraphChar">
    <w:name w:val="List Paragraph Char"/>
    <w:aliases w:val="BulletPoints Char"/>
    <w:basedOn w:val="DefaultParagraphFont"/>
    <w:link w:val="ListParagraph"/>
    <w:uiPriority w:val="34"/>
    <w:locked/>
    <w:rsid w:val="0095170D"/>
    <w:rPr>
      <w:sz w:val="24"/>
    </w:rPr>
  </w:style>
  <w:style w:type="numbering" w:customStyle="1" w:styleId="Headings">
    <w:name w:val="Headings"/>
    <w:uiPriority w:val="99"/>
    <w:rsid w:val="00C317F3"/>
    <w:pPr>
      <w:numPr>
        <w:numId w:val="4"/>
      </w:numPr>
    </w:pPr>
  </w:style>
  <w:style w:type="character" w:styleId="FollowedHyperlink">
    <w:name w:val="FollowedHyperlink"/>
    <w:basedOn w:val="DefaultParagraphFont"/>
    <w:uiPriority w:val="99"/>
    <w:semiHidden/>
    <w:unhideWhenUsed/>
    <w:rsid w:val="00177893"/>
    <w:rPr>
      <w:color w:val="954F72" w:themeColor="followedHyperlink"/>
      <w:u w:val="single"/>
    </w:rPr>
  </w:style>
  <w:style w:type="paragraph" w:customStyle="1" w:styleId="BulletLast">
    <w:name w:val="Bullet Last"/>
    <w:basedOn w:val="Normal"/>
    <w:qFormat/>
    <w:rsid w:val="00E46AC9"/>
    <w:pPr>
      <w:numPr>
        <w:numId w:val="9"/>
      </w:numPr>
      <w:spacing w:before="0" w:after="240"/>
      <w:ind w:left="357" w:hanging="357"/>
    </w:pPr>
    <w:rPr>
      <w:sz w:val="22"/>
    </w:rPr>
  </w:style>
  <w:style w:type="paragraph" w:customStyle="1" w:styleId="TableFigNote">
    <w:name w:val="TableFigNote"/>
    <w:basedOn w:val="Normal"/>
    <w:qFormat/>
    <w:rsid w:val="00576ADE"/>
    <w:pPr>
      <w:spacing w:before="0" w:after="0"/>
    </w:pPr>
    <w:rPr>
      <w:sz w:val="18"/>
    </w:rPr>
  </w:style>
  <w:style w:type="character" w:customStyle="1" w:styleId="StyleArial11pt">
    <w:name w:val="Style Arial 11 pt"/>
    <w:basedOn w:val="DefaultParagraphFont"/>
    <w:rsid w:val="00E2761D"/>
    <w:rPr>
      <w:rFonts w:ascii="Arial" w:hAnsi="Arial"/>
      <w:sz w:val="22"/>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FB57DB"/>
    <w:pPr>
      <w:spacing w:before="0" w:line="240" w:lineRule="exact"/>
    </w:pPr>
    <w:rPr>
      <w:rFonts w:ascii="Verdana" w:eastAsia="MS Mincho" w:hAnsi="Verdana" w:cs="Verdana"/>
      <w:sz w:val="20"/>
      <w:szCs w:val="20"/>
      <w:lang w:val="en-US"/>
    </w:rPr>
  </w:style>
  <w:style w:type="paragraph" w:customStyle="1" w:styleId="tabletext00">
    <w:name w:val="tabletext0"/>
    <w:basedOn w:val="Normal"/>
    <w:rsid w:val="00FB57DB"/>
    <w:pPr>
      <w:spacing w:before="100" w:beforeAutospacing="1" w:after="100" w:afterAutospacing="1"/>
    </w:pPr>
    <w:rPr>
      <w:rFonts w:ascii="Times New Roman" w:eastAsia="Times New Roman" w:hAnsi="Times New Roman" w:cs="Times New Roman"/>
      <w:szCs w:val="24"/>
      <w:lang w:eastAsia="en-AU"/>
    </w:rPr>
  </w:style>
  <w:style w:type="character" w:styleId="PlaceholderText">
    <w:name w:val="Placeholder Text"/>
    <w:basedOn w:val="DefaultParagraphFont"/>
    <w:uiPriority w:val="99"/>
    <w:semiHidden/>
    <w:rsid w:val="009F5C36"/>
    <w:rPr>
      <w:color w:val="808080"/>
    </w:rPr>
  </w:style>
  <w:style w:type="table" w:customStyle="1" w:styleId="Summarybox6">
    <w:name w:val="Summary box6"/>
    <w:basedOn w:val="TableNormal"/>
    <w:next w:val="TableGrid"/>
    <w:uiPriority w:val="59"/>
    <w:rsid w:val="004C42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
    <w:name w:val="Plain Table 41"/>
    <w:basedOn w:val="TableNormal"/>
    <w:uiPriority w:val="44"/>
    <w:rsid w:val="0022569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2">
    <w:name w:val="Table Grid Light2"/>
    <w:basedOn w:val="TableNormal"/>
    <w:uiPriority w:val="40"/>
    <w:rsid w:val="0022569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DocumentMap">
    <w:name w:val="Document Map"/>
    <w:basedOn w:val="Normal"/>
    <w:link w:val="DocumentMapChar"/>
    <w:uiPriority w:val="99"/>
    <w:semiHidden/>
    <w:unhideWhenUsed/>
    <w:rsid w:val="001B0DCE"/>
    <w:pPr>
      <w:spacing w:before="0"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1B0DC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5" w:qFormat="1"/>
    <w:lsdException w:name="heading 5" w:uiPriority="7" w:qFormat="1"/>
    <w:lsdException w:name="heading 6" w:uiPriority="7" w:qFormat="1"/>
    <w:lsdException w:name="heading 7" w:uiPriority="7" w:qFormat="1"/>
    <w:lsdException w:name="heading 8" w:uiPriority="7" w:qFormat="1"/>
    <w:lsdException w:name="heading 9" w:uiPriority="7" w:qFormat="1"/>
    <w:lsdException w:name="toc 1" w:uiPriority="39"/>
    <w:lsdException w:name="toc 2" w:uiPriority="39"/>
    <w:lsdException w:name="toc 3" w:uiPriority="39"/>
    <w:lsdException w:name="toc 4" w:uiPriority="9"/>
    <w:lsdException w:name="toc 5" w:uiPriority="9"/>
    <w:lsdException w:name="toc 6" w:uiPriority="9"/>
    <w:lsdException w:name="toc 7" w:uiPriority="9"/>
    <w:lsdException w:name="toc 8" w:uiPriority="9"/>
    <w:lsdException w:name="toc 9" w:uiPriority="9"/>
    <w:lsdException w:name="annotation text" w:uiPriority="0"/>
    <w:lsdException w:name="caption" w:uiPriority="35" w:qFormat="1"/>
    <w:lsdException w:name="annotation reference" w:uiPriority="0" w:qFormat="1"/>
    <w:lsdException w:name="Title" w:semiHidden="0" w:uiPriority="7" w:unhideWhenUsed="0" w:qFormat="1"/>
    <w:lsdException w:name="Default Paragraph Font" w:uiPriority="1"/>
    <w:lsdException w:name="Body Text" w:uiPriority="0" w:qFormat="1"/>
    <w:lsdException w:name="Body Text Indent" w:uiPriority="9"/>
    <w:lsdException w:name="Subtitle" w:semiHidden="0" w:uiPriority="9" w:unhideWhenUsed="0" w:qFormat="1"/>
    <w:lsdException w:name="Body Text 2" w:uiPriority="9"/>
    <w:lsdException w:name="Body Text 3" w:uiPriority="9"/>
    <w:lsdException w:name="Strong" w:semiHidden="0" w:uiPriority="22" w:unhideWhenUsed="0" w:qFormat="1"/>
    <w:lsdException w:name="Emphasis" w:semiHidden="0" w:uiPriority="20" w:unhideWhenUsed="0" w:qFormat="1"/>
    <w:lsdException w:name="annotation subject" w:uiPriority="9"/>
    <w:lsdException w:name="Balloon Text" w:uiPriority="9"/>
    <w:lsdException w:name="Table Grid" w:semiHidden="0" w:uiPriority="39" w:unhideWhenUsed="0"/>
    <w:lsdException w:name="Placeholder Text" w:unhideWhenUsed="0"/>
    <w:lsdException w:name="No Spacing" w:semiHidden="0" w:uiPriority="7"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3B6E"/>
    <w:pPr>
      <w:spacing w:before="120" w:line="240" w:lineRule="auto"/>
    </w:pPr>
    <w:rPr>
      <w:sz w:val="24"/>
    </w:rPr>
  </w:style>
  <w:style w:type="paragraph" w:styleId="Heading1">
    <w:name w:val="heading 1"/>
    <w:basedOn w:val="Normal"/>
    <w:next w:val="Normal"/>
    <w:link w:val="Heading1Char"/>
    <w:uiPriority w:val="1"/>
    <w:qFormat/>
    <w:rsid w:val="00D24DAD"/>
    <w:pPr>
      <w:keepNext/>
      <w:keepLines/>
      <w:numPr>
        <w:numId w:val="18"/>
      </w:numPr>
      <w:spacing w:before="400" w:after="120"/>
      <w:outlineLvl w:val="0"/>
    </w:pPr>
    <w:rPr>
      <w:rFonts w:eastAsiaTheme="majorEastAsia" w:cstheme="majorBidi"/>
      <w:b/>
      <w:sz w:val="32"/>
      <w:szCs w:val="28"/>
    </w:rPr>
  </w:style>
  <w:style w:type="paragraph" w:styleId="Heading2">
    <w:name w:val="heading 2"/>
    <w:basedOn w:val="Normal"/>
    <w:next w:val="Normal"/>
    <w:link w:val="Heading2Char"/>
    <w:uiPriority w:val="1"/>
    <w:unhideWhenUsed/>
    <w:qFormat/>
    <w:rsid w:val="00DF16C0"/>
    <w:pPr>
      <w:keepNext/>
      <w:keepLines/>
      <w:spacing w:before="240" w:after="120"/>
      <w:outlineLvl w:val="1"/>
    </w:pPr>
    <w:rPr>
      <w:rFonts w:eastAsiaTheme="majorEastAsia" w:cstheme="majorBidi"/>
      <w:b/>
      <w:i/>
      <w:sz w:val="28"/>
      <w:szCs w:val="28"/>
    </w:rPr>
  </w:style>
  <w:style w:type="paragraph" w:styleId="Heading3">
    <w:name w:val="heading 3"/>
    <w:basedOn w:val="Normal"/>
    <w:next w:val="Normal"/>
    <w:link w:val="Heading3Char"/>
    <w:uiPriority w:val="1"/>
    <w:unhideWhenUsed/>
    <w:qFormat/>
    <w:rsid w:val="00186307"/>
    <w:pPr>
      <w:keepNext/>
      <w:keepLines/>
      <w:spacing w:after="120"/>
      <w:outlineLvl w:val="2"/>
    </w:pPr>
    <w:rPr>
      <w:rFonts w:eastAsiaTheme="majorEastAsia" w:cstheme="majorBidi"/>
      <w:b/>
      <w:sz w:val="28"/>
      <w:szCs w:val="28"/>
    </w:rPr>
  </w:style>
  <w:style w:type="paragraph" w:styleId="Heading4">
    <w:name w:val="heading 4"/>
    <w:aliases w:val="Heading 1 - Body"/>
    <w:basedOn w:val="Heading1"/>
    <w:next w:val="Normal"/>
    <w:link w:val="Heading4Char"/>
    <w:uiPriority w:val="5"/>
    <w:unhideWhenUsed/>
    <w:qFormat/>
    <w:rsid w:val="00624315"/>
    <w:pPr>
      <w:outlineLvl w:val="3"/>
    </w:pPr>
  </w:style>
  <w:style w:type="paragraph" w:styleId="Heading5">
    <w:name w:val="heading 5"/>
    <w:aliases w:val="Heading 2 - Body"/>
    <w:basedOn w:val="Heading2"/>
    <w:next w:val="Normal"/>
    <w:link w:val="Heading5Char"/>
    <w:uiPriority w:val="7"/>
    <w:unhideWhenUsed/>
    <w:qFormat/>
    <w:rsid w:val="003B095E"/>
    <w:pPr>
      <w:outlineLvl w:val="4"/>
    </w:pPr>
  </w:style>
  <w:style w:type="paragraph" w:styleId="Heading6">
    <w:name w:val="heading 6"/>
    <w:aliases w:val="Heading 3 - Body"/>
    <w:basedOn w:val="Heading3"/>
    <w:next w:val="Normal"/>
    <w:link w:val="Heading6Char"/>
    <w:uiPriority w:val="7"/>
    <w:unhideWhenUsed/>
    <w:qFormat/>
    <w:rsid w:val="00624315"/>
    <w:pPr>
      <w:outlineLvl w:val="5"/>
    </w:pPr>
    <w:rPr>
      <w:sz w:val="24"/>
    </w:rPr>
  </w:style>
  <w:style w:type="paragraph" w:styleId="Heading7">
    <w:name w:val="heading 7"/>
    <w:basedOn w:val="Heading1"/>
    <w:next w:val="Normal"/>
    <w:link w:val="Heading7Char"/>
    <w:uiPriority w:val="7"/>
    <w:unhideWhenUsed/>
    <w:qFormat/>
    <w:rsid w:val="00472D4D"/>
    <w:pPr>
      <w:numPr>
        <w:numId w:val="0"/>
      </w:numPr>
      <w:spacing w:before="120"/>
      <w:ind w:left="709" w:hanging="709"/>
      <w:outlineLvl w:val="6"/>
    </w:pPr>
    <w:rPr>
      <w:i/>
      <w:sz w:val="24"/>
      <w:szCs w:val="24"/>
    </w:rPr>
  </w:style>
  <w:style w:type="paragraph" w:styleId="Heading8">
    <w:name w:val="heading 8"/>
    <w:basedOn w:val="Normal"/>
    <w:next w:val="Normal"/>
    <w:link w:val="Heading8Char"/>
    <w:uiPriority w:val="7"/>
    <w:unhideWhenUsed/>
    <w:qFormat/>
    <w:rsid w:val="002B5D74"/>
    <w:pPr>
      <w:keepNext/>
      <w:keepLines/>
      <w:numPr>
        <w:ilvl w:val="7"/>
        <w:numId w:val="18"/>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Section heading - Body"/>
    <w:basedOn w:val="Heading1"/>
    <w:next w:val="Normal"/>
    <w:link w:val="Heading9Char"/>
    <w:uiPriority w:val="7"/>
    <w:unhideWhenUsed/>
    <w:qFormat/>
    <w:rsid w:val="002A4503"/>
    <w:pP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24DAD"/>
    <w:rPr>
      <w:rFonts w:eastAsiaTheme="majorEastAsia" w:cstheme="majorBidi"/>
      <w:b/>
      <w:sz w:val="32"/>
      <w:szCs w:val="28"/>
    </w:rPr>
  </w:style>
  <w:style w:type="character" w:customStyle="1" w:styleId="Heading2Char">
    <w:name w:val="Heading 2 Char"/>
    <w:basedOn w:val="DefaultParagraphFont"/>
    <w:link w:val="Heading2"/>
    <w:uiPriority w:val="1"/>
    <w:rsid w:val="00DF16C0"/>
    <w:rPr>
      <w:rFonts w:eastAsiaTheme="majorEastAsia" w:cstheme="majorBidi"/>
      <w:b/>
      <w:i/>
      <w:sz w:val="28"/>
      <w:szCs w:val="28"/>
    </w:rPr>
  </w:style>
  <w:style w:type="character" w:customStyle="1" w:styleId="Heading3Char">
    <w:name w:val="Heading 3 Char"/>
    <w:basedOn w:val="DefaultParagraphFont"/>
    <w:link w:val="Heading3"/>
    <w:uiPriority w:val="9"/>
    <w:rsid w:val="00186307"/>
    <w:rPr>
      <w:rFonts w:eastAsiaTheme="majorEastAsia" w:cstheme="majorBidi"/>
      <w:b/>
      <w:sz w:val="28"/>
      <w:szCs w:val="28"/>
    </w:rPr>
  </w:style>
  <w:style w:type="paragraph" w:styleId="ListParagraph">
    <w:name w:val="List Paragraph"/>
    <w:aliases w:val="BulletPoints"/>
    <w:basedOn w:val="Normal"/>
    <w:link w:val="ListParagraphChar"/>
    <w:uiPriority w:val="34"/>
    <w:qFormat/>
    <w:rsid w:val="0095170D"/>
    <w:pPr>
      <w:ind w:left="720"/>
    </w:pPr>
  </w:style>
  <w:style w:type="paragraph" w:customStyle="1" w:styleId="V50Heading2nonumbers">
    <w:name w:val="V5.0 Heading 2 no numbers"/>
    <w:basedOn w:val="Heading2"/>
    <w:qFormat/>
    <w:rsid w:val="00186307"/>
    <w:pPr>
      <w:ind w:left="578" w:hanging="578"/>
    </w:pPr>
  </w:style>
  <w:style w:type="paragraph" w:customStyle="1" w:styleId="V50Instructions">
    <w:name w:val="V5.0 Instructions"/>
    <w:basedOn w:val="Normal"/>
    <w:link w:val="V50InstructionsChar"/>
    <w:qFormat/>
    <w:rsid w:val="003E6475"/>
    <w:rPr>
      <w:color w:val="4472C4" w:themeColor="accent5"/>
    </w:rPr>
  </w:style>
  <w:style w:type="character" w:customStyle="1" w:styleId="Heading4Char">
    <w:name w:val="Heading 4 Char"/>
    <w:aliases w:val="Heading 1 - Body Char"/>
    <w:basedOn w:val="DefaultParagraphFont"/>
    <w:link w:val="Heading4"/>
    <w:uiPriority w:val="5"/>
    <w:rsid w:val="00624315"/>
    <w:rPr>
      <w:rFonts w:eastAsiaTheme="majorEastAsia" w:cstheme="majorBidi"/>
      <w:b/>
      <w:sz w:val="32"/>
      <w:szCs w:val="28"/>
    </w:rPr>
  </w:style>
  <w:style w:type="character" w:customStyle="1" w:styleId="Heading5Char">
    <w:name w:val="Heading 5 Char"/>
    <w:aliases w:val="Heading 2 - Body Char"/>
    <w:basedOn w:val="DefaultParagraphFont"/>
    <w:link w:val="Heading5"/>
    <w:uiPriority w:val="7"/>
    <w:rsid w:val="003B095E"/>
    <w:rPr>
      <w:rFonts w:eastAsiaTheme="majorEastAsia" w:cstheme="majorBidi"/>
      <w:b/>
      <w:sz w:val="28"/>
      <w:szCs w:val="36"/>
    </w:rPr>
  </w:style>
  <w:style w:type="character" w:customStyle="1" w:styleId="Heading6Char">
    <w:name w:val="Heading 6 Char"/>
    <w:aliases w:val="Heading 3 - Body Char"/>
    <w:basedOn w:val="DefaultParagraphFont"/>
    <w:link w:val="Heading6"/>
    <w:uiPriority w:val="9"/>
    <w:rsid w:val="00624315"/>
    <w:rPr>
      <w:rFonts w:eastAsiaTheme="majorEastAsia" w:cstheme="majorBidi"/>
      <w:b/>
      <w:sz w:val="24"/>
      <w:szCs w:val="28"/>
    </w:rPr>
  </w:style>
  <w:style w:type="character" w:customStyle="1" w:styleId="Heading7Char">
    <w:name w:val="Heading 7 Char"/>
    <w:basedOn w:val="DefaultParagraphFont"/>
    <w:link w:val="Heading7"/>
    <w:uiPriority w:val="7"/>
    <w:rsid w:val="00472D4D"/>
    <w:rPr>
      <w:rFonts w:eastAsiaTheme="majorEastAsia" w:cstheme="majorBidi"/>
      <w:b/>
      <w:i/>
      <w:sz w:val="24"/>
      <w:szCs w:val="24"/>
    </w:rPr>
  </w:style>
  <w:style w:type="character" w:customStyle="1" w:styleId="Heading8Char">
    <w:name w:val="Heading 8 Char"/>
    <w:basedOn w:val="DefaultParagraphFont"/>
    <w:link w:val="Heading8"/>
    <w:uiPriority w:val="7"/>
    <w:rsid w:val="002B5D74"/>
    <w:rPr>
      <w:rFonts w:asciiTheme="majorHAnsi" w:eastAsiaTheme="majorEastAsia" w:hAnsiTheme="majorHAnsi" w:cstheme="majorBidi"/>
      <w:color w:val="272727" w:themeColor="text1" w:themeTint="D8"/>
      <w:sz w:val="21"/>
      <w:szCs w:val="21"/>
    </w:rPr>
  </w:style>
  <w:style w:type="character" w:customStyle="1" w:styleId="Heading9Char">
    <w:name w:val="Heading 9 Char"/>
    <w:aliases w:val="Section heading - Body Char"/>
    <w:basedOn w:val="DefaultParagraphFont"/>
    <w:link w:val="Heading9"/>
    <w:uiPriority w:val="7"/>
    <w:rsid w:val="002A4503"/>
    <w:rPr>
      <w:rFonts w:eastAsiaTheme="majorEastAsia" w:cstheme="majorBidi"/>
      <w:b/>
      <w:sz w:val="36"/>
      <w:szCs w:val="28"/>
    </w:rPr>
  </w:style>
  <w:style w:type="paragraph" w:customStyle="1" w:styleId="V50Heading1nonumbers">
    <w:name w:val="V5.0 Heading 1 no numbers"/>
    <w:basedOn w:val="Heading1"/>
    <w:qFormat/>
    <w:rsid w:val="00186307"/>
    <w:pPr>
      <w:numPr>
        <w:numId w:val="0"/>
      </w:numPr>
    </w:pPr>
  </w:style>
  <w:style w:type="table" w:styleId="TableGrid">
    <w:name w:val="Table Grid"/>
    <w:aliases w:val="Summary box,Table Gridbeth"/>
    <w:basedOn w:val="TableNormal"/>
    <w:uiPriority w:val="39"/>
    <w:rsid w:val="004033BF"/>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shd w:val="clear" w:color="auto" w:fill="F2F2F2" w:themeFill="background1" w:themeFillShade="F2"/>
      </w:tcPr>
    </w:tblStylePr>
  </w:style>
  <w:style w:type="paragraph" w:styleId="Caption">
    <w:name w:val="caption"/>
    <w:aliases w:val="V5.0 Caption,Caption Char2 Char,Caption Char Char Char2,Caption Char1 Char Char Char1,Caption Char2 Char Char Char1 Char1,Caption Char Char1 Char Char Char1 Char1,Caption Char1 Char Char Char Char Char Char,Caption Char2,Caption Char1,c"/>
    <w:basedOn w:val="Normal"/>
    <w:next w:val="Normal"/>
    <w:link w:val="CaptionChar"/>
    <w:uiPriority w:val="35"/>
    <w:unhideWhenUsed/>
    <w:qFormat/>
    <w:rsid w:val="008B2620"/>
    <w:pPr>
      <w:spacing w:before="0" w:after="0"/>
      <w:jc w:val="both"/>
    </w:pPr>
    <w:rPr>
      <w:rFonts w:ascii="Arial Narrow" w:hAnsi="Arial Narrow"/>
      <w:b/>
      <w:bCs/>
      <w:sz w:val="20"/>
      <w:szCs w:val="20"/>
    </w:rPr>
  </w:style>
  <w:style w:type="paragraph" w:customStyle="1" w:styleId="V50TableText">
    <w:name w:val="V5.0 TableText"/>
    <w:link w:val="V50TableTextChar"/>
    <w:qFormat/>
    <w:rsid w:val="00186307"/>
    <w:pPr>
      <w:spacing w:after="0" w:line="240" w:lineRule="auto"/>
    </w:pPr>
    <w:rPr>
      <w:sz w:val="20"/>
      <w:szCs w:val="24"/>
      <w:lang w:val="en-US"/>
    </w:rPr>
  </w:style>
  <w:style w:type="paragraph" w:customStyle="1" w:styleId="V50TableTextInstruction">
    <w:name w:val="V5.0 TableText Instruction"/>
    <w:basedOn w:val="V50TableText"/>
    <w:qFormat/>
    <w:rsid w:val="00597972"/>
    <w:rPr>
      <w:b/>
      <w:color w:val="4472C4" w:themeColor="accent5"/>
    </w:rPr>
  </w:style>
  <w:style w:type="paragraph" w:customStyle="1" w:styleId="V50InstructionsBullets">
    <w:name w:val="V5.0 Instructions Bullets"/>
    <w:basedOn w:val="V50Instructions"/>
    <w:qFormat/>
    <w:rsid w:val="007F08CA"/>
    <w:pPr>
      <w:numPr>
        <w:numId w:val="2"/>
      </w:numPr>
      <w:spacing w:before="0" w:after="0"/>
      <w:ind w:left="714" w:hanging="357"/>
    </w:pPr>
  </w:style>
  <w:style w:type="table" w:customStyle="1" w:styleId="TableGridLight1">
    <w:name w:val="Table Grid Light1"/>
    <w:basedOn w:val="TableNormal"/>
    <w:uiPriority w:val="40"/>
    <w:rsid w:val="00D6667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
    <w:name w:val="Plain Table 21"/>
    <w:basedOn w:val="TableNormal"/>
    <w:uiPriority w:val="42"/>
    <w:rsid w:val="00EA1B2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Text">
    <w:name w:val="Table Text"/>
    <w:basedOn w:val="Normal"/>
    <w:qFormat/>
    <w:rsid w:val="00C846BE"/>
    <w:pPr>
      <w:keepNext/>
      <w:spacing w:before="40" w:after="40"/>
    </w:pPr>
    <w:rPr>
      <w:rFonts w:ascii="Arial Narrow" w:hAnsi="Arial Narrow"/>
      <w:sz w:val="20"/>
    </w:rPr>
  </w:style>
  <w:style w:type="character" w:styleId="Hyperlink">
    <w:name w:val="Hyperlink"/>
    <w:basedOn w:val="DefaultParagraphFont"/>
    <w:uiPriority w:val="99"/>
    <w:unhideWhenUsed/>
    <w:rsid w:val="00BA3306"/>
    <w:rPr>
      <w:color w:val="00B0F0"/>
      <w:u w:val="single"/>
    </w:rPr>
  </w:style>
  <w:style w:type="paragraph" w:customStyle="1" w:styleId="TableName">
    <w:name w:val="TableName"/>
    <w:basedOn w:val="Normal"/>
    <w:qFormat/>
    <w:rsid w:val="00BA3306"/>
    <w:pPr>
      <w:keepNext/>
      <w:spacing w:before="0" w:after="240"/>
      <w:ind w:left="1418" w:hanging="1418"/>
    </w:pPr>
    <w:rPr>
      <w:rFonts w:ascii="Franklin Gothic Medium" w:hAnsi="Franklin Gothic Medium"/>
      <w:sz w:val="22"/>
    </w:rPr>
  </w:style>
  <w:style w:type="paragraph" w:customStyle="1" w:styleId="TableHeading">
    <w:name w:val="TableHeading"/>
    <w:basedOn w:val="Caption"/>
    <w:qFormat/>
    <w:rsid w:val="00624315"/>
    <w:pPr>
      <w:ind w:left="709"/>
    </w:pPr>
  </w:style>
  <w:style w:type="paragraph" w:styleId="FootnoteText">
    <w:name w:val="footnote text"/>
    <w:basedOn w:val="Normal"/>
    <w:link w:val="FootnoteTextChar"/>
    <w:uiPriority w:val="99"/>
    <w:unhideWhenUsed/>
    <w:rsid w:val="00BA3306"/>
    <w:pPr>
      <w:spacing w:before="0" w:after="0"/>
    </w:pPr>
    <w:rPr>
      <w:sz w:val="18"/>
      <w:szCs w:val="20"/>
    </w:rPr>
  </w:style>
  <w:style w:type="character" w:customStyle="1" w:styleId="FootnoteTextChar">
    <w:name w:val="Footnote Text Char"/>
    <w:basedOn w:val="DefaultParagraphFont"/>
    <w:link w:val="FootnoteText"/>
    <w:uiPriority w:val="99"/>
    <w:rsid w:val="00BA3306"/>
    <w:rPr>
      <w:sz w:val="18"/>
      <w:szCs w:val="20"/>
    </w:rPr>
  </w:style>
  <w:style w:type="character" w:styleId="FootnoteReference">
    <w:name w:val="footnote reference"/>
    <w:basedOn w:val="DefaultParagraphFont"/>
    <w:uiPriority w:val="99"/>
    <w:unhideWhenUsed/>
    <w:rsid w:val="00BA3306"/>
    <w:rPr>
      <w:vertAlign w:val="superscript"/>
    </w:rPr>
  </w:style>
  <w:style w:type="paragraph" w:customStyle="1" w:styleId="TableFigNoteLast">
    <w:name w:val="TableFigNote Last"/>
    <w:basedOn w:val="Normal"/>
    <w:qFormat/>
    <w:rsid w:val="00BA3306"/>
    <w:pPr>
      <w:spacing w:before="0" w:after="360"/>
    </w:pPr>
    <w:rPr>
      <w:sz w:val="18"/>
    </w:rPr>
  </w:style>
  <w:style w:type="character" w:styleId="Emphasis">
    <w:name w:val="Emphasis"/>
    <w:basedOn w:val="DefaultParagraphFont"/>
    <w:uiPriority w:val="20"/>
    <w:qFormat/>
    <w:rsid w:val="00BA3306"/>
    <w:rPr>
      <w:b w:val="0"/>
      <w:i/>
      <w:iCs/>
    </w:rPr>
  </w:style>
  <w:style w:type="character" w:styleId="CommentReference">
    <w:name w:val="annotation reference"/>
    <w:aliases w:val="Table Title"/>
    <w:basedOn w:val="DefaultParagraphFont"/>
    <w:unhideWhenUsed/>
    <w:qFormat/>
    <w:rsid w:val="004619BB"/>
    <w:rPr>
      <w:sz w:val="16"/>
      <w:szCs w:val="16"/>
    </w:rPr>
  </w:style>
  <w:style w:type="paragraph" w:styleId="CommentText">
    <w:name w:val="annotation text"/>
    <w:basedOn w:val="Normal"/>
    <w:link w:val="CommentTextChar"/>
    <w:unhideWhenUsed/>
    <w:rsid w:val="004619BB"/>
    <w:rPr>
      <w:sz w:val="20"/>
      <w:szCs w:val="20"/>
    </w:rPr>
  </w:style>
  <w:style w:type="character" w:customStyle="1" w:styleId="CommentTextChar">
    <w:name w:val="Comment Text Char"/>
    <w:basedOn w:val="DefaultParagraphFont"/>
    <w:link w:val="CommentText"/>
    <w:rsid w:val="004619BB"/>
    <w:rPr>
      <w:sz w:val="20"/>
      <w:szCs w:val="20"/>
    </w:rPr>
  </w:style>
  <w:style w:type="paragraph" w:styleId="CommentSubject">
    <w:name w:val="annotation subject"/>
    <w:basedOn w:val="CommentText"/>
    <w:next w:val="CommentText"/>
    <w:link w:val="CommentSubjectChar"/>
    <w:uiPriority w:val="9"/>
    <w:unhideWhenUsed/>
    <w:rsid w:val="004619BB"/>
    <w:rPr>
      <w:b/>
      <w:bCs/>
    </w:rPr>
  </w:style>
  <w:style w:type="character" w:customStyle="1" w:styleId="CommentSubjectChar">
    <w:name w:val="Comment Subject Char"/>
    <w:basedOn w:val="CommentTextChar"/>
    <w:link w:val="CommentSubject"/>
    <w:uiPriority w:val="9"/>
    <w:rsid w:val="004619BB"/>
    <w:rPr>
      <w:b/>
      <w:bCs/>
      <w:sz w:val="20"/>
      <w:szCs w:val="20"/>
    </w:rPr>
  </w:style>
  <w:style w:type="paragraph" w:styleId="BalloonText">
    <w:name w:val="Balloon Text"/>
    <w:basedOn w:val="Normal"/>
    <w:link w:val="BalloonTextChar"/>
    <w:uiPriority w:val="9"/>
    <w:unhideWhenUsed/>
    <w:rsid w:val="004619BB"/>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
    <w:rsid w:val="004619BB"/>
    <w:rPr>
      <w:rFonts w:ascii="Segoe UI" w:hAnsi="Segoe UI" w:cs="Segoe UI"/>
      <w:sz w:val="18"/>
      <w:szCs w:val="18"/>
    </w:rPr>
  </w:style>
  <w:style w:type="paragraph" w:customStyle="1" w:styleId="TableHeading0">
    <w:name w:val="Table Heading"/>
    <w:basedOn w:val="Normal"/>
    <w:qFormat/>
    <w:rsid w:val="00FF610D"/>
    <w:pPr>
      <w:keepNext/>
      <w:spacing w:before="0" w:after="60"/>
    </w:pPr>
    <w:rPr>
      <w:rFonts w:ascii="Arial Narrow" w:hAnsi="Arial Narrow"/>
      <w:b/>
      <w:sz w:val="20"/>
    </w:rPr>
  </w:style>
  <w:style w:type="character" w:customStyle="1" w:styleId="V50InstructionsChar">
    <w:name w:val="V5.0 Instructions Char"/>
    <w:basedOn w:val="DefaultParagraphFont"/>
    <w:link w:val="V50Instructions"/>
    <w:rsid w:val="00C317F3"/>
    <w:rPr>
      <w:color w:val="4472C4" w:themeColor="accent5"/>
      <w:sz w:val="24"/>
    </w:rPr>
  </w:style>
  <w:style w:type="character" w:customStyle="1" w:styleId="CaptionChar">
    <w:name w:val="Caption Char"/>
    <w:aliases w:val="V5.0 Caption Char,Caption Char2 Char Char,Caption Char Char Char2 Char,Caption Char1 Char Char Char1 Char,Caption Char2 Char Char Char1 Char1 Char,Caption Char Char1 Char Char Char1 Char1 Char,Caption Char2 Char1,Caption Char1 Char,c Char"/>
    <w:link w:val="Caption"/>
    <w:uiPriority w:val="35"/>
    <w:rsid w:val="008B2620"/>
    <w:rPr>
      <w:rFonts w:ascii="Arial Narrow" w:hAnsi="Arial Narrow"/>
      <w:b/>
      <w:bCs/>
      <w:sz w:val="20"/>
      <w:szCs w:val="20"/>
    </w:rPr>
  </w:style>
  <w:style w:type="character" w:customStyle="1" w:styleId="V50TableTextChar">
    <w:name w:val="V5.0 TableText Char"/>
    <w:basedOn w:val="DefaultParagraphFont"/>
    <w:link w:val="V50TableText"/>
    <w:rsid w:val="00C317F3"/>
    <w:rPr>
      <w:sz w:val="20"/>
      <w:szCs w:val="24"/>
      <w:lang w:val="en-US"/>
    </w:rPr>
  </w:style>
  <w:style w:type="paragraph" w:customStyle="1" w:styleId="V50Tablename">
    <w:name w:val="V5.0 Table name"/>
    <w:basedOn w:val="V50TableText"/>
    <w:link w:val="V50TablenameChar"/>
    <w:qFormat/>
    <w:rsid w:val="00DF16C0"/>
    <w:pPr>
      <w:keepNext/>
    </w:pPr>
    <w:rPr>
      <w:b/>
    </w:rPr>
  </w:style>
  <w:style w:type="character" w:customStyle="1" w:styleId="V50TablenameChar">
    <w:name w:val="V5.0 Table name Char"/>
    <w:basedOn w:val="DefaultParagraphFont"/>
    <w:link w:val="V50Tablename"/>
    <w:rsid w:val="00DF16C0"/>
    <w:rPr>
      <w:b/>
      <w:sz w:val="20"/>
      <w:szCs w:val="24"/>
      <w:lang w:val="en-US"/>
    </w:rPr>
  </w:style>
  <w:style w:type="paragraph" w:customStyle="1" w:styleId="V50Tablenote">
    <w:name w:val="V5.0 Tablenote"/>
    <w:basedOn w:val="V50TableText"/>
    <w:link w:val="V50TablenoteChar"/>
    <w:qFormat/>
    <w:rsid w:val="00DF16C0"/>
    <w:pPr>
      <w:spacing w:after="120"/>
      <w:contextualSpacing/>
      <w:jc w:val="both"/>
    </w:pPr>
    <w:rPr>
      <w:sz w:val="18"/>
      <w:szCs w:val="18"/>
    </w:rPr>
  </w:style>
  <w:style w:type="character" w:customStyle="1" w:styleId="V50TablenoteChar">
    <w:name w:val="V5.0 Tablenote Char"/>
    <w:basedOn w:val="DefaultParagraphFont"/>
    <w:link w:val="V50Tablenote"/>
    <w:rsid w:val="00DF16C0"/>
    <w:rPr>
      <w:sz w:val="18"/>
      <w:szCs w:val="18"/>
      <w:lang w:val="en-US"/>
    </w:rPr>
  </w:style>
  <w:style w:type="paragraph" w:customStyle="1" w:styleId="TableFooter">
    <w:name w:val="Table Footer"/>
    <w:basedOn w:val="Normal"/>
    <w:link w:val="TableFooterChar"/>
    <w:qFormat/>
    <w:rsid w:val="00C846BE"/>
    <w:pPr>
      <w:widowControl w:val="0"/>
      <w:spacing w:before="0" w:after="120"/>
      <w:contextualSpacing/>
      <w:jc w:val="both"/>
    </w:pPr>
    <w:rPr>
      <w:rFonts w:ascii="Arial Narrow" w:eastAsia="Times New Roman" w:hAnsi="Arial Narrow" w:cs="Arial"/>
      <w:snapToGrid w:val="0"/>
      <w:sz w:val="18"/>
      <w:szCs w:val="20"/>
    </w:rPr>
  </w:style>
  <w:style w:type="character" w:customStyle="1" w:styleId="TableFooterChar">
    <w:name w:val="Table Footer Char"/>
    <w:link w:val="TableFooter"/>
    <w:rsid w:val="00C846BE"/>
    <w:rPr>
      <w:rFonts w:ascii="Arial Narrow" w:eastAsia="Times New Roman" w:hAnsi="Arial Narrow" w:cs="Arial"/>
      <w:snapToGrid w:val="0"/>
      <w:sz w:val="18"/>
      <w:szCs w:val="20"/>
    </w:rPr>
  </w:style>
  <w:style w:type="paragraph" w:customStyle="1" w:styleId="TableNotes">
    <w:name w:val="TableNotes"/>
    <w:basedOn w:val="Normal"/>
    <w:qFormat/>
    <w:rsid w:val="00C317F3"/>
    <w:pPr>
      <w:spacing w:before="0" w:after="60"/>
    </w:pPr>
    <w:rPr>
      <w:sz w:val="20"/>
    </w:rPr>
  </w:style>
  <w:style w:type="paragraph" w:customStyle="1" w:styleId="oldTablefooter">
    <w:name w:val="old Table footer"/>
    <w:basedOn w:val="Normal"/>
    <w:link w:val="oldTablefooterChar"/>
    <w:qFormat/>
    <w:rsid w:val="00C317F3"/>
    <w:pPr>
      <w:spacing w:before="0" w:after="0"/>
      <w:jc w:val="both"/>
    </w:pPr>
    <w:rPr>
      <w:rFonts w:cs="Arial"/>
      <w:sz w:val="18"/>
      <w:szCs w:val="18"/>
      <w:lang w:val="en-US" w:eastAsia="en-AU"/>
    </w:rPr>
  </w:style>
  <w:style w:type="character" w:customStyle="1" w:styleId="oldTablefooterChar">
    <w:name w:val="old Table footer Char"/>
    <w:basedOn w:val="V50TableTextChar"/>
    <w:link w:val="oldTablefooter"/>
    <w:rsid w:val="00C317F3"/>
    <w:rPr>
      <w:rFonts w:cs="Arial"/>
      <w:sz w:val="18"/>
      <w:szCs w:val="18"/>
      <w:lang w:val="en-US" w:eastAsia="en-AU"/>
    </w:rPr>
  </w:style>
  <w:style w:type="paragraph" w:styleId="Header">
    <w:name w:val="header"/>
    <w:aliases w:val="Page Header,Header title,he=header,cntr/bld"/>
    <w:basedOn w:val="Normal"/>
    <w:link w:val="HeaderChar"/>
    <w:uiPriority w:val="99"/>
    <w:unhideWhenUsed/>
    <w:rsid w:val="00C317F3"/>
    <w:pPr>
      <w:tabs>
        <w:tab w:val="center" w:pos="4513"/>
        <w:tab w:val="right" w:pos="9026"/>
      </w:tabs>
      <w:spacing w:before="0" w:after="0"/>
    </w:pPr>
  </w:style>
  <w:style w:type="character" w:customStyle="1" w:styleId="HeaderChar">
    <w:name w:val="Header Char"/>
    <w:aliases w:val="Page Header Char,Header title Char,he=header Char,cntr/bld Char"/>
    <w:basedOn w:val="DefaultParagraphFont"/>
    <w:link w:val="Header"/>
    <w:uiPriority w:val="99"/>
    <w:rsid w:val="00C317F3"/>
    <w:rPr>
      <w:sz w:val="24"/>
    </w:rPr>
  </w:style>
  <w:style w:type="paragraph" w:styleId="Footer">
    <w:name w:val="footer"/>
    <w:basedOn w:val="Normal"/>
    <w:link w:val="FooterChar"/>
    <w:uiPriority w:val="99"/>
    <w:unhideWhenUsed/>
    <w:rsid w:val="00C317F3"/>
    <w:pPr>
      <w:tabs>
        <w:tab w:val="center" w:pos="4513"/>
        <w:tab w:val="right" w:pos="9026"/>
      </w:tabs>
      <w:spacing w:before="0" w:after="0"/>
    </w:pPr>
  </w:style>
  <w:style w:type="character" w:customStyle="1" w:styleId="FooterChar">
    <w:name w:val="Footer Char"/>
    <w:basedOn w:val="DefaultParagraphFont"/>
    <w:link w:val="Footer"/>
    <w:uiPriority w:val="99"/>
    <w:rsid w:val="00C317F3"/>
    <w:rPr>
      <w:sz w:val="24"/>
    </w:rPr>
  </w:style>
  <w:style w:type="paragraph" w:styleId="TOC2">
    <w:name w:val="toc 2"/>
    <w:basedOn w:val="Normal"/>
    <w:next w:val="Normal"/>
    <w:autoRedefine/>
    <w:uiPriority w:val="39"/>
    <w:rsid w:val="00C317F3"/>
    <w:pPr>
      <w:widowControl w:val="0"/>
      <w:tabs>
        <w:tab w:val="left" w:pos="880"/>
        <w:tab w:val="right" w:leader="dot" w:pos="9016"/>
      </w:tabs>
      <w:spacing w:after="0"/>
      <w:ind w:left="220"/>
    </w:pPr>
    <w:rPr>
      <w:rFonts w:ascii="Arial" w:eastAsia="Times New Roman" w:hAnsi="Arial" w:cs="Arial"/>
      <w:iCs/>
      <w:snapToGrid w:val="0"/>
      <w:sz w:val="20"/>
      <w:szCs w:val="20"/>
    </w:rPr>
  </w:style>
  <w:style w:type="paragraph" w:styleId="TOC1">
    <w:name w:val="toc 1"/>
    <w:basedOn w:val="Normal"/>
    <w:next w:val="Normal"/>
    <w:autoRedefine/>
    <w:uiPriority w:val="39"/>
    <w:rsid w:val="00C317F3"/>
    <w:pPr>
      <w:widowControl w:val="0"/>
      <w:spacing w:before="240" w:after="120"/>
    </w:pPr>
    <w:rPr>
      <w:rFonts w:ascii="Arial" w:eastAsia="Times New Roman" w:hAnsi="Arial" w:cs="Arial"/>
      <w:bCs/>
      <w:snapToGrid w:val="0"/>
      <w:sz w:val="20"/>
      <w:szCs w:val="20"/>
    </w:rPr>
  </w:style>
  <w:style w:type="paragraph" w:customStyle="1" w:styleId="TableHeader">
    <w:name w:val="Table Header"/>
    <w:basedOn w:val="Normal"/>
    <w:next w:val="Normal"/>
    <w:uiPriority w:val="3"/>
    <w:qFormat/>
    <w:rsid w:val="00C317F3"/>
    <w:pPr>
      <w:widowControl w:val="0"/>
      <w:spacing w:before="0" w:after="0"/>
      <w:jc w:val="both"/>
    </w:pPr>
    <w:rPr>
      <w:rFonts w:ascii="Arial Narrow" w:eastAsia="Times New Roman" w:hAnsi="Arial Narrow" w:cs="Arial"/>
      <w:b/>
      <w:snapToGrid w:val="0"/>
      <w:sz w:val="20"/>
      <w:szCs w:val="20"/>
    </w:rPr>
  </w:style>
  <w:style w:type="paragraph" w:styleId="Title">
    <w:name w:val="Title"/>
    <w:basedOn w:val="Normal"/>
    <w:next w:val="Normal"/>
    <w:link w:val="TitleChar"/>
    <w:uiPriority w:val="7"/>
    <w:rsid w:val="00C317F3"/>
    <w:pPr>
      <w:widowControl w:val="0"/>
      <w:spacing w:before="240" w:after="60"/>
      <w:jc w:val="center"/>
      <w:outlineLvl w:val="0"/>
    </w:pPr>
    <w:rPr>
      <w:rFonts w:ascii="Cambria" w:eastAsia="Times New Roman" w:hAnsi="Cambria" w:cs="Arial"/>
      <w:b/>
      <w:bCs/>
      <w:snapToGrid w:val="0"/>
      <w:kern w:val="28"/>
      <w:sz w:val="32"/>
      <w:szCs w:val="32"/>
    </w:rPr>
  </w:style>
  <w:style w:type="character" w:customStyle="1" w:styleId="TitleChar">
    <w:name w:val="Title Char"/>
    <w:basedOn w:val="DefaultParagraphFont"/>
    <w:link w:val="Title"/>
    <w:uiPriority w:val="7"/>
    <w:rsid w:val="00C317F3"/>
    <w:rPr>
      <w:rFonts w:ascii="Cambria" w:eastAsia="Times New Roman" w:hAnsi="Cambria" w:cs="Arial"/>
      <w:b/>
      <w:bCs/>
      <w:snapToGrid w:val="0"/>
      <w:kern w:val="28"/>
      <w:sz w:val="32"/>
      <w:szCs w:val="32"/>
    </w:rPr>
  </w:style>
  <w:style w:type="paragraph" w:styleId="BodyText">
    <w:name w:val="Body Text"/>
    <w:basedOn w:val="Normal"/>
    <w:link w:val="BodyTextChar"/>
    <w:qFormat/>
    <w:rsid w:val="00C317F3"/>
    <w:pPr>
      <w:widowControl w:val="0"/>
      <w:spacing w:before="0" w:after="0"/>
    </w:pPr>
    <w:rPr>
      <w:rFonts w:ascii="Arial" w:eastAsia="Times New Roman" w:hAnsi="Arial" w:cs="Arial"/>
      <w:snapToGrid w:val="0"/>
      <w:sz w:val="22"/>
      <w:szCs w:val="20"/>
    </w:rPr>
  </w:style>
  <w:style w:type="character" w:customStyle="1" w:styleId="BodyTextChar">
    <w:name w:val="Body Text Char"/>
    <w:basedOn w:val="DefaultParagraphFont"/>
    <w:link w:val="BodyText"/>
    <w:rsid w:val="00C317F3"/>
    <w:rPr>
      <w:rFonts w:ascii="Arial" w:eastAsia="Times New Roman" w:hAnsi="Arial" w:cs="Arial"/>
      <w:snapToGrid w:val="0"/>
      <w:szCs w:val="20"/>
    </w:rPr>
  </w:style>
  <w:style w:type="paragraph" w:customStyle="1" w:styleId="RegularText">
    <w:name w:val="Regular Text"/>
    <w:basedOn w:val="BodyText"/>
    <w:link w:val="RegularTextChar"/>
    <w:uiPriority w:val="9"/>
    <w:rsid w:val="00C317F3"/>
    <w:rPr>
      <w:b/>
    </w:rPr>
  </w:style>
  <w:style w:type="character" w:customStyle="1" w:styleId="RegularTextChar">
    <w:name w:val="Regular Text Char"/>
    <w:basedOn w:val="BodyTextChar"/>
    <w:link w:val="RegularText"/>
    <w:uiPriority w:val="9"/>
    <w:rsid w:val="00C317F3"/>
    <w:rPr>
      <w:rFonts w:ascii="Arial" w:eastAsia="Times New Roman" w:hAnsi="Arial" w:cs="Arial"/>
      <w:b/>
      <w:snapToGrid w:val="0"/>
      <w:szCs w:val="20"/>
    </w:rPr>
  </w:style>
  <w:style w:type="paragraph" w:styleId="NoSpacing">
    <w:name w:val="No Spacing"/>
    <w:uiPriority w:val="7"/>
    <w:rsid w:val="00C317F3"/>
    <w:pPr>
      <w:widowControl w:val="0"/>
      <w:spacing w:after="0" w:line="240" w:lineRule="auto"/>
      <w:jc w:val="both"/>
    </w:pPr>
    <w:rPr>
      <w:rFonts w:ascii="Arial" w:eastAsia="Times New Roman" w:hAnsi="Arial" w:cs="Arial"/>
      <w:snapToGrid w:val="0"/>
      <w:szCs w:val="20"/>
    </w:rPr>
  </w:style>
  <w:style w:type="paragraph" w:customStyle="1" w:styleId="Tabletext0">
    <w:name w:val="Table text"/>
    <w:basedOn w:val="Normal"/>
    <w:link w:val="TabletextChar"/>
    <w:uiPriority w:val="2"/>
    <w:qFormat/>
    <w:rsid w:val="00C317F3"/>
    <w:pPr>
      <w:spacing w:before="0" w:after="0"/>
    </w:pPr>
    <w:rPr>
      <w:rFonts w:ascii="Arial Narrow" w:eastAsia="Times New Roman" w:hAnsi="Arial Narrow" w:cs="Times New Roman"/>
      <w:sz w:val="20"/>
      <w:szCs w:val="20"/>
    </w:rPr>
  </w:style>
  <w:style w:type="character" w:customStyle="1" w:styleId="TabletextChar">
    <w:name w:val="Table text Char"/>
    <w:link w:val="Tabletext0"/>
    <w:uiPriority w:val="2"/>
    <w:rsid w:val="00C317F3"/>
    <w:rPr>
      <w:rFonts w:ascii="Arial Narrow" w:eastAsia="Times New Roman" w:hAnsi="Arial Narrow" w:cs="Times New Roman"/>
      <w:sz w:val="20"/>
      <w:szCs w:val="20"/>
    </w:rPr>
  </w:style>
  <w:style w:type="paragraph" w:customStyle="1" w:styleId="Corpsdetextemarge">
    <w:name w:val="Corps de texte marge"/>
    <w:basedOn w:val="BodyText"/>
    <w:uiPriority w:val="99"/>
    <w:rsid w:val="00C317F3"/>
    <w:pPr>
      <w:widowControl/>
      <w:jc w:val="both"/>
    </w:pPr>
    <w:rPr>
      <w:rFonts w:ascii="Times" w:hAnsi="Times" w:cs="Times New Roman"/>
      <w:snapToGrid/>
      <w:sz w:val="24"/>
      <w:lang w:val="en-US"/>
    </w:rPr>
  </w:style>
  <w:style w:type="paragraph" w:styleId="NormalWeb">
    <w:name w:val="Normal (Web)"/>
    <w:basedOn w:val="Normal"/>
    <w:uiPriority w:val="99"/>
    <w:rsid w:val="00C317F3"/>
    <w:pPr>
      <w:spacing w:before="100" w:after="100"/>
    </w:pPr>
    <w:rPr>
      <w:rFonts w:ascii="Times New Roman" w:eastAsia="Times New Roman" w:hAnsi="Times New Roman" w:cs="Times New Roman"/>
      <w:szCs w:val="20"/>
      <w:lang w:val="en-GB"/>
    </w:rPr>
  </w:style>
  <w:style w:type="paragraph" w:styleId="TOCHeading">
    <w:name w:val="TOC Heading"/>
    <w:basedOn w:val="Heading1"/>
    <w:next w:val="Normal"/>
    <w:uiPriority w:val="39"/>
    <w:unhideWhenUsed/>
    <w:rsid w:val="00C317F3"/>
    <w:pPr>
      <w:numPr>
        <w:numId w:val="0"/>
      </w:numPr>
      <w:spacing w:before="480" w:after="0" w:line="276" w:lineRule="auto"/>
      <w:outlineLvl w:val="9"/>
    </w:pPr>
    <w:rPr>
      <w:rFonts w:asciiTheme="majorHAnsi" w:hAnsiTheme="majorHAnsi"/>
      <w:bCs/>
      <w:caps/>
      <w:color w:val="2E74B5" w:themeColor="accent1" w:themeShade="BF"/>
      <w:sz w:val="28"/>
      <w:lang w:val="en-US" w:eastAsia="ja-JP"/>
    </w:rPr>
  </w:style>
  <w:style w:type="paragraph" w:styleId="TOC3">
    <w:name w:val="toc 3"/>
    <w:basedOn w:val="Normal"/>
    <w:next w:val="Normal"/>
    <w:autoRedefine/>
    <w:uiPriority w:val="39"/>
    <w:unhideWhenUsed/>
    <w:rsid w:val="00C317F3"/>
    <w:pPr>
      <w:widowControl w:val="0"/>
      <w:spacing w:before="0" w:after="0"/>
      <w:ind w:left="440"/>
    </w:pPr>
    <w:rPr>
      <w:rFonts w:eastAsia="Times New Roman" w:cs="Arial"/>
      <w:snapToGrid w:val="0"/>
      <w:sz w:val="20"/>
      <w:szCs w:val="20"/>
    </w:rPr>
  </w:style>
  <w:style w:type="paragraph" w:styleId="BodyText3">
    <w:name w:val="Body Text 3"/>
    <w:basedOn w:val="Normal"/>
    <w:link w:val="BodyText3Char"/>
    <w:uiPriority w:val="9"/>
    <w:rsid w:val="00C317F3"/>
    <w:pPr>
      <w:widowControl w:val="0"/>
      <w:spacing w:before="0" w:after="120"/>
      <w:jc w:val="both"/>
    </w:pPr>
    <w:rPr>
      <w:rFonts w:ascii="Arial" w:eastAsia="Times New Roman" w:hAnsi="Arial" w:cs="Arial"/>
      <w:snapToGrid w:val="0"/>
      <w:sz w:val="16"/>
      <w:szCs w:val="16"/>
    </w:rPr>
  </w:style>
  <w:style w:type="character" w:customStyle="1" w:styleId="BodyText3Char">
    <w:name w:val="Body Text 3 Char"/>
    <w:basedOn w:val="DefaultParagraphFont"/>
    <w:link w:val="BodyText3"/>
    <w:uiPriority w:val="9"/>
    <w:rsid w:val="00C317F3"/>
    <w:rPr>
      <w:rFonts w:ascii="Arial" w:eastAsia="Times New Roman" w:hAnsi="Arial" w:cs="Arial"/>
      <w:snapToGrid w:val="0"/>
      <w:sz w:val="16"/>
      <w:szCs w:val="16"/>
    </w:rPr>
  </w:style>
  <w:style w:type="paragraph" w:styleId="TOC4">
    <w:name w:val="toc 4"/>
    <w:basedOn w:val="Normal"/>
    <w:next w:val="Normal"/>
    <w:autoRedefine/>
    <w:uiPriority w:val="9"/>
    <w:rsid w:val="00C317F3"/>
    <w:pPr>
      <w:widowControl w:val="0"/>
      <w:spacing w:before="0" w:after="0"/>
      <w:ind w:left="660"/>
    </w:pPr>
    <w:rPr>
      <w:rFonts w:eastAsia="Times New Roman" w:cs="Arial"/>
      <w:snapToGrid w:val="0"/>
      <w:sz w:val="20"/>
      <w:szCs w:val="20"/>
    </w:rPr>
  </w:style>
  <w:style w:type="paragraph" w:styleId="TOC5">
    <w:name w:val="toc 5"/>
    <w:basedOn w:val="Normal"/>
    <w:next w:val="Normal"/>
    <w:autoRedefine/>
    <w:uiPriority w:val="9"/>
    <w:rsid w:val="00C317F3"/>
    <w:pPr>
      <w:widowControl w:val="0"/>
      <w:spacing w:before="0" w:after="0"/>
      <w:ind w:left="880"/>
    </w:pPr>
    <w:rPr>
      <w:rFonts w:eastAsia="Times New Roman" w:cs="Arial"/>
      <w:snapToGrid w:val="0"/>
      <w:sz w:val="20"/>
      <w:szCs w:val="20"/>
    </w:rPr>
  </w:style>
  <w:style w:type="paragraph" w:styleId="TOC6">
    <w:name w:val="toc 6"/>
    <w:basedOn w:val="Normal"/>
    <w:next w:val="Normal"/>
    <w:autoRedefine/>
    <w:uiPriority w:val="9"/>
    <w:rsid w:val="00C317F3"/>
    <w:pPr>
      <w:widowControl w:val="0"/>
      <w:spacing w:before="0" w:after="0"/>
      <w:ind w:left="1100"/>
    </w:pPr>
    <w:rPr>
      <w:rFonts w:eastAsia="Times New Roman" w:cs="Arial"/>
      <w:snapToGrid w:val="0"/>
      <w:sz w:val="20"/>
      <w:szCs w:val="20"/>
    </w:rPr>
  </w:style>
  <w:style w:type="paragraph" w:styleId="TOC7">
    <w:name w:val="toc 7"/>
    <w:basedOn w:val="Normal"/>
    <w:next w:val="Normal"/>
    <w:autoRedefine/>
    <w:uiPriority w:val="9"/>
    <w:rsid w:val="00C317F3"/>
    <w:pPr>
      <w:widowControl w:val="0"/>
      <w:spacing w:before="0" w:after="0"/>
      <w:ind w:left="1320"/>
    </w:pPr>
    <w:rPr>
      <w:rFonts w:eastAsia="Times New Roman" w:cs="Arial"/>
      <w:snapToGrid w:val="0"/>
      <w:sz w:val="20"/>
      <w:szCs w:val="20"/>
    </w:rPr>
  </w:style>
  <w:style w:type="paragraph" w:styleId="TOC8">
    <w:name w:val="toc 8"/>
    <w:basedOn w:val="Normal"/>
    <w:next w:val="Normal"/>
    <w:autoRedefine/>
    <w:uiPriority w:val="9"/>
    <w:rsid w:val="00C317F3"/>
    <w:pPr>
      <w:widowControl w:val="0"/>
      <w:spacing w:before="0" w:after="0"/>
      <w:ind w:left="1540"/>
    </w:pPr>
    <w:rPr>
      <w:rFonts w:eastAsia="Times New Roman" w:cs="Arial"/>
      <w:snapToGrid w:val="0"/>
      <w:sz w:val="20"/>
      <w:szCs w:val="20"/>
    </w:rPr>
  </w:style>
  <w:style w:type="paragraph" w:styleId="TOC9">
    <w:name w:val="toc 9"/>
    <w:basedOn w:val="Normal"/>
    <w:next w:val="Normal"/>
    <w:autoRedefine/>
    <w:uiPriority w:val="9"/>
    <w:rsid w:val="00C317F3"/>
    <w:pPr>
      <w:widowControl w:val="0"/>
      <w:spacing w:before="0" w:after="0"/>
      <w:ind w:left="1760"/>
    </w:pPr>
    <w:rPr>
      <w:rFonts w:eastAsia="Times New Roman" w:cs="Arial"/>
      <w:snapToGrid w:val="0"/>
      <w:sz w:val="20"/>
      <w:szCs w:val="20"/>
    </w:rPr>
  </w:style>
  <w:style w:type="paragraph" w:styleId="BodyText2">
    <w:name w:val="Body Text 2"/>
    <w:basedOn w:val="Normal"/>
    <w:link w:val="BodyText2Char"/>
    <w:uiPriority w:val="9"/>
    <w:rsid w:val="00C317F3"/>
    <w:pPr>
      <w:widowControl w:val="0"/>
      <w:spacing w:before="0" w:after="120" w:line="480" w:lineRule="auto"/>
      <w:jc w:val="both"/>
    </w:pPr>
    <w:rPr>
      <w:rFonts w:ascii="Arial" w:eastAsia="Times New Roman" w:hAnsi="Arial" w:cs="Arial"/>
      <w:snapToGrid w:val="0"/>
      <w:sz w:val="22"/>
      <w:szCs w:val="20"/>
    </w:rPr>
  </w:style>
  <w:style w:type="character" w:customStyle="1" w:styleId="BodyText2Char">
    <w:name w:val="Body Text 2 Char"/>
    <w:basedOn w:val="DefaultParagraphFont"/>
    <w:link w:val="BodyText2"/>
    <w:uiPriority w:val="9"/>
    <w:rsid w:val="00C317F3"/>
    <w:rPr>
      <w:rFonts w:ascii="Arial" w:eastAsia="Times New Roman" w:hAnsi="Arial" w:cs="Arial"/>
      <w:snapToGrid w:val="0"/>
      <w:szCs w:val="20"/>
    </w:rPr>
  </w:style>
  <w:style w:type="paragraph" w:customStyle="1" w:styleId="TableText1">
    <w:name w:val="TableText"/>
    <w:basedOn w:val="Normal"/>
    <w:uiPriority w:val="9"/>
    <w:rsid w:val="00C317F3"/>
    <w:pPr>
      <w:keepNext/>
      <w:spacing w:before="40" w:after="40"/>
    </w:pPr>
    <w:rPr>
      <w:rFonts w:ascii="Arial Narrow" w:eastAsia="Times New Roman" w:hAnsi="Arial Narrow" w:cs="Arial Narrow"/>
      <w:sz w:val="20"/>
      <w:szCs w:val="20"/>
    </w:rPr>
  </w:style>
  <w:style w:type="paragraph" w:customStyle="1" w:styleId="TableNotes18">
    <w:name w:val="TableNotes+18"/>
    <w:basedOn w:val="TableText1"/>
    <w:uiPriority w:val="9"/>
    <w:rsid w:val="00C317F3"/>
    <w:pPr>
      <w:keepNext w:val="0"/>
      <w:keepLines/>
      <w:spacing w:before="0" w:after="360"/>
      <w:ind w:left="720"/>
    </w:pPr>
    <w:rPr>
      <w:sz w:val="18"/>
      <w:szCs w:val="18"/>
    </w:rPr>
  </w:style>
  <w:style w:type="paragraph" w:customStyle="1" w:styleId="TableNotes0">
    <w:name w:val="TableNotes+0"/>
    <w:basedOn w:val="TableNotes18"/>
    <w:uiPriority w:val="9"/>
    <w:rsid w:val="00C317F3"/>
    <w:pPr>
      <w:keepNext/>
      <w:spacing w:after="0"/>
    </w:pPr>
  </w:style>
  <w:style w:type="paragraph" w:styleId="Revision">
    <w:name w:val="Revision"/>
    <w:hidden/>
    <w:uiPriority w:val="99"/>
    <w:semiHidden/>
    <w:rsid w:val="00C317F3"/>
    <w:pPr>
      <w:spacing w:after="0" w:line="240" w:lineRule="auto"/>
    </w:pPr>
    <w:rPr>
      <w:rFonts w:ascii="Arial" w:eastAsia="Times New Roman" w:hAnsi="Arial" w:cs="Arial"/>
      <w:snapToGrid w:val="0"/>
      <w:szCs w:val="20"/>
    </w:rPr>
  </w:style>
  <w:style w:type="paragraph" w:styleId="BodyTextIndent">
    <w:name w:val="Body Text Indent"/>
    <w:basedOn w:val="Normal"/>
    <w:link w:val="BodyTextIndentChar"/>
    <w:uiPriority w:val="9"/>
    <w:rsid w:val="00C317F3"/>
    <w:pPr>
      <w:widowControl w:val="0"/>
      <w:spacing w:before="0" w:after="120"/>
      <w:ind w:left="283"/>
      <w:jc w:val="both"/>
    </w:pPr>
    <w:rPr>
      <w:rFonts w:ascii="Arial" w:eastAsia="Times New Roman" w:hAnsi="Arial" w:cs="Arial"/>
      <w:snapToGrid w:val="0"/>
      <w:sz w:val="22"/>
      <w:szCs w:val="20"/>
    </w:rPr>
  </w:style>
  <w:style w:type="character" w:customStyle="1" w:styleId="BodyTextIndentChar">
    <w:name w:val="Body Text Indent Char"/>
    <w:basedOn w:val="DefaultParagraphFont"/>
    <w:link w:val="BodyTextIndent"/>
    <w:uiPriority w:val="9"/>
    <w:rsid w:val="00C317F3"/>
    <w:rPr>
      <w:rFonts w:ascii="Arial" w:eastAsia="Times New Roman" w:hAnsi="Arial" w:cs="Arial"/>
      <w:snapToGrid w:val="0"/>
      <w:szCs w:val="20"/>
    </w:rPr>
  </w:style>
  <w:style w:type="paragraph" w:customStyle="1" w:styleId="Char1CharCharChar">
    <w:name w:val="Char1 Char Char Char"/>
    <w:basedOn w:val="Normal"/>
    <w:uiPriority w:val="9"/>
    <w:rsid w:val="00C317F3"/>
    <w:pPr>
      <w:spacing w:before="0" w:line="240" w:lineRule="exact"/>
    </w:pPr>
    <w:rPr>
      <w:rFonts w:ascii="Verdana" w:eastAsia="MS Mincho" w:hAnsi="Verdana" w:cs="Verdana"/>
      <w:sz w:val="20"/>
      <w:szCs w:val="20"/>
      <w:lang w:val="en-US"/>
    </w:rPr>
  </w:style>
  <w:style w:type="character" w:customStyle="1" w:styleId="SubtitleChar">
    <w:name w:val="Subtitle Char"/>
    <w:link w:val="Subtitle"/>
    <w:uiPriority w:val="9"/>
    <w:rsid w:val="00C317F3"/>
  </w:style>
  <w:style w:type="paragraph" w:styleId="Subtitle">
    <w:name w:val="Subtitle"/>
    <w:basedOn w:val="Normal"/>
    <w:link w:val="SubtitleChar"/>
    <w:uiPriority w:val="9"/>
    <w:rsid w:val="00C317F3"/>
    <w:pPr>
      <w:spacing w:before="0" w:after="0"/>
      <w:jc w:val="both"/>
    </w:pPr>
    <w:rPr>
      <w:sz w:val="22"/>
    </w:rPr>
  </w:style>
  <w:style w:type="character" w:customStyle="1" w:styleId="SubtitleChar1">
    <w:name w:val="Subtitle Char1"/>
    <w:basedOn w:val="DefaultParagraphFont"/>
    <w:uiPriority w:val="9"/>
    <w:rsid w:val="00C317F3"/>
    <w:rPr>
      <w:rFonts w:asciiTheme="majorHAnsi" w:eastAsiaTheme="majorEastAsia" w:hAnsiTheme="majorHAnsi" w:cstheme="majorBidi"/>
      <w:i/>
      <w:iCs/>
      <w:color w:val="5B9BD5" w:themeColor="accent1"/>
      <w:spacing w:val="15"/>
      <w:sz w:val="24"/>
      <w:szCs w:val="24"/>
    </w:rPr>
  </w:style>
  <w:style w:type="paragraph" w:customStyle="1" w:styleId="PBACHeading1">
    <w:name w:val="PBAC Heading 1"/>
    <w:qFormat/>
    <w:rsid w:val="00FB7AA5"/>
    <w:pPr>
      <w:numPr>
        <w:numId w:val="3"/>
      </w:numPr>
      <w:spacing w:before="200" w:after="120" w:line="240" w:lineRule="auto"/>
      <w:outlineLvl w:val="0"/>
    </w:pPr>
    <w:rPr>
      <w:rFonts w:eastAsia="Times New Roman" w:cs="Arial"/>
      <w:b/>
      <w:snapToGrid w:val="0"/>
      <w:sz w:val="32"/>
    </w:rPr>
  </w:style>
  <w:style w:type="paragraph" w:customStyle="1" w:styleId="Style1">
    <w:name w:val="Style1"/>
    <w:basedOn w:val="Normal"/>
    <w:rsid w:val="00C317F3"/>
    <w:pPr>
      <w:widowControl w:val="0"/>
      <w:spacing w:before="0" w:after="0"/>
      <w:jc w:val="both"/>
    </w:pPr>
    <w:rPr>
      <w:rFonts w:ascii="Arial" w:eastAsia="Times New Roman" w:hAnsi="Arial" w:cs="Arial"/>
      <w:snapToGrid w:val="0"/>
      <w:sz w:val="22"/>
      <w:szCs w:val="20"/>
    </w:rPr>
  </w:style>
  <w:style w:type="paragraph" w:customStyle="1" w:styleId="PBACheading10">
    <w:name w:val="PBAC heading 1"/>
    <w:qFormat/>
    <w:rsid w:val="00C317F3"/>
    <w:pPr>
      <w:spacing w:after="0" w:line="240" w:lineRule="auto"/>
      <w:ind w:left="720" w:hanging="720"/>
    </w:pPr>
    <w:rPr>
      <w:rFonts w:ascii="Arial" w:eastAsia="Times New Roman" w:hAnsi="Arial" w:cs="Arial"/>
      <w:snapToGrid w:val="0"/>
    </w:rPr>
  </w:style>
  <w:style w:type="character" w:customStyle="1" w:styleId="ListParagraphChar">
    <w:name w:val="List Paragraph Char"/>
    <w:aliases w:val="BulletPoints Char"/>
    <w:basedOn w:val="DefaultParagraphFont"/>
    <w:link w:val="ListParagraph"/>
    <w:uiPriority w:val="34"/>
    <w:locked/>
    <w:rsid w:val="0095170D"/>
    <w:rPr>
      <w:sz w:val="24"/>
    </w:rPr>
  </w:style>
  <w:style w:type="numbering" w:customStyle="1" w:styleId="Headings">
    <w:name w:val="Headings"/>
    <w:uiPriority w:val="99"/>
    <w:rsid w:val="00C317F3"/>
    <w:pPr>
      <w:numPr>
        <w:numId w:val="4"/>
      </w:numPr>
    </w:pPr>
  </w:style>
  <w:style w:type="character" w:styleId="FollowedHyperlink">
    <w:name w:val="FollowedHyperlink"/>
    <w:basedOn w:val="DefaultParagraphFont"/>
    <w:uiPriority w:val="99"/>
    <w:semiHidden/>
    <w:unhideWhenUsed/>
    <w:rsid w:val="00177893"/>
    <w:rPr>
      <w:color w:val="954F72" w:themeColor="followedHyperlink"/>
      <w:u w:val="single"/>
    </w:rPr>
  </w:style>
  <w:style w:type="paragraph" w:customStyle="1" w:styleId="BulletLast">
    <w:name w:val="Bullet Last"/>
    <w:basedOn w:val="Normal"/>
    <w:qFormat/>
    <w:rsid w:val="00E46AC9"/>
    <w:pPr>
      <w:numPr>
        <w:numId w:val="9"/>
      </w:numPr>
      <w:spacing w:before="0" w:after="240"/>
      <w:ind w:left="357" w:hanging="357"/>
    </w:pPr>
    <w:rPr>
      <w:sz w:val="22"/>
    </w:rPr>
  </w:style>
  <w:style w:type="paragraph" w:customStyle="1" w:styleId="TableFigNote">
    <w:name w:val="TableFigNote"/>
    <w:basedOn w:val="Normal"/>
    <w:qFormat/>
    <w:rsid w:val="00576ADE"/>
    <w:pPr>
      <w:spacing w:before="0" w:after="0"/>
    </w:pPr>
    <w:rPr>
      <w:sz w:val="18"/>
    </w:rPr>
  </w:style>
  <w:style w:type="character" w:customStyle="1" w:styleId="StyleArial11pt">
    <w:name w:val="Style Arial 11 pt"/>
    <w:basedOn w:val="DefaultParagraphFont"/>
    <w:rsid w:val="00E2761D"/>
    <w:rPr>
      <w:rFonts w:ascii="Arial" w:hAnsi="Arial"/>
      <w:sz w:val="22"/>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FB57DB"/>
    <w:pPr>
      <w:spacing w:before="0" w:line="240" w:lineRule="exact"/>
    </w:pPr>
    <w:rPr>
      <w:rFonts w:ascii="Verdana" w:eastAsia="MS Mincho" w:hAnsi="Verdana" w:cs="Verdana"/>
      <w:sz w:val="20"/>
      <w:szCs w:val="20"/>
      <w:lang w:val="en-US"/>
    </w:rPr>
  </w:style>
  <w:style w:type="paragraph" w:customStyle="1" w:styleId="tabletext00">
    <w:name w:val="tabletext0"/>
    <w:basedOn w:val="Normal"/>
    <w:rsid w:val="00FB57DB"/>
    <w:pPr>
      <w:spacing w:before="100" w:beforeAutospacing="1" w:after="100" w:afterAutospacing="1"/>
    </w:pPr>
    <w:rPr>
      <w:rFonts w:ascii="Times New Roman" w:eastAsia="Times New Roman" w:hAnsi="Times New Roman" w:cs="Times New Roman"/>
      <w:szCs w:val="24"/>
      <w:lang w:eastAsia="en-AU"/>
    </w:rPr>
  </w:style>
  <w:style w:type="character" w:styleId="PlaceholderText">
    <w:name w:val="Placeholder Text"/>
    <w:basedOn w:val="DefaultParagraphFont"/>
    <w:uiPriority w:val="99"/>
    <w:semiHidden/>
    <w:rsid w:val="009F5C36"/>
    <w:rPr>
      <w:color w:val="808080"/>
    </w:rPr>
  </w:style>
  <w:style w:type="table" w:customStyle="1" w:styleId="Summarybox6">
    <w:name w:val="Summary box6"/>
    <w:basedOn w:val="TableNormal"/>
    <w:next w:val="TableGrid"/>
    <w:uiPriority w:val="59"/>
    <w:rsid w:val="004C42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
    <w:name w:val="Plain Table 41"/>
    <w:basedOn w:val="TableNormal"/>
    <w:uiPriority w:val="44"/>
    <w:rsid w:val="0022569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2">
    <w:name w:val="Table Grid Light2"/>
    <w:basedOn w:val="TableNormal"/>
    <w:uiPriority w:val="40"/>
    <w:rsid w:val="0022569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DocumentMap">
    <w:name w:val="Document Map"/>
    <w:basedOn w:val="Normal"/>
    <w:link w:val="DocumentMapChar"/>
    <w:uiPriority w:val="99"/>
    <w:semiHidden/>
    <w:unhideWhenUsed/>
    <w:rsid w:val="001B0DCE"/>
    <w:pPr>
      <w:spacing w:before="0"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1B0D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35230">
      <w:bodyDiv w:val="1"/>
      <w:marLeft w:val="0"/>
      <w:marRight w:val="0"/>
      <w:marTop w:val="0"/>
      <w:marBottom w:val="0"/>
      <w:divBdr>
        <w:top w:val="none" w:sz="0" w:space="0" w:color="auto"/>
        <w:left w:val="none" w:sz="0" w:space="0" w:color="auto"/>
        <w:bottom w:val="none" w:sz="0" w:space="0" w:color="auto"/>
        <w:right w:val="none" w:sz="0" w:space="0" w:color="auto"/>
      </w:divBdr>
      <w:divsChild>
        <w:div w:id="21515844">
          <w:marLeft w:val="0"/>
          <w:marRight w:val="0"/>
          <w:marTop w:val="0"/>
          <w:marBottom w:val="0"/>
          <w:divBdr>
            <w:top w:val="none" w:sz="0" w:space="0" w:color="auto"/>
            <w:left w:val="none" w:sz="0" w:space="0" w:color="auto"/>
            <w:bottom w:val="none" w:sz="0" w:space="0" w:color="auto"/>
            <w:right w:val="none" w:sz="0" w:space="0" w:color="auto"/>
          </w:divBdr>
        </w:div>
        <w:div w:id="736054223">
          <w:marLeft w:val="0"/>
          <w:marRight w:val="0"/>
          <w:marTop w:val="0"/>
          <w:marBottom w:val="0"/>
          <w:divBdr>
            <w:top w:val="none" w:sz="0" w:space="0" w:color="auto"/>
            <w:left w:val="none" w:sz="0" w:space="0" w:color="auto"/>
            <w:bottom w:val="none" w:sz="0" w:space="0" w:color="auto"/>
            <w:right w:val="none" w:sz="0" w:space="0" w:color="auto"/>
          </w:divBdr>
        </w:div>
        <w:div w:id="1104493599">
          <w:marLeft w:val="0"/>
          <w:marRight w:val="0"/>
          <w:marTop w:val="0"/>
          <w:marBottom w:val="0"/>
          <w:divBdr>
            <w:top w:val="none" w:sz="0" w:space="0" w:color="auto"/>
            <w:left w:val="none" w:sz="0" w:space="0" w:color="auto"/>
            <w:bottom w:val="none" w:sz="0" w:space="0" w:color="auto"/>
            <w:right w:val="none" w:sz="0" w:space="0" w:color="auto"/>
          </w:divBdr>
        </w:div>
        <w:div w:id="1734087081">
          <w:marLeft w:val="0"/>
          <w:marRight w:val="0"/>
          <w:marTop w:val="0"/>
          <w:marBottom w:val="0"/>
          <w:divBdr>
            <w:top w:val="none" w:sz="0" w:space="0" w:color="auto"/>
            <w:left w:val="none" w:sz="0" w:space="0" w:color="auto"/>
            <w:bottom w:val="none" w:sz="0" w:space="0" w:color="auto"/>
            <w:right w:val="none" w:sz="0" w:space="0" w:color="auto"/>
          </w:divBdr>
        </w:div>
        <w:div w:id="2105177465">
          <w:marLeft w:val="0"/>
          <w:marRight w:val="0"/>
          <w:marTop w:val="0"/>
          <w:marBottom w:val="0"/>
          <w:divBdr>
            <w:top w:val="none" w:sz="0" w:space="0" w:color="auto"/>
            <w:left w:val="none" w:sz="0" w:space="0" w:color="auto"/>
            <w:bottom w:val="none" w:sz="0" w:space="0" w:color="auto"/>
            <w:right w:val="none" w:sz="0" w:space="0" w:color="auto"/>
          </w:divBdr>
        </w:div>
      </w:divsChild>
    </w:div>
    <w:div w:id="103692235">
      <w:bodyDiv w:val="1"/>
      <w:marLeft w:val="0"/>
      <w:marRight w:val="0"/>
      <w:marTop w:val="0"/>
      <w:marBottom w:val="0"/>
      <w:divBdr>
        <w:top w:val="none" w:sz="0" w:space="0" w:color="auto"/>
        <w:left w:val="none" w:sz="0" w:space="0" w:color="auto"/>
        <w:bottom w:val="none" w:sz="0" w:space="0" w:color="auto"/>
        <w:right w:val="none" w:sz="0" w:space="0" w:color="auto"/>
      </w:divBdr>
    </w:div>
    <w:div w:id="276957444">
      <w:bodyDiv w:val="1"/>
      <w:marLeft w:val="0"/>
      <w:marRight w:val="0"/>
      <w:marTop w:val="0"/>
      <w:marBottom w:val="0"/>
      <w:divBdr>
        <w:top w:val="none" w:sz="0" w:space="0" w:color="auto"/>
        <w:left w:val="none" w:sz="0" w:space="0" w:color="auto"/>
        <w:bottom w:val="none" w:sz="0" w:space="0" w:color="auto"/>
        <w:right w:val="none" w:sz="0" w:space="0" w:color="auto"/>
      </w:divBdr>
      <w:divsChild>
        <w:div w:id="1321926850">
          <w:marLeft w:val="547"/>
          <w:marRight w:val="0"/>
          <w:marTop w:val="154"/>
          <w:marBottom w:val="0"/>
          <w:divBdr>
            <w:top w:val="none" w:sz="0" w:space="0" w:color="auto"/>
            <w:left w:val="none" w:sz="0" w:space="0" w:color="auto"/>
            <w:bottom w:val="none" w:sz="0" w:space="0" w:color="auto"/>
            <w:right w:val="none" w:sz="0" w:space="0" w:color="auto"/>
          </w:divBdr>
        </w:div>
      </w:divsChild>
    </w:div>
    <w:div w:id="308484302">
      <w:bodyDiv w:val="1"/>
      <w:marLeft w:val="0"/>
      <w:marRight w:val="0"/>
      <w:marTop w:val="0"/>
      <w:marBottom w:val="0"/>
      <w:divBdr>
        <w:top w:val="none" w:sz="0" w:space="0" w:color="auto"/>
        <w:left w:val="none" w:sz="0" w:space="0" w:color="auto"/>
        <w:bottom w:val="none" w:sz="0" w:space="0" w:color="auto"/>
        <w:right w:val="none" w:sz="0" w:space="0" w:color="auto"/>
      </w:divBdr>
    </w:div>
    <w:div w:id="397214490">
      <w:bodyDiv w:val="1"/>
      <w:marLeft w:val="0"/>
      <w:marRight w:val="0"/>
      <w:marTop w:val="0"/>
      <w:marBottom w:val="0"/>
      <w:divBdr>
        <w:top w:val="none" w:sz="0" w:space="0" w:color="auto"/>
        <w:left w:val="none" w:sz="0" w:space="0" w:color="auto"/>
        <w:bottom w:val="none" w:sz="0" w:space="0" w:color="auto"/>
        <w:right w:val="none" w:sz="0" w:space="0" w:color="auto"/>
      </w:divBdr>
    </w:div>
    <w:div w:id="427165974">
      <w:bodyDiv w:val="1"/>
      <w:marLeft w:val="0"/>
      <w:marRight w:val="0"/>
      <w:marTop w:val="0"/>
      <w:marBottom w:val="0"/>
      <w:divBdr>
        <w:top w:val="none" w:sz="0" w:space="0" w:color="auto"/>
        <w:left w:val="none" w:sz="0" w:space="0" w:color="auto"/>
        <w:bottom w:val="none" w:sz="0" w:space="0" w:color="auto"/>
        <w:right w:val="none" w:sz="0" w:space="0" w:color="auto"/>
      </w:divBdr>
    </w:div>
    <w:div w:id="1038706179">
      <w:bodyDiv w:val="1"/>
      <w:marLeft w:val="0"/>
      <w:marRight w:val="0"/>
      <w:marTop w:val="0"/>
      <w:marBottom w:val="0"/>
      <w:divBdr>
        <w:top w:val="none" w:sz="0" w:space="0" w:color="auto"/>
        <w:left w:val="none" w:sz="0" w:space="0" w:color="auto"/>
        <w:bottom w:val="none" w:sz="0" w:space="0" w:color="auto"/>
        <w:right w:val="none" w:sz="0" w:space="0" w:color="auto"/>
      </w:divBdr>
    </w:div>
    <w:div w:id="1239176084">
      <w:bodyDiv w:val="1"/>
      <w:marLeft w:val="0"/>
      <w:marRight w:val="0"/>
      <w:marTop w:val="0"/>
      <w:marBottom w:val="0"/>
      <w:divBdr>
        <w:top w:val="none" w:sz="0" w:space="0" w:color="auto"/>
        <w:left w:val="none" w:sz="0" w:space="0" w:color="auto"/>
        <w:bottom w:val="none" w:sz="0" w:space="0" w:color="auto"/>
        <w:right w:val="none" w:sz="0" w:space="0" w:color="auto"/>
      </w:divBdr>
    </w:div>
    <w:div w:id="1278025284">
      <w:bodyDiv w:val="1"/>
      <w:marLeft w:val="0"/>
      <w:marRight w:val="0"/>
      <w:marTop w:val="0"/>
      <w:marBottom w:val="0"/>
      <w:divBdr>
        <w:top w:val="none" w:sz="0" w:space="0" w:color="auto"/>
        <w:left w:val="none" w:sz="0" w:space="0" w:color="auto"/>
        <w:bottom w:val="none" w:sz="0" w:space="0" w:color="auto"/>
        <w:right w:val="none" w:sz="0" w:space="0" w:color="auto"/>
      </w:divBdr>
      <w:divsChild>
        <w:div w:id="77097303">
          <w:marLeft w:val="1166"/>
          <w:marRight w:val="0"/>
          <w:marTop w:val="134"/>
          <w:marBottom w:val="0"/>
          <w:divBdr>
            <w:top w:val="none" w:sz="0" w:space="0" w:color="auto"/>
            <w:left w:val="none" w:sz="0" w:space="0" w:color="auto"/>
            <w:bottom w:val="none" w:sz="0" w:space="0" w:color="auto"/>
            <w:right w:val="none" w:sz="0" w:space="0" w:color="auto"/>
          </w:divBdr>
        </w:div>
      </w:divsChild>
    </w:div>
    <w:div w:id="1593005223">
      <w:bodyDiv w:val="1"/>
      <w:marLeft w:val="0"/>
      <w:marRight w:val="0"/>
      <w:marTop w:val="0"/>
      <w:marBottom w:val="0"/>
      <w:divBdr>
        <w:top w:val="none" w:sz="0" w:space="0" w:color="auto"/>
        <w:left w:val="none" w:sz="0" w:space="0" w:color="auto"/>
        <w:bottom w:val="none" w:sz="0" w:space="0" w:color="auto"/>
        <w:right w:val="none" w:sz="0" w:space="0" w:color="auto"/>
      </w:divBdr>
    </w:div>
    <w:div w:id="1770392011">
      <w:bodyDiv w:val="1"/>
      <w:marLeft w:val="0"/>
      <w:marRight w:val="0"/>
      <w:marTop w:val="0"/>
      <w:marBottom w:val="0"/>
      <w:divBdr>
        <w:top w:val="none" w:sz="0" w:space="0" w:color="auto"/>
        <w:left w:val="none" w:sz="0" w:space="0" w:color="auto"/>
        <w:bottom w:val="none" w:sz="0" w:space="0" w:color="auto"/>
        <w:right w:val="none" w:sz="0" w:space="0" w:color="auto"/>
      </w:divBdr>
      <w:divsChild>
        <w:div w:id="1721006298">
          <w:marLeft w:val="144"/>
          <w:marRight w:val="0"/>
          <w:marTop w:val="240"/>
          <w:marBottom w:val="40"/>
          <w:divBdr>
            <w:top w:val="none" w:sz="0" w:space="0" w:color="auto"/>
            <w:left w:val="none" w:sz="0" w:space="0" w:color="auto"/>
            <w:bottom w:val="none" w:sz="0" w:space="0" w:color="auto"/>
            <w:right w:val="none" w:sz="0" w:space="0" w:color="auto"/>
          </w:divBdr>
        </w:div>
      </w:divsChild>
    </w:div>
    <w:div w:id="2036038518">
      <w:bodyDiv w:val="1"/>
      <w:marLeft w:val="0"/>
      <w:marRight w:val="0"/>
      <w:marTop w:val="0"/>
      <w:marBottom w:val="0"/>
      <w:divBdr>
        <w:top w:val="none" w:sz="0" w:space="0" w:color="auto"/>
        <w:left w:val="none" w:sz="0" w:space="0" w:color="auto"/>
        <w:bottom w:val="none" w:sz="0" w:space="0" w:color="auto"/>
        <w:right w:val="none" w:sz="0" w:space="0" w:color="auto"/>
      </w:divBdr>
    </w:div>
    <w:div w:id="2047832596">
      <w:bodyDiv w:val="1"/>
      <w:marLeft w:val="0"/>
      <w:marRight w:val="0"/>
      <w:marTop w:val="0"/>
      <w:marBottom w:val="0"/>
      <w:divBdr>
        <w:top w:val="none" w:sz="0" w:space="0" w:color="auto"/>
        <w:left w:val="none" w:sz="0" w:space="0" w:color="auto"/>
        <w:bottom w:val="none" w:sz="0" w:space="0" w:color="auto"/>
        <w:right w:val="none" w:sz="0" w:space="0" w:color="auto"/>
      </w:divBdr>
    </w:div>
    <w:div w:id="2110811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s://www.crohnsandcolitis.com.au/site/wp-content/uploads/Deloitte-Access-Economics-Report.pdf" TargetMode="External"/><Relationship Id="rId1" Type="http://schemas.openxmlformats.org/officeDocument/2006/relationships/hyperlink" Target="https://www.crohnsandcolitis.com.au/site/wp-content/uploads/PwC-Report-2013-Executive-Summar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B1380E-D113-4B10-9422-782BEFE34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7263</Words>
  <Characters>41404</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48570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2017-10-19T01:09:00Z</dcterms:created>
  <dcterms:modified xsi:type="dcterms:W3CDTF">2017-10-19T01:19:00Z</dcterms:modified>
</cp:coreProperties>
</file>