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76" w:rsidRPr="00DC1376" w:rsidRDefault="000E4614" w:rsidP="00AE7F95">
      <w:pPr>
        <w:ind w:left="1418" w:hanging="1418"/>
        <w:outlineLvl w:val="0"/>
        <w:rPr>
          <w:b/>
          <w:sz w:val="36"/>
          <w:szCs w:val="36"/>
        </w:rPr>
      </w:pPr>
      <w:r w:rsidRPr="00DC1376">
        <w:rPr>
          <w:b/>
          <w:sz w:val="36"/>
          <w:szCs w:val="36"/>
        </w:rPr>
        <w:t>5.03</w:t>
      </w:r>
      <w:r w:rsidR="00C317F3" w:rsidRPr="00DC1376">
        <w:rPr>
          <w:b/>
          <w:sz w:val="36"/>
          <w:szCs w:val="36"/>
        </w:rPr>
        <w:tab/>
      </w:r>
      <w:r w:rsidR="004513CC" w:rsidRPr="00DC1376">
        <w:rPr>
          <w:b/>
          <w:sz w:val="36"/>
          <w:szCs w:val="36"/>
        </w:rPr>
        <w:t>BARICITINIB</w:t>
      </w:r>
      <w:proofErr w:type="gramStart"/>
      <w:r w:rsidR="00C317F3" w:rsidRPr="00DC1376">
        <w:rPr>
          <w:b/>
          <w:sz w:val="36"/>
          <w:szCs w:val="36"/>
        </w:rPr>
        <w:t>,</w:t>
      </w:r>
      <w:proofErr w:type="gramEnd"/>
      <w:r w:rsidR="00DA583E">
        <w:rPr>
          <w:b/>
          <w:sz w:val="36"/>
          <w:szCs w:val="36"/>
        </w:rPr>
        <w:br/>
      </w:r>
      <w:r w:rsidR="00B67266" w:rsidRPr="00DC1376">
        <w:rPr>
          <w:b/>
          <w:sz w:val="36"/>
          <w:szCs w:val="36"/>
        </w:rPr>
        <w:t>Tablet 2</w:t>
      </w:r>
      <w:r w:rsidR="002C3922">
        <w:rPr>
          <w:b/>
          <w:sz w:val="36"/>
          <w:szCs w:val="36"/>
        </w:rPr>
        <w:t> </w:t>
      </w:r>
      <w:r w:rsidR="00B67266" w:rsidRPr="00DC1376">
        <w:rPr>
          <w:b/>
          <w:sz w:val="36"/>
          <w:szCs w:val="36"/>
        </w:rPr>
        <w:t>mg, Tablet 4</w:t>
      </w:r>
      <w:r w:rsidR="002C3922">
        <w:rPr>
          <w:b/>
          <w:sz w:val="36"/>
          <w:szCs w:val="36"/>
        </w:rPr>
        <w:t> </w:t>
      </w:r>
      <w:r w:rsidR="00B67266" w:rsidRPr="00DC1376">
        <w:rPr>
          <w:b/>
          <w:sz w:val="36"/>
          <w:szCs w:val="36"/>
        </w:rPr>
        <w:t>mg</w:t>
      </w:r>
      <w:r w:rsidR="00C317F3" w:rsidRPr="00DC1376">
        <w:rPr>
          <w:b/>
          <w:sz w:val="36"/>
          <w:szCs w:val="36"/>
        </w:rPr>
        <w:t>,</w:t>
      </w:r>
      <w:r w:rsidR="00DA583E">
        <w:rPr>
          <w:b/>
          <w:sz w:val="36"/>
          <w:szCs w:val="36"/>
        </w:rPr>
        <w:br/>
      </w:r>
      <w:proofErr w:type="spellStart"/>
      <w:r w:rsidR="00D4394D" w:rsidRPr="00DC1376">
        <w:rPr>
          <w:b/>
          <w:sz w:val="36"/>
          <w:szCs w:val="36"/>
        </w:rPr>
        <w:t>Olumiant</w:t>
      </w:r>
      <w:proofErr w:type="spellEnd"/>
      <w:r w:rsidR="00C317F3" w:rsidRPr="00DC1376">
        <w:rPr>
          <w:b/>
          <w:sz w:val="36"/>
          <w:szCs w:val="36"/>
        </w:rPr>
        <w:t xml:space="preserve">®, </w:t>
      </w:r>
      <w:r w:rsidR="00EE669B">
        <w:rPr>
          <w:b/>
          <w:sz w:val="36"/>
          <w:szCs w:val="36"/>
        </w:rPr>
        <w:t>Eli Lil</w:t>
      </w:r>
      <w:r w:rsidR="00D4394D" w:rsidRPr="00DC1376">
        <w:rPr>
          <w:b/>
          <w:sz w:val="36"/>
          <w:szCs w:val="36"/>
        </w:rPr>
        <w:t>y Australia Pty Ltd</w:t>
      </w:r>
    </w:p>
    <w:p w:rsidR="00403840" w:rsidRDefault="00403840" w:rsidP="005E290D">
      <w:pPr>
        <w:pStyle w:val="Heading1"/>
        <w:numPr>
          <w:ilvl w:val="0"/>
          <w:numId w:val="13"/>
        </w:numPr>
      </w:pPr>
      <w:r>
        <w:t>Purpose of application</w:t>
      </w:r>
    </w:p>
    <w:p w:rsidR="00C317F3" w:rsidRDefault="00C317F3" w:rsidP="005E290D">
      <w:pPr>
        <w:pStyle w:val="ListParagraph"/>
        <w:numPr>
          <w:ilvl w:val="1"/>
          <w:numId w:val="4"/>
        </w:numPr>
        <w:spacing w:before="0" w:after="120"/>
        <w:jc w:val="both"/>
      </w:pPr>
      <w:r w:rsidRPr="00DC1376">
        <w:t>Authorit</w:t>
      </w:r>
      <w:r w:rsidR="00D70460" w:rsidRPr="00DC1376">
        <w:t xml:space="preserve">y Required, Restricted Benefit </w:t>
      </w:r>
      <w:r w:rsidRPr="00DC1376">
        <w:t xml:space="preserve">listing for </w:t>
      </w:r>
      <w:r w:rsidR="00D70460" w:rsidRPr="00DC1376">
        <w:t>baricitinib</w:t>
      </w:r>
      <w:r w:rsidRPr="00DC1376">
        <w:t xml:space="preserve"> for treatment of </w:t>
      </w:r>
      <w:r w:rsidR="00C01D73" w:rsidRPr="00DC1376">
        <w:t>s</w:t>
      </w:r>
      <w:r w:rsidR="00D70460" w:rsidRPr="00DC1376">
        <w:t xml:space="preserve">evere </w:t>
      </w:r>
      <w:r w:rsidR="00C01D73" w:rsidRPr="00DC1376">
        <w:t>rheumatoid a</w:t>
      </w:r>
      <w:r w:rsidR="00D70460" w:rsidRPr="00DC1376">
        <w:t>rthritis</w:t>
      </w:r>
      <w:r w:rsidR="00C01D73" w:rsidRPr="00DC1376">
        <w:t xml:space="preserve"> (RA)</w:t>
      </w:r>
      <w:r w:rsidRPr="00DC1376">
        <w:t>.</w:t>
      </w:r>
    </w:p>
    <w:p w:rsidR="00DA583E" w:rsidRPr="00DC1376" w:rsidRDefault="00DA583E" w:rsidP="00DA583E">
      <w:pPr>
        <w:spacing w:before="0" w:after="120"/>
        <w:jc w:val="both"/>
      </w:pPr>
    </w:p>
    <w:p w:rsidR="00AE7F95" w:rsidRDefault="00AE7F95" w:rsidP="00AE7F95">
      <w:pPr>
        <w:pStyle w:val="Caption"/>
      </w:pPr>
      <w:r>
        <w:t xml:space="preserve">Table </w:t>
      </w:r>
      <w:r>
        <w:rPr>
          <w:noProof/>
        </w:rPr>
        <w:t>1</w:t>
      </w:r>
      <w:r w:rsidRPr="006B2605">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components of the clinical issue addressed by the submission"/>
      </w:tblPr>
      <w:tblGrid>
        <w:gridCol w:w="1696"/>
        <w:gridCol w:w="7320"/>
      </w:tblGrid>
      <w:tr w:rsidR="0017720E" w:rsidRPr="00DC1376" w:rsidTr="00C01D73">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17720E" w:rsidRPr="00DC1376" w:rsidRDefault="0017720E">
            <w:pPr>
              <w:pStyle w:val="TableText"/>
            </w:pPr>
            <w:r w:rsidRPr="00DC1376">
              <w:t>Component</w:t>
            </w:r>
          </w:p>
        </w:tc>
        <w:tc>
          <w:tcPr>
            <w:tcW w:w="7320" w:type="dxa"/>
            <w:shd w:val="clear" w:color="auto" w:fill="auto"/>
          </w:tcPr>
          <w:p w:rsidR="0017720E" w:rsidRPr="00DC1376" w:rsidRDefault="0017720E">
            <w:pPr>
              <w:pStyle w:val="TableText"/>
            </w:pPr>
            <w:r w:rsidRPr="00DC1376">
              <w:t>Description</w:t>
            </w:r>
          </w:p>
        </w:tc>
      </w:tr>
      <w:tr w:rsidR="00D70460" w:rsidRPr="00DC1376" w:rsidTr="00C01D73">
        <w:trPr>
          <w:cantSplit/>
        </w:trPr>
        <w:tc>
          <w:tcPr>
            <w:tcW w:w="1696" w:type="dxa"/>
            <w:shd w:val="clear" w:color="auto" w:fill="auto"/>
          </w:tcPr>
          <w:p w:rsidR="00D70460" w:rsidRPr="00DC1376" w:rsidRDefault="00D70460" w:rsidP="0095170D">
            <w:pPr>
              <w:pStyle w:val="TableText"/>
            </w:pPr>
            <w:r w:rsidRPr="00DC1376">
              <w:t>Population</w:t>
            </w:r>
          </w:p>
        </w:tc>
        <w:tc>
          <w:tcPr>
            <w:tcW w:w="7320" w:type="dxa"/>
            <w:shd w:val="clear" w:color="auto" w:fill="auto"/>
          </w:tcPr>
          <w:p w:rsidR="00D70460" w:rsidRPr="00DC1376" w:rsidRDefault="00D70460" w:rsidP="0095170D">
            <w:pPr>
              <w:pStyle w:val="TableText"/>
            </w:pPr>
            <w:r w:rsidRPr="00DC1376">
              <w:t xml:space="preserve">Patients with severe active RA in whom an adequate response has not been achieved with at least 6 months of intensive treatment with DMARDs, </w:t>
            </w:r>
            <w:r w:rsidR="00C01D73" w:rsidRPr="00DC1376">
              <w:t>as per current criteria for PBS-</w:t>
            </w:r>
            <w:r w:rsidRPr="00DC1376">
              <w:t xml:space="preserve">listed </w:t>
            </w:r>
            <w:proofErr w:type="spellStart"/>
            <w:r w:rsidR="00C01D73" w:rsidRPr="00DC1376">
              <w:t>bDMARD</w:t>
            </w:r>
            <w:proofErr w:type="spellEnd"/>
            <w:r w:rsidR="00C01D73" w:rsidRPr="00DC1376">
              <w:t xml:space="preserve"> </w:t>
            </w:r>
            <w:r w:rsidRPr="00DC1376">
              <w:t>therapies</w:t>
            </w:r>
          </w:p>
        </w:tc>
      </w:tr>
      <w:tr w:rsidR="00D70460" w:rsidRPr="00DC1376" w:rsidTr="00C01D73">
        <w:trPr>
          <w:cantSplit/>
        </w:trPr>
        <w:tc>
          <w:tcPr>
            <w:tcW w:w="1696" w:type="dxa"/>
            <w:shd w:val="clear" w:color="auto" w:fill="auto"/>
          </w:tcPr>
          <w:p w:rsidR="00D70460" w:rsidRPr="00DC1376" w:rsidRDefault="00D70460" w:rsidP="0095170D">
            <w:pPr>
              <w:pStyle w:val="TableText"/>
            </w:pPr>
            <w:r w:rsidRPr="00DC1376">
              <w:t>Intervention</w:t>
            </w:r>
          </w:p>
        </w:tc>
        <w:tc>
          <w:tcPr>
            <w:tcW w:w="7320" w:type="dxa"/>
            <w:shd w:val="clear" w:color="auto" w:fill="auto"/>
          </w:tcPr>
          <w:p w:rsidR="00D70460" w:rsidRPr="00DC1376" w:rsidRDefault="00D70460" w:rsidP="0095170D">
            <w:pPr>
              <w:pStyle w:val="TableText"/>
            </w:pPr>
            <w:proofErr w:type="gramStart"/>
            <w:r w:rsidRPr="00DC1376">
              <w:t>Baricitinib,</w:t>
            </w:r>
            <w:proofErr w:type="gramEnd"/>
            <w:r w:rsidRPr="00DC1376">
              <w:t xml:space="preserve"> administered orally, 4</w:t>
            </w:r>
            <w:r w:rsidR="002C3922">
              <w:t> </w:t>
            </w:r>
            <w:r w:rsidRPr="00DC1376">
              <w:t xml:space="preserve">mg once daily </w:t>
            </w:r>
            <w:r w:rsidR="00C01D73" w:rsidRPr="00DC1376">
              <w:t>(</w:t>
            </w:r>
            <w:r w:rsidRPr="00DC1376">
              <w:t>or 2</w:t>
            </w:r>
            <w:r w:rsidR="002C3922">
              <w:t> </w:t>
            </w:r>
            <w:r w:rsidRPr="00DC1376">
              <w:t>mg once daily in case of renal impairment or drug interaction</w:t>
            </w:r>
            <w:r w:rsidR="00C01D73" w:rsidRPr="00DC1376">
              <w:t>)</w:t>
            </w:r>
            <w:r w:rsidRPr="00DC1376">
              <w:t>.</w:t>
            </w:r>
          </w:p>
        </w:tc>
      </w:tr>
      <w:tr w:rsidR="00D70460" w:rsidRPr="00DC1376" w:rsidTr="00C01D73">
        <w:trPr>
          <w:cantSplit/>
        </w:trPr>
        <w:tc>
          <w:tcPr>
            <w:tcW w:w="1696" w:type="dxa"/>
            <w:shd w:val="clear" w:color="auto" w:fill="auto"/>
          </w:tcPr>
          <w:p w:rsidR="00D70460" w:rsidRPr="00DC1376" w:rsidRDefault="00D70460" w:rsidP="0095170D">
            <w:pPr>
              <w:pStyle w:val="TableText"/>
            </w:pPr>
            <w:r w:rsidRPr="00DC1376">
              <w:t>Comparator</w:t>
            </w:r>
          </w:p>
        </w:tc>
        <w:tc>
          <w:tcPr>
            <w:tcW w:w="7320" w:type="dxa"/>
            <w:shd w:val="clear" w:color="auto" w:fill="auto"/>
          </w:tcPr>
          <w:p w:rsidR="00D70460" w:rsidRPr="00DC1376" w:rsidRDefault="00D70460" w:rsidP="0095170D">
            <w:pPr>
              <w:pStyle w:val="TableText"/>
            </w:pPr>
            <w:r w:rsidRPr="00DC1376">
              <w:t>Primary: adalimumab, 40</w:t>
            </w:r>
            <w:r w:rsidR="002C3922">
              <w:t> </w:t>
            </w:r>
            <w:r w:rsidRPr="00DC1376">
              <w:t xml:space="preserve">mg in 0.8mL biweekly; secondary: </w:t>
            </w:r>
            <w:proofErr w:type="spellStart"/>
            <w:r w:rsidRPr="00DC1376">
              <w:t>tofacitinib</w:t>
            </w:r>
            <w:proofErr w:type="spellEnd"/>
            <w:r w:rsidRPr="00DC1376">
              <w:t>, 5</w:t>
            </w:r>
            <w:r w:rsidR="002C3922">
              <w:t> </w:t>
            </w:r>
            <w:r w:rsidRPr="00DC1376">
              <w:t>mg twice daily</w:t>
            </w:r>
          </w:p>
        </w:tc>
      </w:tr>
      <w:tr w:rsidR="00D70460" w:rsidRPr="00DC1376" w:rsidTr="00C01D73">
        <w:trPr>
          <w:cantSplit/>
        </w:trPr>
        <w:tc>
          <w:tcPr>
            <w:tcW w:w="1696" w:type="dxa"/>
            <w:shd w:val="clear" w:color="auto" w:fill="auto"/>
          </w:tcPr>
          <w:p w:rsidR="00D70460" w:rsidRPr="00DC1376" w:rsidRDefault="00D70460" w:rsidP="0095170D">
            <w:pPr>
              <w:pStyle w:val="TableText"/>
            </w:pPr>
            <w:r w:rsidRPr="00DC1376">
              <w:t>Outcomes</w:t>
            </w:r>
          </w:p>
        </w:tc>
        <w:tc>
          <w:tcPr>
            <w:tcW w:w="7320" w:type="dxa"/>
            <w:shd w:val="clear" w:color="auto" w:fill="auto"/>
          </w:tcPr>
          <w:p w:rsidR="00D70460" w:rsidRPr="00DC1376" w:rsidRDefault="00D70460" w:rsidP="0095170D">
            <w:pPr>
              <w:pStyle w:val="TableText"/>
            </w:pPr>
            <w:r w:rsidRPr="00DC1376">
              <w:t xml:space="preserve">Clinical response as defined by ACR20, ACR50 and ACR70, structural joint damage assessed radiographically and expressed as change from baseline in </w:t>
            </w:r>
            <w:proofErr w:type="spellStart"/>
            <w:r w:rsidRPr="00DC1376">
              <w:t>mTSS</w:t>
            </w:r>
            <w:proofErr w:type="spellEnd"/>
            <w:r w:rsidRPr="00DC1376">
              <w:t>, improvement in physical function measured by HAQ-DI, and patient reported outcomes of duration and severity of morning joint stiffness in the first 12 weeks of treatment.</w:t>
            </w:r>
          </w:p>
        </w:tc>
      </w:tr>
      <w:tr w:rsidR="00D70460" w:rsidRPr="00DC1376" w:rsidTr="00C01D73">
        <w:trPr>
          <w:cantSplit/>
        </w:trPr>
        <w:tc>
          <w:tcPr>
            <w:tcW w:w="1696" w:type="dxa"/>
            <w:shd w:val="clear" w:color="auto" w:fill="auto"/>
          </w:tcPr>
          <w:p w:rsidR="00D70460" w:rsidRPr="00DC1376" w:rsidRDefault="00D70460" w:rsidP="0095170D">
            <w:pPr>
              <w:pStyle w:val="TableText"/>
            </w:pPr>
            <w:r w:rsidRPr="00DC1376">
              <w:t>Clinical claim</w:t>
            </w:r>
          </w:p>
        </w:tc>
        <w:tc>
          <w:tcPr>
            <w:tcW w:w="7320" w:type="dxa"/>
            <w:shd w:val="clear" w:color="auto" w:fill="auto"/>
          </w:tcPr>
          <w:p w:rsidR="00D70460" w:rsidRPr="00DC1376" w:rsidRDefault="00D70460" w:rsidP="0095170D">
            <w:pPr>
              <w:pStyle w:val="TableText"/>
            </w:pPr>
            <w:r w:rsidRPr="00DC1376">
              <w:t xml:space="preserve">In patients with severe active RA for whom an adequate response has not been achieved with conventional therapies, baricitinib is superior to adalimumab for reducing signs and symptoms of RA, improving physical function, patient reported outcomes and low disease activity rates. Baricitinib is equivalent to adalimumab with respect to adverse events. </w:t>
            </w:r>
          </w:p>
        </w:tc>
      </w:tr>
    </w:tbl>
    <w:p w:rsidR="00AC48A7" w:rsidRPr="00DC1376" w:rsidRDefault="00D70460" w:rsidP="00D4394D">
      <w:pPr>
        <w:pStyle w:val="TableFooter"/>
      </w:pPr>
      <w:r w:rsidRPr="00DC1376">
        <w:t xml:space="preserve">Source: </w:t>
      </w:r>
      <w:r w:rsidRPr="00BD0C22">
        <w:t>Table 1.1.1</w:t>
      </w:r>
      <w:r w:rsidRPr="00DC1376">
        <w:t xml:space="preserve">, p 31 of the submission. </w:t>
      </w:r>
    </w:p>
    <w:p w:rsidR="0017720E" w:rsidRPr="00DC1376" w:rsidRDefault="00D70460" w:rsidP="00D4394D">
      <w:pPr>
        <w:pStyle w:val="TableFooter"/>
      </w:pPr>
      <w:r w:rsidRPr="00DC1376">
        <w:t>ACR = American Col</w:t>
      </w:r>
      <w:r w:rsidR="00C01D73" w:rsidRPr="00DC1376">
        <w:t xml:space="preserve">lege of Rheumatology criteria; </w:t>
      </w:r>
      <w:r w:rsidRPr="00DC1376">
        <w:t xml:space="preserve">DMARDs = disease modifying anti-rheumatic drugs; </w:t>
      </w:r>
      <w:proofErr w:type="spellStart"/>
      <w:r w:rsidR="00C01D73" w:rsidRPr="00DC1376">
        <w:t>bDMARDs</w:t>
      </w:r>
      <w:proofErr w:type="spellEnd"/>
      <w:r w:rsidR="00C01D73" w:rsidRPr="00DC1376">
        <w:t xml:space="preserve"> = biological disease modifying anti-rheumatic drugs; </w:t>
      </w:r>
      <w:r w:rsidRPr="00DC1376">
        <w:t>HAQ-DI = Health Assessment Q</w:t>
      </w:r>
      <w:r w:rsidR="00C01D73" w:rsidRPr="00DC1376">
        <w:t xml:space="preserve">uestionnaire-Disability Index; </w:t>
      </w:r>
      <w:proofErr w:type="spellStart"/>
      <w:r w:rsidRPr="00DC1376">
        <w:t>mTSS</w:t>
      </w:r>
      <w:proofErr w:type="spellEnd"/>
      <w:r w:rsidRPr="00DC1376">
        <w:t xml:space="preserve"> modified Total Sharp Score; PBS = Pharmaceutical Benefits Scheme; RA = rheumatoid arthritis;</w:t>
      </w:r>
    </w:p>
    <w:p w:rsidR="00C317F3" w:rsidRDefault="00C317F3" w:rsidP="005249D1">
      <w:pPr>
        <w:pStyle w:val="Heading1"/>
        <w:numPr>
          <w:ilvl w:val="0"/>
          <w:numId w:val="13"/>
        </w:numPr>
      </w:pPr>
      <w:bookmarkStart w:id="0" w:name="_Toc413139272"/>
      <w:bookmarkStart w:id="1" w:name="_Toc482024925"/>
      <w:r w:rsidRPr="00DC1376">
        <w:t>Requested listing</w:t>
      </w:r>
      <w:bookmarkEnd w:id="0"/>
      <w:bookmarkEnd w:id="1"/>
    </w:p>
    <w:p w:rsidR="001E2A47" w:rsidRDefault="00F4027C" w:rsidP="005E290D">
      <w:pPr>
        <w:pStyle w:val="ListParagraph"/>
        <w:numPr>
          <w:ilvl w:val="1"/>
          <w:numId w:val="1"/>
        </w:numPr>
        <w:spacing w:before="0" w:after="120"/>
        <w:jc w:val="both"/>
      </w:pPr>
      <w:r w:rsidRPr="007C3458">
        <w:t xml:space="preserve">The submission requested the same restriction wording and number of repeats for </w:t>
      </w:r>
      <w:r w:rsidR="00E3654C" w:rsidRPr="007C3458">
        <w:t>baricitinib</w:t>
      </w:r>
      <w:r w:rsidRPr="007C3458">
        <w:t xml:space="preserve"> as for the currently listed </w:t>
      </w:r>
      <w:proofErr w:type="spellStart"/>
      <w:r w:rsidRPr="007C3458">
        <w:t>bDMARDS</w:t>
      </w:r>
      <w:proofErr w:type="spellEnd"/>
      <w:r w:rsidRPr="007C3458">
        <w:t xml:space="preserve"> for rheumatoid </w:t>
      </w:r>
      <w:proofErr w:type="gramStart"/>
      <w:r w:rsidRPr="007C3458">
        <w:t>arthritis,</w:t>
      </w:r>
      <w:proofErr w:type="gramEnd"/>
      <w:r w:rsidRPr="007C3458">
        <w:t xml:space="preserve"> therefore these restrictions have not been duplicated here. The proposed grandfather restriction is included below.</w:t>
      </w:r>
    </w:p>
    <w:p w:rsidR="001E2A47" w:rsidRDefault="001E2A47">
      <w:pPr>
        <w:spacing w:before="0" w:line="259" w:lineRule="auto"/>
      </w:pPr>
      <w:r>
        <w:br w:type="page"/>
      </w:r>
    </w:p>
    <w:p w:rsidR="00B64909" w:rsidRPr="007C3458" w:rsidRDefault="00B64909" w:rsidP="00B64909">
      <w:pPr>
        <w:pStyle w:val="ListParagraph"/>
        <w:spacing w:before="0" w:after="120"/>
        <w:ind w:left="576"/>
        <w:jc w:val="both"/>
      </w:pPr>
    </w:p>
    <w:tbl>
      <w:tblPr>
        <w:tblW w:w="5296" w:type="pct"/>
        <w:tblCellMar>
          <w:left w:w="28" w:type="dxa"/>
          <w:right w:w="28" w:type="dxa"/>
        </w:tblCellMar>
        <w:tblLook w:val="0000" w:firstRow="0" w:lastRow="0" w:firstColumn="0" w:lastColumn="0" w:noHBand="0" w:noVBand="0"/>
      </w:tblPr>
      <w:tblGrid>
        <w:gridCol w:w="33"/>
        <w:gridCol w:w="2951"/>
        <w:gridCol w:w="473"/>
        <w:gridCol w:w="591"/>
        <w:gridCol w:w="893"/>
        <w:gridCol w:w="1799"/>
        <w:gridCol w:w="993"/>
        <w:gridCol w:w="1887"/>
      </w:tblGrid>
      <w:tr w:rsidR="00724B47" w:rsidRPr="00AA2DD4" w:rsidTr="002C3922">
        <w:trPr>
          <w:cantSplit/>
          <w:trHeight w:val="471"/>
        </w:trPr>
        <w:tc>
          <w:tcPr>
            <w:tcW w:w="1797" w:type="pct"/>
            <w:gridSpan w:val="3"/>
            <w:tcBorders>
              <w:bottom w:val="single" w:sz="4" w:space="0" w:color="auto"/>
            </w:tcBorders>
          </w:tcPr>
          <w:p w:rsidR="00724B47" w:rsidRPr="001E2A47" w:rsidRDefault="00724B47" w:rsidP="00BD0C22">
            <w:pPr>
              <w:pStyle w:val="Tabletext0"/>
              <w:rPr>
                <w:b/>
                <w:i/>
              </w:rPr>
            </w:pPr>
            <w:r w:rsidRPr="001E2A47">
              <w:rPr>
                <w:b/>
                <w:i/>
              </w:rPr>
              <w:t>Name, Restriction,</w:t>
            </w:r>
          </w:p>
          <w:p w:rsidR="00724B47" w:rsidRPr="001E2A47" w:rsidRDefault="00724B47" w:rsidP="00BD0C22">
            <w:pPr>
              <w:pStyle w:val="Tabletext0"/>
              <w:rPr>
                <w:b/>
                <w:i/>
              </w:rPr>
            </w:pPr>
            <w:r w:rsidRPr="001E2A47">
              <w:rPr>
                <w:b/>
                <w:i/>
              </w:rPr>
              <w:t>Manner of administration and form</w:t>
            </w:r>
          </w:p>
        </w:tc>
        <w:tc>
          <w:tcPr>
            <w:tcW w:w="307" w:type="pct"/>
            <w:tcBorders>
              <w:bottom w:val="single" w:sz="4" w:space="0" w:color="auto"/>
            </w:tcBorders>
          </w:tcPr>
          <w:p w:rsidR="00724B47" w:rsidRPr="00BD0C22" w:rsidRDefault="00724B47" w:rsidP="00BD0C22">
            <w:pPr>
              <w:pStyle w:val="Tabletext0"/>
              <w:rPr>
                <w:b/>
              </w:rPr>
            </w:pPr>
            <w:r w:rsidRPr="00BD0C22">
              <w:rPr>
                <w:b/>
              </w:rPr>
              <w:t>Max.</w:t>
            </w:r>
          </w:p>
          <w:p w:rsidR="00724B47" w:rsidRPr="00BD0C22" w:rsidRDefault="00724B47" w:rsidP="00BD0C22">
            <w:pPr>
              <w:pStyle w:val="Tabletext0"/>
              <w:rPr>
                <w:b/>
              </w:rPr>
            </w:pPr>
            <w:proofErr w:type="spellStart"/>
            <w:r w:rsidRPr="00BD0C22">
              <w:rPr>
                <w:b/>
              </w:rPr>
              <w:t>Qty</w:t>
            </w:r>
            <w:proofErr w:type="spellEnd"/>
          </w:p>
        </w:tc>
        <w:tc>
          <w:tcPr>
            <w:tcW w:w="464" w:type="pct"/>
            <w:tcBorders>
              <w:bottom w:val="single" w:sz="4" w:space="0" w:color="auto"/>
            </w:tcBorders>
          </w:tcPr>
          <w:p w:rsidR="00724B47" w:rsidRPr="00BD0C22" w:rsidRDefault="00724B47" w:rsidP="00BD0C22">
            <w:pPr>
              <w:pStyle w:val="Tabletext0"/>
              <w:rPr>
                <w:b/>
              </w:rPr>
            </w:pPr>
            <w:r w:rsidRPr="00BD0C22">
              <w:rPr>
                <w:b/>
              </w:rPr>
              <w:t>№.of</w:t>
            </w:r>
          </w:p>
          <w:p w:rsidR="00724B47" w:rsidRPr="00BD0C22" w:rsidRDefault="00724B47" w:rsidP="00BD0C22">
            <w:pPr>
              <w:pStyle w:val="Tabletext0"/>
              <w:rPr>
                <w:b/>
              </w:rPr>
            </w:pPr>
            <w:proofErr w:type="spellStart"/>
            <w:r w:rsidRPr="00BD0C22">
              <w:rPr>
                <w:b/>
              </w:rPr>
              <w:t>Rpts</w:t>
            </w:r>
            <w:proofErr w:type="spellEnd"/>
          </w:p>
        </w:tc>
        <w:tc>
          <w:tcPr>
            <w:tcW w:w="935" w:type="pct"/>
            <w:tcBorders>
              <w:bottom w:val="single" w:sz="4" w:space="0" w:color="auto"/>
            </w:tcBorders>
          </w:tcPr>
          <w:p w:rsidR="00724B47" w:rsidRPr="00BD0C22" w:rsidRDefault="00724B47" w:rsidP="00BD0C22">
            <w:pPr>
              <w:pStyle w:val="Tabletext0"/>
              <w:rPr>
                <w:b/>
              </w:rPr>
            </w:pPr>
            <w:r w:rsidRPr="00BD0C22">
              <w:rPr>
                <w:b/>
              </w:rPr>
              <w:t xml:space="preserve">Dispensed Price for Max. </w:t>
            </w:r>
            <w:proofErr w:type="spellStart"/>
            <w:r w:rsidRPr="00BD0C22">
              <w:rPr>
                <w:b/>
              </w:rPr>
              <w:t>Qty</w:t>
            </w:r>
            <w:proofErr w:type="spellEnd"/>
          </w:p>
        </w:tc>
        <w:tc>
          <w:tcPr>
            <w:tcW w:w="1496" w:type="pct"/>
            <w:gridSpan w:val="2"/>
            <w:tcBorders>
              <w:bottom w:val="single" w:sz="4" w:space="0" w:color="auto"/>
            </w:tcBorders>
          </w:tcPr>
          <w:p w:rsidR="00724B47" w:rsidRPr="00BD0C22" w:rsidRDefault="00724B47" w:rsidP="00BD0C22">
            <w:pPr>
              <w:pStyle w:val="Tabletext0"/>
              <w:rPr>
                <w:b/>
              </w:rPr>
            </w:pPr>
            <w:r w:rsidRPr="00BD0C22">
              <w:rPr>
                <w:b/>
              </w:rPr>
              <w:t>Proprietary Name and Manufacturer</w:t>
            </w:r>
          </w:p>
        </w:tc>
      </w:tr>
      <w:tr w:rsidR="00724B47" w:rsidRPr="00AA2DD4" w:rsidTr="002C3922">
        <w:trPr>
          <w:cantSplit/>
          <w:trHeight w:val="577"/>
        </w:trPr>
        <w:tc>
          <w:tcPr>
            <w:tcW w:w="1797" w:type="pct"/>
            <w:gridSpan w:val="3"/>
          </w:tcPr>
          <w:p w:rsidR="00724B47" w:rsidRPr="001E2A47" w:rsidRDefault="00724B47" w:rsidP="00BD0C22">
            <w:pPr>
              <w:pStyle w:val="Tabletext0"/>
              <w:rPr>
                <w:i/>
              </w:rPr>
            </w:pPr>
            <w:r w:rsidRPr="001E2A47">
              <w:rPr>
                <w:i/>
              </w:rPr>
              <w:t>BARICITINIB</w:t>
            </w:r>
          </w:p>
          <w:p w:rsidR="00724B47" w:rsidRPr="001E2A47" w:rsidRDefault="00724B47" w:rsidP="00BD0C22">
            <w:pPr>
              <w:pStyle w:val="Tabletext0"/>
              <w:rPr>
                <w:i/>
              </w:rPr>
            </w:pPr>
            <w:r w:rsidRPr="001E2A47">
              <w:rPr>
                <w:i/>
              </w:rPr>
              <w:t>2</w:t>
            </w:r>
            <w:r w:rsidR="002C3922" w:rsidRPr="001E2A47">
              <w:rPr>
                <w:i/>
              </w:rPr>
              <w:t> </w:t>
            </w:r>
            <w:r w:rsidRPr="001E2A47">
              <w:rPr>
                <w:i/>
              </w:rPr>
              <w:t>mg film-coated tablet, 28</w:t>
            </w:r>
          </w:p>
          <w:p w:rsidR="00724B47" w:rsidRPr="001E2A47" w:rsidRDefault="002C3922" w:rsidP="00BD0C22">
            <w:pPr>
              <w:pStyle w:val="Tabletext0"/>
              <w:rPr>
                <w:i/>
              </w:rPr>
            </w:pPr>
            <w:r w:rsidRPr="001E2A47">
              <w:rPr>
                <w:i/>
              </w:rPr>
              <w:t>4 </w:t>
            </w:r>
            <w:r w:rsidR="00724B47" w:rsidRPr="001E2A47">
              <w:rPr>
                <w:i/>
              </w:rPr>
              <w:t>mg film-coated tablet, 28</w:t>
            </w:r>
          </w:p>
        </w:tc>
        <w:tc>
          <w:tcPr>
            <w:tcW w:w="307" w:type="pct"/>
          </w:tcPr>
          <w:p w:rsidR="00724B47" w:rsidRPr="00BD0C22" w:rsidRDefault="00724B47" w:rsidP="00BD0C22">
            <w:pPr>
              <w:pStyle w:val="Tabletext0"/>
            </w:pPr>
          </w:p>
          <w:p w:rsidR="00724B47" w:rsidRPr="00BD0C22" w:rsidRDefault="00724B47" w:rsidP="00BD0C22">
            <w:pPr>
              <w:pStyle w:val="Tabletext0"/>
            </w:pPr>
            <w:r w:rsidRPr="00BD0C22">
              <w:t>1</w:t>
            </w:r>
          </w:p>
          <w:p w:rsidR="00724B47" w:rsidRPr="00BD0C22" w:rsidRDefault="00724B47" w:rsidP="00BD0C22">
            <w:pPr>
              <w:pStyle w:val="Tabletext0"/>
            </w:pPr>
            <w:r w:rsidRPr="00BD0C22">
              <w:t>1</w:t>
            </w:r>
          </w:p>
        </w:tc>
        <w:tc>
          <w:tcPr>
            <w:tcW w:w="464" w:type="pct"/>
          </w:tcPr>
          <w:p w:rsidR="00724B47" w:rsidRPr="00BD0C22" w:rsidRDefault="00724B47" w:rsidP="00BD0C22">
            <w:pPr>
              <w:pStyle w:val="Tabletext0"/>
            </w:pPr>
          </w:p>
          <w:p w:rsidR="00724B47" w:rsidRPr="00BD0C22" w:rsidRDefault="00724B47" w:rsidP="00BD0C22">
            <w:pPr>
              <w:pStyle w:val="Tabletext0"/>
            </w:pPr>
            <w:r w:rsidRPr="00BD0C22">
              <w:t>3</w:t>
            </w:r>
          </w:p>
          <w:p w:rsidR="00724B47" w:rsidRPr="00BD0C22" w:rsidRDefault="00724B47" w:rsidP="00BD0C22">
            <w:pPr>
              <w:pStyle w:val="Tabletext0"/>
            </w:pPr>
            <w:r w:rsidRPr="00BD0C22">
              <w:t>3</w:t>
            </w:r>
          </w:p>
        </w:tc>
        <w:tc>
          <w:tcPr>
            <w:tcW w:w="935" w:type="pct"/>
          </w:tcPr>
          <w:p w:rsidR="00724B47" w:rsidRPr="00BD0C22" w:rsidRDefault="00724B47" w:rsidP="00BD0C22">
            <w:pPr>
              <w:pStyle w:val="Tabletext0"/>
            </w:pPr>
          </w:p>
          <w:p w:rsidR="00724B47" w:rsidRPr="00A3464A" w:rsidRDefault="00724B47" w:rsidP="00BD0C22">
            <w:pPr>
              <w:pStyle w:val="Tabletext0"/>
            </w:pPr>
            <w:r w:rsidRPr="00A3464A">
              <w:t>$</w:t>
            </w:r>
            <w:r w:rsidR="006D0B68">
              <w:rPr>
                <w:noProof/>
                <w:color w:val="000000"/>
                <w:highlight w:val="black"/>
              </w:rPr>
              <w:t>''''''''''''''''''''</w:t>
            </w:r>
          </w:p>
          <w:p w:rsidR="00724B47" w:rsidRPr="00BD0C22" w:rsidRDefault="00724B47" w:rsidP="00BD0C22">
            <w:pPr>
              <w:pStyle w:val="Tabletext0"/>
            </w:pPr>
            <w:r w:rsidRPr="00A3464A">
              <w:t>$</w:t>
            </w:r>
            <w:r w:rsidR="006D0B68">
              <w:rPr>
                <w:noProof/>
                <w:color w:val="000000"/>
                <w:highlight w:val="black"/>
              </w:rPr>
              <w:t>'''''''''''''''''''''''</w:t>
            </w:r>
          </w:p>
        </w:tc>
        <w:tc>
          <w:tcPr>
            <w:tcW w:w="516" w:type="pct"/>
          </w:tcPr>
          <w:p w:rsidR="00F94100" w:rsidRDefault="00F94100" w:rsidP="00BD0C22">
            <w:pPr>
              <w:pStyle w:val="Tabletext0"/>
            </w:pPr>
          </w:p>
          <w:p w:rsidR="00724B47" w:rsidRPr="00BD0C22" w:rsidRDefault="00724B47" w:rsidP="00BD0C22">
            <w:pPr>
              <w:pStyle w:val="Tabletext0"/>
            </w:pPr>
            <w:proofErr w:type="spellStart"/>
            <w:r w:rsidRPr="00BD0C22">
              <w:t>Olumiant</w:t>
            </w:r>
            <w:proofErr w:type="spellEnd"/>
            <w:r w:rsidRPr="00BD0C22">
              <w:t>®</w:t>
            </w:r>
          </w:p>
        </w:tc>
        <w:tc>
          <w:tcPr>
            <w:tcW w:w="980" w:type="pct"/>
          </w:tcPr>
          <w:p w:rsidR="00F94100" w:rsidRDefault="00F94100" w:rsidP="00BD0C22">
            <w:pPr>
              <w:pStyle w:val="Tabletext0"/>
            </w:pPr>
          </w:p>
          <w:p w:rsidR="00724B47" w:rsidRPr="00BD0C22" w:rsidRDefault="00724B47" w:rsidP="00BD0C22">
            <w:pPr>
              <w:pStyle w:val="Tabletext0"/>
            </w:pPr>
            <w:r w:rsidRPr="00BD0C22">
              <w:t>Eli Lilly Australia Pty Ltd</w:t>
            </w:r>
          </w:p>
        </w:tc>
      </w:tr>
      <w:tr w:rsidR="00724B47" w:rsidRPr="00AA2DD4" w:rsidTr="000522FB">
        <w:trPr>
          <w:cantSplit/>
          <w:trHeight w:val="360"/>
        </w:trPr>
        <w:tc>
          <w:tcPr>
            <w:tcW w:w="5000" w:type="pct"/>
            <w:gridSpan w:val="8"/>
          </w:tcPr>
          <w:p w:rsidR="00724B47" w:rsidRPr="001E2A47" w:rsidRDefault="00724B47" w:rsidP="000522FB">
            <w:pPr>
              <w:rPr>
                <w:rFonts w:ascii="Arial Narrow" w:hAnsi="Arial Narrow" w:cs="Arial"/>
                <w:i/>
                <w:sz w:val="20"/>
                <w:szCs w:val="20"/>
              </w:rPr>
            </w:pPr>
          </w:p>
        </w:tc>
      </w:tr>
      <w:tr w:rsidR="00724B47" w:rsidRPr="00260CE3" w:rsidTr="002C3922">
        <w:tblPrEx>
          <w:tblCellMar>
            <w:left w:w="108" w:type="dxa"/>
            <w:right w:w="108" w:type="dxa"/>
          </w:tblCellMar>
        </w:tblPrEx>
        <w:trPr>
          <w:gridBefore w:val="1"/>
          <w:wBefore w:w="17" w:type="pct"/>
          <w:cantSplit/>
          <w:trHeight w:val="239"/>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2C3922">
            <w:pPr>
              <w:spacing w:after="120"/>
              <w:jc w:val="both"/>
              <w:rPr>
                <w:rFonts w:ascii="Arial Narrow" w:hAnsi="Arial Narrow" w:cs="Arial"/>
                <w:b/>
                <w:i/>
                <w:sz w:val="20"/>
                <w:szCs w:val="20"/>
              </w:rPr>
            </w:pPr>
            <w:r w:rsidRPr="001E2A47">
              <w:rPr>
                <w:rFonts w:ascii="Arial Narrow" w:hAnsi="Arial Narrow" w:cs="Arial"/>
                <w:b/>
                <w:i/>
                <w:sz w:val="20"/>
                <w:szCs w:val="20"/>
              </w:rPr>
              <w:t>Category / Program</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2C3922">
            <w:pPr>
              <w:pStyle w:val="Tabletext0"/>
              <w:rPr>
                <w:i/>
              </w:rPr>
            </w:pPr>
            <w:r w:rsidRPr="001E2A47">
              <w:rPr>
                <w:i/>
              </w:rPr>
              <w:t>GENERAL – General Schedule (Code GE)</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0522FB">
            <w:pPr>
              <w:jc w:val="both"/>
              <w:rPr>
                <w:rFonts w:ascii="Arial Narrow" w:hAnsi="Arial Narrow" w:cs="Arial"/>
                <w:b/>
                <w:i/>
                <w:sz w:val="20"/>
                <w:szCs w:val="20"/>
              </w:rPr>
            </w:pPr>
            <w:r w:rsidRPr="001E2A47">
              <w:rPr>
                <w:rFonts w:ascii="Arial Narrow" w:hAnsi="Arial Narrow" w:cs="Arial"/>
                <w:b/>
                <w:i/>
                <w:sz w:val="20"/>
                <w:szCs w:val="20"/>
              </w:rPr>
              <w:t>Prescriber type:</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fldChar w:fldCharType="begin">
                <w:ffData>
                  <w:name w:val="Check1"/>
                  <w:enabled/>
                  <w:calcOnExit w:val="0"/>
                  <w:checkBox>
                    <w:sizeAuto/>
                    <w:default w:val="0"/>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 xml:space="preserve">Dental  </w:t>
            </w:r>
            <w:r w:rsidRPr="001E2A47">
              <w:rPr>
                <w:i/>
              </w:rPr>
              <w:fldChar w:fldCharType="begin">
                <w:ffData>
                  <w:name w:val=""/>
                  <w:enabled/>
                  <w:calcOnExit w:val="0"/>
                  <w:checkBox>
                    <w:sizeAuto/>
                    <w:default w:val="1"/>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 xml:space="preserve">Medical Practitioners  </w:t>
            </w:r>
            <w:r w:rsidRPr="001E2A47">
              <w:rPr>
                <w:i/>
              </w:rPr>
              <w:fldChar w:fldCharType="begin">
                <w:ffData>
                  <w:name w:val="Check3"/>
                  <w:enabled/>
                  <w:calcOnExit w:val="0"/>
                  <w:checkBox>
                    <w:sizeAuto/>
                    <w:default w:val="0"/>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 xml:space="preserve">Nurse practitioners  </w:t>
            </w:r>
            <w:r w:rsidRPr="001E2A47">
              <w:rPr>
                <w:i/>
              </w:rPr>
              <w:fldChar w:fldCharType="begin">
                <w:ffData>
                  <w:name w:val=""/>
                  <w:enabled/>
                  <w:calcOnExit w:val="0"/>
                  <w:checkBox>
                    <w:sizeAuto/>
                    <w:default w:val="0"/>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Optometrists</w:t>
            </w:r>
          </w:p>
          <w:p w:rsidR="00724B47" w:rsidRPr="001E2A47" w:rsidRDefault="00724B47" w:rsidP="00BD0C22">
            <w:pPr>
              <w:pStyle w:val="Tabletext0"/>
              <w:rPr>
                <w:i/>
              </w:rPr>
            </w:pPr>
            <w:r w:rsidRPr="001E2A47">
              <w:rPr>
                <w:i/>
              </w:rPr>
              <w:fldChar w:fldCharType="begin">
                <w:ffData>
                  <w:name w:val="Check5"/>
                  <w:enabled/>
                  <w:calcOnExit w:val="0"/>
                  <w:checkBox>
                    <w:sizeAuto/>
                    <w:default w:val="0"/>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Midwives</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0522FB">
            <w:pPr>
              <w:jc w:val="both"/>
              <w:rPr>
                <w:rFonts w:ascii="Arial Narrow" w:hAnsi="Arial Narrow" w:cs="Arial"/>
                <w:b/>
                <w:i/>
                <w:sz w:val="20"/>
                <w:szCs w:val="20"/>
              </w:rPr>
            </w:pPr>
            <w:r w:rsidRPr="001E2A47">
              <w:rPr>
                <w:rFonts w:ascii="Arial Narrow" w:hAnsi="Arial Narrow" w:cs="Arial"/>
                <w:b/>
                <w:i/>
                <w:sz w:val="20"/>
                <w:szCs w:val="20"/>
              </w:rPr>
              <w:t>Severity:</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Severe active</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0522FB">
            <w:pPr>
              <w:jc w:val="both"/>
              <w:rPr>
                <w:rFonts w:ascii="Arial Narrow" w:hAnsi="Arial Narrow" w:cs="Arial"/>
                <w:b/>
                <w:i/>
                <w:sz w:val="20"/>
                <w:szCs w:val="20"/>
              </w:rPr>
            </w:pPr>
            <w:r w:rsidRPr="001E2A47">
              <w:rPr>
                <w:rFonts w:ascii="Arial Narrow" w:hAnsi="Arial Narrow" w:cs="Arial"/>
                <w:b/>
                <w:i/>
                <w:sz w:val="20"/>
                <w:szCs w:val="20"/>
              </w:rPr>
              <w:t>Condition:</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Rheumatoid arthritis</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0522FB">
            <w:pPr>
              <w:jc w:val="both"/>
              <w:rPr>
                <w:rFonts w:ascii="Arial Narrow" w:hAnsi="Arial Narrow" w:cs="Arial"/>
                <w:b/>
                <w:i/>
                <w:sz w:val="20"/>
                <w:szCs w:val="20"/>
              </w:rPr>
            </w:pPr>
            <w:r w:rsidRPr="001E2A47">
              <w:rPr>
                <w:rFonts w:ascii="Arial Narrow" w:hAnsi="Arial Narrow" w:cs="Arial"/>
                <w:b/>
                <w:i/>
                <w:sz w:val="20"/>
                <w:szCs w:val="20"/>
              </w:rPr>
              <w:t>PBS Indication:</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Severe active rheumatoid arthritis</w:t>
            </w:r>
          </w:p>
        </w:tc>
      </w:tr>
      <w:tr w:rsidR="00724B47" w:rsidRPr="00AA2DD4"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0522FB">
            <w:pPr>
              <w:jc w:val="both"/>
              <w:rPr>
                <w:rFonts w:ascii="Arial Narrow" w:hAnsi="Arial Narrow" w:cs="Arial"/>
                <w:i/>
                <w:sz w:val="20"/>
                <w:szCs w:val="20"/>
              </w:rPr>
            </w:pPr>
            <w:r w:rsidRPr="001E2A47">
              <w:rPr>
                <w:rFonts w:ascii="Arial Narrow" w:hAnsi="Arial Narrow" w:cs="Arial"/>
                <w:b/>
                <w:i/>
                <w:sz w:val="20"/>
                <w:szCs w:val="20"/>
              </w:rPr>
              <w:t>Treatment phase:</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Initial treatment - Initial 3 (Grandfather patients)</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2C3922">
            <w:pPr>
              <w:jc w:val="both"/>
              <w:rPr>
                <w:rFonts w:ascii="Arial Narrow" w:hAnsi="Arial Narrow" w:cs="Arial"/>
                <w:b/>
                <w:i/>
                <w:sz w:val="20"/>
                <w:szCs w:val="20"/>
              </w:rPr>
            </w:pPr>
            <w:r w:rsidRPr="001E2A47">
              <w:rPr>
                <w:rFonts w:ascii="Arial Narrow" w:hAnsi="Arial Narrow" w:cs="Arial"/>
                <w:b/>
                <w:i/>
                <w:sz w:val="20"/>
                <w:szCs w:val="20"/>
              </w:rPr>
              <w:t>Restriction Level / Method:</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fldChar w:fldCharType="begin">
                <w:ffData>
                  <w:name w:val="Check1"/>
                  <w:enabled/>
                  <w:calcOnExit w:val="0"/>
                  <w:checkBox>
                    <w:sizeAuto/>
                    <w:default w:val="0"/>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Restricted benefit</w:t>
            </w:r>
          </w:p>
          <w:p w:rsidR="00724B47" w:rsidRPr="001E2A47" w:rsidRDefault="00724B47" w:rsidP="00BD0C22">
            <w:pPr>
              <w:pStyle w:val="Tabletext0"/>
              <w:rPr>
                <w:i/>
              </w:rPr>
            </w:pPr>
            <w:r w:rsidRPr="001E2A47">
              <w:rPr>
                <w:i/>
              </w:rPr>
              <w:fldChar w:fldCharType="begin">
                <w:ffData>
                  <w:name w:val=""/>
                  <w:enabled/>
                  <w:calcOnExit w:val="0"/>
                  <w:checkBox>
                    <w:sizeAuto/>
                    <w:default w:val="1"/>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Authority Required - In Writing</w:t>
            </w:r>
          </w:p>
          <w:p w:rsidR="00724B47" w:rsidRPr="001E2A47" w:rsidRDefault="00724B47" w:rsidP="00BD0C22">
            <w:pPr>
              <w:pStyle w:val="Tabletext0"/>
              <w:rPr>
                <w:i/>
              </w:rPr>
            </w:pPr>
            <w:r w:rsidRPr="001E2A47">
              <w:rPr>
                <w:i/>
              </w:rPr>
              <w:fldChar w:fldCharType="begin">
                <w:ffData>
                  <w:name w:val="Check3"/>
                  <w:enabled/>
                  <w:calcOnExit w:val="0"/>
                  <w:checkBox>
                    <w:sizeAuto/>
                    <w:default w:val="1"/>
                  </w:checkBox>
                </w:ffData>
              </w:fldChar>
            </w:r>
            <w:r w:rsidRPr="001E2A47">
              <w:rPr>
                <w:i/>
              </w:rPr>
              <w:instrText xml:space="preserve"> </w:instrText>
            </w:r>
            <w:bookmarkStart w:id="2" w:name="Check3"/>
            <w:r w:rsidRPr="001E2A47">
              <w:rPr>
                <w:i/>
              </w:rPr>
              <w:instrText xml:space="preserve">FORMCHECKBOX </w:instrText>
            </w:r>
            <w:r w:rsidR="006D0B68">
              <w:rPr>
                <w:i/>
              </w:rPr>
            </w:r>
            <w:r w:rsidR="006D0B68">
              <w:rPr>
                <w:i/>
              </w:rPr>
              <w:fldChar w:fldCharType="separate"/>
            </w:r>
            <w:r w:rsidRPr="001E2A47">
              <w:rPr>
                <w:i/>
              </w:rPr>
              <w:fldChar w:fldCharType="end"/>
            </w:r>
            <w:bookmarkEnd w:id="2"/>
            <w:r w:rsidRPr="001E2A47">
              <w:rPr>
                <w:i/>
              </w:rPr>
              <w:t>Authority Required - Telephone</w:t>
            </w:r>
          </w:p>
          <w:p w:rsidR="00724B47" w:rsidRPr="001E2A47" w:rsidRDefault="00724B47" w:rsidP="00BD0C22">
            <w:pPr>
              <w:pStyle w:val="Tabletext0"/>
              <w:rPr>
                <w:i/>
              </w:rPr>
            </w:pPr>
            <w:r w:rsidRPr="001E2A47">
              <w:rPr>
                <w:i/>
              </w:rPr>
              <w:fldChar w:fldCharType="begin">
                <w:ffData>
                  <w:name w:val=""/>
                  <w:enabled/>
                  <w:calcOnExit w:val="0"/>
                  <w:checkBox>
                    <w:sizeAuto/>
                    <w:default w:val="0"/>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Authority Required - Emergency</w:t>
            </w:r>
          </w:p>
          <w:p w:rsidR="00724B47" w:rsidRPr="001E2A47" w:rsidRDefault="00724B47" w:rsidP="00BD0C22">
            <w:pPr>
              <w:pStyle w:val="Tabletext0"/>
              <w:rPr>
                <w:i/>
              </w:rPr>
            </w:pPr>
            <w:r w:rsidRPr="001E2A47">
              <w:rPr>
                <w:i/>
              </w:rPr>
              <w:fldChar w:fldCharType="begin">
                <w:ffData>
                  <w:name w:val="Check5"/>
                  <w:enabled/>
                  <w:calcOnExit w:val="0"/>
                  <w:checkBox>
                    <w:sizeAuto/>
                    <w:default w:val="1"/>
                  </w:checkBox>
                </w:ffData>
              </w:fldChar>
            </w:r>
            <w:r w:rsidRPr="001E2A47">
              <w:rPr>
                <w:i/>
              </w:rPr>
              <w:instrText xml:space="preserve"> </w:instrText>
            </w:r>
            <w:bookmarkStart w:id="3" w:name="Check5"/>
            <w:r w:rsidRPr="001E2A47">
              <w:rPr>
                <w:i/>
              </w:rPr>
              <w:instrText xml:space="preserve">FORMCHECKBOX </w:instrText>
            </w:r>
            <w:r w:rsidR="006D0B68">
              <w:rPr>
                <w:i/>
              </w:rPr>
            </w:r>
            <w:r w:rsidR="006D0B68">
              <w:rPr>
                <w:i/>
              </w:rPr>
              <w:fldChar w:fldCharType="separate"/>
            </w:r>
            <w:r w:rsidRPr="001E2A47">
              <w:rPr>
                <w:i/>
              </w:rPr>
              <w:fldChar w:fldCharType="end"/>
            </w:r>
            <w:bookmarkEnd w:id="3"/>
            <w:r w:rsidRPr="001E2A47">
              <w:rPr>
                <w:i/>
              </w:rPr>
              <w:t>Authority Required - Electronic</w:t>
            </w:r>
          </w:p>
          <w:p w:rsidR="00724B47" w:rsidRPr="001E2A47" w:rsidRDefault="00724B47" w:rsidP="00BD0C22">
            <w:pPr>
              <w:pStyle w:val="Tabletext0"/>
              <w:rPr>
                <w:i/>
              </w:rPr>
            </w:pPr>
            <w:r w:rsidRPr="001E2A47">
              <w:rPr>
                <w:i/>
              </w:rPr>
              <w:fldChar w:fldCharType="begin">
                <w:ffData>
                  <w:name w:val="Check5"/>
                  <w:enabled/>
                  <w:calcOnExit w:val="0"/>
                  <w:checkBox>
                    <w:sizeAuto/>
                    <w:default w:val="0"/>
                  </w:checkBox>
                </w:ffData>
              </w:fldChar>
            </w:r>
            <w:r w:rsidRPr="001E2A47">
              <w:rPr>
                <w:i/>
              </w:rPr>
              <w:instrText xml:space="preserve"> FORMCHECKBOX </w:instrText>
            </w:r>
            <w:r w:rsidR="006D0B68">
              <w:rPr>
                <w:i/>
              </w:rPr>
            </w:r>
            <w:r w:rsidR="006D0B68">
              <w:rPr>
                <w:i/>
              </w:rPr>
              <w:fldChar w:fldCharType="separate"/>
            </w:r>
            <w:r w:rsidRPr="001E2A47">
              <w:rPr>
                <w:i/>
              </w:rPr>
              <w:fldChar w:fldCharType="end"/>
            </w:r>
            <w:r w:rsidRPr="001E2A47">
              <w:rPr>
                <w:i/>
              </w:rPr>
              <w:t>Streamlined</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2C3922">
            <w:pPr>
              <w:jc w:val="both"/>
              <w:rPr>
                <w:rFonts w:ascii="Arial Narrow" w:hAnsi="Arial Narrow" w:cs="Arial"/>
                <w:b/>
                <w:i/>
                <w:sz w:val="20"/>
                <w:szCs w:val="20"/>
              </w:rPr>
            </w:pPr>
            <w:r w:rsidRPr="001E2A47">
              <w:rPr>
                <w:rFonts w:ascii="Arial Narrow" w:hAnsi="Arial Narrow" w:cs="Arial"/>
                <w:b/>
                <w:i/>
                <w:sz w:val="20"/>
                <w:szCs w:val="20"/>
              </w:rPr>
              <w:t>Treatment criteria:</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Must be treated by a rheumatologist; OR</w:t>
            </w:r>
          </w:p>
          <w:p w:rsidR="00724B47" w:rsidRPr="001E2A47" w:rsidRDefault="00724B47" w:rsidP="00BD0C22">
            <w:pPr>
              <w:pStyle w:val="Tabletext0"/>
              <w:rPr>
                <w:i/>
              </w:rPr>
            </w:pPr>
          </w:p>
          <w:p w:rsidR="00724B47" w:rsidRPr="001E2A47" w:rsidRDefault="00724B47" w:rsidP="00BD0C22">
            <w:pPr>
              <w:pStyle w:val="Tabletext0"/>
              <w:rPr>
                <w:i/>
              </w:rPr>
            </w:pPr>
            <w:r w:rsidRPr="001E2A47">
              <w:rPr>
                <w:i/>
              </w:rPr>
              <w:t>Must be treated by a clinical immunologist with expertise in the management of rheumatoid arthritis.</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2C3922">
            <w:pPr>
              <w:jc w:val="both"/>
              <w:rPr>
                <w:rFonts w:ascii="Arial Narrow" w:hAnsi="Arial Narrow" w:cs="Arial"/>
                <w:b/>
                <w:i/>
                <w:sz w:val="20"/>
                <w:szCs w:val="20"/>
              </w:rPr>
            </w:pPr>
            <w:r w:rsidRPr="001E2A47">
              <w:rPr>
                <w:rFonts w:ascii="Arial Narrow" w:hAnsi="Arial Narrow" w:cs="Arial"/>
                <w:b/>
                <w:i/>
                <w:sz w:val="20"/>
                <w:szCs w:val="20"/>
              </w:rPr>
              <w:t>Clinical criteria:</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Patient must have a documented history of severe active rheumatoid arthritis,</w:t>
            </w:r>
          </w:p>
          <w:p w:rsidR="00724B47" w:rsidRPr="001E2A47" w:rsidRDefault="00724B47" w:rsidP="00BD0C22">
            <w:pPr>
              <w:pStyle w:val="Tabletext0"/>
              <w:rPr>
                <w:i/>
              </w:rPr>
            </w:pPr>
            <w:r w:rsidRPr="001E2A47">
              <w:rPr>
                <w:i/>
              </w:rPr>
              <w:t>AND</w:t>
            </w:r>
          </w:p>
          <w:p w:rsidR="00724B47" w:rsidRPr="001E2A47" w:rsidRDefault="00724B47" w:rsidP="00BD0C22">
            <w:pPr>
              <w:pStyle w:val="Tabletext0"/>
              <w:rPr>
                <w:i/>
              </w:rPr>
            </w:pPr>
            <w:r w:rsidRPr="001E2A47">
              <w:rPr>
                <w:i/>
              </w:rPr>
              <w:t xml:space="preserve">Patient must have been receiving treatment with this drug for this condition prior to [PBS LISTING DATE], </w:t>
            </w:r>
          </w:p>
          <w:p w:rsidR="00724B47" w:rsidRPr="001E2A47" w:rsidRDefault="00724B47" w:rsidP="00BD0C22">
            <w:pPr>
              <w:pStyle w:val="Tabletext0"/>
              <w:rPr>
                <w:i/>
              </w:rPr>
            </w:pPr>
            <w:r w:rsidRPr="001E2A47">
              <w:rPr>
                <w:i/>
              </w:rPr>
              <w:t>AND</w:t>
            </w:r>
          </w:p>
          <w:p w:rsidR="00724B47" w:rsidRPr="001E2A47" w:rsidRDefault="00724B47" w:rsidP="00BD0C22">
            <w:pPr>
              <w:pStyle w:val="Tabletext0"/>
              <w:rPr>
                <w:i/>
              </w:rPr>
            </w:pPr>
            <w:r w:rsidRPr="001E2A47">
              <w:rPr>
                <w:i/>
              </w:rPr>
              <w:t xml:space="preserve">Patient must be receiving treatment with this drug for this condition at the time of application, </w:t>
            </w:r>
          </w:p>
          <w:p w:rsidR="00724B47" w:rsidRPr="001E2A47" w:rsidRDefault="00724B47" w:rsidP="00BD0C22">
            <w:pPr>
              <w:pStyle w:val="Tabletext0"/>
              <w:rPr>
                <w:i/>
              </w:rPr>
            </w:pPr>
            <w:r w:rsidRPr="001E2A47">
              <w:rPr>
                <w:i/>
              </w:rPr>
              <w:t>AND</w:t>
            </w:r>
          </w:p>
          <w:p w:rsidR="00724B47" w:rsidRPr="001E2A47" w:rsidRDefault="00724B47" w:rsidP="00BD0C22">
            <w:pPr>
              <w:pStyle w:val="Tabletext0"/>
              <w:rPr>
                <w:i/>
              </w:rPr>
            </w:pPr>
            <w:r w:rsidRPr="001E2A47">
              <w:rPr>
                <w:i/>
              </w:rPr>
              <w:t>Patient must not receive more than 16 weeks of treatment under this restriction.</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0522FB">
            <w:pPr>
              <w:jc w:val="both"/>
              <w:rPr>
                <w:rFonts w:ascii="Arial Narrow" w:hAnsi="Arial Narrow" w:cs="Arial"/>
                <w:b/>
                <w:i/>
                <w:sz w:val="20"/>
                <w:szCs w:val="20"/>
              </w:rPr>
            </w:pPr>
            <w:r w:rsidRPr="001E2A47">
              <w:rPr>
                <w:rFonts w:ascii="Arial Narrow" w:hAnsi="Arial Narrow" w:cs="Arial"/>
                <w:b/>
                <w:i/>
                <w:sz w:val="20"/>
                <w:szCs w:val="20"/>
              </w:rPr>
              <w:t>Population criteria:</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Patient must be aged 18 years or older.</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2C3922">
            <w:pPr>
              <w:jc w:val="both"/>
              <w:rPr>
                <w:rFonts w:ascii="Arial Narrow" w:hAnsi="Arial Narrow" w:cs="Arial"/>
                <w:b/>
                <w:i/>
                <w:sz w:val="20"/>
                <w:szCs w:val="20"/>
              </w:rPr>
            </w:pPr>
            <w:r w:rsidRPr="001E2A47">
              <w:rPr>
                <w:rFonts w:ascii="Arial Narrow" w:hAnsi="Arial Narrow" w:cs="Arial"/>
                <w:b/>
                <w:i/>
                <w:sz w:val="20"/>
                <w:szCs w:val="20"/>
              </w:rPr>
              <w:t>Prescriber Instructions</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The authority application must be made in writing or online and must include the following (or electronic equivalent):</w:t>
            </w:r>
          </w:p>
          <w:p w:rsidR="00724B47" w:rsidRPr="001E2A47" w:rsidRDefault="00724B47" w:rsidP="00BD0C22">
            <w:pPr>
              <w:pStyle w:val="Tabletext0"/>
              <w:rPr>
                <w:i/>
              </w:rPr>
            </w:pPr>
            <w:r w:rsidRPr="001E2A47">
              <w:rPr>
                <w:i/>
              </w:rPr>
              <w:t>•</w:t>
            </w:r>
            <w:r w:rsidRPr="001E2A47">
              <w:rPr>
                <w:i/>
              </w:rPr>
              <w:tab/>
              <w:t>a completed authority prescription form; and</w:t>
            </w:r>
          </w:p>
          <w:p w:rsidR="00724B47" w:rsidRPr="001E2A47" w:rsidRDefault="00724B47" w:rsidP="00BD0C22">
            <w:pPr>
              <w:pStyle w:val="Tabletext0"/>
              <w:rPr>
                <w:i/>
              </w:rPr>
            </w:pPr>
            <w:r w:rsidRPr="001E2A47">
              <w:rPr>
                <w:i/>
              </w:rPr>
              <w:t>•</w:t>
            </w:r>
            <w:r w:rsidRPr="001E2A47">
              <w:rPr>
                <w:i/>
              </w:rPr>
              <w:tab/>
              <w:t xml:space="preserve">a completed Rheumatoid Arthritis PBS Authority Application - Supporting Information Form; and </w:t>
            </w:r>
          </w:p>
          <w:p w:rsidR="00724B47" w:rsidRPr="001E2A47" w:rsidRDefault="00724B47" w:rsidP="00BD0C22">
            <w:pPr>
              <w:pStyle w:val="Tabletext0"/>
              <w:rPr>
                <w:i/>
              </w:rPr>
            </w:pPr>
            <w:r w:rsidRPr="001E2A47">
              <w:rPr>
                <w:i/>
              </w:rPr>
              <w:t>•</w:t>
            </w:r>
            <w:r w:rsidRPr="001E2A47">
              <w:rPr>
                <w:i/>
              </w:rPr>
              <w:tab/>
            </w:r>
            <w:proofErr w:type="gramStart"/>
            <w:r w:rsidRPr="001E2A47">
              <w:rPr>
                <w:i/>
              </w:rPr>
              <w:t>a</w:t>
            </w:r>
            <w:proofErr w:type="gramEnd"/>
            <w:r w:rsidRPr="001E2A47">
              <w:rPr>
                <w:i/>
              </w:rPr>
              <w:t xml:space="preserve"> signed patient acknowledgement.</w:t>
            </w:r>
          </w:p>
          <w:p w:rsidR="00724B47" w:rsidRPr="001E2A47" w:rsidRDefault="00724B47" w:rsidP="00BD0C22">
            <w:pPr>
              <w:pStyle w:val="Tabletext0"/>
              <w:rPr>
                <w:i/>
              </w:rPr>
            </w:pPr>
          </w:p>
          <w:p w:rsidR="00724B47" w:rsidRPr="001E2A47" w:rsidRDefault="00724B47" w:rsidP="00BD0C22">
            <w:pPr>
              <w:pStyle w:val="Tabletext0"/>
              <w:rPr>
                <w:i/>
              </w:rPr>
            </w:pPr>
            <w:r w:rsidRPr="001E2A47">
              <w:rPr>
                <w:i/>
              </w:rPr>
              <w:t xml:space="preserve">All applications for treatment with this drug for this condition under this restriction must include baseline joint count and ESR and/or CRP as determined at the completion of a 6 month intensive DMARD trial but prior to ceasing DMARD therapy. </w:t>
            </w:r>
          </w:p>
          <w:p w:rsidR="00724B47" w:rsidRPr="001E2A47" w:rsidRDefault="00724B47" w:rsidP="00BD0C22">
            <w:pPr>
              <w:pStyle w:val="Tabletext0"/>
              <w:rPr>
                <w:i/>
              </w:rPr>
            </w:pPr>
            <w:r w:rsidRPr="001E2A47">
              <w:rPr>
                <w:i/>
              </w:rPr>
              <w:t xml:space="preserve">If the requirement to demonstrate an elevated ESR or CRP cannot be met, the application must state the reasons why this criterion cannot be satisfied. </w:t>
            </w:r>
          </w:p>
          <w:p w:rsidR="00724B47" w:rsidRPr="001E2A47" w:rsidRDefault="00724B47" w:rsidP="00BD0C22">
            <w:pPr>
              <w:pStyle w:val="Tabletext0"/>
              <w:rPr>
                <w:i/>
              </w:rPr>
            </w:pPr>
            <w:r w:rsidRPr="001E2A47">
              <w:rPr>
                <w:i/>
              </w:rPr>
              <w:t>A patient may qualify for PBS-subsidised treatment under this restriction once only.</w:t>
            </w:r>
          </w:p>
        </w:tc>
      </w:tr>
      <w:tr w:rsidR="00724B47" w:rsidRPr="00260CE3" w:rsidTr="002C3922">
        <w:tblPrEx>
          <w:tblCellMar>
            <w:left w:w="108" w:type="dxa"/>
            <w:right w:w="108" w:type="dxa"/>
          </w:tblCellMar>
        </w:tblPrEx>
        <w:trPr>
          <w:gridBefore w:val="1"/>
          <w:wBefore w:w="17" w:type="pct"/>
          <w:cantSplit/>
          <w:trHeight w:val="360"/>
        </w:trPr>
        <w:tc>
          <w:tcPr>
            <w:tcW w:w="1534" w:type="pct"/>
            <w:tcBorders>
              <w:top w:val="single" w:sz="4" w:space="0" w:color="auto"/>
              <w:left w:val="single" w:sz="4" w:space="0" w:color="auto"/>
              <w:bottom w:val="single" w:sz="4" w:space="0" w:color="auto"/>
              <w:right w:val="single" w:sz="4" w:space="0" w:color="auto"/>
            </w:tcBorders>
          </w:tcPr>
          <w:p w:rsidR="00724B47" w:rsidRPr="001E2A47" w:rsidRDefault="00724B47" w:rsidP="000522FB">
            <w:pPr>
              <w:jc w:val="both"/>
              <w:rPr>
                <w:rFonts w:ascii="Arial Narrow" w:hAnsi="Arial Narrow" w:cs="Arial"/>
                <w:b/>
                <w:i/>
                <w:sz w:val="20"/>
                <w:szCs w:val="20"/>
              </w:rPr>
            </w:pPr>
            <w:r w:rsidRPr="001E2A47">
              <w:rPr>
                <w:rFonts w:ascii="Arial Narrow" w:hAnsi="Arial Narrow" w:cs="Arial"/>
                <w:b/>
                <w:i/>
                <w:sz w:val="20"/>
                <w:szCs w:val="20"/>
              </w:rPr>
              <w:lastRenderedPageBreak/>
              <w:t>Administrative Advice</w:t>
            </w:r>
          </w:p>
          <w:p w:rsidR="00724B47" w:rsidRPr="001E2A47" w:rsidRDefault="00724B47" w:rsidP="002C3922">
            <w:pPr>
              <w:jc w:val="both"/>
              <w:rPr>
                <w:rFonts w:ascii="Arial Narrow" w:hAnsi="Arial Narrow" w:cs="Arial"/>
                <w:b/>
                <w:i/>
                <w:sz w:val="20"/>
                <w:szCs w:val="20"/>
              </w:rPr>
            </w:pPr>
            <w:r w:rsidRPr="001E2A47">
              <w:rPr>
                <w:rFonts w:ascii="Arial Narrow" w:hAnsi="Arial Narrow" w:cs="Arial"/>
                <w:b/>
                <w:i/>
                <w:sz w:val="20"/>
                <w:szCs w:val="20"/>
              </w:rPr>
              <w:t>(not included in LI)</w:t>
            </w:r>
          </w:p>
        </w:tc>
        <w:tc>
          <w:tcPr>
            <w:tcW w:w="3450" w:type="pct"/>
            <w:gridSpan w:val="6"/>
            <w:tcBorders>
              <w:top w:val="single" w:sz="4" w:space="0" w:color="auto"/>
              <w:left w:val="single" w:sz="4" w:space="0" w:color="auto"/>
              <w:bottom w:val="single" w:sz="4" w:space="0" w:color="auto"/>
              <w:right w:val="single" w:sz="4" w:space="0" w:color="auto"/>
            </w:tcBorders>
          </w:tcPr>
          <w:p w:rsidR="00724B47" w:rsidRPr="001E2A47" w:rsidRDefault="00724B47" w:rsidP="00BD0C22">
            <w:pPr>
              <w:pStyle w:val="Tabletext0"/>
              <w:rPr>
                <w:i/>
              </w:rPr>
            </w:pPr>
            <w:r w:rsidRPr="001E2A47">
              <w:rPr>
                <w:i/>
              </w:rPr>
              <w:t>Note:</w:t>
            </w:r>
          </w:p>
          <w:p w:rsidR="00724B47" w:rsidRPr="001E2A47" w:rsidRDefault="00724B47" w:rsidP="00BD0C22">
            <w:pPr>
              <w:pStyle w:val="Tabletext0"/>
              <w:rPr>
                <w:i/>
              </w:rPr>
            </w:pPr>
            <w:r w:rsidRPr="001E2A47">
              <w:rPr>
                <w:i/>
              </w:rPr>
              <w:t>Any queries concerning the arrangements to prescribe may be directed to the Department of Human Services on 1800 700 270 (hours of operation 8 a.m. to 5 p.m. EST Monday to Friday).</w:t>
            </w:r>
          </w:p>
          <w:p w:rsidR="00724B47" w:rsidRPr="001E2A47" w:rsidRDefault="00724B47" w:rsidP="00BD0C22">
            <w:pPr>
              <w:pStyle w:val="Tabletext0"/>
              <w:rPr>
                <w:i/>
              </w:rPr>
            </w:pPr>
            <w:r w:rsidRPr="001E2A47">
              <w:rPr>
                <w:i/>
              </w:rPr>
              <w:t>Prescribing information (including Authority Application forms and other relevant documentation as applicable) is available on the Department of Human Services website at www.humanservices.gov.au.</w:t>
            </w:r>
          </w:p>
          <w:p w:rsidR="00724B47" w:rsidRPr="001E2A47" w:rsidRDefault="00724B47" w:rsidP="00BD0C22">
            <w:pPr>
              <w:pStyle w:val="Tabletext0"/>
              <w:rPr>
                <w:i/>
              </w:rPr>
            </w:pPr>
            <w:r w:rsidRPr="001E2A47">
              <w:rPr>
                <w:i/>
              </w:rPr>
              <w:t>Applications for authority to prescribe should be forwarded to:</w:t>
            </w:r>
          </w:p>
          <w:p w:rsidR="00724B47" w:rsidRPr="001E2A47" w:rsidRDefault="00724B47" w:rsidP="00BD0C22">
            <w:pPr>
              <w:pStyle w:val="Tabletext0"/>
              <w:rPr>
                <w:i/>
              </w:rPr>
            </w:pPr>
            <w:r w:rsidRPr="001E2A47">
              <w:rPr>
                <w:i/>
              </w:rPr>
              <w:t>Department of Human Services</w:t>
            </w:r>
          </w:p>
          <w:p w:rsidR="00724B47" w:rsidRPr="001E2A47" w:rsidRDefault="00724B47" w:rsidP="00BD0C22">
            <w:pPr>
              <w:pStyle w:val="Tabletext0"/>
              <w:rPr>
                <w:i/>
              </w:rPr>
            </w:pPr>
            <w:r w:rsidRPr="001E2A47">
              <w:rPr>
                <w:i/>
              </w:rPr>
              <w:t>Prior Written Approval of Complex Drugs</w:t>
            </w:r>
          </w:p>
          <w:p w:rsidR="00724B47" w:rsidRPr="001E2A47" w:rsidRDefault="00724B47" w:rsidP="00BD0C22">
            <w:pPr>
              <w:pStyle w:val="Tabletext0"/>
              <w:rPr>
                <w:i/>
              </w:rPr>
            </w:pPr>
            <w:r w:rsidRPr="001E2A47">
              <w:rPr>
                <w:i/>
              </w:rPr>
              <w:t>Reply Paid 9826</w:t>
            </w:r>
          </w:p>
          <w:p w:rsidR="00724B47" w:rsidRPr="001E2A47" w:rsidRDefault="00724B47" w:rsidP="00BD0C22">
            <w:pPr>
              <w:pStyle w:val="Tabletext0"/>
              <w:rPr>
                <w:i/>
              </w:rPr>
            </w:pPr>
            <w:r w:rsidRPr="001E2A47">
              <w:rPr>
                <w:i/>
              </w:rPr>
              <w:t>HOBART TAS 7001</w:t>
            </w:r>
          </w:p>
        </w:tc>
      </w:tr>
    </w:tbl>
    <w:p w:rsidR="00724B47" w:rsidRPr="00DC1376" w:rsidRDefault="00724B47" w:rsidP="002C3922">
      <w:pPr>
        <w:spacing w:before="0" w:after="0"/>
        <w:jc w:val="both"/>
      </w:pPr>
    </w:p>
    <w:p w:rsidR="00391804" w:rsidRPr="00DC1376" w:rsidRDefault="00F06FFA" w:rsidP="005E290D">
      <w:pPr>
        <w:pStyle w:val="ListParagraph"/>
        <w:numPr>
          <w:ilvl w:val="1"/>
          <w:numId w:val="1"/>
        </w:numPr>
        <w:spacing w:before="0" w:after="120"/>
        <w:jc w:val="both"/>
      </w:pPr>
      <w:r w:rsidRPr="00DC1376">
        <w:t>The recommended dose of baricitinib is 4</w:t>
      </w:r>
      <w:r w:rsidR="002C3922">
        <w:t> </w:t>
      </w:r>
      <w:r w:rsidRPr="00DC1376">
        <w:t xml:space="preserve">mg daily, administered as a single tablet once daily. The recommended dose of baricitinib in patients taking </w:t>
      </w:r>
      <w:r w:rsidR="00CB7EAC" w:rsidRPr="00DC1376">
        <w:t>organic anion transporter 3 (OAT3)</w:t>
      </w:r>
      <w:r w:rsidRPr="00DC1376">
        <w:t xml:space="preserve"> inhibitors with a strong inhibition potential, such as probenecid, is 2</w:t>
      </w:r>
      <w:r w:rsidR="002C3922">
        <w:t> </w:t>
      </w:r>
      <w:r w:rsidRPr="00DC1376">
        <w:t>mg once daily</w:t>
      </w:r>
      <w:r w:rsidR="002C3922">
        <w:t>.</w:t>
      </w:r>
    </w:p>
    <w:p w:rsidR="00391804" w:rsidRPr="00DC1376" w:rsidRDefault="00BC476F" w:rsidP="005E290D">
      <w:pPr>
        <w:pStyle w:val="ListParagraph"/>
        <w:numPr>
          <w:ilvl w:val="1"/>
          <w:numId w:val="1"/>
        </w:numPr>
        <w:spacing w:before="0" w:after="120"/>
        <w:jc w:val="both"/>
      </w:pPr>
      <w:r w:rsidRPr="00DC1376">
        <w:t xml:space="preserve">The submission </w:t>
      </w:r>
      <w:r w:rsidR="002C3922">
        <w:t xml:space="preserve">requested </w:t>
      </w:r>
      <w:r w:rsidRPr="00DC1376">
        <w:t xml:space="preserve">a special pricing arrangement that would maintain the list price at the same level as that of the published DPMQ for </w:t>
      </w:r>
      <w:proofErr w:type="spellStart"/>
      <w:r w:rsidRPr="00DC1376">
        <w:t>tofacitinib</w:t>
      </w:r>
      <w:proofErr w:type="spellEnd"/>
      <w:r w:rsidRPr="00DC1376">
        <w:t xml:space="preserve"> ($</w:t>
      </w:r>
      <w:r w:rsidR="006D0B68">
        <w:rPr>
          <w:noProof/>
          <w:color w:val="000000"/>
          <w:highlight w:val="black"/>
        </w:rPr>
        <w:t>''''''''''''''''' '''' '''''''''''''''''''' ''''''''''</w:t>
      </w:r>
      <w:r w:rsidRPr="00DC1376">
        <w:t xml:space="preserve">). The submission did not request a specific effective price, noting that the comparators’ effective prices were not available to the </w:t>
      </w:r>
      <w:r w:rsidR="003B11C0" w:rsidRPr="00DC1376">
        <w:t>s</w:t>
      </w:r>
      <w:r w:rsidRPr="00DC1376">
        <w:t xml:space="preserve">ponsor. </w:t>
      </w:r>
      <w:r w:rsidR="00391804" w:rsidRPr="00DC1376">
        <w:t>The submission recognised that the effective price for baricitinib would be revealed post-PBAC, pending recommendation, and would reflect the price considered cost-effective with reference to the comparator’s effective pri</w:t>
      </w:r>
      <w:r w:rsidR="002C3922">
        <w:t>ce, which is currently unknown.</w:t>
      </w:r>
    </w:p>
    <w:p w:rsidR="00454265" w:rsidRDefault="00391804" w:rsidP="005E290D">
      <w:pPr>
        <w:pStyle w:val="ListParagraph"/>
        <w:numPr>
          <w:ilvl w:val="1"/>
          <w:numId w:val="1"/>
        </w:numPr>
        <w:spacing w:before="0" w:after="120"/>
        <w:jc w:val="both"/>
      </w:pPr>
      <w:r w:rsidRPr="004C0090">
        <w:t xml:space="preserve">The submission stated that the </w:t>
      </w:r>
      <w:r w:rsidR="003B11C0" w:rsidRPr="004C0090">
        <w:t>s</w:t>
      </w:r>
      <w:r w:rsidRPr="004C0090">
        <w:t xml:space="preserve">ponsor intended to request the PBAC-approved RA indication specific price for </w:t>
      </w:r>
      <w:proofErr w:type="spellStart"/>
      <w:r w:rsidRPr="004C0090">
        <w:t>bDMARDs</w:t>
      </w:r>
      <w:proofErr w:type="spellEnd"/>
      <w:r w:rsidRPr="004C0090">
        <w:t xml:space="preserve"> prior to application of the F1 5% reduction on 1</w:t>
      </w:r>
      <w:r w:rsidR="000A1CBE" w:rsidRPr="004C0090">
        <w:t> </w:t>
      </w:r>
      <w:r w:rsidRPr="004C0090">
        <w:t>April 201</w:t>
      </w:r>
      <w:r w:rsidR="00F76B91" w:rsidRPr="004C0090">
        <w:t>7</w:t>
      </w:r>
      <w:r w:rsidRPr="004C0090">
        <w:t xml:space="preserve">. </w:t>
      </w:r>
      <w:r w:rsidR="00F76B91" w:rsidRPr="002A219F">
        <w:t>T</w:t>
      </w:r>
      <w:r w:rsidRPr="00DB1A68">
        <w:t xml:space="preserve">he DPMQs of adalimumab and </w:t>
      </w:r>
      <w:proofErr w:type="spellStart"/>
      <w:r w:rsidRPr="00DB1A68">
        <w:t>tofacitinib</w:t>
      </w:r>
      <w:proofErr w:type="spellEnd"/>
      <w:r w:rsidRPr="00DB1A68">
        <w:t xml:space="preserve"> were updated after November 201</w:t>
      </w:r>
      <w:r w:rsidR="00F76B91" w:rsidRPr="004C0090">
        <w:t>6 ($1,401.30 and $1,266.87, respectively at May 2017). T</w:t>
      </w:r>
      <w:r w:rsidRPr="004C0090">
        <w:t xml:space="preserve">he published prices no longer appear to reflect this 5% difference, </w:t>
      </w:r>
      <w:r w:rsidR="00F76B91" w:rsidRPr="004C0090">
        <w:t xml:space="preserve">thus </w:t>
      </w:r>
      <w:r w:rsidRPr="004C0090">
        <w:t xml:space="preserve">it was unclear whether requested price </w:t>
      </w:r>
      <w:r w:rsidR="00F76B91" w:rsidRPr="004C0090">
        <w:t xml:space="preserve">for baricitinib </w:t>
      </w:r>
      <w:r w:rsidRPr="004C0090">
        <w:t xml:space="preserve">would stay consistent with November 2016 prices or updated prices. </w:t>
      </w:r>
      <w:r w:rsidR="000A1CBE" w:rsidRPr="007C3458">
        <w:t>The PSCR (p3) stated that the effective price for baricitinib w</w:t>
      </w:r>
      <w:r w:rsidR="002C3922">
        <w:t>ould</w:t>
      </w:r>
      <w:r w:rsidR="000A1CBE" w:rsidRPr="007C3458">
        <w:t xml:space="preserve"> be the price considered cost-effective with reference to the comparator’s effective price</w:t>
      </w:r>
      <w:r w:rsidR="009756DA" w:rsidRPr="007C3458">
        <w:t>.</w:t>
      </w:r>
    </w:p>
    <w:p w:rsidR="00947DE3" w:rsidRDefault="00947DE3" w:rsidP="005E290D">
      <w:pPr>
        <w:pStyle w:val="ListParagraph"/>
        <w:numPr>
          <w:ilvl w:val="1"/>
          <w:numId w:val="1"/>
        </w:numPr>
        <w:spacing w:before="0" w:after="120"/>
        <w:jc w:val="both"/>
      </w:pPr>
      <w:r>
        <w:t xml:space="preserve">In </w:t>
      </w:r>
      <w:r w:rsidR="002C3922">
        <w:t>its</w:t>
      </w:r>
      <w:r>
        <w:t xml:space="preserve"> </w:t>
      </w:r>
      <w:r w:rsidR="005524C9">
        <w:t xml:space="preserve">pre-PBAC Response - </w:t>
      </w:r>
      <w:r>
        <w:t xml:space="preserve">noting the </w:t>
      </w:r>
      <w:r w:rsidR="005524C9">
        <w:t>ESC advice</w:t>
      </w:r>
      <w:r w:rsidRPr="00872353">
        <w:t xml:space="preserve"> that all </w:t>
      </w:r>
      <w:proofErr w:type="spellStart"/>
      <w:r w:rsidRPr="00872353">
        <w:t>bDMARDs</w:t>
      </w:r>
      <w:proofErr w:type="spellEnd"/>
      <w:r w:rsidRPr="00872353">
        <w:t xml:space="preserve"> have the same effective ex-manufacturer price for RA</w:t>
      </w:r>
      <w:r>
        <w:t xml:space="preserve"> </w:t>
      </w:r>
      <w:r w:rsidR="005524C9">
        <w:t xml:space="preserve">– the sponsor re-iterated </w:t>
      </w:r>
      <w:r w:rsidR="002C3922">
        <w:t>its</w:t>
      </w:r>
      <w:r w:rsidR="005524C9">
        <w:t xml:space="preserve"> intention to request price-parity to </w:t>
      </w:r>
      <w:proofErr w:type="spellStart"/>
      <w:r w:rsidR="005524C9">
        <w:t>tofacitinib</w:t>
      </w:r>
      <w:proofErr w:type="spellEnd"/>
      <w:r w:rsidR="005524C9">
        <w:t>. The</w:t>
      </w:r>
      <w:r w:rsidR="002C3922">
        <w:t xml:space="preserve"> pre-PBAC response</w:t>
      </w:r>
      <w:r w:rsidR="005524C9">
        <w:t xml:space="preserve"> further stated that this removed the need for a cost utility analysis; as a cost-minimisation to </w:t>
      </w:r>
      <w:proofErr w:type="spellStart"/>
      <w:r w:rsidR="005524C9">
        <w:t>tofacitinib</w:t>
      </w:r>
      <w:proofErr w:type="spellEnd"/>
      <w:r w:rsidR="005524C9">
        <w:t>, performed on a per p</w:t>
      </w:r>
      <w:r w:rsidR="002C3922">
        <w:t>ack basis, would be sufficient.</w:t>
      </w:r>
    </w:p>
    <w:p w:rsidR="00403840" w:rsidRDefault="00403840" w:rsidP="005249D1">
      <w:pPr>
        <w:pStyle w:val="Heading1"/>
        <w:numPr>
          <w:ilvl w:val="0"/>
          <w:numId w:val="13"/>
        </w:numPr>
      </w:pPr>
      <w:r>
        <w:t>Background</w:t>
      </w:r>
    </w:p>
    <w:p w:rsidR="00B048E4" w:rsidRPr="00257D4F" w:rsidRDefault="00DC1376" w:rsidP="005E290D">
      <w:pPr>
        <w:pStyle w:val="ListParagraph"/>
        <w:numPr>
          <w:ilvl w:val="1"/>
          <w:numId w:val="1"/>
        </w:numPr>
        <w:spacing w:before="0" w:after="120"/>
        <w:jc w:val="both"/>
      </w:pPr>
      <w:r w:rsidRPr="00BD0C22">
        <w:t xml:space="preserve">TGA status at time of </w:t>
      </w:r>
      <w:r w:rsidR="00C4224F">
        <w:t>PBAC consideration</w:t>
      </w:r>
      <w:r>
        <w:t xml:space="preserve">: </w:t>
      </w:r>
      <w:r w:rsidR="00C317F3" w:rsidRPr="00DC1376">
        <w:t>The submission was made un</w:t>
      </w:r>
      <w:r w:rsidR="00CA54CE" w:rsidRPr="00DC1376">
        <w:t xml:space="preserve">der TGA/PBAC Parallel Process. </w:t>
      </w:r>
      <w:r w:rsidR="00C317F3" w:rsidRPr="00DC1376">
        <w:t xml:space="preserve">At the time of </w:t>
      </w:r>
      <w:r w:rsidR="00D7291D">
        <w:t>PBAC</w:t>
      </w:r>
      <w:r w:rsidR="00D7291D" w:rsidRPr="00C4224F">
        <w:t xml:space="preserve"> </w:t>
      </w:r>
      <w:r w:rsidR="000A1CBE" w:rsidRPr="00C4224F">
        <w:t>advice</w:t>
      </w:r>
      <w:r w:rsidR="003004EF" w:rsidRPr="00DC1376">
        <w:t xml:space="preserve">, the first round TGA </w:t>
      </w:r>
      <w:r w:rsidR="002C3922">
        <w:t xml:space="preserve">clinical </w:t>
      </w:r>
      <w:r w:rsidR="003004EF" w:rsidRPr="00DC1376">
        <w:t xml:space="preserve">evaluator’s report was </w:t>
      </w:r>
      <w:r w:rsidR="00C317F3" w:rsidRPr="00DC1376">
        <w:t>available</w:t>
      </w:r>
      <w:r w:rsidR="002C3922">
        <w:t>, but</w:t>
      </w:r>
      <w:r w:rsidR="000C495A">
        <w:t xml:space="preserve"> the TGA delegate’s overview was not available. </w:t>
      </w:r>
      <w:r w:rsidR="00AE7FA6" w:rsidRPr="007C3458">
        <w:t xml:space="preserve">The </w:t>
      </w:r>
      <w:r w:rsidR="00D7291D">
        <w:t xml:space="preserve">PBAC </w:t>
      </w:r>
      <w:r w:rsidR="00AE7FA6" w:rsidRPr="007C3458">
        <w:t xml:space="preserve">noted that </w:t>
      </w:r>
      <w:r w:rsidR="00AA4F40" w:rsidRPr="007C3458">
        <w:t>baricitinib</w:t>
      </w:r>
      <w:r w:rsidR="00AE7FA6" w:rsidRPr="007C3458">
        <w:t xml:space="preserve"> </w:t>
      </w:r>
      <w:r w:rsidR="00CA0730" w:rsidRPr="007C3458">
        <w:t>has been</w:t>
      </w:r>
      <w:r w:rsidR="00AE7FA6" w:rsidRPr="007C3458">
        <w:t xml:space="preserve"> approved by EMA and that the FDA Complete Response Letter on April 14th 2017 indicated that additional clinical data are needed to determine the most appropriate doses and to further characteri</w:t>
      </w:r>
      <w:r w:rsidR="00B048E4">
        <w:t>s</w:t>
      </w:r>
      <w:r w:rsidR="00AE7FA6" w:rsidRPr="007C3458">
        <w:t>e safety concerns.</w:t>
      </w:r>
    </w:p>
    <w:p w:rsidR="00410570" w:rsidRPr="002C3922" w:rsidRDefault="00B048E4" w:rsidP="005E290D">
      <w:pPr>
        <w:pStyle w:val="ListParagraph"/>
        <w:numPr>
          <w:ilvl w:val="1"/>
          <w:numId w:val="1"/>
        </w:numPr>
        <w:spacing w:before="0" w:after="120"/>
        <w:jc w:val="both"/>
      </w:pPr>
      <w:r w:rsidRPr="002C3922">
        <w:rPr>
          <w:rFonts w:cs="Segoe UI"/>
          <w:lang w:val="en"/>
        </w:rPr>
        <w:t>The pre-PBAC Response provided a</w:t>
      </w:r>
      <w:r w:rsidR="009A0C76" w:rsidRPr="002C3922">
        <w:rPr>
          <w:rFonts w:cs="Segoe UI"/>
          <w:lang w:val="en"/>
        </w:rPr>
        <w:t xml:space="preserve">n update on the </w:t>
      </w:r>
      <w:r w:rsidR="00410570" w:rsidRPr="002C3922">
        <w:rPr>
          <w:rFonts w:cs="Segoe UI"/>
          <w:lang w:val="en"/>
        </w:rPr>
        <w:t xml:space="preserve">progress of </w:t>
      </w:r>
      <w:r w:rsidR="009A0C76" w:rsidRPr="002C3922">
        <w:rPr>
          <w:rFonts w:cs="Segoe UI"/>
          <w:lang w:val="en"/>
        </w:rPr>
        <w:t xml:space="preserve">the </w:t>
      </w:r>
      <w:r w:rsidR="00410570" w:rsidRPr="002C3922">
        <w:rPr>
          <w:rFonts w:cs="Segoe UI"/>
          <w:lang w:val="en"/>
        </w:rPr>
        <w:t>TGA application for registration.</w:t>
      </w:r>
      <w:r w:rsidR="009A0C76" w:rsidRPr="002C3922">
        <w:rPr>
          <w:rFonts w:cs="Segoe UI"/>
          <w:lang w:val="en"/>
        </w:rPr>
        <w:t xml:space="preserve"> The sponsor noted that the evaluation timeline was extended to allow for additional requests for information from the TGA</w:t>
      </w:r>
      <w:r w:rsidR="00D7291D" w:rsidRPr="002C3922">
        <w:rPr>
          <w:rFonts w:cs="Segoe UI"/>
          <w:lang w:val="en"/>
        </w:rPr>
        <w:t xml:space="preserve"> – which have been provided</w:t>
      </w:r>
      <w:r w:rsidR="009A0C76" w:rsidRPr="002C3922">
        <w:rPr>
          <w:rFonts w:cs="Segoe UI"/>
          <w:lang w:val="en"/>
        </w:rPr>
        <w:t>.</w:t>
      </w:r>
      <w:r w:rsidR="00D7291D" w:rsidRPr="002C3922">
        <w:rPr>
          <w:rFonts w:cs="Segoe UI"/>
          <w:lang w:val="en"/>
        </w:rPr>
        <w:t xml:space="preserve"> It noted that the delegate’s decision was anticipated to be received by mid-September 2017.</w:t>
      </w:r>
    </w:p>
    <w:p w:rsidR="00B96501" w:rsidRPr="00DC1376" w:rsidRDefault="00566F5A" w:rsidP="005E290D">
      <w:pPr>
        <w:pStyle w:val="ListParagraph"/>
        <w:numPr>
          <w:ilvl w:val="1"/>
          <w:numId w:val="1"/>
        </w:numPr>
        <w:spacing w:before="0" w:after="120"/>
        <w:jc w:val="both"/>
      </w:pPr>
      <w:r w:rsidRPr="00DC1376">
        <w:t xml:space="preserve">Baricitinib </w:t>
      </w:r>
      <w:r w:rsidR="00CA54CE" w:rsidRPr="00DC1376">
        <w:t xml:space="preserve">has </w:t>
      </w:r>
      <w:r w:rsidRPr="00DC1376">
        <w:t xml:space="preserve">not </w:t>
      </w:r>
      <w:r w:rsidR="00CA54CE" w:rsidRPr="00DC1376">
        <w:t xml:space="preserve">been previously </w:t>
      </w:r>
      <w:r w:rsidR="002C3922">
        <w:t>considered by the PBAC.</w:t>
      </w:r>
    </w:p>
    <w:p w:rsidR="00B96501" w:rsidRPr="00DC1376" w:rsidRDefault="00566F5A" w:rsidP="005E290D">
      <w:pPr>
        <w:pStyle w:val="ListParagraph"/>
        <w:numPr>
          <w:ilvl w:val="1"/>
          <w:numId w:val="1"/>
        </w:numPr>
        <w:spacing w:before="0" w:after="120"/>
        <w:jc w:val="both"/>
      </w:pPr>
      <w:r w:rsidRPr="00DC1376">
        <w:t xml:space="preserve">Several </w:t>
      </w:r>
      <w:proofErr w:type="spellStart"/>
      <w:r w:rsidR="00A463CF" w:rsidRPr="00DC1376">
        <w:t>b</w:t>
      </w:r>
      <w:r w:rsidRPr="00DC1376">
        <w:t>DMARDs</w:t>
      </w:r>
      <w:proofErr w:type="spellEnd"/>
      <w:r w:rsidRPr="00DC1376">
        <w:t xml:space="preserve"> </w:t>
      </w:r>
      <w:r w:rsidR="00CA54CE" w:rsidRPr="00DC1376">
        <w:t>are</w:t>
      </w:r>
      <w:r w:rsidRPr="00DC1376">
        <w:t xml:space="preserve"> listed</w:t>
      </w:r>
      <w:r w:rsidR="00CA54CE" w:rsidRPr="00DC1376">
        <w:t xml:space="preserve"> on the PBS for treatment of RA,</w:t>
      </w:r>
      <w:r w:rsidRPr="00DC1376">
        <w:t xml:space="preserve"> including </w:t>
      </w:r>
      <w:proofErr w:type="spellStart"/>
      <w:r w:rsidRPr="00DC1376">
        <w:t>abatacept</w:t>
      </w:r>
      <w:proofErr w:type="spellEnd"/>
      <w:r w:rsidRPr="00DC1376">
        <w:t xml:space="preserve"> </w:t>
      </w:r>
      <w:proofErr w:type="spellStart"/>
      <w:r w:rsidRPr="00DC1376">
        <w:t>certolizumab</w:t>
      </w:r>
      <w:proofErr w:type="spellEnd"/>
      <w:r w:rsidR="00A4392A" w:rsidRPr="00DC1376">
        <w:t xml:space="preserve"> </w:t>
      </w:r>
      <w:proofErr w:type="spellStart"/>
      <w:r w:rsidR="00A4392A" w:rsidRPr="00DC1376">
        <w:t>peg</w:t>
      </w:r>
      <w:r w:rsidR="00A463CF" w:rsidRPr="00DC1376">
        <w:t>ol</w:t>
      </w:r>
      <w:proofErr w:type="spellEnd"/>
      <w:r w:rsidRPr="00DC1376">
        <w:t xml:space="preserve">, </w:t>
      </w:r>
      <w:proofErr w:type="spellStart"/>
      <w:r w:rsidRPr="00DC1376">
        <w:t>golimumab</w:t>
      </w:r>
      <w:proofErr w:type="spellEnd"/>
      <w:r w:rsidRPr="00DC1376">
        <w:t xml:space="preserve">, adalimumab, </w:t>
      </w:r>
      <w:proofErr w:type="spellStart"/>
      <w:r w:rsidRPr="00DC1376">
        <w:t>etanercept</w:t>
      </w:r>
      <w:proofErr w:type="spellEnd"/>
      <w:r w:rsidRPr="00DC1376">
        <w:t xml:space="preserve">, infliximab, and rituximab. </w:t>
      </w:r>
      <w:proofErr w:type="spellStart"/>
      <w:r w:rsidRPr="00DC1376">
        <w:t>Tofacitinib</w:t>
      </w:r>
      <w:proofErr w:type="spellEnd"/>
      <w:r w:rsidRPr="00DC1376">
        <w:t xml:space="preserve">, a JAK inhibitor, </w:t>
      </w:r>
      <w:r w:rsidR="00D462CF" w:rsidRPr="00DC1376">
        <w:t xml:space="preserve">is </w:t>
      </w:r>
      <w:r w:rsidRPr="00DC1376">
        <w:t xml:space="preserve">the only PBS-listed </w:t>
      </w:r>
      <w:r w:rsidR="00CA54CE" w:rsidRPr="00DC1376">
        <w:t xml:space="preserve">pharmacological </w:t>
      </w:r>
      <w:r w:rsidRPr="00DC1376">
        <w:t xml:space="preserve">analogue to baricitinib. </w:t>
      </w:r>
      <w:r w:rsidR="00410570">
        <w:t xml:space="preserve">The PBAC noted </w:t>
      </w:r>
      <w:r w:rsidR="00D301C4">
        <w:t>that</w:t>
      </w:r>
      <w:r w:rsidR="002C3922">
        <w:t>,</w:t>
      </w:r>
      <w:r w:rsidR="00D301C4">
        <w:t xml:space="preserve"> </w:t>
      </w:r>
      <w:r w:rsidR="00410570">
        <w:t>w</w:t>
      </w:r>
      <w:r w:rsidR="00B96501" w:rsidRPr="00DC1376">
        <w:t xml:space="preserve">ith the exception of </w:t>
      </w:r>
      <w:proofErr w:type="spellStart"/>
      <w:r w:rsidR="00B96501" w:rsidRPr="00DC1376">
        <w:t>etanercept</w:t>
      </w:r>
      <w:proofErr w:type="spellEnd"/>
      <w:r w:rsidR="00B96501" w:rsidRPr="00DC1376">
        <w:t xml:space="preserve"> (the first </w:t>
      </w:r>
      <w:proofErr w:type="spellStart"/>
      <w:r w:rsidR="00B96501" w:rsidRPr="00DC1376">
        <w:t>bDMARD</w:t>
      </w:r>
      <w:proofErr w:type="spellEnd"/>
      <w:r w:rsidR="00B96501" w:rsidRPr="00DC1376">
        <w:t xml:space="preserve"> PBS-listed for the treatment of RA), all subsequent </w:t>
      </w:r>
      <w:proofErr w:type="spellStart"/>
      <w:r w:rsidR="00B96501" w:rsidRPr="00DC1376">
        <w:t>bDMARDs</w:t>
      </w:r>
      <w:proofErr w:type="spellEnd"/>
      <w:r w:rsidR="00B96501" w:rsidRPr="00DC1376">
        <w:t xml:space="preserve"> have been listed on a cost-minimisation basis.</w:t>
      </w:r>
    </w:p>
    <w:p w:rsidR="00C317F3" w:rsidRDefault="00566F5A" w:rsidP="005E290D">
      <w:pPr>
        <w:pStyle w:val="ListParagraph"/>
        <w:numPr>
          <w:ilvl w:val="1"/>
          <w:numId w:val="1"/>
        </w:numPr>
        <w:spacing w:before="0" w:after="120"/>
        <w:jc w:val="both"/>
      </w:pPr>
      <w:r w:rsidRPr="00DC1376">
        <w:t xml:space="preserve">The submission noted that </w:t>
      </w:r>
      <w:r w:rsidR="008A020B" w:rsidRPr="00DC1376">
        <w:t>baricitinib</w:t>
      </w:r>
      <w:r w:rsidRPr="00DC1376">
        <w:t xml:space="preserve"> and </w:t>
      </w:r>
      <w:proofErr w:type="spellStart"/>
      <w:r w:rsidRPr="00DC1376">
        <w:t>tofacitinib</w:t>
      </w:r>
      <w:proofErr w:type="spellEnd"/>
      <w:r w:rsidRPr="00DC1376">
        <w:t xml:space="preserve"> </w:t>
      </w:r>
      <w:r w:rsidR="00D462CF" w:rsidRPr="00DC1376">
        <w:t xml:space="preserve">are </w:t>
      </w:r>
      <w:r w:rsidRPr="00DC1376">
        <w:t xml:space="preserve">technically targeted synthetic DMARDs as opposed to </w:t>
      </w:r>
      <w:proofErr w:type="spellStart"/>
      <w:r w:rsidR="00FF75B7" w:rsidRPr="00DC1376">
        <w:t>b</w:t>
      </w:r>
      <w:r w:rsidRPr="00DC1376">
        <w:t>DMARDs</w:t>
      </w:r>
      <w:proofErr w:type="spellEnd"/>
      <w:r w:rsidRPr="00DC1376">
        <w:t xml:space="preserve">. </w:t>
      </w:r>
      <w:r w:rsidR="00CA54CE" w:rsidRPr="00DC1376">
        <w:t>As</w:t>
      </w:r>
      <w:r w:rsidRPr="00DC1376">
        <w:t xml:space="preserve"> no difference</w:t>
      </w:r>
      <w:r w:rsidR="00CA54CE" w:rsidRPr="00DC1376">
        <w:t>s</w:t>
      </w:r>
      <w:r w:rsidRPr="00DC1376">
        <w:t xml:space="preserve"> in PBS restrictions </w:t>
      </w:r>
      <w:r w:rsidR="00D462CF" w:rsidRPr="00DC1376">
        <w:t xml:space="preserve">are </w:t>
      </w:r>
      <w:r w:rsidRPr="00DC1376">
        <w:t xml:space="preserve">based on this distinction, for concision, unless otherwise specified, </w:t>
      </w:r>
      <w:proofErr w:type="spellStart"/>
      <w:r w:rsidRPr="00DC1376">
        <w:t>tofacitinib</w:t>
      </w:r>
      <w:proofErr w:type="spellEnd"/>
      <w:r w:rsidRPr="00DC1376">
        <w:t xml:space="preserve"> and </w:t>
      </w:r>
      <w:r w:rsidR="008A020B" w:rsidRPr="00DC1376">
        <w:t>baricitinib</w:t>
      </w:r>
      <w:r w:rsidRPr="00DC1376">
        <w:t xml:space="preserve"> </w:t>
      </w:r>
      <w:r w:rsidR="00C45F2F" w:rsidRPr="00DC1376">
        <w:t xml:space="preserve">are </w:t>
      </w:r>
      <w:r w:rsidRPr="00DC1376">
        <w:t xml:space="preserve">referred to as </w:t>
      </w:r>
      <w:proofErr w:type="spellStart"/>
      <w:r w:rsidR="00FF75B7" w:rsidRPr="00DC1376">
        <w:t>b</w:t>
      </w:r>
      <w:r w:rsidRPr="00DC1376">
        <w:t>DMARDs</w:t>
      </w:r>
      <w:proofErr w:type="spellEnd"/>
      <w:r w:rsidR="00CA54CE" w:rsidRPr="00DC1376">
        <w:t>.</w:t>
      </w:r>
    </w:p>
    <w:p w:rsidR="00403840" w:rsidRDefault="00403840" w:rsidP="005249D1">
      <w:pPr>
        <w:pStyle w:val="Heading1"/>
        <w:numPr>
          <w:ilvl w:val="0"/>
          <w:numId w:val="13"/>
        </w:numPr>
      </w:pPr>
      <w:r>
        <w:t>P</w:t>
      </w:r>
      <w:r w:rsidR="005E290D">
        <w:t>opulation and disease</w:t>
      </w:r>
    </w:p>
    <w:p w:rsidR="00C317F3" w:rsidRPr="00DC1376" w:rsidRDefault="00566F5A" w:rsidP="00596651">
      <w:pPr>
        <w:pStyle w:val="ListParagraph"/>
        <w:numPr>
          <w:ilvl w:val="1"/>
          <w:numId w:val="1"/>
        </w:numPr>
        <w:spacing w:before="0" w:after="120"/>
        <w:jc w:val="both"/>
      </w:pPr>
      <w:r w:rsidRPr="00DC1376">
        <w:t>RA is an autoimmune disease that causes pain</w:t>
      </w:r>
      <w:r w:rsidR="007B1A4A">
        <w:t>ful</w:t>
      </w:r>
      <w:r w:rsidRPr="00DC1376">
        <w:t xml:space="preserve"> inflammation in the lining of joi</w:t>
      </w:r>
      <w:r w:rsidR="00596651">
        <w:t>nts and surrounding structures.</w:t>
      </w:r>
    </w:p>
    <w:p w:rsidR="00C317F3" w:rsidRDefault="00566F5A" w:rsidP="005E290D">
      <w:pPr>
        <w:pStyle w:val="ListParagraph"/>
        <w:numPr>
          <w:ilvl w:val="1"/>
          <w:numId w:val="1"/>
        </w:numPr>
        <w:spacing w:before="0" w:after="120"/>
        <w:jc w:val="both"/>
      </w:pPr>
      <w:r w:rsidRPr="00DC1376">
        <w:t>The submission indicated that b</w:t>
      </w:r>
      <w:r w:rsidR="008A020B" w:rsidRPr="00DC1376">
        <w:t>aricitinib is intended to be us</w:t>
      </w:r>
      <w:r w:rsidRPr="00DC1376">
        <w:t>ed following inadequate response to a non-biologic DMARD, consistent with the current rest</w:t>
      </w:r>
      <w:r w:rsidR="00596651">
        <w:t>rictions for biological DMARDs.</w:t>
      </w:r>
    </w:p>
    <w:p w:rsidR="00C317F3" w:rsidRPr="00DC1376" w:rsidRDefault="00C317F3" w:rsidP="005249D1">
      <w:pPr>
        <w:pStyle w:val="Heading1"/>
        <w:numPr>
          <w:ilvl w:val="0"/>
          <w:numId w:val="13"/>
        </w:numPr>
      </w:pPr>
      <w:bookmarkStart w:id="4" w:name="_Toc413139275"/>
      <w:bookmarkStart w:id="5" w:name="_Toc482024928"/>
      <w:r w:rsidRPr="00DC1376">
        <w:t>Comparator</w:t>
      </w:r>
      <w:bookmarkEnd w:id="4"/>
      <w:bookmarkEnd w:id="5"/>
    </w:p>
    <w:p w:rsidR="0095170D" w:rsidRPr="00DC1376" w:rsidRDefault="008A020B" w:rsidP="005E290D">
      <w:pPr>
        <w:pStyle w:val="ListParagraph"/>
        <w:numPr>
          <w:ilvl w:val="1"/>
          <w:numId w:val="1"/>
        </w:numPr>
        <w:jc w:val="both"/>
        <w:rPr>
          <w:lang w:val="en-GB"/>
        </w:rPr>
      </w:pPr>
      <w:r w:rsidRPr="00DC1376">
        <w:t xml:space="preserve">The submission nominated </w:t>
      </w:r>
      <w:r w:rsidR="00FF75B7" w:rsidRPr="00DC1376">
        <w:t>a</w:t>
      </w:r>
      <w:r w:rsidRPr="00DC1376">
        <w:t xml:space="preserve">dalimumab as the main comparator on the basis that adalimumab was the most commonly prescribed </w:t>
      </w:r>
      <w:proofErr w:type="spellStart"/>
      <w:r w:rsidR="00CA54CE" w:rsidRPr="00DC1376">
        <w:t>b</w:t>
      </w:r>
      <w:r w:rsidRPr="00DC1376">
        <w:t>DMARD</w:t>
      </w:r>
      <w:proofErr w:type="spellEnd"/>
      <w:r w:rsidRPr="00DC1376">
        <w:t xml:space="preserve"> in Australia and consequently t</w:t>
      </w:r>
      <w:r w:rsidR="00CA54CE" w:rsidRPr="00DC1376">
        <w:t xml:space="preserve">he most likely to be replaced. </w:t>
      </w:r>
      <w:r w:rsidRPr="00DC1376">
        <w:t xml:space="preserve">The submission also nominated </w:t>
      </w:r>
      <w:proofErr w:type="spellStart"/>
      <w:r w:rsidRPr="00DC1376">
        <w:t>tofacitinib</w:t>
      </w:r>
      <w:proofErr w:type="spellEnd"/>
      <w:r w:rsidRPr="00DC1376">
        <w:t xml:space="preserve"> as a supplementary comparator given that it is </w:t>
      </w:r>
      <w:r w:rsidR="00CA54CE" w:rsidRPr="00DC1376">
        <w:t>the only PBS-</w:t>
      </w:r>
      <w:r w:rsidRPr="00DC1376">
        <w:t>listed pharma</w:t>
      </w:r>
      <w:r w:rsidR="00CA54CE" w:rsidRPr="00DC1376">
        <w:t>cological</w:t>
      </w:r>
      <w:r w:rsidRPr="00DC1376">
        <w:t xml:space="preserve"> analogue</w:t>
      </w:r>
      <w:r w:rsidR="00CA54CE" w:rsidRPr="00DC1376">
        <w:t xml:space="preserve"> to baricitinib</w:t>
      </w:r>
      <w:r w:rsidR="00765390" w:rsidRPr="00DC1376">
        <w:t>, but did not make a clinical claim against it</w:t>
      </w:r>
      <w:r w:rsidRPr="00DC1376">
        <w:t xml:space="preserve">. Though these are both appropriate comparators, any </w:t>
      </w:r>
      <w:proofErr w:type="spellStart"/>
      <w:r w:rsidR="00765390" w:rsidRPr="00DC1376">
        <w:t>b</w:t>
      </w:r>
      <w:r w:rsidRPr="00DC1376">
        <w:t>DMARD</w:t>
      </w:r>
      <w:proofErr w:type="spellEnd"/>
      <w:r w:rsidRPr="00DC1376">
        <w:t xml:space="preserve"> </w:t>
      </w:r>
      <w:r w:rsidR="00CA54CE" w:rsidRPr="00DC1376">
        <w:t>PBS-listed for the treatment of RA represented relevant</w:t>
      </w:r>
      <w:r w:rsidRPr="00DC1376">
        <w:t xml:space="preserve"> comparator</w:t>
      </w:r>
      <w:r w:rsidR="00CA54CE" w:rsidRPr="00DC1376">
        <w:t>s</w:t>
      </w:r>
      <w:r w:rsidR="00596651">
        <w:t>.</w:t>
      </w:r>
    </w:p>
    <w:p w:rsidR="00BC23CA" w:rsidRPr="007C3458" w:rsidRDefault="00BC23CA" w:rsidP="00596651">
      <w:pPr>
        <w:pStyle w:val="ListParagraph"/>
        <w:numPr>
          <w:ilvl w:val="1"/>
          <w:numId w:val="1"/>
        </w:numPr>
        <w:jc w:val="both"/>
        <w:rPr>
          <w:iCs/>
          <w:lang w:val="en-GB"/>
        </w:rPr>
      </w:pPr>
      <w:r w:rsidRPr="007C3458">
        <w:rPr>
          <w:iCs/>
          <w:lang w:val="en-GB"/>
        </w:rPr>
        <w:t xml:space="preserve">The ESC noted the Department’s advice that all </w:t>
      </w:r>
      <w:proofErr w:type="spellStart"/>
      <w:r w:rsidRPr="007C3458">
        <w:rPr>
          <w:iCs/>
          <w:lang w:val="en-GB"/>
        </w:rPr>
        <w:t>bDMARDs</w:t>
      </w:r>
      <w:proofErr w:type="spellEnd"/>
      <w:r w:rsidRPr="007C3458">
        <w:rPr>
          <w:iCs/>
          <w:lang w:val="en-GB"/>
        </w:rPr>
        <w:t xml:space="preserve"> have had the same effective ex-manufacturer price for RA (taking into account dosage relativities and dosing regimens) since 1 April 2017 as the result of the application of reference pricing following the listing of tocilizumab </w:t>
      </w:r>
      <w:r w:rsidR="007B1A4A" w:rsidRPr="007C3458">
        <w:rPr>
          <w:iCs/>
          <w:lang w:val="en-GB"/>
        </w:rPr>
        <w:t>subcutaneous injections</w:t>
      </w:r>
      <w:r w:rsidR="00596651">
        <w:rPr>
          <w:iCs/>
          <w:lang w:val="en-GB"/>
        </w:rPr>
        <w:t xml:space="preserve"> with a lower price.</w:t>
      </w:r>
    </w:p>
    <w:p w:rsidR="00004959" w:rsidRPr="00257D4F" w:rsidRDefault="009277B4" w:rsidP="005E290D">
      <w:pPr>
        <w:pStyle w:val="ListParagraph"/>
        <w:numPr>
          <w:ilvl w:val="1"/>
          <w:numId w:val="1"/>
        </w:numPr>
        <w:jc w:val="both"/>
        <w:rPr>
          <w:lang w:val="en-GB"/>
        </w:rPr>
      </w:pPr>
      <w:r w:rsidRPr="007C3458">
        <w:t xml:space="preserve">The ESC noted that the market leader </w:t>
      </w:r>
      <w:r w:rsidR="00F4027C" w:rsidRPr="007C3458">
        <w:t xml:space="preserve">is generally only used </w:t>
      </w:r>
      <w:r w:rsidRPr="007C3458">
        <w:t xml:space="preserve">as </w:t>
      </w:r>
      <w:r w:rsidR="00F4027C" w:rsidRPr="007C3458">
        <w:t xml:space="preserve">a </w:t>
      </w:r>
      <w:r w:rsidRPr="007C3458">
        <w:t>comparator if there is a good reason to exclude pharmacological analogue</w:t>
      </w:r>
      <w:r w:rsidR="00BC23CA" w:rsidRPr="007C3458">
        <w:t xml:space="preserve"> or the l</w:t>
      </w:r>
      <w:r w:rsidR="007B1A4A" w:rsidRPr="007C3458">
        <w:t>e</w:t>
      </w:r>
      <w:r w:rsidR="00BC23CA" w:rsidRPr="007C3458">
        <w:t>ast expensive alternative therapy</w:t>
      </w:r>
      <w:r w:rsidR="00F4027C" w:rsidRPr="007C3458">
        <w:t>,</w:t>
      </w:r>
      <w:r w:rsidR="00B57154" w:rsidRPr="007C3458">
        <w:rPr>
          <w:iCs/>
          <w:lang w:val="en-GB"/>
        </w:rPr>
        <w:t xml:space="preserve"> </w:t>
      </w:r>
      <w:r w:rsidRPr="007C3458">
        <w:rPr>
          <w:iCs/>
          <w:lang w:val="en-GB"/>
        </w:rPr>
        <w:t>and</w:t>
      </w:r>
      <w:r w:rsidR="00B57154" w:rsidRPr="007C3458">
        <w:rPr>
          <w:iCs/>
          <w:lang w:val="en-GB"/>
        </w:rPr>
        <w:t xml:space="preserve"> </w:t>
      </w:r>
      <w:r w:rsidR="000A1CBE" w:rsidRPr="007C3458">
        <w:rPr>
          <w:iCs/>
          <w:lang w:val="en-GB"/>
        </w:rPr>
        <w:t xml:space="preserve">considered that the submission did not adequately justify excluding </w:t>
      </w:r>
      <w:r w:rsidRPr="007C3458">
        <w:rPr>
          <w:szCs w:val="24"/>
        </w:rPr>
        <w:t>the pharmacological analogue</w:t>
      </w:r>
      <w:r w:rsidR="00F4027C" w:rsidRPr="007C3458">
        <w:rPr>
          <w:szCs w:val="24"/>
        </w:rPr>
        <w:t>,</w:t>
      </w:r>
      <w:r w:rsidRPr="007C3458">
        <w:rPr>
          <w:szCs w:val="24"/>
        </w:rPr>
        <w:t xml:space="preserve"> </w:t>
      </w:r>
      <w:proofErr w:type="spellStart"/>
      <w:r w:rsidR="000A1CBE" w:rsidRPr="007C3458">
        <w:rPr>
          <w:szCs w:val="24"/>
        </w:rPr>
        <w:t>t</w:t>
      </w:r>
      <w:r w:rsidR="006A2A6A" w:rsidRPr="007C3458">
        <w:rPr>
          <w:szCs w:val="24"/>
        </w:rPr>
        <w:t>ofacitinib</w:t>
      </w:r>
      <w:proofErr w:type="spellEnd"/>
      <w:r w:rsidR="00F4027C" w:rsidRPr="007C3458">
        <w:rPr>
          <w:szCs w:val="24"/>
        </w:rPr>
        <w:t>,</w:t>
      </w:r>
      <w:r w:rsidR="006A2A6A" w:rsidRPr="007C3458">
        <w:rPr>
          <w:szCs w:val="24"/>
        </w:rPr>
        <w:t xml:space="preserve"> </w:t>
      </w:r>
      <w:r w:rsidR="000A1CBE" w:rsidRPr="007C3458">
        <w:rPr>
          <w:szCs w:val="24"/>
        </w:rPr>
        <w:t>as a comparator</w:t>
      </w:r>
      <w:r w:rsidR="006A2A6A" w:rsidRPr="007C3458">
        <w:rPr>
          <w:szCs w:val="24"/>
        </w:rPr>
        <w:t>.</w:t>
      </w:r>
    </w:p>
    <w:p w:rsidR="00696BB8" w:rsidRPr="00257D4F" w:rsidRDefault="00F2431E" w:rsidP="00F2431E">
      <w:pPr>
        <w:pStyle w:val="ListParagraph"/>
        <w:numPr>
          <w:ilvl w:val="1"/>
          <w:numId w:val="1"/>
        </w:numPr>
        <w:jc w:val="both"/>
        <w:rPr>
          <w:lang w:val="en-GB"/>
        </w:rPr>
      </w:pPr>
      <w:r>
        <w:rPr>
          <w:lang w:val="en-GB"/>
        </w:rPr>
        <w:t xml:space="preserve"> In </w:t>
      </w:r>
      <w:r w:rsidR="00596651">
        <w:rPr>
          <w:lang w:val="en-GB"/>
        </w:rPr>
        <w:t>its</w:t>
      </w:r>
      <w:r w:rsidR="00004959">
        <w:rPr>
          <w:lang w:val="en-GB"/>
        </w:rPr>
        <w:t xml:space="preserve"> pre-PBAC response</w:t>
      </w:r>
      <w:r w:rsidR="00596651">
        <w:rPr>
          <w:lang w:val="en-GB"/>
        </w:rPr>
        <w:t>,</w:t>
      </w:r>
      <w:r w:rsidR="00004959">
        <w:rPr>
          <w:lang w:val="en-GB"/>
        </w:rPr>
        <w:t xml:space="preserve"> the sponsor agree</w:t>
      </w:r>
      <w:r>
        <w:rPr>
          <w:lang w:val="en-GB"/>
        </w:rPr>
        <w:t>d</w:t>
      </w:r>
      <w:r w:rsidR="00004959">
        <w:rPr>
          <w:lang w:val="en-GB"/>
        </w:rPr>
        <w:t xml:space="preserve"> that </w:t>
      </w:r>
      <w:proofErr w:type="spellStart"/>
      <w:r w:rsidR="00004959">
        <w:rPr>
          <w:lang w:val="en-GB"/>
        </w:rPr>
        <w:t>tofacitinib</w:t>
      </w:r>
      <w:proofErr w:type="spellEnd"/>
      <w:r w:rsidR="00004959">
        <w:rPr>
          <w:lang w:val="en-GB"/>
        </w:rPr>
        <w:t xml:space="preserve"> is a relevant comparator </w:t>
      </w:r>
      <w:r>
        <w:rPr>
          <w:lang w:val="en-GB"/>
        </w:rPr>
        <w:t>as</w:t>
      </w:r>
      <w:r w:rsidR="00004959">
        <w:rPr>
          <w:lang w:val="en-GB"/>
        </w:rPr>
        <w:t xml:space="preserve"> both medicines belong to the same therapeutic class.</w:t>
      </w:r>
      <w:r>
        <w:rPr>
          <w:lang w:val="en-GB"/>
        </w:rPr>
        <w:t xml:space="preserve"> Further, </w:t>
      </w:r>
      <w:r w:rsidR="00596651">
        <w:rPr>
          <w:lang w:val="en-GB"/>
        </w:rPr>
        <w:t>it</w:t>
      </w:r>
      <w:r>
        <w:rPr>
          <w:lang w:val="en-GB"/>
        </w:rPr>
        <w:t xml:space="preserve"> stated that </w:t>
      </w:r>
      <w:r w:rsidR="00004959" w:rsidRPr="00F2431E">
        <w:rPr>
          <w:szCs w:val="24"/>
        </w:rPr>
        <w:t>if</w:t>
      </w:r>
      <w:r w:rsidR="00596651">
        <w:rPr>
          <w:szCs w:val="24"/>
        </w:rPr>
        <w:t>,</w:t>
      </w:r>
      <w:r w:rsidR="00004959" w:rsidRPr="00F2431E">
        <w:rPr>
          <w:szCs w:val="24"/>
        </w:rPr>
        <w:t xml:space="preserve"> the PBAC agree</w:t>
      </w:r>
      <w:r>
        <w:rPr>
          <w:szCs w:val="24"/>
        </w:rPr>
        <w:t>d</w:t>
      </w:r>
      <w:r w:rsidR="00004959" w:rsidRPr="00F2431E">
        <w:rPr>
          <w:szCs w:val="24"/>
        </w:rPr>
        <w:t xml:space="preserve"> with </w:t>
      </w:r>
      <w:r>
        <w:rPr>
          <w:szCs w:val="24"/>
        </w:rPr>
        <w:t>ESC</w:t>
      </w:r>
      <w:r w:rsidR="00004959" w:rsidRPr="00F2431E">
        <w:rPr>
          <w:szCs w:val="24"/>
        </w:rPr>
        <w:t xml:space="preserve"> that </w:t>
      </w:r>
      <w:proofErr w:type="spellStart"/>
      <w:r w:rsidR="00004959" w:rsidRPr="00F2431E">
        <w:rPr>
          <w:szCs w:val="24"/>
        </w:rPr>
        <w:t>tofacitinib</w:t>
      </w:r>
      <w:proofErr w:type="spellEnd"/>
      <w:r w:rsidR="00004959" w:rsidRPr="00F2431E">
        <w:rPr>
          <w:szCs w:val="24"/>
        </w:rPr>
        <w:t xml:space="preserve"> is </w:t>
      </w:r>
      <w:r>
        <w:rPr>
          <w:szCs w:val="24"/>
        </w:rPr>
        <w:t xml:space="preserve">a </w:t>
      </w:r>
      <w:r w:rsidR="00004959" w:rsidRPr="00F2431E">
        <w:rPr>
          <w:szCs w:val="24"/>
        </w:rPr>
        <w:t xml:space="preserve">more appropriate comparator than adalimumab, </w:t>
      </w:r>
      <w:proofErr w:type="gramStart"/>
      <w:r w:rsidR="00004959" w:rsidRPr="00F2431E">
        <w:rPr>
          <w:szCs w:val="24"/>
        </w:rPr>
        <w:t>then</w:t>
      </w:r>
      <w:proofErr w:type="gramEnd"/>
      <w:r w:rsidR="00004959" w:rsidRPr="00F2431E">
        <w:rPr>
          <w:szCs w:val="24"/>
        </w:rPr>
        <w:t xml:space="preserve"> </w:t>
      </w:r>
      <w:r w:rsidR="00596651">
        <w:rPr>
          <w:szCs w:val="24"/>
        </w:rPr>
        <w:t>it would</w:t>
      </w:r>
      <w:r w:rsidR="00004959" w:rsidRPr="00F2431E">
        <w:rPr>
          <w:szCs w:val="24"/>
        </w:rPr>
        <w:t xml:space="preserve"> agree that a cost-minimisation to </w:t>
      </w:r>
      <w:proofErr w:type="spellStart"/>
      <w:r w:rsidR="00004959" w:rsidRPr="00F2431E">
        <w:rPr>
          <w:szCs w:val="24"/>
        </w:rPr>
        <w:t>tofacitinib</w:t>
      </w:r>
      <w:proofErr w:type="spellEnd"/>
      <w:r w:rsidR="00004959" w:rsidRPr="00F2431E">
        <w:rPr>
          <w:szCs w:val="24"/>
        </w:rPr>
        <w:t xml:space="preserve"> is a reasonable approach based on the current body of evidence.</w:t>
      </w:r>
    </w:p>
    <w:p w:rsidR="00696BB8" w:rsidRDefault="00696BB8" w:rsidP="00B918B4">
      <w:pPr>
        <w:pStyle w:val="ListParagraph"/>
        <w:numPr>
          <w:ilvl w:val="1"/>
          <w:numId w:val="1"/>
        </w:numPr>
        <w:jc w:val="both"/>
      </w:pPr>
      <w:r>
        <w:t xml:space="preserve">The PBAC considered that any of the currently PBS listed </w:t>
      </w:r>
      <w:proofErr w:type="spellStart"/>
      <w:r>
        <w:t>bDMARDs</w:t>
      </w:r>
      <w:proofErr w:type="spellEnd"/>
      <w:r>
        <w:t xml:space="preserve"> could be an appropriate </w:t>
      </w:r>
      <w:r w:rsidR="00B918B4">
        <w:t>alternative therapy</w:t>
      </w:r>
      <w:r w:rsidR="00C57358">
        <w:t>.</w:t>
      </w:r>
    </w:p>
    <w:p w:rsidR="00403840" w:rsidRPr="006A2A6A" w:rsidRDefault="00403840" w:rsidP="00403840">
      <w:pPr>
        <w:pStyle w:val="ListParagraph"/>
        <w:ind w:left="576"/>
        <w:jc w:val="both"/>
        <w:rPr>
          <w:lang w:val="en-GB"/>
        </w:rPr>
      </w:pPr>
      <w:r w:rsidRPr="00DF6290">
        <w:rPr>
          <w:rFonts w:ascii="Calibri" w:eastAsia="Times New Roman" w:hAnsi="Calibri" w:cs="Times New Roman"/>
          <w:i/>
          <w:szCs w:val="24"/>
        </w:rPr>
        <w:t>For more detail on PBAC’s view, see section 7 “PBAC outcome.”</w:t>
      </w:r>
    </w:p>
    <w:p w:rsidR="00C317F3" w:rsidRDefault="00C317F3" w:rsidP="005249D1">
      <w:pPr>
        <w:pStyle w:val="Heading1"/>
        <w:numPr>
          <w:ilvl w:val="0"/>
          <w:numId w:val="13"/>
        </w:numPr>
      </w:pPr>
      <w:bookmarkStart w:id="6" w:name="_Toc413139276"/>
      <w:bookmarkStart w:id="7" w:name="_Toc482024929"/>
      <w:r w:rsidRPr="00DC1376">
        <w:t>Consideration of the evidence</w:t>
      </w:r>
      <w:bookmarkEnd w:id="6"/>
      <w:bookmarkEnd w:id="7"/>
    </w:p>
    <w:p w:rsidR="00403840" w:rsidRDefault="001F5881" w:rsidP="00403840">
      <w:pPr>
        <w:pStyle w:val="Heading2"/>
      </w:pPr>
      <w:r>
        <w:t>Sponsor hearing</w:t>
      </w:r>
    </w:p>
    <w:p w:rsidR="00403840" w:rsidRPr="00403840" w:rsidRDefault="00403840" w:rsidP="005E290D">
      <w:pPr>
        <w:pStyle w:val="ListParagraph"/>
        <w:numPr>
          <w:ilvl w:val="1"/>
          <w:numId w:val="1"/>
        </w:numPr>
        <w:spacing w:before="0" w:after="120"/>
        <w:jc w:val="both"/>
      </w:pPr>
      <w:r>
        <w:t>The</w:t>
      </w:r>
      <w:r w:rsidR="001F5881">
        <w:t>re was no hearing for this item.</w:t>
      </w:r>
    </w:p>
    <w:p w:rsidR="00403840" w:rsidRPr="00436E07" w:rsidRDefault="001F5881" w:rsidP="00403840">
      <w:pPr>
        <w:pStyle w:val="Heading2"/>
      </w:pPr>
      <w:r>
        <w:t>Consumer comments</w:t>
      </w:r>
    </w:p>
    <w:p w:rsidR="004A4E35" w:rsidRPr="004A4E35" w:rsidRDefault="004A4E35" w:rsidP="001F5881">
      <w:pPr>
        <w:pStyle w:val="ListParagraph"/>
        <w:numPr>
          <w:ilvl w:val="1"/>
          <w:numId w:val="1"/>
        </w:numPr>
        <w:jc w:val="both"/>
      </w:pPr>
      <w:r w:rsidRPr="004A4E35">
        <w:t>The PBAC noted and welco</w:t>
      </w:r>
      <w:r>
        <w:t>med the input from the organisation</w:t>
      </w:r>
      <w:r w:rsidRPr="004A4E35">
        <w:t>, ‘</w:t>
      </w:r>
      <w:r>
        <w:t xml:space="preserve">Creaky Joints Australia’, a Health Professional and individuals (21) </w:t>
      </w:r>
      <w:r w:rsidRPr="004A4E35">
        <w:t xml:space="preserve">via the Consumer Comments facility on the PBS website. The comments noted support for availability of this drug </w:t>
      </w:r>
      <w:r w:rsidR="00C63C19">
        <w:t xml:space="preserve">and described a range of potential benefits of treatment, including: the availability of an alternate treatment option for those patients who have disease progression or significant adverse reactions to current medication and the availability of an oral treatment which was viewed as preferable to injections and </w:t>
      </w:r>
      <w:r w:rsidR="0073607B" w:rsidRPr="0073607B">
        <w:t>avoid</w:t>
      </w:r>
      <w:r w:rsidR="00C63C19">
        <w:t>s</w:t>
      </w:r>
      <w:r w:rsidR="0073607B" w:rsidRPr="0073607B">
        <w:t xml:space="preserve"> </w:t>
      </w:r>
      <w:r w:rsidR="00C63C19">
        <w:t xml:space="preserve">the </w:t>
      </w:r>
      <w:r w:rsidR="0073607B" w:rsidRPr="0073607B">
        <w:t>complexities of cold chain management and storage of medications in a fridge.</w:t>
      </w:r>
      <w:r w:rsidR="0073607B" w:rsidRPr="004A4E35">
        <w:t xml:space="preserve"> The</w:t>
      </w:r>
      <w:r w:rsidRPr="004A4E35">
        <w:t xml:space="preserve"> PBAC noted that this advice was supportive of the evidence provided in the submission.</w:t>
      </w:r>
    </w:p>
    <w:p w:rsidR="00C317F3" w:rsidRPr="00436E07" w:rsidRDefault="00C317F3" w:rsidP="0095170D">
      <w:pPr>
        <w:pStyle w:val="Heading2"/>
      </w:pPr>
      <w:bookmarkStart w:id="8" w:name="_Toc413139277"/>
      <w:bookmarkStart w:id="9" w:name="_Toc482024930"/>
      <w:r w:rsidRPr="00436E07">
        <w:t>Clinical trials</w:t>
      </w:r>
      <w:bookmarkEnd w:id="8"/>
      <w:bookmarkEnd w:id="9"/>
    </w:p>
    <w:p w:rsidR="00C317F3" w:rsidRPr="00DC1376" w:rsidRDefault="00432442" w:rsidP="005E290D">
      <w:pPr>
        <w:pStyle w:val="ListParagraph"/>
        <w:numPr>
          <w:ilvl w:val="1"/>
          <w:numId w:val="1"/>
        </w:numPr>
        <w:spacing w:before="0" w:after="120"/>
        <w:jc w:val="both"/>
      </w:pPr>
      <w:r w:rsidRPr="00DC1376">
        <w:t xml:space="preserve">The submission is based on one head-to-head trial comparing baricitinib to placebo and to adalimumab (JADV: </w:t>
      </w:r>
      <w:r w:rsidR="0011367B" w:rsidRPr="00DC1376">
        <w:t>N</w:t>
      </w:r>
      <w:r w:rsidRPr="00DC1376">
        <w:t xml:space="preserve"> = </w:t>
      </w:r>
      <w:r w:rsidR="0011367B" w:rsidRPr="00DC1376">
        <w:t>1,307</w:t>
      </w:r>
      <w:r w:rsidRPr="00DC1376">
        <w:t xml:space="preserve">). Four other </w:t>
      </w:r>
      <w:r w:rsidR="00CA54CE" w:rsidRPr="00DC1376">
        <w:t>placebo-controlled tr</w:t>
      </w:r>
      <w:r w:rsidR="001F5881">
        <w:t>i</w:t>
      </w:r>
      <w:r w:rsidR="00CA54CE" w:rsidRPr="00DC1376">
        <w:t xml:space="preserve">als </w:t>
      </w:r>
      <w:r w:rsidRPr="00DC1376">
        <w:t>were us</w:t>
      </w:r>
      <w:r w:rsidR="00CA54CE" w:rsidRPr="00DC1376">
        <w:t>ed as supplementary evidence t</w:t>
      </w:r>
      <w:r w:rsidRPr="00DC1376">
        <w:t>o provide data regarding to u</w:t>
      </w:r>
      <w:r w:rsidR="0011367B" w:rsidRPr="00DC1376">
        <w:t xml:space="preserve">se of baricitinib in </w:t>
      </w:r>
      <w:r w:rsidR="00CA54CE" w:rsidRPr="00DC1376">
        <w:t>(</w:t>
      </w:r>
      <w:proofErr w:type="spellStart"/>
      <w:r w:rsidR="00CA54CE" w:rsidRPr="00DC1376">
        <w:t>i</w:t>
      </w:r>
      <w:proofErr w:type="spellEnd"/>
      <w:r w:rsidR="00CA54CE" w:rsidRPr="00DC1376">
        <w:t xml:space="preserve">) </w:t>
      </w:r>
      <w:r w:rsidR="0011367B" w:rsidRPr="00DC1376">
        <w:t xml:space="preserve">the </w:t>
      </w:r>
      <w:proofErr w:type="spellStart"/>
      <w:r w:rsidR="0011367B" w:rsidRPr="00DC1376">
        <w:t>bDMARD</w:t>
      </w:r>
      <w:proofErr w:type="spellEnd"/>
      <w:r w:rsidR="0011367B" w:rsidRPr="00DC1376">
        <w:t xml:space="preserve"> intolerant or refractory</w:t>
      </w:r>
      <w:r w:rsidRPr="00DC1376">
        <w:t xml:space="preserve"> population (JADW); </w:t>
      </w:r>
      <w:r w:rsidR="00CA54CE" w:rsidRPr="00DC1376">
        <w:t xml:space="preserve">(ii) </w:t>
      </w:r>
      <w:r w:rsidRPr="00DC1376">
        <w:t xml:space="preserve">use of baricitinib with a broader range of concomitant DMARDs including no background </w:t>
      </w:r>
      <w:proofErr w:type="spellStart"/>
      <w:r w:rsidRPr="00DC1376">
        <w:t>cDMARD</w:t>
      </w:r>
      <w:proofErr w:type="spellEnd"/>
      <w:r w:rsidRPr="00DC1376">
        <w:t xml:space="preserve"> (JADX and JADZ) and </w:t>
      </w:r>
      <w:r w:rsidR="00CA54CE" w:rsidRPr="00DC1376">
        <w:t xml:space="preserve">(iii) </w:t>
      </w:r>
      <w:r w:rsidRPr="00DC1376">
        <w:t>long term efficacy and safety (JADY).</w:t>
      </w:r>
    </w:p>
    <w:p w:rsidR="008C5C6D" w:rsidRPr="00DC1376" w:rsidRDefault="00C317F3" w:rsidP="005E290D">
      <w:pPr>
        <w:pStyle w:val="ListParagraph"/>
        <w:numPr>
          <w:ilvl w:val="1"/>
          <w:numId w:val="1"/>
        </w:numPr>
        <w:spacing w:before="0" w:after="120"/>
        <w:jc w:val="both"/>
      </w:pPr>
      <w:r w:rsidRPr="00DC1376">
        <w:t xml:space="preserve">Details of the trials presented in the submission are provided in </w:t>
      </w:r>
      <w:r w:rsidR="0065209E" w:rsidRPr="00DC1376">
        <w:t>Table 2</w:t>
      </w:r>
      <w:r w:rsidR="001F5881">
        <w:t>.</w:t>
      </w:r>
    </w:p>
    <w:p w:rsidR="00AE7F95" w:rsidRDefault="00AE7F95" w:rsidP="00AE7F95">
      <w:pPr>
        <w:pStyle w:val="Caption"/>
      </w:pPr>
      <w:r>
        <w:t xml:space="preserve">Table </w:t>
      </w:r>
      <w:r>
        <w:rPr>
          <w:noProof/>
        </w:rPr>
        <w:t>2</w:t>
      </w:r>
      <w:r>
        <w:t xml:space="preserve">: </w:t>
      </w:r>
      <w:r w:rsidRPr="009758AF">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80"/>
        <w:gridCol w:w="5998"/>
        <w:gridCol w:w="1804"/>
      </w:tblGrid>
      <w:tr w:rsidR="00CA54CE" w:rsidRPr="00DC1376" w:rsidTr="00331F8A">
        <w:tc>
          <w:tcPr>
            <w:tcW w:w="705" w:type="pct"/>
          </w:tcPr>
          <w:p w:rsidR="00CA54CE" w:rsidRPr="00DC1376" w:rsidRDefault="00CA54CE" w:rsidP="00331F8A">
            <w:pPr>
              <w:pStyle w:val="TableText"/>
              <w:rPr>
                <w:b/>
              </w:rPr>
            </w:pPr>
            <w:r w:rsidRPr="00DC1376">
              <w:rPr>
                <w:b/>
              </w:rPr>
              <w:t>Trial</w:t>
            </w:r>
          </w:p>
        </w:tc>
        <w:tc>
          <w:tcPr>
            <w:tcW w:w="3302" w:type="pct"/>
            <w:vAlign w:val="center"/>
          </w:tcPr>
          <w:p w:rsidR="00CA54CE" w:rsidRPr="00DC1376" w:rsidRDefault="00CA54CE" w:rsidP="00331F8A">
            <w:pPr>
              <w:pStyle w:val="TableText"/>
              <w:jc w:val="center"/>
              <w:rPr>
                <w:rFonts w:eastAsiaTheme="majorEastAsia" w:cstheme="majorBidi"/>
                <w:b/>
                <w:szCs w:val="28"/>
              </w:rPr>
            </w:pPr>
            <w:r w:rsidRPr="00DC1376">
              <w:rPr>
                <w:b/>
              </w:rPr>
              <w:t>Protocol title/ Publication title</w:t>
            </w:r>
          </w:p>
        </w:tc>
        <w:tc>
          <w:tcPr>
            <w:tcW w:w="993" w:type="pct"/>
            <w:vAlign w:val="center"/>
          </w:tcPr>
          <w:p w:rsidR="00CA54CE" w:rsidRPr="00DC1376" w:rsidRDefault="00CA54CE" w:rsidP="00331F8A">
            <w:pPr>
              <w:pStyle w:val="TableText"/>
              <w:jc w:val="center"/>
              <w:rPr>
                <w:rFonts w:eastAsiaTheme="majorEastAsia" w:cstheme="majorBidi"/>
                <w:b/>
                <w:szCs w:val="28"/>
              </w:rPr>
            </w:pPr>
            <w:r w:rsidRPr="00DC1376">
              <w:rPr>
                <w:b/>
              </w:rPr>
              <w:t>Publication citation</w:t>
            </w:r>
          </w:p>
        </w:tc>
      </w:tr>
      <w:tr w:rsidR="00CA54CE" w:rsidRPr="00DC1376" w:rsidTr="00331F8A">
        <w:tc>
          <w:tcPr>
            <w:tcW w:w="5000" w:type="pct"/>
            <w:gridSpan w:val="3"/>
          </w:tcPr>
          <w:p w:rsidR="00CA54CE" w:rsidRPr="00DC1376" w:rsidRDefault="00CA54CE" w:rsidP="00331F8A">
            <w:pPr>
              <w:pStyle w:val="TableText"/>
              <w:rPr>
                <w:b/>
              </w:rPr>
            </w:pPr>
            <w:r w:rsidRPr="00DC1376">
              <w:rPr>
                <w:b/>
              </w:rPr>
              <w:t>Direct randomised trials</w:t>
            </w:r>
          </w:p>
        </w:tc>
      </w:tr>
      <w:tr w:rsidR="00CA54CE" w:rsidRPr="00DC1376" w:rsidTr="00331F8A">
        <w:trPr>
          <w:trHeight w:val="58"/>
        </w:trPr>
        <w:tc>
          <w:tcPr>
            <w:tcW w:w="705" w:type="pct"/>
            <w:vMerge w:val="restart"/>
          </w:tcPr>
          <w:p w:rsidR="00CA54CE" w:rsidRPr="00DC1376" w:rsidRDefault="00CA54CE" w:rsidP="00331F8A">
            <w:pPr>
              <w:pStyle w:val="TableText"/>
            </w:pPr>
            <w:r w:rsidRPr="00DC1376">
              <w:t xml:space="preserve">JADV </w:t>
            </w:r>
            <w:r w:rsidRPr="00DC1376">
              <w:br/>
              <w:t>(RA-BEAM)</w:t>
            </w:r>
          </w:p>
        </w:tc>
        <w:tc>
          <w:tcPr>
            <w:tcW w:w="3302" w:type="pct"/>
            <w:tcBorders>
              <w:bottom w:val="nil"/>
            </w:tcBorders>
          </w:tcPr>
          <w:p w:rsidR="00CA54CE" w:rsidRPr="00DC1376" w:rsidRDefault="00CA54CE" w:rsidP="00331F8A">
            <w:pPr>
              <w:pStyle w:val="TableText"/>
            </w:pPr>
            <w:r w:rsidRPr="00DC1376">
              <w:t>A Randomised, Double-Blind, Placebo- and Active-Controlled, Phase 3 Study Evaluating the Efficacy and Safety of Baricitinib in Patients with Moderately to Severely Active Rheumatoid Arthritis Who Have Had an Inadequate Response to Methotrexate Therapy. (JADV CSR)</w:t>
            </w:r>
          </w:p>
        </w:tc>
        <w:tc>
          <w:tcPr>
            <w:tcW w:w="993" w:type="pct"/>
            <w:tcBorders>
              <w:bottom w:val="nil"/>
            </w:tcBorders>
          </w:tcPr>
          <w:p w:rsidR="00CA54CE" w:rsidRPr="00DC1376" w:rsidRDefault="00CA54CE" w:rsidP="00331F8A">
            <w:pPr>
              <w:pStyle w:val="TableText"/>
            </w:pPr>
            <w:r w:rsidRPr="00DC1376">
              <w:t>18 Dec 2015</w:t>
            </w:r>
          </w:p>
        </w:tc>
      </w:tr>
      <w:tr w:rsidR="00CA54CE" w:rsidRPr="00DC1376" w:rsidTr="00331F8A">
        <w:trPr>
          <w:trHeight w:val="777"/>
        </w:trPr>
        <w:tc>
          <w:tcPr>
            <w:tcW w:w="705" w:type="pct"/>
            <w:vMerge/>
          </w:tcPr>
          <w:p w:rsidR="00CA54CE" w:rsidRPr="00DC1376" w:rsidRDefault="00CA54CE" w:rsidP="00331F8A">
            <w:pPr>
              <w:pStyle w:val="TableText"/>
            </w:pPr>
          </w:p>
        </w:tc>
        <w:tc>
          <w:tcPr>
            <w:tcW w:w="3302" w:type="pct"/>
            <w:tcBorders>
              <w:top w:val="nil"/>
              <w:bottom w:val="nil"/>
            </w:tcBorders>
          </w:tcPr>
          <w:p w:rsidR="00CA54CE" w:rsidRPr="00DC1376" w:rsidRDefault="00CA54CE" w:rsidP="00331F8A">
            <w:pPr>
              <w:pStyle w:val="TableText"/>
            </w:pPr>
            <w:r w:rsidRPr="00DC1376">
              <w:t xml:space="preserve">Taylor PC, Keystone EC, van der </w:t>
            </w:r>
            <w:proofErr w:type="spellStart"/>
            <w:r w:rsidRPr="00DC1376">
              <w:t>Heijde</w:t>
            </w:r>
            <w:proofErr w:type="spellEnd"/>
            <w:r w:rsidRPr="00DC1376">
              <w:t xml:space="preserve"> D, Tanaka Y, Ishii T, </w:t>
            </w:r>
            <w:proofErr w:type="spellStart"/>
            <w:r w:rsidRPr="00DC1376">
              <w:t>Emoto</w:t>
            </w:r>
            <w:proofErr w:type="spellEnd"/>
            <w:r w:rsidRPr="00DC1376">
              <w:t xml:space="preserve"> K, Yang L, Arora V, </w:t>
            </w:r>
            <w:proofErr w:type="spellStart"/>
            <w:r w:rsidRPr="00DC1376">
              <w:t>Gaich</w:t>
            </w:r>
            <w:proofErr w:type="spellEnd"/>
            <w:r w:rsidRPr="00DC1376">
              <w:t xml:space="preserve"> CL, Rooney T, </w:t>
            </w:r>
            <w:proofErr w:type="spellStart"/>
            <w:r w:rsidRPr="00DC1376">
              <w:t>Schlichting</w:t>
            </w:r>
            <w:proofErr w:type="spellEnd"/>
            <w:r w:rsidRPr="00DC1376">
              <w:t xml:space="preserve"> DE, Macias W, de Bono S, </w:t>
            </w:r>
            <w:proofErr w:type="spellStart"/>
            <w:r w:rsidRPr="00DC1376">
              <w:t>Weinblatt</w:t>
            </w:r>
            <w:proofErr w:type="spellEnd"/>
            <w:r w:rsidRPr="00DC1376">
              <w:t xml:space="preserve"> ME. Baricitinib versus placebo or adalimumab in patients with active rheumatoid arthritis (RA) and an inadequate response to background methotrexate therapy: results of a phase 3 study </w:t>
            </w:r>
          </w:p>
        </w:tc>
        <w:tc>
          <w:tcPr>
            <w:tcW w:w="993" w:type="pct"/>
            <w:tcBorders>
              <w:top w:val="nil"/>
              <w:bottom w:val="nil"/>
            </w:tcBorders>
          </w:tcPr>
          <w:p w:rsidR="00CA54CE" w:rsidRPr="00DC1376" w:rsidRDefault="00CA54CE" w:rsidP="00331F8A">
            <w:pPr>
              <w:pStyle w:val="TableText"/>
            </w:pPr>
            <w:r w:rsidRPr="00DC1376">
              <w:t>[</w:t>
            </w:r>
            <w:proofErr w:type="gramStart"/>
            <w:r w:rsidRPr="00DC1376">
              <w:t>abstract</w:t>
            </w:r>
            <w:proofErr w:type="gramEnd"/>
            <w:r w:rsidRPr="00DC1376">
              <w:t xml:space="preserve">]. Arthritis </w:t>
            </w:r>
            <w:proofErr w:type="spellStart"/>
            <w:r w:rsidRPr="00DC1376">
              <w:t>Rheumatol</w:t>
            </w:r>
            <w:proofErr w:type="spellEnd"/>
            <w:r w:rsidRPr="00DC1376">
              <w:t>. 2015</w:t>
            </w:r>
            <w:proofErr w:type="gramStart"/>
            <w:r w:rsidRPr="00DC1376">
              <w:t>;67</w:t>
            </w:r>
            <w:proofErr w:type="gramEnd"/>
            <w:r w:rsidRPr="00DC1376">
              <w:t>(</w:t>
            </w:r>
            <w:proofErr w:type="spellStart"/>
            <w:r w:rsidRPr="00DC1376">
              <w:t>suppl</w:t>
            </w:r>
            <w:proofErr w:type="spellEnd"/>
            <w:r w:rsidRPr="00DC1376">
              <w:t xml:space="preserve"> 10)2L.</w:t>
            </w:r>
          </w:p>
        </w:tc>
      </w:tr>
      <w:tr w:rsidR="00CA54CE" w:rsidRPr="00DC1376" w:rsidTr="00331F8A">
        <w:trPr>
          <w:trHeight w:val="938"/>
        </w:trPr>
        <w:tc>
          <w:tcPr>
            <w:tcW w:w="705" w:type="pct"/>
            <w:vMerge/>
          </w:tcPr>
          <w:p w:rsidR="00CA54CE" w:rsidRPr="00DC1376" w:rsidRDefault="00CA54CE" w:rsidP="00331F8A">
            <w:pPr>
              <w:pStyle w:val="TableText"/>
            </w:pPr>
          </w:p>
        </w:tc>
        <w:tc>
          <w:tcPr>
            <w:tcW w:w="3302" w:type="pct"/>
            <w:tcBorders>
              <w:top w:val="nil"/>
            </w:tcBorders>
          </w:tcPr>
          <w:p w:rsidR="00CA54CE" w:rsidRPr="00DC1376" w:rsidRDefault="00CA54CE" w:rsidP="00331F8A">
            <w:pPr>
              <w:pStyle w:val="TableText"/>
            </w:pPr>
            <w:r w:rsidRPr="00DC1376">
              <w:t xml:space="preserve">Taylor PC, Keystone EC, van der </w:t>
            </w:r>
            <w:proofErr w:type="spellStart"/>
            <w:r w:rsidRPr="00DC1376">
              <w:t>Heijde</w:t>
            </w:r>
            <w:proofErr w:type="spellEnd"/>
            <w:r w:rsidRPr="00DC1376">
              <w:t xml:space="preserve"> D, </w:t>
            </w:r>
            <w:proofErr w:type="spellStart"/>
            <w:r w:rsidRPr="00DC1376">
              <w:t>Weinblatt</w:t>
            </w:r>
            <w:proofErr w:type="spellEnd"/>
            <w:r w:rsidRPr="00DC1376">
              <w:t xml:space="preserve"> ME, del Carmen Morales L, Reyes Gonzaga J, </w:t>
            </w:r>
            <w:proofErr w:type="spellStart"/>
            <w:r w:rsidRPr="00DC1376">
              <w:t>Yakushin</w:t>
            </w:r>
            <w:proofErr w:type="spellEnd"/>
            <w:r w:rsidRPr="00DC1376">
              <w:t xml:space="preserve"> S, Ishii T, </w:t>
            </w:r>
            <w:proofErr w:type="spellStart"/>
            <w:r w:rsidRPr="00DC1376">
              <w:t>Emoto</w:t>
            </w:r>
            <w:proofErr w:type="spellEnd"/>
            <w:r w:rsidRPr="00DC1376">
              <w:t xml:space="preserve"> K, Beattie S, Arora V, </w:t>
            </w:r>
            <w:proofErr w:type="spellStart"/>
            <w:r w:rsidRPr="00DC1376">
              <w:t>Gaich</w:t>
            </w:r>
            <w:proofErr w:type="spellEnd"/>
            <w:r w:rsidRPr="00DC1376">
              <w:t xml:space="preserve"> C, Rooney T, </w:t>
            </w:r>
            <w:proofErr w:type="spellStart"/>
            <w:r w:rsidRPr="00DC1376">
              <w:t>Schlichting</w:t>
            </w:r>
            <w:proofErr w:type="spellEnd"/>
            <w:r w:rsidRPr="00DC1376">
              <w:t xml:space="preserve"> D, Macias ML, de Bono S, and Tanaka Y.. "Baricitinib versus Placebo or Adalimumab in Rheumatoid Arthritis." </w:t>
            </w:r>
          </w:p>
        </w:tc>
        <w:tc>
          <w:tcPr>
            <w:tcW w:w="993" w:type="pct"/>
            <w:tcBorders>
              <w:top w:val="nil"/>
            </w:tcBorders>
          </w:tcPr>
          <w:p w:rsidR="00CA54CE" w:rsidRPr="00DC1376" w:rsidRDefault="00CA54CE" w:rsidP="00331F8A">
            <w:pPr>
              <w:pStyle w:val="TableText"/>
            </w:pPr>
            <w:r w:rsidRPr="00DC1376">
              <w:t xml:space="preserve">N </w:t>
            </w:r>
            <w:proofErr w:type="spellStart"/>
            <w:r w:rsidRPr="00DC1376">
              <w:t>Engl</w:t>
            </w:r>
            <w:proofErr w:type="spellEnd"/>
            <w:r w:rsidRPr="00DC1376">
              <w:t xml:space="preserve"> J Med. 2017:376:652-662.</w:t>
            </w:r>
          </w:p>
        </w:tc>
      </w:tr>
      <w:tr w:rsidR="00CA54CE" w:rsidRPr="00DC1376" w:rsidTr="00331F8A">
        <w:tc>
          <w:tcPr>
            <w:tcW w:w="5000" w:type="pct"/>
            <w:gridSpan w:val="3"/>
          </w:tcPr>
          <w:p w:rsidR="00CA54CE" w:rsidRPr="00DC1376" w:rsidRDefault="001F5881" w:rsidP="00331F8A">
            <w:pPr>
              <w:pStyle w:val="TableText"/>
              <w:rPr>
                <w:b/>
              </w:rPr>
            </w:pPr>
            <w:r>
              <w:rPr>
                <w:b/>
              </w:rPr>
              <w:t>Supplementary t</w:t>
            </w:r>
            <w:r w:rsidR="00CA54CE" w:rsidRPr="00DC1376">
              <w:rPr>
                <w:b/>
              </w:rPr>
              <w:t>rials</w:t>
            </w:r>
          </w:p>
        </w:tc>
      </w:tr>
      <w:tr w:rsidR="00CA54CE" w:rsidRPr="00DC1376" w:rsidTr="00331F8A">
        <w:trPr>
          <w:trHeight w:val="992"/>
        </w:trPr>
        <w:tc>
          <w:tcPr>
            <w:tcW w:w="705" w:type="pct"/>
            <w:vMerge w:val="restart"/>
          </w:tcPr>
          <w:p w:rsidR="00CA54CE" w:rsidRPr="00DC1376" w:rsidRDefault="00CA54CE" w:rsidP="00331F8A">
            <w:pPr>
              <w:pStyle w:val="TableText"/>
            </w:pPr>
            <w:r w:rsidRPr="00DC1376">
              <w:t xml:space="preserve">JADW </w:t>
            </w:r>
            <w:r w:rsidRPr="00DC1376">
              <w:br/>
              <w:t>(RA-BEACON)</w:t>
            </w:r>
          </w:p>
        </w:tc>
        <w:tc>
          <w:tcPr>
            <w:tcW w:w="3302" w:type="pct"/>
            <w:tcBorders>
              <w:bottom w:val="nil"/>
            </w:tcBorders>
          </w:tcPr>
          <w:p w:rsidR="00CA54CE" w:rsidRPr="00DC1376" w:rsidRDefault="00CA54CE" w:rsidP="00331F8A">
            <w:pPr>
              <w:pStyle w:val="TableText"/>
            </w:pPr>
            <w:r w:rsidRPr="00DC1376">
              <w:t xml:space="preserve">A Randomized, Double-Blind, Placebo-Controlled, Phase 3 Study Evaluating the Efficacy and Safety of Baricitinib (LY3009104) in Patients with Moderately to Severely Active Rheumatoid Arthritis Who Have Had an Inadequate Response to </w:t>
            </w:r>
            <w:proofErr w:type="spellStart"/>
            <w:r w:rsidRPr="00DC1376">
              <w:t>Tumor</w:t>
            </w:r>
            <w:proofErr w:type="spellEnd"/>
            <w:r w:rsidRPr="00DC1376">
              <w:t xml:space="preserve"> Necrosis Factor Inhibitors</w:t>
            </w:r>
          </w:p>
        </w:tc>
        <w:tc>
          <w:tcPr>
            <w:tcW w:w="993" w:type="pct"/>
            <w:tcBorders>
              <w:bottom w:val="nil"/>
            </w:tcBorders>
          </w:tcPr>
          <w:p w:rsidR="00CA54CE" w:rsidRPr="00DC1376" w:rsidRDefault="00CA54CE" w:rsidP="00331F8A">
            <w:pPr>
              <w:pStyle w:val="TableText"/>
            </w:pPr>
            <w:r w:rsidRPr="00DC1376">
              <w:t>19 Aug 2016</w:t>
            </w:r>
          </w:p>
        </w:tc>
      </w:tr>
      <w:tr w:rsidR="00CA54CE" w:rsidRPr="00DC1376" w:rsidTr="00331F8A">
        <w:trPr>
          <w:trHeight w:val="617"/>
        </w:trPr>
        <w:tc>
          <w:tcPr>
            <w:tcW w:w="705" w:type="pct"/>
            <w:vMerge/>
          </w:tcPr>
          <w:p w:rsidR="00CA54CE" w:rsidRPr="00DC1376" w:rsidRDefault="00CA54CE" w:rsidP="00331F8A">
            <w:pPr>
              <w:pStyle w:val="TableText"/>
            </w:pPr>
          </w:p>
        </w:tc>
        <w:tc>
          <w:tcPr>
            <w:tcW w:w="3302" w:type="pct"/>
            <w:tcBorders>
              <w:top w:val="nil"/>
            </w:tcBorders>
          </w:tcPr>
          <w:p w:rsidR="00CA54CE" w:rsidRPr="00DC1376" w:rsidRDefault="00CA54CE" w:rsidP="00331F8A">
            <w:pPr>
              <w:pStyle w:val="TableText"/>
            </w:pPr>
            <w:r w:rsidRPr="00DC1376">
              <w:t xml:space="preserve">Genovese MC, Kremer J, </w:t>
            </w:r>
            <w:proofErr w:type="spellStart"/>
            <w:r w:rsidRPr="00DC1376">
              <w:t>Zamani</w:t>
            </w:r>
            <w:proofErr w:type="spellEnd"/>
            <w:r w:rsidRPr="00DC1376">
              <w:t xml:space="preserve"> O, </w:t>
            </w:r>
            <w:proofErr w:type="spellStart"/>
            <w:r w:rsidRPr="00DC1376">
              <w:t>Ludivico</w:t>
            </w:r>
            <w:proofErr w:type="spellEnd"/>
            <w:r w:rsidRPr="00DC1376">
              <w:t xml:space="preserve"> C, </w:t>
            </w:r>
            <w:proofErr w:type="spellStart"/>
            <w:r w:rsidRPr="00DC1376">
              <w:t>Krogulec</w:t>
            </w:r>
            <w:proofErr w:type="spellEnd"/>
            <w:r w:rsidRPr="00DC1376">
              <w:t xml:space="preserve"> M, Beattie SD, Koch AE, </w:t>
            </w:r>
            <w:proofErr w:type="spellStart"/>
            <w:r w:rsidRPr="00DC1376">
              <w:t>Cardillo</w:t>
            </w:r>
            <w:proofErr w:type="spellEnd"/>
            <w:r w:rsidRPr="00DC1376">
              <w:t xml:space="preserve"> TE, Rooney TP, Macias WL, de Bono S, </w:t>
            </w:r>
            <w:proofErr w:type="spellStart"/>
            <w:r w:rsidRPr="00DC1376">
              <w:t>Schlichting</w:t>
            </w:r>
            <w:proofErr w:type="spellEnd"/>
            <w:r w:rsidRPr="00DC1376">
              <w:t xml:space="preserve"> DE, and </w:t>
            </w:r>
            <w:proofErr w:type="spellStart"/>
            <w:r w:rsidRPr="00DC1376">
              <w:t>Smolen</w:t>
            </w:r>
            <w:proofErr w:type="spellEnd"/>
            <w:r w:rsidRPr="00DC1376">
              <w:t xml:space="preserve"> JS. "Baricitinib in Patients with Refractory Rheumatoid Arthritis."</w:t>
            </w:r>
          </w:p>
        </w:tc>
        <w:tc>
          <w:tcPr>
            <w:tcW w:w="993" w:type="pct"/>
            <w:tcBorders>
              <w:top w:val="nil"/>
            </w:tcBorders>
          </w:tcPr>
          <w:p w:rsidR="00CA54CE" w:rsidRPr="00DC1376" w:rsidRDefault="00CA54CE" w:rsidP="00331F8A">
            <w:pPr>
              <w:pStyle w:val="TableText"/>
            </w:pPr>
            <w:r w:rsidRPr="00DC1376">
              <w:t xml:space="preserve">N </w:t>
            </w:r>
            <w:proofErr w:type="spellStart"/>
            <w:r w:rsidRPr="00DC1376">
              <w:t>Engl</w:t>
            </w:r>
            <w:proofErr w:type="spellEnd"/>
            <w:r w:rsidRPr="00DC1376">
              <w:t xml:space="preserve"> J Med. 2016: 374:1243-1252.</w:t>
            </w:r>
          </w:p>
        </w:tc>
      </w:tr>
      <w:tr w:rsidR="00CA54CE" w:rsidRPr="00DC1376" w:rsidTr="00331F8A">
        <w:trPr>
          <w:trHeight w:val="787"/>
        </w:trPr>
        <w:tc>
          <w:tcPr>
            <w:tcW w:w="705" w:type="pct"/>
            <w:vMerge w:val="restart"/>
          </w:tcPr>
          <w:p w:rsidR="00CA54CE" w:rsidRPr="00DC1376" w:rsidRDefault="00CA54CE" w:rsidP="00331F8A">
            <w:pPr>
              <w:pStyle w:val="TableText"/>
            </w:pPr>
            <w:r w:rsidRPr="00DC1376">
              <w:t xml:space="preserve">JADX </w:t>
            </w:r>
            <w:r w:rsidRPr="00DC1376">
              <w:br/>
              <w:t>(RA-BUILD)</w:t>
            </w:r>
          </w:p>
        </w:tc>
        <w:tc>
          <w:tcPr>
            <w:tcW w:w="3302" w:type="pct"/>
            <w:tcBorders>
              <w:bottom w:val="nil"/>
            </w:tcBorders>
          </w:tcPr>
          <w:p w:rsidR="00CA54CE" w:rsidRPr="00DC1376" w:rsidRDefault="00CA54CE" w:rsidP="00331F8A">
            <w:pPr>
              <w:pStyle w:val="TableText"/>
            </w:pPr>
            <w:r w:rsidRPr="00DC1376">
              <w:t xml:space="preserve">A Randomized, Double-Blind, Placebo-Controlled, Phase 3 Study to Evaluate the Efficacy and Safety of Baricitinib (LY3009104) in Patients with Inadequate Response to Conventional Disease-Modifying </w:t>
            </w:r>
            <w:proofErr w:type="spellStart"/>
            <w:r w:rsidRPr="00DC1376">
              <w:t>Antirheumatic</w:t>
            </w:r>
            <w:proofErr w:type="spellEnd"/>
            <w:r w:rsidRPr="00DC1376">
              <w:t xml:space="preserve"> Drugs with Moderately to Severely Active Rheumatoid Arthritis</w:t>
            </w:r>
          </w:p>
        </w:tc>
        <w:tc>
          <w:tcPr>
            <w:tcW w:w="993" w:type="pct"/>
            <w:tcBorders>
              <w:bottom w:val="nil"/>
            </w:tcBorders>
          </w:tcPr>
          <w:p w:rsidR="00CA54CE" w:rsidRPr="00DC1376" w:rsidRDefault="00CA54CE" w:rsidP="00331F8A">
            <w:pPr>
              <w:pStyle w:val="TableText"/>
            </w:pPr>
            <w:r w:rsidRPr="00DC1376">
              <w:t>05 Nov 2015</w:t>
            </w:r>
          </w:p>
        </w:tc>
      </w:tr>
      <w:tr w:rsidR="00CA54CE" w:rsidRPr="00DC1376" w:rsidTr="00331F8A">
        <w:trPr>
          <w:trHeight w:val="677"/>
        </w:trPr>
        <w:tc>
          <w:tcPr>
            <w:tcW w:w="705" w:type="pct"/>
            <w:vMerge/>
          </w:tcPr>
          <w:p w:rsidR="00CA54CE" w:rsidRPr="00DC1376" w:rsidRDefault="00CA54CE" w:rsidP="00331F8A">
            <w:pPr>
              <w:pStyle w:val="TableText"/>
            </w:pPr>
          </w:p>
        </w:tc>
        <w:tc>
          <w:tcPr>
            <w:tcW w:w="3302" w:type="pct"/>
            <w:tcBorders>
              <w:top w:val="nil"/>
            </w:tcBorders>
          </w:tcPr>
          <w:p w:rsidR="00CA54CE" w:rsidRPr="00DC1376" w:rsidRDefault="00CA54CE" w:rsidP="00331F8A">
            <w:pPr>
              <w:pStyle w:val="TableText"/>
            </w:pPr>
            <w:proofErr w:type="spellStart"/>
            <w:r w:rsidRPr="00DC1376">
              <w:t>Dougados</w:t>
            </w:r>
            <w:proofErr w:type="spellEnd"/>
            <w:r w:rsidRPr="00DC1376">
              <w:t xml:space="preserve"> M, </w:t>
            </w:r>
            <w:proofErr w:type="spellStart"/>
            <w:r w:rsidRPr="00DC1376">
              <w:t>vand</w:t>
            </w:r>
            <w:proofErr w:type="spellEnd"/>
            <w:r w:rsidRPr="00DC1376">
              <w:t xml:space="preserve"> der </w:t>
            </w:r>
            <w:proofErr w:type="spellStart"/>
            <w:r w:rsidRPr="00DC1376">
              <w:t>Hijde</w:t>
            </w:r>
            <w:proofErr w:type="spellEnd"/>
            <w:r w:rsidRPr="00DC1376">
              <w:t xml:space="preserve">, D, Chen YC, Greenwald M, </w:t>
            </w:r>
            <w:proofErr w:type="spellStart"/>
            <w:r w:rsidRPr="00DC1376">
              <w:t>Drescher</w:t>
            </w:r>
            <w:proofErr w:type="spellEnd"/>
            <w:r w:rsidRPr="00DC1376">
              <w:t xml:space="preserve"> E, Liu J, Beattie S, Witt S,  </w:t>
            </w:r>
            <w:proofErr w:type="spellStart"/>
            <w:r w:rsidRPr="00DC1376">
              <w:t>inmaculada</w:t>
            </w:r>
            <w:proofErr w:type="spellEnd"/>
            <w:r w:rsidRPr="00DC1376">
              <w:t xml:space="preserve"> de la Torre CG, Rooney </w:t>
            </w:r>
            <w:proofErr w:type="spellStart"/>
            <w:r w:rsidRPr="00DC1376">
              <w:t>Schlichting</w:t>
            </w:r>
            <w:proofErr w:type="spellEnd"/>
            <w:r w:rsidRPr="00DC1376">
              <w:t xml:space="preserve"> D, de Bono S,  and Emery P. “Baricitinib in patients with inadequate response or intolerance to conventional synthetic DMARDs.”</w:t>
            </w:r>
          </w:p>
        </w:tc>
        <w:tc>
          <w:tcPr>
            <w:tcW w:w="993" w:type="pct"/>
            <w:tcBorders>
              <w:top w:val="nil"/>
            </w:tcBorders>
          </w:tcPr>
          <w:p w:rsidR="00CA54CE" w:rsidRPr="00DC1376" w:rsidRDefault="00CA54CE" w:rsidP="00331F8A">
            <w:pPr>
              <w:pStyle w:val="TableText"/>
            </w:pPr>
            <w:r w:rsidRPr="00DC1376">
              <w:t>Ann Rheum Dis. 2016 0: 1-8</w:t>
            </w:r>
          </w:p>
        </w:tc>
      </w:tr>
      <w:tr w:rsidR="00CA54CE" w:rsidRPr="00DC1376" w:rsidTr="00331F8A">
        <w:trPr>
          <w:trHeight w:val="806"/>
        </w:trPr>
        <w:tc>
          <w:tcPr>
            <w:tcW w:w="705" w:type="pct"/>
            <w:vMerge w:val="restart"/>
          </w:tcPr>
          <w:p w:rsidR="00CA54CE" w:rsidRPr="00DC1376" w:rsidRDefault="00CA54CE" w:rsidP="00331F8A">
            <w:pPr>
              <w:pStyle w:val="TableText"/>
            </w:pPr>
            <w:r w:rsidRPr="00DC1376">
              <w:t xml:space="preserve">JADZ </w:t>
            </w:r>
            <w:r w:rsidRPr="00DC1376">
              <w:br/>
              <w:t>(RA-BEGIN)</w:t>
            </w:r>
          </w:p>
        </w:tc>
        <w:tc>
          <w:tcPr>
            <w:tcW w:w="3302" w:type="pct"/>
            <w:tcBorders>
              <w:bottom w:val="nil"/>
            </w:tcBorders>
          </w:tcPr>
          <w:p w:rsidR="00CA54CE" w:rsidRPr="00DC1376" w:rsidRDefault="00CA54CE" w:rsidP="00331F8A">
            <w:pPr>
              <w:pStyle w:val="TableText"/>
            </w:pPr>
            <w:r w:rsidRPr="00DC1376">
              <w:t>Study I4V-MC-JADZ was a Phase 3, randomized, double-blind, active-controlled study of baricitinib for the treatment of moderately to severely active rheumatoid arthritis during a 52-week treatment period in patients with early rheumatoid arthritis who have had limited treatment with disease-modifying ant rheumatic drugs.</w:t>
            </w:r>
          </w:p>
        </w:tc>
        <w:tc>
          <w:tcPr>
            <w:tcW w:w="993" w:type="pct"/>
            <w:tcBorders>
              <w:bottom w:val="nil"/>
            </w:tcBorders>
          </w:tcPr>
          <w:p w:rsidR="00CA54CE" w:rsidRPr="00DC1376" w:rsidRDefault="00CA54CE" w:rsidP="00331F8A">
            <w:pPr>
              <w:pStyle w:val="TableText"/>
            </w:pPr>
            <w:r w:rsidRPr="00DC1376">
              <w:t>18 Nov 2015</w:t>
            </w:r>
          </w:p>
        </w:tc>
      </w:tr>
      <w:tr w:rsidR="00CA54CE" w:rsidRPr="00DC1376" w:rsidTr="00331F8A">
        <w:trPr>
          <w:trHeight w:val="1338"/>
        </w:trPr>
        <w:tc>
          <w:tcPr>
            <w:tcW w:w="705" w:type="pct"/>
            <w:vMerge/>
          </w:tcPr>
          <w:p w:rsidR="00CA54CE" w:rsidRPr="00DC1376" w:rsidRDefault="00CA54CE" w:rsidP="00331F8A">
            <w:pPr>
              <w:pStyle w:val="TableText"/>
            </w:pPr>
          </w:p>
        </w:tc>
        <w:tc>
          <w:tcPr>
            <w:tcW w:w="3302" w:type="pct"/>
            <w:tcBorders>
              <w:top w:val="nil"/>
            </w:tcBorders>
          </w:tcPr>
          <w:p w:rsidR="00CA54CE" w:rsidRPr="00DC1376" w:rsidRDefault="00CA54CE" w:rsidP="00331F8A">
            <w:pPr>
              <w:pStyle w:val="TableText"/>
            </w:pPr>
            <w:r w:rsidRPr="00DC1376">
              <w:t xml:space="preserve">Fleischmann R, Schiff M, van der </w:t>
            </w:r>
            <w:proofErr w:type="spellStart"/>
            <w:r w:rsidRPr="00DC1376">
              <w:t>Heijde</w:t>
            </w:r>
            <w:proofErr w:type="spellEnd"/>
            <w:r w:rsidRPr="00DC1376">
              <w:t xml:space="preserve"> D, Ramos-Remus C, Spindler A, Stanislav M, </w:t>
            </w:r>
            <w:proofErr w:type="spellStart"/>
            <w:r w:rsidRPr="00DC1376">
              <w:t>Zerbini</w:t>
            </w:r>
            <w:proofErr w:type="spellEnd"/>
            <w:r w:rsidRPr="00DC1376">
              <w:t xml:space="preserve"> CAF, </w:t>
            </w:r>
            <w:proofErr w:type="spellStart"/>
            <w:r w:rsidRPr="00DC1376">
              <w:t>Gurbuz</w:t>
            </w:r>
            <w:proofErr w:type="spellEnd"/>
            <w:r w:rsidRPr="00DC1376">
              <w:t xml:space="preserve"> S, Dickson C, de Bono S, </w:t>
            </w:r>
            <w:proofErr w:type="spellStart"/>
            <w:r w:rsidRPr="00DC1376">
              <w:t>Schlichting</w:t>
            </w:r>
            <w:proofErr w:type="spellEnd"/>
            <w:r w:rsidRPr="00DC1376">
              <w:t xml:space="preserve"> D, Beattie S, </w:t>
            </w:r>
            <w:proofErr w:type="spellStart"/>
            <w:r w:rsidRPr="00DC1376">
              <w:t>Kuo</w:t>
            </w:r>
            <w:proofErr w:type="spellEnd"/>
            <w:r w:rsidRPr="00DC1376">
              <w:t xml:space="preserve"> WL, Rooney T, Macias WL, and Takeuchi T. "Baricitinib, Methotrexate, or Combination in Patients with Rheumatoid Arthritis and No or Limited Prior Disease-Modifying </w:t>
            </w:r>
            <w:proofErr w:type="spellStart"/>
            <w:r w:rsidRPr="00DC1376">
              <w:t>Antirheumatic</w:t>
            </w:r>
            <w:proofErr w:type="spellEnd"/>
            <w:r w:rsidRPr="00DC1376">
              <w:t xml:space="preserve"> Drug Treatment."  </w:t>
            </w:r>
          </w:p>
        </w:tc>
        <w:tc>
          <w:tcPr>
            <w:tcW w:w="993" w:type="pct"/>
            <w:tcBorders>
              <w:top w:val="nil"/>
            </w:tcBorders>
          </w:tcPr>
          <w:p w:rsidR="00CA54CE" w:rsidRPr="00DC1376" w:rsidRDefault="00CA54CE" w:rsidP="00331F8A">
            <w:pPr>
              <w:pStyle w:val="TableText"/>
            </w:pPr>
            <w:r w:rsidRPr="00DC1376">
              <w:t>Arthritis &amp; Rheumatism 2016: (accepted article):1-44.</w:t>
            </w:r>
          </w:p>
        </w:tc>
      </w:tr>
      <w:tr w:rsidR="00CA54CE" w:rsidRPr="00DC1376" w:rsidTr="00331F8A">
        <w:tc>
          <w:tcPr>
            <w:tcW w:w="705" w:type="pct"/>
          </w:tcPr>
          <w:p w:rsidR="00CA54CE" w:rsidRPr="00DC1376" w:rsidRDefault="00CA54CE" w:rsidP="00331F8A">
            <w:pPr>
              <w:pStyle w:val="TableText"/>
            </w:pPr>
            <w:r w:rsidRPr="00DC1376">
              <w:t xml:space="preserve">JADY </w:t>
            </w:r>
            <w:r w:rsidRPr="00DC1376">
              <w:br/>
              <w:t>(RA-BEYOND)</w:t>
            </w:r>
          </w:p>
        </w:tc>
        <w:tc>
          <w:tcPr>
            <w:tcW w:w="3302" w:type="pct"/>
          </w:tcPr>
          <w:p w:rsidR="00CA54CE" w:rsidRPr="00DC1376" w:rsidRDefault="00CA54CE" w:rsidP="00331F8A">
            <w:pPr>
              <w:pStyle w:val="TableText"/>
            </w:pPr>
            <w:r w:rsidRPr="00DC1376">
              <w:t>A Phase 3, Multicenter Study to Evaluate the Long-Term Safety and Efficacy of Baricitinib in Patients with Rheumatoid Arthritis</w:t>
            </w:r>
          </w:p>
        </w:tc>
        <w:tc>
          <w:tcPr>
            <w:tcW w:w="993" w:type="pct"/>
          </w:tcPr>
          <w:p w:rsidR="00CA54CE" w:rsidRPr="00DC1376" w:rsidRDefault="00CA54CE" w:rsidP="00331F8A">
            <w:pPr>
              <w:pStyle w:val="TableText"/>
            </w:pPr>
            <w:r w:rsidRPr="00DC1376">
              <w:t>10 August 2015</w:t>
            </w:r>
          </w:p>
        </w:tc>
      </w:tr>
    </w:tbl>
    <w:p w:rsidR="00B64909" w:rsidRDefault="008A020B" w:rsidP="00D1078F">
      <w:pPr>
        <w:pStyle w:val="TableFooter"/>
      </w:pPr>
      <w:r w:rsidRPr="00DC1376">
        <w:t xml:space="preserve">Source: </w:t>
      </w:r>
      <w:r w:rsidRPr="00BD0C22">
        <w:t>Table 2.2.3, p77 of the submission</w:t>
      </w:r>
      <w:r w:rsidRPr="00DC1376">
        <w:t>.</w:t>
      </w:r>
    </w:p>
    <w:p w:rsidR="00B64909" w:rsidRPr="00DC1376" w:rsidRDefault="00B64909" w:rsidP="00D1078F">
      <w:pPr>
        <w:pStyle w:val="TableFooter"/>
      </w:pPr>
    </w:p>
    <w:p w:rsidR="00C317F3" w:rsidRDefault="009277B4" w:rsidP="005E290D">
      <w:pPr>
        <w:pStyle w:val="ListParagraph"/>
        <w:numPr>
          <w:ilvl w:val="1"/>
          <w:numId w:val="1"/>
        </w:numPr>
        <w:spacing w:before="0" w:after="120"/>
        <w:jc w:val="both"/>
      </w:pPr>
      <w:r>
        <w:t>T</w:t>
      </w:r>
      <w:r w:rsidR="00CA54CE" w:rsidRPr="00DC1376">
        <w:t>he primary trial used as the evidence base of the submission was JADV (baricitinib versus placebo and adalim</w:t>
      </w:r>
      <w:bookmarkStart w:id="10" w:name="_GoBack"/>
      <w:bookmarkEnd w:id="10"/>
      <w:r w:rsidR="00CA54CE" w:rsidRPr="00DC1376">
        <w:t xml:space="preserve">umab), with the supplementary trials and </w:t>
      </w:r>
      <w:r>
        <w:t>a</w:t>
      </w:r>
      <w:r w:rsidRPr="00DC1376">
        <w:t xml:space="preserve"> </w:t>
      </w:r>
      <w:r w:rsidR="00CA54CE" w:rsidRPr="00DC1376">
        <w:t xml:space="preserve">network meta-analysis (NMA) conducted for the economic evaluation. </w:t>
      </w:r>
      <w:r w:rsidR="00C317F3" w:rsidRPr="00DC1376">
        <w:t xml:space="preserve">The key features of </w:t>
      </w:r>
      <w:r w:rsidR="0011367B" w:rsidRPr="00DC1376">
        <w:t>JADV</w:t>
      </w:r>
      <w:r w:rsidR="00C317F3" w:rsidRPr="00DC1376">
        <w:t xml:space="preserve"> are </w:t>
      </w:r>
      <w:r w:rsidR="0011367B" w:rsidRPr="00DC1376">
        <w:t xml:space="preserve">summarised in </w:t>
      </w:r>
      <w:r w:rsidR="0065209E" w:rsidRPr="00DC1376">
        <w:t>Table 3</w:t>
      </w:r>
      <w:r w:rsidR="0011367B" w:rsidRPr="00DC1376">
        <w:t>.</w:t>
      </w:r>
    </w:p>
    <w:p w:rsidR="00DA583E" w:rsidRPr="00DC1376" w:rsidRDefault="00DA583E" w:rsidP="00DA583E">
      <w:pPr>
        <w:spacing w:before="0" w:after="120"/>
        <w:jc w:val="both"/>
      </w:pPr>
    </w:p>
    <w:p w:rsidR="00AE7F95" w:rsidRDefault="00AE7F95" w:rsidP="00AE7F95">
      <w:pPr>
        <w:pStyle w:val="Caption"/>
      </w:pPr>
      <w:r>
        <w:t xml:space="preserve">Table </w:t>
      </w:r>
      <w:r>
        <w:rPr>
          <w:noProof/>
        </w:rPr>
        <w:t>3</w:t>
      </w:r>
      <w:r w:rsidRPr="00A82A23">
        <w:t>: Key features of JADV (baricitinib versus adalimumab)</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1"/>
        <w:gridCol w:w="545"/>
        <w:gridCol w:w="1794"/>
        <w:gridCol w:w="985"/>
        <w:gridCol w:w="1878"/>
        <w:gridCol w:w="1814"/>
        <w:gridCol w:w="1441"/>
      </w:tblGrid>
      <w:tr w:rsidR="00765390" w:rsidRPr="00DC1376" w:rsidTr="00765390">
        <w:tc>
          <w:tcPr>
            <w:tcW w:w="362" w:type="pct"/>
            <w:shd w:val="clear" w:color="auto" w:fill="auto"/>
            <w:vAlign w:val="center"/>
          </w:tcPr>
          <w:p w:rsidR="00C317F3" w:rsidRPr="00DC1376" w:rsidRDefault="00C317F3" w:rsidP="00D1078F">
            <w:pPr>
              <w:pStyle w:val="TableText"/>
              <w:rPr>
                <w:b/>
              </w:rPr>
            </w:pPr>
            <w:r w:rsidRPr="00DC1376">
              <w:rPr>
                <w:b/>
              </w:rPr>
              <w:t>Trial</w:t>
            </w:r>
          </w:p>
        </w:tc>
        <w:tc>
          <w:tcPr>
            <w:tcW w:w="299" w:type="pct"/>
            <w:shd w:val="clear" w:color="auto" w:fill="auto"/>
            <w:vAlign w:val="center"/>
          </w:tcPr>
          <w:p w:rsidR="00C317F3" w:rsidRPr="00DC1376" w:rsidRDefault="00C317F3" w:rsidP="00D1078F">
            <w:pPr>
              <w:pStyle w:val="TableText"/>
              <w:rPr>
                <w:b/>
              </w:rPr>
            </w:pPr>
            <w:r w:rsidRPr="00DC1376">
              <w:rPr>
                <w:b/>
              </w:rPr>
              <w:t>N</w:t>
            </w:r>
          </w:p>
        </w:tc>
        <w:tc>
          <w:tcPr>
            <w:tcW w:w="984" w:type="pct"/>
            <w:shd w:val="clear" w:color="auto" w:fill="auto"/>
            <w:vAlign w:val="center"/>
          </w:tcPr>
          <w:p w:rsidR="00C317F3" w:rsidRPr="00DC1376" w:rsidRDefault="00C317F3" w:rsidP="00D1078F">
            <w:pPr>
              <w:pStyle w:val="TableText"/>
              <w:rPr>
                <w:b/>
              </w:rPr>
            </w:pPr>
            <w:r w:rsidRPr="00DC1376">
              <w:rPr>
                <w:b/>
              </w:rPr>
              <w:t>Design/ duration</w:t>
            </w:r>
            <w:r w:rsidR="005F2A6B" w:rsidRPr="00DC1376">
              <w:rPr>
                <w:b/>
              </w:rPr>
              <w:t xml:space="preserve"> of follow-up</w:t>
            </w:r>
          </w:p>
        </w:tc>
        <w:tc>
          <w:tcPr>
            <w:tcW w:w="540" w:type="pct"/>
            <w:shd w:val="clear" w:color="auto" w:fill="auto"/>
            <w:vAlign w:val="center"/>
          </w:tcPr>
          <w:p w:rsidR="00C317F3" w:rsidRPr="00DC1376" w:rsidRDefault="00C317F3" w:rsidP="00D1078F">
            <w:pPr>
              <w:pStyle w:val="TableText"/>
              <w:rPr>
                <w:b/>
              </w:rPr>
            </w:pPr>
            <w:r w:rsidRPr="00DC1376">
              <w:rPr>
                <w:b/>
              </w:rPr>
              <w:t>Risk of bias</w:t>
            </w:r>
          </w:p>
        </w:tc>
        <w:tc>
          <w:tcPr>
            <w:tcW w:w="1030" w:type="pct"/>
            <w:shd w:val="clear" w:color="auto" w:fill="auto"/>
            <w:vAlign w:val="center"/>
          </w:tcPr>
          <w:p w:rsidR="00C317F3" w:rsidRPr="00DC1376" w:rsidRDefault="00C317F3" w:rsidP="00D1078F">
            <w:pPr>
              <w:pStyle w:val="TableText"/>
              <w:rPr>
                <w:b/>
              </w:rPr>
            </w:pPr>
            <w:r w:rsidRPr="00DC1376">
              <w:rPr>
                <w:b/>
              </w:rPr>
              <w:t>Patient population</w:t>
            </w:r>
          </w:p>
        </w:tc>
        <w:tc>
          <w:tcPr>
            <w:tcW w:w="995" w:type="pct"/>
            <w:shd w:val="clear" w:color="auto" w:fill="auto"/>
            <w:vAlign w:val="center"/>
          </w:tcPr>
          <w:p w:rsidR="00C317F3" w:rsidRPr="00DC1376" w:rsidRDefault="00765390" w:rsidP="00D1078F">
            <w:pPr>
              <w:pStyle w:val="TableText"/>
              <w:rPr>
                <w:b/>
              </w:rPr>
            </w:pPr>
            <w:r w:rsidRPr="00DC1376">
              <w:rPr>
                <w:b/>
              </w:rPr>
              <w:t>Outcomes</w:t>
            </w:r>
          </w:p>
        </w:tc>
        <w:tc>
          <w:tcPr>
            <w:tcW w:w="790" w:type="pct"/>
            <w:shd w:val="clear" w:color="auto" w:fill="auto"/>
            <w:vAlign w:val="center"/>
          </w:tcPr>
          <w:p w:rsidR="00C317F3" w:rsidRPr="00DC1376" w:rsidRDefault="00C317F3" w:rsidP="00D1078F">
            <w:pPr>
              <w:pStyle w:val="TableText"/>
              <w:rPr>
                <w:b/>
              </w:rPr>
            </w:pPr>
            <w:r w:rsidRPr="00DC1376">
              <w:rPr>
                <w:b/>
              </w:rPr>
              <w:t>Use in modelled evaluation</w:t>
            </w:r>
          </w:p>
        </w:tc>
      </w:tr>
      <w:tr w:rsidR="00765390" w:rsidRPr="00DC1376" w:rsidTr="00765390">
        <w:tc>
          <w:tcPr>
            <w:tcW w:w="362" w:type="pct"/>
            <w:shd w:val="clear" w:color="auto" w:fill="auto"/>
            <w:vAlign w:val="center"/>
          </w:tcPr>
          <w:p w:rsidR="00C317F3" w:rsidRPr="00DC1376" w:rsidRDefault="008F5AAA" w:rsidP="00D1078F">
            <w:pPr>
              <w:pStyle w:val="TableText"/>
            </w:pPr>
            <w:r w:rsidRPr="00DC1376">
              <w:t>JADV</w:t>
            </w:r>
          </w:p>
        </w:tc>
        <w:tc>
          <w:tcPr>
            <w:tcW w:w="299" w:type="pct"/>
            <w:shd w:val="clear" w:color="auto" w:fill="auto"/>
            <w:vAlign w:val="center"/>
          </w:tcPr>
          <w:p w:rsidR="00C317F3" w:rsidRPr="00DC1376" w:rsidRDefault="00D4394D" w:rsidP="00D1078F">
            <w:pPr>
              <w:pStyle w:val="TableText"/>
              <w:rPr>
                <w:rFonts w:ascii="Times" w:eastAsia="Times New Roman" w:hAnsi="Times" w:cs="Times New Roman"/>
              </w:rPr>
            </w:pPr>
            <w:r w:rsidRPr="00DC1376">
              <w:t>1,307</w:t>
            </w:r>
          </w:p>
        </w:tc>
        <w:tc>
          <w:tcPr>
            <w:tcW w:w="984" w:type="pct"/>
            <w:shd w:val="clear" w:color="auto" w:fill="auto"/>
            <w:vAlign w:val="center"/>
          </w:tcPr>
          <w:p w:rsidR="00C317F3" w:rsidRPr="00DC1376" w:rsidRDefault="00C317F3" w:rsidP="00CA54CE">
            <w:pPr>
              <w:pStyle w:val="TableText"/>
              <w:jc w:val="center"/>
              <w:rPr>
                <w:rFonts w:ascii="Times" w:eastAsia="Times New Roman" w:hAnsi="Times" w:cs="Times New Roman"/>
              </w:rPr>
            </w:pPr>
            <w:r w:rsidRPr="00DC1376">
              <w:t>R, DB</w:t>
            </w:r>
            <w:r w:rsidR="008F5AAA" w:rsidRPr="00DC1376">
              <w:t>, MC</w:t>
            </w:r>
            <w:r w:rsidR="008F5AAA" w:rsidRPr="00DC1376">
              <w:rPr>
                <w:rFonts w:ascii="Times" w:eastAsia="Times New Roman" w:hAnsi="Times" w:cs="Times New Roman"/>
              </w:rPr>
              <w:t xml:space="preserve">/ </w:t>
            </w:r>
            <w:r w:rsidR="008F5AAA" w:rsidRPr="00DC1376">
              <w:rPr>
                <w:rFonts w:eastAsia="Times New Roman" w:cs="Times New Roman"/>
              </w:rPr>
              <w:t>52 weeks</w:t>
            </w:r>
          </w:p>
        </w:tc>
        <w:tc>
          <w:tcPr>
            <w:tcW w:w="540" w:type="pct"/>
            <w:shd w:val="clear" w:color="auto" w:fill="auto"/>
            <w:vAlign w:val="center"/>
          </w:tcPr>
          <w:p w:rsidR="00C317F3" w:rsidRPr="00DC1376" w:rsidRDefault="00C317F3" w:rsidP="00CA54CE">
            <w:pPr>
              <w:pStyle w:val="TableText"/>
              <w:jc w:val="center"/>
              <w:rPr>
                <w:rFonts w:ascii="Times" w:eastAsia="Times New Roman" w:hAnsi="Times" w:cs="Times New Roman"/>
              </w:rPr>
            </w:pPr>
            <w:r w:rsidRPr="00DC1376">
              <w:t>Low</w:t>
            </w:r>
          </w:p>
        </w:tc>
        <w:tc>
          <w:tcPr>
            <w:tcW w:w="1030" w:type="pct"/>
            <w:shd w:val="clear" w:color="auto" w:fill="auto"/>
            <w:vAlign w:val="center"/>
          </w:tcPr>
          <w:p w:rsidR="00C317F3" w:rsidRPr="00DC1376" w:rsidRDefault="008F5AAA" w:rsidP="00CA54CE">
            <w:pPr>
              <w:pStyle w:val="TableText"/>
              <w:jc w:val="center"/>
              <w:rPr>
                <w:rFonts w:ascii="Times" w:eastAsia="Times New Roman" w:hAnsi="Times" w:cs="Times New Roman"/>
              </w:rPr>
            </w:pPr>
            <w:r w:rsidRPr="00DC1376">
              <w:t>Moderate to severe RA</w:t>
            </w:r>
          </w:p>
        </w:tc>
        <w:tc>
          <w:tcPr>
            <w:tcW w:w="995" w:type="pct"/>
            <w:shd w:val="clear" w:color="auto" w:fill="auto"/>
            <w:vAlign w:val="center"/>
          </w:tcPr>
          <w:p w:rsidR="00C317F3" w:rsidRPr="00DC1376" w:rsidRDefault="008F5AAA" w:rsidP="00CA54CE">
            <w:pPr>
              <w:pStyle w:val="TableText"/>
              <w:jc w:val="center"/>
              <w:rPr>
                <w:rFonts w:ascii="Times" w:eastAsia="Times New Roman" w:hAnsi="Times" w:cs="Times New Roman"/>
              </w:rPr>
            </w:pPr>
            <w:r w:rsidRPr="00DC1376">
              <w:t>ACR20/50/70</w:t>
            </w:r>
            <w:r w:rsidR="00CA54CE" w:rsidRPr="00DC1376">
              <w:t xml:space="preserve">, DAS28, </w:t>
            </w:r>
            <w:proofErr w:type="spellStart"/>
            <w:r w:rsidR="00CA54CE" w:rsidRPr="00DC1376">
              <w:t>mTSS</w:t>
            </w:r>
            <w:proofErr w:type="spellEnd"/>
            <w:r w:rsidR="00CA54CE" w:rsidRPr="00DC1376">
              <w:t xml:space="preserve">, </w:t>
            </w:r>
            <w:r w:rsidRPr="00DC1376">
              <w:t>HAQ-DI</w:t>
            </w:r>
          </w:p>
        </w:tc>
        <w:tc>
          <w:tcPr>
            <w:tcW w:w="790" w:type="pct"/>
            <w:shd w:val="clear" w:color="auto" w:fill="auto"/>
            <w:vAlign w:val="center"/>
          </w:tcPr>
          <w:p w:rsidR="00C317F3" w:rsidRPr="00DC1376" w:rsidRDefault="008F5AAA" w:rsidP="00CA54CE">
            <w:pPr>
              <w:pStyle w:val="TableText"/>
              <w:jc w:val="center"/>
              <w:rPr>
                <w:rFonts w:ascii="Times" w:eastAsia="Times New Roman" w:hAnsi="Times" w:cs="Times New Roman"/>
              </w:rPr>
            </w:pPr>
            <w:r w:rsidRPr="00DC1376">
              <w:t>ACR20/50/70, baseline HAQ-DI</w:t>
            </w:r>
          </w:p>
        </w:tc>
      </w:tr>
    </w:tbl>
    <w:p w:rsidR="00AC48A7" w:rsidRPr="00DC1376" w:rsidRDefault="00C317F3" w:rsidP="00D1078F">
      <w:pPr>
        <w:pStyle w:val="TableFooter"/>
      </w:pPr>
      <w:r w:rsidRPr="00DC1376">
        <w:t>Source: compiled during the evaluation</w:t>
      </w:r>
      <w:r w:rsidR="00765390" w:rsidRPr="00DC1376">
        <w:t xml:space="preserve">. </w:t>
      </w:r>
    </w:p>
    <w:p w:rsidR="00C317F3" w:rsidRPr="00DC1376" w:rsidRDefault="00765390" w:rsidP="00D1078F">
      <w:pPr>
        <w:pStyle w:val="TableFooter"/>
      </w:pPr>
      <w:r w:rsidRPr="00DC1376">
        <w:t xml:space="preserve">ACR = American College of </w:t>
      </w:r>
      <w:r w:rsidR="00A4392A" w:rsidRPr="00DC1376">
        <w:t>Rheumatology</w:t>
      </w:r>
      <w:r w:rsidRPr="00DC1376">
        <w:t xml:space="preserve">; DAS = Disease Activity Score; DB=double blind; HAQ-DI = Health Assessment </w:t>
      </w:r>
      <w:r w:rsidR="00A4392A" w:rsidRPr="00DC1376">
        <w:t>Questionnaire</w:t>
      </w:r>
      <w:r w:rsidRPr="00DC1376">
        <w:t xml:space="preserve"> – disability index; MC=multi-centre; </w:t>
      </w:r>
      <w:proofErr w:type="spellStart"/>
      <w:r w:rsidRPr="00DC1376">
        <w:t>mTSS</w:t>
      </w:r>
      <w:proofErr w:type="spellEnd"/>
      <w:r w:rsidRPr="00DC1376">
        <w:t xml:space="preserve"> = modified Total Sharp Score; </w:t>
      </w:r>
      <w:r w:rsidR="00CA54CE" w:rsidRPr="00DC1376">
        <w:t>R=randomised</w:t>
      </w:r>
      <w:r w:rsidRPr="00DC1376">
        <w:t>; RA = rheumatoid arthritis</w:t>
      </w:r>
    </w:p>
    <w:p w:rsidR="00C317F3" w:rsidRPr="00DC1376" w:rsidRDefault="0011367B" w:rsidP="005E290D">
      <w:pPr>
        <w:pStyle w:val="ListParagraph"/>
        <w:numPr>
          <w:ilvl w:val="1"/>
          <w:numId w:val="1"/>
        </w:numPr>
        <w:spacing w:before="0" w:after="0"/>
        <w:jc w:val="both"/>
      </w:pPr>
      <w:r w:rsidRPr="00DC1376">
        <w:t>The JADV trial had the following differences with the Australian treatment population:</w:t>
      </w:r>
    </w:p>
    <w:p w:rsidR="0011367B" w:rsidRPr="00DC1376" w:rsidRDefault="0011367B" w:rsidP="005249D1">
      <w:pPr>
        <w:pStyle w:val="ListParagraph"/>
        <w:numPr>
          <w:ilvl w:val="0"/>
          <w:numId w:val="10"/>
        </w:numPr>
        <w:spacing w:before="0" w:after="0"/>
        <w:ind w:left="1134"/>
        <w:jc w:val="both"/>
      </w:pPr>
      <w:r w:rsidRPr="00DC1376">
        <w:t xml:space="preserve">The Australian treatment population </w:t>
      </w:r>
      <w:r w:rsidR="00D462CF" w:rsidRPr="00DC1376">
        <w:t xml:space="preserve">is </w:t>
      </w:r>
      <w:r w:rsidRPr="00DC1376">
        <w:t>restricted to severe disease, whereas JADV included patients with moderate RA</w:t>
      </w:r>
      <w:r w:rsidR="000115CA" w:rsidRPr="00DC1376">
        <w:t xml:space="preserve">. The submission included subgroup analyses of </w:t>
      </w:r>
      <w:r w:rsidR="00A4392A" w:rsidRPr="00DC1376">
        <w:t>patients</w:t>
      </w:r>
      <w:r w:rsidR="000115CA" w:rsidRPr="00DC1376">
        <w:t xml:space="preserve"> with severe disease both defined by </w:t>
      </w:r>
      <w:r w:rsidR="00687CAF" w:rsidRPr="00DC1376">
        <w:t xml:space="preserve">disease activity score </w:t>
      </w:r>
      <w:r w:rsidR="000115CA" w:rsidRPr="00DC1376">
        <w:t>28</w:t>
      </w:r>
      <w:r w:rsidR="00687CAF" w:rsidRPr="00DC1376">
        <w:t xml:space="preserve"> </w:t>
      </w:r>
      <w:r w:rsidR="00765390" w:rsidRPr="00DC1376">
        <w:t>-</w:t>
      </w:r>
      <w:r w:rsidR="00687CAF" w:rsidRPr="00DC1376">
        <w:t xml:space="preserve"> erythrocyte sedimentation rate </w:t>
      </w:r>
      <w:r w:rsidR="00765390" w:rsidRPr="00DC1376">
        <w:t>&gt;</w:t>
      </w:r>
      <w:r w:rsidR="000115CA" w:rsidRPr="00DC1376">
        <w:t xml:space="preserve">5.1 </w:t>
      </w:r>
      <w:r w:rsidR="00687CAF" w:rsidRPr="00DC1376">
        <w:t xml:space="preserve">(DAS28-ESR &gt;5.1) </w:t>
      </w:r>
      <w:r w:rsidR="00765390" w:rsidRPr="00DC1376">
        <w:t>and PBS criteria</w:t>
      </w:r>
      <w:r w:rsidR="001F5881">
        <w:t>.</w:t>
      </w:r>
    </w:p>
    <w:p w:rsidR="000115CA" w:rsidRPr="00DC1376" w:rsidRDefault="000115CA" w:rsidP="005249D1">
      <w:pPr>
        <w:pStyle w:val="ListParagraph"/>
        <w:numPr>
          <w:ilvl w:val="0"/>
          <w:numId w:val="10"/>
        </w:numPr>
        <w:spacing w:before="0" w:after="0"/>
        <w:ind w:left="1134"/>
        <w:jc w:val="both"/>
      </w:pPr>
      <w:r w:rsidRPr="00DC1376">
        <w:t>The requested restriction allow</w:t>
      </w:r>
      <w:r w:rsidR="00D462CF" w:rsidRPr="00DC1376">
        <w:t>s</w:t>
      </w:r>
      <w:r w:rsidRPr="00DC1376">
        <w:t xml:space="preserve"> for treatment with baricitinib after failure of </w:t>
      </w:r>
      <w:proofErr w:type="spellStart"/>
      <w:r w:rsidRPr="00DC1376">
        <w:t>bDMARDs</w:t>
      </w:r>
      <w:proofErr w:type="spellEnd"/>
      <w:r w:rsidR="001F5881">
        <w:t>,</w:t>
      </w:r>
      <w:r w:rsidRPr="00DC1376">
        <w:t xml:space="preserve"> whereas the JADV trial populat</w:t>
      </w:r>
      <w:r w:rsidR="00765390" w:rsidRPr="00DC1376">
        <w:t xml:space="preserve">ion was restricted to patients </w:t>
      </w:r>
      <w:r w:rsidRPr="00DC1376">
        <w:t xml:space="preserve">who were </w:t>
      </w:r>
      <w:proofErr w:type="spellStart"/>
      <w:r w:rsidRPr="00DC1376">
        <w:t>bDMARD</w:t>
      </w:r>
      <w:proofErr w:type="spellEnd"/>
      <w:r w:rsidRPr="00DC1376">
        <w:t xml:space="preserve"> naive.</w:t>
      </w:r>
      <w:r w:rsidR="00687CAF" w:rsidRPr="00DC1376">
        <w:t xml:space="preserve"> </w:t>
      </w:r>
      <w:r w:rsidR="00EC137F" w:rsidRPr="00DC1376">
        <w:t>The submission addressed this issue by presenting results of the JADW trial, examining the response to baricitinib in the treatment of patients with moderate to severe active RA who had inadequate response to a T</w:t>
      </w:r>
      <w:r w:rsidR="00687CAF" w:rsidRPr="00DC1376">
        <w:t xml:space="preserve">NF inhibitor, or other </w:t>
      </w:r>
      <w:proofErr w:type="spellStart"/>
      <w:r w:rsidR="00687CAF" w:rsidRPr="00DC1376">
        <w:t>bDMARD</w:t>
      </w:r>
      <w:proofErr w:type="spellEnd"/>
      <w:r w:rsidR="00687CAF" w:rsidRPr="00DC1376">
        <w:t xml:space="preserve">. </w:t>
      </w:r>
      <w:r w:rsidR="00EC137F" w:rsidRPr="00DC1376">
        <w:t>The submission also included results of a post hoc analysis of patients switching from adalimumab to baricitin</w:t>
      </w:r>
      <w:r w:rsidR="001F5881">
        <w:t>ib in JADV (Taylor et al 2016).</w:t>
      </w:r>
    </w:p>
    <w:p w:rsidR="00EC137F" w:rsidRPr="00DC1376" w:rsidRDefault="0011367B" w:rsidP="005249D1">
      <w:pPr>
        <w:pStyle w:val="ListParagraph"/>
        <w:numPr>
          <w:ilvl w:val="0"/>
          <w:numId w:val="10"/>
        </w:numPr>
        <w:spacing w:before="0" w:after="120"/>
        <w:ind w:left="1134" w:hanging="357"/>
        <w:jc w:val="both"/>
      </w:pPr>
      <w:r w:rsidRPr="00DC1376">
        <w:t>The Aust</w:t>
      </w:r>
      <w:r w:rsidR="002D2AA9" w:rsidRPr="00DC1376">
        <w:t>r</w:t>
      </w:r>
      <w:r w:rsidRPr="00DC1376">
        <w:t xml:space="preserve">alian population </w:t>
      </w:r>
      <w:r w:rsidR="00D462CF" w:rsidRPr="00DC1376">
        <w:t xml:space="preserve">is </w:t>
      </w:r>
      <w:r w:rsidRPr="00DC1376">
        <w:t xml:space="preserve">restricted to </w:t>
      </w:r>
      <w:r w:rsidR="002D2AA9" w:rsidRPr="00DC1376">
        <w:t>patients</w:t>
      </w:r>
      <w:r w:rsidR="000115CA" w:rsidRPr="00DC1376">
        <w:t xml:space="preserve"> who </w:t>
      </w:r>
      <w:r w:rsidR="00765390" w:rsidRPr="00DC1376">
        <w:t>ha</w:t>
      </w:r>
      <w:r w:rsidR="00D462CF" w:rsidRPr="00DC1376">
        <w:t>ve</w:t>
      </w:r>
      <w:r w:rsidR="00765390" w:rsidRPr="00DC1376">
        <w:t xml:space="preserve"> trialled at least 4 months</w:t>
      </w:r>
      <w:r w:rsidR="001F5881">
        <w:t>’</w:t>
      </w:r>
      <w:r w:rsidR="00765390" w:rsidRPr="00DC1376">
        <w:t xml:space="preserve"> </w:t>
      </w:r>
      <w:r w:rsidR="000115CA" w:rsidRPr="00DC1376">
        <w:t>continuous treatment</w:t>
      </w:r>
      <w:r w:rsidR="00D73D6C" w:rsidRPr="00DC1376">
        <w:t xml:space="preserve"> with each of at least two</w:t>
      </w:r>
      <w:r w:rsidRPr="00DC1376">
        <w:t xml:space="preserve"> conventional DMARD</w:t>
      </w:r>
      <w:r w:rsidR="00267F96" w:rsidRPr="00DC1376">
        <w:t>s</w:t>
      </w:r>
      <w:r w:rsidR="001F5881">
        <w:t>,</w:t>
      </w:r>
      <w:r w:rsidRPr="00DC1376">
        <w:t xml:space="preserve"> </w:t>
      </w:r>
      <w:r w:rsidR="000115CA" w:rsidRPr="00DC1376">
        <w:t>whereas the JADV pop</w:t>
      </w:r>
      <w:r w:rsidR="00EC137F" w:rsidRPr="00DC1376">
        <w:t>ulation was restricted to patie</w:t>
      </w:r>
      <w:r w:rsidR="000115CA" w:rsidRPr="00DC1376">
        <w:t>n</w:t>
      </w:r>
      <w:r w:rsidR="00EC137F" w:rsidRPr="00DC1376">
        <w:t>t</w:t>
      </w:r>
      <w:r w:rsidR="000115CA" w:rsidRPr="00DC1376">
        <w:t xml:space="preserve">s who had only received </w:t>
      </w:r>
      <w:r w:rsidR="00267F96" w:rsidRPr="00DC1376">
        <w:t>methotrexate (</w:t>
      </w:r>
      <w:r w:rsidR="000115CA" w:rsidRPr="00DC1376">
        <w:t>MTX</w:t>
      </w:r>
      <w:r w:rsidR="00267F96" w:rsidRPr="00DC1376">
        <w:t>)</w:t>
      </w:r>
      <w:r w:rsidR="000115CA" w:rsidRPr="00DC1376">
        <w:t xml:space="preserve"> prior to trial entry</w:t>
      </w:r>
      <w:r w:rsidR="00EC137F" w:rsidRPr="00DC1376">
        <w:t xml:space="preserve">. To address this issue, the submission presented data from two additional trials: JADX and JADZ. These trials examined the response of baricitinib treatment in patients with moderately to severely active RA who either had inadequate response to </w:t>
      </w:r>
      <w:proofErr w:type="spellStart"/>
      <w:r w:rsidR="00EC137F" w:rsidRPr="00DC1376">
        <w:t>cDMARDs</w:t>
      </w:r>
      <w:proofErr w:type="spellEnd"/>
      <w:r w:rsidR="00EC137F" w:rsidRPr="00DC1376">
        <w:t xml:space="preserve"> (JADX) or had not received prior </w:t>
      </w:r>
      <w:proofErr w:type="spellStart"/>
      <w:r w:rsidR="00EC137F" w:rsidRPr="00DC1376">
        <w:t>cDMARDs</w:t>
      </w:r>
      <w:proofErr w:type="spellEnd"/>
      <w:r w:rsidR="00D73D6C" w:rsidRPr="00DC1376">
        <w:t xml:space="preserve"> (JADZ).</w:t>
      </w:r>
    </w:p>
    <w:p w:rsidR="00C317F3" w:rsidRDefault="00EC137F" w:rsidP="005E290D">
      <w:pPr>
        <w:pStyle w:val="ListParagraph"/>
        <w:numPr>
          <w:ilvl w:val="1"/>
          <w:numId w:val="1"/>
        </w:numPr>
        <w:spacing w:before="0" w:after="120"/>
        <w:jc w:val="both"/>
      </w:pPr>
      <w:r w:rsidRPr="00DC1376">
        <w:t>While the submission’s analyses indicate</w:t>
      </w:r>
      <w:r w:rsidR="00267F96" w:rsidRPr="00DC1376">
        <w:t>d</w:t>
      </w:r>
      <w:r w:rsidRPr="00DC1376">
        <w:t xml:space="preserve"> generally consistent results using the various supplementary trials, supporting the applicability of the JADV trial to the Australian treatment population, only the subgroup analyses of the JADV trial</w:t>
      </w:r>
      <w:r w:rsidR="00AF1595" w:rsidRPr="00DC1376">
        <w:t xml:space="preserve"> actually </w:t>
      </w:r>
      <w:r w:rsidR="00F6211C" w:rsidRPr="00DC1376">
        <w:t>provided</w:t>
      </w:r>
      <w:r w:rsidR="00AF1595" w:rsidRPr="00DC1376">
        <w:t xml:space="preserve"> specific estima</w:t>
      </w:r>
      <w:r w:rsidRPr="00DC1376">
        <w:t xml:space="preserve">tes of treatment effect compared to adalimumab. Given the small incremental improvement in outcomes in the JADV trial, it remained difficult to assess whether this small improvement </w:t>
      </w:r>
      <w:r w:rsidR="00AF1595" w:rsidRPr="00DC1376">
        <w:t>would</w:t>
      </w:r>
      <w:r w:rsidRPr="00DC1376">
        <w:t xml:space="preserve"> be mainta</w:t>
      </w:r>
      <w:r w:rsidR="001F5881">
        <w:t>ined in the Australian setting.</w:t>
      </w:r>
    </w:p>
    <w:p w:rsidR="00F35E46" w:rsidRPr="001F5881" w:rsidRDefault="00F35E46" w:rsidP="001F5881">
      <w:pPr>
        <w:pStyle w:val="ListParagraph"/>
        <w:numPr>
          <w:ilvl w:val="1"/>
          <w:numId w:val="1"/>
        </w:numPr>
        <w:spacing w:before="0" w:after="120"/>
        <w:jc w:val="both"/>
        <w:rPr>
          <w:rFonts w:cs="Arial"/>
          <w:snapToGrid w:val="0"/>
          <w:szCs w:val="20"/>
        </w:rPr>
      </w:pPr>
      <w:r>
        <w:t xml:space="preserve">In </w:t>
      </w:r>
      <w:r w:rsidR="001F5881">
        <w:t>its</w:t>
      </w:r>
      <w:r>
        <w:t xml:space="preserve"> pre-PBAC Response</w:t>
      </w:r>
      <w:r w:rsidR="001F5881">
        <w:t>,</w:t>
      </w:r>
      <w:r>
        <w:t xml:space="preserve"> the sponsor expressed disappointment with the ESC’s assessment that </w:t>
      </w:r>
      <w:r>
        <w:rPr>
          <w:rFonts w:cs="Arial"/>
          <w:snapToGrid w:val="0"/>
          <w:szCs w:val="20"/>
        </w:rPr>
        <w:t xml:space="preserve">it </w:t>
      </w:r>
      <w:r w:rsidRPr="00E6718C">
        <w:rPr>
          <w:rFonts w:cs="Arial"/>
          <w:snapToGrid w:val="0"/>
          <w:szCs w:val="20"/>
        </w:rPr>
        <w:t>remained difficult to assess whether this small improvement would be maintained in the Australian setting</w:t>
      </w:r>
      <w:r>
        <w:rPr>
          <w:rFonts w:cs="Arial"/>
          <w:snapToGrid w:val="0"/>
          <w:szCs w:val="20"/>
        </w:rPr>
        <w:t xml:space="preserve">. </w:t>
      </w:r>
      <w:r w:rsidRPr="00E6718C">
        <w:rPr>
          <w:rFonts w:cs="Arial"/>
          <w:snapToGrid w:val="0"/>
          <w:szCs w:val="20"/>
        </w:rPr>
        <w:t xml:space="preserve">However, </w:t>
      </w:r>
      <w:r>
        <w:rPr>
          <w:rFonts w:cs="Arial"/>
          <w:snapToGrid w:val="0"/>
          <w:szCs w:val="20"/>
        </w:rPr>
        <w:t>the sponsor</w:t>
      </w:r>
      <w:r w:rsidRPr="00E6718C">
        <w:rPr>
          <w:rFonts w:cs="Arial"/>
          <w:snapToGrid w:val="0"/>
          <w:szCs w:val="20"/>
        </w:rPr>
        <w:t xml:space="preserve"> acknowledge</w:t>
      </w:r>
      <w:r>
        <w:rPr>
          <w:rFonts w:cs="Arial"/>
          <w:snapToGrid w:val="0"/>
          <w:szCs w:val="20"/>
        </w:rPr>
        <w:t>d</w:t>
      </w:r>
      <w:r w:rsidRPr="00E6718C">
        <w:rPr>
          <w:rFonts w:cs="Arial"/>
          <w:snapToGrid w:val="0"/>
          <w:szCs w:val="20"/>
        </w:rPr>
        <w:t xml:space="preserve"> that head-to-head data for baricitinib and adalimumab is limited to 52 </w:t>
      </w:r>
      <w:r>
        <w:rPr>
          <w:rFonts w:cs="Arial"/>
          <w:snapToGrid w:val="0"/>
          <w:szCs w:val="20"/>
        </w:rPr>
        <w:t xml:space="preserve">weeks in duration; and noting that </w:t>
      </w:r>
      <w:r w:rsidRPr="00E6718C">
        <w:rPr>
          <w:rFonts w:cs="Arial"/>
          <w:snapToGrid w:val="0"/>
          <w:szCs w:val="20"/>
        </w:rPr>
        <w:t xml:space="preserve">all </w:t>
      </w:r>
      <w:proofErr w:type="spellStart"/>
      <w:r w:rsidRPr="00E6718C">
        <w:rPr>
          <w:rFonts w:cs="Arial"/>
          <w:snapToGrid w:val="0"/>
          <w:szCs w:val="20"/>
        </w:rPr>
        <w:t>bDMARDs</w:t>
      </w:r>
      <w:proofErr w:type="spellEnd"/>
      <w:r w:rsidRPr="00E6718C">
        <w:rPr>
          <w:rFonts w:cs="Arial"/>
          <w:snapToGrid w:val="0"/>
          <w:szCs w:val="20"/>
        </w:rPr>
        <w:t xml:space="preserve"> have been PBS-listed on a cost-minimisation basis in RA, </w:t>
      </w:r>
      <w:r>
        <w:rPr>
          <w:rFonts w:cs="Arial"/>
          <w:snapToGrid w:val="0"/>
          <w:szCs w:val="20"/>
        </w:rPr>
        <w:t>(</w:t>
      </w:r>
      <w:r w:rsidRPr="00E6718C">
        <w:rPr>
          <w:rFonts w:cs="Arial"/>
          <w:snapToGrid w:val="0"/>
          <w:szCs w:val="20"/>
        </w:rPr>
        <w:t xml:space="preserve">with the exception of the first </w:t>
      </w:r>
      <w:proofErr w:type="spellStart"/>
      <w:r w:rsidRPr="00E6718C">
        <w:rPr>
          <w:rFonts w:cs="Arial"/>
          <w:snapToGrid w:val="0"/>
          <w:szCs w:val="20"/>
        </w:rPr>
        <w:t>bDMARD</w:t>
      </w:r>
      <w:proofErr w:type="spellEnd"/>
      <w:r>
        <w:rPr>
          <w:rFonts w:cs="Arial"/>
          <w:snapToGrid w:val="0"/>
          <w:szCs w:val="20"/>
        </w:rPr>
        <w:t>)</w:t>
      </w:r>
      <w:r w:rsidRPr="00E6718C">
        <w:rPr>
          <w:rFonts w:cs="Arial"/>
          <w:snapToGrid w:val="0"/>
          <w:szCs w:val="20"/>
        </w:rPr>
        <w:t xml:space="preserve"> </w:t>
      </w:r>
      <w:r>
        <w:rPr>
          <w:rFonts w:cs="Arial"/>
          <w:snapToGrid w:val="0"/>
          <w:szCs w:val="20"/>
        </w:rPr>
        <w:t>the sponsor accepted</w:t>
      </w:r>
      <w:r w:rsidRPr="00E6718C">
        <w:rPr>
          <w:rFonts w:cs="Arial"/>
          <w:snapToGrid w:val="0"/>
          <w:szCs w:val="20"/>
        </w:rPr>
        <w:t xml:space="preserve"> that</w:t>
      </w:r>
      <w:r>
        <w:rPr>
          <w:rFonts w:cs="Arial"/>
          <w:snapToGrid w:val="0"/>
          <w:szCs w:val="20"/>
        </w:rPr>
        <w:t xml:space="preserve"> the</w:t>
      </w:r>
      <w:r w:rsidRPr="00E6718C">
        <w:rPr>
          <w:rFonts w:cs="Arial"/>
          <w:snapToGrid w:val="0"/>
          <w:szCs w:val="20"/>
        </w:rPr>
        <w:t xml:space="preserve"> PBAC may not be willing to definitively accept a conclusion of clinical superiority to adalimumab at this time.</w:t>
      </w:r>
    </w:p>
    <w:p w:rsidR="00C317F3" w:rsidRPr="00436E07" w:rsidRDefault="00C317F3" w:rsidP="0095170D">
      <w:pPr>
        <w:pStyle w:val="Heading2"/>
      </w:pPr>
      <w:bookmarkStart w:id="11" w:name="_Toc413139278"/>
      <w:bookmarkStart w:id="12" w:name="_Toc482024931"/>
      <w:r w:rsidRPr="00436E07">
        <w:t>Comparative effectiveness</w:t>
      </w:r>
      <w:bookmarkEnd w:id="11"/>
      <w:bookmarkEnd w:id="12"/>
    </w:p>
    <w:p w:rsidR="002D2AA9" w:rsidRPr="00DC1376" w:rsidRDefault="002D2AA9" w:rsidP="005E290D">
      <w:pPr>
        <w:pStyle w:val="ListParagraph"/>
        <w:numPr>
          <w:ilvl w:val="1"/>
          <w:numId w:val="1"/>
        </w:numPr>
        <w:spacing w:before="0" w:after="120"/>
        <w:jc w:val="both"/>
      </w:pPr>
      <w:r w:rsidRPr="00DC1376">
        <w:t xml:space="preserve">The submission stated that the key secondary outcomes of interest to the submission </w:t>
      </w:r>
      <w:r w:rsidR="00871E0B">
        <w:t>were</w:t>
      </w:r>
      <w:r w:rsidR="00871E0B" w:rsidRPr="00DC1376">
        <w:t xml:space="preserve"> </w:t>
      </w:r>
      <w:r w:rsidRPr="00DC1376">
        <w:t>the analysis of baricitinib compared to adalimumab at week 12 meas</w:t>
      </w:r>
      <w:r w:rsidR="00765390" w:rsidRPr="00DC1376">
        <w:t xml:space="preserve">ured by </w:t>
      </w:r>
      <w:r w:rsidR="00871E0B">
        <w:t xml:space="preserve">both </w:t>
      </w:r>
      <w:r w:rsidR="00E2045A" w:rsidRPr="00DC1376">
        <w:t>ACR20</w:t>
      </w:r>
      <w:r w:rsidR="00765390" w:rsidRPr="00DC1376">
        <w:t xml:space="preserve"> and DAS28-hsCRP</w:t>
      </w:r>
      <w:r w:rsidR="009A4A9E" w:rsidRPr="00DC1376">
        <w:t>.</w:t>
      </w:r>
    </w:p>
    <w:p w:rsidR="002D2AA9" w:rsidRPr="00DC1376" w:rsidRDefault="002D2AA9" w:rsidP="005E290D">
      <w:pPr>
        <w:pStyle w:val="ListParagraph"/>
        <w:numPr>
          <w:ilvl w:val="1"/>
          <w:numId w:val="1"/>
        </w:numPr>
        <w:spacing w:before="0" w:after="120"/>
        <w:jc w:val="both"/>
      </w:pPr>
      <w:r w:rsidRPr="00DC1376">
        <w:t xml:space="preserve">The submission stated that the trial was powered for both a non-inferiority analysis and a secondary gated analysis that was planned to test for superiority under defined circumstances. Specifically, the pre-determined non-inferiority margin of -12% was selected. If the lower confidence interval in the difference of rates (or risk difference) </w:t>
      </w:r>
      <w:r w:rsidR="00A4392A" w:rsidRPr="00DC1376">
        <w:t>w</w:t>
      </w:r>
      <w:r w:rsidR="00DC39B7" w:rsidRPr="00DC1376">
        <w:t>as</w:t>
      </w:r>
      <w:r w:rsidRPr="00DC1376">
        <w:t xml:space="preserve"> greater than -12%, baricitinib would be determined non-inferior to adalimumab. Secondly, if the lower confidence interval were found to be greater than 0%, baricitinib would be determined</w:t>
      </w:r>
      <w:r w:rsidR="001F5881">
        <w:t xml:space="preserve"> to be superior to adalimumab.</w:t>
      </w:r>
    </w:p>
    <w:p w:rsidR="002D2AA9" w:rsidRPr="00DC1376" w:rsidRDefault="002D2AA9" w:rsidP="005E290D">
      <w:pPr>
        <w:pStyle w:val="ListParagraph"/>
        <w:numPr>
          <w:ilvl w:val="1"/>
          <w:numId w:val="1"/>
        </w:numPr>
        <w:spacing w:before="0" w:after="120"/>
        <w:jc w:val="both"/>
      </w:pPr>
      <w:r w:rsidRPr="00DC1376">
        <w:t xml:space="preserve">The selection of the -12% non-inferiority threshold was based on that of the AMPLE study comparing the efficacy of </w:t>
      </w:r>
      <w:proofErr w:type="spellStart"/>
      <w:r w:rsidRPr="00DC1376">
        <w:t>abatacept</w:t>
      </w:r>
      <w:proofErr w:type="spellEnd"/>
      <w:r w:rsidRPr="00DC1376">
        <w:t xml:space="preserve"> SC and adalimumab in patients with RA. The 12% threshold in AMPLE was expected to preserve at least 50% of the treatment effect based on results from other studies. This allow</w:t>
      </w:r>
      <w:r w:rsidR="00877207" w:rsidRPr="00DC1376">
        <w:t xml:space="preserve">ed for a maximum difference of </w:t>
      </w:r>
      <w:r w:rsidR="00877207" w:rsidRPr="00DC1376">
        <w:noBreakHyphen/>
      </w:r>
      <w:r w:rsidRPr="00DC1376">
        <w:t>4.7% (95%</w:t>
      </w:r>
      <w:r w:rsidR="009A4A9E" w:rsidRPr="00DC1376">
        <w:t xml:space="preserve"> </w:t>
      </w:r>
      <w:r w:rsidRPr="00DC1376">
        <w:t>CI</w:t>
      </w:r>
      <w:r w:rsidR="009A4A9E" w:rsidRPr="00DC1376">
        <w:t>:</w:t>
      </w:r>
      <w:r w:rsidRPr="00DC1376">
        <w:t xml:space="preserve"> -12%, 2.6%) in the ACR20 response, a difference that was considered to be clinically meaningful.</w:t>
      </w:r>
    </w:p>
    <w:p w:rsidR="002D2AA9" w:rsidRPr="00DC1376" w:rsidRDefault="002D2AA9" w:rsidP="005E290D">
      <w:pPr>
        <w:pStyle w:val="ListParagraph"/>
        <w:numPr>
          <w:ilvl w:val="1"/>
          <w:numId w:val="1"/>
        </w:numPr>
        <w:spacing w:before="0" w:after="120"/>
        <w:jc w:val="both"/>
      </w:pPr>
      <w:r w:rsidRPr="00DC1376">
        <w:t xml:space="preserve">The PBAC has previously accepted the outcomes of ACR20, ACR50 and DAS28 scores for </w:t>
      </w:r>
      <w:proofErr w:type="spellStart"/>
      <w:r w:rsidRPr="00DC1376">
        <w:t>bDMARD</w:t>
      </w:r>
      <w:proofErr w:type="spellEnd"/>
      <w:r w:rsidRPr="00DC1376">
        <w:t xml:space="preserve"> therapies for the treatment of RA. The ACR50 outcome has also previously been considered to be outcome of most interest in the assessment of </w:t>
      </w:r>
      <w:proofErr w:type="spellStart"/>
      <w:r w:rsidRPr="00DC1376">
        <w:t>bDMARDs</w:t>
      </w:r>
      <w:proofErr w:type="spellEnd"/>
      <w:r w:rsidRPr="00DC1376">
        <w:t xml:space="preserve"> for the treatment of psoriatic arthritis as it is more stringent than ACR20 and reflects to a greater degree the current PBS criteria for eligibility for continuing treatment with a </w:t>
      </w:r>
      <w:proofErr w:type="spellStart"/>
      <w:r w:rsidRPr="00DC1376">
        <w:t>bDMARD</w:t>
      </w:r>
      <w:proofErr w:type="spellEnd"/>
      <w:r w:rsidRPr="00DC1376">
        <w:t xml:space="preserve"> (</w:t>
      </w:r>
      <w:proofErr w:type="spellStart"/>
      <w:r w:rsidRPr="00DC1376">
        <w:t>Certolizumab</w:t>
      </w:r>
      <w:proofErr w:type="spellEnd"/>
      <w:r w:rsidRPr="00DC1376">
        <w:t xml:space="preserve"> PSD, November 2014).</w:t>
      </w:r>
    </w:p>
    <w:p w:rsidR="002D2AA9" w:rsidRPr="00DC1376" w:rsidRDefault="009A4A9E" w:rsidP="005E290D">
      <w:pPr>
        <w:pStyle w:val="ListParagraph"/>
        <w:numPr>
          <w:ilvl w:val="1"/>
          <w:numId w:val="1"/>
        </w:numPr>
        <w:spacing w:before="0" w:after="120"/>
        <w:jc w:val="both"/>
      </w:pPr>
      <w:r w:rsidRPr="00DC1376">
        <w:t xml:space="preserve">The selection of 0% as a threshold for superiority allowed any marginal statistically significant improvement over adalimumab to be judged as superiority, in the absence of demonstrating this was a clinically meaningful difference. </w:t>
      </w:r>
      <w:r w:rsidR="00871E0B">
        <w:t>Applying</w:t>
      </w:r>
      <w:r w:rsidRPr="00DC1376">
        <w:t xml:space="preserve"> the additive inverse of the non-inferiority margin (+12%) to determine superiority</w:t>
      </w:r>
      <w:r w:rsidR="00871E0B">
        <w:t xml:space="preserve"> may be useful</w:t>
      </w:r>
      <w:r w:rsidRPr="00DC1376">
        <w:t>.</w:t>
      </w:r>
    </w:p>
    <w:p w:rsidR="0065209E" w:rsidRPr="00DC1376" w:rsidRDefault="0065209E" w:rsidP="005E290D">
      <w:pPr>
        <w:pStyle w:val="ListParagraph"/>
        <w:numPr>
          <w:ilvl w:val="1"/>
          <w:numId w:val="1"/>
        </w:numPr>
        <w:spacing w:before="0" w:after="120"/>
        <w:jc w:val="both"/>
      </w:pPr>
      <w:r w:rsidRPr="00DC1376">
        <w:t>Table 4 presents the key efficacy outcomes of JADV</w:t>
      </w:r>
      <w:r w:rsidR="009A4A9E" w:rsidRPr="00DC1376">
        <w:t>.</w:t>
      </w:r>
    </w:p>
    <w:p w:rsidR="00AE7F95" w:rsidRDefault="00AE7F95" w:rsidP="00AE7F95">
      <w:pPr>
        <w:pStyle w:val="Caption"/>
      </w:pPr>
      <w:r>
        <w:t xml:space="preserve">Table </w:t>
      </w:r>
      <w:r>
        <w:rPr>
          <w:noProof/>
        </w:rPr>
        <w:t>4</w:t>
      </w:r>
      <w:r w:rsidRPr="00AF125E">
        <w:t>: Results of ACR20 and ACR50 outcomes in the direct randomised JADV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5"/>
        <w:gridCol w:w="988"/>
        <w:gridCol w:w="830"/>
        <w:gridCol w:w="830"/>
        <w:gridCol w:w="930"/>
        <w:gridCol w:w="859"/>
        <w:gridCol w:w="856"/>
        <w:gridCol w:w="955"/>
        <w:gridCol w:w="1849"/>
      </w:tblGrid>
      <w:tr w:rsidR="001F6E99" w:rsidRPr="00DC1376" w:rsidTr="009A4A9E">
        <w:tc>
          <w:tcPr>
            <w:tcW w:w="1086" w:type="pct"/>
            <w:gridSpan w:val="2"/>
            <w:shd w:val="clear" w:color="auto" w:fill="auto"/>
          </w:tcPr>
          <w:p w:rsidR="004D1006" w:rsidRPr="00DC1376" w:rsidRDefault="001F6E99" w:rsidP="009A4A9E">
            <w:pPr>
              <w:pStyle w:val="TableText"/>
              <w:rPr>
                <w:b/>
              </w:rPr>
            </w:pPr>
            <w:r w:rsidRPr="00DC1376">
              <w:rPr>
                <w:b/>
              </w:rPr>
              <w:t>Dichotomous outcomes</w:t>
            </w:r>
          </w:p>
        </w:tc>
        <w:tc>
          <w:tcPr>
            <w:tcW w:w="914" w:type="pct"/>
            <w:gridSpan w:val="2"/>
            <w:shd w:val="clear" w:color="auto" w:fill="auto"/>
            <w:vAlign w:val="center"/>
          </w:tcPr>
          <w:p w:rsidR="004D1006" w:rsidRPr="00DC1376" w:rsidRDefault="00FF68A2" w:rsidP="009A4A9E">
            <w:pPr>
              <w:pStyle w:val="TableText"/>
              <w:jc w:val="center"/>
              <w:rPr>
                <w:b/>
              </w:rPr>
            </w:pPr>
            <w:r w:rsidRPr="00DC1376">
              <w:rPr>
                <w:b/>
              </w:rPr>
              <w:t>Baricitinib</w:t>
            </w:r>
          </w:p>
          <w:p w:rsidR="004D1006" w:rsidRDefault="00A56030" w:rsidP="009A4A9E">
            <w:pPr>
              <w:pStyle w:val="TableText"/>
              <w:jc w:val="center"/>
              <w:rPr>
                <w:b/>
              </w:rPr>
            </w:pPr>
            <w:proofErr w:type="gramStart"/>
            <w:r>
              <w:rPr>
                <w:b/>
              </w:rPr>
              <w:t>n</w:t>
            </w:r>
            <w:proofErr w:type="gramEnd"/>
            <w:r>
              <w:rPr>
                <w:b/>
              </w:rPr>
              <w:t xml:space="preserve"> </w:t>
            </w:r>
            <w:r w:rsidR="004D1006" w:rsidRPr="00DC1376">
              <w:rPr>
                <w:b/>
              </w:rPr>
              <w:t>(%)</w:t>
            </w:r>
          </w:p>
          <w:p w:rsidR="00A56030" w:rsidRPr="00DC1376" w:rsidRDefault="00A56030" w:rsidP="009A4A9E">
            <w:pPr>
              <w:pStyle w:val="TableText"/>
              <w:jc w:val="center"/>
              <w:rPr>
                <w:b/>
              </w:rPr>
            </w:pPr>
            <w:r>
              <w:rPr>
                <w:b/>
              </w:rPr>
              <w:t>(N=487)</w:t>
            </w:r>
          </w:p>
        </w:tc>
        <w:tc>
          <w:tcPr>
            <w:tcW w:w="985" w:type="pct"/>
            <w:gridSpan w:val="2"/>
            <w:shd w:val="clear" w:color="auto" w:fill="auto"/>
            <w:vAlign w:val="center"/>
          </w:tcPr>
          <w:p w:rsidR="004D1006" w:rsidRPr="00DC1376" w:rsidRDefault="00FF68A2" w:rsidP="009A4A9E">
            <w:pPr>
              <w:pStyle w:val="TableText"/>
              <w:jc w:val="center"/>
              <w:rPr>
                <w:b/>
              </w:rPr>
            </w:pPr>
            <w:r w:rsidRPr="00DC1376">
              <w:rPr>
                <w:b/>
              </w:rPr>
              <w:t>Adalimumab</w:t>
            </w:r>
          </w:p>
          <w:p w:rsidR="00A56030" w:rsidRDefault="00A56030" w:rsidP="00A56030">
            <w:pPr>
              <w:pStyle w:val="TableText"/>
              <w:jc w:val="center"/>
              <w:rPr>
                <w:b/>
              </w:rPr>
            </w:pPr>
            <w:proofErr w:type="gramStart"/>
            <w:r>
              <w:rPr>
                <w:b/>
              </w:rPr>
              <w:t>n</w:t>
            </w:r>
            <w:proofErr w:type="gramEnd"/>
            <w:r>
              <w:rPr>
                <w:b/>
              </w:rPr>
              <w:t xml:space="preserve"> </w:t>
            </w:r>
            <w:r w:rsidRPr="00DC1376">
              <w:rPr>
                <w:b/>
              </w:rPr>
              <w:t>(%)</w:t>
            </w:r>
          </w:p>
          <w:p w:rsidR="004D1006" w:rsidRPr="00DC1376" w:rsidRDefault="00A56030" w:rsidP="00A56030">
            <w:pPr>
              <w:pStyle w:val="TableText"/>
              <w:jc w:val="center"/>
              <w:rPr>
                <w:b/>
              </w:rPr>
            </w:pPr>
            <w:r>
              <w:rPr>
                <w:b/>
              </w:rPr>
              <w:t>(N=330)</w:t>
            </w:r>
          </w:p>
        </w:tc>
        <w:tc>
          <w:tcPr>
            <w:tcW w:w="997" w:type="pct"/>
            <w:gridSpan w:val="2"/>
            <w:shd w:val="clear" w:color="auto" w:fill="auto"/>
          </w:tcPr>
          <w:p w:rsidR="004D1006" w:rsidRPr="00DC1376" w:rsidRDefault="00FF68A2" w:rsidP="009A4A9E">
            <w:pPr>
              <w:pStyle w:val="TableText"/>
              <w:jc w:val="center"/>
              <w:rPr>
                <w:b/>
              </w:rPr>
            </w:pPr>
            <w:r w:rsidRPr="00DC1376">
              <w:rPr>
                <w:b/>
              </w:rPr>
              <w:t>Odds ratio</w:t>
            </w:r>
            <w:r w:rsidR="004D1006" w:rsidRPr="00DC1376">
              <w:rPr>
                <w:b/>
              </w:rPr>
              <w:t xml:space="preserve"> (95% CI)</w:t>
            </w:r>
          </w:p>
        </w:tc>
        <w:tc>
          <w:tcPr>
            <w:tcW w:w="1018" w:type="pct"/>
            <w:shd w:val="clear" w:color="auto" w:fill="auto"/>
          </w:tcPr>
          <w:p w:rsidR="004D1006" w:rsidRPr="00DC1376" w:rsidRDefault="004D1006" w:rsidP="009A4A9E">
            <w:pPr>
              <w:pStyle w:val="TableText"/>
              <w:jc w:val="center"/>
              <w:rPr>
                <w:b/>
              </w:rPr>
            </w:pPr>
            <w:r w:rsidRPr="00DC1376">
              <w:rPr>
                <w:b/>
              </w:rPr>
              <w:t>Risk difference (95% CI)</w:t>
            </w:r>
          </w:p>
        </w:tc>
      </w:tr>
      <w:tr w:rsidR="00FF68A2" w:rsidRPr="00DC1376" w:rsidTr="009A4A9E">
        <w:tc>
          <w:tcPr>
            <w:tcW w:w="5000" w:type="pct"/>
            <w:gridSpan w:val="9"/>
            <w:shd w:val="clear" w:color="auto" w:fill="auto"/>
            <w:vAlign w:val="center"/>
          </w:tcPr>
          <w:p w:rsidR="00FF68A2" w:rsidRPr="00DC1376" w:rsidRDefault="00FF68A2" w:rsidP="009A4A9E">
            <w:pPr>
              <w:pStyle w:val="TableText"/>
            </w:pPr>
            <w:r w:rsidRPr="00DC1376">
              <w:t>Week 12</w:t>
            </w:r>
          </w:p>
        </w:tc>
      </w:tr>
      <w:tr w:rsidR="001F6E99" w:rsidRPr="00DC1376" w:rsidTr="009A4A9E">
        <w:tc>
          <w:tcPr>
            <w:tcW w:w="1086" w:type="pct"/>
            <w:gridSpan w:val="2"/>
            <w:shd w:val="clear" w:color="auto" w:fill="auto"/>
            <w:vAlign w:val="center"/>
          </w:tcPr>
          <w:p w:rsidR="001F6E99" w:rsidRPr="00DC1376" w:rsidRDefault="001F6E99" w:rsidP="009A4A9E">
            <w:pPr>
              <w:pStyle w:val="TableText"/>
              <w:rPr>
                <w:rFonts w:ascii="Times" w:eastAsia="Times New Roman" w:hAnsi="Times" w:cs="Times New Roman"/>
              </w:rPr>
            </w:pPr>
            <w:r w:rsidRPr="00DC1376">
              <w:t>ACR20</w:t>
            </w:r>
          </w:p>
        </w:tc>
        <w:tc>
          <w:tcPr>
            <w:tcW w:w="914" w:type="pct"/>
            <w:gridSpan w:val="2"/>
            <w:shd w:val="clear" w:color="auto" w:fill="auto"/>
          </w:tcPr>
          <w:p w:rsidR="001F6E99" w:rsidRPr="00DC1376" w:rsidRDefault="001F6E99" w:rsidP="009A4A9E">
            <w:pPr>
              <w:pStyle w:val="TableText"/>
              <w:jc w:val="center"/>
            </w:pPr>
            <w:r w:rsidRPr="00DC1376">
              <w:t>339 (69.6)</w:t>
            </w:r>
          </w:p>
        </w:tc>
        <w:tc>
          <w:tcPr>
            <w:tcW w:w="985" w:type="pct"/>
            <w:gridSpan w:val="2"/>
            <w:shd w:val="clear" w:color="auto" w:fill="auto"/>
          </w:tcPr>
          <w:p w:rsidR="001F6E99" w:rsidRPr="00DC1376" w:rsidRDefault="001F6E99" w:rsidP="009A4A9E">
            <w:pPr>
              <w:pStyle w:val="TableText"/>
              <w:jc w:val="center"/>
            </w:pPr>
            <w:r w:rsidRPr="00DC1376">
              <w:t>202 (61.2)</w:t>
            </w:r>
          </w:p>
        </w:tc>
        <w:tc>
          <w:tcPr>
            <w:tcW w:w="997" w:type="pct"/>
            <w:gridSpan w:val="2"/>
            <w:shd w:val="clear" w:color="auto" w:fill="auto"/>
            <w:vAlign w:val="center"/>
          </w:tcPr>
          <w:p w:rsidR="001F6E99" w:rsidRPr="00A56030" w:rsidRDefault="001F6E99" w:rsidP="00A56030">
            <w:pPr>
              <w:pStyle w:val="TableText"/>
              <w:jc w:val="center"/>
              <w:rPr>
                <w:b/>
              </w:rPr>
            </w:pPr>
            <w:r w:rsidRPr="00A56030">
              <w:rPr>
                <w:rFonts w:eastAsia="Times New Roman" w:cs="Times New Roman"/>
                <w:b/>
              </w:rPr>
              <w:t>1.5 (</w:t>
            </w:r>
            <w:r w:rsidR="00A56030" w:rsidRPr="00A56030">
              <w:rPr>
                <w:rFonts w:eastAsia="Times New Roman" w:cs="Times New Roman"/>
                <w:b/>
              </w:rPr>
              <w:t>1.08,1.95)</w:t>
            </w:r>
          </w:p>
        </w:tc>
        <w:tc>
          <w:tcPr>
            <w:tcW w:w="1018" w:type="pct"/>
            <w:shd w:val="clear" w:color="auto" w:fill="auto"/>
            <w:vAlign w:val="center"/>
          </w:tcPr>
          <w:p w:rsidR="001F6E99" w:rsidRPr="00DC1376" w:rsidRDefault="00816BBD" w:rsidP="009A4A9E">
            <w:pPr>
              <w:pStyle w:val="TableText"/>
              <w:jc w:val="center"/>
              <w:rPr>
                <w:b/>
              </w:rPr>
            </w:pPr>
            <w:r w:rsidRPr="00DC1376">
              <w:rPr>
                <w:b/>
              </w:rPr>
              <w:t>0.08 (0.02, 0.15</w:t>
            </w:r>
            <w:r w:rsidR="001F6E99" w:rsidRPr="00DC1376">
              <w:rPr>
                <w:b/>
              </w:rPr>
              <w:t>)</w:t>
            </w:r>
          </w:p>
        </w:tc>
      </w:tr>
      <w:tr w:rsidR="001F6E99" w:rsidRPr="00DC1376" w:rsidTr="009A4A9E">
        <w:trPr>
          <w:trHeight w:val="114"/>
        </w:trPr>
        <w:tc>
          <w:tcPr>
            <w:tcW w:w="1086" w:type="pct"/>
            <w:gridSpan w:val="2"/>
            <w:shd w:val="clear" w:color="auto" w:fill="auto"/>
            <w:vAlign w:val="center"/>
          </w:tcPr>
          <w:p w:rsidR="001F6E99" w:rsidRPr="00DC1376" w:rsidRDefault="001F6E99" w:rsidP="009A4A9E">
            <w:pPr>
              <w:pStyle w:val="TableText"/>
              <w:rPr>
                <w:rFonts w:ascii="Times" w:eastAsia="Times New Roman" w:hAnsi="Times" w:cs="Times New Roman"/>
              </w:rPr>
            </w:pPr>
            <w:r w:rsidRPr="00DC1376">
              <w:t>ACR50</w:t>
            </w:r>
          </w:p>
        </w:tc>
        <w:tc>
          <w:tcPr>
            <w:tcW w:w="914" w:type="pct"/>
            <w:gridSpan w:val="2"/>
            <w:shd w:val="clear" w:color="auto" w:fill="auto"/>
          </w:tcPr>
          <w:p w:rsidR="001F6E99" w:rsidRPr="00DC1376" w:rsidRDefault="001F6E99" w:rsidP="009A4A9E">
            <w:pPr>
              <w:pStyle w:val="TableText"/>
              <w:jc w:val="center"/>
            </w:pPr>
            <w:r w:rsidRPr="00DC1376">
              <w:rPr>
                <w:rFonts w:eastAsia="Times New Roman" w:cs="Times New Roman"/>
              </w:rPr>
              <w:t>219 (45.0)</w:t>
            </w:r>
          </w:p>
        </w:tc>
        <w:tc>
          <w:tcPr>
            <w:tcW w:w="985" w:type="pct"/>
            <w:gridSpan w:val="2"/>
            <w:shd w:val="clear" w:color="auto" w:fill="auto"/>
          </w:tcPr>
          <w:p w:rsidR="001F6E99" w:rsidRPr="00DC1376" w:rsidRDefault="001F6E99" w:rsidP="009A4A9E">
            <w:pPr>
              <w:pStyle w:val="TableText"/>
              <w:jc w:val="center"/>
            </w:pPr>
            <w:r w:rsidRPr="00DC1376">
              <w:rPr>
                <w:rFonts w:eastAsia="Times New Roman" w:cs="Times New Roman"/>
              </w:rPr>
              <w:t>115 (34.8)</w:t>
            </w:r>
          </w:p>
        </w:tc>
        <w:tc>
          <w:tcPr>
            <w:tcW w:w="997" w:type="pct"/>
            <w:gridSpan w:val="2"/>
            <w:shd w:val="clear" w:color="auto" w:fill="auto"/>
            <w:vAlign w:val="center"/>
          </w:tcPr>
          <w:p w:rsidR="001F6E99" w:rsidRPr="00A56030" w:rsidRDefault="00816BBD" w:rsidP="009A4A9E">
            <w:pPr>
              <w:pStyle w:val="TableText"/>
              <w:jc w:val="center"/>
              <w:rPr>
                <w:b/>
              </w:rPr>
            </w:pPr>
            <w:r w:rsidRPr="00A56030">
              <w:rPr>
                <w:rFonts w:eastAsia="Times New Roman" w:cs="Times New Roman"/>
                <w:b/>
              </w:rPr>
              <w:t>1.53 (1.15, 2.04</w:t>
            </w:r>
            <w:r w:rsidR="001F6E99" w:rsidRPr="00A56030">
              <w:rPr>
                <w:rFonts w:eastAsia="Times New Roman" w:cs="Times New Roman"/>
                <w:b/>
              </w:rPr>
              <w:t>)</w:t>
            </w:r>
          </w:p>
        </w:tc>
        <w:tc>
          <w:tcPr>
            <w:tcW w:w="1018" w:type="pct"/>
            <w:shd w:val="clear" w:color="auto" w:fill="auto"/>
            <w:vAlign w:val="center"/>
          </w:tcPr>
          <w:p w:rsidR="001F6E99" w:rsidRPr="00DC1376" w:rsidRDefault="00816BBD" w:rsidP="009A4A9E">
            <w:pPr>
              <w:pStyle w:val="TableText"/>
              <w:jc w:val="center"/>
              <w:rPr>
                <w:b/>
              </w:rPr>
            </w:pPr>
            <w:r w:rsidRPr="00DC1376">
              <w:rPr>
                <w:rFonts w:eastAsia="Times New Roman" w:cs="Times New Roman"/>
                <w:b/>
              </w:rPr>
              <w:t>0.10 (0.03, 0.17</w:t>
            </w:r>
            <w:r w:rsidR="001F6E99" w:rsidRPr="00DC1376">
              <w:rPr>
                <w:rFonts w:eastAsia="Times New Roman" w:cs="Times New Roman"/>
                <w:b/>
              </w:rPr>
              <w:t>)</w:t>
            </w:r>
          </w:p>
        </w:tc>
      </w:tr>
      <w:tr w:rsidR="001F6E99" w:rsidRPr="00DC1376" w:rsidTr="009A4A9E">
        <w:tc>
          <w:tcPr>
            <w:tcW w:w="5000" w:type="pct"/>
            <w:gridSpan w:val="9"/>
            <w:shd w:val="clear" w:color="auto" w:fill="auto"/>
            <w:vAlign w:val="center"/>
          </w:tcPr>
          <w:p w:rsidR="001F6E99" w:rsidRPr="00DC1376" w:rsidRDefault="001F6E99" w:rsidP="009A4A9E">
            <w:pPr>
              <w:pStyle w:val="TableText"/>
            </w:pPr>
            <w:r w:rsidRPr="00DC1376">
              <w:t>Week 24</w:t>
            </w:r>
          </w:p>
        </w:tc>
      </w:tr>
      <w:tr w:rsidR="001F6E99" w:rsidRPr="00DC1376" w:rsidTr="009A4A9E">
        <w:tc>
          <w:tcPr>
            <w:tcW w:w="1086" w:type="pct"/>
            <w:gridSpan w:val="2"/>
            <w:shd w:val="clear" w:color="auto" w:fill="auto"/>
            <w:vAlign w:val="center"/>
          </w:tcPr>
          <w:p w:rsidR="001F6E99" w:rsidRPr="00DC1376" w:rsidRDefault="001F6E99" w:rsidP="009A4A9E">
            <w:pPr>
              <w:pStyle w:val="TableText"/>
            </w:pPr>
            <w:r w:rsidRPr="00DC1376">
              <w:t>ACR20</w:t>
            </w:r>
          </w:p>
        </w:tc>
        <w:tc>
          <w:tcPr>
            <w:tcW w:w="914" w:type="pct"/>
            <w:gridSpan w:val="2"/>
            <w:shd w:val="clear" w:color="auto" w:fill="auto"/>
            <w:vAlign w:val="center"/>
          </w:tcPr>
          <w:p w:rsidR="001F6E99" w:rsidRPr="00DC1376" w:rsidRDefault="009E0A03" w:rsidP="009A4A9E">
            <w:pPr>
              <w:pStyle w:val="TableText"/>
              <w:jc w:val="center"/>
            </w:pPr>
            <w:r>
              <w:t xml:space="preserve">360 </w:t>
            </w:r>
            <w:r w:rsidR="001F6E99" w:rsidRPr="00DC1376">
              <w:t>(73.9)</w:t>
            </w:r>
          </w:p>
        </w:tc>
        <w:tc>
          <w:tcPr>
            <w:tcW w:w="985" w:type="pct"/>
            <w:gridSpan w:val="2"/>
            <w:shd w:val="clear" w:color="auto" w:fill="auto"/>
            <w:vAlign w:val="center"/>
          </w:tcPr>
          <w:p w:rsidR="001F6E99" w:rsidRPr="00DC1376" w:rsidRDefault="001F6E99" w:rsidP="009A4A9E">
            <w:pPr>
              <w:pStyle w:val="TableText"/>
              <w:jc w:val="center"/>
            </w:pPr>
            <w:r w:rsidRPr="00DC1376">
              <w:t>219 (66.4)</w:t>
            </w:r>
          </w:p>
        </w:tc>
        <w:tc>
          <w:tcPr>
            <w:tcW w:w="997" w:type="pct"/>
            <w:gridSpan w:val="2"/>
            <w:shd w:val="clear" w:color="auto" w:fill="auto"/>
            <w:vAlign w:val="center"/>
          </w:tcPr>
          <w:p w:rsidR="001F6E99" w:rsidRPr="00DC1376" w:rsidRDefault="00816BBD" w:rsidP="009A4A9E">
            <w:pPr>
              <w:pStyle w:val="TableText"/>
              <w:jc w:val="center"/>
            </w:pPr>
            <w:r w:rsidRPr="00DC1376">
              <w:rPr>
                <w:rFonts w:eastAsia="Times New Roman" w:cs="Times New Roman"/>
              </w:rPr>
              <w:t>1.30 (0.96</w:t>
            </w:r>
            <w:r w:rsidR="001F6E99" w:rsidRPr="00DC1376">
              <w:rPr>
                <w:rFonts w:eastAsia="Times New Roman" w:cs="Times New Roman"/>
              </w:rPr>
              <w:t>, 1.75)</w:t>
            </w:r>
          </w:p>
        </w:tc>
        <w:tc>
          <w:tcPr>
            <w:tcW w:w="1018" w:type="pct"/>
            <w:shd w:val="clear" w:color="auto" w:fill="auto"/>
            <w:vAlign w:val="center"/>
          </w:tcPr>
          <w:p w:rsidR="001F6E99" w:rsidRPr="00DC1376" w:rsidRDefault="00816BBD" w:rsidP="009A4A9E">
            <w:pPr>
              <w:pStyle w:val="TableText"/>
              <w:jc w:val="center"/>
            </w:pPr>
            <w:r w:rsidRPr="00DC1376">
              <w:t>0.06</w:t>
            </w:r>
            <w:r w:rsidR="001F6E99" w:rsidRPr="00DC1376">
              <w:t xml:space="preserve"> (-0.01, 0.12)</w:t>
            </w:r>
          </w:p>
        </w:tc>
      </w:tr>
      <w:tr w:rsidR="001F6E99" w:rsidRPr="00DC1376" w:rsidTr="009A4A9E">
        <w:tc>
          <w:tcPr>
            <w:tcW w:w="1086" w:type="pct"/>
            <w:gridSpan w:val="2"/>
            <w:shd w:val="clear" w:color="auto" w:fill="auto"/>
            <w:vAlign w:val="center"/>
          </w:tcPr>
          <w:p w:rsidR="001F6E99" w:rsidRPr="00DC1376" w:rsidRDefault="001F6E99" w:rsidP="009A4A9E">
            <w:pPr>
              <w:pStyle w:val="TableText"/>
            </w:pPr>
            <w:r w:rsidRPr="00DC1376">
              <w:t>ACR50</w:t>
            </w:r>
          </w:p>
        </w:tc>
        <w:tc>
          <w:tcPr>
            <w:tcW w:w="914" w:type="pct"/>
            <w:gridSpan w:val="2"/>
            <w:shd w:val="clear" w:color="auto" w:fill="auto"/>
          </w:tcPr>
          <w:p w:rsidR="001F6E99" w:rsidRPr="00DC1376" w:rsidRDefault="001F6E99" w:rsidP="009A4A9E">
            <w:pPr>
              <w:pStyle w:val="TableText"/>
              <w:jc w:val="center"/>
            </w:pPr>
            <w:r w:rsidRPr="00DC1376">
              <w:t>246 (50.5)</w:t>
            </w:r>
          </w:p>
        </w:tc>
        <w:tc>
          <w:tcPr>
            <w:tcW w:w="985" w:type="pct"/>
            <w:gridSpan w:val="2"/>
            <w:shd w:val="clear" w:color="auto" w:fill="auto"/>
          </w:tcPr>
          <w:p w:rsidR="001F6E99" w:rsidRPr="00DC1376" w:rsidRDefault="001F6E99" w:rsidP="009A4A9E">
            <w:pPr>
              <w:pStyle w:val="TableText"/>
              <w:jc w:val="center"/>
            </w:pPr>
            <w:r w:rsidRPr="00DC1376">
              <w:t>150 (45.5)</w:t>
            </w:r>
          </w:p>
        </w:tc>
        <w:tc>
          <w:tcPr>
            <w:tcW w:w="997" w:type="pct"/>
            <w:gridSpan w:val="2"/>
            <w:shd w:val="clear" w:color="auto" w:fill="auto"/>
            <w:vAlign w:val="center"/>
          </w:tcPr>
          <w:p w:rsidR="001F6E99" w:rsidRPr="00DC1376" w:rsidRDefault="00816BBD" w:rsidP="009A4A9E">
            <w:pPr>
              <w:pStyle w:val="TableText"/>
              <w:jc w:val="center"/>
            </w:pPr>
            <w:r w:rsidRPr="00DC1376">
              <w:rPr>
                <w:rFonts w:eastAsia="Times New Roman" w:cs="Times New Roman"/>
              </w:rPr>
              <w:t>1.23 (0.93</w:t>
            </w:r>
            <w:r w:rsidR="001F6E99" w:rsidRPr="00DC1376">
              <w:rPr>
                <w:rFonts w:eastAsia="Times New Roman" w:cs="Times New Roman"/>
              </w:rPr>
              <w:t>, 1.62)</w:t>
            </w:r>
          </w:p>
        </w:tc>
        <w:tc>
          <w:tcPr>
            <w:tcW w:w="1018" w:type="pct"/>
            <w:shd w:val="clear" w:color="auto" w:fill="auto"/>
            <w:vAlign w:val="center"/>
          </w:tcPr>
          <w:p w:rsidR="001F6E99" w:rsidRPr="00DC1376" w:rsidRDefault="00816BBD" w:rsidP="009A4A9E">
            <w:pPr>
              <w:pStyle w:val="TableText"/>
              <w:jc w:val="center"/>
            </w:pPr>
            <w:r w:rsidRPr="00DC1376">
              <w:t>0.05 (-0.02, 0.12</w:t>
            </w:r>
            <w:r w:rsidR="001F6E99" w:rsidRPr="00DC1376">
              <w:t>)</w:t>
            </w:r>
          </w:p>
        </w:tc>
      </w:tr>
      <w:tr w:rsidR="001F6E99" w:rsidRPr="00DC1376" w:rsidTr="009A4A9E">
        <w:tc>
          <w:tcPr>
            <w:tcW w:w="5000" w:type="pct"/>
            <w:gridSpan w:val="9"/>
            <w:shd w:val="clear" w:color="auto" w:fill="auto"/>
            <w:vAlign w:val="center"/>
          </w:tcPr>
          <w:p w:rsidR="001F6E99" w:rsidRPr="00DC1376" w:rsidRDefault="001F6E99" w:rsidP="009A4A9E">
            <w:pPr>
              <w:pStyle w:val="TableText"/>
            </w:pPr>
            <w:r w:rsidRPr="00DC1376">
              <w:t>Week 52</w:t>
            </w:r>
          </w:p>
        </w:tc>
      </w:tr>
      <w:tr w:rsidR="001F6E99" w:rsidRPr="00DC1376" w:rsidTr="009A4A9E">
        <w:tc>
          <w:tcPr>
            <w:tcW w:w="1086" w:type="pct"/>
            <w:gridSpan w:val="2"/>
            <w:shd w:val="clear" w:color="auto" w:fill="auto"/>
            <w:vAlign w:val="center"/>
          </w:tcPr>
          <w:p w:rsidR="001F6E99" w:rsidRPr="00DC1376" w:rsidRDefault="001F6E99" w:rsidP="009A4A9E">
            <w:pPr>
              <w:pStyle w:val="TableText"/>
            </w:pPr>
            <w:r w:rsidRPr="00DC1376">
              <w:t>ACR20</w:t>
            </w:r>
          </w:p>
        </w:tc>
        <w:tc>
          <w:tcPr>
            <w:tcW w:w="914" w:type="pct"/>
            <w:gridSpan w:val="2"/>
            <w:shd w:val="clear" w:color="auto" w:fill="auto"/>
          </w:tcPr>
          <w:p w:rsidR="001F6E99" w:rsidRPr="00DC1376" w:rsidRDefault="001F6E99" w:rsidP="009A4A9E">
            <w:pPr>
              <w:pStyle w:val="TableText"/>
              <w:jc w:val="center"/>
            </w:pPr>
            <w:r w:rsidRPr="00DC1376">
              <w:t>347 (71.3)</w:t>
            </w:r>
          </w:p>
        </w:tc>
        <w:tc>
          <w:tcPr>
            <w:tcW w:w="985" w:type="pct"/>
            <w:gridSpan w:val="2"/>
            <w:shd w:val="clear" w:color="auto" w:fill="auto"/>
          </w:tcPr>
          <w:p w:rsidR="001F6E99" w:rsidRPr="00DC1376" w:rsidRDefault="001F6E99" w:rsidP="009A4A9E">
            <w:pPr>
              <w:pStyle w:val="TableText"/>
              <w:jc w:val="center"/>
            </w:pPr>
            <w:r w:rsidRPr="00DC1376">
              <w:t>203 (61.5)</w:t>
            </w:r>
          </w:p>
        </w:tc>
        <w:tc>
          <w:tcPr>
            <w:tcW w:w="997" w:type="pct"/>
            <w:gridSpan w:val="2"/>
            <w:shd w:val="clear" w:color="auto" w:fill="auto"/>
            <w:vAlign w:val="center"/>
          </w:tcPr>
          <w:p w:rsidR="001F6E99" w:rsidRPr="00A56030" w:rsidRDefault="00816BBD" w:rsidP="009A4A9E">
            <w:pPr>
              <w:pStyle w:val="TableText"/>
              <w:jc w:val="center"/>
              <w:rPr>
                <w:b/>
              </w:rPr>
            </w:pPr>
            <w:r w:rsidRPr="00A56030">
              <w:rPr>
                <w:rFonts w:eastAsia="Times New Roman" w:cs="Times New Roman"/>
                <w:b/>
              </w:rPr>
              <w:t>1.55 (1.15, 2.09</w:t>
            </w:r>
            <w:r w:rsidR="001F6E99" w:rsidRPr="00A56030">
              <w:rPr>
                <w:rFonts w:eastAsia="Times New Roman" w:cs="Times New Roman"/>
                <w:b/>
              </w:rPr>
              <w:t>)</w:t>
            </w:r>
          </w:p>
        </w:tc>
        <w:tc>
          <w:tcPr>
            <w:tcW w:w="1018" w:type="pct"/>
            <w:shd w:val="clear" w:color="auto" w:fill="auto"/>
            <w:vAlign w:val="center"/>
          </w:tcPr>
          <w:p w:rsidR="001F6E99" w:rsidRPr="00DC1376" w:rsidRDefault="00816BBD" w:rsidP="009A4A9E">
            <w:pPr>
              <w:pStyle w:val="TableText"/>
              <w:jc w:val="center"/>
              <w:rPr>
                <w:b/>
              </w:rPr>
            </w:pPr>
            <w:r w:rsidRPr="00DC1376">
              <w:rPr>
                <w:b/>
              </w:rPr>
              <w:t>0.10 (0.03, 0.16</w:t>
            </w:r>
            <w:r w:rsidR="001F6E99" w:rsidRPr="00DC1376">
              <w:rPr>
                <w:b/>
              </w:rPr>
              <w:t>)</w:t>
            </w:r>
          </w:p>
        </w:tc>
      </w:tr>
      <w:tr w:rsidR="001F6E99" w:rsidRPr="00DC1376" w:rsidTr="009A4A9E">
        <w:trPr>
          <w:trHeight w:val="58"/>
        </w:trPr>
        <w:tc>
          <w:tcPr>
            <w:tcW w:w="1086" w:type="pct"/>
            <w:gridSpan w:val="2"/>
            <w:shd w:val="clear" w:color="auto" w:fill="auto"/>
            <w:vAlign w:val="center"/>
          </w:tcPr>
          <w:p w:rsidR="001F6E99" w:rsidRPr="00DC1376" w:rsidRDefault="001F6E99" w:rsidP="009A4A9E">
            <w:pPr>
              <w:pStyle w:val="TableText"/>
            </w:pPr>
            <w:r w:rsidRPr="00DC1376">
              <w:t>ACR50</w:t>
            </w:r>
          </w:p>
        </w:tc>
        <w:tc>
          <w:tcPr>
            <w:tcW w:w="914" w:type="pct"/>
            <w:gridSpan w:val="2"/>
            <w:shd w:val="clear" w:color="auto" w:fill="auto"/>
          </w:tcPr>
          <w:p w:rsidR="001F6E99" w:rsidRPr="00DC1376" w:rsidRDefault="001F6E99" w:rsidP="009A4A9E">
            <w:pPr>
              <w:pStyle w:val="TableText"/>
              <w:jc w:val="center"/>
            </w:pPr>
            <w:r w:rsidRPr="00DC1376">
              <w:t>272 (55.9)</w:t>
            </w:r>
          </w:p>
        </w:tc>
        <w:tc>
          <w:tcPr>
            <w:tcW w:w="985" w:type="pct"/>
            <w:gridSpan w:val="2"/>
            <w:shd w:val="clear" w:color="auto" w:fill="auto"/>
          </w:tcPr>
          <w:p w:rsidR="001F6E99" w:rsidRPr="00DC1376" w:rsidRDefault="001F6E99" w:rsidP="009A4A9E">
            <w:pPr>
              <w:pStyle w:val="TableText"/>
              <w:jc w:val="center"/>
            </w:pPr>
            <w:r w:rsidRPr="00DC1376">
              <w:t>155 (47.0)</w:t>
            </w:r>
          </w:p>
        </w:tc>
        <w:tc>
          <w:tcPr>
            <w:tcW w:w="997" w:type="pct"/>
            <w:gridSpan w:val="2"/>
            <w:shd w:val="clear" w:color="auto" w:fill="auto"/>
            <w:vAlign w:val="center"/>
          </w:tcPr>
          <w:p w:rsidR="001F6E99" w:rsidRPr="00A56030" w:rsidRDefault="00816BBD" w:rsidP="009A4A9E">
            <w:pPr>
              <w:pStyle w:val="TableText"/>
              <w:jc w:val="center"/>
              <w:rPr>
                <w:b/>
              </w:rPr>
            </w:pPr>
            <w:r w:rsidRPr="00A56030">
              <w:rPr>
                <w:rFonts w:eastAsia="Times New Roman" w:cs="Times New Roman"/>
                <w:b/>
              </w:rPr>
              <w:t>1.43 (1.08, 1.89</w:t>
            </w:r>
            <w:r w:rsidR="001F6E99" w:rsidRPr="00A56030">
              <w:rPr>
                <w:rFonts w:eastAsia="Times New Roman" w:cs="Times New Roman"/>
                <w:b/>
              </w:rPr>
              <w:t>)</w:t>
            </w:r>
          </w:p>
        </w:tc>
        <w:tc>
          <w:tcPr>
            <w:tcW w:w="1018" w:type="pct"/>
            <w:shd w:val="clear" w:color="auto" w:fill="auto"/>
            <w:vAlign w:val="center"/>
          </w:tcPr>
          <w:p w:rsidR="001F6E99" w:rsidRPr="00DC1376" w:rsidRDefault="00816BBD" w:rsidP="009A4A9E">
            <w:pPr>
              <w:pStyle w:val="TableText"/>
              <w:jc w:val="center"/>
              <w:rPr>
                <w:b/>
              </w:rPr>
            </w:pPr>
            <w:r w:rsidRPr="00DC1376">
              <w:rPr>
                <w:b/>
              </w:rPr>
              <w:t>0.09 (0.02</w:t>
            </w:r>
            <w:r w:rsidR="001F6E99" w:rsidRPr="00DC1376">
              <w:rPr>
                <w:b/>
              </w:rPr>
              <w:t>, 0.1</w:t>
            </w:r>
            <w:r w:rsidRPr="00DC1376">
              <w:rPr>
                <w:b/>
              </w:rPr>
              <w:t>6</w:t>
            </w:r>
            <w:r w:rsidR="001F6E99" w:rsidRPr="00DC1376">
              <w:rPr>
                <w:b/>
              </w:rPr>
              <w:t>)</w:t>
            </w:r>
          </w:p>
        </w:tc>
      </w:tr>
      <w:tr w:rsidR="001F6E99" w:rsidRPr="00DC1376" w:rsidTr="009A4A9E">
        <w:tc>
          <w:tcPr>
            <w:tcW w:w="1086" w:type="pct"/>
            <w:gridSpan w:val="2"/>
            <w:vMerge w:val="restart"/>
            <w:shd w:val="clear" w:color="auto" w:fill="auto"/>
            <w:vAlign w:val="center"/>
          </w:tcPr>
          <w:p w:rsidR="001F6E99" w:rsidRPr="00DC1376" w:rsidRDefault="001F6E99" w:rsidP="009A4A9E">
            <w:pPr>
              <w:pStyle w:val="TableText"/>
              <w:rPr>
                <w:b/>
              </w:rPr>
            </w:pPr>
            <w:r w:rsidRPr="00DC1376">
              <w:rPr>
                <w:b/>
              </w:rPr>
              <w:t>Continuous outcomes</w:t>
            </w:r>
          </w:p>
        </w:tc>
        <w:tc>
          <w:tcPr>
            <w:tcW w:w="1426" w:type="pct"/>
            <w:gridSpan w:val="3"/>
            <w:shd w:val="clear" w:color="auto" w:fill="auto"/>
            <w:vAlign w:val="center"/>
          </w:tcPr>
          <w:p w:rsidR="001F6E99" w:rsidRPr="00DC1376" w:rsidRDefault="001F6E99" w:rsidP="009A4A9E">
            <w:pPr>
              <w:pStyle w:val="TableText"/>
              <w:jc w:val="center"/>
            </w:pPr>
            <w:r w:rsidRPr="00DC1376">
              <w:rPr>
                <w:b/>
                <w:iCs/>
                <w:szCs w:val="24"/>
                <w:lang w:val="en-US"/>
              </w:rPr>
              <w:t>Baricitinib</w:t>
            </w:r>
          </w:p>
        </w:tc>
        <w:tc>
          <w:tcPr>
            <w:tcW w:w="1470" w:type="pct"/>
            <w:gridSpan w:val="3"/>
            <w:shd w:val="clear" w:color="auto" w:fill="auto"/>
            <w:vAlign w:val="center"/>
          </w:tcPr>
          <w:p w:rsidR="001F6E99" w:rsidRPr="00DC1376" w:rsidRDefault="001F6E99" w:rsidP="009A4A9E">
            <w:pPr>
              <w:pStyle w:val="TableText"/>
              <w:jc w:val="center"/>
              <w:rPr>
                <w:rFonts w:eastAsia="Times New Roman" w:cs="Times New Roman"/>
              </w:rPr>
            </w:pPr>
            <w:r w:rsidRPr="00DC1376">
              <w:rPr>
                <w:b/>
                <w:iCs/>
                <w:szCs w:val="24"/>
                <w:lang w:val="en-US"/>
              </w:rPr>
              <w:t>Adalimumab</w:t>
            </w:r>
          </w:p>
        </w:tc>
        <w:tc>
          <w:tcPr>
            <w:tcW w:w="1018" w:type="pct"/>
            <w:shd w:val="clear" w:color="auto" w:fill="auto"/>
            <w:vAlign w:val="center"/>
          </w:tcPr>
          <w:p w:rsidR="001F6E99" w:rsidRPr="00DC1376" w:rsidRDefault="001F6E99" w:rsidP="009A4A9E">
            <w:pPr>
              <w:pStyle w:val="TableText"/>
              <w:jc w:val="center"/>
              <w:rPr>
                <w:b/>
              </w:rPr>
            </w:pPr>
            <w:r w:rsidRPr="00DC1376">
              <w:rPr>
                <w:b/>
              </w:rPr>
              <w:t>Difference in means</w:t>
            </w:r>
          </w:p>
        </w:tc>
      </w:tr>
      <w:tr w:rsidR="001F6E99" w:rsidRPr="00DC1376" w:rsidTr="009A4A9E">
        <w:tc>
          <w:tcPr>
            <w:tcW w:w="1086" w:type="pct"/>
            <w:gridSpan w:val="2"/>
            <w:vMerge/>
            <w:shd w:val="clear" w:color="auto" w:fill="auto"/>
            <w:vAlign w:val="center"/>
          </w:tcPr>
          <w:p w:rsidR="001F6E99" w:rsidRPr="00DC1376" w:rsidRDefault="001F6E99" w:rsidP="009A4A9E">
            <w:pPr>
              <w:pStyle w:val="TableText"/>
            </w:pPr>
          </w:p>
        </w:tc>
        <w:tc>
          <w:tcPr>
            <w:tcW w:w="457" w:type="pct"/>
            <w:shd w:val="clear" w:color="auto" w:fill="auto"/>
            <w:vAlign w:val="center"/>
          </w:tcPr>
          <w:p w:rsidR="001F6E99" w:rsidRDefault="001F6E99" w:rsidP="009A4A9E">
            <w:pPr>
              <w:pStyle w:val="TableText"/>
              <w:ind w:hanging="7"/>
              <w:jc w:val="center"/>
              <w:rPr>
                <w:b/>
                <w:iCs/>
                <w:szCs w:val="24"/>
                <w:lang w:val="en-US"/>
              </w:rPr>
            </w:pPr>
            <w:r w:rsidRPr="00DC1376">
              <w:rPr>
                <w:b/>
                <w:iCs/>
                <w:szCs w:val="24"/>
                <w:lang w:val="en-US"/>
              </w:rPr>
              <w:t>Baseline</w:t>
            </w:r>
          </w:p>
          <w:p w:rsidR="00A56030" w:rsidRPr="00DC1376" w:rsidRDefault="00A56030" w:rsidP="009A4A9E">
            <w:pPr>
              <w:pStyle w:val="TableText"/>
              <w:ind w:hanging="7"/>
              <w:jc w:val="center"/>
            </w:pPr>
            <w:r w:rsidRPr="00DC1376">
              <w:rPr>
                <w:b/>
                <w:iCs/>
                <w:szCs w:val="24"/>
                <w:lang w:val="en-US"/>
              </w:rPr>
              <w:t>(SD)</w:t>
            </w:r>
          </w:p>
        </w:tc>
        <w:tc>
          <w:tcPr>
            <w:tcW w:w="457" w:type="pct"/>
            <w:shd w:val="clear" w:color="auto" w:fill="auto"/>
            <w:vAlign w:val="center"/>
          </w:tcPr>
          <w:p w:rsidR="001F6E99" w:rsidRDefault="001F6E99" w:rsidP="009A4A9E">
            <w:pPr>
              <w:pStyle w:val="TableText"/>
              <w:jc w:val="center"/>
              <w:rPr>
                <w:b/>
                <w:iCs/>
                <w:szCs w:val="24"/>
                <w:lang w:val="en-US"/>
              </w:rPr>
            </w:pPr>
            <w:r w:rsidRPr="00DC1376">
              <w:rPr>
                <w:b/>
                <w:iCs/>
                <w:szCs w:val="24"/>
                <w:lang w:val="en-US"/>
              </w:rPr>
              <w:t>End point</w:t>
            </w:r>
          </w:p>
          <w:p w:rsidR="00A56030" w:rsidRPr="00DC1376" w:rsidRDefault="00A56030" w:rsidP="009A4A9E">
            <w:pPr>
              <w:pStyle w:val="TableText"/>
              <w:jc w:val="center"/>
            </w:pPr>
            <w:r w:rsidRPr="00DC1376">
              <w:rPr>
                <w:b/>
                <w:iCs/>
                <w:szCs w:val="24"/>
                <w:lang w:val="en-US"/>
              </w:rPr>
              <w:t>(SD)</w:t>
            </w:r>
          </w:p>
        </w:tc>
        <w:tc>
          <w:tcPr>
            <w:tcW w:w="512" w:type="pct"/>
            <w:shd w:val="clear" w:color="auto" w:fill="auto"/>
            <w:vAlign w:val="center"/>
          </w:tcPr>
          <w:p w:rsidR="001F6E99" w:rsidRPr="00DC1376" w:rsidRDefault="001F6E99" w:rsidP="009A4A9E">
            <w:pPr>
              <w:pStyle w:val="TableText"/>
              <w:jc w:val="center"/>
            </w:pPr>
            <w:r w:rsidRPr="00DC1376">
              <w:rPr>
                <w:b/>
                <w:iCs/>
                <w:szCs w:val="24"/>
                <w:lang w:val="en-US"/>
              </w:rPr>
              <w:t>Change (SD)</w:t>
            </w:r>
          </w:p>
        </w:tc>
        <w:tc>
          <w:tcPr>
            <w:tcW w:w="473" w:type="pct"/>
            <w:shd w:val="clear" w:color="auto" w:fill="auto"/>
            <w:vAlign w:val="center"/>
          </w:tcPr>
          <w:p w:rsidR="001F6E99" w:rsidRDefault="001F6E99" w:rsidP="009A4A9E">
            <w:pPr>
              <w:pStyle w:val="TableText"/>
              <w:jc w:val="center"/>
              <w:rPr>
                <w:b/>
                <w:iCs/>
                <w:szCs w:val="24"/>
                <w:lang w:val="en-US"/>
              </w:rPr>
            </w:pPr>
            <w:r w:rsidRPr="00DC1376">
              <w:rPr>
                <w:b/>
                <w:iCs/>
                <w:szCs w:val="24"/>
                <w:lang w:val="en-US"/>
              </w:rPr>
              <w:t>Baseline</w:t>
            </w:r>
          </w:p>
          <w:p w:rsidR="00A56030" w:rsidRPr="00DC1376" w:rsidRDefault="00A56030" w:rsidP="009A4A9E">
            <w:pPr>
              <w:pStyle w:val="TableText"/>
              <w:jc w:val="center"/>
            </w:pPr>
            <w:r w:rsidRPr="00DC1376">
              <w:rPr>
                <w:b/>
                <w:iCs/>
                <w:szCs w:val="24"/>
                <w:lang w:val="en-US"/>
              </w:rPr>
              <w:t>(SD)</w:t>
            </w:r>
          </w:p>
        </w:tc>
        <w:tc>
          <w:tcPr>
            <w:tcW w:w="471" w:type="pct"/>
            <w:shd w:val="clear" w:color="auto" w:fill="auto"/>
            <w:vAlign w:val="center"/>
          </w:tcPr>
          <w:p w:rsidR="001F6E99" w:rsidRDefault="001F6E99" w:rsidP="009A4A9E">
            <w:pPr>
              <w:pStyle w:val="TableText"/>
              <w:jc w:val="center"/>
              <w:rPr>
                <w:b/>
                <w:iCs/>
                <w:szCs w:val="24"/>
                <w:lang w:val="en-US"/>
              </w:rPr>
            </w:pPr>
            <w:r w:rsidRPr="00DC1376">
              <w:rPr>
                <w:b/>
                <w:iCs/>
                <w:szCs w:val="24"/>
                <w:lang w:val="en-US"/>
              </w:rPr>
              <w:t>End point</w:t>
            </w:r>
          </w:p>
          <w:p w:rsidR="00A56030" w:rsidRPr="00DC1376" w:rsidRDefault="00A56030" w:rsidP="009A4A9E">
            <w:pPr>
              <w:pStyle w:val="TableText"/>
              <w:jc w:val="center"/>
              <w:rPr>
                <w:rFonts w:eastAsia="Times New Roman" w:cs="Times New Roman"/>
              </w:rPr>
            </w:pPr>
            <w:r w:rsidRPr="00DC1376">
              <w:rPr>
                <w:b/>
                <w:iCs/>
                <w:szCs w:val="24"/>
                <w:lang w:val="en-US"/>
              </w:rPr>
              <w:t>(SD)</w:t>
            </w:r>
          </w:p>
        </w:tc>
        <w:tc>
          <w:tcPr>
            <w:tcW w:w="526" w:type="pct"/>
            <w:shd w:val="clear" w:color="auto" w:fill="auto"/>
            <w:vAlign w:val="center"/>
          </w:tcPr>
          <w:p w:rsidR="001F6E99" w:rsidRPr="00DC1376" w:rsidRDefault="001F6E99" w:rsidP="009A4A9E">
            <w:pPr>
              <w:pStyle w:val="TableText"/>
              <w:jc w:val="center"/>
              <w:rPr>
                <w:rFonts w:eastAsia="Times New Roman" w:cs="Times New Roman"/>
              </w:rPr>
            </w:pPr>
            <w:r w:rsidRPr="00DC1376">
              <w:rPr>
                <w:b/>
                <w:iCs/>
                <w:szCs w:val="24"/>
                <w:lang w:val="en-US"/>
              </w:rPr>
              <w:t>Change (SD)</w:t>
            </w:r>
          </w:p>
        </w:tc>
        <w:tc>
          <w:tcPr>
            <w:tcW w:w="1018" w:type="pct"/>
            <w:shd w:val="clear" w:color="auto" w:fill="auto"/>
            <w:vAlign w:val="center"/>
          </w:tcPr>
          <w:p w:rsidR="001F6E99" w:rsidRPr="00DC1376" w:rsidRDefault="001F6E99" w:rsidP="009A4A9E">
            <w:pPr>
              <w:pStyle w:val="TableText"/>
              <w:jc w:val="center"/>
              <w:rPr>
                <w:b/>
              </w:rPr>
            </w:pPr>
            <w:r w:rsidRPr="00DC1376">
              <w:rPr>
                <w:b/>
              </w:rPr>
              <w:t xml:space="preserve">LSM </w:t>
            </w:r>
            <w:r w:rsidR="00AC3AF7">
              <w:rPr>
                <w:b/>
              </w:rPr>
              <w:t>d</w:t>
            </w:r>
            <w:r w:rsidRPr="00DC1376">
              <w:rPr>
                <w:b/>
              </w:rPr>
              <w:t>ifference</w:t>
            </w:r>
          </w:p>
          <w:p w:rsidR="001F6E99" w:rsidRPr="00DC1376" w:rsidRDefault="001F6E99" w:rsidP="009A4A9E">
            <w:pPr>
              <w:pStyle w:val="TableText"/>
              <w:jc w:val="center"/>
              <w:rPr>
                <w:b/>
              </w:rPr>
            </w:pPr>
            <w:r w:rsidRPr="00DC1376">
              <w:rPr>
                <w:b/>
              </w:rPr>
              <w:t>(95% CI)</w:t>
            </w:r>
          </w:p>
        </w:tc>
      </w:tr>
      <w:tr w:rsidR="001F6E99" w:rsidRPr="00DC1376" w:rsidTr="009A4A9E">
        <w:tc>
          <w:tcPr>
            <w:tcW w:w="1086" w:type="pct"/>
            <w:gridSpan w:val="2"/>
            <w:shd w:val="clear" w:color="auto" w:fill="auto"/>
            <w:vAlign w:val="center"/>
          </w:tcPr>
          <w:p w:rsidR="001F6E99" w:rsidRPr="00DC1376" w:rsidRDefault="001F6E99" w:rsidP="009A4A9E">
            <w:pPr>
              <w:pStyle w:val="TableText"/>
            </w:pPr>
            <w:r w:rsidRPr="00DC1376">
              <w:t>DAS28-hsCRP (Week 12)</w:t>
            </w:r>
          </w:p>
        </w:tc>
        <w:tc>
          <w:tcPr>
            <w:tcW w:w="457" w:type="pct"/>
            <w:shd w:val="clear" w:color="auto" w:fill="auto"/>
          </w:tcPr>
          <w:p w:rsidR="001F6E99" w:rsidRPr="00DC1376" w:rsidRDefault="001F6E99" w:rsidP="009A4A9E">
            <w:pPr>
              <w:pStyle w:val="TableText"/>
              <w:jc w:val="center"/>
            </w:pPr>
            <w:r w:rsidRPr="00DC1376">
              <w:t>5.76 (0.92)</w:t>
            </w:r>
          </w:p>
        </w:tc>
        <w:tc>
          <w:tcPr>
            <w:tcW w:w="457" w:type="pct"/>
            <w:shd w:val="clear" w:color="auto" w:fill="auto"/>
          </w:tcPr>
          <w:p w:rsidR="001F6E99" w:rsidRPr="00DC1376" w:rsidRDefault="001F6E99" w:rsidP="009A4A9E">
            <w:pPr>
              <w:pStyle w:val="Tabletext0"/>
              <w:spacing w:before="40" w:after="40"/>
              <w:jc w:val="center"/>
            </w:pPr>
            <w:r w:rsidRPr="00DC1376">
              <w:t>3.49</w:t>
            </w:r>
            <w:r w:rsidR="009A4A9E" w:rsidRPr="00DC1376">
              <w:t xml:space="preserve"> </w:t>
            </w:r>
            <w:r w:rsidRPr="00DC1376">
              <w:t>(1.27)</w:t>
            </w:r>
          </w:p>
        </w:tc>
        <w:tc>
          <w:tcPr>
            <w:tcW w:w="512" w:type="pct"/>
            <w:shd w:val="clear" w:color="auto" w:fill="auto"/>
          </w:tcPr>
          <w:p w:rsidR="001F6E99" w:rsidRPr="00DC1376" w:rsidRDefault="001F6E99" w:rsidP="009A4A9E">
            <w:pPr>
              <w:pStyle w:val="Tabletext0"/>
              <w:spacing w:before="40" w:after="40"/>
              <w:jc w:val="center"/>
            </w:pPr>
            <w:r w:rsidRPr="00DC1376">
              <w:t>-2.27</w:t>
            </w:r>
            <w:r w:rsidR="009A4A9E" w:rsidRPr="00DC1376">
              <w:br/>
            </w:r>
            <w:r w:rsidRPr="00DC1376">
              <w:t>(1.22)</w:t>
            </w:r>
          </w:p>
        </w:tc>
        <w:tc>
          <w:tcPr>
            <w:tcW w:w="473" w:type="pct"/>
            <w:shd w:val="clear" w:color="auto" w:fill="auto"/>
          </w:tcPr>
          <w:p w:rsidR="001F6E99" w:rsidRPr="00DC1376" w:rsidRDefault="001F6E99" w:rsidP="009A4A9E">
            <w:pPr>
              <w:pStyle w:val="Tabletext0"/>
              <w:spacing w:before="40" w:after="40"/>
              <w:jc w:val="center"/>
            </w:pPr>
            <w:r w:rsidRPr="00DC1376">
              <w:t>5.76</w:t>
            </w:r>
            <w:r w:rsidR="009A4A9E" w:rsidRPr="00DC1376">
              <w:br/>
            </w:r>
            <w:r w:rsidRPr="00DC1376">
              <w:t>(0.94)</w:t>
            </w:r>
          </w:p>
        </w:tc>
        <w:tc>
          <w:tcPr>
            <w:tcW w:w="471" w:type="pct"/>
            <w:shd w:val="clear" w:color="auto" w:fill="auto"/>
          </w:tcPr>
          <w:p w:rsidR="001F6E99" w:rsidRPr="00DC1376" w:rsidRDefault="001F6E99" w:rsidP="009A4A9E">
            <w:pPr>
              <w:pStyle w:val="TableText"/>
              <w:jc w:val="center"/>
              <w:rPr>
                <w:rFonts w:eastAsia="Times New Roman" w:cs="Times New Roman"/>
              </w:rPr>
            </w:pPr>
            <w:r w:rsidRPr="00DC1376">
              <w:t>3.76 (1.38)</w:t>
            </w:r>
          </w:p>
        </w:tc>
        <w:tc>
          <w:tcPr>
            <w:tcW w:w="526" w:type="pct"/>
            <w:shd w:val="clear" w:color="auto" w:fill="auto"/>
          </w:tcPr>
          <w:p w:rsidR="001F6E99" w:rsidRPr="00DC1376" w:rsidRDefault="001F6E99" w:rsidP="009A4A9E">
            <w:pPr>
              <w:pStyle w:val="TableText"/>
              <w:jc w:val="center"/>
              <w:rPr>
                <w:rFonts w:eastAsia="Times New Roman" w:cs="Times New Roman"/>
              </w:rPr>
            </w:pPr>
            <w:r w:rsidRPr="00DC1376">
              <w:t xml:space="preserve">-1.98 </w:t>
            </w:r>
            <w:r w:rsidR="009A4A9E" w:rsidRPr="00DC1376">
              <w:br/>
            </w:r>
            <w:r w:rsidRPr="00DC1376">
              <w:t>(1.28)</w:t>
            </w:r>
          </w:p>
        </w:tc>
        <w:tc>
          <w:tcPr>
            <w:tcW w:w="1018" w:type="pct"/>
            <w:shd w:val="clear" w:color="auto" w:fill="auto"/>
          </w:tcPr>
          <w:p w:rsidR="001F6E99" w:rsidRPr="00DC1376" w:rsidRDefault="001F6E99" w:rsidP="009A4A9E">
            <w:pPr>
              <w:pStyle w:val="Tabletext0"/>
              <w:spacing w:before="40" w:after="40"/>
              <w:jc w:val="center"/>
              <w:rPr>
                <w:b/>
              </w:rPr>
            </w:pPr>
            <w:r w:rsidRPr="00DC1376">
              <w:rPr>
                <w:b/>
              </w:rPr>
              <w:t>-0.28</w:t>
            </w:r>
            <w:r w:rsidR="009A4A9E" w:rsidRPr="00DC1376">
              <w:rPr>
                <w:b/>
              </w:rPr>
              <w:br/>
            </w:r>
            <w:r w:rsidRPr="00DC1376">
              <w:rPr>
                <w:b/>
              </w:rPr>
              <w:t>(-0.44, -0.12)</w:t>
            </w:r>
          </w:p>
        </w:tc>
      </w:tr>
      <w:tr w:rsidR="001F6E99" w:rsidRPr="00DC1376" w:rsidTr="009A4A9E">
        <w:tc>
          <w:tcPr>
            <w:tcW w:w="1086" w:type="pct"/>
            <w:gridSpan w:val="2"/>
            <w:shd w:val="clear" w:color="auto" w:fill="auto"/>
            <w:vAlign w:val="center"/>
          </w:tcPr>
          <w:p w:rsidR="001F6E99" w:rsidRPr="00DC1376" w:rsidRDefault="001F6E99" w:rsidP="009A4A9E">
            <w:pPr>
              <w:pStyle w:val="TableText"/>
            </w:pPr>
            <w:r w:rsidRPr="00DC1376">
              <w:t>HAQ-DI (Week 12)</w:t>
            </w:r>
          </w:p>
        </w:tc>
        <w:tc>
          <w:tcPr>
            <w:tcW w:w="457" w:type="pct"/>
            <w:shd w:val="clear" w:color="auto" w:fill="auto"/>
          </w:tcPr>
          <w:p w:rsidR="001F6E99" w:rsidRPr="00DC1376" w:rsidRDefault="001F6E99" w:rsidP="009A4A9E">
            <w:pPr>
              <w:pStyle w:val="TableText"/>
              <w:jc w:val="center"/>
            </w:pPr>
            <w:r w:rsidRPr="00DC1376">
              <w:t>1.57 (0.68)</w:t>
            </w:r>
          </w:p>
        </w:tc>
        <w:tc>
          <w:tcPr>
            <w:tcW w:w="457" w:type="pct"/>
            <w:shd w:val="clear" w:color="auto" w:fill="auto"/>
          </w:tcPr>
          <w:p w:rsidR="001F6E99" w:rsidRPr="00DC1376" w:rsidRDefault="001F6E99" w:rsidP="009A4A9E">
            <w:pPr>
              <w:pStyle w:val="Tabletext0"/>
              <w:spacing w:before="40" w:after="40"/>
              <w:jc w:val="center"/>
            </w:pPr>
            <w:r w:rsidRPr="00DC1376">
              <w:t>0.91</w:t>
            </w:r>
            <w:r w:rsidR="009A4A9E" w:rsidRPr="00DC1376">
              <w:t xml:space="preserve"> </w:t>
            </w:r>
            <w:r w:rsidRPr="00DC1376">
              <w:t>(0.69)</w:t>
            </w:r>
          </w:p>
        </w:tc>
        <w:tc>
          <w:tcPr>
            <w:tcW w:w="512" w:type="pct"/>
            <w:shd w:val="clear" w:color="auto" w:fill="auto"/>
          </w:tcPr>
          <w:p w:rsidR="001F6E99" w:rsidRPr="00DC1376" w:rsidRDefault="001F6E99" w:rsidP="009A4A9E">
            <w:pPr>
              <w:pStyle w:val="Tabletext0"/>
              <w:spacing w:before="40" w:after="40"/>
              <w:jc w:val="center"/>
            </w:pPr>
            <w:r w:rsidRPr="00DC1376">
              <w:t>-0.65</w:t>
            </w:r>
            <w:r w:rsidR="009A4A9E" w:rsidRPr="00DC1376">
              <w:br/>
            </w:r>
            <w:r w:rsidRPr="00DC1376">
              <w:t>(0.59)</w:t>
            </w:r>
          </w:p>
        </w:tc>
        <w:tc>
          <w:tcPr>
            <w:tcW w:w="473" w:type="pct"/>
            <w:shd w:val="clear" w:color="auto" w:fill="auto"/>
          </w:tcPr>
          <w:p w:rsidR="001F6E99" w:rsidRPr="00DC1376" w:rsidRDefault="001F6E99" w:rsidP="009A4A9E">
            <w:pPr>
              <w:pStyle w:val="Tabletext0"/>
              <w:spacing w:before="40" w:after="40"/>
              <w:jc w:val="center"/>
            </w:pPr>
            <w:r w:rsidRPr="00DC1376">
              <w:t>1.59</w:t>
            </w:r>
            <w:r w:rsidR="009A4A9E" w:rsidRPr="00DC1376">
              <w:br/>
            </w:r>
            <w:r w:rsidRPr="00DC1376">
              <w:t>(0.70)</w:t>
            </w:r>
          </w:p>
        </w:tc>
        <w:tc>
          <w:tcPr>
            <w:tcW w:w="471" w:type="pct"/>
            <w:shd w:val="clear" w:color="auto" w:fill="auto"/>
          </w:tcPr>
          <w:p w:rsidR="001F6E99" w:rsidRPr="00DC1376" w:rsidRDefault="001F6E99" w:rsidP="009A4A9E">
            <w:pPr>
              <w:pStyle w:val="TableText"/>
              <w:jc w:val="center"/>
            </w:pPr>
            <w:r w:rsidRPr="00DC1376">
              <w:t>1.03 (0.69)</w:t>
            </w:r>
          </w:p>
        </w:tc>
        <w:tc>
          <w:tcPr>
            <w:tcW w:w="526" w:type="pct"/>
            <w:shd w:val="clear" w:color="auto" w:fill="auto"/>
          </w:tcPr>
          <w:p w:rsidR="001F6E99" w:rsidRPr="00DC1376" w:rsidRDefault="001F6E99" w:rsidP="009A4A9E">
            <w:pPr>
              <w:pStyle w:val="TableText"/>
              <w:jc w:val="center"/>
            </w:pPr>
            <w:r w:rsidRPr="00DC1376">
              <w:t>-0.56</w:t>
            </w:r>
            <w:r w:rsidR="009A4A9E" w:rsidRPr="00DC1376">
              <w:br/>
            </w:r>
            <w:r w:rsidRPr="00DC1376">
              <w:t xml:space="preserve"> (0.54)</w:t>
            </w:r>
          </w:p>
        </w:tc>
        <w:tc>
          <w:tcPr>
            <w:tcW w:w="1018" w:type="pct"/>
            <w:shd w:val="clear" w:color="auto" w:fill="auto"/>
          </w:tcPr>
          <w:p w:rsidR="001F6E99" w:rsidRPr="00DC1376" w:rsidRDefault="001F6E99" w:rsidP="009A4A9E">
            <w:pPr>
              <w:pStyle w:val="Tabletext0"/>
              <w:spacing w:before="40" w:after="40"/>
              <w:jc w:val="center"/>
              <w:rPr>
                <w:b/>
              </w:rPr>
            </w:pPr>
            <w:r w:rsidRPr="00DC1376">
              <w:rPr>
                <w:b/>
              </w:rPr>
              <w:t>-0.10</w:t>
            </w:r>
            <w:r w:rsidR="009A4A9E" w:rsidRPr="00DC1376">
              <w:rPr>
                <w:b/>
              </w:rPr>
              <w:br/>
            </w:r>
            <w:r w:rsidRPr="00DC1376">
              <w:rPr>
                <w:b/>
              </w:rPr>
              <w:t>(-0.17, -0.03)</w:t>
            </w:r>
          </w:p>
        </w:tc>
      </w:tr>
      <w:tr w:rsidR="009A4A9E" w:rsidRPr="00DC1376" w:rsidTr="009A4A9E">
        <w:trPr>
          <w:trHeight w:val="259"/>
        </w:trPr>
        <w:tc>
          <w:tcPr>
            <w:tcW w:w="542" w:type="pct"/>
            <w:vMerge w:val="restart"/>
            <w:shd w:val="clear" w:color="auto" w:fill="auto"/>
            <w:vAlign w:val="center"/>
          </w:tcPr>
          <w:p w:rsidR="009A4A9E" w:rsidRPr="00DC1376" w:rsidRDefault="009A4A9E" w:rsidP="009A4A9E">
            <w:pPr>
              <w:pStyle w:val="TableText"/>
            </w:pPr>
            <w:proofErr w:type="spellStart"/>
            <w:r w:rsidRPr="00DC1376">
              <w:t>mTSS</w:t>
            </w:r>
            <w:proofErr w:type="spellEnd"/>
          </w:p>
        </w:tc>
        <w:tc>
          <w:tcPr>
            <w:tcW w:w="544" w:type="pct"/>
            <w:shd w:val="clear" w:color="auto" w:fill="auto"/>
            <w:vAlign w:val="center"/>
          </w:tcPr>
          <w:p w:rsidR="009A4A9E" w:rsidRPr="00DC1376" w:rsidRDefault="009A4A9E" w:rsidP="009A4A9E">
            <w:pPr>
              <w:pStyle w:val="TableText"/>
            </w:pPr>
            <w:r w:rsidRPr="00DC1376">
              <w:t>Week 16</w:t>
            </w:r>
          </w:p>
        </w:tc>
        <w:tc>
          <w:tcPr>
            <w:tcW w:w="457" w:type="pct"/>
            <w:vMerge w:val="restart"/>
            <w:shd w:val="clear" w:color="auto" w:fill="auto"/>
            <w:vAlign w:val="center"/>
          </w:tcPr>
          <w:p w:rsidR="009A4A9E" w:rsidRPr="00DC1376" w:rsidRDefault="009A4A9E" w:rsidP="009A4A9E">
            <w:pPr>
              <w:pStyle w:val="TableText"/>
              <w:jc w:val="center"/>
            </w:pPr>
            <w:r w:rsidRPr="00DC1376">
              <w:t>42.46 (50.11)</w:t>
            </w:r>
          </w:p>
        </w:tc>
        <w:tc>
          <w:tcPr>
            <w:tcW w:w="457" w:type="pct"/>
            <w:shd w:val="clear" w:color="auto" w:fill="auto"/>
          </w:tcPr>
          <w:p w:rsidR="009A4A9E" w:rsidRPr="00DC1376" w:rsidRDefault="009A4A9E" w:rsidP="009A4A9E">
            <w:pPr>
              <w:pStyle w:val="Tabletext0"/>
              <w:spacing w:before="40" w:after="40"/>
              <w:jc w:val="center"/>
            </w:pPr>
            <w:r w:rsidRPr="00DC1376">
              <w:t>42.83 (50.42)</w:t>
            </w:r>
          </w:p>
        </w:tc>
        <w:tc>
          <w:tcPr>
            <w:tcW w:w="512" w:type="pct"/>
            <w:shd w:val="clear" w:color="auto" w:fill="auto"/>
          </w:tcPr>
          <w:p w:rsidR="009A4A9E" w:rsidRPr="00DC1376" w:rsidRDefault="009A4A9E" w:rsidP="009A4A9E">
            <w:pPr>
              <w:pStyle w:val="Tabletext0"/>
              <w:spacing w:before="40" w:after="40"/>
              <w:jc w:val="center"/>
            </w:pPr>
            <w:r w:rsidRPr="00DC1376">
              <w:t>0.33</w:t>
            </w:r>
            <w:r w:rsidRPr="00DC1376">
              <w:br/>
              <w:t xml:space="preserve"> (1.33) </w:t>
            </w:r>
          </w:p>
        </w:tc>
        <w:tc>
          <w:tcPr>
            <w:tcW w:w="473" w:type="pct"/>
            <w:vMerge w:val="restart"/>
            <w:shd w:val="clear" w:color="auto" w:fill="auto"/>
            <w:vAlign w:val="center"/>
          </w:tcPr>
          <w:p w:rsidR="009A4A9E" w:rsidRPr="00DC1376" w:rsidRDefault="009A4A9E" w:rsidP="009A4A9E">
            <w:pPr>
              <w:pStyle w:val="Tabletext0"/>
              <w:spacing w:before="40" w:after="40"/>
              <w:jc w:val="center"/>
            </w:pPr>
            <w:r w:rsidRPr="00DC1376">
              <w:t>44.35 (51.02)</w:t>
            </w:r>
          </w:p>
        </w:tc>
        <w:tc>
          <w:tcPr>
            <w:tcW w:w="471" w:type="pct"/>
            <w:shd w:val="clear" w:color="auto" w:fill="auto"/>
          </w:tcPr>
          <w:p w:rsidR="009A4A9E" w:rsidRPr="00DC1376" w:rsidRDefault="009A4A9E" w:rsidP="009A4A9E">
            <w:pPr>
              <w:pStyle w:val="TableText"/>
              <w:jc w:val="center"/>
            </w:pPr>
            <w:r w:rsidRPr="00DC1376">
              <w:t>44.51 (51.12)</w:t>
            </w:r>
          </w:p>
        </w:tc>
        <w:tc>
          <w:tcPr>
            <w:tcW w:w="526" w:type="pct"/>
            <w:shd w:val="clear" w:color="auto" w:fill="auto"/>
          </w:tcPr>
          <w:p w:rsidR="009A4A9E" w:rsidRPr="00DC1376" w:rsidRDefault="009A4A9E" w:rsidP="009A4A9E">
            <w:pPr>
              <w:pStyle w:val="TableText"/>
              <w:jc w:val="center"/>
            </w:pPr>
            <w:r w:rsidRPr="00DC1376">
              <w:t xml:space="preserve">0.26 </w:t>
            </w:r>
            <w:r w:rsidRPr="00DC1376">
              <w:br/>
              <w:t>(1.13)</w:t>
            </w:r>
          </w:p>
        </w:tc>
        <w:tc>
          <w:tcPr>
            <w:tcW w:w="1018" w:type="pct"/>
            <w:shd w:val="clear" w:color="auto" w:fill="auto"/>
          </w:tcPr>
          <w:p w:rsidR="009A4A9E" w:rsidRPr="00DC1376" w:rsidRDefault="009A4A9E" w:rsidP="009A4A9E">
            <w:pPr>
              <w:pStyle w:val="Tabletext0"/>
              <w:spacing w:before="40" w:after="40"/>
              <w:jc w:val="center"/>
            </w:pPr>
            <w:r w:rsidRPr="00DC1376">
              <w:t>0.07</w:t>
            </w:r>
            <w:r w:rsidRPr="00DC1376">
              <w:br/>
              <w:t>(-0.15, 0.29)</w:t>
            </w:r>
          </w:p>
        </w:tc>
      </w:tr>
      <w:tr w:rsidR="009A4A9E" w:rsidRPr="00DC1376" w:rsidTr="009A4A9E">
        <w:tc>
          <w:tcPr>
            <w:tcW w:w="542" w:type="pct"/>
            <w:vMerge/>
            <w:shd w:val="clear" w:color="auto" w:fill="auto"/>
            <w:vAlign w:val="center"/>
          </w:tcPr>
          <w:p w:rsidR="009A4A9E" w:rsidRPr="00DC1376" w:rsidRDefault="009A4A9E" w:rsidP="009A4A9E">
            <w:pPr>
              <w:pStyle w:val="TableText"/>
            </w:pPr>
          </w:p>
        </w:tc>
        <w:tc>
          <w:tcPr>
            <w:tcW w:w="544" w:type="pct"/>
            <w:shd w:val="clear" w:color="auto" w:fill="auto"/>
            <w:vAlign w:val="center"/>
          </w:tcPr>
          <w:p w:rsidR="009A4A9E" w:rsidRPr="00DC1376" w:rsidRDefault="009A4A9E" w:rsidP="009A4A9E">
            <w:pPr>
              <w:pStyle w:val="TableText"/>
            </w:pPr>
            <w:r w:rsidRPr="00DC1376">
              <w:t>Week 24</w:t>
            </w:r>
          </w:p>
        </w:tc>
        <w:tc>
          <w:tcPr>
            <w:tcW w:w="457" w:type="pct"/>
            <w:vMerge/>
            <w:shd w:val="clear" w:color="auto" w:fill="auto"/>
          </w:tcPr>
          <w:p w:rsidR="009A4A9E" w:rsidRPr="00DC1376" w:rsidRDefault="009A4A9E" w:rsidP="009A4A9E">
            <w:pPr>
              <w:pStyle w:val="TableText"/>
              <w:jc w:val="center"/>
            </w:pPr>
          </w:p>
        </w:tc>
        <w:tc>
          <w:tcPr>
            <w:tcW w:w="457" w:type="pct"/>
            <w:shd w:val="clear" w:color="auto" w:fill="auto"/>
          </w:tcPr>
          <w:p w:rsidR="009A4A9E" w:rsidRPr="00DC1376" w:rsidRDefault="009A4A9E" w:rsidP="009A4A9E">
            <w:pPr>
              <w:pStyle w:val="Tabletext0"/>
              <w:spacing w:before="40" w:after="40"/>
              <w:jc w:val="center"/>
            </w:pPr>
            <w:r w:rsidRPr="00DC1376">
              <w:t>42.88 (50.21)</w:t>
            </w:r>
          </w:p>
        </w:tc>
        <w:tc>
          <w:tcPr>
            <w:tcW w:w="512" w:type="pct"/>
            <w:shd w:val="clear" w:color="auto" w:fill="auto"/>
          </w:tcPr>
          <w:p w:rsidR="009A4A9E" w:rsidRPr="00DC1376" w:rsidRDefault="009A4A9E" w:rsidP="009A4A9E">
            <w:pPr>
              <w:pStyle w:val="Tabletext0"/>
              <w:spacing w:before="40" w:after="40"/>
              <w:jc w:val="center"/>
            </w:pPr>
            <w:r w:rsidRPr="00DC1376">
              <w:t xml:space="preserve">0.35 </w:t>
            </w:r>
            <w:r w:rsidRPr="00DC1376">
              <w:br/>
              <w:t>(1.59)</w:t>
            </w:r>
          </w:p>
        </w:tc>
        <w:tc>
          <w:tcPr>
            <w:tcW w:w="473" w:type="pct"/>
            <w:vMerge/>
            <w:shd w:val="clear" w:color="auto" w:fill="auto"/>
          </w:tcPr>
          <w:p w:rsidR="009A4A9E" w:rsidRPr="00DC1376" w:rsidRDefault="009A4A9E" w:rsidP="009A4A9E">
            <w:pPr>
              <w:pStyle w:val="Tabletext0"/>
              <w:spacing w:before="40" w:after="40"/>
              <w:jc w:val="center"/>
            </w:pPr>
          </w:p>
        </w:tc>
        <w:tc>
          <w:tcPr>
            <w:tcW w:w="471" w:type="pct"/>
            <w:shd w:val="clear" w:color="auto" w:fill="auto"/>
          </w:tcPr>
          <w:p w:rsidR="009A4A9E" w:rsidRPr="00DC1376" w:rsidRDefault="009A4A9E" w:rsidP="009A4A9E">
            <w:pPr>
              <w:pStyle w:val="TableText"/>
              <w:jc w:val="center"/>
            </w:pPr>
            <w:r w:rsidRPr="00DC1376">
              <w:t>44.64 (51.12)</w:t>
            </w:r>
          </w:p>
        </w:tc>
        <w:tc>
          <w:tcPr>
            <w:tcW w:w="526" w:type="pct"/>
            <w:shd w:val="clear" w:color="auto" w:fill="auto"/>
          </w:tcPr>
          <w:p w:rsidR="009A4A9E" w:rsidRPr="00DC1376" w:rsidRDefault="009A4A9E" w:rsidP="009A4A9E">
            <w:pPr>
              <w:pStyle w:val="TableText"/>
              <w:jc w:val="center"/>
            </w:pPr>
            <w:r w:rsidRPr="00DC1376">
              <w:t>0.29</w:t>
            </w:r>
            <w:r w:rsidRPr="00DC1376">
              <w:br/>
              <w:t xml:space="preserve"> (1.47)</w:t>
            </w:r>
          </w:p>
        </w:tc>
        <w:tc>
          <w:tcPr>
            <w:tcW w:w="1018" w:type="pct"/>
            <w:shd w:val="clear" w:color="auto" w:fill="auto"/>
          </w:tcPr>
          <w:p w:rsidR="009A4A9E" w:rsidRPr="00DC1376" w:rsidRDefault="009A4A9E" w:rsidP="009A4A9E">
            <w:pPr>
              <w:pStyle w:val="Tabletext0"/>
              <w:spacing w:before="40" w:after="40"/>
              <w:jc w:val="center"/>
            </w:pPr>
            <w:r w:rsidRPr="00DC1376">
              <w:t>0.07</w:t>
            </w:r>
            <w:r w:rsidRPr="00DC1376">
              <w:br/>
              <w:t>(-0.19, 0.34)</w:t>
            </w:r>
          </w:p>
        </w:tc>
      </w:tr>
      <w:tr w:rsidR="009A4A9E" w:rsidRPr="00DC1376" w:rsidTr="009A4A9E">
        <w:tc>
          <w:tcPr>
            <w:tcW w:w="542" w:type="pct"/>
            <w:vMerge/>
            <w:shd w:val="clear" w:color="auto" w:fill="auto"/>
            <w:vAlign w:val="center"/>
          </w:tcPr>
          <w:p w:rsidR="009A4A9E" w:rsidRPr="00DC1376" w:rsidRDefault="009A4A9E" w:rsidP="009A4A9E">
            <w:pPr>
              <w:pStyle w:val="TableText"/>
            </w:pPr>
          </w:p>
        </w:tc>
        <w:tc>
          <w:tcPr>
            <w:tcW w:w="544" w:type="pct"/>
            <w:shd w:val="clear" w:color="auto" w:fill="auto"/>
            <w:vAlign w:val="center"/>
          </w:tcPr>
          <w:p w:rsidR="009A4A9E" w:rsidRPr="00DC1376" w:rsidRDefault="009A4A9E" w:rsidP="009A4A9E">
            <w:pPr>
              <w:pStyle w:val="TableText"/>
            </w:pPr>
            <w:r w:rsidRPr="00DC1376">
              <w:t>Week 52</w:t>
            </w:r>
          </w:p>
        </w:tc>
        <w:tc>
          <w:tcPr>
            <w:tcW w:w="457" w:type="pct"/>
            <w:vMerge/>
            <w:shd w:val="clear" w:color="auto" w:fill="auto"/>
          </w:tcPr>
          <w:p w:rsidR="009A4A9E" w:rsidRPr="00DC1376" w:rsidRDefault="009A4A9E" w:rsidP="009A4A9E">
            <w:pPr>
              <w:pStyle w:val="TableText"/>
              <w:jc w:val="center"/>
            </w:pPr>
          </w:p>
        </w:tc>
        <w:tc>
          <w:tcPr>
            <w:tcW w:w="457" w:type="pct"/>
            <w:shd w:val="clear" w:color="auto" w:fill="auto"/>
          </w:tcPr>
          <w:p w:rsidR="009A4A9E" w:rsidRPr="00DC1376" w:rsidRDefault="009A4A9E" w:rsidP="009A4A9E">
            <w:pPr>
              <w:spacing w:before="40" w:after="40"/>
              <w:jc w:val="center"/>
              <w:rPr>
                <w:rFonts w:ascii="Arial Narrow" w:hAnsi="Arial Narrow"/>
                <w:sz w:val="20"/>
                <w:szCs w:val="20"/>
              </w:rPr>
            </w:pPr>
            <w:r w:rsidRPr="00DC1376">
              <w:rPr>
                <w:rFonts w:ascii="Arial Narrow" w:hAnsi="Arial Narrow"/>
                <w:sz w:val="20"/>
                <w:szCs w:val="20"/>
              </w:rPr>
              <w:t>43.06 (50.13)</w:t>
            </w:r>
          </w:p>
        </w:tc>
        <w:tc>
          <w:tcPr>
            <w:tcW w:w="512" w:type="pct"/>
            <w:shd w:val="clear" w:color="auto" w:fill="auto"/>
          </w:tcPr>
          <w:p w:rsidR="009A4A9E" w:rsidRPr="00DC1376" w:rsidRDefault="009A4A9E" w:rsidP="009A4A9E">
            <w:pPr>
              <w:pStyle w:val="Tabletext0"/>
              <w:spacing w:before="40" w:after="40"/>
              <w:jc w:val="center"/>
            </w:pPr>
            <w:r w:rsidRPr="00DC1376">
              <w:t xml:space="preserve">0.60 </w:t>
            </w:r>
            <w:r w:rsidRPr="00DC1376">
              <w:br/>
              <w:t>(2.54)</w:t>
            </w:r>
          </w:p>
        </w:tc>
        <w:tc>
          <w:tcPr>
            <w:tcW w:w="473" w:type="pct"/>
            <w:vMerge/>
            <w:shd w:val="clear" w:color="auto" w:fill="auto"/>
          </w:tcPr>
          <w:p w:rsidR="009A4A9E" w:rsidRPr="00DC1376" w:rsidRDefault="009A4A9E" w:rsidP="009A4A9E">
            <w:pPr>
              <w:pStyle w:val="Tabletext0"/>
              <w:spacing w:before="40" w:after="40"/>
              <w:jc w:val="center"/>
            </w:pPr>
          </w:p>
        </w:tc>
        <w:tc>
          <w:tcPr>
            <w:tcW w:w="471" w:type="pct"/>
            <w:shd w:val="clear" w:color="auto" w:fill="auto"/>
          </w:tcPr>
          <w:p w:rsidR="009A4A9E" w:rsidRPr="00DC1376" w:rsidRDefault="009A4A9E" w:rsidP="009A4A9E">
            <w:pPr>
              <w:pStyle w:val="TableText"/>
              <w:jc w:val="center"/>
            </w:pPr>
            <w:r w:rsidRPr="00DC1376">
              <w:t>44.87 (51.27)</w:t>
            </w:r>
          </w:p>
        </w:tc>
        <w:tc>
          <w:tcPr>
            <w:tcW w:w="526" w:type="pct"/>
            <w:shd w:val="clear" w:color="auto" w:fill="auto"/>
          </w:tcPr>
          <w:p w:rsidR="009A4A9E" w:rsidRPr="00DC1376" w:rsidRDefault="009A4A9E" w:rsidP="009A4A9E">
            <w:pPr>
              <w:pStyle w:val="TableText"/>
              <w:jc w:val="center"/>
            </w:pPr>
            <w:r w:rsidRPr="00DC1376">
              <w:t>0.51</w:t>
            </w:r>
            <w:r w:rsidRPr="00DC1376">
              <w:br/>
              <w:t xml:space="preserve"> (2.78)</w:t>
            </w:r>
          </w:p>
        </w:tc>
        <w:tc>
          <w:tcPr>
            <w:tcW w:w="1018" w:type="pct"/>
            <w:shd w:val="clear" w:color="auto" w:fill="auto"/>
          </w:tcPr>
          <w:p w:rsidR="009A4A9E" w:rsidRPr="00DC1376" w:rsidRDefault="009A4A9E" w:rsidP="009A4A9E">
            <w:pPr>
              <w:pStyle w:val="Tabletext0"/>
              <w:spacing w:before="40" w:after="40"/>
              <w:jc w:val="center"/>
            </w:pPr>
            <w:r w:rsidRPr="00DC1376">
              <w:t>0.10</w:t>
            </w:r>
            <w:r w:rsidRPr="00DC1376">
              <w:br/>
              <w:t>(-0.40, 0.61)</w:t>
            </w:r>
          </w:p>
        </w:tc>
      </w:tr>
    </w:tbl>
    <w:p w:rsidR="001F6E99" w:rsidRPr="00DC1376" w:rsidRDefault="001F6E99" w:rsidP="001F6E99">
      <w:pPr>
        <w:pStyle w:val="TableFooter"/>
      </w:pPr>
      <w:bookmarkStart w:id="13" w:name="_Toc413139279"/>
      <w:r w:rsidRPr="00DC1376">
        <w:t>Source: 2.5.11, p106 of the submission</w:t>
      </w:r>
      <w:r w:rsidR="00E73DA0" w:rsidRPr="00DC1376">
        <w:t xml:space="preserve"> and Tables JADV.11.10-12, p p270-279 of the JADV CSR, </w:t>
      </w:r>
      <w:r w:rsidR="009E0A03">
        <w:t xml:space="preserve">2.5.3 p,97 of the submission and </w:t>
      </w:r>
      <w:r w:rsidR="00E73DA0" w:rsidRPr="00BD0C22">
        <w:t>Table JADV 11.</w:t>
      </w:r>
      <w:r w:rsidR="009E0A03">
        <w:t>13</w:t>
      </w:r>
      <w:r w:rsidR="00E73DA0" w:rsidRPr="009277B4">
        <w:t xml:space="preserve">, </w:t>
      </w:r>
      <w:r w:rsidR="009E0A03">
        <w:t>p281-282</w:t>
      </w:r>
      <w:r w:rsidR="00E73DA0" w:rsidRPr="009277B4">
        <w:t xml:space="preserve"> of CSR, </w:t>
      </w:r>
      <w:r w:rsidR="009E0A03">
        <w:t xml:space="preserve">2.5.5 of the submission and </w:t>
      </w:r>
      <w:r w:rsidR="00E73DA0" w:rsidRPr="00BD0C22">
        <w:t>Table JADV 1</w:t>
      </w:r>
      <w:r w:rsidR="009E0A03">
        <w:t>4.24</w:t>
      </w:r>
      <w:r w:rsidR="00E73DA0" w:rsidRPr="009277B4">
        <w:t xml:space="preserve">, p </w:t>
      </w:r>
      <w:r w:rsidR="009E0A03">
        <w:t>1367 &amp;  1376</w:t>
      </w:r>
      <w:r w:rsidR="00E73DA0" w:rsidRPr="009277B4">
        <w:t xml:space="preserve"> of the CSR</w:t>
      </w:r>
    </w:p>
    <w:p w:rsidR="001F6E99" w:rsidRPr="00DC1376" w:rsidRDefault="00E73DA0" w:rsidP="001F6E99">
      <w:pPr>
        <w:pStyle w:val="TableFooter"/>
        <w:rPr>
          <w:rFonts w:eastAsia="Calibri"/>
        </w:rPr>
      </w:pPr>
      <w:r w:rsidRPr="00DC1376">
        <w:rPr>
          <w:rFonts w:eastAsia="Calibri"/>
        </w:rPr>
        <w:t xml:space="preserve">ACR = American College of Rheumatology; </w:t>
      </w:r>
      <w:r w:rsidR="001F6E99" w:rsidRPr="00DC1376">
        <w:rPr>
          <w:rFonts w:eastAsia="Calibri"/>
        </w:rPr>
        <w:t>CI = confidence interval;</w:t>
      </w:r>
      <w:r w:rsidRPr="00DC1376">
        <w:rPr>
          <w:rFonts w:eastAsia="Calibri"/>
        </w:rPr>
        <w:t xml:space="preserve"> DAS28 = disease activity scale; HAQ health assessment questionnaire; disability index;</w:t>
      </w:r>
      <w:r w:rsidR="00C261A9" w:rsidRPr="00DC1376">
        <w:rPr>
          <w:rFonts w:eastAsia="Calibri"/>
        </w:rPr>
        <w:t xml:space="preserve"> </w:t>
      </w:r>
      <w:proofErr w:type="spellStart"/>
      <w:r w:rsidR="00C261A9" w:rsidRPr="00DC1376">
        <w:rPr>
          <w:rFonts w:eastAsia="Calibri"/>
        </w:rPr>
        <w:t>hsCRP</w:t>
      </w:r>
      <w:proofErr w:type="spellEnd"/>
      <w:r w:rsidR="00C261A9" w:rsidRPr="00DC1376">
        <w:rPr>
          <w:rFonts w:eastAsia="Calibri"/>
        </w:rPr>
        <w:t xml:space="preserve"> = </w:t>
      </w:r>
      <w:r w:rsidR="003004EF" w:rsidRPr="00DC1376">
        <w:rPr>
          <w:rFonts w:eastAsia="Calibri"/>
        </w:rPr>
        <w:t xml:space="preserve">high sensitivity C-reactive </w:t>
      </w:r>
      <w:r w:rsidR="00A4392A" w:rsidRPr="00DC1376">
        <w:rPr>
          <w:rFonts w:eastAsia="Calibri"/>
        </w:rPr>
        <w:t>protein</w:t>
      </w:r>
      <w:r w:rsidR="00C261A9" w:rsidRPr="00DC1376">
        <w:rPr>
          <w:rFonts w:eastAsia="Calibri"/>
        </w:rPr>
        <w:t xml:space="preserve">; </w:t>
      </w:r>
      <w:r w:rsidR="001F6E99" w:rsidRPr="00DC1376">
        <w:rPr>
          <w:rFonts w:eastAsia="Calibri"/>
        </w:rPr>
        <w:t xml:space="preserve">n = number of participants with event; </w:t>
      </w:r>
      <w:proofErr w:type="spellStart"/>
      <w:r w:rsidR="00C261A9" w:rsidRPr="00DC1376">
        <w:rPr>
          <w:rFonts w:eastAsia="Calibri"/>
        </w:rPr>
        <w:t>mTSS</w:t>
      </w:r>
      <w:proofErr w:type="spellEnd"/>
      <w:r w:rsidR="00C261A9" w:rsidRPr="00DC1376">
        <w:rPr>
          <w:rFonts w:eastAsia="Calibri"/>
        </w:rPr>
        <w:t xml:space="preserve"> = modified Total Sharp Score; </w:t>
      </w:r>
      <w:r w:rsidR="001F6E99" w:rsidRPr="00DC1376">
        <w:rPr>
          <w:rFonts w:eastAsia="Calibri"/>
        </w:rPr>
        <w:t>N = total participants in group</w:t>
      </w:r>
      <w:r w:rsidR="00AC3AF7">
        <w:rPr>
          <w:rFonts w:eastAsia="Calibri"/>
        </w:rPr>
        <w:t>; SD = standard deviation</w:t>
      </w:r>
    </w:p>
    <w:p w:rsidR="001F6E99" w:rsidRPr="00DC1376" w:rsidRDefault="001F6E99" w:rsidP="001F6E99">
      <w:pPr>
        <w:pStyle w:val="TableFooter"/>
        <w:rPr>
          <w:rFonts w:eastAsia="Calibri"/>
        </w:rPr>
      </w:pPr>
      <w:r w:rsidRPr="00DC1376">
        <w:rPr>
          <w:rFonts w:eastAsia="Calibri"/>
        </w:rPr>
        <w:t xml:space="preserve">Note: the submission and CSR presented difference in rates; these values were presented as risk differences (e.g. 0.084 instead of 8.4) for consistency with previous PBAC considerations. </w:t>
      </w:r>
    </w:p>
    <w:p w:rsidR="001F6E99" w:rsidRPr="00DC1376" w:rsidRDefault="001F6E99" w:rsidP="001F6E99">
      <w:pPr>
        <w:pStyle w:val="TableFooter"/>
        <w:rPr>
          <w:rFonts w:eastAsia="Calibri"/>
        </w:rPr>
      </w:pPr>
      <w:r w:rsidRPr="00DC1376">
        <w:rPr>
          <w:rFonts w:eastAsia="Calibri"/>
        </w:rPr>
        <w:t>Note: No statistical comparisons between baricitinib and adalimumab were included in the submission for weeks 24 and 52. Consequently, risk differences and odds ratios were calculated during the evaluation.</w:t>
      </w:r>
    </w:p>
    <w:p w:rsidR="00237B5B" w:rsidRPr="00DC1376" w:rsidRDefault="00237B5B" w:rsidP="001F6E99">
      <w:pPr>
        <w:pStyle w:val="TableFooter"/>
        <w:rPr>
          <w:rFonts w:eastAsia="Calibri"/>
        </w:rPr>
      </w:pPr>
      <w:r w:rsidRPr="00DC1376">
        <w:rPr>
          <w:rFonts w:eastAsia="Calibri"/>
        </w:rPr>
        <w:t>Bold typography indicates statistically significant differences.</w:t>
      </w:r>
    </w:p>
    <w:p w:rsidR="009A4A9E" w:rsidRDefault="009A4A9E" w:rsidP="005E290D">
      <w:pPr>
        <w:pStyle w:val="ListParagraph"/>
        <w:numPr>
          <w:ilvl w:val="1"/>
          <w:numId w:val="1"/>
        </w:numPr>
        <w:spacing w:before="0" w:after="120"/>
        <w:jc w:val="both"/>
      </w:pPr>
      <w:r w:rsidRPr="00DC1376">
        <w:t>The results indicated a statistically significant improvement in ACR outcomes at week 12. There was also a statistically s</w:t>
      </w:r>
      <w:r w:rsidR="00A03117" w:rsidRPr="00DC1376">
        <w:t>ignificant improvement in DAS28-</w:t>
      </w:r>
      <w:r w:rsidRPr="00DC1376">
        <w:t>hsCRP at week 12 compared to adalimumab. There were no statistically significant changes in radiograph</w:t>
      </w:r>
      <w:r w:rsidR="00AC3AF7">
        <w:t xml:space="preserve">ic progression defined by </w:t>
      </w:r>
      <w:proofErr w:type="spellStart"/>
      <w:r w:rsidR="00AC3AF7">
        <w:t>mTSS</w:t>
      </w:r>
      <w:proofErr w:type="spellEnd"/>
      <w:r w:rsidR="00AC3AF7">
        <w:t>.</w:t>
      </w:r>
    </w:p>
    <w:p w:rsidR="007114CC" w:rsidRPr="007C3458" w:rsidRDefault="007114CC" w:rsidP="005E290D">
      <w:pPr>
        <w:pStyle w:val="ListParagraph"/>
        <w:numPr>
          <w:ilvl w:val="1"/>
          <w:numId w:val="1"/>
        </w:numPr>
        <w:spacing w:before="0" w:after="120"/>
        <w:jc w:val="both"/>
      </w:pPr>
      <w:r w:rsidRPr="007C3458">
        <w:t>However, the ESC considered that the difference was marginal and was unlikely to be clinically meaningful</w:t>
      </w:r>
      <w:r w:rsidR="00AC3AF7">
        <w:t xml:space="preserve"> as no point estimate was above the non-inferiority margin of 12%</w:t>
      </w:r>
      <w:r w:rsidRPr="007C3458">
        <w:t>.</w:t>
      </w:r>
      <w:r w:rsidRPr="007C3458">
        <w:rPr>
          <w:szCs w:val="24"/>
        </w:rPr>
        <w:t xml:space="preserve"> The </w:t>
      </w:r>
      <w:r w:rsidR="00F4027C" w:rsidRPr="007C3458">
        <w:rPr>
          <w:szCs w:val="24"/>
        </w:rPr>
        <w:t>Pre-Sub-Committee Response (</w:t>
      </w:r>
      <w:r w:rsidRPr="007C3458">
        <w:rPr>
          <w:szCs w:val="24"/>
        </w:rPr>
        <w:t>PSCR p1-2) claimed that the consistency in direction of effect across primary and secondary outcomes supported the clinical significance of the results. However, the ESC noted there was considerable overlap in the factors used to calculate the ACR20 and the secondary outcome measures, and therefore this does not provide any additional certainty of effect. Further, the ESC noted that the rates of ACR20 response at 16 weeks (the last time</w:t>
      </w:r>
      <w:r w:rsidR="00D4508E">
        <w:rPr>
          <w:szCs w:val="24"/>
        </w:rPr>
        <w:t xml:space="preserve"> </w:t>
      </w:r>
      <w:r w:rsidRPr="007C3458">
        <w:rPr>
          <w:szCs w:val="24"/>
        </w:rPr>
        <w:t>point before ‘rescue’) did not differ significantly between baricitinib and adalimumab.</w:t>
      </w:r>
    </w:p>
    <w:p w:rsidR="00C317F3" w:rsidRPr="00436E07" w:rsidRDefault="00C317F3" w:rsidP="0095170D">
      <w:pPr>
        <w:pStyle w:val="Heading2"/>
      </w:pPr>
      <w:bookmarkStart w:id="14" w:name="_Toc482024932"/>
      <w:r w:rsidRPr="00436E07">
        <w:t>Comparative harms</w:t>
      </w:r>
      <w:bookmarkEnd w:id="13"/>
      <w:bookmarkEnd w:id="14"/>
    </w:p>
    <w:p w:rsidR="00C317F3" w:rsidRDefault="003004EF" w:rsidP="005E290D">
      <w:pPr>
        <w:pStyle w:val="ListParagraph"/>
        <w:numPr>
          <w:ilvl w:val="1"/>
          <w:numId w:val="1"/>
        </w:numPr>
        <w:spacing w:before="0" w:after="120"/>
        <w:jc w:val="both"/>
      </w:pPr>
      <w:r w:rsidRPr="00DC1376">
        <w:t xml:space="preserve">Table </w:t>
      </w:r>
      <w:r w:rsidR="0065209E" w:rsidRPr="00DC1376">
        <w:t>5</w:t>
      </w:r>
      <w:r w:rsidRPr="00DC1376">
        <w:t xml:space="preserve"> </w:t>
      </w:r>
      <w:r w:rsidR="0065209E" w:rsidRPr="00DC1376">
        <w:t>presents a summary of k</w:t>
      </w:r>
      <w:r w:rsidRPr="00DC1376">
        <w:t>ey adverse events in the JADV trial.</w:t>
      </w:r>
    </w:p>
    <w:p w:rsidR="00DA583E" w:rsidRPr="00DC1376" w:rsidRDefault="00DA583E" w:rsidP="00DA583E">
      <w:pPr>
        <w:spacing w:before="0" w:after="120"/>
        <w:jc w:val="both"/>
      </w:pPr>
    </w:p>
    <w:p w:rsidR="00AE7F95" w:rsidRDefault="00AE7F95" w:rsidP="00AE7F95">
      <w:pPr>
        <w:pStyle w:val="Caption"/>
      </w:pPr>
      <w:r>
        <w:t xml:space="preserve">Table </w:t>
      </w:r>
      <w:r>
        <w:rPr>
          <w:noProof/>
        </w:rPr>
        <w:t>5</w:t>
      </w:r>
      <w:r w:rsidRPr="008B2F64">
        <w:t>: Summary of key adverse events in the JADV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37"/>
        <w:gridCol w:w="1284"/>
        <w:gridCol w:w="1466"/>
        <w:gridCol w:w="1584"/>
        <w:gridCol w:w="1611"/>
      </w:tblGrid>
      <w:tr w:rsidR="003004EF" w:rsidRPr="00DC1376" w:rsidTr="00A03117">
        <w:tc>
          <w:tcPr>
            <w:tcW w:w="1727" w:type="pct"/>
            <w:vAlign w:val="center"/>
          </w:tcPr>
          <w:p w:rsidR="003004EF" w:rsidRPr="00DC1376" w:rsidRDefault="003004EF" w:rsidP="003004EF">
            <w:pPr>
              <w:pStyle w:val="TableText"/>
              <w:rPr>
                <w:b/>
              </w:rPr>
            </w:pPr>
            <w:r w:rsidRPr="00DC1376">
              <w:rPr>
                <w:b/>
              </w:rPr>
              <w:t>Trial ID</w:t>
            </w:r>
          </w:p>
        </w:tc>
        <w:tc>
          <w:tcPr>
            <w:tcW w:w="707" w:type="pct"/>
            <w:vAlign w:val="center"/>
          </w:tcPr>
          <w:p w:rsidR="003004EF" w:rsidRPr="00DC1376" w:rsidRDefault="003004EF" w:rsidP="00A03117">
            <w:pPr>
              <w:pStyle w:val="TableText"/>
              <w:jc w:val="center"/>
              <w:rPr>
                <w:b/>
              </w:rPr>
            </w:pPr>
            <w:r w:rsidRPr="00DC1376">
              <w:rPr>
                <w:b/>
              </w:rPr>
              <w:t>Placebo, n</w:t>
            </w:r>
            <w:r w:rsidR="00D73D6C" w:rsidRPr="00DC1376">
              <w:rPr>
                <w:b/>
              </w:rPr>
              <w:t xml:space="preserve"> </w:t>
            </w:r>
            <w:r w:rsidRPr="00DC1376">
              <w:rPr>
                <w:b/>
              </w:rPr>
              <w:t>(%)</w:t>
            </w:r>
            <w:r w:rsidR="00A03117" w:rsidRPr="00DC1376">
              <w:rPr>
                <w:b/>
              </w:rPr>
              <w:br/>
            </w:r>
            <w:r w:rsidRPr="00DC1376">
              <w:rPr>
                <w:b/>
              </w:rPr>
              <w:t>(N=488)</w:t>
            </w:r>
          </w:p>
        </w:tc>
        <w:tc>
          <w:tcPr>
            <w:tcW w:w="807" w:type="pct"/>
            <w:vAlign w:val="center"/>
          </w:tcPr>
          <w:p w:rsidR="003004EF" w:rsidRPr="00DC1376" w:rsidRDefault="003004EF" w:rsidP="00A03117">
            <w:pPr>
              <w:pStyle w:val="TableText"/>
              <w:jc w:val="center"/>
              <w:rPr>
                <w:b/>
              </w:rPr>
            </w:pPr>
            <w:r w:rsidRPr="00DC1376">
              <w:rPr>
                <w:b/>
              </w:rPr>
              <w:t>Baricitinib, n (%)</w:t>
            </w:r>
            <w:r w:rsidR="00A03117" w:rsidRPr="00DC1376">
              <w:rPr>
                <w:b/>
              </w:rPr>
              <w:br/>
            </w:r>
            <w:r w:rsidRPr="00DC1376">
              <w:rPr>
                <w:b/>
              </w:rPr>
              <w:t>(N=487)</w:t>
            </w:r>
          </w:p>
        </w:tc>
        <w:tc>
          <w:tcPr>
            <w:tcW w:w="872" w:type="pct"/>
            <w:vAlign w:val="center"/>
          </w:tcPr>
          <w:p w:rsidR="003004EF" w:rsidRPr="00DC1376" w:rsidRDefault="003004EF" w:rsidP="00A03117">
            <w:pPr>
              <w:pStyle w:val="TableText"/>
              <w:jc w:val="center"/>
              <w:rPr>
                <w:b/>
              </w:rPr>
            </w:pPr>
            <w:r w:rsidRPr="00DC1376">
              <w:rPr>
                <w:b/>
              </w:rPr>
              <w:t>Adalimumab, n (%)</w:t>
            </w:r>
            <w:r w:rsidR="00A03117" w:rsidRPr="00DC1376">
              <w:rPr>
                <w:b/>
              </w:rPr>
              <w:br/>
            </w:r>
            <w:r w:rsidRPr="00DC1376">
              <w:rPr>
                <w:b/>
              </w:rPr>
              <w:t>(N=330)</w:t>
            </w:r>
          </w:p>
        </w:tc>
        <w:tc>
          <w:tcPr>
            <w:tcW w:w="887" w:type="pct"/>
            <w:vAlign w:val="center"/>
          </w:tcPr>
          <w:p w:rsidR="003004EF" w:rsidRPr="00DC1376" w:rsidRDefault="003004EF" w:rsidP="00A03117">
            <w:pPr>
              <w:pStyle w:val="TableText"/>
              <w:jc w:val="center"/>
              <w:rPr>
                <w:b/>
              </w:rPr>
            </w:pPr>
            <w:r w:rsidRPr="00DC1376">
              <w:rPr>
                <w:b/>
              </w:rPr>
              <w:t>RD (Bari vs Ada)</w:t>
            </w:r>
            <w:r w:rsidR="00A03117" w:rsidRPr="00DC1376">
              <w:rPr>
                <w:b/>
              </w:rPr>
              <w:br/>
            </w:r>
            <w:r w:rsidRPr="00DC1376">
              <w:rPr>
                <w:b/>
              </w:rPr>
              <w:t>(95% CI)</w:t>
            </w:r>
          </w:p>
        </w:tc>
      </w:tr>
      <w:tr w:rsidR="003004EF" w:rsidRPr="00DC1376" w:rsidTr="003004EF">
        <w:tc>
          <w:tcPr>
            <w:tcW w:w="5000" w:type="pct"/>
            <w:gridSpan w:val="5"/>
          </w:tcPr>
          <w:p w:rsidR="003004EF" w:rsidRPr="00DC1376" w:rsidRDefault="003004EF" w:rsidP="003004EF">
            <w:pPr>
              <w:pStyle w:val="TableText"/>
              <w:rPr>
                <w:rFonts w:eastAsia="Times New Roman" w:cs="Times New Roman"/>
                <w:b/>
                <w:color w:val="000000"/>
                <w:szCs w:val="20"/>
              </w:rPr>
            </w:pPr>
            <w:r w:rsidRPr="00DC1376">
              <w:rPr>
                <w:b/>
              </w:rPr>
              <w:t>Weeks 0-12</w:t>
            </w:r>
          </w:p>
        </w:tc>
      </w:tr>
      <w:tr w:rsidR="003004EF" w:rsidRPr="00DC1376" w:rsidTr="00A03117">
        <w:tc>
          <w:tcPr>
            <w:tcW w:w="1727" w:type="pct"/>
          </w:tcPr>
          <w:p w:rsidR="003004EF" w:rsidRPr="00DC1376" w:rsidRDefault="003004EF" w:rsidP="003004EF">
            <w:pPr>
              <w:pStyle w:val="TableText"/>
            </w:pPr>
            <w:r w:rsidRPr="00DC1376">
              <w:t>Patients with ≥1 AE</w:t>
            </w:r>
          </w:p>
        </w:tc>
        <w:tc>
          <w:tcPr>
            <w:tcW w:w="707" w:type="pct"/>
            <w:vAlign w:val="center"/>
          </w:tcPr>
          <w:p w:rsidR="003004EF" w:rsidRPr="00DC1376" w:rsidRDefault="003004EF" w:rsidP="00A03117">
            <w:pPr>
              <w:pStyle w:val="TableText"/>
              <w:jc w:val="center"/>
            </w:pPr>
            <w:r w:rsidRPr="00DC1376">
              <w:t>430 (88.1)</w:t>
            </w:r>
          </w:p>
        </w:tc>
        <w:tc>
          <w:tcPr>
            <w:tcW w:w="807" w:type="pct"/>
            <w:vAlign w:val="center"/>
          </w:tcPr>
          <w:p w:rsidR="003004EF" w:rsidRPr="00DC1376" w:rsidRDefault="003004EF" w:rsidP="00A03117">
            <w:pPr>
              <w:pStyle w:val="TableText"/>
              <w:jc w:val="center"/>
            </w:pPr>
            <w:r w:rsidRPr="00DC1376">
              <w:t>432 (88.7)</w:t>
            </w:r>
          </w:p>
        </w:tc>
        <w:tc>
          <w:tcPr>
            <w:tcW w:w="872" w:type="pct"/>
            <w:vAlign w:val="center"/>
          </w:tcPr>
          <w:p w:rsidR="003004EF" w:rsidRPr="00DC1376" w:rsidRDefault="003004EF" w:rsidP="00A03117">
            <w:pPr>
              <w:pStyle w:val="TableText"/>
              <w:jc w:val="center"/>
            </w:pPr>
            <w:r w:rsidRPr="00DC1376">
              <w:t>292 (88.5)</w:t>
            </w:r>
          </w:p>
        </w:tc>
        <w:tc>
          <w:tcPr>
            <w:tcW w:w="887" w:type="pct"/>
            <w:vAlign w:val="center"/>
          </w:tcPr>
          <w:p w:rsidR="003004EF" w:rsidRPr="00DC1376" w:rsidRDefault="00816BBD" w:rsidP="00A03117">
            <w:pPr>
              <w:pStyle w:val="TableText"/>
              <w:jc w:val="center"/>
              <w:rPr>
                <w:szCs w:val="20"/>
              </w:rPr>
            </w:pPr>
            <w:r w:rsidRPr="00DC1376">
              <w:rPr>
                <w:rFonts w:eastAsia="Times New Roman" w:cs="Times New Roman"/>
                <w:color w:val="000000"/>
                <w:szCs w:val="20"/>
              </w:rPr>
              <w:t>0.00</w:t>
            </w:r>
            <w:r w:rsidR="003004EF" w:rsidRPr="00DC1376">
              <w:rPr>
                <w:rFonts w:eastAsia="Times New Roman" w:cs="Times New Roman"/>
                <w:color w:val="000000"/>
                <w:szCs w:val="20"/>
              </w:rPr>
              <w:t xml:space="preserve"> (-0.04, 0.0</w:t>
            </w:r>
            <w:r w:rsidRPr="00DC1376">
              <w:rPr>
                <w:rFonts w:eastAsia="Times New Roman" w:cs="Times New Roman"/>
                <w:color w:val="000000"/>
                <w:szCs w:val="20"/>
              </w:rPr>
              <w:t>5</w:t>
            </w:r>
            <w:r w:rsidR="003004EF" w:rsidRPr="00DC1376">
              <w:rPr>
                <w:rFonts w:eastAsia="Times New Roman" w:cs="Times New Roman"/>
                <w:color w:val="000000"/>
                <w:szCs w:val="20"/>
              </w:rPr>
              <w:t>)</w:t>
            </w:r>
          </w:p>
        </w:tc>
      </w:tr>
      <w:tr w:rsidR="003004EF" w:rsidRPr="00DC1376" w:rsidTr="00A03117">
        <w:tc>
          <w:tcPr>
            <w:tcW w:w="1727" w:type="pct"/>
          </w:tcPr>
          <w:p w:rsidR="003004EF" w:rsidRPr="00DC1376" w:rsidRDefault="003004EF" w:rsidP="003004EF">
            <w:pPr>
              <w:pStyle w:val="TableText"/>
            </w:pPr>
            <w:r w:rsidRPr="00DC1376">
              <w:t>Serious adverse event by ICH</w:t>
            </w:r>
          </w:p>
        </w:tc>
        <w:tc>
          <w:tcPr>
            <w:tcW w:w="707" w:type="pct"/>
            <w:vAlign w:val="center"/>
          </w:tcPr>
          <w:p w:rsidR="003004EF" w:rsidRPr="00DC1376" w:rsidRDefault="003004EF" w:rsidP="00A03117">
            <w:pPr>
              <w:pStyle w:val="TableText"/>
              <w:jc w:val="center"/>
            </w:pPr>
            <w:r w:rsidRPr="00DC1376">
              <w:t>14 (2.9)</w:t>
            </w:r>
          </w:p>
        </w:tc>
        <w:tc>
          <w:tcPr>
            <w:tcW w:w="807" w:type="pct"/>
            <w:vAlign w:val="center"/>
          </w:tcPr>
          <w:p w:rsidR="003004EF" w:rsidRPr="00DC1376" w:rsidRDefault="003004EF" w:rsidP="00A03117">
            <w:pPr>
              <w:pStyle w:val="TableText"/>
              <w:jc w:val="center"/>
            </w:pPr>
            <w:r w:rsidRPr="00DC1376">
              <w:t>12 (2.5)</w:t>
            </w:r>
          </w:p>
        </w:tc>
        <w:tc>
          <w:tcPr>
            <w:tcW w:w="872" w:type="pct"/>
            <w:vAlign w:val="center"/>
          </w:tcPr>
          <w:p w:rsidR="003004EF" w:rsidRPr="00DC1376" w:rsidRDefault="003004EF" w:rsidP="00A03117">
            <w:pPr>
              <w:pStyle w:val="TableText"/>
              <w:jc w:val="center"/>
            </w:pPr>
            <w:r w:rsidRPr="00DC1376">
              <w:t>4 (1.2)</w:t>
            </w:r>
          </w:p>
        </w:tc>
        <w:tc>
          <w:tcPr>
            <w:tcW w:w="887" w:type="pct"/>
            <w:vAlign w:val="center"/>
          </w:tcPr>
          <w:p w:rsidR="003004EF" w:rsidRPr="00DC1376" w:rsidRDefault="00816BBD" w:rsidP="00A03117">
            <w:pPr>
              <w:pStyle w:val="TableText"/>
              <w:jc w:val="center"/>
              <w:rPr>
                <w:szCs w:val="20"/>
              </w:rPr>
            </w:pPr>
            <w:r w:rsidRPr="00DC1376">
              <w:rPr>
                <w:rFonts w:eastAsia="Times New Roman" w:cs="Times New Roman"/>
                <w:color w:val="000000"/>
                <w:szCs w:val="20"/>
              </w:rPr>
              <w:t>0.01 (-0.01, 0.03</w:t>
            </w:r>
            <w:r w:rsidR="003004EF" w:rsidRPr="00DC1376">
              <w:rPr>
                <w:rFonts w:eastAsia="Times New Roman" w:cs="Times New Roman"/>
                <w:color w:val="000000"/>
                <w:szCs w:val="20"/>
              </w:rPr>
              <w:t>)</w:t>
            </w:r>
          </w:p>
        </w:tc>
      </w:tr>
      <w:tr w:rsidR="003004EF" w:rsidRPr="00DC1376" w:rsidTr="00A03117">
        <w:tc>
          <w:tcPr>
            <w:tcW w:w="1727" w:type="pct"/>
          </w:tcPr>
          <w:p w:rsidR="003004EF" w:rsidRPr="00DC1376" w:rsidRDefault="003004EF" w:rsidP="003004EF">
            <w:pPr>
              <w:pStyle w:val="TableText"/>
            </w:pPr>
            <w:r w:rsidRPr="00DC1376">
              <w:t>Discontinuation due to AE or death</w:t>
            </w:r>
          </w:p>
        </w:tc>
        <w:tc>
          <w:tcPr>
            <w:tcW w:w="707" w:type="pct"/>
            <w:vAlign w:val="center"/>
          </w:tcPr>
          <w:p w:rsidR="003004EF" w:rsidRPr="00DC1376" w:rsidRDefault="003004EF" w:rsidP="00A03117">
            <w:pPr>
              <w:pStyle w:val="TableText"/>
              <w:jc w:val="center"/>
            </w:pPr>
            <w:r w:rsidRPr="00DC1376">
              <w:t>13 (2.7)</w:t>
            </w:r>
          </w:p>
        </w:tc>
        <w:tc>
          <w:tcPr>
            <w:tcW w:w="807" w:type="pct"/>
            <w:vAlign w:val="center"/>
          </w:tcPr>
          <w:p w:rsidR="003004EF" w:rsidRPr="00DC1376" w:rsidRDefault="003004EF" w:rsidP="00A03117">
            <w:pPr>
              <w:pStyle w:val="TableText"/>
              <w:jc w:val="center"/>
            </w:pPr>
            <w:r w:rsidRPr="00DC1376">
              <w:t>12 (2.5)</w:t>
            </w:r>
          </w:p>
        </w:tc>
        <w:tc>
          <w:tcPr>
            <w:tcW w:w="872" w:type="pct"/>
            <w:vAlign w:val="center"/>
          </w:tcPr>
          <w:p w:rsidR="003004EF" w:rsidRPr="00DC1376" w:rsidRDefault="003004EF" w:rsidP="00A03117">
            <w:pPr>
              <w:pStyle w:val="TableText"/>
              <w:jc w:val="center"/>
            </w:pPr>
            <w:r w:rsidRPr="00DC1376">
              <w:t>6 (1.8)</w:t>
            </w:r>
          </w:p>
        </w:tc>
        <w:tc>
          <w:tcPr>
            <w:tcW w:w="887" w:type="pct"/>
            <w:vAlign w:val="center"/>
          </w:tcPr>
          <w:p w:rsidR="003004EF" w:rsidRPr="00DC1376" w:rsidRDefault="00816BBD" w:rsidP="00A03117">
            <w:pPr>
              <w:pStyle w:val="TableText"/>
              <w:jc w:val="center"/>
              <w:rPr>
                <w:szCs w:val="20"/>
              </w:rPr>
            </w:pPr>
            <w:r w:rsidRPr="00DC1376">
              <w:rPr>
                <w:rFonts w:eastAsia="Times New Roman" w:cs="Times New Roman"/>
                <w:color w:val="000000"/>
                <w:szCs w:val="20"/>
              </w:rPr>
              <w:t>0.01 (-0.01</w:t>
            </w:r>
            <w:r w:rsidR="003004EF" w:rsidRPr="00DC1376">
              <w:rPr>
                <w:rFonts w:eastAsia="Times New Roman" w:cs="Times New Roman"/>
                <w:color w:val="000000"/>
                <w:szCs w:val="20"/>
              </w:rPr>
              <w:t>, 0.0</w:t>
            </w:r>
            <w:r w:rsidRPr="00DC1376">
              <w:rPr>
                <w:rFonts w:eastAsia="Times New Roman" w:cs="Times New Roman"/>
                <w:color w:val="000000"/>
                <w:szCs w:val="20"/>
              </w:rPr>
              <w:t>3</w:t>
            </w:r>
            <w:r w:rsidR="003004EF" w:rsidRPr="00DC1376">
              <w:rPr>
                <w:rFonts w:eastAsia="Times New Roman" w:cs="Times New Roman"/>
                <w:color w:val="000000"/>
                <w:szCs w:val="20"/>
              </w:rPr>
              <w:t>)</w:t>
            </w:r>
          </w:p>
        </w:tc>
      </w:tr>
      <w:tr w:rsidR="003004EF" w:rsidRPr="00DC1376" w:rsidTr="00A03117">
        <w:tc>
          <w:tcPr>
            <w:tcW w:w="1727" w:type="pct"/>
          </w:tcPr>
          <w:p w:rsidR="003004EF" w:rsidRPr="00DC1376" w:rsidRDefault="003004EF" w:rsidP="003004EF">
            <w:pPr>
              <w:pStyle w:val="TableText"/>
            </w:pPr>
            <w:r w:rsidRPr="00DC1376">
              <w:t>Interruption from study drug due to AE</w:t>
            </w:r>
          </w:p>
        </w:tc>
        <w:tc>
          <w:tcPr>
            <w:tcW w:w="707" w:type="pct"/>
            <w:vAlign w:val="center"/>
          </w:tcPr>
          <w:p w:rsidR="003004EF" w:rsidRPr="00DC1376" w:rsidRDefault="003004EF" w:rsidP="00A03117">
            <w:pPr>
              <w:pStyle w:val="TableText"/>
              <w:jc w:val="center"/>
            </w:pPr>
            <w:r w:rsidRPr="00DC1376">
              <w:t>32 (6.6)</w:t>
            </w:r>
          </w:p>
        </w:tc>
        <w:tc>
          <w:tcPr>
            <w:tcW w:w="807" w:type="pct"/>
            <w:vAlign w:val="center"/>
          </w:tcPr>
          <w:p w:rsidR="003004EF" w:rsidRPr="00DC1376" w:rsidRDefault="003004EF" w:rsidP="00A03117">
            <w:pPr>
              <w:pStyle w:val="TableText"/>
              <w:jc w:val="center"/>
            </w:pPr>
            <w:r w:rsidRPr="00DC1376">
              <w:t>33 (6.8)</w:t>
            </w:r>
          </w:p>
        </w:tc>
        <w:tc>
          <w:tcPr>
            <w:tcW w:w="872" w:type="pct"/>
            <w:vAlign w:val="center"/>
          </w:tcPr>
          <w:p w:rsidR="003004EF" w:rsidRPr="00DC1376" w:rsidRDefault="003004EF" w:rsidP="00A03117">
            <w:pPr>
              <w:pStyle w:val="TableText"/>
              <w:jc w:val="center"/>
            </w:pPr>
            <w:r w:rsidRPr="00DC1376">
              <w:t>19 (5.8)</w:t>
            </w:r>
          </w:p>
        </w:tc>
        <w:tc>
          <w:tcPr>
            <w:tcW w:w="887" w:type="pct"/>
            <w:vAlign w:val="center"/>
          </w:tcPr>
          <w:p w:rsidR="003004EF" w:rsidRPr="00DC1376" w:rsidRDefault="003004EF" w:rsidP="00A03117">
            <w:pPr>
              <w:pStyle w:val="TableText"/>
              <w:jc w:val="center"/>
              <w:rPr>
                <w:szCs w:val="20"/>
              </w:rPr>
            </w:pPr>
            <w:r w:rsidRPr="00DC1376">
              <w:rPr>
                <w:rFonts w:eastAsia="Times New Roman" w:cs="Times New Roman"/>
                <w:color w:val="000000"/>
                <w:szCs w:val="20"/>
              </w:rPr>
              <w:t>0.01 (-0.02, 0.04)</w:t>
            </w:r>
          </w:p>
        </w:tc>
      </w:tr>
      <w:tr w:rsidR="003004EF" w:rsidRPr="00DC1376" w:rsidTr="00A03117">
        <w:tc>
          <w:tcPr>
            <w:tcW w:w="1727" w:type="pct"/>
          </w:tcPr>
          <w:p w:rsidR="003004EF" w:rsidRPr="00DC1376" w:rsidRDefault="003004EF" w:rsidP="003004EF">
            <w:pPr>
              <w:pStyle w:val="TableText"/>
            </w:pPr>
            <w:r w:rsidRPr="00DC1376">
              <w:t>TEAE</w:t>
            </w:r>
          </w:p>
        </w:tc>
        <w:tc>
          <w:tcPr>
            <w:tcW w:w="707" w:type="pct"/>
            <w:vAlign w:val="center"/>
          </w:tcPr>
          <w:p w:rsidR="003004EF" w:rsidRPr="00DC1376" w:rsidRDefault="003004EF" w:rsidP="00A03117">
            <w:pPr>
              <w:pStyle w:val="TableText"/>
              <w:jc w:val="center"/>
            </w:pPr>
            <w:r w:rsidRPr="00DC1376">
              <w:t>232 (47.5)</w:t>
            </w:r>
          </w:p>
        </w:tc>
        <w:tc>
          <w:tcPr>
            <w:tcW w:w="807" w:type="pct"/>
            <w:vAlign w:val="center"/>
          </w:tcPr>
          <w:p w:rsidR="003004EF" w:rsidRPr="00DC1376" w:rsidRDefault="003004EF" w:rsidP="00A03117">
            <w:pPr>
              <w:pStyle w:val="TableText"/>
              <w:jc w:val="center"/>
            </w:pPr>
            <w:r w:rsidRPr="00DC1376">
              <w:t>259 (53.2)</w:t>
            </w:r>
          </w:p>
        </w:tc>
        <w:tc>
          <w:tcPr>
            <w:tcW w:w="872" w:type="pct"/>
            <w:vAlign w:val="center"/>
          </w:tcPr>
          <w:p w:rsidR="003004EF" w:rsidRPr="00DC1376" w:rsidRDefault="003004EF" w:rsidP="00A03117">
            <w:pPr>
              <w:pStyle w:val="TableText"/>
              <w:jc w:val="center"/>
            </w:pPr>
            <w:r w:rsidRPr="00DC1376">
              <w:t>169 (51.2)</w:t>
            </w:r>
          </w:p>
        </w:tc>
        <w:tc>
          <w:tcPr>
            <w:tcW w:w="887" w:type="pct"/>
            <w:vAlign w:val="center"/>
          </w:tcPr>
          <w:p w:rsidR="003004EF" w:rsidRPr="00DC1376" w:rsidRDefault="003004EF" w:rsidP="00A03117">
            <w:pPr>
              <w:pStyle w:val="TableText"/>
              <w:jc w:val="center"/>
              <w:rPr>
                <w:szCs w:val="20"/>
              </w:rPr>
            </w:pPr>
            <w:r w:rsidRPr="00DC1376">
              <w:rPr>
                <w:rFonts w:eastAsia="Times New Roman" w:cs="Times New Roman"/>
                <w:color w:val="000000"/>
                <w:szCs w:val="20"/>
              </w:rPr>
              <w:t>0.02 (-0.05, 0.09)</w:t>
            </w:r>
          </w:p>
        </w:tc>
      </w:tr>
      <w:tr w:rsidR="003004EF" w:rsidRPr="00DC1376" w:rsidTr="00A03117">
        <w:tc>
          <w:tcPr>
            <w:tcW w:w="1727" w:type="pct"/>
          </w:tcPr>
          <w:p w:rsidR="003004EF" w:rsidRPr="00DC1376" w:rsidRDefault="003004EF" w:rsidP="003004EF">
            <w:pPr>
              <w:pStyle w:val="TableText"/>
            </w:pPr>
            <w:r w:rsidRPr="00DC1376">
              <w:t>TEAE rated as severe</w:t>
            </w:r>
          </w:p>
        </w:tc>
        <w:tc>
          <w:tcPr>
            <w:tcW w:w="707" w:type="pct"/>
            <w:vAlign w:val="center"/>
          </w:tcPr>
          <w:p w:rsidR="003004EF" w:rsidRPr="00DC1376" w:rsidRDefault="003004EF" w:rsidP="00A03117">
            <w:pPr>
              <w:pStyle w:val="TableText"/>
              <w:jc w:val="center"/>
            </w:pPr>
            <w:r w:rsidRPr="00DC1376">
              <w:t>14 (2.9)</w:t>
            </w:r>
          </w:p>
        </w:tc>
        <w:tc>
          <w:tcPr>
            <w:tcW w:w="807" w:type="pct"/>
            <w:vAlign w:val="center"/>
          </w:tcPr>
          <w:p w:rsidR="003004EF" w:rsidRPr="00DC1376" w:rsidRDefault="003004EF" w:rsidP="00A03117">
            <w:pPr>
              <w:pStyle w:val="TableText"/>
              <w:jc w:val="center"/>
            </w:pPr>
            <w:r w:rsidRPr="00DC1376">
              <w:t>10 (2.1)</w:t>
            </w:r>
          </w:p>
        </w:tc>
        <w:tc>
          <w:tcPr>
            <w:tcW w:w="872" w:type="pct"/>
            <w:vAlign w:val="center"/>
          </w:tcPr>
          <w:p w:rsidR="003004EF" w:rsidRPr="00DC1376" w:rsidRDefault="003004EF" w:rsidP="00A03117">
            <w:pPr>
              <w:pStyle w:val="TableText"/>
              <w:jc w:val="center"/>
            </w:pPr>
            <w:r w:rsidRPr="00DC1376">
              <w:t>4 (1.2)</w:t>
            </w:r>
          </w:p>
        </w:tc>
        <w:tc>
          <w:tcPr>
            <w:tcW w:w="887" w:type="pct"/>
            <w:vAlign w:val="center"/>
          </w:tcPr>
          <w:p w:rsidR="003004EF" w:rsidRPr="00DC1376" w:rsidRDefault="00816BBD" w:rsidP="00A03117">
            <w:pPr>
              <w:pStyle w:val="TableText"/>
              <w:jc w:val="center"/>
              <w:rPr>
                <w:szCs w:val="20"/>
              </w:rPr>
            </w:pPr>
            <w:r w:rsidRPr="00DC1376">
              <w:rPr>
                <w:rFonts w:eastAsia="Times New Roman" w:cs="Times New Roman"/>
                <w:color w:val="000000"/>
                <w:szCs w:val="20"/>
              </w:rPr>
              <w:t>0.01 (-0.01</w:t>
            </w:r>
            <w:r w:rsidR="003004EF" w:rsidRPr="00DC1376">
              <w:rPr>
                <w:rFonts w:eastAsia="Times New Roman" w:cs="Times New Roman"/>
                <w:color w:val="000000"/>
                <w:szCs w:val="20"/>
              </w:rPr>
              <w:t>, 0.0</w:t>
            </w:r>
            <w:r w:rsidRPr="00DC1376">
              <w:rPr>
                <w:rFonts w:eastAsia="Times New Roman" w:cs="Times New Roman"/>
                <w:color w:val="000000"/>
                <w:szCs w:val="20"/>
              </w:rPr>
              <w:t>3</w:t>
            </w:r>
            <w:r w:rsidR="003004EF" w:rsidRPr="00DC1376">
              <w:rPr>
                <w:rFonts w:eastAsia="Times New Roman" w:cs="Times New Roman"/>
                <w:color w:val="000000"/>
                <w:szCs w:val="20"/>
              </w:rPr>
              <w:t>)</w:t>
            </w:r>
          </w:p>
        </w:tc>
      </w:tr>
      <w:tr w:rsidR="003004EF" w:rsidRPr="00DC1376" w:rsidTr="00A03117">
        <w:trPr>
          <w:trHeight w:val="95"/>
        </w:trPr>
        <w:tc>
          <w:tcPr>
            <w:tcW w:w="1727" w:type="pct"/>
          </w:tcPr>
          <w:p w:rsidR="003004EF" w:rsidRPr="00DC1376" w:rsidRDefault="003004EF" w:rsidP="003004EF">
            <w:pPr>
              <w:pStyle w:val="TableText"/>
            </w:pPr>
            <w:r w:rsidRPr="00DC1376">
              <w:t>Adverse event related to study drug</w:t>
            </w:r>
          </w:p>
        </w:tc>
        <w:tc>
          <w:tcPr>
            <w:tcW w:w="707" w:type="pct"/>
            <w:vAlign w:val="center"/>
          </w:tcPr>
          <w:p w:rsidR="003004EF" w:rsidRPr="00DC1376" w:rsidRDefault="003004EF" w:rsidP="00A03117">
            <w:pPr>
              <w:pStyle w:val="TableText"/>
              <w:jc w:val="center"/>
            </w:pPr>
            <w:r w:rsidRPr="00DC1376">
              <w:t>78 (16.0)</w:t>
            </w:r>
          </w:p>
        </w:tc>
        <w:tc>
          <w:tcPr>
            <w:tcW w:w="807" w:type="pct"/>
            <w:vAlign w:val="center"/>
          </w:tcPr>
          <w:p w:rsidR="003004EF" w:rsidRPr="00DC1376" w:rsidRDefault="003004EF" w:rsidP="00A03117">
            <w:pPr>
              <w:pStyle w:val="TableText"/>
              <w:jc w:val="center"/>
            </w:pPr>
            <w:r w:rsidRPr="00DC1376">
              <w:t>105 (21.6)</w:t>
            </w:r>
          </w:p>
        </w:tc>
        <w:tc>
          <w:tcPr>
            <w:tcW w:w="872" w:type="pct"/>
            <w:vAlign w:val="center"/>
          </w:tcPr>
          <w:p w:rsidR="003004EF" w:rsidRPr="00DC1376" w:rsidRDefault="003004EF" w:rsidP="00A03117">
            <w:pPr>
              <w:pStyle w:val="TableText"/>
              <w:jc w:val="center"/>
            </w:pPr>
            <w:r w:rsidRPr="00DC1376">
              <w:t>66 (20.0)</w:t>
            </w:r>
          </w:p>
        </w:tc>
        <w:tc>
          <w:tcPr>
            <w:tcW w:w="887" w:type="pct"/>
            <w:vAlign w:val="center"/>
          </w:tcPr>
          <w:p w:rsidR="003004EF" w:rsidRPr="00DC1376" w:rsidRDefault="00816BBD" w:rsidP="00A03117">
            <w:pPr>
              <w:pStyle w:val="TableText"/>
              <w:jc w:val="center"/>
              <w:rPr>
                <w:szCs w:val="20"/>
              </w:rPr>
            </w:pPr>
            <w:r w:rsidRPr="00DC1376">
              <w:rPr>
                <w:rFonts w:eastAsia="Times New Roman" w:cs="Times New Roman"/>
                <w:color w:val="000000"/>
                <w:szCs w:val="20"/>
              </w:rPr>
              <w:t>0.02</w:t>
            </w:r>
            <w:r w:rsidR="003004EF" w:rsidRPr="00DC1376">
              <w:rPr>
                <w:rFonts w:eastAsia="Times New Roman" w:cs="Times New Roman"/>
                <w:color w:val="000000"/>
                <w:szCs w:val="20"/>
              </w:rPr>
              <w:t xml:space="preserve"> (-0.04, 0.07)</w:t>
            </w:r>
          </w:p>
        </w:tc>
      </w:tr>
      <w:tr w:rsidR="003004EF" w:rsidRPr="00DC1376" w:rsidTr="003004EF">
        <w:trPr>
          <w:trHeight w:val="95"/>
        </w:trPr>
        <w:tc>
          <w:tcPr>
            <w:tcW w:w="5000" w:type="pct"/>
            <w:gridSpan w:val="5"/>
          </w:tcPr>
          <w:p w:rsidR="003004EF" w:rsidRPr="00DC1376" w:rsidRDefault="003004EF" w:rsidP="003004EF">
            <w:pPr>
              <w:pStyle w:val="TableText"/>
              <w:rPr>
                <w:rFonts w:eastAsia="Times New Roman" w:cs="Times New Roman"/>
                <w:b/>
                <w:color w:val="000000"/>
                <w:szCs w:val="20"/>
              </w:rPr>
            </w:pPr>
            <w:r w:rsidRPr="00DC1376">
              <w:rPr>
                <w:b/>
              </w:rPr>
              <w:t>Weeks 0 -24</w:t>
            </w:r>
          </w:p>
        </w:tc>
      </w:tr>
      <w:tr w:rsidR="003004EF" w:rsidRPr="00DC1376" w:rsidTr="00A03117">
        <w:trPr>
          <w:trHeight w:val="98"/>
        </w:trPr>
        <w:tc>
          <w:tcPr>
            <w:tcW w:w="1727" w:type="pct"/>
          </w:tcPr>
          <w:p w:rsidR="003004EF" w:rsidRPr="00DC1376" w:rsidRDefault="003004EF" w:rsidP="003004EF">
            <w:pPr>
              <w:pStyle w:val="TableText"/>
            </w:pPr>
            <w:r w:rsidRPr="00DC1376">
              <w:t>Patients with ≥1 AE</w:t>
            </w:r>
          </w:p>
        </w:tc>
        <w:tc>
          <w:tcPr>
            <w:tcW w:w="707" w:type="pct"/>
            <w:vAlign w:val="center"/>
          </w:tcPr>
          <w:p w:rsidR="003004EF" w:rsidRPr="00DC1376" w:rsidRDefault="003004EF" w:rsidP="00A03117">
            <w:pPr>
              <w:pStyle w:val="TableText"/>
              <w:jc w:val="center"/>
            </w:pPr>
            <w:r w:rsidRPr="00DC1376">
              <w:t>441 (90.4)</w:t>
            </w:r>
          </w:p>
        </w:tc>
        <w:tc>
          <w:tcPr>
            <w:tcW w:w="807" w:type="pct"/>
            <w:vAlign w:val="center"/>
          </w:tcPr>
          <w:p w:rsidR="003004EF" w:rsidRPr="00DC1376" w:rsidRDefault="003004EF" w:rsidP="00A03117">
            <w:pPr>
              <w:pStyle w:val="TableText"/>
              <w:jc w:val="center"/>
            </w:pPr>
            <w:r w:rsidRPr="00DC1376">
              <w:t>448 (92.0)</w:t>
            </w:r>
          </w:p>
        </w:tc>
        <w:tc>
          <w:tcPr>
            <w:tcW w:w="872" w:type="pct"/>
            <w:vAlign w:val="center"/>
          </w:tcPr>
          <w:p w:rsidR="003004EF" w:rsidRPr="00DC1376" w:rsidRDefault="003004EF" w:rsidP="00A03117">
            <w:pPr>
              <w:pStyle w:val="TableText"/>
              <w:jc w:val="center"/>
            </w:pPr>
            <w:r w:rsidRPr="00DC1376">
              <w:t>300 (90.9)</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0.01 (-0.03</w:t>
            </w:r>
            <w:r w:rsidR="003004EF" w:rsidRPr="00DC1376">
              <w:rPr>
                <w:rFonts w:eastAsia="Times New Roman" w:cs="Times New Roman"/>
                <w:color w:val="000000"/>
                <w:szCs w:val="20"/>
              </w:rPr>
              <w:t>, 0.05)</w:t>
            </w:r>
          </w:p>
        </w:tc>
      </w:tr>
      <w:tr w:rsidR="003004EF" w:rsidRPr="00DC1376" w:rsidTr="00A03117">
        <w:trPr>
          <w:trHeight w:val="95"/>
        </w:trPr>
        <w:tc>
          <w:tcPr>
            <w:tcW w:w="1727" w:type="pct"/>
          </w:tcPr>
          <w:p w:rsidR="003004EF" w:rsidRPr="00DC1376" w:rsidRDefault="003004EF" w:rsidP="003004EF">
            <w:pPr>
              <w:pStyle w:val="TableText"/>
            </w:pPr>
            <w:r w:rsidRPr="00DC1376">
              <w:t>Serious adverse event by ICH</w:t>
            </w:r>
          </w:p>
        </w:tc>
        <w:tc>
          <w:tcPr>
            <w:tcW w:w="707" w:type="pct"/>
            <w:vAlign w:val="center"/>
          </w:tcPr>
          <w:p w:rsidR="003004EF" w:rsidRPr="00DC1376" w:rsidRDefault="003004EF" w:rsidP="00A03117">
            <w:pPr>
              <w:pStyle w:val="TableText"/>
              <w:jc w:val="center"/>
            </w:pPr>
            <w:r w:rsidRPr="00DC1376">
              <w:t>22 (4.5)</w:t>
            </w:r>
          </w:p>
        </w:tc>
        <w:tc>
          <w:tcPr>
            <w:tcW w:w="807" w:type="pct"/>
            <w:vAlign w:val="center"/>
          </w:tcPr>
          <w:p w:rsidR="003004EF" w:rsidRPr="00DC1376" w:rsidRDefault="003004EF" w:rsidP="00A03117">
            <w:pPr>
              <w:pStyle w:val="TableText"/>
              <w:jc w:val="center"/>
            </w:pPr>
            <w:r w:rsidRPr="00DC1376">
              <w:t>23 (4.7)</w:t>
            </w:r>
          </w:p>
        </w:tc>
        <w:tc>
          <w:tcPr>
            <w:tcW w:w="872" w:type="pct"/>
            <w:vAlign w:val="center"/>
          </w:tcPr>
          <w:p w:rsidR="003004EF" w:rsidRPr="00DC1376" w:rsidRDefault="003004EF" w:rsidP="00A03117">
            <w:pPr>
              <w:pStyle w:val="TableText"/>
              <w:jc w:val="center"/>
            </w:pPr>
            <w:r w:rsidRPr="00DC1376">
              <w:t>6 (1.8)</w:t>
            </w:r>
          </w:p>
        </w:tc>
        <w:tc>
          <w:tcPr>
            <w:tcW w:w="887" w:type="pct"/>
            <w:vAlign w:val="center"/>
          </w:tcPr>
          <w:p w:rsidR="003004EF" w:rsidRPr="00DC1376" w:rsidRDefault="00816BBD" w:rsidP="00A03117">
            <w:pPr>
              <w:pStyle w:val="TableText"/>
              <w:jc w:val="center"/>
              <w:rPr>
                <w:rFonts w:eastAsia="Times New Roman" w:cs="Times New Roman"/>
                <w:b/>
                <w:color w:val="000000"/>
                <w:szCs w:val="20"/>
              </w:rPr>
            </w:pPr>
            <w:r w:rsidRPr="00DC1376">
              <w:rPr>
                <w:rFonts w:eastAsia="Times New Roman" w:cs="Times New Roman"/>
                <w:b/>
                <w:color w:val="000000"/>
                <w:szCs w:val="20"/>
              </w:rPr>
              <w:t>0.03 (0.01, 0.05</w:t>
            </w:r>
            <w:r w:rsidR="003004EF" w:rsidRPr="00DC1376">
              <w:rPr>
                <w:rFonts w:eastAsia="Times New Roman" w:cs="Times New Roman"/>
                <w:b/>
                <w:color w:val="000000"/>
                <w:szCs w:val="20"/>
              </w:rPr>
              <w:t>)</w:t>
            </w:r>
          </w:p>
        </w:tc>
      </w:tr>
      <w:tr w:rsidR="003004EF" w:rsidRPr="00DC1376" w:rsidTr="00A03117">
        <w:trPr>
          <w:trHeight w:val="95"/>
        </w:trPr>
        <w:tc>
          <w:tcPr>
            <w:tcW w:w="1727" w:type="pct"/>
          </w:tcPr>
          <w:p w:rsidR="003004EF" w:rsidRPr="00DC1376" w:rsidRDefault="003004EF" w:rsidP="003004EF">
            <w:pPr>
              <w:pStyle w:val="TableText"/>
            </w:pPr>
            <w:r w:rsidRPr="00DC1376">
              <w:t>Discontinuation due to AE or death</w:t>
            </w:r>
          </w:p>
        </w:tc>
        <w:tc>
          <w:tcPr>
            <w:tcW w:w="707" w:type="pct"/>
            <w:vAlign w:val="center"/>
          </w:tcPr>
          <w:p w:rsidR="003004EF" w:rsidRPr="00DC1376" w:rsidRDefault="003004EF" w:rsidP="00A03117">
            <w:pPr>
              <w:pStyle w:val="TableText"/>
              <w:jc w:val="center"/>
            </w:pPr>
            <w:r w:rsidRPr="00DC1376">
              <w:t>17 (3.5)</w:t>
            </w:r>
          </w:p>
        </w:tc>
        <w:tc>
          <w:tcPr>
            <w:tcW w:w="807" w:type="pct"/>
            <w:vAlign w:val="center"/>
          </w:tcPr>
          <w:p w:rsidR="003004EF" w:rsidRPr="00DC1376" w:rsidRDefault="003004EF" w:rsidP="00A03117">
            <w:pPr>
              <w:pStyle w:val="TableText"/>
              <w:jc w:val="center"/>
            </w:pPr>
            <w:r w:rsidRPr="00DC1376">
              <w:t>24 (4.9)</w:t>
            </w:r>
          </w:p>
        </w:tc>
        <w:tc>
          <w:tcPr>
            <w:tcW w:w="872" w:type="pct"/>
            <w:vAlign w:val="center"/>
          </w:tcPr>
          <w:p w:rsidR="003004EF" w:rsidRPr="00DC1376" w:rsidRDefault="003004EF" w:rsidP="00A03117">
            <w:pPr>
              <w:pStyle w:val="TableText"/>
              <w:jc w:val="center"/>
            </w:pPr>
            <w:r w:rsidRPr="00DC1376">
              <w:t>7 (2.1)</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0.03 (0.00, 0.05</w:t>
            </w:r>
            <w:r w:rsidR="003004EF" w:rsidRPr="00DC1376">
              <w:rPr>
                <w:rFonts w:eastAsia="Times New Roman" w:cs="Times New Roman"/>
                <w:color w:val="000000"/>
                <w:szCs w:val="20"/>
              </w:rPr>
              <w:t>)</w:t>
            </w:r>
          </w:p>
        </w:tc>
      </w:tr>
      <w:tr w:rsidR="003004EF" w:rsidRPr="00DC1376" w:rsidTr="00A03117">
        <w:trPr>
          <w:trHeight w:val="95"/>
        </w:trPr>
        <w:tc>
          <w:tcPr>
            <w:tcW w:w="1727" w:type="pct"/>
          </w:tcPr>
          <w:p w:rsidR="003004EF" w:rsidRPr="00DC1376" w:rsidRDefault="003004EF" w:rsidP="003004EF">
            <w:pPr>
              <w:pStyle w:val="TableText"/>
            </w:pPr>
            <w:r w:rsidRPr="00DC1376">
              <w:t>Interruption from study drug due to AE</w:t>
            </w:r>
          </w:p>
        </w:tc>
        <w:tc>
          <w:tcPr>
            <w:tcW w:w="707" w:type="pct"/>
            <w:vAlign w:val="center"/>
          </w:tcPr>
          <w:p w:rsidR="003004EF" w:rsidRPr="00DC1376" w:rsidRDefault="003004EF" w:rsidP="00A03117">
            <w:pPr>
              <w:pStyle w:val="TableText"/>
              <w:jc w:val="center"/>
            </w:pPr>
            <w:r w:rsidRPr="00DC1376">
              <w:t>45 (9.2)</w:t>
            </w:r>
          </w:p>
        </w:tc>
        <w:tc>
          <w:tcPr>
            <w:tcW w:w="807" w:type="pct"/>
            <w:vAlign w:val="center"/>
          </w:tcPr>
          <w:p w:rsidR="003004EF" w:rsidRPr="00DC1376" w:rsidRDefault="003004EF" w:rsidP="00A03117">
            <w:pPr>
              <w:pStyle w:val="TableText"/>
              <w:jc w:val="center"/>
            </w:pPr>
            <w:r w:rsidRPr="00DC1376">
              <w:t>48 (9.9)</w:t>
            </w:r>
          </w:p>
        </w:tc>
        <w:tc>
          <w:tcPr>
            <w:tcW w:w="872" w:type="pct"/>
            <w:vAlign w:val="center"/>
          </w:tcPr>
          <w:p w:rsidR="003004EF" w:rsidRPr="00DC1376" w:rsidRDefault="003004EF" w:rsidP="00A03117">
            <w:pPr>
              <w:pStyle w:val="TableText"/>
              <w:jc w:val="center"/>
            </w:pPr>
            <w:r w:rsidRPr="00DC1376">
              <w:t>29 (8.8)</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0.01 (-0.03</w:t>
            </w:r>
            <w:r w:rsidR="003004EF" w:rsidRPr="00DC1376">
              <w:rPr>
                <w:rFonts w:eastAsia="Times New Roman" w:cs="Times New Roman"/>
                <w:color w:val="000000"/>
                <w:szCs w:val="20"/>
              </w:rPr>
              <w:t>, 0.05)</w:t>
            </w:r>
          </w:p>
        </w:tc>
      </w:tr>
      <w:tr w:rsidR="003004EF" w:rsidRPr="00DC1376" w:rsidTr="00A03117">
        <w:trPr>
          <w:trHeight w:val="95"/>
        </w:trPr>
        <w:tc>
          <w:tcPr>
            <w:tcW w:w="1727" w:type="pct"/>
          </w:tcPr>
          <w:p w:rsidR="003004EF" w:rsidRPr="00DC1376" w:rsidRDefault="003004EF" w:rsidP="003004EF">
            <w:pPr>
              <w:pStyle w:val="TableText"/>
            </w:pPr>
            <w:r w:rsidRPr="00DC1376">
              <w:t>TEAE</w:t>
            </w:r>
          </w:p>
        </w:tc>
        <w:tc>
          <w:tcPr>
            <w:tcW w:w="707" w:type="pct"/>
            <w:vAlign w:val="center"/>
          </w:tcPr>
          <w:p w:rsidR="003004EF" w:rsidRPr="00DC1376" w:rsidRDefault="003004EF" w:rsidP="00A03117">
            <w:pPr>
              <w:pStyle w:val="TableText"/>
              <w:jc w:val="center"/>
            </w:pPr>
            <w:r w:rsidRPr="00DC1376">
              <w:t>295 (60.5)</w:t>
            </w:r>
          </w:p>
        </w:tc>
        <w:tc>
          <w:tcPr>
            <w:tcW w:w="807" w:type="pct"/>
            <w:vAlign w:val="center"/>
          </w:tcPr>
          <w:p w:rsidR="003004EF" w:rsidRPr="00DC1376" w:rsidRDefault="003004EF" w:rsidP="00A03117">
            <w:pPr>
              <w:pStyle w:val="TableText"/>
              <w:jc w:val="center"/>
            </w:pPr>
            <w:r w:rsidRPr="00DC1376">
              <w:t>347 (71.3)</w:t>
            </w:r>
          </w:p>
        </w:tc>
        <w:tc>
          <w:tcPr>
            <w:tcW w:w="872" w:type="pct"/>
            <w:vAlign w:val="center"/>
          </w:tcPr>
          <w:p w:rsidR="003004EF" w:rsidRPr="00DC1376" w:rsidRDefault="003004EF" w:rsidP="00A03117">
            <w:pPr>
              <w:pStyle w:val="TableText"/>
              <w:jc w:val="center"/>
            </w:pPr>
            <w:r w:rsidRPr="00DC1376">
              <w:t>224 (67.9)</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0.03</w:t>
            </w:r>
            <w:r w:rsidR="003004EF" w:rsidRPr="00DC1376">
              <w:rPr>
                <w:rFonts w:eastAsia="Times New Roman" w:cs="Times New Roman"/>
                <w:color w:val="000000"/>
                <w:szCs w:val="20"/>
              </w:rPr>
              <w:t xml:space="preserve"> (-0.03</w:t>
            </w:r>
            <w:r w:rsidRPr="00DC1376">
              <w:rPr>
                <w:rFonts w:eastAsia="Times New Roman" w:cs="Times New Roman"/>
                <w:color w:val="000000"/>
                <w:szCs w:val="20"/>
              </w:rPr>
              <w:t>, 0.10</w:t>
            </w:r>
            <w:r w:rsidR="003004EF" w:rsidRPr="00DC1376">
              <w:rPr>
                <w:rFonts w:eastAsia="Times New Roman" w:cs="Times New Roman"/>
                <w:color w:val="000000"/>
                <w:szCs w:val="20"/>
              </w:rPr>
              <w:t>)</w:t>
            </w:r>
          </w:p>
        </w:tc>
      </w:tr>
      <w:tr w:rsidR="003004EF" w:rsidRPr="00DC1376" w:rsidTr="00A03117">
        <w:trPr>
          <w:trHeight w:val="95"/>
        </w:trPr>
        <w:tc>
          <w:tcPr>
            <w:tcW w:w="1727" w:type="pct"/>
          </w:tcPr>
          <w:p w:rsidR="003004EF" w:rsidRPr="00DC1376" w:rsidRDefault="003004EF" w:rsidP="003004EF">
            <w:pPr>
              <w:pStyle w:val="TableText"/>
            </w:pPr>
            <w:r w:rsidRPr="00DC1376">
              <w:t>TEAE rated as severe</w:t>
            </w:r>
          </w:p>
        </w:tc>
        <w:tc>
          <w:tcPr>
            <w:tcW w:w="707" w:type="pct"/>
            <w:vAlign w:val="center"/>
          </w:tcPr>
          <w:p w:rsidR="003004EF" w:rsidRPr="00DC1376" w:rsidRDefault="003004EF" w:rsidP="00A03117">
            <w:pPr>
              <w:pStyle w:val="TableText"/>
              <w:jc w:val="center"/>
            </w:pPr>
            <w:r w:rsidRPr="00DC1376">
              <w:t>19 (3.9)</w:t>
            </w:r>
          </w:p>
        </w:tc>
        <w:tc>
          <w:tcPr>
            <w:tcW w:w="807" w:type="pct"/>
            <w:vAlign w:val="center"/>
          </w:tcPr>
          <w:p w:rsidR="003004EF" w:rsidRPr="00DC1376" w:rsidRDefault="003004EF" w:rsidP="00A03117">
            <w:pPr>
              <w:pStyle w:val="TableText"/>
              <w:jc w:val="center"/>
            </w:pPr>
            <w:r w:rsidRPr="00DC1376">
              <w:t>21 (4.3)</w:t>
            </w:r>
          </w:p>
        </w:tc>
        <w:tc>
          <w:tcPr>
            <w:tcW w:w="872" w:type="pct"/>
            <w:vAlign w:val="center"/>
          </w:tcPr>
          <w:p w:rsidR="003004EF" w:rsidRPr="00DC1376" w:rsidRDefault="003004EF" w:rsidP="00A03117">
            <w:pPr>
              <w:pStyle w:val="TableText"/>
              <w:jc w:val="center"/>
            </w:pPr>
            <w:r w:rsidRPr="00DC1376">
              <w:t>6 (1.8)</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0.03 (0.00, 0.05</w:t>
            </w:r>
            <w:r w:rsidR="003004EF" w:rsidRPr="00DC1376">
              <w:rPr>
                <w:rFonts w:eastAsia="Times New Roman" w:cs="Times New Roman"/>
                <w:color w:val="000000"/>
                <w:szCs w:val="20"/>
              </w:rPr>
              <w:t>)</w:t>
            </w:r>
          </w:p>
        </w:tc>
      </w:tr>
      <w:tr w:rsidR="003004EF" w:rsidRPr="00DC1376" w:rsidTr="00A03117">
        <w:trPr>
          <w:trHeight w:val="95"/>
        </w:trPr>
        <w:tc>
          <w:tcPr>
            <w:tcW w:w="1727" w:type="pct"/>
          </w:tcPr>
          <w:p w:rsidR="003004EF" w:rsidRPr="00DC1376" w:rsidRDefault="003004EF" w:rsidP="003004EF">
            <w:pPr>
              <w:pStyle w:val="TableText"/>
            </w:pPr>
            <w:r w:rsidRPr="00DC1376">
              <w:t>Adverse event related to study drug</w:t>
            </w:r>
          </w:p>
        </w:tc>
        <w:tc>
          <w:tcPr>
            <w:tcW w:w="707" w:type="pct"/>
            <w:vAlign w:val="center"/>
          </w:tcPr>
          <w:p w:rsidR="003004EF" w:rsidRPr="00DC1376" w:rsidRDefault="003004EF" w:rsidP="00A03117">
            <w:pPr>
              <w:pStyle w:val="TableText"/>
              <w:jc w:val="center"/>
            </w:pPr>
            <w:r w:rsidRPr="00DC1376">
              <w:t>102 (20.9)</w:t>
            </w:r>
          </w:p>
        </w:tc>
        <w:tc>
          <w:tcPr>
            <w:tcW w:w="807" w:type="pct"/>
            <w:vAlign w:val="center"/>
          </w:tcPr>
          <w:p w:rsidR="003004EF" w:rsidRPr="00DC1376" w:rsidRDefault="003004EF" w:rsidP="00A03117">
            <w:pPr>
              <w:pStyle w:val="TableText"/>
              <w:jc w:val="center"/>
            </w:pPr>
            <w:r w:rsidRPr="00DC1376">
              <w:t>156 (32.0)</w:t>
            </w:r>
          </w:p>
        </w:tc>
        <w:tc>
          <w:tcPr>
            <w:tcW w:w="872" w:type="pct"/>
            <w:vAlign w:val="center"/>
          </w:tcPr>
          <w:p w:rsidR="003004EF" w:rsidRPr="00DC1376" w:rsidRDefault="003004EF" w:rsidP="00A03117">
            <w:pPr>
              <w:pStyle w:val="TableText"/>
              <w:jc w:val="center"/>
            </w:pPr>
            <w:r w:rsidRPr="00DC1376">
              <w:t>92 (27.9)</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0.01 (-0.03</w:t>
            </w:r>
            <w:r w:rsidR="003004EF" w:rsidRPr="00DC1376">
              <w:rPr>
                <w:rFonts w:eastAsia="Times New Roman" w:cs="Times New Roman"/>
                <w:color w:val="000000"/>
                <w:szCs w:val="20"/>
              </w:rPr>
              <w:t>, 0.05)</w:t>
            </w:r>
          </w:p>
        </w:tc>
      </w:tr>
      <w:tr w:rsidR="003004EF" w:rsidRPr="00DC1376" w:rsidTr="003004EF">
        <w:trPr>
          <w:trHeight w:val="95"/>
        </w:trPr>
        <w:tc>
          <w:tcPr>
            <w:tcW w:w="5000" w:type="pct"/>
            <w:gridSpan w:val="5"/>
          </w:tcPr>
          <w:p w:rsidR="003004EF" w:rsidRPr="00DC1376" w:rsidRDefault="003004EF" w:rsidP="003004EF">
            <w:pPr>
              <w:pStyle w:val="TableText"/>
              <w:rPr>
                <w:rFonts w:eastAsia="Times New Roman" w:cs="Times New Roman"/>
                <w:color w:val="000000"/>
                <w:szCs w:val="20"/>
              </w:rPr>
            </w:pPr>
            <w:r w:rsidRPr="00DC1376">
              <w:rPr>
                <w:b/>
              </w:rPr>
              <w:t xml:space="preserve">Weeks 0 </w:t>
            </w:r>
            <w:r w:rsidR="00DC39B7" w:rsidRPr="00DC1376">
              <w:rPr>
                <w:b/>
              </w:rPr>
              <w:t>–</w:t>
            </w:r>
            <w:r w:rsidRPr="00DC1376">
              <w:rPr>
                <w:b/>
              </w:rPr>
              <w:t xml:space="preserve"> 52</w:t>
            </w:r>
          </w:p>
        </w:tc>
      </w:tr>
      <w:tr w:rsidR="003004EF" w:rsidRPr="00DC1376" w:rsidTr="00A03117">
        <w:trPr>
          <w:trHeight w:val="95"/>
        </w:trPr>
        <w:tc>
          <w:tcPr>
            <w:tcW w:w="1727" w:type="pct"/>
          </w:tcPr>
          <w:p w:rsidR="003004EF" w:rsidRPr="00DC1376" w:rsidRDefault="003004EF" w:rsidP="003004EF">
            <w:pPr>
              <w:pStyle w:val="TableText"/>
            </w:pPr>
            <w:r w:rsidRPr="00DC1376">
              <w:t>Serious adverse event</w:t>
            </w:r>
          </w:p>
        </w:tc>
        <w:tc>
          <w:tcPr>
            <w:tcW w:w="707" w:type="pct"/>
            <w:vMerge w:val="restart"/>
            <w:vAlign w:val="center"/>
          </w:tcPr>
          <w:p w:rsidR="003004EF" w:rsidRPr="00DC1376" w:rsidRDefault="003004EF" w:rsidP="00A03117">
            <w:pPr>
              <w:pStyle w:val="TableText"/>
              <w:jc w:val="center"/>
            </w:pPr>
            <w:r w:rsidRPr="00DC1376">
              <w:t>NA</w:t>
            </w:r>
          </w:p>
        </w:tc>
        <w:tc>
          <w:tcPr>
            <w:tcW w:w="807" w:type="pct"/>
            <w:vAlign w:val="center"/>
          </w:tcPr>
          <w:p w:rsidR="003004EF" w:rsidRPr="00DC1376" w:rsidRDefault="003004EF" w:rsidP="00A03117">
            <w:pPr>
              <w:pStyle w:val="TableText"/>
              <w:jc w:val="center"/>
            </w:pPr>
            <w:r w:rsidRPr="00DC1376">
              <w:t>38 (8)</w:t>
            </w:r>
          </w:p>
        </w:tc>
        <w:tc>
          <w:tcPr>
            <w:tcW w:w="872" w:type="pct"/>
            <w:vAlign w:val="center"/>
          </w:tcPr>
          <w:p w:rsidR="003004EF" w:rsidRPr="00DC1376" w:rsidRDefault="003004EF" w:rsidP="00A03117">
            <w:pPr>
              <w:pStyle w:val="TableText"/>
              <w:jc w:val="center"/>
            </w:pPr>
            <w:r w:rsidRPr="00DC1376">
              <w:t>13 (4)</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0.04 (0.01</w:t>
            </w:r>
            <w:r w:rsidR="003004EF" w:rsidRPr="00DC1376">
              <w:rPr>
                <w:rFonts w:eastAsia="Times New Roman" w:cs="Times New Roman"/>
                <w:color w:val="000000"/>
                <w:szCs w:val="20"/>
              </w:rPr>
              <w:t>, 0.07)</w:t>
            </w:r>
          </w:p>
        </w:tc>
      </w:tr>
      <w:tr w:rsidR="003004EF" w:rsidRPr="00DC1376" w:rsidTr="00A03117">
        <w:trPr>
          <w:trHeight w:val="95"/>
        </w:trPr>
        <w:tc>
          <w:tcPr>
            <w:tcW w:w="1727" w:type="pct"/>
          </w:tcPr>
          <w:p w:rsidR="003004EF" w:rsidRPr="00DC1376" w:rsidRDefault="003004EF" w:rsidP="003004EF">
            <w:pPr>
              <w:pStyle w:val="TableText"/>
            </w:pPr>
            <w:r w:rsidRPr="00DC1376">
              <w:t>Any adverse event after start of therapy</w:t>
            </w:r>
          </w:p>
        </w:tc>
        <w:tc>
          <w:tcPr>
            <w:tcW w:w="707" w:type="pct"/>
            <w:vMerge/>
            <w:vAlign w:val="center"/>
          </w:tcPr>
          <w:p w:rsidR="003004EF" w:rsidRPr="00DC1376" w:rsidRDefault="003004EF" w:rsidP="00A03117">
            <w:pPr>
              <w:pStyle w:val="TableText"/>
              <w:jc w:val="center"/>
            </w:pPr>
          </w:p>
        </w:tc>
        <w:tc>
          <w:tcPr>
            <w:tcW w:w="807" w:type="pct"/>
            <w:vAlign w:val="center"/>
          </w:tcPr>
          <w:p w:rsidR="003004EF" w:rsidRPr="00DC1376" w:rsidRDefault="003004EF" w:rsidP="00A03117">
            <w:pPr>
              <w:pStyle w:val="TableText"/>
              <w:jc w:val="center"/>
            </w:pPr>
            <w:r w:rsidRPr="00DC1376">
              <w:t>384 (79)</w:t>
            </w:r>
          </w:p>
        </w:tc>
        <w:tc>
          <w:tcPr>
            <w:tcW w:w="872" w:type="pct"/>
            <w:vAlign w:val="center"/>
          </w:tcPr>
          <w:p w:rsidR="003004EF" w:rsidRPr="00DC1376" w:rsidRDefault="003004EF" w:rsidP="00A03117">
            <w:pPr>
              <w:pStyle w:val="TableText"/>
              <w:jc w:val="center"/>
            </w:pPr>
            <w:r w:rsidRPr="00DC1376">
              <w:t>253(77)</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0.02 (-0.04,</w:t>
            </w:r>
            <w:r w:rsidR="003004EF" w:rsidRPr="00DC1376">
              <w:rPr>
                <w:rFonts w:eastAsia="Times New Roman" w:cs="Times New Roman"/>
                <w:color w:val="000000"/>
                <w:szCs w:val="20"/>
              </w:rPr>
              <w:t xml:space="preserve"> 0.08)</w:t>
            </w:r>
          </w:p>
        </w:tc>
      </w:tr>
      <w:tr w:rsidR="003004EF" w:rsidRPr="00DC1376" w:rsidTr="00A03117">
        <w:trPr>
          <w:trHeight w:val="95"/>
        </w:trPr>
        <w:tc>
          <w:tcPr>
            <w:tcW w:w="1727" w:type="pct"/>
          </w:tcPr>
          <w:p w:rsidR="003004EF" w:rsidRPr="00DC1376" w:rsidRDefault="003004EF" w:rsidP="003004EF">
            <w:pPr>
              <w:pStyle w:val="TableText"/>
            </w:pPr>
            <w:r w:rsidRPr="00DC1376">
              <w:t>Withdrawal because of adverse event</w:t>
            </w:r>
          </w:p>
        </w:tc>
        <w:tc>
          <w:tcPr>
            <w:tcW w:w="707" w:type="pct"/>
            <w:vMerge/>
            <w:vAlign w:val="center"/>
          </w:tcPr>
          <w:p w:rsidR="003004EF" w:rsidRPr="00DC1376" w:rsidRDefault="003004EF" w:rsidP="00A03117">
            <w:pPr>
              <w:pStyle w:val="TableText"/>
              <w:jc w:val="center"/>
            </w:pPr>
          </w:p>
        </w:tc>
        <w:tc>
          <w:tcPr>
            <w:tcW w:w="807" w:type="pct"/>
            <w:vAlign w:val="center"/>
          </w:tcPr>
          <w:p w:rsidR="003004EF" w:rsidRPr="00DC1376" w:rsidRDefault="003004EF" w:rsidP="00A03117">
            <w:pPr>
              <w:pStyle w:val="TableText"/>
              <w:jc w:val="center"/>
            </w:pPr>
            <w:r w:rsidRPr="00DC1376">
              <w:t>36 (7)</w:t>
            </w:r>
          </w:p>
        </w:tc>
        <w:tc>
          <w:tcPr>
            <w:tcW w:w="872" w:type="pct"/>
            <w:vAlign w:val="center"/>
          </w:tcPr>
          <w:p w:rsidR="003004EF" w:rsidRPr="00DC1376" w:rsidRDefault="003004EF" w:rsidP="00A03117">
            <w:pPr>
              <w:pStyle w:val="TableText"/>
              <w:jc w:val="center"/>
            </w:pPr>
            <w:r w:rsidRPr="00DC1376">
              <w:t>13 (4)</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0.04 (0.00</w:t>
            </w:r>
            <w:r w:rsidR="003004EF" w:rsidRPr="00DC1376">
              <w:rPr>
                <w:rFonts w:eastAsia="Times New Roman" w:cs="Times New Roman"/>
                <w:color w:val="000000"/>
                <w:szCs w:val="20"/>
              </w:rPr>
              <w:t>, 0</w:t>
            </w:r>
            <w:r w:rsidRPr="00DC1376">
              <w:rPr>
                <w:rFonts w:eastAsia="Times New Roman" w:cs="Times New Roman"/>
                <w:color w:val="000000"/>
                <w:szCs w:val="20"/>
              </w:rPr>
              <w:t>.07</w:t>
            </w:r>
            <w:r w:rsidR="003004EF" w:rsidRPr="00DC1376">
              <w:rPr>
                <w:rFonts w:eastAsia="Times New Roman" w:cs="Times New Roman"/>
                <w:color w:val="000000"/>
                <w:szCs w:val="20"/>
              </w:rPr>
              <w:t>)</w:t>
            </w:r>
          </w:p>
        </w:tc>
      </w:tr>
      <w:tr w:rsidR="003004EF" w:rsidRPr="00DC1376" w:rsidTr="00A03117">
        <w:trPr>
          <w:trHeight w:val="95"/>
        </w:trPr>
        <w:tc>
          <w:tcPr>
            <w:tcW w:w="1727" w:type="pct"/>
          </w:tcPr>
          <w:p w:rsidR="003004EF" w:rsidRPr="00DC1376" w:rsidRDefault="003004EF" w:rsidP="003004EF">
            <w:pPr>
              <w:pStyle w:val="TableText"/>
            </w:pPr>
            <w:r w:rsidRPr="00DC1376">
              <w:t>Infection</w:t>
            </w:r>
          </w:p>
        </w:tc>
        <w:tc>
          <w:tcPr>
            <w:tcW w:w="707" w:type="pct"/>
            <w:vMerge/>
            <w:vAlign w:val="center"/>
          </w:tcPr>
          <w:p w:rsidR="003004EF" w:rsidRPr="00DC1376" w:rsidRDefault="003004EF" w:rsidP="00A03117">
            <w:pPr>
              <w:pStyle w:val="TableText"/>
              <w:jc w:val="center"/>
            </w:pPr>
          </w:p>
        </w:tc>
        <w:tc>
          <w:tcPr>
            <w:tcW w:w="807" w:type="pct"/>
            <w:vAlign w:val="center"/>
          </w:tcPr>
          <w:p w:rsidR="003004EF" w:rsidRPr="00DC1376" w:rsidRDefault="003004EF" w:rsidP="00A03117">
            <w:pPr>
              <w:pStyle w:val="TableText"/>
              <w:jc w:val="center"/>
            </w:pPr>
            <w:r w:rsidRPr="00DC1376">
              <w:t>233 (48)</w:t>
            </w:r>
          </w:p>
        </w:tc>
        <w:tc>
          <w:tcPr>
            <w:tcW w:w="872" w:type="pct"/>
            <w:vAlign w:val="center"/>
          </w:tcPr>
          <w:p w:rsidR="003004EF" w:rsidRPr="00DC1376" w:rsidRDefault="003004EF" w:rsidP="00A03117">
            <w:pPr>
              <w:pStyle w:val="TableText"/>
              <w:jc w:val="center"/>
            </w:pPr>
            <w:r w:rsidRPr="00DC1376">
              <w:t>145 (44)</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0.04 (-0.03, 0.11</w:t>
            </w:r>
            <w:r w:rsidR="003004EF" w:rsidRPr="00DC1376">
              <w:rPr>
                <w:rFonts w:eastAsia="Times New Roman" w:cs="Times New Roman"/>
                <w:color w:val="000000"/>
                <w:szCs w:val="20"/>
              </w:rPr>
              <w:t>)</w:t>
            </w:r>
          </w:p>
        </w:tc>
      </w:tr>
      <w:tr w:rsidR="003004EF" w:rsidRPr="00DC1376" w:rsidTr="00A03117">
        <w:trPr>
          <w:trHeight w:val="95"/>
        </w:trPr>
        <w:tc>
          <w:tcPr>
            <w:tcW w:w="1727" w:type="pct"/>
          </w:tcPr>
          <w:p w:rsidR="003004EF" w:rsidRPr="00DC1376" w:rsidRDefault="003004EF" w:rsidP="003004EF">
            <w:pPr>
              <w:pStyle w:val="TableText"/>
            </w:pPr>
            <w:r w:rsidRPr="00DC1376">
              <w:t>Serious infection</w:t>
            </w:r>
          </w:p>
        </w:tc>
        <w:tc>
          <w:tcPr>
            <w:tcW w:w="707" w:type="pct"/>
            <w:vMerge/>
            <w:vAlign w:val="center"/>
          </w:tcPr>
          <w:p w:rsidR="003004EF" w:rsidRPr="00DC1376" w:rsidRDefault="003004EF" w:rsidP="00A03117">
            <w:pPr>
              <w:pStyle w:val="TableText"/>
              <w:jc w:val="center"/>
            </w:pPr>
          </w:p>
        </w:tc>
        <w:tc>
          <w:tcPr>
            <w:tcW w:w="807" w:type="pct"/>
            <w:vAlign w:val="center"/>
          </w:tcPr>
          <w:p w:rsidR="003004EF" w:rsidRPr="00DC1376" w:rsidRDefault="003004EF" w:rsidP="00A03117">
            <w:pPr>
              <w:pStyle w:val="TableText"/>
              <w:jc w:val="center"/>
            </w:pPr>
            <w:r w:rsidRPr="00DC1376">
              <w:t>10 (2)</w:t>
            </w:r>
          </w:p>
        </w:tc>
        <w:tc>
          <w:tcPr>
            <w:tcW w:w="872" w:type="pct"/>
            <w:vAlign w:val="center"/>
          </w:tcPr>
          <w:p w:rsidR="003004EF" w:rsidRPr="00DC1376" w:rsidRDefault="003004EF" w:rsidP="00A03117">
            <w:pPr>
              <w:pStyle w:val="TableText"/>
              <w:jc w:val="center"/>
            </w:pPr>
            <w:r w:rsidRPr="00DC1376">
              <w:t>5 (2)</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0.01 (-0.01</w:t>
            </w:r>
            <w:r w:rsidR="003004EF" w:rsidRPr="00DC1376">
              <w:rPr>
                <w:rFonts w:eastAsia="Times New Roman" w:cs="Times New Roman"/>
                <w:color w:val="000000"/>
                <w:szCs w:val="20"/>
              </w:rPr>
              <w:t>, 0.02)</w:t>
            </w:r>
          </w:p>
        </w:tc>
      </w:tr>
      <w:tr w:rsidR="003004EF" w:rsidRPr="00DC1376" w:rsidTr="00A03117">
        <w:trPr>
          <w:trHeight w:val="95"/>
        </w:trPr>
        <w:tc>
          <w:tcPr>
            <w:tcW w:w="1727" w:type="pct"/>
          </w:tcPr>
          <w:p w:rsidR="003004EF" w:rsidRPr="00DC1376" w:rsidRDefault="003004EF" w:rsidP="003004EF">
            <w:pPr>
              <w:pStyle w:val="TableText"/>
            </w:pPr>
            <w:r w:rsidRPr="00DC1376">
              <w:t>Cancer</w:t>
            </w:r>
          </w:p>
        </w:tc>
        <w:tc>
          <w:tcPr>
            <w:tcW w:w="707" w:type="pct"/>
            <w:vMerge/>
            <w:vAlign w:val="center"/>
          </w:tcPr>
          <w:p w:rsidR="003004EF" w:rsidRPr="00DC1376" w:rsidRDefault="003004EF" w:rsidP="00A03117">
            <w:pPr>
              <w:pStyle w:val="TableText"/>
              <w:jc w:val="center"/>
            </w:pPr>
          </w:p>
        </w:tc>
        <w:tc>
          <w:tcPr>
            <w:tcW w:w="807" w:type="pct"/>
            <w:vAlign w:val="center"/>
          </w:tcPr>
          <w:p w:rsidR="003004EF" w:rsidRPr="00DC1376" w:rsidRDefault="009E0A03" w:rsidP="00A03117">
            <w:pPr>
              <w:pStyle w:val="TableText"/>
              <w:jc w:val="center"/>
            </w:pPr>
            <w:r>
              <w:t xml:space="preserve">3 </w:t>
            </w:r>
            <w:r w:rsidR="003004EF" w:rsidRPr="00DC1376">
              <w:t>(&lt;1)</w:t>
            </w:r>
          </w:p>
        </w:tc>
        <w:tc>
          <w:tcPr>
            <w:tcW w:w="872" w:type="pct"/>
            <w:vAlign w:val="center"/>
          </w:tcPr>
          <w:p w:rsidR="003004EF" w:rsidRPr="00DC1376" w:rsidRDefault="003004EF" w:rsidP="00A03117">
            <w:pPr>
              <w:pStyle w:val="TableText"/>
              <w:jc w:val="center"/>
            </w:pPr>
            <w:r w:rsidRPr="00DC1376">
              <w:t>0</w:t>
            </w:r>
          </w:p>
        </w:tc>
        <w:tc>
          <w:tcPr>
            <w:tcW w:w="887" w:type="pct"/>
            <w:vAlign w:val="center"/>
          </w:tcPr>
          <w:p w:rsidR="003004EF" w:rsidRPr="00DC1376" w:rsidRDefault="00816BBD" w:rsidP="00A03117">
            <w:pPr>
              <w:pStyle w:val="TableText"/>
              <w:jc w:val="center"/>
              <w:rPr>
                <w:rFonts w:eastAsia="Times New Roman" w:cs="Times New Roman"/>
                <w:color w:val="000000"/>
                <w:szCs w:val="20"/>
              </w:rPr>
            </w:pPr>
            <w:r w:rsidRPr="00DC1376">
              <w:rPr>
                <w:rFonts w:eastAsia="Times New Roman" w:cs="Times New Roman"/>
                <w:color w:val="000000"/>
                <w:szCs w:val="20"/>
              </w:rPr>
              <w:t>0.00 (-0.00, 0.01</w:t>
            </w:r>
            <w:r w:rsidR="003004EF" w:rsidRPr="00DC1376">
              <w:rPr>
                <w:rFonts w:eastAsia="Times New Roman" w:cs="Times New Roman"/>
                <w:color w:val="000000"/>
                <w:szCs w:val="20"/>
              </w:rPr>
              <w:t>)</w:t>
            </w:r>
          </w:p>
        </w:tc>
      </w:tr>
    </w:tbl>
    <w:p w:rsidR="003004EF" w:rsidRPr="00DC1376" w:rsidRDefault="003004EF" w:rsidP="003004EF">
      <w:pPr>
        <w:pStyle w:val="TableFooter"/>
      </w:pPr>
      <w:r w:rsidRPr="00DC1376">
        <w:t xml:space="preserve">Source: </w:t>
      </w:r>
      <w:r w:rsidR="00237B5B" w:rsidRPr="00DC1376">
        <w:t xml:space="preserve">Tables 2.5.13, </w:t>
      </w:r>
      <w:r w:rsidRPr="00DC1376">
        <w:t>2.5.15,</w:t>
      </w:r>
      <w:r w:rsidR="00AC48A7" w:rsidRPr="00DC1376">
        <w:t xml:space="preserve"> </w:t>
      </w:r>
      <w:r w:rsidRPr="00DC1376">
        <w:t>and 2.5.18 p 113,114-115 and p119 of the submission.</w:t>
      </w:r>
    </w:p>
    <w:p w:rsidR="003004EF" w:rsidRPr="00DC1376" w:rsidRDefault="00237B5B" w:rsidP="003004EF">
      <w:pPr>
        <w:pStyle w:val="TableFooter"/>
      </w:pPr>
      <w:r w:rsidRPr="00DC1376">
        <w:t xml:space="preserve">Abbreviations: </w:t>
      </w:r>
      <w:r w:rsidR="003004EF" w:rsidRPr="00DC1376">
        <w:t>AE = adverse event; CI = confidence interval; ICH = international conference on harmonization; RD = risk difference; TEAE = treatment emergent adverse event</w:t>
      </w:r>
    </w:p>
    <w:p w:rsidR="00237B5B" w:rsidRPr="00DC1376" w:rsidRDefault="00237B5B" w:rsidP="003004EF">
      <w:pPr>
        <w:pStyle w:val="TableFooter"/>
      </w:pPr>
      <w:r w:rsidRPr="00DC1376">
        <w:t>Bold typography indicates statistically significant differences</w:t>
      </w:r>
    </w:p>
    <w:p w:rsidR="003004EF" w:rsidRDefault="00237B5B" w:rsidP="005E290D">
      <w:pPr>
        <w:pStyle w:val="ListParagraph"/>
        <w:numPr>
          <w:ilvl w:val="1"/>
          <w:numId w:val="1"/>
        </w:numPr>
        <w:spacing w:before="0" w:after="120"/>
        <w:jc w:val="both"/>
      </w:pPr>
      <w:r w:rsidRPr="00DC1376">
        <w:t xml:space="preserve">Overall, there were no differences in adverse events between adalimumab and baricitinib in the JADV trial, with the exception of serious adverse events occurring more frequently among those treated with baricitinib. </w:t>
      </w:r>
      <w:r w:rsidR="00FB2E52">
        <w:t>I</w:t>
      </w:r>
      <w:r w:rsidRPr="00DC1376">
        <w:t xml:space="preserve">n the baricitinib group compared with the adalimumab group, </w:t>
      </w:r>
      <w:r w:rsidR="00FB2E52">
        <w:t xml:space="preserve">there were also slightly higher rates, </w:t>
      </w:r>
      <w:r w:rsidRPr="00DC1376">
        <w:t>verging on statistical significance</w:t>
      </w:r>
      <w:r w:rsidR="00FB2E52">
        <w:t>,</w:t>
      </w:r>
      <w:r w:rsidRPr="00DC1376">
        <w:t xml:space="preserve"> in a few key adverse events, specifically, discontinuation from study drug due to adverse events or death. The risk difference tended to increase as the study progressed given the increased duration of exposure to the study drugs.</w:t>
      </w:r>
    </w:p>
    <w:p w:rsidR="007114CC" w:rsidRPr="007C3458" w:rsidRDefault="007114CC" w:rsidP="005E290D">
      <w:pPr>
        <w:pStyle w:val="ListParagraph"/>
        <w:numPr>
          <w:ilvl w:val="1"/>
          <w:numId w:val="1"/>
        </w:numPr>
        <w:spacing w:before="0" w:after="120"/>
        <w:jc w:val="both"/>
      </w:pPr>
      <w:r w:rsidRPr="007C3458">
        <w:t xml:space="preserve">The PSCR (p2) claimed that the difference in adverse events between </w:t>
      </w:r>
      <w:r w:rsidR="00E3654C" w:rsidRPr="007C3458">
        <w:t>baricitinib</w:t>
      </w:r>
      <w:r w:rsidRPr="007C3458">
        <w:t xml:space="preserve"> and adalimumab was a chance finding, and inconsistent with the data from adalimumab trials. The ESC </w:t>
      </w:r>
      <w:r w:rsidR="00871E0B" w:rsidRPr="007C3458">
        <w:t xml:space="preserve">noted </w:t>
      </w:r>
      <w:r w:rsidRPr="007C3458">
        <w:t xml:space="preserve">that the sponsor </w:t>
      </w:r>
      <w:r w:rsidR="00871E0B" w:rsidRPr="007C3458">
        <w:t xml:space="preserve">believed </w:t>
      </w:r>
      <w:r w:rsidRPr="007C3458">
        <w:t xml:space="preserve">AEs </w:t>
      </w:r>
      <w:r w:rsidR="00871E0B" w:rsidRPr="007C3458">
        <w:t xml:space="preserve">data </w:t>
      </w:r>
      <w:r w:rsidRPr="007C3458">
        <w:t xml:space="preserve">unreliable, </w:t>
      </w:r>
      <w:r w:rsidR="00871E0B" w:rsidRPr="007C3458">
        <w:t xml:space="preserve">and considered whether a similar reliability issue existed with </w:t>
      </w:r>
      <w:r w:rsidRPr="007C3458">
        <w:t>the effectiveness data.</w:t>
      </w:r>
    </w:p>
    <w:p w:rsidR="00624315" w:rsidRPr="00436E07" w:rsidRDefault="00624315" w:rsidP="0095170D">
      <w:pPr>
        <w:pStyle w:val="Heading2"/>
      </w:pPr>
      <w:bookmarkStart w:id="15" w:name="_Toc482024933"/>
      <w:bookmarkStart w:id="16" w:name="_Toc413139281"/>
      <w:r w:rsidRPr="00436E07">
        <w:t>Benefits and harms</w:t>
      </w:r>
      <w:bookmarkEnd w:id="15"/>
    </w:p>
    <w:p w:rsidR="00357657" w:rsidRDefault="001169CB" w:rsidP="005E290D">
      <w:pPr>
        <w:pStyle w:val="ListParagraph"/>
        <w:numPr>
          <w:ilvl w:val="1"/>
          <w:numId w:val="1"/>
        </w:numPr>
        <w:spacing w:before="0" w:after="120"/>
        <w:jc w:val="both"/>
      </w:pPr>
      <w:r>
        <w:t>On the basis of t</w:t>
      </w:r>
      <w:r w:rsidRPr="00920F2D">
        <w:t>he comparison presented in the submission</w:t>
      </w:r>
      <w:r>
        <w:t>, the PBAC concluded that</w:t>
      </w:r>
      <w:r w:rsidR="00C33D01">
        <w:t xml:space="preserve"> bari</w:t>
      </w:r>
      <w:r w:rsidR="006175A5">
        <w:t xml:space="preserve">citinib was non-inferior to other </w:t>
      </w:r>
      <w:proofErr w:type="spellStart"/>
      <w:r w:rsidR="006175A5">
        <w:t>bDMARDs</w:t>
      </w:r>
      <w:proofErr w:type="spellEnd"/>
      <w:r w:rsidR="006175A5">
        <w:t xml:space="preserve"> in terms of effectiveness, but less safe.</w:t>
      </w:r>
      <w:r w:rsidRPr="00920F2D">
        <w:t xml:space="preserve"> Accordingly, </w:t>
      </w:r>
      <w:r w:rsidR="006175A5">
        <w:t xml:space="preserve">only comparative </w:t>
      </w:r>
      <w:r w:rsidRPr="00920F2D">
        <w:t xml:space="preserve">harms </w:t>
      </w:r>
      <w:r w:rsidR="00CD764C" w:rsidRPr="00DC1376">
        <w:t>for baricitinib</w:t>
      </w:r>
      <w:r w:rsidR="00034404" w:rsidRPr="00DC1376">
        <w:t xml:space="preserve"> versus </w:t>
      </w:r>
      <w:r w:rsidR="00CD764C" w:rsidRPr="00DC1376">
        <w:t>adalimumab</w:t>
      </w:r>
      <w:r w:rsidR="00034404" w:rsidRPr="00DC1376">
        <w:t xml:space="preserve"> </w:t>
      </w:r>
      <w:r w:rsidR="006175A5">
        <w:t>are</w:t>
      </w:r>
      <w:r w:rsidR="00034404" w:rsidRPr="00DC1376">
        <w:t xml:space="preserve"> presented in </w:t>
      </w:r>
      <w:r w:rsidR="0065209E" w:rsidRPr="00DC1376">
        <w:t>Table 6</w:t>
      </w:r>
      <w:r w:rsidR="00D4508E">
        <w:t>.</w:t>
      </w:r>
    </w:p>
    <w:p w:rsidR="00DA583E" w:rsidRPr="00DC1376" w:rsidRDefault="00DA583E" w:rsidP="00DA583E">
      <w:pPr>
        <w:spacing w:before="0" w:after="120"/>
        <w:jc w:val="both"/>
      </w:pPr>
    </w:p>
    <w:p w:rsidR="00AE7F95" w:rsidRDefault="00AE7F95" w:rsidP="00AE7F95">
      <w:pPr>
        <w:pStyle w:val="Caption"/>
      </w:pPr>
      <w:r>
        <w:t xml:space="preserve">Table </w:t>
      </w:r>
      <w:r>
        <w:rPr>
          <w:noProof/>
        </w:rPr>
        <w:t>6</w:t>
      </w:r>
      <w:r w:rsidRPr="00900FD9">
        <w:t>: Summary of comparative harms for baricitinib versus adalimumab</w:t>
      </w:r>
    </w:p>
    <w:tbl>
      <w:tblPr>
        <w:tblStyle w:val="TableGrid"/>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Summary of comparative harms for baricitinib versus adalimumab"/>
      </w:tblPr>
      <w:tblGrid>
        <w:gridCol w:w="1827"/>
        <w:gridCol w:w="953"/>
        <w:gridCol w:w="1074"/>
        <w:gridCol w:w="1403"/>
        <w:gridCol w:w="1065"/>
        <w:gridCol w:w="1067"/>
        <w:gridCol w:w="1684"/>
      </w:tblGrid>
      <w:tr w:rsidR="00CD764C" w:rsidRPr="00DC1376" w:rsidTr="00AE7F95">
        <w:trPr>
          <w:cnfStyle w:val="100000000000" w:firstRow="1" w:lastRow="0" w:firstColumn="0" w:lastColumn="0" w:oddVBand="0" w:evenVBand="0" w:oddHBand="0" w:evenHBand="0" w:firstRowFirstColumn="0" w:firstRowLastColumn="0" w:lastRowFirstColumn="0" w:lastRowLastColumn="0"/>
          <w:tblHeader/>
        </w:trPr>
        <w:tc>
          <w:tcPr>
            <w:tcW w:w="5000" w:type="pct"/>
            <w:gridSpan w:val="7"/>
            <w:shd w:val="clear" w:color="auto" w:fill="auto"/>
            <w:vAlign w:val="center"/>
          </w:tcPr>
          <w:p w:rsidR="00CD764C" w:rsidRPr="00DC1376" w:rsidRDefault="00CD764C" w:rsidP="00712C73">
            <w:pPr>
              <w:pStyle w:val="TableText"/>
              <w:rPr>
                <w:b w:val="0"/>
                <w:u w:val="single"/>
              </w:rPr>
            </w:pPr>
            <w:r w:rsidRPr="00DC1376">
              <w:rPr>
                <w:b w:val="0"/>
                <w:u w:val="single"/>
              </w:rPr>
              <w:t>Harms</w:t>
            </w:r>
          </w:p>
        </w:tc>
      </w:tr>
      <w:tr w:rsidR="00C97723" w:rsidRPr="00DC1376" w:rsidTr="006175A5">
        <w:trPr>
          <w:trHeight w:val="70"/>
        </w:trPr>
        <w:tc>
          <w:tcPr>
            <w:tcW w:w="1007" w:type="pct"/>
            <w:vMerge w:val="restart"/>
            <w:shd w:val="clear" w:color="auto" w:fill="auto"/>
            <w:vAlign w:val="center"/>
          </w:tcPr>
          <w:p w:rsidR="00CD764C" w:rsidRPr="00DC1376" w:rsidRDefault="00CD764C" w:rsidP="00712C73">
            <w:pPr>
              <w:pStyle w:val="TableText"/>
              <w:rPr>
                <w:b/>
              </w:rPr>
            </w:pPr>
            <w:r w:rsidRPr="00DC1376">
              <w:rPr>
                <w:b/>
              </w:rPr>
              <w:t>JADV</w:t>
            </w:r>
          </w:p>
        </w:tc>
        <w:tc>
          <w:tcPr>
            <w:tcW w:w="525" w:type="pct"/>
            <w:vMerge w:val="restart"/>
            <w:shd w:val="clear" w:color="auto" w:fill="auto"/>
            <w:vAlign w:val="center"/>
          </w:tcPr>
          <w:p w:rsidR="00CD764C" w:rsidRPr="00DC1376" w:rsidRDefault="00C97723" w:rsidP="00D4508E">
            <w:pPr>
              <w:pStyle w:val="TableText"/>
              <w:jc w:val="center"/>
              <w:rPr>
                <w:b/>
              </w:rPr>
            </w:pPr>
            <w:r w:rsidRPr="00DC1376">
              <w:rPr>
                <w:b/>
              </w:rPr>
              <w:t>Baricitinib</w:t>
            </w:r>
            <w:r w:rsidR="00D4508E" w:rsidRPr="00DC1376">
              <w:rPr>
                <w:b/>
              </w:rPr>
              <w:t xml:space="preserve"> n (%)</w:t>
            </w:r>
            <w:r w:rsidR="00D4508E" w:rsidRPr="00DC1376">
              <w:rPr>
                <w:b/>
              </w:rPr>
              <w:br/>
              <w:t>(N=487)</w:t>
            </w:r>
          </w:p>
        </w:tc>
        <w:tc>
          <w:tcPr>
            <w:tcW w:w="592" w:type="pct"/>
            <w:vMerge w:val="restart"/>
            <w:shd w:val="clear" w:color="auto" w:fill="auto"/>
            <w:vAlign w:val="center"/>
          </w:tcPr>
          <w:p w:rsidR="00CD764C" w:rsidRPr="00DC1376" w:rsidRDefault="00C97723" w:rsidP="00D4508E">
            <w:pPr>
              <w:pStyle w:val="TableText"/>
              <w:jc w:val="center"/>
              <w:rPr>
                <w:b/>
              </w:rPr>
            </w:pPr>
            <w:proofErr w:type="spellStart"/>
            <w:r w:rsidRPr="00DC1376">
              <w:rPr>
                <w:b/>
              </w:rPr>
              <w:t>Adalimumab</w:t>
            </w:r>
            <w:r w:rsidR="00D4508E" w:rsidRPr="00DC1376">
              <w:rPr>
                <w:b/>
              </w:rPr>
              <w:t>n</w:t>
            </w:r>
            <w:proofErr w:type="spellEnd"/>
            <w:r w:rsidR="00D4508E" w:rsidRPr="00DC1376">
              <w:rPr>
                <w:b/>
              </w:rPr>
              <w:t xml:space="preserve"> (%)</w:t>
            </w:r>
            <w:r w:rsidR="00D4508E" w:rsidRPr="00DC1376">
              <w:rPr>
                <w:b/>
              </w:rPr>
              <w:br/>
              <w:t>(N=330)</w:t>
            </w:r>
          </w:p>
        </w:tc>
        <w:tc>
          <w:tcPr>
            <w:tcW w:w="773" w:type="pct"/>
            <w:vMerge w:val="restart"/>
            <w:shd w:val="clear" w:color="auto" w:fill="auto"/>
            <w:vAlign w:val="center"/>
          </w:tcPr>
          <w:p w:rsidR="00CD764C" w:rsidRPr="00DC1376" w:rsidRDefault="00CD764C" w:rsidP="00237B5B">
            <w:pPr>
              <w:pStyle w:val="TableText"/>
              <w:jc w:val="center"/>
              <w:rPr>
                <w:b/>
              </w:rPr>
            </w:pPr>
            <w:r w:rsidRPr="00DC1376">
              <w:rPr>
                <w:b/>
              </w:rPr>
              <w:t>RR</w:t>
            </w:r>
            <w:r w:rsidR="00237B5B" w:rsidRPr="00DC1376">
              <w:rPr>
                <w:b/>
              </w:rPr>
              <w:br/>
            </w:r>
            <w:r w:rsidRPr="00DC1376">
              <w:rPr>
                <w:b/>
              </w:rPr>
              <w:t>(95% CI)</w:t>
            </w:r>
          </w:p>
        </w:tc>
        <w:tc>
          <w:tcPr>
            <w:tcW w:w="1175" w:type="pct"/>
            <w:gridSpan w:val="2"/>
            <w:shd w:val="clear" w:color="auto" w:fill="auto"/>
            <w:vAlign w:val="center"/>
          </w:tcPr>
          <w:p w:rsidR="00CD764C" w:rsidRPr="00DC1376" w:rsidRDefault="00CD764C" w:rsidP="00237B5B">
            <w:pPr>
              <w:pStyle w:val="TableText"/>
              <w:jc w:val="center"/>
              <w:rPr>
                <w:b/>
              </w:rPr>
            </w:pPr>
            <w:r w:rsidRPr="00DC1376">
              <w:rPr>
                <w:b/>
              </w:rPr>
              <w:t>Events/100 patients*</w:t>
            </w:r>
          </w:p>
        </w:tc>
        <w:tc>
          <w:tcPr>
            <w:tcW w:w="928" w:type="pct"/>
            <w:vMerge w:val="restart"/>
            <w:shd w:val="clear" w:color="auto" w:fill="auto"/>
            <w:vAlign w:val="center"/>
          </w:tcPr>
          <w:p w:rsidR="00CD764C" w:rsidRPr="00DC1376" w:rsidRDefault="00CD764C" w:rsidP="00237B5B">
            <w:pPr>
              <w:pStyle w:val="TableText"/>
              <w:jc w:val="center"/>
              <w:rPr>
                <w:b/>
              </w:rPr>
            </w:pPr>
            <w:r w:rsidRPr="00DC1376">
              <w:rPr>
                <w:b/>
              </w:rPr>
              <w:t>RD</w:t>
            </w:r>
            <w:r w:rsidR="00237B5B" w:rsidRPr="00DC1376">
              <w:rPr>
                <w:b/>
              </w:rPr>
              <w:br/>
            </w:r>
            <w:r w:rsidRPr="00DC1376">
              <w:rPr>
                <w:b/>
              </w:rPr>
              <w:t>(95% CI)</w:t>
            </w:r>
          </w:p>
        </w:tc>
      </w:tr>
      <w:tr w:rsidR="00C97723" w:rsidRPr="00DC1376" w:rsidTr="006175A5">
        <w:trPr>
          <w:trHeight w:val="390"/>
        </w:trPr>
        <w:tc>
          <w:tcPr>
            <w:tcW w:w="1007" w:type="pct"/>
            <w:vMerge/>
            <w:shd w:val="clear" w:color="auto" w:fill="auto"/>
            <w:vAlign w:val="center"/>
          </w:tcPr>
          <w:p w:rsidR="00CD764C" w:rsidRPr="00DC1376" w:rsidRDefault="00CD764C" w:rsidP="00712C73">
            <w:pPr>
              <w:pStyle w:val="TableText"/>
            </w:pPr>
          </w:p>
        </w:tc>
        <w:tc>
          <w:tcPr>
            <w:tcW w:w="525" w:type="pct"/>
            <w:vMerge/>
            <w:shd w:val="clear" w:color="auto" w:fill="auto"/>
            <w:vAlign w:val="center"/>
          </w:tcPr>
          <w:p w:rsidR="00CD764C" w:rsidRPr="00DC1376" w:rsidRDefault="00CD764C" w:rsidP="00237B5B">
            <w:pPr>
              <w:pStyle w:val="TableText"/>
              <w:jc w:val="center"/>
            </w:pPr>
          </w:p>
        </w:tc>
        <w:tc>
          <w:tcPr>
            <w:tcW w:w="592" w:type="pct"/>
            <w:vMerge/>
            <w:shd w:val="clear" w:color="auto" w:fill="auto"/>
            <w:vAlign w:val="center"/>
          </w:tcPr>
          <w:p w:rsidR="00CD764C" w:rsidRPr="00DC1376" w:rsidRDefault="00CD764C" w:rsidP="00237B5B">
            <w:pPr>
              <w:pStyle w:val="TableText"/>
              <w:jc w:val="center"/>
            </w:pPr>
          </w:p>
        </w:tc>
        <w:tc>
          <w:tcPr>
            <w:tcW w:w="773" w:type="pct"/>
            <w:vMerge/>
            <w:shd w:val="clear" w:color="auto" w:fill="auto"/>
            <w:vAlign w:val="center"/>
          </w:tcPr>
          <w:p w:rsidR="00CD764C" w:rsidRPr="00DC1376" w:rsidRDefault="00CD764C" w:rsidP="00237B5B">
            <w:pPr>
              <w:pStyle w:val="TableText"/>
              <w:jc w:val="center"/>
            </w:pPr>
          </w:p>
        </w:tc>
        <w:tc>
          <w:tcPr>
            <w:tcW w:w="587" w:type="pct"/>
            <w:shd w:val="clear" w:color="auto" w:fill="auto"/>
            <w:vAlign w:val="center"/>
          </w:tcPr>
          <w:p w:rsidR="00CD764C" w:rsidRPr="00DC1376" w:rsidRDefault="00C97723" w:rsidP="00237B5B">
            <w:pPr>
              <w:pStyle w:val="TableText"/>
              <w:jc w:val="center"/>
              <w:rPr>
                <w:b/>
              </w:rPr>
            </w:pPr>
            <w:r w:rsidRPr="00DC1376">
              <w:rPr>
                <w:b/>
              </w:rPr>
              <w:t>Baricitinib</w:t>
            </w:r>
          </w:p>
        </w:tc>
        <w:tc>
          <w:tcPr>
            <w:tcW w:w="588" w:type="pct"/>
            <w:shd w:val="clear" w:color="auto" w:fill="auto"/>
            <w:vAlign w:val="center"/>
          </w:tcPr>
          <w:p w:rsidR="00CD764C" w:rsidRPr="00DC1376" w:rsidRDefault="00C97723" w:rsidP="00237B5B">
            <w:pPr>
              <w:pStyle w:val="TableText"/>
              <w:jc w:val="center"/>
              <w:rPr>
                <w:b/>
              </w:rPr>
            </w:pPr>
            <w:r w:rsidRPr="00DC1376">
              <w:rPr>
                <w:b/>
              </w:rPr>
              <w:t>Adalimumab</w:t>
            </w:r>
          </w:p>
        </w:tc>
        <w:tc>
          <w:tcPr>
            <w:tcW w:w="928" w:type="pct"/>
            <w:vMerge/>
            <w:shd w:val="clear" w:color="auto" w:fill="auto"/>
            <w:vAlign w:val="center"/>
          </w:tcPr>
          <w:p w:rsidR="00CD764C" w:rsidRPr="00DC1376" w:rsidRDefault="00CD764C" w:rsidP="00237B5B">
            <w:pPr>
              <w:pStyle w:val="TableText"/>
              <w:jc w:val="center"/>
            </w:pPr>
          </w:p>
        </w:tc>
      </w:tr>
      <w:tr w:rsidR="00C97723" w:rsidRPr="00DC1376" w:rsidTr="006175A5">
        <w:tc>
          <w:tcPr>
            <w:tcW w:w="1007" w:type="pct"/>
            <w:shd w:val="clear" w:color="auto" w:fill="auto"/>
            <w:vAlign w:val="center"/>
          </w:tcPr>
          <w:p w:rsidR="00C97723" w:rsidRPr="00DC1376" w:rsidRDefault="00C97723" w:rsidP="00712C73">
            <w:pPr>
              <w:pStyle w:val="TableText"/>
            </w:pPr>
            <w:r w:rsidRPr="00DC1376">
              <w:t>Serious adverse events (weeks 0-52)</w:t>
            </w:r>
          </w:p>
        </w:tc>
        <w:tc>
          <w:tcPr>
            <w:tcW w:w="525" w:type="pct"/>
            <w:shd w:val="clear" w:color="auto" w:fill="auto"/>
            <w:vAlign w:val="center"/>
          </w:tcPr>
          <w:p w:rsidR="00C97723" w:rsidRPr="00DC1376" w:rsidRDefault="00C97723" w:rsidP="00237B5B">
            <w:pPr>
              <w:pStyle w:val="TableText"/>
              <w:jc w:val="center"/>
            </w:pPr>
            <w:r w:rsidRPr="00DC1376">
              <w:t>38 (8)</w:t>
            </w:r>
          </w:p>
        </w:tc>
        <w:tc>
          <w:tcPr>
            <w:tcW w:w="592" w:type="pct"/>
            <w:shd w:val="clear" w:color="auto" w:fill="auto"/>
            <w:vAlign w:val="center"/>
          </w:tcPr>
          <w:p w:rsidR="00C97723" w:rsidRPr="00DC1376" w:rsidRDefault="00C97723" w:rsidP="00237B5B">
            <w:pPr>
              <w:pStyle w:val="TableText"/>
              <w:jc w:val="center"/>
            </w:pPr>
            <w:r w:rsidRPr="00DC1376">
              <w:t>13 (4)</w:t>
            </w:r>
          </w:p>
        </w:tc>
        <w:tc>
          <w:tcPr>
            <w:tcW w:w="773" w:type="pct"/>
            <w:shd w:val="clear" w:color="auto" w:fill="auto"/>
            <w:vAlign w:val="center"/>
          </w:tcPr>
          <w:p w:rsidR="00C97723" w:rsidRPr="00DC1376" w:rsidRDefault="00B577D7" w:rsidP="00237B5B">
            <w:pPr>
              <w:pStyle w:val="TableText"/>
              <w:jc w:val="center"/>
            </w:pPr>
            <w:r w:rsidRPr="00DC1376">
              <w:t>1.98 (1.07, 3.66)</w:t>
            </w:r>
          </w:p>
        </w:tc>
        <w:tc>
          <w:tcPr>
            <w:tcW w:w="587" w:type="pct"/>
            <w:shd w:val="clear" w:color="auto" w:fill="auto"/>
            <w:vAlign w:val="center"/>
          </w:tcPr>
          <w:p w:rsidR="00C97723" w:rsidRPr="00DC1376" w:rsidRDefault="00C97723" w:rsidP="00237B5B">
            <w:pPr>
              <w:pStyle w:val="TableText"/>
              <w:jc w:val="center"/>
            </w:pPr>
            <w:r w:rsidRPr="00DC1376">
              <w:t>8/100</w:t>
            </w:r>
          </w:p>
        </w:tc>
        <w:tc>
          <w:tcPr>
            <w:tcW w:w="588" w:type="pct"/>
            <w:shd w:val="clear" w:color="auto" w:fill="auto"/>
            <w:vAlign w:val="center"/>
          </w:tcPr>
          <w:p w:rsidR="00C97723" w:rsidRPr="00DC1376" w:rsidRDefault="00C97723" w:rsidP="00237B5B">
            <w:pPr>
              <w:pStyle w:val="TableText"/>
              <w:jc w:val="center"/>
            </w:pPr>
            <w:r w:rsidRPr="00DC1376">
              <w:t>4/100</w:t>
            </w:r>
          </w:p>
        </w:tc>
        <w:tc>
          <w:tcPr>
            <w:tcW w:w="928" w:type="pct"/>
            <w:shd w:val="clear" w:color="auto" w:fill="auto"/>
            <w:vAlign w:val="center"/>
          </w:tcPr>
          <w:p w:rsidR="00C97723" w:rsidRPr="00DC1376" w:rsidRDefault="00B577D7" w:rsidP="00237B5B">
            <w:pPr>
              <w:pStyle w:val="TableText"/>
              <w:jc w:val="center"/>
              <w:rPr>
                <w:b/>
              </w:rPr>
            </w:pPr>
            <w:r w:rsidRPr="00DC1376">
              <w:rPr>
                <w:rFonts w:eastAsia="Times New Roman" w:cs="Times New Roman"/>
                <w:b/>
                <w:color w:val="000000"/>
                <w:szCs w:val="20"/>
              </w:rPr>
              <w:t>0.04</w:t>
            </w:r>
            <w:r w:rsidR="00C97723" w:rsidRPr="00DC1376">
              <w:rPr>
                <w:rFonts w:eastAsia="Times New Roman" w:cs="Times New Roman"/>
                <w:b/>
                <w:color w:val="000000"/>
                <w:szCs w:val="20"/>
              </w:rPr>
              <w:t xml:space="preserve"> (0.</w:t>
            </w:r>
            <w:r w:rsidR="000C13F8" w:rsidRPr="00DC1376">
              <w:rPr>
                <w:rFonts w:eastAsia="Times New Roman" w:cs="Times New Roman"/>
                <w:b/>
                <w:color w:val="000000"/>
                <w:szCs w:val="20"/>
              </w:rPr>
              <w:t>01</w:t>
            </w:r>
            <w:r w:rsidR="00C97723" w:rsidRPr="00DC1376">
              <w:rPr>
                <w:rFonts w:eastAsia="Times New Roman" w:cs="Times New Roman"/>
                <w:b/>
                <w:color w:val="000000"/>
                <w:szCs w:val="20"/>
              </w:rPr>
              <w:t>, 0.07)</w:t>
            </w:r>
          </w:p>
        </w:tc>
      </w:tr>
    </w:tbl>
    <w:p w:rsidR="00034404" w:rsidRPr="00DC1376" w:rsidRDefault="00034404" w:rsidP="00712C73">
      <w:pPr>
        <w:pStyle w:val="TableFooter"/>
      </w:pPr>
      <w:r w:rsidRPr="00DC1376">
        <w:t>Abbreviations: PBO = placebo; RD = risk difference; RR = risk ratio</w:t>
      </w:r>
    </w:p>
    <w:p w:rsidR="00034404" w:rsidRPr="00DC1376" w:rsidRDefault="00034404" w:rsidP="00712C73">
      <w:pPr>
        <w:pStyle w:val="TableFooter"/>
      </w:pPr>
      <w:r w:rsidRPr="00DC1376">
        <w:t>Source: Compil</w:t>
      </w:r>
      <w:r w:rsidR="00EF1C80" w:rsidRPr="00DC1376">
        <w:t>ed during the evaluation</w:t>
      </w:r>
    </w:p>
    <w:p w:rsidR="00A4392A" w:rsidRPr="00DC1376" w:rsidRDefault="00A4392A" w:rsidP="004E3BF4">
      <w:pPr>
        <w:pStyle w:val="TableFooter"/>
        <w:tabs>
          <w:tab w:val="left" w:pos="284"/>
        </w:tabs>
      </w:pPr>
      <w:r w:rsidRPr="00DC1376">
        <w:t>*</w:t>
      </w:r>
      <w:r w:rsidR="004E3BF4" w:rsidRPr="00DC1376">
        <w:tab/>
      </w:r>
      <w:r w:rsidRPr="00DC1376">
        <w:t>Trial duration of 52 weeks, with endpoint assessments at Weeks 12, 24 and 52</w:t>
      </w:r>
    </w:p>
    <w:p w:rsidR="004E3BF4" w:rsidRPr="00DC1376" w:rsidRDefault="004E3BF4" w:rsidP="004E3BF4">
      <w:pPr>
        <w:pStyle w:val="TableFooter"/>
        <w:tabs>
          <w:tab w:val="left" w:pos="284"/>
        </w:tabs>
      </w:pPr>
      <w:r w:rsidRPr="00DC1376">
        <w:t>Bold typography indicates statistically significant differences</w:t>
      </w:r>
    </w:p>
    <w:p w:rsidR="00427E55" w:rsidRPr="00DC1376" w:rsidRDefault="00427E55" w:rsidP="005E290D">
      <w:pPr>
        <w:pStyle w:val="ListParagraph"/>
        <w:numPr>
          <w:ilvl w:val="1"/>
          <w:numId w:val="1"/>
        </w:numPr>
        <w:spacing w:before="0" w:after="0"/>
        <w:jc w:val="both"/>
      </w:pPr>
      <w:r w:rsidRPr="00DC1376">
        <w:t xml:space="preserve">On the basis of </w:t>
      </w:r>
      <w:r w:rsidR="00CD764C" w:rsidRPr="00DC1376">
        <w:t>JADV trial</w:t>
      </w:r>
      <w:r w:rsidRPr="00DC1376">
        <w:t>, for e</w:t>
      </w:r>
      <w:r w:rsidR="00CD764C" w:rsidRPr="00DC1376">
        <w:t>very 100 patients treated with baricitinib</w:t>
      </w:r>
      <w:r w:rsidRPr="00DC1376">
        <w:t xml:space="preserve"> in comp</w:t>
      </w:r>
      <w:r w:rsidR="009A6F74" w:rsidRPr="00DC1376">
        <w:t xml:space="preserve">arison to </w:t>
      </w:r>
      <w:r w:rsidR="00CD764C" w:rsidRPr="00DC1376">
        <w:t>adalimumab</w:t>
      </w:r>
      <w:r w:rsidR="004E3BF4" w:rsidRPr="00DC1376">
        <w:t>:</w:t>
      </w:r>
    </w:p>
    <w:p w:rsidR="00C97723" w:rsidRDefault="006C29E8" w:rsidP="005249D1">
      <w:pPr>
        <w:pStyle w:val="ListParagraph"/>
        <w:numPr>
          <w:ilvl w:val="0"/>
          <w:numId w:val="10"/>
        </w:numPr>
        <w:spacing w:before="0" w:after="0"/>
        <w:ind w:left="1134"/>
        <w:jc w:val="both"/>
      </w:pPr>
      <w:proofErr w:type="gramStart"/>
      <w:r>
        <w:t>a</w:t>
      </w:r>
      <w:r w:rsidR="00C97723" w:rsidRPr="00DC1376">
        <w:t>pproximately</w:t>
      </w:r>
      <w:proofErr w:type="gramEnd"/>
      <w:r w:rsidR="00C97723" w:rsidRPr="00DC1376">
        <w:t xml:space="preserve"> 4 additional patients </w:t>
      </w:r>
      <w:r w:rsidR="004E3BF4" w:rsidRPr="00DC1376">
        <w:t>would</w:t>
      </w:r>
      <w:r w:rsidR="00C97723" w:rsidRPr="00DC1376">
        <w:t xml:space="preserve"> have serious adverse events in the first 52 weeks of treatment.</w:t>
      </w:r>
    </w:p>
    <w:p w:rsidR="00C317F3" w:rsidRPr="00436E07" w:rsidRDefault="00C317F3" w:rsidP="00750B5A">
      <w:pPr>
        <w:pStyle w:val="Heading2"/>
      </w:pPr>
      <w:bookmarkStart w:id="17" w:name="_Toc482024934"/>
      <w:r w:rsidRPr="00436E07">
        <w:t>Clinical claim</w:t>
      </w:r>
      <w:bookmarkEnd w:id="16"/>
      <w:bookmarkEnd w:id="17"/>
    </w:p>
    <w:p w:rsidR="008F5AAA" w:rsidRPr="007C3458" w:rsidRDefault="008F5AAA" w:rsidP="005E290D">
      <w:pPr>
        <w:pStyle w:val="ListParagraph"/>
        <w:numPr>
          <w:ilvl w:val="1"/>
          <w:numId w:val="1"/>
        </w:numPr>
        <w:spacing w:before="0" w:after="120"/>
        <w:jc w:val="both"/>
      </w:pPr>
      <w:r w:rsidRPr="007C3458">
        <w:t xml:space="preserve">The </w:t>
      </w:r>
      <w:r w:rsidR="00FE787E" w:rsidRPr="007C3458">
        <w:t xml:space="preserve">ESC considered that the claim </w:t>
      </w:r>
      <w:r w:rsidRPr="007C3458">
        <w:t>that baricitinib was superior in terms of effectiveness compared with adalimumab</w:t>
      </w:r>
      <w:r w:rsidR="00FE787E" w:rsidRPr="007C3458">
        <w:t xml:space="preserve"> was not adequately supported</w:t>
      </w:r>
      <w:r w:rsidRPr="007C3458">
        <w:t>.</w:t>
      </w:r>
      <w:r w:rsidR="00FE787E" w:rsidRPr="007C3458" w:rsidDel="00FE787E">
        <w:t xml:space="preserve"> </w:t>
      </w:r>
      <w:r w:rsidR="003C53A0" w:rsidRPr="007C3458">
        <w:t xml:space="preserve">Specifically, the </w:t>
      </w:r>
      <w:r w:rsidR="004D041D">
        <w:t xml:space="preserve">point estimates for the </w:t>
      </w:r>
      <w:r w:rsidR="003C53A0" w:rsidRPr="007C3458">
        <w:t>major secondary endpoint of ACR20 at week 12 failed to demonstrate an improvement of greater than 12%, when the pre-specified non-inferiority margin was -12%.</w:t>
      </w:r>
      <w:r w:rsidR="006D3D95" w:rsidRPr="007C3458">
        <w:t xml:space="preserve"> </w:t>
      </w:r>
      <w:r w:rsidR="007114CC" w:rsidRPr="007C3458">
        <w:t xml:space="preserve">Further, there was no clear evidence that </w:t>
      </w:r>
      <w:r w:rsidR="006D3D95" w:rsidRPr="007C3458">
        <w:t>the 12 week improvements would be maintained long term</w:t>
      </w:r>
      <w:r w:rsidR="00FE787E" w:rsidRPr="007C3458">
        <w:t xml:space="preserve"> or in the Australian treatment setting</w:t>
      </w:r>
      <w:r w:rsidR="006D3D95" w:rsidRPr="007C3458">
        <w:t>.</w:t>
      </w:r>
    </w:p>
    <w:p w:rsidR="008F5AAA" w:rsidRPr="007C3458" w:rsidRDefault="008F5AAA" w:rsidP="005E290D">
      <w:pPr>
        <w:pStyle w:val="ListParagraph"/>
        <w:numPr>
          <w:ilvl w:val="1"/>
          <w:numId w:val="1"/>
        </w:numPr>
        <w:spacing w:before="0" w:after="120"/>
        <w:jc w:val="both"/>
      </w:pPr>
      <w:r w:rsidRPr="007C3458">
        <w:t xml:space="preserve">The </w:t>
      </w:r>
      <w:r w:rsidR="00FE787E" w:rsidRPr="007C3458">
        <w:t xml:space="preserve">ESC considered that the </w:t>
      </w:r>
      <w:r w:rsidRPr="007C3458">
        <w:t xml:space="preserve">overall claim of equivalent safety appeared to be supported, with the important exception of </w:t>
      </w:r>
      <w:r w:rsidR="00F675EA" w:rsidRPr="007C3458">
        <w:t xml:space="preserve">more </w:t>
      </w:r>
      <w:r w:rsidRPr="007C3458">
        <w:t>serious adverse events in the baricitinib group compared to the adalimumab group. These differences could be meaningful in a larger populatio</w:t>
      </w:r>
      <w:r w:rsidR="004D041D">
        <w:t>n and over a longer time frame.</w:t>
      </w:r>
    </w:p>
    <w:p w:rsidR="008F5AAA" w:rsidRDefault="00FE787E" w:rsidP="005E290D">
      <w:pPr>
        <w:pStyle w:val="ListParagraph"/>
        <w:numPr>
          <w:ilvl w:val="1"/>
          <w:numId w:val="1"/>
        </w:numPr>
        <w:spacing w:before="0" w:after="120"/>
        <w:jc w:val="both"/>
      </w:pPr>
      <w:r w:rsidRPr="007C3458">
        <w:t>The ESC considered that</w:t>
      </w:r>
      <w:r w:rsidR="008F5AAA" w:rsidRPr="007C3458">
        <w:t xml:space="preserve"> claim of non-inferiority against adalimumab in terms of efficacy and safety </w:t>
      </w:r>
      <w:r w:rsidR="004D041D">
        <w:t>may have been more appropriate.</w:t>
      </w:r>
    </w:p>
    <w:p w:rsidR="00403840" w:rsidRPr="00257D4F" w:rsidRDefault="00403840" w:rsidP="005E290D">
      <w:pPr>
        <w:pStyle w:val="ListParagraph"/>
        <w:numPr>
          <w:ilvl w:val="1"/>
          <w:numId w:val="1"/>
        </w:numPr>
        <w:spacing w:before="0" w:after="120"/>
        <w:jc w:val="both"/>
        <w:rPr>
          <w:rFonts w:cs="Arial"/>
          <w:snapToGrid w:val="0"/>
          <w:szCs w:val="20"/>
        </w:rPr>
      </w:pPr>
      <w:r w:rsidRPr="00257D4F">
        <w:rPr>
          <w:rFonts w:cs="Arial"/>
          <w:snapToGrid w:val="0"/>
          <w:szCs w:val="20"/>
        </w:rPr>
        <w:t xml:space="preserve">The PBAC considered that the claim superior comparative effectiveness </w:t>
      </w:r>
      <w:r w:rsidR="00F35E46">
        <w:rPr>
          <w:rFonts w:cs="Arial"/>
          <w:snapToGrid w:val="0"/>
          <w:szCs w:val="20"/>
        </w:rPr>
        <w:t xml:space="preserve">to adalimumab </w:t>
      </w:r>
      <w:r w:rsidRPr="00257D4F">
        <w:rPr>
          <w:rFonts w:cs="Arial"/>
          <w:snapToGrid w:val="0"/>
          <w:szCs w:val="20"/>
        </w:rPr>
        <w:t xml:space="preserve">was not adequately supported by the </w:t>
      </w:r>
      <w:r w:rsidR="004D041D">
        <w:rPr>
          <w:rFonts w:cs="Arial"/>
          <w:snapToGrid w:val="0"/>
          <w:szCs w:val="20"/>
        </w:rPr>
        <w:t>data.</w:t>
      </w:r>
    </w:p>
    <w:p w:rsidR="00403840" w:rsidRPr="008D496B" w:rsidRDefault="00403840" w:rsidP="005E290D">
      <w:pPr>
        <w:pStyle w:val="ListParagraph"/>
        <w:numPr>
          <w:ilvl w:val="1"/>
          <w:numId w:val="1"/>
        </w:numPr>
        <w:spacing w:before="0" w:after="120"/>
        <w:jc w:val="both"/>
        <w:rPr>
          <w:rFonts w:cs="Arial"/>
          <w:snapToGrid w:val="0"/>
          <w:szCs w:val="20"/>
        </w:rPr>
      </w:pPr>
      <w:r w:rsidRPr="008D496B">
        <w:rPr>
          <w:rFonts w:cs="Arial"/>
          <w:snapToGrid w:val="0"/>
          <w:szCs w:val="20"/>
        </w:rPr>
        <w:t xml:space="preserve">The PBAC considered that the claim of </w:t>
      </w:r>
      <w:r w:rsidR="00F35E46" w:rsidRPr="008D496B">
        <w:rPr>
          <w:rFonts w:cs="Arial"/>
          <w:snapToGrid w:val="0"/>
          <w:szCs w:val="20"/>
        </w:rPr>
        <w:t xml:space="preserve">equivalent </w:t>
      </w:r>
      <w:r w:rsidRPr="008D496B">
        <w:rPr>
          <w:rFonts w:cs="Arial"/>
          <w:snapToGrid w:val="0"/>
          <w:szCs w:val="20"/>
        </w:rPr>
        <w:t>safety was not adequately supported by the data.</w:t>
      </w:r>
      <w:r w:rsidR="00F35E46" w:rsidRPr="008D496B">
        <w:rPr>
          <w:rFonts w:cs="Arial"/>
          <w:snapToGrid w:val="0"/>
          <w:szCs w:val="20"/>
        </w:rPr>
        <w:t xml:space="preserve"> In particular the PBAC expressed concerns about the higher number of serious adverse </w:t>
      </w:r>
      <w:r w:rsidR="004D041D">
        <w:rPr>
          <w:rFonts w:cs="Arial"/>
          <w:snapToGrid w:val="0"/>
          <w:szCs w:val="20"/>
        </w:rPr>
        <w:t xml:space="preserve">events in the </w:t>
      </w:r>
      <w:proofErr w:type="spellStart"/>
      <w:r w:rsidR="004D041D">
        <w:rPr>
          <w:rFonts w:cs="Arial"/>
          <w:snapToGrid w:val="0"/>
          <w:szCs w:val="20"/>
        </w:rPr>
        <w:t>baricitinb</w:t>
      </w:r>
      <w:proofErr w:type="spellEnd"/>
      <w:r w:rsidR="004D041D">
        <w:rPr>
          <w:rFonts w:cs="Arial"/>
          <w:snapToGrid w:val="0"/>
          <w:szCs w:val="20"/>
        </w:rPr>
        <w:t xml:space="preserve"> group.</w:t>
      </w:r>
    </w:p>
    <w:p w:rsidR="008D496B" w:rsidRDefault="008D496B" w:rsidP="005E290D">
      <w:pPr>
        <w:pStyle w:val="ListParagraph"/>
        <w:numPr>
          <w:ilvl w:val="1"/>
          <w:numId w:val="1"/>
        </w:numPr>
        <w:spacing w:before="0" w:after="120"/>
        <w:jc w:val="both"/>
        <w:rPr>
          <w:rFonts w:cs="Arial"/>
          <w:snapToGrid w:val="0"/>
          <w:szCs w:val="20"/>
        </w:rPr>
      </w:pPr>
      <w:r w:rsidRPr="008D496B">
        <w:rPr>
          <w:rFonts w:cs="Arial"/>
          <w:snapToGrid w:val="0"/>
          <w:szCs w:val="20"/>
        </w:rPr>
        <w:t xml:space="preserve">The PBAC </w:t>
      </w:r>
      <w:r>
        <w:rPr>
          <w:rFonts w:cs="Arial"/>
          <w:snapToGrid w:val="0"/>
          <w:szCs w:val="20"/>
        </w:rPr>
        <w:t xml:space="preserve">noted the sponsor’s acknowledgement in </w:t>
      </w:r>
      <w:r w:rsidR="004D041D">
        <w:rPr>
          <w:rFonts w:cs="Arial"/>
          <w:snapToGrid w:val="0"/>
          <w:szCs w:val="20"/>
        </w:rPr>
        <w:t>its</w:t>
      </w:r>
      <w:r>
        <w:rPr>
          <w:rFonts w:cs="Arial"/>
          <w:snapToGrid w:val="0"/>
          <w:szCs w:val="20"/>
        </w:rPr>
        <w:t xml:space="preserve"> pre-PBAC response that a cost-minimisation to </w:t>
      </w:r>
      <w:proofErr w:type="spellStart"/>
      <w:r>
        <w:rPr>
          <w:rFonts w:cs="Arial"/>
          <w:snapToGrid w:val="0"/>
          <w:szCs w:val="20"/>
        </w:rPr>
        <w:t>tofacitinib</w:t>
      </w:r>
      <w:proofErr w:type="spellEnd"/>
      <w:r>
        <w:rPr>
          <w:rFonts w:cs="Arial"/>
          <w:snapToGrid w:val="0"/>
          <w:szCs w:val="20"/>
        </w:rPr>
        <w:t xml:space="preserve"> would </w:t>
      </w:r>
      <w:r w:rsidR="004D041D">
        <w:rPr>
          <w:rFonts w:cs="Arial"/>
          <w:snapToGrid w:val="0"/>
          <w:szCs w:val="20"/>
        </w:rPr>
        <w:t xml:space="preserve">also </w:t>
      </w:r>
      <w:r>
        <w:rPr>
          <w:rFonts w:cs="Arial"/>
          <w:snapToGrid w:val="0"/>
          <w:szCs w:val="20"/>
        </w:rPr>
        <w:t xml:space="preserve">be appropriate, but did not consider the clinical evidence </w:t>
      </w:r>
      <w:r w:rsidR="004D041D">
        <w:rPr>
          <w:rFonts w:cs="Arial"/>
          <w:snapToGrid w:val="0"/>
          <w:szCs w:val="20"/>
        </w:rPr>
        <w:t>for this approach at this time.</w:t>
      </w:r>
    </w:p>
    <w:p w:rsidR="00C317F3" w:rsidRPr="00436E07" w:rsidRDefault="00C317F3" w:rsidP="00750B5A">
      <w:pPr>
        <w:pStyle w:val="Heading2"/>
      </w:pPr>
      <w:bookmarkStart w:id="18" w:name="_Toc413139282"/>
      <w:bookmarkStart w:id="19" w:name="_Toc482024935"/>
      <w:r w:rsidRPr="00436E07">
        <w:t>Economic analysis</w:t>
      </w:r>
      <w:bookmarkEnd w:id="18"/>
      <w:bookmarkEnd w:id="19"/>
    </w:p>
    <w:p w:rsidR="002541EA" w:rsidRPr="00DC1376" w:rsidRDefault="00B577D7" w:rsidP="005E290D">
      <w:pPr>
        <w:pStyle w:val="ListParagraph"/>
        <w:numPr>
          <w:ilvl w:val="1"/>
          <w:numId w:val="1"/>
        </w:numPr>
        <w:spacing w:before="0" w:after="120"/>
        <w:jc w:val="both"/>
      </w:pPr>
      <w:r w:rsidRPr="00DC1376">
        <w:t xml:space="preserve">The submission presented a </w:t>
      </w:r>
      <w:r w:rsidR="002541EA" w:rsidRPr="00DC1376">
        <w:t>cost-utility analysis based on the results of the JADV trial as well as the results of a Bayesian networ</w:t>
      </w:r>
      <w:r w:rsidR="003C53A0" w:rsidRPr="00DC1376">
        <w:t>k meta-</w:t>
      </w:r>
      <w:r w:rsidR="002541EA" w:rsidRPr="00DC1376">
        <w:t xml:space="preserve">analysis (NMA). </w:t>
      </w:r>
      <w:r w:rsidR="00B93B06" w:rsidRPr="00DC1376">
        <w:t xml:space="preserve">The submission compared two sequences of RA medicines over a </w:t>
      </w:r>
      <w:r w:rsidR="00A4392A" w:rsidRPr="00DC1376">
        <w:t>5-year</w:t>
      </w:r>
      <w:r w:rsidR="00B93B06" w:rsidRPr="00DC1376">
        <w:t xml:space="preserve"> period, one sequence beginning with baricitinib and one beginning with adalimumab. </w:t>
      </w:r>
      <w:r w:rsidR="002541EA" w:rsidRPr="00DC1376">
        <w:t xml:space="preserve">The submission’s primary basis for a superiority claim over adalimumab was marginal gains in ACR response that may not have been clinically meaningful. </w:t>
      </w:r>
      <w:r w:rsidR="00670524" w:rsidRPr="00DC1376">
        <w:t xml:space="preserve">The submission also applied differential point estimates for the effectiveness of all subsequent therapies which was not supported given the results of the NMA indicate that all 95% confidence intervals overlapped to some degree and the history of listing of </w:t>
      </w:r>
      <w:proofErr w:type="spellStart"/>
      <w:r w:rsidR="00670524" w:rsidRPr="00DC1376">
        <w:t>bDMARDs</w:t>
      </w:r>
      <w:proofErr w:type="spellEnd"/>
      <w:r w:rsidR="00670524" w:rsidRPr="00DC1376">
        <w:t xml:space="preserve"> on the PBS has been based on non-inferiority </w:t>
      </w:r>
      <w:r w:rsidR="004D041D">
        <w:t xml:space="preserve">conclusions </w:t>
      </w:r>
      <w:r w:rsidR="00670524" w:rsidRPr="00DC1376">
        <w:t xml:space="preserve">and </w:t>
      </w:r>
      <w:r w:rsidR="004D041D">
        <w:t xml:space="preserve">associated </w:t>
      </w:r>
      <w:r w:rsidR="00670524" w:rsidRPr="00DC1376">
        <w:t>cost-minimisation a</w:t>
      </w:r>
      <w:r w:rsidR="006175A5">
        <w:t>pproach</w:t>
      </w:r>
      <w:r w:rsidR="00670524" w:rsidRPr="00DC1376">
        <w:t xml:space="preserve">. </w:t>
      </w:r>
      <w:r w:rsidR="002541EA" w:rsidRPr="00DC1376">
        <w:t>The base case of the economic model was based on small increments of both costs and effectiveness that made the results unlikely to be reliable over a 5-year per</w:t>
      </w:r>
      <w:r w:rsidR="004D041D">
        <w:t>iod.</w:t>
      </w:r>
    </w:p>
    <w:p w:rsidR="00BB2EC0" w:rsidRPr="007C3458" w:rsidRDefault="00BB2EC0" w:rsidP="005E290D">
      <w:pPr>
        <w:pStyle w:val="ListParagraph"/>
        <w:numPr>
          <w:ilvl w:val="1"/>
          <w:numId w:val="1"/>
        </w:numPr>
        <w:spacing w:before="0" w:after="120"/>
        <w:jc w:val="both"/>
      </w:pPr>
      <w:r w:rsidRPr="007C3458">
        <w:t>Table 7 presents the specific sequences in the base case, the submission’s sensitivity analysis</w:t>
      </w:r>
      <w:r w:rsidR="004D041D">
        <w:t>,</w:t>
      </w:r>
      <w:r w:rsidRPr="007C3458">
        <w:t xml:space="preserve"> and two alternative analyses tested during the evaluation. The base case presented in the submission was consistent with </w:t>
      </w:r>
      <w:proofErr w:type="spellStart"/>
      <w:r w:rsidRPr="007C3458">
        <w:t>tofacitinib</w:t>
      </w:r>
      <w:proofErr w:type="spellEnd"/>
      <w:r w:rsidRPr="007C3458">
        <w:t xml:space="preserve"> being the nominated comparator</w:t>
      </w:r>
      <w:r w:rsidR="006C29E8" w:rsidRPr="007C3458">
        <w:t>,</w:t>
      </w:r>
      <w:r w:rsidRPr="007C3458">
        <w:t xml:space="preserve"> as use of adalimumab was displaced and </w:t>
      </w:r>
      <w:proofErr w:type="spellStart"/>
      <w:r w:rsidRPr="007C3458">
        <w:t>tofacitinib</w:t>
      </w:r>
      <w:proofErr w:type="spellEnd"/>
      <w:r w:rsidRPr="007C3458">
        <w:t xml:space="preserve"> was replaced. The sensitivity analysis presented in the submission was consistent with adalimumab being the nominated comparator, and given the remaining sequence of treatments were identical between the two arms, negated the need for modelling costs and effects of subsequent therapies.</w:t>
      </w:r>
      <w:r w:rsidR="00FE787E" w:rsidRPr="007C3458">
        <w:t xml:space="preserve"> However, the ESC noted that this assumes that patients in the two arms commence third line treatment at the same time.</w:t>
      </w:r>
    </w:p>
    <w:p w:rsidR="00AE7F95" w:rsidRDefault="00AE7F95" w:rsidP="00AE7F95">
      <w:pPr>
        <w:pStyle w:val="Caption"/>
      </w:pPr>
      <w:r>
        <w:t xml:space="preserve">Table </w:t>
      </w:r>
      <w:r>
        <w:rPr>
          <w:noProof/>
        </w:rPr>
        <w:t>7</w:t>
      </w:r>
      <w:r w:rsidRPr="00084C1B">
        <w:t>: Treatment sequences in the base case and in sensitivity analyses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reatment sequences in the base case and in sensitivity analyses"/>
      </w:tblPr>
      <w:tblGrid>
        <w:gridCol w:w="1287"/>
        <w:gridCol w:w="1285"/>
        <w:gridCol w:w="1284"/>
        <w:gridCol w:w="1272"/>
        <w:gridCol w:w="1262"/>
        <w:gridCol w:w="1282"/>
        <w:gridCol w:w="1344"/>
      </w:tblGrid>
      <w:tr w:rsidR="00BB2EC0" w:rsidRPr="00DC1376" w:rsidTr="00AE7F95">
        <w:trPr>
          <w:cnfStyle w:val="100000000000" w:firstRow="1" w:lastRow="0" w:firstColumn="0" w:lastColumn="0" w:oddVBand="0" w:evenVBand="0" w:oddHBand="0" w:evenHBand="0" w:firstRowFirstColumn="0" w:firstRowLastColumn="0" w:lastRowFirstColumn="0" w:lastRowLastColumn="0"/>
          <w:tblHeader/>
        </w:trPr>
        <w:tc>
          <w:tcPr>
            <w:tcW w:w="1287" w:type="dxa"/>
            <w:shd w:val="clear" w:color="auto" w:fill="auto"/>
          </w:tcPr>
          <w:p w:rsidR="00BB2EC0" w:rsidRPr="00DC1376" w:rsidRDefault="00BB2EC0" w:rsidP="00C45F2F">
            <w:pPr>
              <w:pStyle w:val="TableText"/>
              <w:rPr>
                <w:b w:val="0"/>
              </w:rPr>
            </w:pPr>
          </w:p>
        </w:tc>
        <w:tc>
          <w:tcPr>
            <w:tcW w:w="1285"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1</w:t>
            </w:r>
            <w:r w:rsidRPr="00DC1376">
              <w:rPr>
                <w:vertAlign w:val="superscript"/>
              </w:rPr>
              <w:t>st</w:t>
            </w:r>
            <w:r w:rsidRPr="00DC1376">
              <w:t xml:space="preserve"> line</w:t>
            </w:r>
          </w:p>
        </w:tc>
        <w:tc>
          <w:tcPr>
            <w:tcW w:w="1284"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2</w:t>
            </w:r>
            <w:r w:rsidRPr="00DC1376">
              <w:rPr>
                <w:vertAlign w:val="superscript"/>
              </w:rPr>
              <w:t>nd</w:t>
            </w:r>
            <w:r w:rsidRPr="00DC1376">
              <w:t xml:space="preserve"> line</w:t>
            </w:r>
          </w:p>
        </w:tc>
        <w:tc>
          <w:tcPr>
            <w:tcW w:w="1272"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3</w:t>
            </w:r>
            <w:r w:rsidRPr="00DC1376">
              <w:rPr>
                <w:vertAlign w:val="superscript"/>
              </w:rPr>
              <w:t>rd</w:t>
            </w:r>
            <w:r w:rsidRPr="00DC1376">
              <w:t xml:space="preserve"> line</w:t>
            </w:r>
          </w:p>
        </w:tc>
        <w:tc>
          <w:tcPr>
            <w:tcW w:w="1262"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4</w:t>
            </w:r>
            <w:r w:rsidRPr="00DC1376">
              <w:rPr>
                <w:vertAlign w:val="superscript"/>
              </w:rPr>
              <w:t>th</w:t>
            </w:r>
            <w:r w:rsidRPr="00DC1376">
              <w:t xml:space="preserve"> line</w:t>
            </w:r>
          </w:p>
        </w:tc>
        <w:tc>
          <w:tcPr>
            <w:tcW w:w="1282"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5</w:t>
            </w:r>
            <w:r w:rsidRPr="00DC1376">
              <w:rPr>
                <w:vertAlign w:val="superscript"/>
              </w:rPr>
              <w:t>th</w:t>
            </w:r>
            <w:r w:rsidRPr="00DC1376">
              <w:t xml:space="preserve"> line</w:t>
            </w:r>
          </w:p>
        </w:tc>
        <w:tc>
          <w:tcPr>
            <w:tcW w:w="1344"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Rescue</w:t>
            </w:r>
          </w:p>
        </w:tc>
      </w:tr>
      <w:tr w:rsidR="00BB2EC0" w:rsidRPr="00DC1376" w:rsidTr="00BB2EC0">
        <w:tc>
          <w:tcPr>
            <w:tcW w:w="9016" w:type="dxa"/>
            <w:gridSpan w:val="7"/>
            <w:shd w:val="clear" w:color="auto" w:fill="auto"/>
          </w:tcPr>
          <w:p w:rsidR="00BB2EC0" w:rsidRPr="00DC1376" w:rsidRDefault="00BB2EC0" w:rsidP="00C45F2F">
            <w:pPr>
              <w:pStyle w:val="TableText"/>
              <w:rPr>
                <w:b/>
              </w:rPr>
            </w:pPr>
            <w:r w:rsidRPr="00DC1376">
              <w:rPr>
                <w:b/>
              </w:rPr>
              <w:t>Base case</w:t>
            </w:r>
          </w:p>
        </w:tc>
      </w:tr>
      <w:tr w:rsidR="00BB2EC0" w:rsidRPr="00DC1376" w:rsidTr="00BB2EC0">
        <w:tc>
          <w:tcPr>
            <w:tcW w:w="1287" w:type="dxa"/>
            <w:shd w:val="clear" w:color="auto" w:fill="auto"/>
          </w:tcPr>
          <w:p w:rsidR="00BB2EC0" w:rsidRPr="00DC1376" w:rsidRDefault="00BB2EC0" w:rsidP="00C45F2F">
            <w:pPr>
              <w:pStyle w:val="TableText"/>
            </w:pPr>
            <w:r w:rsidRPr="00DC1376">
              <w:t>Intervention*</w:t>
            </w:r>
          </w:p>
        </w:tc>
        <w:tc>
          <w:tcPr>
            <w:tcW w:w="1285"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Baricitinib</w:t>
            </w:r>
          </w:p>
        </w:tc>
        <w:tc>
          <w:tcPr>
            <w:tcW w:w="1284"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Adalimumab</w:t>
            </w:r>
          </w:p>
        </w:tc>
        <w:tc>
          <w:tcPr>
            <w:tcW w:w="127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Etanercept</w:t>
            </w:r>
            <w:proofErr w:type="spellEnd"/>
          </w:p>
        </w:tc>
        <w:tc>
          <w:tcPr>
            <w:tcW w:w="126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Infliximab</w:t>
            </w:r>
          </w:p>
        </w:tc>
        <w:tc>
          <w:tcPr>
            <w:tcW w:w="128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Tocilizumab</w:t>
            </w:r>
          </w:p>
        </w:tc>
        <w:tc>
          <w:tcPr>
            <w:tcW w:w="1344"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Palliative**</w:t>
            </w:r>
          </w:p>
        </w:tc>
      </w:tr>
      <w:tr w:rsidR="00BB2EC0" w:rsidRPr="00DC1376" w:rsidTr="00BB2EC0">
        <w:tc>
          <w:tcPr>
            <w:tcW w:w="1287" w:type="dxa"/>
            <w:shd w:val="clear" w:color="auto" w:fill="auto"/>
          </w:tcPr>
          <w:p w:rsidR="00BB2EC0" w:rsidRPr="00DC1376" w:rsidRDefault="00BB2EC0" w:rsidP="00C45F2F">
            <w:pPr>
              <w:pStyle w:val="TableText"/>
            </w:pPr>
            <w:r w:rsidRPr="00DC1376">
              <w:t>Comparator*</w:t>
            </w:r>
          </w:p>
        </w:tc>
        <w:tc>
          <w:tcPr>
            <w:tcW w:w="1285"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Adalimumab</w:t>
            </w:r>
          </w:p>
        </w:tc>
        <w:tc>
          <w:tcPr>
            <w:tcW w:w="1284"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Tofacitinib</w:t>
            </w:r>
            <w:proofErr w:type="spellEnd"/>
          </w:p>
        </w:tc>
        <w:tc>
          <w:tcPr>
            <w:tcW w:w="1272" w:type="dxa"/>
            <w:vMerge/>
            <w:shd w:val="clear" w:color="auto" w:fill="auto"/>
          </w:tcPr>
          <w:p w:rsidR="00BB2EC0" w:rsidRPr="00DC1376" w:rsidRDefault="00BB2EC0" w:rsidP="00C45F2F">
            <w:pPr>
              <w:pStyle w:val="TableText"/>
            </w:pPr>
          </w:p>
        </w:tc>
        <w:tc>
          <w:tcPr>
            <w:tcW w:w="1262" w:type="dxa"/>
            <w:vMerge/>
            <w:shd w:val="clear" w:color="auto" w:fill="auto"/>
          </w:tcPr>
          <w:p w:rsidR="00BB2EC0" w:rsidRPr="00DC1376" w:rsidRDefault="00BB2EC0" w:rsidP="00C45F2F">
            <w:pPr>
              <w:pStyle w:val="TableText"/>
            </w:pPr>
          </w:p>
        </w:tc>
        <w:tc>
          <w:tcPr>
            <w:tcW w:w="1282" w:type="dxa"/>
            <w:vMerge/>
            <w:shd w:val="clear" w:color="auto" w:fill="auto"/>
          </w:tcPr>
          <w:p w:rsidR="00BB2EC0" w:rsidRPr="00DC1376" w:rsidRDefault="00BB2EC0" w:rsidP="00C45F2F">
            <w:pPr>
              <w:pStyle w:val="TableText"/>
            </w:pPr>
          </w:p>
        </w:tc>
        <w:tc>
          <w:tcPr>
            <w:tcW w:w="1344" w:type="dxa"/>
            <w:vMerge/>
            <w:shd w:val="clear" w:color="auto" w:fill="auto"/>
          </w:tcPr>
          <w:p w:rsidR="00BB2EC0" w:rsidRPr="00DC1376" w:rsidRDefault="00BB2EC0" w:rsidP="00C45F2F">
            <w:pPr>
              <w:pStyle w:val="TableText"/>
            </w:pPr>
          </w:p>
        </w:tc>
      </w:tr>
      <w:tr w:rsidR="00BB2EC0" w:rsidRPr="00DC1376" w:rsidTr="00BB2EC0">
        <w:tc>
          <w:tcPr>
            <w:tcW w:w="9016" w:type="dxa"/>
            <w:gridSpan w:val="7"/>
            <w:shd w:val="clear" w:color="auto" w:fill="auto"/>
          </w:tcPr>
          <w:p w:rsidR="00BB2EC0" w:rsidRPr="00DC1376" w:rsidRDefault="00BB2EC0" w:rsidP="00C45F2F">
            <w:pPr>
              <w:pStyle w:val="TableText"/>
              <w:rPr>
                <w:b/>
              </w:rPr>
            </w:pPr>
            <w:r w:rsidRPr="00DC1376">
              <w:rPr>
                <w:b/>
              </w:rPr>
              <w:t>Submission sensitivity analysis</w:t>
            </w:r>
          </w:p>
        </w:tc>
      </w:tr>
      <w:tr w:rsidR="00BB2EC0" w:rsidRPr="00DC1376" w:rsidTr="00BB2EC0">
        <w:tc>
          <w:tcPr>
            <w:tcW w:w="1287" w:type="dxa"/>
            <w:shd w:val="clear" w:color="auto" w:fill="auto"/>
          </w:tcPr>
          <w:p w:rsidR="00BB2EC0" w:rsidRPr="00DC1376" w:rsidRDefault="00BB2EC0" w:rsidP="00C45F2F">
            <w:pPr>
              <w:pStyle w:val="TableText"/>
            </w:pPr>
            <w:r w:rsidRPr="00DC1376">
              <w:t>Intervention*</w:t>
            </w:r>
          </w:p>
        </w:tc>
        <w:tc>
          <w:tcPr>
            <w:tcW w:w="1285" w:type="dxa"/>
            <w:shd w:val="clear" w:color="auto" w:fill="auto"/>
            <w:vAlign w:val="center"/>
          </w:tcPr>
          <w:p w:rsidR="00BB2EC0" w:rsidRPr="00DC1376" w:rsidRDefault="00BB2EC0" w:rsidP="00C45F2F">
            <w:pPr>
              <w:pStyle w:val="TableText"/>
              <w:jc w:val="center"/>
              <w:rPr>
                <w:lang w:val="en-AU"/>
              </w:rPr>
            </w:pPr>
            <w:r w:rsidRPr="00DC1376">
              <w:t>Baricitinib</w:t>
            </w:r>
          </w:p>
        </w:tc>
        <w:tc>
          <w:tcPr>
            <w:tcW w:w="1284"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Tofacitinib</w:t>
            </w:r>
            <w:proofErr w:type="spellEnd"/>
          </w:p>
        </w:tc>
        <w:tc>
          <w:tcPr>
            <w:tcW w:w="127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Etanercept</w:t>
            </w:r>
            <w:proofErr w:type="spellEnd"/>
          </w:p>
        </w:tc>
        <w:tc>
          <w:tcPr>
            <w:tcW w:w="126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Infliximab</w:t>
            </w:r>
          </w:p>
        </w:tc>
        <w:tc>
          <w:tcPr>
            <w:tcW w:w="128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Tocilizumab</w:t>
            </w:r>
          </w:p>
        </w:tc>
        <w:tc>
          <w:tcPr>
            <w:tcW w:w="1344"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Palliative**</w:t>
            </w:r>
          </w:p>
        </w:tc>
      </w:tr>
      <w:tr w:rsidR="00BB2EC0" w:rsidRPr="00DC1376" w:rsidTr="00BB2EC0">
        <w:tc>
          <w:tcPr>
            <w:tcW w:w="1287" w:type="dxa"/>
            <w:shd w:val="clear" w:color="auto" w:fill="auto"/>
          </w:tcPr>
          <w:p w:rsidR="00BB2EC0" w:rsidRPr="00DC1376" w:rsidRDefault="00BB2EC0" w:rsidP="00C45F2F">
            <w:pPr>
              <w:pStyle w:val="TableText"/>
            </w:pPr>
            <w:r w:rsidRPr="00DC1376">
              <w:t>Comparator*</w:t>
            </w:r>
          </w:p>
        </w:tc>
        <w:tc>
          <w:tcPr>
            <w:tcW w:w="1285"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Adalimumab</w:t>
            </w:r>
          </w:p>
        </w:tc>
        <w:tc>
          <w:tcPr>
            <w:tcW w:w="1284" w:type="dxa"/>
            <w:vMerge/>
            <w:shd w:val="clear" w:color="auto" w:fill="auto"/>
          </w:tcPr>
          <w:p w:rsidR="00BB2EC0" w:rsidRPr="00DC1376" w:rsidRDefault="00BB2EC0" w:rsidP="00C45F2F">
            <w:pPr>
              <w:pStyle w:val="TableText"/>
            </w:pPr>
          </w:p>
        </w:tc>
        <w:tc>
          <w:tcPr>
            <w:tcW w:w="1272" w:type="dxa"/>
            <w:vMerge/>
            <w:shd w:val="clear" w:color="auto" w:fill="auto"/>
          </w:tcPr>
          <w:p w:rsidR="00BB2EC0" w:rsidRPr="00DC1376" w:rsidRDefault="00BB2EC0" w:rsidP="00C45F2F">
            <w:pPr>
              <w:pStyle w:val="TableText"/>
            </w:pPr>
          </w:p>
        </w:tc>
        <w:tc>
          <w:tcPr>
            <w:tcW w:w="1262" w:type="dxa"/>
            <w:vMerge/>
            <w:shd w:val="clear" w:color="auto" w:fill="auto"/>
          </w:tcPr>
          <w:p w:rsidR="00BB2EC0" w:rsidRPr="00DC1376" w:rsidRDefault="00BB2EC0" w:rsidP="00C45F2F">
            <w:pPr>
              <w:pStyle w:val="TableText"/>
            </w:pPr>
          </w:p>
        </w:tc>
        <w:tc>
          <w:tcPr>
            <w:tcW w:w="1282" w:type="dxa"/>
            <w:vMerge/>
            <w:shd w:val="clear" w:color="auto" w:fill="auto"/>
          </w:tcPr>
          <w:p w:rsidR="00BB2EC0" w:rsidRPr="00DC1376" w:rsidRDefault="00BB2EC0" w:rsidP="00C45F2F">
            <w:pPr>
              <w:pStyle w:val="TableText"/>
            </w:pPr>
          </w:p>
        </w:tc>
        <w:tc>
          <w:tcPr>
            <w:tcW w:w="1344" w:type="dxa"/>
            <w:vMerge/>
            <w:shd w:val="clear" w:color="auto" w:fill="auto"/>
          </w:tcPr>
          <w:p w:rsidR="00BB2EC0" w:rsidRPr="00DC1376" w:rsidRDefault="00BB2EC0" w:rsidP="00C45F2F">
            <w:pPr>
              <w:pStyle w:val="TableText"/>
            </w:pPr>
          </w:p>
        </w:tc>
      </w:tr>
      <w:tr w:rsidR="00BB2EC0" w:rsidRPr="00DC1376" w:rsidTr="00BB2EC0">
        <w:tc>
          <w:tcPr>
            <w:tcW w:w="9016" w:type="dxa"/>
            <w:gridSpan w:val="7"/>
            <w:shd w:val="clear" w:color="auto" w:fill="auto"/>
          </w:tcPr>
          <w:p w:rsidR="00BB2EC0" w:rsidRPr="00DC1376" w:rsidRDefault="00BB2EC0" w:rsidP="00C45F2F">
            <w:pPr>
              <w:pStyle w:val="TableText"/>
              <w:rPr>
                <w:b/>
              </w:rPr>
            </w:pPr>
            <w:r w:rsidRPr="00DC1376">
              <w:rPr>
                <w:b/>
              </w:rPr>
              <w:t>Alternative analysis 1</w:t>
            </w:r>
          </w:p>
        </w:tc>
      </w:tr>
      <w:tr w:rsidR="00BB2EC0" w:rsidRPr="00DC1376" w:rsidTr="00BB2EC0">
        <w:tc>
          <w:tcPr>
            <w:tcW w:w="1287" w:type="dxa"/>
            <w:shd w:val="clear" w:color="auto" w:fill="auto"/>
          </w:tcPr>
          <w:p w:rsidR="00BB2EC0" w:rsidRPr="00DC1376" w:rsidRDefault="00BB2EC0" w:rsidP="00C45F2F">
            <w:pPr>
              <w:pStyle w:val="TableText"/>
            </w:pPr>
            <w:r w:rsidRPr="00DC1376">
              <w:t>Intervention*</w:t>
            </w:r>
          </w:p>
        </w:tc>
        <w:tc>
          <w:tcPr>
            <w:tcW w:w="1285"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Baricitinib</w:t>
            </w:r>
          </w:p>
        </w:tc>
        <w:tc>
          <w:tcPr>
            <w:tcW w:w="1284"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Adalimumab</w:t>
            </w:r>
          </w:p>
        </w:tc>
        <w:tc>
          <w:tcPr>
            <w:tcW w:w="127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Etanercept</w:t>
            </w:r>
            <w:proofErr w:type="spellEnd"/>
          </w:p>
        </w:tc>
        <w:tc>
          <w:tcPr>
            <w:tcW w:w="126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Infliximab</w:t>
            </w:r>
          </w:p>
        </w:tc>
        <w:tc>
          <w:tcPr>
            <w:tcW w:w="128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Tocilizumab</w:t>
            </w:r>
          </w:p>
        </w:tc>
        <w:tc>
          <w:tcPr>
            <w:tcW w:w="1344"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Palliative**</w:t>
            </w:r>
          </w:p>
        </w:tc>
      </w:tr>
      <w:tr w:rsidR="00BB2EC0" w:rsidRPr="00DC1376" w:rsidTr="00BB2EC0">
        <w:tc>
          <w:tcPr>
            <w:tcW w:w="1287" w:type="dxa"/>
            <w:shd w:val="clear" w:color="auto" w:fill="auto"/>
          </w:tcPr>
          <w:p w:rsidR="00BB2EC0" w:rsidRPr="00DC1376" w:rsidRDefault="00BB2EC0" w:rsidP="00C45F2F">
            <w:pPr>
              <w:pStyle w:val="TableText"/>
            </w:pPr>
            <w:r w:rsidRPr="00DC1376">
              <w:t>Comparator*</w:t>
            </w:r>
          </w:p>
        </w:tc>
        <w:tc>
          <w:tcPr>
            <w:tcW w:w="1285"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Tofacitinib</w:t>
            </w:r>
            <w:proofErr w:type="spellEnd"/>
          </w:p>
        </w:tc>
        <w:tc>
          <w:tcPr>
            <w:tcW w:w="1284" w:type="dxa"/>
            <w:vMerge/>
            <w:shd w:val="clear" w:color="auto" w:fill="auto"/>
          </w:tcPr>
          <w:p w:rsidR="00BB2EC0" w:rsidRPr="00DC1376" w:rsidRDefault="00BB2EC0" w:rsidP="00C45F2F">
            <w:pPr>
              <w:pStyle w:val="TableText"/>
            </w:pPr>
          </w:p>
        </w:tc>
        <w:tc>
          <w:tcPr>
            <w:tcW w:w="1272" w:type="dxa"/>
            <w:vMerge/>
            <w:shd w:val="clear" w:color="auto" w:fill="auto"/>
          </w:tcPr>
          <w:p w:rsidR="00BB2EC0" w:rsidRPr="00DC1376" w:rsidRDefault="00BB2EC0" w:rsidP="00C45F2F">
            <w:pPr>
              <w:pStyle w:val="TableText"/>
            </w:pPr>
          </w:p>
        </w:tc>
        <w:tc>
          <w:tcPr>
            <w:tcW w:w="1262" w:type="dxa"/>
            <w:vMerge/>
            <w:shd w:val="clear" w:color="auto" w:fill="auto"/>
          </w:tcPr>
          <w:p w:rsidR="00BB2EC0" w:rsidRPr="00DC1376" w:rsidRDefault="00BB2EC0" w:rsidP="00C45F2F">
            <w:pPr>
              <w:pStyle w:val="TableText"/>
            </w:pPr>
          </w:p>
        </w:tc>
        <w:tc>
          <w:tcPr>
            <w:tcW w:w="1282" w:type="dxa"/>
            <w:vMerge/>
            <w:shd w:val="clear" w:color="auto" w:fill="auto"/>
          </w:tcPr>
          <w:p w:rsidR="00BB2EC0" w:rsidRPr="00DC1376" w:rsidRDefault="00BB2EC0" w:rsidP="00C45F2F">
            <w:pPr>
              <w:pStyle w:val="TableText"/>
            </w:pPr>
          </w:p>
        </w:tc>
        <w:tc>
          <w:tcPr>
            <w:tcW w:w="1344" w:type="dxa"/>
            <w:vMerge/>
            <w:shd w:val="clear" w:color="auto" w:fill="auto"/>
          </w:tcPr>
          <w:p w:rsidR="00BB2EC0" w:rsidRPr="00DC1376" w:rsidRDefault="00BB2EC0" w:rsidP="00C45F2F">
            <w:pPr>
              <w:pStyle w:val="TableText"/>
            </w:pPr>
          </w:p>
        </w:tc>
      </w:tr>
      <w:tr w:rsidR="00BB2EC0" w:rsidRPr="00DC1376" w:rsidTr="00BB2EC0">
        <w:tc>
          <w:tcPr>
            <w:tcW w:w="9016" w:type="dxa"/>
            <w:gridSpan w:val="7"/>
            <w:shd w:val="clear" w:color="auto" w:fill="auto"/>
          </w:tcPr>
          <w:p w:rsidR="00BB2EC0" w:rsidRPr="00DC1376" w:rsidRDefault="00BB2EC0" w:rsidP="00C45F2F">
            <w:pPr>
              <w:pStyle w:val="TableText"/>
              <w:rPr>
                <w:b/>
              </w:rPr>
            </w:pPr>
            <w:r w:rsidRPr="00DC1376">
              <w:rPr>
                <w:b/>
              </w:rPr>
              <w:t>Alternative analysis 2</w:t>
            </w:r>
          </w:p>
        </w:tc>
      </w:tr>
      <w:tr w:rsidR="00BB2EC0" w:rsidRPr="00DC1376" w:rsidTr="00BB2EC0">
        <w:tc>
          <w:tcPr>
            <w:tcW w:w="1287" w:type="dxa"/>
            <w:shd w:val="clear" w:color="auto" w:fill="auto"/>
          </w:tcPr>
          <w:p w:rsidR="00BB2EC0" w:rsidRPr="00DC1376" w:rsidRDefault="00BB2EC0" w:rsidP="00C45F2F">
            <w:pPr>
              <w:pStyle w:val="TableText"/>
            </w:pPr>
            <w:r w:rsidRPr="00DC1376">
              <w:t>Intervention*</w:t>
            </w:r>
          </w:p>
        </w:tc>
        <w:tc>
          <w:tcPr>
            <w:tcW w:w="1285"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Adalimumab</w:t>
            </w:r>
          </w:p>
        </w:tc>
        <w:tc>
          <w:tcPr>
            <w:tcW w:w="1284"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Baricitinib</w:t>
            </w:r>
          </w:p>
        </w:tc>
        <w:tc>
          <w:tcPr>
            <w:tcW w:w="127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Etanercept</w:t>
            </w:r>
            <w:proofErr w:type="spellEnd"/>
          </w:p>
        </w:tc>
        <w:tc>
          <w:tcPr>
            <w:tcW w:w="126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Infliximab</w:t>
            </w:r>
          </w:p>
        </w:tc>
        <w:tc>
          <w:tcPr>
            <w:tcW w:w="1282"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Tocilizumab</w:t>
            </w:r>
          </w:p>
        </w:tc>
        <w:tc>
          <w:tcPr>
            <w:tcW w:w="1344" w:type="dxa"/>
            <w:vMerge w:val="restart"/>
            <w:shd w:val="clear" w:color="auto" w:fill="auto"/>
            <w:vAlign w:val="center"/>
          </w:tcPr>
          <w:p w:rsidR="00BB2EC0" w:rsidRPr="00DC1376" w:rsidRDefault="00BB2EC0" w:rsidP="00C45F2F">
            <w:pPr>
              <w:pStyle w:val="TableText"/>
              <w:jc w:val="center"/>
              <w:rPr>
                <w:rFonts w:eastAsiaTheme="majorEastAsia" w:cstheme="majorBidi"/>
                <w:szCs w:val="28"/>
                <w:lang w:val="en-AU"/>
              </w:rPr>
            </w:pPr>
            <w:r w:rsidRPr="00DC1376">
              <w:t>Palliative**</w:t>
            </w:r>
          </w:p>
        </w:tc>
      </w:tr>
      <w:tr w:rsidR="00BB2EC0" w:rsidRPr="00DC1376" w:rsidTr="00BB2EC0">
        <w:tc>
          <w:tcPr>
            <w:tcW w:w="1287" w:type="dxa"/>
            <w:shd w:val="clear" w:color="auto" w:fill="auto"/>
          </w:tcPr>
          <w:p w:rsidR="00BB2EC0" w:rsidRPr="00DC1376" w:rsidRDefault="00BB2EC0" w:rsidP="00C45F2F">
            <w:pPr>
              <w:pStyle w:val="TableText"/>
            </w:pPr>
            <w:r w:rsidRPr="00DC1376">
              <w:t>Comparator*</w:t>
            </w:r>
          </w:p>
        </w:tc>
        <w:tc>
          <w:tcPr>
            <w:tcW w:w="1285" w:type="dxa"/>
            <w:vMerge/>
            <w:shd w:val="clear" w:color="auto" w:fill="auto"/>
          </w:tcPr>
          <w:p w:rsidR="00BB2EC0" w:rsidRPr="00DC1376" w:rsidRDefault="00BB2EC0" w:rsidP="00C45F2F">
            <w:pPr>
              <w:pStyle w:val="TableText"/>
            </w:pPr>
          </w:p>
        </w:tc>
        <w:tc>
          <w:tcPr>
            <w:tcW w:w="1284" w:type="dxa"/>
            <w:shd w:val="clear" w:color="auto" w:fill="auto"/>
            <w:vAlign w:val="center"/>
          </w:tcPr>
          <w:p w:rsidR="00BB2EC0" w:rsidRPr="00DC1376" w:rsidRDefault="00BB2EC0" w:rsidP="00C45F2F">
            <w:pPr>
              <w:pStyle w:val="TableText"/>
              <w:jc w:val="center"/>
              <w:rPr>
                <w:rFonts w:eastAsiaTheme="majorEastAsia" w:cstheme="majorBidi"/>
                <w:szCs w:val="28"/>
                <w:lang w:val="en-AU"/>
              </w:rPr>
            </w:pPr>
            <w:proofErr w:type="spellStart"/>
            <w:r w:rsidRPr="00DC1376">
              <w:t>Tofacitinib</w:t>
            </w:r>
            <w:proofErr w:type="spellEnd"/>
          </w:p>
        </w:tc>
        <w:tc>
          <w:tcPr>
            <w:tcW w:w="1272" w:type="dxa"/>
            <w:vMerge/>
            <w:shd w:val="clear" w:color="auto" w:fill="auto"/>
          </w:tcPr>
          <w:p w:rsidR="00BB2EC0" w:rsidRPr="00DC1376" w:rsidRDefault="00BB2EC0" w:rsidP="00C45F2F">
            <w:pPr>
              <w:pStyle w:val="TableText"/>
            </w:pPr>
          </w:p>
        </w:tc>
        <w:tc>
          <w:tcPr>
            <w:tcW w:w="1262" w:type="dxa"/>
            <w:vMerge/>
            <w:shd w:val="clear" w:color="auto" w:fill="auto"/>
          </w:tcPr>
          <w:p w:rsidR="00BB2EC0" w:rsidRPr="00DC1376" w:rsidRDefault="00BB2EC0" w:rsidP="00C45F2F">
            <w:pPr>
              <w:pStyle w:val="TableText"/>
            </w:pPr>
          </w:p>
        </w:tc>
        <w:tc>
          <w:tcPr>
            <w:tcW w:w="1282" w:type="dxa"/>
            <w:vMerge/>
            <w:shd w:val="clear" w:color="auto" w:fill="auto"/>
          </w:tcPr>
          <w:p w:rsidR="00BB2EC0" w:rsidRPr="00DC1376" w:rsidRDefault="00BB2EC0" w:rsidP="00C45F2F">
            <w:pPr>
              <w:pStyle w:val="TableText"/>
            </w:pPr>
          </w:p>
        </w:tc>
        <w:tc>
          <w:tcPr>
            <w:tcW w:w="1344" w:type="dxa"/>
            <w:vMerge/>
            <w:shd w:val="clear" w:color="auto" w:fill="auto"/>
          </w:tcPr>
          <w:p w:rsidR="00BB2EC0" w:rsidRPr="00DC1376" w:rsidRDefault="00BB2EC0" w:rsidP="00C45F2F">
            <w:pPr>
              <w:pStyle w:val="TableText"/>
            </w:pPr>
          </w:p>
        </w:tc>
      </w:tr>
    </w:tbl>
    <w:p w:rsidR="00BB2EC0" w:rsidRPr="00DC1376" w:rsidRDefault="00BB2EC0" w:rsidP="00BB2EC0">
      <w:pPr>
        <w:pStyle w:val="TableNotes"/>
        <w:spacing w:after="0"/>
        <w:rPr>
          <w:rFonts w:ascii="Arial Narrow" w:hAnsi="Arial Narrow"/>
          <w:sz w:val="18"/>
          <w:szCs w:val="18"/>
        </w:rPr>
      </w:pPr>
      <w:r w:rsidRPr="00DC1376">
        <w:rPr>
          <w:rFonts w:ascii="Arial Narrow" w:hAnsi="Arial Narrow"/>
          <w:sz w:val="18"/>
          <w:szCs w:val="18"/>
        </w:rPr>
        <w:t>Sour</w:t>
      </w:r>
      <w:r w:rsidRPr="00FE787E">
        <w:rPr>
          <w:rFonts w:ascii="Arial Narrow" w:hAnsi="Arial Narrow"/>
          <w:sz w:val="18"/>
          <w:szCs w:val="18"/>
        </w:rPr>
        <w:t xml:space="preserve">ce: </w:t>
      </w:r>
      <w:r w:rsidRPr="00BD0C22">
        <w:rPr>
          <w:rFonts w:ascii="Arial Narrow" w:hAnsi="Arial Narrow"/>
          <w:sz w:val="18"/>
          <w:szCs w:val="18"/>
        </w:rPr>
        <w:t>Table 3.3.2</w:t>
      </w:r>
      <w:r w:rsidRPr="00FE787E">
        <w:rPr>
          <w:rFonts w:ascii="Arial Narrow" w:hAnsi="Arial Narrow"/>
          <w:sz w:val="18"/>
          <w:szCs w:val="18"/>
        </w:rPr>
        <w:t>,</w:t>
      </w:r>
      <w:r w:rsidR="00F16C0D" w:rsidRPr="00FE787E">
        <w:rPr>
          <w:rFonts w:ascii="Arial Narrow" w:hAnsi="Arial Narrow"/>
          <w:sz w:val="18"/>
          <w:szCs w:val="18"/>
        </w:rPr>
        <w:t xml:space="preserve"> </w:t>
      </w:r>
      <w:r w:rsidRPr="00FE787E">
        <w:rPr>
          <w:rFonts w:ascii="Arial Narrow" w:hAnsi="Arial Narrow"/>
          <w:sz w:val="18"/>
          <w:szCs w:val="18"/>
        </w:rPr>
        <w:t xml:space="preserve">p 174 and 3 and </w:t>
      </w:r>
      <w:r w:rsidRPr="00BD0C22">
        <w:rPr>
          <w:rFonts w:ascii="Arial Narrow" w:hAnsi="Arial Narrow"/>
          <w:sz w:val="18"/>
          <w:szCs w:val="18"/>
        </w:rPr>
        <w:t>Table .9.1</w:t>
      </w:r>
      <w:r w:rsidRPr="00FE787E">
        <w:rPr>
          <w:rFonts w:ascii="Arial Narrow" w:hAnsi="Arial Narrow"/>
          <w:sz w:val="18"/>
          <w:szCs w:val="18"/>
        </w:rPr>
        <w:t>, p</w:t>
      </w:r>
      <w:r w:rsidRPr="00DC1376">
        <w:rPr>
          <w:rFonts w:ascii="Arial Narrow" w:hAnsi="Arial Narrow"/>
          <w:sz w:val="18"/>
          <w:szCs w:val="18"/>
        </w:rPr>
        <w:t>191</w:t>
      </w:r>
    </w:p>
    <w:p w:rsidR="00BB2EC0" w:rsidRPr="00DC1376" w:rsidRDefault="00BB2EC0" w:rsidP="00BB2EC0">
      <w:pPr>
        <w:pStyle w:val="TableNotes"/>
        <w:tabs>
          <w:tab w:val="left" w:pos="284"/>
        </w:tabs>
        <w:spacing w:after="0"/>
        <w:rPr>
          <w:rFonts w:ascii="Arial Narrow" w:hAnsi="Arial Narrow"/>
          <w:sz w:val="18"/>
          <w:szCs w:val="18"/>
        </w:rPr>
      </w:pPr>
      <w:r w:rsidRPr="00DC1376">
        <w:rPr>
          <w:sz w:val="18"/>
          <w:szCs w:val="18"/>
        </w:rPr>
        <w:t>*</w:t>
      </w:r>
      <w:r w:rsidRPr="00DC1376">
        <w:rPr>
          <w:sz w:val="18"/>
          <w:szCs w:val="18"/>
        </w:rPr>
        <w:tab/>
      </w:r>
      <w:r w:rsidRPr="00DC1376">
        <w:rPr>
          <w:rFonts w:ascii="Arial Narrow" w:hAnsi="Arial Narrow"/>
          <w:sz w:val="18"/>
          <w:szCs w:val="18"/>
        </w:rPr>
        <w:t>All treatments were administered with concomitant methotrexate</w:t>
      </w:r>
    </w:p>
    <w:p w:rsidR="00BB2EC0" w:rsidRPr="00DC1376" w:rsidRDefault="00BB2EC0" w:rsidP="00BB2EC0">
      <w:pPr>
        <w:pStyle w:val="TableNotes"/>
        <w:tabs>
          <w:tab w:val="left" w:pos="284"/>
        </w:tabs>
        <w:spacing w:after="120"/>
        <w:rPr>
          <w:rFonts w:ascii="Arial Narrow" w:hAnsi="Arial Narrow"/>
          <w:sz w:val="18"/>
          <w:szCs w:val="18"/>
        </w:rPr>
      </w:pPr>
      <w:r w:rsidRPr="00DC1376">
        <w:rPr>
          <w:rFonts w:ascii="Arial Narrow" w:hAnsi="Arial Narrow"/>
          <w:sz w:val="18"/>
          <w:szCs w:val="18"/>
        </w:rPr>
        <w:t xml:space="preserve">** </w:t>
      </w:r>
      <w:r w:rsidRPr="00DC1376">
        <w:rPr>
          <w:rFonts w:ascii="Arial Narrow" w:hAnsi="Arial Narrow"/>
          <w:sz w:val="18"/>
          <w:szCs w:val="18"/>
        </w:rPr>
        <w:tab/>
        <w:t xml:space="preserve">Palliative treatment was comprised of </w:t>
      </w:r>
      <w:proofErr w:type="spellStart"/>
      <w:r w:rsidRPr="00DC1376">
        <w:rPr>
          <w:rFonts w:ascii="Arial Narrow" w:hAnsi="Arial Narrow"/>
          <w:sz w:val="18"/>
          <w:szCs w:val="18"/>
        </w:rPr>
        <w:t>leflunomide</w:t>
      </w:r>
      <w:proofErr w:type="spellEnd"/>
      <w:r w:rsidRPr="00DC1376">
        <w:rPr>
          <w:rFonts w:ascii="Arial Narrow" w:hAnsi="Arial Narrow"/>
          <w:sz w:val="18"/>
          <w:szCs w:val="18"/>
        </w:rPr>
        <w:t xml:space="preserve">, gold and </w:t>
      </w:r>
      <w:proofErr w:type="spellStart"/>
      <w:r w:rsidRPr="00DC1376">
        <w:rPr>
          <w:rFonts w:ascii="Arial Narrow" w:hAnsi="Arial Narrow"/>
          <w:sz w:val="18"/>
          <w:szCs w:val="18"/>
        </w:rPr>
        <w:t>cyclosporin</w:t>
      </w:r>
      <w:proofErr w:type="spellEnd"/>
    </w:p>
    <w:p w:rsidR="0065209E" w:rsidRDefault="0065209E" w:rsidP="005E290D">
      <w:pPr>
        <w:pStyle w:val="ListParagraph"/>
        <w:numPr>
          <w:ilvl w:val="1"/>
          <w:numId w:val="1"/>
        </w:numPr>
        <w:spacing w:before="0" w:after="120"/>
        <w:jc w:val="both"/>
      </w:pPr>
      <w:r w:rsidRPr="00DC1376">
        <w:t xml:space="preserve">Table </w:t>
      </w:r>
      <w:r w:rsidR="00670524" w:rsidRPr="00DC1376">
        <w:t>8</w:t>
      </w:r>
      <w:r w:rsidRPr="00DC1376">
        <w:t xml:space="preserve"> presents a summary of the model structure and rationale</w:t>
      </w:r>
      <w:r w:rsidR="00DA583E">
        <w:t>.</w:t>
      </w:r>
    </w:p>
    <w:p w:rsidR="00DA583E" w:rsidRPr="00DC1376" w:rsidRDefault="00DA583E" w:rsidP="00DA583E">
      <w:pPr>
        <w:spacing w:before="0" w:after="120"/>
        <w:jc w:val="both"/>
      </w:pPr>
    </w:p>
    <w:p w:rsidR="00AE7F95" w:rsidRDefault="00AE7F95" w:rsidP="00AE7F95">
      <w:pPr>
        <w:pStyle w:val="Caption"/>
      </w:pPr>
      <w:r>
        <w:t xml:space="preserve">Table </w:t>
      </w:r>
      <w:r>
        <w:rPr>
          <w:noProof/>
        </w:rPr>
        <w:t>8</w:t>
      </w:r>
      <w:r w:rsidRPr="000A3B56">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6"/>
        <w:gridCol w:w="6786"/>
      </w:tblGrid>
      <w:tr w:rsidR="00C317F3" w:rsidRPr="00DC1376" w:rsidTr="00DF16C0">
        <w:trPr>
          <w:tblHeader/>
        </w:trPr>
        <w:tc>
          <w:tcPr>
            <w:tcW w:w="1264" w:type="pct"/>
            <w:shd w:val="clear" w:color="auto" w:fill="auto"/>
            <w:vAlign w:val="center"/>
          </w:tcPr>
          <w:p w:rsidR="00C317F3" w:rsidRPr="00DC1376" w:rsidRDefault="00C317F3" w:rsidP="00D1078F">
            <w:pPr>
              <w:pStyle w:val="TableText"/>
              <w:rPr>
                <w:b/>
              </w:rPr>
            </w:pPr>
            <w:r w:rsidRPr="00DC1376">
              <w:rPr>
                <w:b/>
              </w:rPr>
              <w:t>Component</w:t>
            </w:r>
          </w:p>
        </w:tc>
        <w:tc>
          <w:tcPr>
            <w:tcW w:w="3736" w:type="pct"/>
            <w:shd w:val="clear" w:color="auto" w:fill="auto"/>
            <w:vAlign w:val="center"/>
          </w:tcPr>
          <w:p w:rsidR="00C317F3" w:rsidRPr="00DC1376" w:rsidRDefault="00C317F3" w:rsidP="00D1078F">
            <w:pPr>
              <w:pStyle w:val="TableText"/>
              <w:rPr>
                <w:b/>
              </w:rPr>
            </w:pPr>
            <w:r w:rsidRPr="00DC1376">
              <w:rPr>
                <w:b/>
              </w:rPr>
              <w:t>Summary</w:t>
            </w:r>
          </w:p>
        </w:tc>
      </w:tr>
      <w:tr w:rsidR="00C317F3" w:rsidRPr="00DC1376" w:rsidTr="00DF16C0">
        <w:tc>
          <w:tcPr>
            <w:tcW w:w="1264" w:type="pct"/>
            <w:shd w:val="clear" w:color="auto" w:fill="auto"/>
            <w:vAlign w:val="center"/>
          </w:tcPr>
          <w:p w:rsidR="00C317F3" w:rsidRPr="00DC1376" w:rsidRDefault="00C317F3" w:rsidP="00D1078F">
            <w:pPr>
              <w:pStyle w:val="TableText"/>
            </w:pPr>
            <w:r w:rsidRPr="00DC1376">
              <w:t>Time horizon</w:t>
            </w:r>
          </w:p>
        </w:tc>
        <w:tc>
          <w:tcPr>
            <w:tcW w:w="3736" w:type="pct"/>
            <w:shd w:val="clear" w:color="auto" w:fill="auto"/>
            <w:vAlign w:val="center"/>
          </w:tcPr>
          <w:p w:rsidR="00C317F3" w:rsidRPr="00DC1376" w:rsidRDefault="008F5AAA" w:rsidP="008F5AAA">
            <w:pPr>
              <w:pStyle w:val="TableText"/>
              <w:rPr>
                <w:rFonts w:ascii="Times" w:eastAsia="Times New Roman" w:hAnsi="Times" w:cs="Times New Roman"/>
              </w:rPr>
            </w:pPr>
            <w:r w:rsidRPr="00DC1376">
              <w:t>5</w:t>
            </w:r>
            <w:r w:rsidR="00C317F3" w:rsidRPr="00DC1376">
              <w:t xml:space="preserve"> years in the model base case versus </w:t>
            </w:r>
            <w:r w:rsidRPr="00DC1376">
              <w:t xml:space="preserve">52 </w:t>
            </w:r>
            <w:r w:rsidR="00C317F3" w:rsidRPr="00DC1376">
              <w:t xml:space="preserve">weeks in </w:t>
            </w:r>
            <w:r w:rsidRPr="00DC1376">
              <w:t xml:space="preserve">JADV </w:t>
            </w:r>
            <w:r w:rsidR="00C317F3" w:rsidRPr="00DC1376">
              <w:t>trial</w:t>
            </w:r>
            <w:r w:rsidR="00C97723" w:rsidRPr="00DC1376">
              <w:t xml:space="preserve"> (and 12 </w:t>
            </w:r>
            <w:proofErr w:type="gramStart"/>
            <w:r w:rsidR="00C97723" w:rsidRPr="00DC1376">
              <w:t>week</w:t>
            </w:r>
            <w:proofErr w:type="gramEnd"/>
            <w:r w:rsidR="00C97723" w:rsidRPr="00DC1376">
              <w:t xml:space="preserve"> JADV data included in the model)</w:t>
            </w:r>
            <w:r w:rsidR="00B75105" w:rsidRPr="00DC1376">
              <w:t>.</w:t>
            </w:r>
          </w:p>
        </w:tc>
      </w:tr>
      <w:tr w:rsidR="00C317F3" w:rsidRPr="00DC1376" w:rsidTr="00DF16C0">
        <w:tc>
          <w:tcPr>
            <w:tcW w:w="1264" w:type="pct"/>
            <w:shd w:val="clear" w:color="auto" w:fill="auto"/>
            <w:vAlign w:val="center"/>
          </w:tcPr>
          <w:p w:rsidR="00C317F3" w:rsidRPr="00DC1376" w:rsidRDefault="00C317F3" w:rsidP="00D1078F">
            <w:pPr>
              <w:pStyle w:val="TableText"/>
              <w:rPr>
                <w:rFonts w:ascii="Times" w:eastAsia="Times New Roman" w:hAnsi="Times" w:cs="Times New Roman"/>
              </w:rPr>
            </w:pPr>
            <w:r w:rsidRPr="00DC1376">
              <w:t>Outcomes</w:t>
            </w:r>
          </w:p>
        </w:tc>
        <w:tc>
          <w:tcPr>
            <w:tcW w:w="3736" w:type="pct"/>
            <w:shd w:val="clear" w:color="auto" w:fill="auto"/>
            <w:vAlign w:val="center"/>
          </w:tcPr>
          <w:p w:rsidR="00C317F3" w:rsidRPr="00DC1376" w:rsidRDefault="002541EA" w:rsidP="00D1078F">
            <w:pPr>
              <w:pStyle w:val="TableText"/>
              <w:rPr>
                <w:rFonts w:ascii="Times" w:eastAsia="Times New Roman" w:hAnsi="Times" w:cs="Times New Roman"/>
              </w:rPr>
            </w:pPr>
            <w:r w:rsidRPr="00DC1376">
              <w:t xml:space="preserve">HAQ, </w:t>
            </w:r>
            <w:r w:rsidR="008F5AAA" w:rsidRPr="00DC1376">
              <w:t>QALYs</w:t>
            </w:r>
            <w:r w:rsidR="00B75105" w:rsidRPr="00DC1376">
              <w:t>.</w:t>
            </w:r>
          </w:p>
        </w:tc>
      </w:tr>
      <w:tr w:rsidR="00C317F3" w:rsidRPr="00DC1376" w:rsidTr="00DF16C0">
        <w:tc>
          <w:tcPr>
            <w:tcW w:w="1264" w:type="pct"/>
            <w:shd w:val="clear" w:color="auto" w:fill="auto"/>
            <w:vAlign w:val="center"/>
          </w:tcPr>
          <w:p w:rsidR="00C317F3" w:rsidRPr="00DC1376" w:rsidRDefault="00C317F3" w:rsidP="00D1078F">
            <w:pPr>
              <w:pStyle w:val="TableText"/>
              <w:rPr>
                <w:rFonts w:ascii="Times" w:eastAsia="Times New Roman" w:hAnsi="Times" w:cs="Times New Roman"/>
              </w:rPr>
            </w:pPr>
            <w:r w:rsidRPr="00DC1376">
              <w:t>Methods used to generate results</w:t>
            </w:r>
          </w:p>
        </w:tc>
        <w:tc>
          <w:tcPr>
            <w:tcW w:w="3736" w:type="pct"/>
            <w:shd w:val="clear" w:color="auto" w:fill="auto"/>
            <w:vAlign w:val="center"/>
          </w:tcPr>
          <w:p w:rsidR="00C317F3" w:rsidRPr="00DC1376" w:rsidRDefault="00B75105" w:rsidP="00D1078F">
            <w:pPr>
              <w:pStyle w:val="TableText"/>
              <w:rPr>
                <w:rFonts w:ascii="Times" w:eastAsia="Times New Roman" w:hAnsi="Times" w:cs="Times New Roman"/>
              </w:rPr>
            </w:pPr>
            <w:r w:rsidRPr="00DC1376">
              <w:t>Discrete event simulation (</w:t>
            </w:r>
            <w:r w:rsidR="002541EA" w:rsidRPr="00DC1376">
              <w:t>DES</w:t>
            </w:r>
            <w:r w:rsidRPr="00DC1376">
              <w:t>).</w:t>
            </w:r>
          </w:p>
        </w:tc>
      </w:tr>
      <w:tr w:rsidR="002541EA" w:rsidRPr="00DC1376" w:rsidTr="002541EA">
        <w:tc>
          <w:tcPr>
            <w:tcW w:w="1264" w:type="pct"/>
            <w:shd w:val="clear" w:color="auto" w:fill="auto"/>
            <w:vAlign w:val="center"/>
          </w:tcPr>
          <w:p w:rsidR="002541EA" w:rsidRPr="00DC1376" w:rsidRDefault="002541EA" w:rsidP="00D1078F">
            <w:pPr>
              <w:pStyle w:val="TableText"/>
              <w:rPr>
                <w:rFonts w:ascii="Times" w:eastAsia="Times New Roman" w:hAnsi="Times" w:cs="Times New Roman"/>
              </w:rPr>
            </w:pPr>
            <w:r w:rsidRPr="00DC1376">
              <w:t>Health states</w:t>
            </w:r>
          </w:p>
        </w:tc>
        <w:tc>
          <w:tcPr>
            <w:tcW w:w="3736" w:type="pct"/>
            <w:shd w:val="clear" w:color="auto" w:fill="auto"/>
          </w:tcPr>
          <w:p w:rsidR="002541EA" w:rsidRPr="00DC1376" w:rsidRDefault="002541EA" w:rsidP="00D1078F">
            <w:pPr>
              <w:pStyle w:val="TableText"/>
              <w:rPr>
                <w:rFonts w:ascii="Times" w:eastAsia="Times New Roman" w:hAnsi="Times" w:cs="Times New Roman"/>
              </w:rPr>
            </w:pPr>
            <w:r w:rsidRPr="00DC1376">
              <w:t>Each treatment in a sequence was associated with an ACR score that determined the probability of staying on treatment, or failing response and moving to the next treatment in the sequence. Each ACR state was associated with an HAQ score mapped to EQ-5D</w:t>
            </w:r>
            <w:r w:rsidR="00B75105" w:rsidRPr="00DC1376">
              <w:t>.</w:t>
            </w:r>
          </w:p>
        </w:tc>
      </w:tr>
      <w:tr w:rsidR="002541EA" w:rsidRPr="00DC1376" w:rsidTr="00DF16C0">
        <w:tc>
          <w:tcPr>
            <w:tcW w:w="1264" w:type="pct"/>
            <w:shd w:val="clear" w:color="auto" w:fill="auto"/>
            <w:vAlign w:val="center"/>
          </w:tcPr>
          <w:p w:rsidR="002541EA" w:rsidRPr="00DC1376" w:rsidRDefault="002541EA" w:rsidP="00D1078F">
            <w:pPr>
              <w:pStyle w:val="TableText"/>
              <w:rPr>
                <w:rFonts w:ascii="Times" w:eastAsia="Times New Roman" w:hAnsi="Times" w:cs="Times New Roman"/>
              </w:rPr>
            </w:pPr>
            <w:r w:rsidRPr="00DC1376">
              <w:t>Utilities</w:t>
            </w:r>
          </w:p>
        </w:tc>
        <w:tc>
          <w:tcPr>
            <w:tcW w:w="3736" w:type="pct"/>
            <w:shd w:val="clear" w:color="auto" w:fill="auto"/>
            <w:vAlign w:val="center"/>
          </w:tcPr>
          <w:p w:rsidR="002541EA" w:rsidRPr="00DC1376" w:rsidRDefault="002541EA" w:rsidP="00D1078F">
            <w:pPr>
              <w:pStyle w:val="TableText"/>
              <w:rPr>
                <w:rFonts w:ascii="Times" w:eastAsia="Times New Roman" w:hAnsi="Times" w:cs="Times New Roman"/>
              </w:rPr>
            </w:pPr>
            <w:r w:rsidRPr="00DC1376">
              <w:t xml:space="preserve">Calculated through a </w:t>
            </w:r>
            <w:r w:rsidR="00A4392A" w:rsidRPr="00DC1376">
              <w:t>3-class</w:t>
            </w:r>
            <w:r w:rsidRPr="00DC1376">
              <w:t xml:space="preserve"> mixture model</w:t>
            </w:r>
            <w:r w:rsidR="00F06FFA" w:rsidRPr="00DC1376">
              <w:t xml:space="preserve"> mapping HAQ-DI to EQ-5D</w:t>
            </w:r>
            <w:r w:rsidRPr="00DC1376">
              <w:t xml:space="preserve"> developed by </w:t>
            </w:r>
            <w:r w:rsidR="004D041D">
              <w:t>Hernandez Alava (2012).</w:t>
            </w:r>
          </w:p>
        </w:tc>
      </w:tr>
      <w:tr w:rsidR="002541EA" w:rsidRPr="00DC1376" w:rsidTr="00DF16C0">
        <w:tc>
          <w:tcPr>
            <w:tcW w:w="1264" w:type="pct"/>
            <w:shd w:val="clear" w:color="auto" w:fill="auto"/>
            <w:vAlign w:val="center"/>
          </w:tcPr>
          <w:p w:rsidR="002541EA" w:rsidRPr="00DC1376" w:rsidRDefault="002541EA" w:rsidP="00D1078F">
            <w:pPr>
              <w:pStyle w:val="TableText"/>
              <w:rPr>
                <w:rFonts w:ascii="Times" w:eastAsia="Times New Roman" w:hAnsi="Times" w:cs="Times New Roman"/>
              </w:rPr>
            </w:pPr>
            <w:r w:rsidRPr="00DC1376">
              <w:t>Cycle length</w:t>
            </w:r>
          </w:p>
        </w:tc>
        <w:tc>
          <w:tcPr>
            <w:tcW w:w="3736" w:type="pct"/>
            <w:shd w:val="clear" w:color="auto" w:fill="auto"/>
            <w:vAlign w:val="center"/>
          </w:tcPr>
          <w:p w:rsidR="002541EA" w:rsidRPr="00DC1376" w:rsidRDefault="002541EA" w:rsidP="00D1078F">
            <w:pPr>
              <w:pStyle w:val="TableText"/>
              <w:rPr>
                <w:rFonts w:ascii="Times" w:eastAsia="Times New Roman" w:hAnsi="Times" w:cs="Times New Roman"/>
              </w:rPr>
            </w:pPr>
            <w:r w:rsidRPr="00DC1376">
              <w:t>NA</w:t>
            </w:r>
          </w:p>
        </w:tc>
      </w:tr>
      <w:tr w:rsidR="002541EA" w:rsidRPr="00DC1376" w:rsidTr="002541EA">
        <w:tc>
          <w:tcPr>
            <w:tcW w:w="1264" w:type="pct"/>
            <w:shd w:val="clear" w:color="auto" w:fill="auto"/>
            <w:vAlign w:val="center"/>
          </w:tcPr>
          <w:p w:rsidR="002541EA" w:rsidRPr="00DC1376" w:rsidRDefault="002541EA" w:rsidP="00D1078F">
            <w:pPr>
              <w:pStyle w:val="TableText"/>
              <w:rPr>
                <w:rFonts w:ascii="Times" w:eastAsia="Times New Roman" w:hAnsi="Times" w:cs="Times New Roman"/>
              </w:rPr>
            </w:pPr>
            <w:r w:rsidRPr="00DC1376">
              <w:t>Transition probabilities</w:t>
            </w:r>
          </w:p>
        </w:tc>
        <w:tc>
          <w:tcPr>
            <w:tcW w:w="3736" w:type="pct"/>
            <w:shd w:val="clear" w:color="auto" w:fill="auto"/>
          </w:tcPr>
          <w:p w:rsidR="002541EA" w:rsidRPr="00DC1376" w:rsidRDefault="002541EA" w:rsidP="00D1078F">
            <w:pPr>
              <w:pStyle w:val="TableText"/>
              <w:rPr>
                <w:rFonts w:ascii="Times" w:eastAsia="Times New Roman" w:hAnsi="Times" w:cs="Times New Roman"/>
              </w:rPr>
            </w:pPr>
            <w:r w:rsidRPr="00DC1376">
              <w:t xml:space="preserve">Based on ACR response in JADV and Bayesian </w:t>
            </w:r>
            <w:r w:rsidR="00B75105" w:rsidRPr="00DC1376">
              <w:t>network meta-analysis (</w:t>
            </w:r>
            <w:r w:rsidRPr="00DC1376">
              <w:t>NMA</w:t>
            </w:r>
            <w:r w:rsidR="00B75105" w:rsidRPr="00DC1376">
              <w:t>)</w:t>
            </w:r>
            <w:r w:rsidRPr="00DC1376">
              <w:t>.</w:t>
            </w:r>
          </w:p>
        </w:tc>
      </w:tr>
    </w:tbl>
    <w:p w:rsidR="00AC48A7" w:rsidRPr="00DC1376" w:rsidRDefault="002541EA" w:rsidP="00D1078F">
      <w:pPr>
        <w:pStyle w:val="TableFooter"/>
      </w:pPr>
      <w:r w:rsidRPr="00DC1376">
        <w:t xml:space="preserve">Source: </w:t>
      </w:r>
      <w:r w:rsidRPr="00BD0C22">
        <w:t>Table 3.1.1</w:t>
      </w:r>
      <w:r w:rsidRPr="00FE787E">
        <w:t>, p166 o</w:t>
      </w:r>
      <w:r w:rsidRPr="00DC1376">
        <w:t>f the submission.</w:t>
      </w:r>
      <w:r w:rsidR="00C317F3" w:rsidRPr="00DC1376">
        <w:t xml:space="preserve"> </w:t>
      </w:r>
    </w:p>
    <w:p w:rsidR="00C317F3" w:rsidRPr="00DC1376" w:rsidRDefault="002541EA" w:rsidP="00D1078F">
      <w:pPr>
        <w:pStyle w:val="TableFooter"/>
      </w:pPr>
      <w:r w:rsidRPr="00DC1376">
        <w:t>ACR = American college of rheumatologists</w:t>
      </w:r>
      <w:r w:rsidR="00A4392A" w:rsidRPr="00DC1376">
        <w:t>;</w:t>
      </w:r>
      <w:r w:rsidRPr="00DC1376">
        <w:t xml:space="preserve"> DES = discrete event simulation; EQ-5D = </w:t>
      </w:r>
      <w:proofErr w:type="spellStart"/>
      <w:r w:rsidRPr="00DC1376">
        <w:t>EuroQol</w:t>
      </w:r>
      <w:proofErr w:type="spellEnd"/>
      <w:r w:rsidRPr="00DC1376">
        <w:t xml:space="preserve"> 5 Dimensions; HAQ = Health Assessment Questionnaire – disability index; NA = not applicable; NMA = network meta</w:t>
      </w:r>
      <w:r w:rsidR="00B75105" w:rsidRPr="00DC1376">
        <w:t>-</w:t>
      </w:r>
      <w:r w:rsidRPr="00DC1376">
        <w:t>analysis; QALY = quality adjusted life-year</w:t>
      </w:r>
    </w:p>
    <w:p w:rsidR="00B93B06" w:rsidRDefault="00B93B06" w:rsidP="005E290D">
      <w:pPr>
        <w:pStyle w:val="ListParagraph"/>
        <w:numPr>
          <w:ilvl w:val="1"/>
          <w:numId w:val="1"/>
        </w:numPr>
        <w:spacing w:before="0" w:after="120"/>
        <w:jc w:val="both"/>
      </w:pPr>
      <w:r w:rsidRPr="00DC1376">
        <w:t>The submission considered that a discrete event simulation (DES) was more appropriate than a Markov model for RA, base</w:t>
      </w:r>
      <w:r w:rsidR="00B75105" w:rsidRPr="00DC1376">
        <w:t xml:space="preserve">d on review of the literature. </w:t>
      </w:r>
      <w:r w:rsidRPr="00DC1376">
        <w:t>Specifically, the submission considered a DES could more efficiently incorporate the level of detail required in the model.</w:t>
      </w:r>
      <w:r w:rsidR="0073557D" w:rsidRPr="004D041D">
        <w:t xml:space="preserve"> The ESC agreed that </w:t>
      </w:r>
      <w:r w:rsidR="00FE787E" w:rsidRPr="004D041D">
        <w:t>this was an</w:t>
      </w:r>
      <w:r w:rsidR="0073557D" w:rsidRPr="004D041D">
        <w:t xml:space="preserve"> appropriate </w:t>
      </w:r>
      <w:r w:rsidR="00FE787E" w:rsidRPr="004D041D">
        <w:t>structure</w:t>
      </w:r>
      <w:r w:rsidR="0073557D" w:rsidRPr="004D041D">
        <w:t>.</w:t>
      </w:r>
    </w:p>
    <w:p w:rsidR="00B64909" w:rsidRDefault="00B64909" w:rsidP="00EB19CE"/>
    <w:p w:rsidR="001E2A47" w:rsidRPr="001E2A47" w:rsidRDefault="001E2A47" w:rsidP="001E2A47"/>
    <w:p w:rsidR="008D31EA" w:rsidRDefault="00C97723" w:rsidP="005E290D">
      <w:pPr>
        <w:pStyle w:val="ListParagraph"/>
        <w:numPr>
          <w:ilvl w:val="1"/>
          <w:numId w:val="1"/>
        </w:numPr>
        <w:spacing w:before="0" w:after="120"/>
        <w:jc w:val="both"/>
      </w:pPr>
      <w:r w:rsidRPr="00DC1376">
        <w:t xml:space="preserve">Table </w:t>
      </w:r>
      <w:r w:rsidR="00670524" w:rsidRPr="00DC1376">
        <w:t>9</w:t>
      </w:r>
      <w:r w:rsidRPr="00DC1376">
        <w:t xml:space="preserve"> provides a summary of the key drivers of the model</w:t>
      </w:r>
      <w:r w:rsidR="00670524" w:rsidRPr="00DC1376">
        <w:t>.</w:t>
      </w:r>
    </w:p>
    <w:p w:rsidR="00DA583E" w:rsidRDefault="00DA583E" w:rsidP="00DA583E">
      <w:pPr>
        <w:spacing w:before="0" w:after="120"/>
        <w:jc w:val="both"/>
      </w:pPr>
    </w:p>
    <w:p w:rsidR="00AE7F95" w:rsidRDefault="00AE7F95" w:rsidP="00AE7F95">
      <w:pPr>
        <w:pStyle w:val="Caption"/>
      </w:pPr>
      <w:r>
        <w:t xml:space="preserve">Table </w:t>
      </w:r>
      <w:r>
        <w:rPr>
          <w:noProof/>
        </w:rPr>
        <w:t>9</w:t>
      </w:r>
      <w:r w:rsidRPr="00F2490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80"/>
        <w:gridCol w:w="4141"/>
        <w:gridCol w:w="2661"/>
      </w:tblGrid>
      <w:tr w:rsidR="00EA4DA6" w:rsidRPr="0038281C" w:rsidTr="00870BC5">
        <w:trPr>
          <w:tblHeader/>
        </w:trPr>
        <w:tc>
          <w:tcPr>
            <w:tcW w:w="1255" w:type="pct"/>
            <w:shd w:val="clear" w:color="auto" w:fill="auto"/>
            <w:vAlign w:val="center"/>
          </w:tcPr>
          <w:p w:rsidR="00EA4DA6" w:rsidRPr="00D1078F" w:rsidRDefault="00EA4DA6" w:rsidP="00870BC5">
            <w:pPr>
              <w:pStyle w:val="TableText"/>
              <w:rPr>
                <w:b/>
              </w:rPr>
            </w:pPr>
            <w:r w:rsidRPr="00D1078F">
              <w:rPr>
                <w:b/>
              </w:rPr>
              <w:t>Description</w:t>
            </w:r>
          </w:p>
        </w:tc>
        <w:tc>
          <w:tcPr>
            <w:tcW w:w="2280" w:type="pct"/>
            <w:shd w:val="clear" w:color="auto" w:fill="auto"/>
            <w:vAlign w:val="center"/>
          </w:tcPr>
          <w:p w:rsidR="00EA4DA6" w:rsidRPr="00D1078F" w:rsidRDefault="00EA4DA6" w:rsidP="00870BC5">
            <w:pPr>
              <w:pStyle w:val="TableText"/>
              <w:rPr>
                <w:b/>
              </w:rPr>
            </w:pPr>
            <w:r w:rsidRPr="00D1078F">
              <w:rPr>
                <w:b/>
              </w:rPr>
              <w:t>Method/Value</w:t>
            </w:r>
          </w:p>
        </w:tc>
        <w:tc>
          <w:tcPr>
            <w:tcW w:w="1465" w:type="pct"/>
            <w:shd w:val="clear" w:color="auto" w:fill="auto"/>
            <w:vAlign w:val="center"/>
          </w:tcPr>
          <w:p w:rsidR="00EA4DA6" w:rsidRPr="00D1078F" w:rsidRDefault="00EA4DA6" w:rsidP="00870BC5">
            <w:pPr>
              <w:pStyle w:val="TableText"/>
              <w:rPr>
                <w:b/>
              </w:rPr>
            </w:pPr>
            <w:r w:rsidRPr="00D1078F">
              <w:rPr>
                <w:b/>
              </w:rPr>
              <w:t>Impact</w:t>
            </w:r>
          </w:p>
        </w:tc>
      </w:tr>
      <w:tr w:rsidR="00EA4DA6" w:rsidRPr="0038281C" w:rsidTr="00870BC5">
        <w:tc>
          <w:tcPr>
            <w:tcW w:w="1255" w:type="pct"/>
            <w:shd w:val="clear" w:color="auto" w:fill="auto"/>
            <w:vAlign w:val="center"/>
          </w:tcPr>
          <w:p w:rsidR="00EA4DA6" w:rsidRPr="00D1078F" w:rsidRDefault="00EA4DA6" w:rsidP="00870BC5">
            <w:pPr>
              <w:pStyle w:val="TableText"/>
            </w:pPr>
            <w:r>
              <w:t>Drug prices</w:t>
            </w:r>
          </w:p>
        </w:tc>
        <w:tc>
          <w:tcPr>
            <w:tcW w:w="2280" w:type="pct"/>
            <w:shd w:val="clear" w:color="auto" w:fill="auto"/>
            <w:vAlign w:val="center"/>
          </w:tcPr>
          <w:p w:rsidR="00EA4DA6" w:rsidRPr="00D1078F" w:rsidRDefault="00EA4DA6" w:rsidP="00870BC5">
            <w:pPr>
              <w:pStyle w:val="TableText"/>
            </w:pPr>
            <w:r>
              <w:t xml:space="preserve">The submission used published prices from November 2016. </w:t>
            </w:r>
            <w:r w:rsidRPr="00BD0C22">
              <w:t xml:space="preserve">The prices for many RA medicines including both adalimumab and </w:t>
            </w:r>
            <w:proofErr w:type="spellStart"/>
            <w:r w:rsidRPr="00BD0C22">
              <w:t>tofacitinib</w:t>
            </w:r>
            <w:proofErr w:type="spellEnd"/>
            <w:r w:rsidRPr="00BD0C22">
              <w:t xml:space="preserve"> have changed since then.</w:t>
            </w:r>
          </w:p>
        </w:tc>
        <w:tc>
          <w:tcPr>
            <w:tcW w:w="1465" w:type="pct"/>
            <w:shd w:val="clear" w:color="auto" w:fill="auto"/>
            <w:vAlign w:val="center"/>
          </w:tcPr>
          <w:p w:rsidR="00EA4DA6" w:rsidRPr="00D1078F" w:rsidRDefault="00EA4DA6" w:rsidP="00870BC5">
            <w:pPr>
              <w:pStyle w:val="TableText"/>
            </w:pPr>
            <w:r>
              <w:t>High, may favour baricitinib if baricitinib requested price remains consistent with Nov 2016 prices.</w:t>
            </w:r>
          </w:p>
        </w:tc>
      </w:tr>
      <w:tr w:rsidR="00EA4DA6" w:rsidRPr="0038281C" w:rsidTr="00870BC5">
        <w:tc>
          <w:tcPr>
            <w:tcW w:w="1255" w:type="pct"/>
            <w:shd w:val="clear" w:color="auto" w:fill="auto"/>
            <w:vAlign w:val="center"/>
          </w:tcPr>
          <w:p w:rsidR="00EA4DA6" w:rsidRPr="00D1078F" w:rsidRDefault="00EA4DA6" w:rsidP="00870BC5">
            <w:pPr>
              <w:pStyle w:val="TableText"/>
            </w:pPr>
            <w:r>
              <w:t>Adverse events</w:t>
            </w:r>
          </w:p>
        </w:tc>
        <w:tc>
          <w:tcPr>
            <w:tcW w:w="2280" w:type="pct"/>
            <w:shd w:val="clear" w:color="auto" w:fill="auto"/>
            <w:vAlign w:val="center"/>
          </w:tcPr>
          <w:p w:rsidR="00EA4DA6" w:rsidRPr="00D1078F" w:rsidRDefault="00EA4DA6" w:rsidP="00870BC5">
            <w:pPr>
              <w:pStyle w:val="TableText"/>
            </w:pPr>
            <w:r>
              <w:t>Not included in the base case</w:t>
            </w:r>
          </w:p>
        </w:tc>
        <w:tc>
          <w:tcPr>
            <w:tcW w:w="1465" w:type="pct"/>
            <w:shd w:val="clear" w:color="auto" w:fill="auto"/>
            <w:vAlign w:val="center"/>
          </w:tcPr>
          <w:p w:rsidR="00EA4DA6" w:rsidRPr="00D1078F" w:rsidRDefault="00EA4DA6" w:rsidP="00870BC5">
            <w:pPr>
              <w:pStyle w:val="TableText"/>
            </w:pPr>
            <w:r>
              <w:t>High, favours baricitinib</w:t>
            </w:r>
          </w:p>
        </w:tc>
      </w:tr>
      <w:tr w:rsidR="00EA4DA6" w:rsidRPr="0038281C" w:rsidTr="00870BC5">
        <w:tc>
          <w:tcPr>
            <w:tcW w:w="1255" w:type="pct"/>
            <w:shd w:val="clear" w:color="auto" w:fill="auto"/>
            <w:vAlign w:val="center"/>
          </w:tcPr>
          <w:p w:rsidR="00EA4DA6" w:rsidRPr="00D1078F" w:rsidRDefault="00EA4DA6" w:rsidP="00870BC5">
            <w:pPr>
              <w:pStyle w:val="TableText"/>
            </w:pPr>
            <w:r>
              <w:t>Hospitalisation costs</w:t>
            </w:r>
          </w:p>
        </w:tc>
        <w:tc>
          <w:tcPr>
            <w:tcW w:w="2280" w:type="pct"/>
            <w:shd w:val="clear" w:color="auto" w:fill="auto"/>
            <w:vAlign w:val="center"/>
          </w:tcPr>
          <w:p w:rsidR="00EA4DA6" w:rsidRPr="00D1078F" w:rsidRDefault="00EA4DA6" w:rsidP="00870BC5">
            <w:pPr>
              <w:pStyle w:val="TableText"/>
            </w:pPr>
            <w:r>
              <w:t>Derived from UK hospitalisation costs by HAQ score</w:t>
            </w:r>
          </w:p>
        </w:tc>
        <w:tc>
          <w:tcPr>
            <w:tcW w:w="1465" w:type="pct"/>
            <w:shd w:val="clear" w:color="auto" w:fill="auto"/>
            <w:vAlign w:val="center"/>
          </w:tcPr>
          <w:p w:rsidR="00EA4DA6" w:rsidRPr="00D1078F" w:rsidRDefault="00EA4DA6" w:rsidP="00870BC5">
            <w:pPr>
              <w:pStyle w:val="TableText"/>
            </w:pPr>
            <w:r>
              <w:t>Small, may favour baricitinib</w:t>
            </w:r>
          </w:p>
        </w:tc>
      </w:tr>
      <w:tr w:rsidR="00EA4DA6" w:rsidRPr="0038281C" w:rsidTr="00870BC5">
        <w:trPr>
          <w:trHeight w:val="170"/>
        </w:trPr>
        <w:tc>
          <w:tcPr>
            <w:tcW w:w="1255" w:type="pct"/>
            <w:shd w:val="clear" w:color="auto" w:fill="auto"/>
            <w:vAlign w:val="center"/>
          </w:tcPr>
          <w:p w:rsidR="00EA4DA6" w:rsidRPr="00D1078F" w:rsidRDefault="00EA4DA6" w:rsidP="00870BC5">
            <w:pPr>
              <w:pStyle w:val="TableText"/>
            </w:pPr>
            <w:r w:rsidRPr="0038281C">
              <w:t>Utilities</w:t>
            </w:r>
          </w:p>
        </w:tc>
        <w:tc>
          <w:tcPr>
            <w:tcW w:w="2280" w:type="pct"/>
            <w:shd w:val="clear" w:color="auto" w:fill="auto"/>
            <w:vAlign w:val="center"/>
          </w:tcPr>
          <w:p w:rsidR="00EA4DA6" w:rsidRDefault="00EA4DA6" w:rsidP="00870BC5">
            <w:pPr>
              <w:pStyle w:val="TableText"/>
            </w:pPr>
            <w:r>
              <w:t>Three-class mixture</w:t>
            </w:r>
            <w:r w:rsidR="004D041D">
              <w:t xml:space="preserve"> model Hernandez Alava (2012).</w:t>
            </w:r>
          </w:p>
          <w:p w:rsidR="00E6610D" w:rsidRPr="00D1078F" w:rsidRDefault="00E6610D" w:rsidP="00870BC5">
            <w:pPr>
              <w:pStyle w:val="TableText"/>
            </w:pPr>
            <w:r>
              <w:t xml:space="preserve">HAQ and </w:t>
            </w:r>
            <w:proofErr w:type="spellStart"/>
            <w:r>
              <w:t>HRQoL</w:t>
            </w:r>
            <w:proofErr w:type="spellEnd"/>
            <w:r>
              <w:t xml:space="preserve"> assumed to be flat until patient moves to palliative care.</w:t>
            </w:r>
          </w:p>
        </w:tc>
        <w:tc>
          <w:tcPr>
            <w:tcW w:w="1465" w:type="pct"/>
            <w:shd w:val="clear" w:color="auto" w:fill="auto"/>
            <w:vAlign w:val="center"/>
          </w:tcPr>
          <w:p w:rsidR="00EA4DA6" w:rsidRPr="00D1078F" w:rsidRDefault="00EA4DA6" w:rsidP="00870BC5">
            <w:pPr>
              <w:pStyle w:val="TableText"/>
            </w:pPr>
            <w:r>
              <w:t>Moderate, favours</w:t>
            </w:r>
            <w:r w:rsidRPr="00C81A12">
              <w:t xml:space="preserve"> </w:t>
            </w:r>
            <w:r>
              <w:t>baricitinib</w:t>
            </w:r>
          </w:p>
        </w:tc>
      </w:tr>
      <w:tr w:rsidR="00EA4DA6" w:rsidRPr="0038281C" w:rsidTr="00870BC5">
        <w:tc>
          <w:tcPr>
            <w:tcW w:w="1255" w:type="pct"/>
            <w:vMerge w:val="restart"/>
            <w:shd w:val="clear" w:color="auto" w:fill="auto"/>
            <w:vAlign w:val="center"/>
          </w:tcPr>
          <w:p w:rsidR="00EA4DA6" w:rsidDel="00DA576B" w:rsidRDefault="00EA4DA6" w:rsidP="00870BC5">
            <w:pPr>
              <w:pStyle w:val="TableText"/>
            </w:pPr>
            <w:r>
              <w:t>Effect estimates</w:t>
            </w:r>
          </w:p>
        </w:tc>
        <w:tc>
          <w:tcPr>
            <w:tcW w:w="2280" w:type="pct"/>
            <w:shd w:val="clear" w:color="auto" w:fill="auto"/>
            <w:vAlign w:val="center"/>
          </w:tcPr>
          <w:p w:rsidR="00EA4DA6" w:rsidRDefault="00FE787E" w:rsidP="00870BC5">
            <w:pPr>
              <w:pStyle w:val="TableText"/>
            </w:pPr>
            <w:r>
              <w:t xml:space="preserve">Trial based </w:t>
            </w:r>
            <w:r w:rsidR="00EA4DA6">
              <w:t>JADV ACR response rates</w:t>
            </w:r>
          </w:p>
        </w:tc>
        <w:tc>
          <w:tcPr>
            <w:tcW w:w="1465" w:type="pct"/>
            <w:shd w:val="clear" w:color="auto" w:fill="auto"/>
            <w:vAlign w:val="center"/>
          </w:tcPr>
          <w:p w:rsidR="00EA4DA6" w:rsidRDefault="00EA4DA6" w:rsidP="00870BC5">
            <w:pPr>
              <w:pStyle w:val="TableText"/>
            </w:pPr>
            <w:r>
              <w:t>Moderate, favours baricitinib</w:t>
            </w:r>
          </w:p>
        </w:tc>
      </w:tr>
      <w:tr w:rsidR="00EA4DA6" w:rsidRPr="0038281C" w:rsidTr="00870BC5">
        <w:tc>
          <w:tcPr>
            <w:tcW w:w="1255" w:type="pct"/>
            <w:vMerge/>
            <w:shd w:val="clear" w:color="auto" w:fill="auto"/>
            <w:vAlign w:val="center"/>
          </w:tcPr>
          <w:p w:rsidR="00EA4DA6" w:rsidRPr="0038281C" w:rsidRDefault="00EA4DA6" w:rsidP="00870BC5">
            <w:pPr>
              <w:pStyle w:val="TableText"/>
            </w:pPr>
          </w:p>
        </w:tc>
        <w:tc>
          <w:tcPr>
            <w:tcW w:w="2280" w:type="pct"/>
            <w:shd w:val="clear" w:color="auto" w:fill="auto"/>
            <w:vAlign w:val="center"/>
          </w:tcPr>
          <w:p w:rsidR="00EA4DA6" w:rsidRPr="00BD0C22" w:rsidRDefault="00EA4DA6" w:rsidP="00870BC5">
            <w:pPr>
              <w:pStyle w:val="TableText"/>
              <w:rPr>
                <w:i/>
              </w:rPr>
            </w:pPr>
            <w:r w:rsidRPr="00BD0C22">
              <w:rPr>
                <w:i/>
              </w:rPr>
              <w:t xml:space="preserve">Network Meta-Analysis ACR response rates </w:t>
            </w:r>
          </w:p>
        </w:tc>
        <w:tc>
          <w:tcPr>
            <w:tcW w:w="1465" w:type="pct"/>
            <w:shd w:val="clear" w:color="auto" w:fill="auto"/>
            <w:vAlign w:val="center"/>
          </w:tcPr>
          <w:p w:rsidR="00EA4DA6" w:rsidRPr="00BD0C22" w:rsidRDefault="00EA4DA6" w:rsidP="00870BC5">
            <w:pPr>
              <w:pStyle w:val="TableText"/>
              <w:rPr>
                <w:i/>
              </w:rPr>
            </w:pPr>
            <w:r w:rsidRPr="00BD0C22">
              <w:rPr>
                <w:i/>
              </w:rPr>
              <w:t>High, favours baricitinib</w:t>
            </w:r>
          </w:p>
        </w:tc>
      </w:tr>
      <w:tr w:rsidR="00EA4DA6" w:rsidRPr="00B446F2" w:rsidTr="00870BC5">
        <w:tc>
          <w:tcPr>
            <w:tcW w:w="1255" w:type="pct"/>
            <w:shd w:val="clear" w:color="auto" w:fill="auto"/>
            <w:vAlign w:val="center"/>
          </w:tcPr>
          <w:p w:rsidR="00EA4DA6" w:rsidRPr="00BD0C22" w:rsidRDefault="00EA4DA6" w:rsidP="00870BC5">
            <w:pPr>
              <w:pStyle w:val="TableText"/>
              <w:rPr>
                <w:i/>
              </w:rPr>
            </w:pPr>
            <w:r w:rsidRPr="00BD0C22">
              <w:rPr>
                <w:i/>
              </w:rPr>
              <w:t>Association of ACR and HAQ</w:t>
            </w:r>
          </w:p>
        </w:tc>
        <w:tc>
          <w:tcPr>
            <w:tcW w:w="2280" w:type="pct"/>
            <w:shd w:val="clear" w:color="auto" w:fill="auto"/>
            <w:vAlign w:val="center"/>
          </w:tcPr>
          <w:p w:rsidR="00EA4DA6" w:rsidRPr="00BD0C22" w:rsidRDefault="00FE787E" w:rsidP="004D041D">
            <w:pPr>
              <w:pStyle w:val="TableText"/>
              <w:rPr>
                <w:i/>
              </w:rPr>
            </w:pPr>
            <w:r w:rsidRPr="00BD0C22">
              <w:rPr>
                <w:i/>
              </w:rPr>
              <w:t>HAC parameters assumed based on the ACR score.</w:t>
            </w:r>
          </w:p>
        </w:tc>
        <w:tc>
          <w:tcPr>
            <w:tcW w:w="1465" w:type="pct"/>
            <w:shd w:val="clear" w:color="auto" w:fill="auto"/>
            <w:vAlign w:val="center"/>
          </w:tcPr>
          <w:p w:rsidR="00EA4DA6" w:rsidRPr="00BD0C22" w:rsidRDefault="00FE787E" w:rsidP="00870BC5">
            <w:pPr>
              <w:pStyle w:val="TableText"/>
              <w:rPr>
                <w:i/>
              </w:rPr>
            </w:pPr>
            <w:r w:rsidRPr="00BD0C22">
              <w:rPr>
                <w:i/>
              </w:rPr>
              <w:t>Uncertain</w:t>
            </w:r>
          </w:p>
        </w:tc>
      </w:tr>
      <w:tr w:rsidR="00EA4DA6" w:rsidRPr="0038281C" w:rsidTr="00870BC5">
        <w:tc>
          <w:tcPr>
            <w:tcW w:w="1255" w:type="pct"/>
            <w:shd w:val="clear" w:color="auto" w:fill="auto"/>
            <w:vAlign w:val="center"/>
          </w:tcPr>
          <w:p w:rsidR="00EA4DA6" w:rsidDel="00DA576B" w:rsidRDefault="00EA4DA6" w:rsidP="00870BC5">
            <w:pPr>
              <w:pStyle w:val="TableText"/>
            </w:pPr>
            <w:r>
              <w:t>Treatment persistence</w:t>
            </w:r>
          </w:p>
        </w:tc>
        <w:tc>
          <w:tcPr>
            <w:tcW w:w="2280" w:type="pct"/>
            <w:shd w:val="clear" w:color="auto" w:fill="auto"/>
            <w:vAlign w:val="center"/>
          </w:tcPr>
          <w:p w:rsidR="00EA4DA6" w:rsidRDefault="00EA4DA6" w:rsidP="00E6610D">
            <w:pPr>
              <w:pStyle w:val="TableText"/>
            </w:pPr>
            <w:r>
              <w:t>Persistence following ACR50 or ACR70 appears to be based on aggregate persistence and so underestimates duration of therapy whilst retaining the benefits.</w:t>
            </w:r>
          </w:p>
        </w:tc>
        <w:tc>
          <w:tcPr>
            <w:tcW w:w="1465" w:type="pct"/>
            <w:shd w:val="clear" w:color="auto" w:fill="auto"/>
            <w:vAlign w:val="center"/>
          </w:tcPr>
          <w:p w:rsidR="00EA4DA6" w:rsidRDefault="00EA4DA6" w:rsidP="00870BC5">
            <w:pPr>
              <w:pStyle w:val="TableText"/>
            </w:pPr>
            <w:r>
              <w:t xml:space="preserve">Moderate/High, favours </w:t>
            </w:r>
            <w:r w:rsidR="00E3654C">
              <w:t>baricitinib</w:t>
            </w:r>
          </w:p>
        </w:tc>
      </w:tr>
    </w:tbl>
    <w:p w:rsidR="00EA4DA6" w:rsidRPr="0034068C" w:rsidRDefault="00EA4DA6" w:rsidP="00EA4DA6">
      <w:pPr>
        <w:pStyle w:val="TableFooter"/>
      </w:pPr>
      <w:r w:rsidRPr="00D1078F">
        <w:t>Source: compiled during the evaluation</w:t>
      </w:r>
    </w:p>
    <w:p w:rsidR="00BD3ECE" w:rsidRDefault="0034068C" w:rsidP="005E290D">
      <w:pPr>
        <w:pStyle w:val="ListParagraph"/>
        <w:numPr>
          <w:ilvl w:val="1"/>
          <w:numId w:val="1"/>
        </w:numPr>
        <w:spacing w:before="0" w:after="120"/>
        <w:jc w:val="both"/>
      </w:pPr>
      <w:r w:rsidRPr="00DC1376">
        <w:t xml:space="preserve">Table </w:t>
      </w:r>
      <w:r w:rsidR="002A2038" w:rsidRPr="00DC1376">
        <w:t>10</w:t>
      </w:r>
      <w:r w:rsidRPr="00DC1376">
        <w:t xml:space="preserve"> present</w:t>
      </w:r>
      <w:r w:rsidR="004D041D">
        <w:t>s</w:t>
      </w:r>
      <w:r w:rsidRPr="00DC1376">
        <w:t xml:space="preserve"> the results of the economic evaluation</w:t>
      </w:r>
      <w:r w:rsidR="00B75105" w:rsidRPr="00DC1376">
        <w:t>.</w:t>
      </w:r>
    </w:p>
    <w:p w:rsidR="00DA583E" w:rsidRPr="00DC1376" w:rsidRDefault="00DA583E" w:rsidP="00DA583E">
      <w:pPr>
        <w:spacing w:before="0" w:after="120"/>
        <w:jc w:val="both"/>
      </w:pPr>
    </w:p>
    <w:p w:rsidR="00AE7F95" w:rsidRDefault="00AE7F95" w:rsidP="00AE7F95">
      <w:pPr>
        <w:pStyle w:val="Caption"/>
      </w:pPr>
      <w:r>
        <w:t xml:space="preserve">Table </w:t>
      </w:r>
      <w:r>
        <w:rPr>
          <w:noProof/>
        </w:rPr>
        <w:t>10</w:t>
      </w:r>
      <w:r w:rsidRPr="00526828">
        <w:t>: Results of the base case of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9"/>
        <w:gridCol w:w="1144"/>
        <w:gridCol w:w="2018"/>
        <w:gridCol w:w="2018"/>
        <w:gridCol w:w="2053"/>
      </w:tblGrid>
      <w:tr w:rsidR="00BD3ECE" w:rsidRPr="00DC1376" w:rsidTr="00670524">
        <w:tc>
          <w:tcPr>
            <w:tcW w:w="1648" w:type="pct"/>
            <w:gridSpan w:val="2"/>
          </w:tcPr>
          <w:p w:rsidR="00BD3ECE" w:rsidRPr="00DC1376" w:rsidRDefault="00BD3ECE" w:rsidP="00BD3ECE">
            <w:pPr>
              <w:pStyle w:val="TableText"/>
              <w:rPr>
                <w:b/>
              </w:rPr>
            </w:pPr>
            <w:r w:rsidRPr="00DC1376">
              <w:rPr>
                <w:b/>
              </w:rPr>
              <w:t>Component</w:t>
            </w:r>
          </w:p>
        </w:tc>
        <w:tc>
          <w:tcPr>
            <w:tcW w:w="1111" w:type="pct"/>
            <w:vAlign w:val="center"/>
          </w:tcPr>
          <w:p w:rsidR="00BD3ECE" w:rsidRPr="00DC1376" w:rsidRDefault="00BD3ECE" w:rsidP="00B75105">
            <w:pPr>
              <w:pStyle w:val="TableText"/>
              <w:jc w:val="center"/>
              <w:rPr>
                <w:b/>
              </w:rPr>
            </w:pPr>
            <w:r w:rsidRPr="00DC1376">
              <w:rPr>
                <w:b/>
              </w:rPr>
              <w:t>Baricitinib sequence</w:t>
            </w:r>
          </w:p>
        </w:tc>
        <w:tc>
          <w:tcPr>
            <w:tcW w:w="1111" w:type="pct"/>
            <w:vAlign w:val="center"/>
          </w:tcPr>
          <w:p w:rsidR="00BD3ECE" w:rsidRPr="00DC1376" w:rsidRDefault="00BD3ECE" w:rsidP="00B75105">
            <w:pPr>
              <w:pStyle w:val="TableText"/>
              <w:jc w:val="center"/>
              <w:rPr>
                <w:b/>
              </w:rPr>
            </w:pPr>
            <w:r w:rsidRPr="00DC1376">
              <w:rPr>
                <w:b/>
              </w:rPr>
              <w:t>Adalimumab sequence</w:t>
            </w:r>
          </w:p>
        </w:tc>
        <w:tc>
          <w:tcPr>
            <w:tcW w:w="1130" w:type="pct"/>
            <w:vAlign w:val="center"/>
          </w:tcPr>
          <w:p w:rsidR="00BD3ECE" w:rsidRPr="00DC1376" w:rsidRDefault="00BD3ECE" w:rsidP="00B75105">
            <w:pPr>
              <w:pStyle w:val="TableText"/>
              <w:jc w:val="center"/>
              <w:rPr>
                <w:b/>
              </w:rPr>
            </w:pPr>
            <w:r w:rsidRPr="00DC1376">
              <w:rPr>
                <w:b/>
              </w:rPr>
              <w:t>Increment</w:t>
            </w:r>
          </w:p>
        </w:tc>
      </w:tr>
      <w:tr w:rsidR="00670524" w:rsidRPr="00DC1376" w:rsidTr="00670524">
        <w:tc>
          <w:tcPr>
            <w:tcW w:w="5000" w:type="pct"/>
            <w:gridSpan w:val="5"/>
            <w:vAlign w:val="center"/>
          </w:tcPr>
          <w:p w:rsidR="00670524" w:rsidRPr="00DC1376" w:rsidRDefault="00670524" w:rsidP="00670524">
            <w:pPr>
              <w:pStyle w:val="TableText"/>
              <w:rPr>
                <w:rFonts w:eastAsia="Times New Roman" w:cs="Times New Roman"/>
                <w:b/>
                <w:color w:val="000000"/>
              </w:rPr>
            </w:pPr>
            <w:r w:rsidRPr="00DC1376">
              <w:rPr>
                <w:rFonts w:eastAsia="Times New Roman" w:cs="Times New Roman"/>
                <w:b/>
                <w:color w:val="000000"/>
              </w:rPr>
              <w:t>Base case</w:t>
            </w:r>
          </w:p>
        </w:tc>
      </w:tr>
      <w:tr w:rsidR="00BD3ECE" w:rsidRPr="00DC1376" w:rsidTr="00670524">
        <w:tc>
          <w:tcPr>
            <w:tcW w:w="1648" w:type="pct"/>
            <w:gridSpan w:val="2"/>
          </w:tcPr>
          <w:p w:rsidR="00BD3ECE" w:rsidRPr="00DC1376" w:rsidRDefault="00BD3ECE" w:rsidP="00BD3ECE">
            <w:pPr>
              <w:pStyle w:val="TableText"/>
            </w:pPr>
            <w:r w:rsidRPr="00DC1376">
              <w:t>Costs</w:t>
            </w:r>
          </w:p>
        </w:tc>
        <w:tc>
          <w:tcPr>
            <w:tcW w:w="1111" w:type="pct"/>
            <w:vAlign w:val="center"/>
          </w:tcPr>
          <w:p w:rsidR="00BD3ECE" w:rsidRPr="00DC1376" w:rsidRDefault="00BD3ECE" w:rsidP="00B75105">
            <w:pPr>
              <w:pStyle w:val="TableText"/>
              <w:jc w:val="center"/>
            </w:pPr>
            <w:r w:rsidRPr="00DC1376">
              <w:rPr>
                <w:rFonts w:eastAsia="Times New Roman" w:cs="Times New Roman"/>
                <w:color w:val="000000"/>
              </w:rPr>
              <w:t>$</w:t>
            </w:r>
            <w:r w:rsidR="006D0B68">
              <w:rPr>
                <w:rFonts w:eastAsia="Times New Roman" w:cs="Times New Roman"/>
                <w:noProof/>
                <w:color w:val="000000"/>
                <w:highlight w:val="black"/>
              </w:rPr>
              <w:t>'''''''''''''''</w:t>
            </w:r>
          </w:p>
        </w:tc>
        <w:tc>
          <w:tcPr>
            <w:tcW w:w="1111" w:type="pct"/>
            <w:vAlign w:val="center"/>
          </w:tcPr>
          <w:p w:rsidR="00BD3ECE" w:rsidRPr="00DC1376" w:rsidRDefault="00BD3ECE" w:rsidP="00B75105">
            <w:pPr>
              <w:pStyle w:val="TableText"/>
              <w:jc w:val="center"/>
            </w:pPr>
            <w:r w:rsidRPr="00DC1376">
              <w:rPr>
                <w:rFonts w:eastAsia="Times New Roman" w:cs="Times New Roman"/>
                <w:color w:val="000000"/>
              </w:rPr>
              <w:t>$</w:t>
            </w:r>
            <w:r w:rsidR="006D0B68">
              <w:rPr>
                <w:rFonts w:eastAsia="Times New Roman" w:cs="Times New Roman"/>
                <w:noProof/>
                <w:color w:val="000000"/>
                <w:highlight w:val="black"/>
              </w:rPr>
              <w:t>'''''''''''''''''</w:t>
            </w:r>
          </w:p>
        </w:tc>
        <w:tc>
          <w:tcPr>
            <w:tcW w:w="1130" w:type="pct"/>
            <w:vAlign w:val="center"/>
          </w:tcPr>
          <w:p w:rsidR="00BD3ECE" w:rsidRPr="00DC1376" w:rsidRDefault="00BD3ECE" w:rsidP="00B75105">
            <w:pPr>
              <w:pStyle w:val="TableText"/>
              <w:jc w:val="center"/>
            </w:pPr>
            <w:r w:rsidRPr="00DC1376">
              <w:rPr>
                <w:rFonts w:eastAsia="Times New Roman" w:cs="Times New Roman"/>
                <w:color w:val="000000"/>
              </w:rPr>
              <w:t>$</w:t>
            </w:r>
            <w:r w:rsidR="006D0B68">
              <w:rPr>
                <w:rFonts w:eastAsia="Times New Roman" w:cs="Times New Roman"/>
                <w:noProof/>
                <w:color w:val="000000"/>
                <w:highlight w:val="black"/>
              </w:rPr>
              <w:t>'''''''''</w:t>
            </w:r>
          </w:p>
        </w:tc>
      </w:tr>
      <w:tr w:rsidR="00BD3ECE" w:rsidRPr="00DC1376" w:rsidTr="00AE7F95">
        <w:tc>
          <w:tcPr>
            <w:tcW w:w="1018" w:type="pct"/>
            <w:vMerge w:val="restart"/>
            <w:vAlign w:val="center"/>
          </w:tcPr>
          <w:p w:rsidR="00BD3ECE" w:rsidRPr="00DC1376" w:rsidRDefault="00BD3ECE" w:rsidP="00670524">
            <w:pPr>
              <w:pStyle w:val="TableText"/>
              <w:rPr>
                <w:rFonts w:ascii="Times" w:eastAsia="Times New Roman" w:hAnsi="Times" w:cs="Times New Roman"/>
              </w:rPr>
            </w:pPr>
            <w:r w:rsidRPr="00DC1376">
              <w:t>Effectiveness</w:t>
            </w:r>
          </w:p>
        </w:tc>
        <w:tc>
          <w:tcPr>
            <w:tcW w:w="629" w:type="pct"/>
          </w:tcPr>
          <w:p w:rsidR="00BD3ECE" w:rsidRPr="00DC1376" w:rsidRDefault="00BD3ECE" w:rsidP="00BD3ECE">
            <w:pPr>
              <w:pStyle w:val="TableText"/>
              <w:rPr>
                <w:rFonts w:ascii="Times" w:eastAsia="Times New Roman" w:hAnsi="Times" w:cs="Times New Roman"/>
              </w:rPr>
            </w:pPr>
            <w:r w:rsidRPr="00DC1376">
              <w:t>Life years</w:t>
            </w:r>
          </w:p>
        </w:tc>
        <w:tc>
          <w:tcPr>
            <w:tcW w:w="1111" w:type="pct"/>
            <w:vAlign w:val="center"/>
          </w:tcPr>
          <w:p w:rsidR="00BD3ECE" w:rsidRPr="00DC1376" w:rsidRDefault="00BD3ECE" w:rsidP="00B75105">
            <w:pPr>
              <w:pStyle w:val="TableText"/>
              <w:jc w:val="center"/>
            </w:pPr>
            <w:r w:rsidRPr="00DC1376">
              <w:t>4.29</w:t>
            </w:r>
          </w:p>
        </w:tc>
        <w:tc>
          <w:tcPr>
            <w:tcW w:w="1111" w:type="pct"/>
            <w:vAlign w:val="center"/>
          </w:tcPr>
          <w:p w:rsidR="00BD3ECE" w:rsidRPr="00DC1376" w:rsidRDefault="00BD3ECE" w:rsidP="00B75105">
            <w:pPr>
              <w:pStyle w:val="TableText"/>
              <w:jc w:val="center"/>
            </w:pPr>
            <w:r w:rsidRPr="00DC1376">
              <w:t>4.29</w:t>
            </w:r>
          </w:p>
        </w:tc>
        <w:tc>
          <w:tcPr>
            <w:tcW w:w="1130" w:type="pct"/>
            <w:vAlign w:val="center"/>
          </w:tcPr>
          <w:p w:rsidR="00BD3ECE" w:rsidRPr="00DC1376" w:rsidRDefault="00BD3ECE" w:rsidP="00B75105">
            <w:pPr>
              <w:pStyle w:val="TableText"/>
              <w:jc w:val="center"/>
            </w:pPr>
            <w:r w:rsidRPr="00DC1376">
              <w:t>0</w:t>
            </w:r>
          </w:p>
        </w:tc>
      </w:tr>
      <w:tr w:rsidR="00BD3ECE" w:rsidRPr="00DC1376" w:rsidTr="00AE7F95">
        <w:trPr>
          <w:trHeight w:val="90"/>
        </w:trPr>
        <w:tc>
          <w:tcPr>
            <w:tcW w:w="1018" w:type="pct"/>
            <w:vMerge/>
          </w:tcPr>
          <w:p w:rsidR="00BD3ECE" w:rsidRPr="00DC1376" w:rsidRDefault="00BD3ECE" w:rsidP="00BD3ECE">
            <w:pPr>
              <w:pStyle w:val="TableText"/>
            </w:pPr>
          </w:p>
        </w:tc>
        <w:tc>
          <w:tcPr>
            <w:tcW w:w="629" w:type="pct"/>
          </w:tcPr>
          <w:p w:rsidR="00BD3ECE" w:rsidRPr="00DC1376" w:rsidRDefault="00BD3ECE" w:rsidP="00BD3ECE">
            <w:pPr>
              <w:pStyle w:val="TableText"/>
              <w:rPr>
                <w:rFonts w:ascii="Times" w:eastAsia="Times New Roman" w:hAnsi="Times" w:cs="Times New Roman"/>
              </w:rPr>
            </w:pPr>
            <w:r w:rsidRPr="00DC1376">
              <w:t>QALYs</w:t>
            </w:r>
          </w:p>
        </w:tc>
        <w:tc>
          <w:tcPr>
            <w:tcW w:w="1111" w:type="pct"/>
            <w:vAlign w:val="center"/>
          </w:tcPr>
          <w:p w:rsidR="00BD3ECE" w:rsidRPr="00DC1376" w:rsidRDefault="00BD3ECE" w:rsidP="00B75105">
            <w:pPr>
              <w:pStyle w:val="TableText"/>
              <w:jc w:val="center"/>
            </w:pPr>
            <w:r w:rsidRPr="00DC1376">
              <w:t>2.11</w:t>
            </w:r>
          </w:p>
        </w:tc>
        <w:tc>
          <w:tcPr>
            <w:tcW w:w="1111" w:type="pct"/>
            <w:vAlign w:val="center"/>
          </w:tcPr>
          <w:p w:rsidR="00BD3ECE" w:rsidRPr="00DC1376" w:rsidRDefault="00BD3ECE" w:rsidP="00B75105">
            <w:pPr>
              <w:pStyle w:val="TableText"/>
              <w:jc w:val="center"/>
            </w:pPr>
            <w:r w:rsidRPr="00DC1376">
              <w:t>2.10</w:t>
            </w:r>
          </w:p>
        </w:tc>
        <w:tc>
          <w:tcPr>
            <w:tcW w:w="1130" w:type="pct"/>
            <w:vAlign w:val="center"/>
          </w:tcPr>
          <w:p w:rsidR="00BD3ECE" w:rsidRPr="00DC1376" w:rsidRDefault="00BD3ECE" w:rsidP="00B75105">
            <w:pPr>
              <w:pStyle w:val="TableText"/>
              <w:jc w:val="center"/>
            </w:pPr>
            <w:r w:rsidRPr="00DC1376">
              <w:t>0.01</w:t>
            </w:r>
          </w:p>
        </w:tc>
      </w:tr>
      <w:tr w:rsidR="00BD3ECE" w:rsidRPr="00DC1376" w:rsidTr="00B75105">
        <w:tc>
          <w:tcPr>
            <w:tcW w:w="3870" w:type="pct"/>
            <w:gridSpan w:val="4"/>
          </w:tcPr>
          <w:p w:rsidR="00BD3ECE" w:rsidRPr="00DC1376" w:rsidRDefault="00BD3ECE" w:rsidP="00BD3ECE">
            <w:pPr>
              <w:pStyle w:val="TableText"/>
              <w:rPr>
                <w:rFonts w:ascii="Times" w:eastAsia="Times New Roman" w:hAnsi="Times" w:cs="Times New Roman"/>
              </w:rPr>
            </w:pPr>
            <w:r w:rsidRPr="00DC1376">
              <w:t>Incremental cost/extra QALY gained</w:t>
            </w:r>
          </w:p>
        </w:tc>
        <w:tc>
          <w:tcPr>
            <w:tcW w:w="1130" w:type="pct"/>
            <w:vAlign w:val="center"/>
          </w:tcPr>
          <w:p w:rsidR="00BD3ECE" w:rsidRPr="00DC1376" w:rsidRDefault="00BD3ECE" w:rsidP="00B75105">
            <w:pPr>
              <w:pStyle w:val="TableText"/>
              <w:jc w:val="center"/>
              <w:rPr>
                <w:rFonts w:ascii="Times" w:eastAsia="Times New Roman" w:hAnsi="Times" w:cs="Times New Roman"/>
              </w:rPr>
            </w:pPr>
            <w:r w:rsidRPr="00DC1376">
              <w:t>$</w:t>
            </w:r>
            <w:r w:rsidR="006D0B68">
              <w:rPr>
                <w:noProof/>
                <w:color w:val="000000"/>
                <w:highlight w:val="black"/>
              </w:rPr>
              <w:t>''''''''''''''''</w:t>
            </w:r>
          </w:p>
        </w:tc>
      </w:tr>
    </w:tbl>
    <w:p w:rsidR="00AC48A7" w:rsidRPr="00DC1376" w:rsidRDefault="00BD3ECE" w:rsidP="00BD3ECE">
      <w:pPr>
        <w:pStyle w:val="TableFooter"/>
      </w:pPr>
      <w:r w:rsidRPr="00DC1376">
        <w:t>Source</w:t>
      </w:r>
      <w:r w:rsidRPr="00E6610D">
        <w:t xml:space="preserve">: </w:t>
      </w:r>
      <w:r w:rsidRPr="00BD0C22">
        <w:t>Table 3.8.3</w:t>
      </w:r>
      <w:r w:rsidRPr="00E6610D">
        <w:t>, p190 of the s</w:t>
      </w:r>
      <w:r w:rsidR="004D041D">
        <w:t>ubmission.</w:t>
      </w:r>
    </w:p>
    <w:p w:rsidR="00BD3ECE" w:rsidRPr="00DC1376" w:rsidRDefault="00BD3ECE" w:rsidP="00D1078F">
      <w:pPr>
        <w:pStyle w:val="TableFooter"/>
      </w:pPr>
      <w:r w:rsidRPr="00DC1376">
        <w:t>QALY = quality-adjusted life year</w:t>
      </w:r>
    </w:p>
    <w:p w:rsidR="00670524" w:rsidRPr="00DC1376" w:rsidRDefault="00E6610D" w:rsidP="005E290D">
      <w:pPr>
        <w:pStyle w:val="ListParagraph"/>
        <w:numPr>
          <w:ilvl w:val="1"/>
          <w:numId w:val="1"/>
        </w:numPr>
        <w:spacing w:before="0" w:after="120"/>
        <w:jc w:val="both"/>
      </w:pPr>
      <w:r w:rsidRPr="00117E10">
        <w:t xml:space="preserve">The </w:t>
      </w:r>
      <w:r w:rsidR="00F675EA" w:rsidRPr="00117E10">
        <w:t xml:space="preserve">ESC </w:t>
      </w:r>
      <w:r w:rsidRPr="00117E10">
        <w:t>noted that</w:t>
      </w:r>
      <w:r w:rsidR="00670524" w:rsidRPr="00DC1376">
        <w:t xml:space="preserve"> the base case of the modelled economic evaluation presented by the </w:t>
      </w:r>
      <w:r w:rsidR="00127F2A" w:rsidRPr="00DC1376">
        <w:t>submission</w:t>
      </w:r>
      <w:r w:rsidR="00882A4A" w:rsidRPr="00DC1376">
        <w:t xml:space="preserve"> with</w:t>
      </w:r>
      <w:r w:rsidR="00127F2A" w:rsidRPr="00DC1376">
        <w:t xml:space="preserve"> </w:t>
      </w:r>
      <w:r w:rsidR="00882A4A" w:rsidRPr="00DC1376">
        <w:t>an</w:t>
      </w:r>
      <w:r w:rsidR="00127F2A" w:rsidRPr="00DC1376">
        <w:t xml:space="preserve"> estimated </w:t>
      </w:r>
      <w:r w:rsidR="00ED4394" w:rsidRPr="00DC1376">
        <w:t xml:space="preserve">ICER of </w:t>
      </w:r>
      <w:r w:rsidR="005B355F">
        <w:t>$15,000/QALY - $45,000/QALY</w:t>
      </w:r>
      <w:r w:rsidR="00127F2A" w:rsidRPr="00DC1376">
        <w:t xml:space="preserve"> was consistent with </w:t>
      </w:r>
      <w:proofErr w:type="spellStart"/>
      <w:r w:rsidR="00127F2A" w:rsidRPr="00DC1376">
        <w:t>tofac</w:t>
      </w:r>
      <w:r w:rsidR="00F16C0D" w:rsidRPr="00DC1376">
        <w:t>i</w:t>
      </w:r>
      <w:r w:rsidR="00127F2A" w:rsidRPr="00DC1376">
        <w:t>tinib</w:t>
      </w:r>
      <w:proofErr w:type="spellEnd"/>
      <w:r w:rsidR="00127F2A" w:rsidRPr="00DC1376">
        <w:t xml:space="preserve"> as the therapy that would be replaced. Comparable ICERs were estimated from ‘Alternative analyses 1 and 2’.</w:t>
      </w:r>
      <w:r w:rsidRPr="00E6610D">
        <w:t xml:space="preserve"> </w:t>
      </w:r>
      <w:r>
        <w:t>A</w:t>
      </w:r>
      <w:r w:rsidRPr="00DC1376">
        <w:t xml:space="preserve">ltering the base case to </w:t>
      </w:r>
      <w:r w:rsidR="002C6E05">
        <w:t>be</w:t>
      </w:r>
      <w:r w:rsidRPr="00DC1376">
        <w:t xml:space="preserve"> more consistent with </w:t>
      </w:r>
      <w:r w:rsidR="002C6E05" w:rsidRPr="00DC1376">
        <w:t xml:space="preserve">adalimumab </w:t>
      </w:r>
      <w:r w:rsidR="002C6E05">
        <w:t xml:space="preserve">being </w:t>
      </w:r>
      <w:r w:rsidRPr="00DC1376">
        <w:t xml:space="preserve">the nominated comparator (the submission’s sensitivity analysis for treatment sequence) led to baricitinib being dominated. </w:t>
      </w:r>
      <w:r w:rsidR="002C6E05">
        <w:t>Further, t</w:t>
      </w:r>
      <w:r w:rsidR="00127F2A" w:rsidRPr="00DC1376">
        <w:t xml:space="preserve">he submission’s sensitivity analysis (which assumed substitution of adalimumab with baricitinib) </w:t>
      </w:r>
      <w:r w:rsidR="004D041D">
        <w:t xml:space="preserve">resulted in an ICER of </w:t>
      </w:r>
      <w:r w:rsidR="005B355F">
        <w:t>$45,000/QALY - $75,000/QALY</w:t>
      </w:r>
      <w:r w:rsidR="004D041D">
        <w:t>.</w:t>
      </w:r>
    </w:p>
    <w:p w:rsidR="00882A4A" w:rsidRPr="00DC1376" w:rsidRDefault="00882A4A" w:rsidP="005E290D">
      <w:pPr>
        <w:pStyle w:val="ListParagraph"/>
        <w:numPr>
          <w:ilvl w:val="1"/>
          <w:numId w:val="1"/>
        </w:numPr>
        <w:spacing w:before="0" w:after="120"/>
        <w:jc w:val="both"/>
      </w:pPr>
      <w:r w:rsidRPr="00DC1376">
        <w:t>The model was only marginally sensitive to changing the assumption that baricitinib was more effective than adalimumab in the base case treatment sequence</w:t>
      </w:r>
      <w:r w:rsidR="00E6610D">
        <w:t>.</w:t>
      </w:r>
      <w:r w:rsidR="006C29E8">
        <w:t xml:space="preserve"> </w:t>
      </w:r>
      <w:r w:rsidR="00E6610D">
        <w:t>However</w:t>
      </w:r>
      <w:r w:rsidR="00E6610D" w:rsidRPr="00DC1376">
        <w:t>, when no differences in effectiveness were assumed for baricitinib and adalimumab, baricitinib was dominated.</w:t>
      </w:r>
    </w:p>
    <w:p w:rsidR="00BD3ECE" w:rsidRDefault="00BD3ECE" w:rsidP="005E290D">
      <w:pPr>
        <w:pStyle w:val="ListParagraph"/>
        <w:numPr>
          <w:ilvl w:val="1"/>
          <w:numId w:val="1"/>
        </w:numPr>
        <w:spacing w:before="0" w:after="120"/>
        <w:jc w:val="both"/>
      </w:pPr>
      <w:r w:rsidRPr="00DC1376">
        <w:t xml:space="preserve">The submission stated that the intention of the analysis was to demonstrate that baricitinib is acceptably cost-effective compared to adalimumab at the PBS price applying in November 2016, prior to changes relating to the addition of new and unrelated indications. PBS </w:t>
      </w:r>
      <w:r w:rsidR="00321375" w:rsidRPr="00DC1376">
        <w:t>published dispensed</w:t>
      </w:r>
      <w:r w:rsidRPr="00DC1376">
        <w:t xml:space="preserve"> prices reviewed on </w:t>
      </w:r>
      <w:r w:rsidR="005249D1">
        <w:t xml:space="preserve">14 </w:t>
      </w:r>
      <w:r w:rsidRPr="00DC1376">
        <w:t xml:space="preserve">April 2017 were </w:t>
      </w:r>
      <w:r w:rsidRPr="007C3458">
        <w:t xml:space="preserve">significantly different to those presented in the submission. </w:t>
      </w:r>
      <w:r w:rsidR="00E741F3" w:rsidRPr="007C3458">
        <w:t>The ESC noted that u</w:t>
      </w:r>
      <w:r w:rsidRPr="007C3458">
        <w:t xml:space="preserve">pdating the </w:t>
      </w:r>
      <w:r w:rsidR="00127F2A" w:rsidRPr="007C3458">
        <w:t xml:space="preserve">base case of the </w:t>
      </w:r>
      <w:r w:rsidRPr="007C3458">
        <w:t xml:space="preserve">model to reflect current </w:t>
      </w:r>
      <w:r w:rsidR="00321375" w:rsidRPr="007C3458">
        <w:t>published dispensed</w:t>
      </w:r>
      <w:r w:rsidRPr="007C3458">
        <w:t xml:space="preserve"> prices </w:t>
      </w:r>
      <w:r w:rsidR="00127F2A" w:rsidRPr="007C3458">
        <w:t xml:space="preserve">for the comparators, but maintaining the price assumed for baricitinib </w:t>
      </w:r>
      <w:r w:rsidR="00127F2A" w:rsidRPr="00A3464A">
        <w:t>($</w:t>
      </w:r>
      <w:r w:rsidR="006D0B68">
        <w:rPr>
          <w:noProof/>
          <w:color w:val="000000"/>
          <w:highlight w:val="black"/>
        </w:rPr>
        <w:t>''''''''''''''''''</w:t>
      </w:r>
      <w:r w:rsidR="00127F2A" w:rsidRPr="00A3464A">
        <w:t>),</w:t>
      </w:r>
      <w:r w:rsidR="00127F2A" w:rsidRPr="007C3458">
        <w:t xml:space="preserve"> resulted in an ICER of </w:t>
      </w:r>
      <w:r w:rsidR="005B355F">
        <w:t>more than $200,000/QALY</w:t>
      </w:r>
      <w:r w:rsidR="004C0090" w:rsidRPr="007C3458">
        <w:t xml:space="preserve"> (assuming that the published prices for the comparators reflect the actual prices paid for those drugs for RA)</w:t>
      </w:r>
      <w:r w:rsidRPr="007C3458">
        <w:t>.</w:t>
      </w:r>
    </w:p>
    <w:p w:rsidR="002C6E05" w:rsidRPr="007C3458" w:rsidRDefault="002C6E05" w:rsidP="005249D1">
      <w:pPr>
        <w:pStyle w:val="ListParagraph"/>
        <w:numPr>
          <w:ilvl w:val="1"/>
          <w:numId w:val="1"/>
        </w:numPr>
        <w:spacing w:before="0" w:after="0"/>
        <w:ind w:left="578" w:hanging="578"/>
        <w:jc w:val="both"/>
      </w:pPr>
      <w:r w:rsidRPr="007C3458">
        <w:t>The ESC also noted the following issues with the model:</w:t>
      </w:r>
    </w:p>
    <w:p w:rsidR="002C6E05" w:rsidRPr="007C3458" w:rsidRDefault="002C6E05" w:rsidP="005249D1">
      <w:pPr>
        <w:pStyle w:val="ListParagraph"/>
        <w:numPr>
          <w:ilvl w:val="0"/>
          <w:numId w:val="10"/>
        </w:numPr>
        <w:spacing w:before="0" w:after="0"/>
        <w:ind w:left="1134"/>
        <w:jc w:val="both"/>
      </w:pPr>
      <w:r w:rsidRPr="007C3458">
        <w:t xml:space="preserve">The model was dependent on the assumption that </w:t>
      </w:r>
      <w:r w:rsidR="00E3654C" w:rsidRPr="007C3458">
        <w:t>baricitinib</w:t>
      </w:r>
      <w:r w:rsidRPr="007C3458">
        <w:t xml:space="preserve"> was more effective than </w:t>
      </w:r>
      <w:proofErr w:type="spellStart"/>
      <w:r w:rsidRPr="007C3458">
        <w:t>tofacitinib</w:t>
      </w:r>
      <w:proofErr w:type="spellEnd"/>
      <w:r w:rsidRPr="007C3458">
        <w:t xml:space="preserve">, which was not adequately supported by the data presented. This favoured </w:t>
      </w:r>
      <w:r w:rsidR="00E3654C" w:rsidRPr="007C3458">
        <w:t>baricitinib</w:t>
      </w:r>
      <w:r w:rsidRPr="007C3458">
        <w:t>.</w:t>
      </w:r>
    </w:p>
    <w:p w:rsidR="002C6E05" w:rsidRPr="007C3458" w:rsidRDefault="002C6E05" w:rsidP="005249D1">
      <w:pPr>
        <w:pStyle w:val="ListParagraph"/>
        <w:numPr>
          <w:ilvl w:val="0"/>
          <w:numId w:val="10"/>
        </w:numPr>
        <w:spacing w:before="0" w:after="0"/>
        <w:ind w:left="1134"/>
        <w:jc w:val="both"/>
      </w:pPr>
      <w:r w:rsidRPr="007C3458">
        <w:t xml:space="preserve">The allocation of different estimates of effectiveness for </w:t>
      </w:r>
      <w:r w:rsidR="00E741F3" w:rsidRPr="007C3458">
        <w:t xml:space="preserve">subsequent </w:t>
      </w:r>
      <w:proofErr w:type="spellStart"/>
      <w:r w:rsidR="00E741F3" w:rsidRPr="007C3458">
        <w:t>bDMARD</w:t>
      </w:r>
      <w:proofErr w:type="spellEnd"/>
      <w:r w:rsidR="00E741F3" w:rsidRPr="007C3458">
        <w:t xml:space="preserve"> therapies was not appropriate, given that these have all been listed on the basis of non-inferiority. The ESC considered that the PSCR</w:t>
      </w:r>
      <w:r w:rsidR="005249D1">
        <w:t>’</w:t>
      </w:r>
      <w:r w:rsidR="00E741F3" w:rsidRPr="007C3458">
        <w:t>s argument (p3) that this was more realistic was inadequate and not supported by evidence.</w:t>
      </w:r>
    </w:p>
    <w:p w:rsidR="00E741F3" w:rsidRPr="007C3458" w:rsidRDefault="00E741F3" w:rsidP="005249D1">
      <w:pPr>
        <w:pStyle w:val="ListParagraph"/>
        <w:numPr>
          <w:ilvl w:val="0"/>
          <w:numId w:val="10"/>
        </w:numPr>
        <w:spacing w:before="0" w:after="0"/>
        <w:ind w:left="1134"/>
        <w:jc w:val="both"/>
      </w:pPr>
      <w:proofErr w:type="spellStart"/>
      <w:r w:rsidRPr="007C3458">
        <w:t>HRQoL</w:t>
      </w:r>
      <w:proofErr w:type="spellEnd"/>
      <w:r w:rsidRPr="007C3458">
        <w:t xml:space="preserve"> was based on ACR scores mapped to the HAQ, which cannot be verified. However, the reference cited to support this (Carlson et al, 2015) presents the parameter values and cites a clinical trial (</w:t>
      </w:r>
      <w:proofErr w:type="spellStart"/>
      <w:r w:rsidRPr="007C3458">
        <w:t>Gabay</w:t>
      </w:r>
      <w:proofErr w:type="spellEnd"/>
      <w:r w:rsidRPr="007C3458">
        <w:t xml:space="preserve"> et al, 2013), which provides no reference to HAQ effects by ACR. Further, no sensitivity analyses were performed.</w:t>
      </w:r>
    </w:p>
    <w:p w:rsidR="002C6E05" w:rsidRPr="007C3458" w:rsidRDefault="00E741F3" w:rsidP="005249D1">
      <w:pPr>
        <w:pStyle w:val="ListParagraph"/>
        <w:numPr>
          <w:ilvl w:val="0"/>
          <w:numId w:val="10"/>
        </w:numPr>
        <w:spacing w:before="0" w:after="0"/>
        <w:ind w:left="1134"/>
        <w:jc w:val="both"/>
      </w:pPr>
      <w:r w:rsidRPr="007C3458">
        <w:t>The d</w:t>
      </w:r>
      <w:r w:rsidR="002C6E05" w:rsidRPr="007C3458">
        <w:t xml:space="preserve">uration of time on therapy following ACR50 or ACR70 is extrapolated from a curve that reports aggregate treatment persistence (i.e. including &lt;ACR50). If </w:t>
      </w:r>
      <w:r w:rsidRPr="007C3458">
        <w:t xml:space="preserve">this was </w:t>
      </w:r>
      <w:r w:rsidR="002C6E05" w:rsidRPr="007C3458">
        <w:t>not calibrated</w:t>
      </w:r>
      <w:r w:rsidRPr="007C3458">
        <w:t xml:space="preserve"> to account for the persistence in patients with &lt;ACR50</w:t>
      </w:r>
      <w:r w:rsidR="006C29E8" w:rsidRPr="007C3458">
        <w:t xml:space="preserve"> (which is unclear)</w:t>
      </w:r>
      <w:r w:rsidR="002C6E05" w:rsidRPr="007C3458">
        <w:t xml:space="preserve">, it is </w:t>
      </w:r>
      <w:r w:rsidRPr="007C3458">
        <w:t>likely that this would</w:t>
      </w:r>
      <w:r w:rsidR="002C6E05" w:rsidRPr="007C3458">
        <w:t xml:space="preserve"> favour baricitinib because patients maintain the estimated </w:t>
      </w:r>
      <w:proofErr w:type="spellStart"/>
      <w:r w:rsidR="002C6E05" w:rsidRPr="007C3458">
        <w:t>HRQoL</w:t>
      </w:r>
      <w:proofErr w:type="spellEnd"/>
      <w:r w:rsidR="002C6E05" w:rsidRPr="007C3458">
        <w:t xml:space="preserve"> effects, whilst switching to a cheaper therapy</w:t>
      </w:r>
      <w:r w:rsidRPr="007C3458">
        <w:t xml:space="preserve"> earlier</w:t>
      </w:r>
      <w:r w:rsidR="002C6E05" w:rsidRPr="007C3458">
        <w:t>.</w:t>
      </w:r>
      <w:r w:rsidR="002C6E05" w:rsidRPr="007C3458">
        <w:rPr>
          <w:szCs w:val="24"/>
        </w:rPr>
        <w:t xml:space="preserve"> No sensitivity analyses </w:t>
      </w:r>
      <w:r w:rsidRPr="007C3458">
        <w:rPr>
          <w:szCs w:val="24"/>
        </w:rPr>
        <w:t>we</w:t>
      </w:r>
      <w:r w:rsidR="002C6E05" w:rsidRPr="007C3458">
        <w:rPr>
          <w:szCs w:val="24"/>
        </w:rPr>
        <w:t>re presented on this parameter.</w:t>
      </w:r>
    </w:p>
    <w:p w:rsidR="002C6E05" w:rsidRPr="00E6718C" w:rsidRDefault="00E741F3" w:rsidP="005249D1">
      <w:pPr>
        <w:pStyle w:val="ListParagraph"/>
        <w:numPr>
          <w:ilvl w:val="0"/>
          <w:numId w:val="10"/>
        </w:numPr>
        <w:spacing w:before="0" w:after="0"/>
        <w:ind w:left="1134"/>
        <w:jc w:val="both"/>
      </w:pPr>
      <w:r w:rsidRPr="007C3458">
        <w:rPr>
          <w:szCs w:val="24"/>
        </w:rPr>
        <w:t xml:space="preserve">The base case did not </w:t>
      </w:r>
      <w:r w:rsidRPr="005249D1">
        <w:t>include</w:t>
      </w:r>
      <w:r w:rsidRPr="007C3458">
        <w:rPr>
          <w:szCs w:val="24"/>
        </w:rPr>
        <w:t xml:space="preserve"> adverse event costs for serious adverse events. The model was significantly sensitive to inclusion of these. The ESC noted that this may be relevant in light of the different rates of AEs between </w:t>
      </w:r>
      <w:r w:rsidR="00E3654C" w:rsidRPr="007C3458">
        <w:rPr>
          <w:szCs w:val="24"/>
        </w:rPr>
        <w:t>baricitinib</w:t>
      </w:r>
      <w:r w:rsidRPr="007C3458">
        <w:rPr>
          <w:szCs w:val="24"/>
        </w:rPr>
        <w:t xml:space="preserve"> and adalimumab observed in the trial data.</w:t>
      </w:r>
    </w:p>
    <w:p w:rsidR="00C317F3" w:rsidRPr="00A3464A" w:rsidRDefault="00C317F3" w:rsidP="00C846BE">
      <w:pPr>
        <w:pStyle w:val="Heading2"/>
      </w:pPr>
      <w:bookmarkStart w:id="20" w:name="_Toc413139283"/>
      <w:bookmarkStart w:id="21" w:name="_Toc482024936"/>
      <w:r w:rsidRPr="00436E07">
        <w:t>Drug cost/patient/</w:t>
      </w:r>
      <w:r w:rsidR="00871942" w:rsidRPr="00A3464A">
        <w:t>year</w:t>
      </w:r>
      <w:r w:rsidRPr="00A3464A">
        <w:t>: $</w:t>
      </w:r>
      <w:bookmarkEnd w:id="20"/>
      <w:bookmarkEnd w:id="21"/>
      <w:r w:rsidR="006D0B68">
        <w:rPr>
          <w:noProof/>
          <w:color w:val="000000"/>
          <w:highlight w:val="black"/>
        </w:rPr>
        <w:t>'''''''''''''</w:t>
      </w:r>
    </w:p>
    <w:p w:rsidR="00C317F3" w:rsidRPr="00DC1376" w:rsidRDefault="00D02CA9" w:rsidP="005E290D">
      <w:pPr>
        <w:pStyle w:val="ListParagraph"/>
        <w:numPr>
          <w:ilvl w:val="1"/>
          <w:numId w:val="1"/>
        </w:numPr>
        <w:spacing w:before="0" w:after="120"/>
        <w:jc w:val="both"/>
      </w:pPr>
      <w:r w:rsidRPr="00A3464A">
        <w:t xml:space="preserve">The total </w:t>
      </w:r>
      <w:r w:rsidR="003B11C0" w:rsidRPr="00A3464A">
        <w:t xml:space="preserve">published </w:t>
      </w:r>
      <w:r w:rsidRPr="00A3464A">
        <w:t>cost per year of baricitinib was $</w:t>
      </w:r>
      <w:r w:rsidR="006D0B68">
        <w:rPr>
          <w:noProof/>
          <w:color w:val="000000"/>
          <w:highlight w:val="black"/>
        </w:rPr>
        <w:t>''''''''''''''</w:t>
      </w:r>
      <w:r w:rsidRPr="00A3464A">
        <w:t xml:space="preserve"> based on a dosage of one 4</w:t>
      </w:r>
      <w:r w:rsidR="002C3922" w:rsidRPr="00A3464A">
        <w:t> </w:t>
      </w:r>
      <w:r w:rsidRPr="00A3464A">
        <w:t>mg tablet per day, a DPMQ of $</w:t>
      </w:r>
      <w:r w:rsidR="006D0B68">
        <w:rPr>
          <w:noProof/>
          <w:color w:val="000000"/>
          <w:highlight w:val="black"/>
        </w:rPr>
        <w:t>''''''''''''''''</w:t>
      </w:r>
      <w:r w:rsidRPr="00A3464A">
        <w:t xml:space="preserve"> and</w:t>
      </w:r>
      <w:r w:rsidRPr="00DC1376">
        <w:t xml:space="preserve"> a pack size of 28 tablets. The total annual cost of adalimumab was $21,907 based on a dosage of 40</w:t>
      </w:r>
      <w:r w:rsidR="002C3922">
        <w:t> </w:t>
      </w:r>
      <w:r w:rsidRPr="00DC1376">
        <w:t>mg weekly administered subcutaneously every week, a November 2016 DPMQ Of $1,679.35, and a pack size of 2 injections. Updating</w:t>
      </w:r>
      <w:r w:rsidR="0065209E" w:rsidRPr="00DC1376">
        <w:t xml:space="preserve"> the DPMQ of adalimuma</w:t>
      </w:r>
      <w:r w:rsidR="00845A9C" w:rsidRPr="00DC1376">
        <w:t>b</w:t>
      </w:r>
      <w:r w:rsidR="0034068C" w:rsidRPr="00DC1376">
        <w:t xml:space="preserve"> to the current published price ($1,401.30) </w:t>
      </w:r>
      <w:r w:rsidR="00F6211C" w:rsidRPr="00DC1376">
        <w:t>resulted in</w:t>
      </w:r>
      <w:r w:rsidRPr="00DC1376">
        <w:t xml:space="preserve"> an annual cost per patient of </w:t>
      </w:r>
      <w:r w:rsidR="0034068C" w:rsidRPr="00DC1376">
        <w:t>$18,279</w:t>
      </w:r>
      <w:r w:rsidR="00B75105" w:rsidRPr="00DC1376">
        <w:t>.</w:t>
      </w:r>
    </w:p>
    <w:p w:rsidR="00C317F3" w:rsidRPr="00436E07" w:rsidRDefault="00C317F3" w:rsidP="00C846BE">
      <w:pPr>
        <w:pStyle w:val="Heading2"/>
      </w:pPr>
      <w:bookmarkStart w:id="22" w:name="_Toc413139284"/>
      <w:bookmarkStart w:id="23" w:name="_Toc482024937"/>
      <w:r w:rsidRPr="00436E07">
        <w:t>Estimated PBS usage &amp; financial implications</w:t>
      </w:r>
      <w:bookmarkEnd w:id="22"/>
      <w:bookmarkEnd w:id="23"/>
    </w:p>
    <w:p w:rsidR="00C317F3" w:rsidRPr="00DC1376" w:rsidRDefault="00C317F3" w:rsidP="005E290D">
      <w:pPr>
        <w:pStyle w:val="ListParagraph"/>
        <w:numPr>
          <w:ilvl w:val="1"/>
          <w:numId w:val="1"/>
        </w:numPr>
        <w:spacing w:before="0" w:after="120"/>
        <w:jc w:val="both"/>
      </w:pPr>
      <w:r w:rsidRPr="00DC1376">
        <w:t xml:space="preserve">This submission </w:t>
      </w:r>
      <w:r w:rsidR="00E741F3">
        <w:t>was</w:t>
      </w:r>
      <w:r w:rsidR="00E741F3" w:rsidRPr="00DC1376">
        <w:t xml:space="preserve"> </w:t>
      </w:r>
      <w:r w:rsidRPr="00DC1376">
        <w:t>no</w:t>
      </w:r>
      <w:r w:rsidR="00B75105" w:rsidRPr="00DC1376">
        <w:t>t</w:t>
      </w:r>
      <w:r w:rsidR="00155776" w:rsidRPr="00DC1376">
        <w:t xml:space="preserve"> </w:t>
      </w:r>
      <w:r w:rsidRPr="00DC1376">
        <w:t>considered by DUSC</w:t>
      </w:r>
      <w:r w:rsidR="00B75105" w:rsidRPr="00DC1376">
        <w:t xml:space="preserve">. </w:t>
      </w:r>
      <w:r w:rsidR="00D02CA9" w:rsidRPr="00DC1376">
        <w:t>T</w:t>
      </w:r>
      <w:r w:rsidR="00891ADD" w:rsidRPr="00DC1376">
        <w:t>he submission’s financial estima</w:t>
      </w:r>
      <w:r w:rsidR="00D02CA9" w:rsidRPr="00DC1376">
        <w:t xml:space="preserve">tes were based on a market share approach using a 10% PBS sample of currently listed RA medicines to estimate total market growth as well as </w:t>
      </w:r>
      <w:r w:rsidR="0034068C" w:rsidRPr="00DC1376">
        <w:t>m</w:t>
      </w:r>
      <w:r w:rsidR="00D02CA9" w:rsidRPr="00DC1376">
        <w:t>arket share and market growth for individual RA medicines.</w:t>
      </w:r>
    </w:p>
    <w:p w:rsidR="0065209E" w:rsidRDefault="0065209E" w:rsidP="005E290D">
      <w:pPr>
        <w:pStyle w:val="ListParagraph"/>
        <w:numPr>
          <w:ilvl w:val="1"/>
          <w:numId w:val="1"/>
        </w:numPr>
        <w:spacing w:before="0" w:after="120"/>
        <w:jc w:val="both"/>
      </w:pPr>
      <w:r w:rsidRPr="00DC1376">
        <w:t>Table 1</w:t>
      </w:r>
      <w:r w:rsidR="002A2038" w:rsidRPr="00DC1376">
        <w:t>1</w:t>
      </w:r>
      <w:r w:rsidRPr="00DC1376">
        <w:t xml:space="preserve"> presents the estimated use and financial implications</w:t>
      </w:r>
      <w:r w:rsidR="00155776" w:rsidRPr="00DC1376">
        <w:t>.</w:t>
      </w:r>
    </w:p>
    <w:p w:rsidR="00DA583E" w:rsidRPr="00DC1376" w:rsidRDefault="00DA583E" w:rsidP="00DA583E">
      <w:pPr>
        <w:spacing w:before="0" w:after="120"/>
        <w:jc w:val="both"/>
      </w:pPr>
    </w:p>
    <w:p w:rsidR="00AE7F95" w:rsidRDefault="00AE7F95" w:rsidP="00AE7F95">
      <w:pPr>
        <w:pStyle w:val="Caption"/>
      </w:pPr>
      <w:r>
        <w:t xml:space="preserve">Table </w:t>
      </w:r>
      <w:r>
        <w:rPr>
          <w:noProof/>
        </w:rPr>
        <w:t>11</w:t>
      </w:r>
      <w:r w:rsidRPr="002B1CCB">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23"/>
        <w:gridCol w:w="1066"/>
        <w:gridCol w:w="1068"/>
        <w:gridCol w:w="1185"/>
        <w:gridCol w:w="1123"/>
        <w:gridCol w:w="1185"/>
        <w:gridCol w:w="1154"/>
      </w:tblGrid>
      <w:tr w:rsidR="00E37424" w:rsidRPr="00DC1376" w:rsidTr="00AE7F95">
        <w:trPr>
          <w:tblHeader/>
        </w:trPr>
        <w:tc>
          <w:tcPr>
            <w:tcW w:w="1265" w:type="pct"/>
            <w:shd w:val="clear" w:color="auto" w:fill="auto"/>
            <w:vAlign w:val="center"/>
          </w:tcPr>
          <w:p w:rsidR="00E37424" w:rsidRPr="00DC1376" w:rsidRDefault="00E37424" w:rsidP="00B75105">
            <w:pPr>
              <w:pStyle w:val="TableText"/>
            </w:pPr>
          </w:p>
        </w:tc>
        <w:tc>
          <w:tcPr>
            <w:tcW w:w="622" w:type="pct"/>
            <w:shd w:val="clear" w:color="auto" w:fill="auto"/>
            <w:vAlign w:val="center"/>
          </w:tcPr>
          <w:p w:rsidR="00E37424" w:rsidRPr="00DC1376" w:rsidRDefault="00E37424" w:rsidP="00B75105">
            <w:pPr>
              <w:pStyle w:val="TableText"/>
              <w:jc w:val="center"/>
              <w:rPr>
                <w:b/>
              </w:rPr>
            </w:pPr>
            <w:r w:rsidRPr="00DC1376">
              <w:rPr>
                <w:b/>
              </w:rPr>
              <w:t>Year 1</w:t>
            </w:r>
          </w:p>
        </w:tc>
        <w:tc>
          <w:tcPr>
            <w:tcW w:w="623" w:type="pct"/>
            <w:shd w:val="clear" w:color="auto" w:fill="auto"/>
            <w:vAlign w:val="center"/>
          </w:tcPr>
          <w:p w:rsidR="00E37424" w:rsidRPr="00DC1376" w:rsidRDefault="00E37424" w:rsidP="00B75105">
            <w:pPr>
              <w:pStyle w:val="TableText"/>
              <w:jc w:val="center"/>
              <w:rPr>
                <w:b/>
              </w:rPr>
            </w:pPr>
            <w:r w:rsidRPr="00DC1376">
              <w:rPr>
                <w:b/>
              </w:rPr>
              <w:t>Year 2</w:t>
            </w:r>
          </w:p>
        </w:tc>
        <w:tc>
          <w:tcPr>
            <w:tcW w:w="623" w:type="pct"/>
            <w:shd w:val="clear" w:color="auto" w:fill="auto"/>
            <w:vAlign w:val="center"/>
          </w:tcPr>
          <w:p w:rsidR="00E37424" w:rsidRPr="00DC1376" w:rsidRDefault="00E37424" w:rsidP="00B75105">
            <w:pPr>
              <w:pStyle w:val="TableText"/>
              <w:jc w:val="center"/>
              <w:rPr>
                <w:b/>
              </w:rPr>
            </w:pPr>
            <w:r w:rsidRPr="00DC1376">
              <w:rPr>
                <w:b/>
              </w:rPr>
              <w:t>Year 3</w:t>
            </w:r>
          </w:p>
        </w:tc>
        <w:tc>
          <w:tcPr>
            <w:tcW w:w="622" w:type="pct"/>
            <w:shd w:val="clear" w:color="auto" w:fill="auto"/>
            <w:vAlign w:val="center"/>
          </w:tcPr>
          <w:p w:rsidR="00E37424" w:rsidRPr="00DC1376" w:rsidRDefault="00E37424" w:rsidP="00B75105">
            <w:pPr>
              <w:pStyle w:val="TableText"/>
              <w:jc w:val="center"/>
              <w:rPr>
                <w:b/>
              </w:rPr>
            </w:pPr>
            <w:r w:rsidRPr="00DC1376">
              <w:rPr>
                <w:b/>
              </w:rPr>
              <w:t>Year 4</w:t>
            </w:r>
          </w:p>
        </w:tc>
        <w:tc>
          <w:tcPr>
            <w:tcW w:w="623" w:type="pct"/>
            <w:shd w:val="clear" w:color="auto" w:fill="auto"/>
            <w:vAlign w:val="center"/>
          </w:tcPr>
          <w:p w:rsidR="00E37424" w:rsidRPr="00DC1376" w:rsidRDefault="00E37424" w:rsidP="00B75105">
            <w:pPr>
              <w:pStyle w:val="TableText"/>
              <w:jc w:val="center"/>
              <w:rPr>
                <w:b/>
              </w:rPr>
            </w:pPr>
            <w:r w:rsidRPr="00DC1376">
              <w:rPr>
                <w:b/>
              </w:rPr>
              <w:t>Year 5</w:t>
            </w:r>
          </w:p>
        </w:tc>
        <w:tc>
          <w:tcPr>
            <w:tcW w:w="622" w:type="pct"/>
            <w:vAlign w:val="center"/>
          </w:tcPr>
          <w:p w:rsidR="00E37424" w:rsidRPr="00DC1376" w:rsidRDefault="00E37424" w:rsidP="00B75105">
            <w:pPr>
              <w:pStyle w:val="TableText"/>
              <w:jc w:val="center"/>
              <w:rPr>
                <w:b/>
              </w:rPr>
            </w:pPr>
            <w:r w:rsidRPr="00DC1376">
              <w:rPr>
                <w:b/>
              </w:rPr>
              <w:t>Year 6</w:t>
            </w:r>
          </w:p>
        </w:tc>
      </w:tr>
      <w:tr w:rsidR="00E37424" w:rsidRPr="00DC1376" w:rsidTr="00B75105">
        <w:tc>
          <w:tcPr>
            <w:tcW w:w="5000" w:type="pct"/>
            <w:gridSpan w:val="7"/>
            <w:shd w:val="clear" w:color="auto" w:fill="auto"/>
            <w:vAlign w:val="center"/>
          </w:tcPr>
          <w:p w:rsidR="00E37424" w:rsidRPr="00DC1376" w:rsidRDefault="00E37424" w:rsidP="00B75105">
            <w:pPr>
              <w:pStyle w:val="TableText"/>
              <w:rPr>
                <w:b/>
                <w:bCs/>
                <w:color w:val="000000"/>
              </w:rPr>
            </w:pPr>
            <w:r w:rsidRPr="00DC1376">
              <w:rPr>
                <w:b/>
                <w:bCs/>
                <w:color w:val="000000"/>
              </w:rPr>
              <w:t>Estimated extent of use</w:t>
            </w:r>
          </w:p>
        </w:tc>
      </w:tr>
      <w:tr w:rsidR="00A7336D" w:rsidRPr="00DC1376" w:rsidTr="00AE7F95">
        <w:tc>
          <w:tcPr>
            <w:tcW w:w="1265" w:type="pct"/>
            <w:shd w:val="clear" w:color="auto" w:fill="auto"/>
            <w:vAlign w:val="center"/>
          </w:tcPr>
          <w:p w:rsidR="00A7336D" w:rsidRPr="00DC1376" w:rsidRDefault="005C2DE3" w:rsidP="00B75105">
            <w:pPr>
              <w:pStyle w:val="TableText"/>
              <w:rPr>
                <w:rFonts w:ascii="Times" w:eastAsia="Times New Roman" w:hAnsi="Times" w:cs="Times New Roman"/>
              </w:rPr>
            </w:pPr>
            <w:r w:rsidRPr="00DC1376">
              <w:t xml:space="preserve">Number of </w:t>
            </w:r>
            <w:proofErr w:type="spellStart"/>
            <w:r w:rsidRPr="00DC1376">
              <w:t>b</w:t>
            </w:r>
            <w:r w:rsidR="00A7336D" w:rsidRPr="00DC1376">
              <w:t>DMARD</w:t>
            </w:r>
            <w:proofErr w:type="spellEnd"/>
            <w:r w:rsidR="00A7336D" w:rsidRPr="00DC1376">
              <w:t xml:space="preserve"> patients</w:t>
            </w:r>
          </w:p>
        </w:tc>
        <w:tc>
          <w:tcPr>
            <w:tcW w:w="622"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3"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3"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2"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3"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2" w:type="pct"/>
            <w:vAlign w:val="center"/>
          </w:tcPr>
          <w:p w:rsidR="00A7336D" w:rsidRPr="006D0B68" w:rsidRDefault="006D0B68" w:rsidP="00B75105">
            <w:pPr>
              <w:pStyle w:val="TableText"/>
              <w:jc w:val="center"/>
              <w:rPr>
                <w:bCs/>
                <w:color w:val="000000"/>
                <w:highlight w:val="black"/>
              </w:rPr>
            </w:pPr>
            <w:r>
              <w:rPr>
                <w:noProof/>
                <w:color w:val="000000"/>
                <w:highlight w:val="black"/>
              </w:rPr>
              <w:t>''''''''''''''''</w:t>
            </w:r>
          </w:p>
        </w:tc>
      </w:tr>
      <w:tr w:rsidR="009F4655" w:rsidRPr="00DC1376" w:rsidTr="00AE7F95">
        <w:tc>
          <w:tcPr>
            <w:tcW w:w="1265" w:type="pct"/>
            <w:shd w:val="clear" w:color="auto" w:fill="auto"/>
            <w:vAlign w:val="center"/>
          </w:tcPr>
          <w:p w:rsidR="009F4655" w:rsidRPr="00DC1376" w:rsidRDefault="005C2DE3" w:rsidP="00B75105">
            <w:pPr>
              <w:pStyle w:val="TableText"/>
            </w:pPr>
            <w:r w:rsidRPr="00DC1376">
              <w:t xml:space="preserve">Number of  </w:t>
            </w:r>
            <w:proofErr w:type="spellStart"/>
            <w:r w:rsidRPr="00DC1376">
              <w:t>b</w:t>
            </w:r>
            <w:r w:rsidR="009F4655" w:rsidRPr="00DC1376">
              <w:t>DMARD</w:t>
            </w:r>
            <w:proofErr w:type="spellEnd"/>
            <w:r w:rsidR="009F4655" w:rsidRPr="00DC1376">
              <w:t xml:space="preserve"> scripts</w:t>
            </w:r>
          </w:p>
        </w:tc>
        <w:tc>
          <w:tcPr>
            <w:tcW w:w="622" w:type="pct"/>
            <w:shd w:val="clear" w:color="auto" w:fill="auto"/>
            <w:vAlign w:val="center"/>
          </w:tcPr>
          <w:p w:rsidR="009F4655" w:rsidRPr="006D0B68" w:rsidRDefault="006D0B68" w:rsidP="00B75105">
            <w:pPr>
              <w:pStyle w:val="TableText"/>
              <w:jc w:val="center"/>
              <w:rPr>
                <w:bCs/>
                <w:color w:val="000000"/>
                <w:szCs w:val="20"/>
                <w:highlight w:val="black"/>
              </w:rPr>
            </w:pPr>
            <w:r>
              <w:rPr>
                <w:rFonts w:eastAsia="Times New Roman" w:cs="Arial"/>
                <w:bCs/>
                <w:noProof/>
                <w:color w:val="000000"/>
                <w:szCs w:val="20"/>
                <w:highlight w:val="black"/>
              </w:rPr>
              <w:t>'''''''''''''''''</w:t>
            </w:r>
          </w:p>
        </w:tc>
        <w:tc>
          <w:tcPr>
            <w:tcW w:w="623" w:type="pct"/>
            <w:shd w:val="clear" w:color="auto" w:fill="auto"/>
            <w:vAlign w:val="center"/>
          </w:tcPr>
          <w:p w:rsidR="009F4655" w:rsidRPr="006D0B68" w:rsidRDefault="006D0B68" w:rsidP="00B75105">
            <w:pPr>
              <w:pStyle w:val="TableText"/>
              <w:jc w:val="center"/>
              <w:rPr>
                <w:bCs/>
                <w:color w:val="000000"/>
                <w:szCs w:val="20"/>
                <w:highlight w:val="black"/>
              </w:rPr>
            </w:pPr>
            <w:r>
              <w:rPr>
                <w:rFonts w:eastAsia="Times New Roman" w:cs="Arial"/>
                <w:bCs/>
                <w:noProof/>
                <w:color w:val="000000"/>
                <w:szCs w:val="20"/>
                <w:highlight w:val="black"/>
              </w:rPr>
              <w:t>''''''''''''''''''''</w:t>
            </w:r>
          </w:p>
        </w:tc>
        <w:tc>
          <w:tcPr>
            <w:tcW w:w="623" w:type="pct"/>
            <w:shd w:val="clear" w:color="auto" w:fill="auto"/>
            <w:vAlign w:val="center"/>
          </w:tcPr>
          <w:p w:rsidR="009F4655" w:rsidRPr="006D0B68" w:rsidRDefault="006D0B68" w:rsidP="00B75105">
            <w:pPr>
              <w:pStyle w:val="TableText"/>
              <w:jc w:val="center"/>
              <w:rPr>
                <w:bCs/>
                <w:color w:val="000000"/>
                <w:szCs w:val="20"/>
                <w:highlight w:val="black"/>
              </w:rPr>
            </w:pPr>
            <w:r>
              <w:rPr>
                <w:rFonts w:eastAsia="Times New Roman" w:cs="Arial"/>
                <w:bCs/>
                <w:noProof/>
                <w:color w:val="000000"/>
                <w:szCs w:val="20"/>
                <w:highlight w:val="black"/>
              </w:rPr>
              <w:t>'''''''''''''''''''</w:t>
            </w:r>
          </w:p>
        </w:tc>
        <w:tc>
          <w:tcPr>
            <w:tcW w:w="622" w:type="pct"/>
            <w:shd w:val="clear" w:color="auto" w:fill="auto"/>
            <w:vAlign w:val="center"/>
          </w:tcPr>
          <w:p w:rsidR="009F4655" w:rsidRPr="006D0B68" w:rsidRDefault="006D0B68" w:rsidP="00B75105">
            <w:pPr>
              <w:pStyle w:val="TableText"/>
              <w:jc w:val="center"/>
              <w:rPr>
                <w:bCs/>
                <w:color w:val="000000"/>
                <w:szCs w:val="20"/>
                <w:highlight w:val="black"/>
              </w:rPr>
            </w:pPr>
            <w:r>
              <w:rPr>
                <w:rFonts w:eastAsia="Times New Roman" w:cs="Arial"/>
                <w:bCs/>
                <w:noProof/>
                <w:color w:val="000000"/>
                <w:szCs w:val="20"/>
                <w:highlight w:val="black"/>
              </w:rPr>
              <w:t>'''''''''''''''''''</w:t>
            </w:r>
          </w:p>
        </w:tc>
        <w:tc>
          <w:tcPr>
            <w:tcW w:w="623" w:type="pct"/>
            <w:shd w:val="clear" w:color="auto" w:fill="auto"/>
            <w:vAlign w:val="center"/>
          </w:tcPr>
          <w:p w:rsidR="009F4655" w:rsidRPr="006D0B68" w:rsidRDefault="006D0B68" w:rsidP="00B75105">
            <w:pPr>
              <w:pStyle w:val="TableText"/>
              <w:jc w:val="center"/>
              <w:rPr>
                <w:bCs/>
                <w:color w:val="000000"/>
                <w:szCs w:val="20"/>
                <w:highlight w:val="black"/>
              </w:rPr>
            </w:pPr>
            <w:r>
              <w:rPr>
                <w:rFonts w:eastAsia="Times New Roman" w:cs="Arial"/>
                <w:bCs/>
                <w:noProof/>
                <w:color w:val="000000"/>
                <w:szCs w:val="20"/>
                <w:highlight w:val="black"/>
              </w:rPr>
              <w:t>'''''''''''''''''''</w:t>
            </w:r>
          </w:p>
        </w:tc>
        <w:tc>
          <w:tcPr>
            <w:tcW w:w="622" w:type="pct"/>
            <w:vAlign w:val="center"/>
          </w:tcPr>
          <w:p w:rsidR="009F4655" w:rsidRPr="006D0B68" w:rsidRDefault="006D0B68" w:rsidP="00B75105">
            <w:pPr>
              <w:pStyle w:val="TableText"/>
              <w:jc w:val="center"/>
              <w:rPr>
                <w:bCs/>
                <w:color w:val="000000"/>
                <w:szCs w:val="20"/>
                <w:highlight w:val="black"/>
              </w:rPr>
            </w:pPr>
            <w:r>
              <w:rPr>
                <w:rFonts w:eastAsia="Times New Roman" w:cs="Arial"/>
                <w:bCs/>
                <w:noProof/>
                <w:color w:val="000000"/>
                <w:szCs w:val="20"/>
                <w:highlight w:val="black"/>
              </w:rPr>
              <w:t>''''''''''''''''''''''</w:t>
            </w:r>
          </w:p>
        </w:tc>
      </w:tr>
      <w:tr w:rsidR="009F4655" w:rsidRPr="00DC1376" w:rsidTr="00AE7F95">
        <w:tc>
          <w:tcPr>
            <w:tcW w:w="1265" w:type="pct"/>
            <w:shd w:val="clear" w:color="auto" w:fill="auto"/>
            <w:vAlign w:val="center"/>
          </w:tcPr>
          <w:p w:rsidR="009F4655" w:rsidRPr="00DC1376" w:rsidRDefault="009F4655" w:rsidP="00B75105">
            <w:pPr>
              <w:pStyle w:val="TableText"/>
            </w:pPr>
            <w:r w:rsidRPr="00DC1376">
              <w:t>Baricitinib</w:t>
            </w:r>
            <w:r w:rsidR="005C2DE3" w:rsidRPr="00DC1376">
              <w:t xml:space="preserve"> m</w:t>
            </w:r>
            <w:r w:rsidRPr="00DC1376">
              <w:t>arket share</w:t>
            </w:r>
          </w:p>
        </w:tc>
        <w:tc>
          <w:tcPr>
            <w:tcW w:w="622" w:type="pct"/>
            <w:shd w:val="clear" w:color="auto" w:fill="auto"/>
            <w:vAlign w:val="center"/>
          </w:tcPr>
          <w:p w:rsidR="009F4655" w:rsidRPr="00DC1376" w:rsidRDefault="006D0B68" w:rsidP="00B75105">
            <w:pPr>
              <w:pStyle w:val="TableText"/>
              <w:jc w:val="center"/>
              <w:rPr>
                <w:rFonts w:eastAsia="Times New Roman" w:cs="Arial"/>
                <w:bCs/>
                <w:szCs w:val="20"/>
              </w:rPr>
            </w:pPr>
            <w:r>
              <w:rPr>
                <w:rFonts w:eastAsia="Times New Roman" w:cs="Arial"/>
                <w:noProof/>
                <w:color w:val="000000"/>
                <w:szCs w:val="20"/>
                <w:highlight w:val="black"/>
              </w:rPr>
              <w:t>''''''''</w:t>
            </w:r>
            <w:r w:rsidR="009F4655" w:rsidRPr="00DC1376">
              <w:rPr>
                <w:rFonts w:eastAsia="Times New Roman" w:cs="Arial"/>
                <w:color w:val="000000"/>
                <w:szCs w:val="20"/>
              </w:rPr>
              <w:t>%</w:t>
            </w:r>
          </w:p>
        </w:tc>
        <w:tc>
          <w:tcPr>
            <w:tcW w:w="623" w:type="pct"/>
            <w:shd w:val="clear" w:color="auto" w:fill="auto"/>
            <w:vAlign w:val="center"/>
          </w:tcPr>
          <w:p w:rsidR="009F4655" w:rsidRPr="00DC1376" w:rsidRDefault="006D0B68" w:rsidP="00B75105">
            <w:pPr>
              <w:pStyle w:val="TableText"/>
              <w:jc w:val="center"/>
              <w:rPr>
                <w:rFonts w:eastAsia="Times New Roman" w:cs="Arial"/>
                <w:bCs/>
                <w:szCs w:val="20"/>
              </w:rPr>
            </w:pPr>
            <w:r>
              <w:rPr>
                <w:rFonts w:eastAsia="Times New Roman" w:cs="Arial"/>
                <w:noProof/>
                <w:color w:val="000000"/>
                <w:szCs w:val="20"/>
                <w:highlight w:val="black"/>
              </w:rPr>
              <w:t>''''''''''</w:t>
            </w:r>
            <w:r w:rsidR="009F4655" w:rsidRPr="00DC1376">
              <w:rPr>
                <w:rFonts w:eastAsia="Times New Roman" w:cs="Arial"/>
                <w:color w:val="000000"/>
                <w:szCs w:val="20"/>
              </w:rPr>
              <w:t>%</w:t>
            </w:r>
          </w:p>
        </w:tc>
        <w:tc>
          <w:tcPr>
            <w:tcW w:w="623" w:type="pct"/>
            <w:shd w:val="clear" w:color="auto" w:fill="auto"/>
            <w:vAlign w:val="center"/>
          </w:tcPr>
          <w:p w:rsidR="009F4655" w:rsidRPr="00DC1376" w:rsidRDefault="006D0B68" w:rsidP="00B75105">
            <w:pPr>
              <w:pStyle w:val="TableText"/>
              <w:jc w:val="center"/>
              <w:rPr>
                <w:rFonts w:eastAsia="Times New Roman" w:cs="Arial"/>
                <w:bCs/>
                <w:szCs w:val="20"/>
              </w:rPr>
            </w:pPr>
            <w:r>
              <w:rPr>
                <w:rFonts w:eastAsia="Times New Roman" w:cs="Arial"/>
                <w:noProof/>
                <w:color w:val="000000"/>
                <w:szCs w:val="20"/>
                <w:highlight w:val="black"/>
              </w:rPr>
              <w:t>'''''''''''</w:t>
            </w:r>
            <w:r w:rsidR="009F4655" w:rsidRPr="00DC1376">
              <w:rPr>
                <w:rFonts w:eastAsia="Times New Roman" w:cs="Arial"/>
                <w:color w:val="000000"/>
                <w:szCs w:val="20"/>
              </w:rPr>
              <w:t>%</w:t>
            </w:r>
          </w:p>
        </w:tc>
        <w:tc>
          <w:tcPr>
            <w:tcW w:w="622" w:type="pct"/>
            <w:shd w:val="clear" w:color="auto" w:fill="auto"/>
            <w:vAlign w:val="center"/>
          </w:tcPr>
          <w:p w:rsidR="009F4655" w:rsidRPr="00DC1376" w:rsidRDefault="006D0B68" w:rsidP="00B75105">
            <w:pPr>
              <w:pStyle w:val="TableText"/>
              <w:jc w:val="center"/>
              <w:rPr>
                <w:rFonts w:eastAsia="Times New Roman" w:cs="Arial"/>
                <w:bCs/>
                <w:szCs w:val="20"/>
              </w:rPr>
            </w:pPr>
            <w:r>
              <w:rPr>
                <w:rFonts w:eastAsia="Times New Roman" w:cs="Arial"/>
                <w:noProof/>
                <w:color w:val="000000"/>
                <w:szCs w:val="20"/>
                <w:highlight w:val="black"/>
              </w:rPr>
              <w:t>''''''''''</w:t>
            </w:r>
            <w:r w:rsidR="009F4655" w:rsidRPr="00DC1376">
              <w:rPr>
                <w:rFonts w:eastAsia="Times New Roman" w:cs="Arial"/>
                <w:color w:val="000000"/>
                <w:szCs w:val="20"/>
              </w:rPr>
              <w:t>%</w:t>
            </w:r>
          </w:p>
        </w:tc>
        <w:tc>
          <w:tcPr>
            <w:tcW w:w="623" w:type="pct"/>
            <w:shd w:val="clear" w:color="auto" w:fill="auto"/>
            <w:vAlign w:val="center"/>
          </w:tcPr>
          <w:p w:rsidR="009F4655" w:rsidRPr="00DC1376" w:rsidRDefault="006D0B68" w:rsidP="00B75105">
            <w:pPr>
              <w:pStyle w:val="TableText"/>
              <w:jc w:val="center"/>
              <w:rPr>
                <w:rFonts w:eastAsia="Times New Roman" w:cs="Arial"/>
                <w:bCs/>
                <w:szCs w:val="20"/>
              </w:rPr>
            </w:pPr>
            <w:r>
              <w:rPr>
                <w:rFonts w:eastAsia="Times New Roman" w:cs="Arial"/>
                <w:noProof/>
                <w:color w:val="000000"/>
                <w:szCs w:val="20"/>
                <w:highlight w:val="black"/>
              </w:rPr>
              <w:t>'''''''''''</w:t>
            </w:r>
            <w:r w:rsidR="009F4655" w:rsidRPr="00DC1376">
              <w:rPr>
                <w:rFonts w:eastAsia="Times New Roman" w:cs="Arial"/>
                <w:color w:val="000000"/>
                <w:szCs w:val="20"/>
              </w:rPr>
              <w:t>%</w:t>
            </w:r>
          </w:p>
        </w:tc>
        <w:tc>
          <w:tcPr>
            <w:tcW w:w="622" w:type="pct"/>
            <w:vAlign w:val="center"/>
          </w:tcPr>
          <w:p w:rsidR="009F4655" w:rsidRPr="00DC1376" w:rsidRDefault="006D0B68" w:rsidP="00B75105">
            <w:pPr>
              <w:pStyle w:val="TableText"/>
              <w:jc w:val="center"/>
              <w:rPr>
                <w:rFonts w:eastAsia="Times New Roman" w:cs="Arial"/>
                <w:bCs/>
                <w:szCs w:val="20"/>
              </w:rPr>
            </w:pPr>
            <w:r>
              <w:rPr>
                <w:rFonts w:eastAsia="Times New Roman" w:cs="Arial"/>
                <w:noProof/>
                <w:color w:val="000000"/>
                <w:szCs w:val="20"/>
                <w:highlight w:val="black"/>
              </w:rPr>
              <w:t>''''''''''</w:t>
            </w:r>
            <w:r w:rsidR="009F4655" w:rsidRPr="00DC1376">
              <w:rPr>
                <w:rFonts w:eastAsia="Times New Roman" w:cs="Arial"/>
                <w:color w:val="000000"/>
                <w:szCs w:val="20"/>
              </w:rPr>
              <w:t>%</w:t>
            </w:r>
          </w:p>
        </w:tc>
      </w:tr>
      <w:tr w:rsidR="00A7336D" w:rsidRPr="00DC1376" w:rsidTr="00AE7F95">
        <w:tc>
          <w:tcPr>
            <w:tcW w:w="1265" w:type="pct"/>
            <w:shd w:val="clear" w:color="auto" w:fill="auto"/>
            <w:vAlign w:val="center"/>
          </w:tcPr>
          <w:p w:rsidR="00A7336D" w:rsidRPr="00DC1376" w:rsidRDefault="003B11C0" w:rsidP="003B11C0">
            <w:pPr>
              <w:pStyle w:val="TableText"/>
              <w:rPr>
                <w:rFonts w:ascii="Times" w:eastAsia="Times New Roman" w:hAnsi="Times" w:cs="Times New Roman"/>
              </w:rPr>
            </w:pPr>
            <w:r>
              <w:t>Number of b</w:t>
            </w:r>
            <w:r w:rsidR="00A7336D" w:rsidRPr="00DC1376">
              <w:t>ari</w:t>
            </w:r>
            <w:r w:rsidR="005C2DE3" w:rsidRPr="00DC1376">
              <w:t>citinib</w:t>
            </w:r>
            <w:r w:rsidR="00A7336D" w:rsidRPr="00DC1376">
              <w:t xml:space="preserve"> scripts dispensed</w:t>
            </w:r>
          </w:p>
        </w:tc>
        <w:tc>
          <w:tcPr>
            <w:tcW w:w="622"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3"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3"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2"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3" w:type="pct"/>
            <w:shd w:val="clear" w:color="auto" w:fill="auto"/>
            <w:vAlign w:val="center"/>
          </w:tcPr>
          <w:p w:rsidR="00A7336D" w:rsidRPr="006D0B68" w:rsidRDefault="006D0B68" w:rsidP="00B75105">
            <w:pPr>
              <w:pStyle w:val="TableText"/>
              <w:jc w:val="center"/>
              <w:rPr>
                <w:bCs/>
                <w:color w:val="000000"/>
                <w:highlight w:val="black"/>
              </w:rPr>
            </w:pPr>
            <w:r>
              <w:rPr>
                <w:noProof/>
                <w:color w:val="000000"/>
                <w:highlight w:val="black"/>
              </w:rPr>
              <w:t>'''''''''''''''</w:t>
            </w:r>
          </w:p>
        </w:tc>
        <w:tc>
          <w:tcPr>
            <w:tcW w:w="622" w:type="pct"/>
            <w:vAlign w:val="center"/>
          </w:tcPr>
          <w:p w:rsidR="00A7336D" w:rsidRPr="006D0B68" w:rsidRDefault="006D0B68" w:rsidP="00B75105">
            <w:pPr>
              <w:pStyle w:val="TableText"/>
              <w:jc w:val="center"/>
              <w:rPr>
                <w:bCs/>
                <w:color w:val="000000"/>
                <w:highlight w:val="black"/>
              </w:rPr>
            </w:pPr>
            <w:r>
              <w:rPr>
                <w:noProof/>
                <w:color w:val="000000"/>
                <w:highlight w:val="black"/>
              </w:rPr>
              <w:t>'''''''''''''''''</w:t>
            </w:r>
          </w:p>
        </w:tc>
      </w:tr>
      <w:tr w:rsidR="00A7336D" w:rsidRPr="00DC1376" w:rsidTr="00B75105">
        <w:tc>
          <w:tcPr>
            <w:tcW w:w="5000" w:type="pct"/>
            <w:gridSpan w:val="7"/>
            <w:shd w:val="clear" w:color="auto" w:fill="auto"/>
            <w:vAlign w:val="center"/>
          </w:tcPr>
          <w:p w:rsidR="00A7336D" w:rsidRPr="00DC1376" w:rsidRDefault="00A7336D" w:rsidP="00B75105">
            <w:pPr>
              <w:pStyle w:val="TableText"/>
              <w:rPr>
                <w:b/>
                <w:bCs/>
                <w:color w:val="000000"/>
              </w:rPr>
            </w:pPr>
            <w:r w:rsidRPr="00DC1376">
              <w:rPr>
                <w:b/>
                <w:bCs/>
                <w:color w:val="000000"/>
              </w:rPr>
              <w:t xml:space="preserve">Estimated financial implications of </w:t>
            </w:r>
            <w:r w:rsidR="009F4655" w:rsidRPr="00DC1376">
              <w:rPr>
                <w:b/>
                <w:bCs/>
                <w:color w:val="000000"/>
              </w:rPr>
              <w:t>baricitinib</w:t>
            </w:r>
          </w:p>
        </w:tc>
      </w:tr>
      <w:tr w:rsidR="009F4655" w:rsidRPr="00DC1376" w:rsidTr="00AE7F95">
        <w:tc>
          <w:tcPr>
            <w:tcW w:w="1265" w:type="pct"/>
            <w:shd w:val="clear" w:color="auto" w:fill="auto"/>
            <w:vAlign w:val="center"/>
          </w:tcPr>
          <w:p w:rsidR="009F4655" w:rsidRPr="00DC1376" w:rsidRDefault="009F4655" w:rsidP="00B75105">
            <w:pPr>
              <w:pStyle w:val="TableText"/>
              <w:rPr>
                <w:rFonts w:ascii="Times" w:eastAsia="Times New Roman" w:hAnsi="Times" w:cs="Times New Roman"/>
              </w:rPr>
            </w:pPr>
            <w:r w:rsidRPr="00DC1376">
              <w:rPr>
                <w:sz w:val="19"/>
                <w:szCs w:val="19"/>
              </w:rPr>
              <w:t>Cost to PBS/RPBS</w:t>
            </w:r>
          </w:p>
        </w:tc>
        <w:tc>
          <w:tcPr>
            <w:tcW w:w="622"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r>
      <w:tr w:rsidR="009F4655" w:rsidRPr="00DC1376" w:rsidTr="00AE7F95">
        <w:tc>
          <w:tcPr>
            <w:tcW w:w="1265" w:type="pct"/>
            <w:shd w:val="clear" w:color="auto" w:fill="auto"/>
            <w:vAlign w:val="center"/>
          </w:tcPr>
          <w:p w:rsidR="009F4655" w:rsidRPr="00DC1376" w:rsidRDefault="00F604B3" w:rsidP="00B75105">
            <w:pPr>
              <w:pStyle w:val="TableText"/>
              <w:rPr>
                <w:sz w:val="19"/>
                <w:szCs w:val="19"/>
              </w:rPr>
            </w:pPr>
            <w:r w:rsidRPr="00DC1376">
              <w:rPr>
                <w:sz w:val="19"/>
                <w:szCs w:val="19"/>
              </w:rPr>
              <w:t>Co-payments</w:t>
            </w:r>
          </w:p>
        </w:tc>
        <w:tc>
          <w:tcPr>
            <w:tcW w:w="622"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r>
      <w:tr w:rsidR="009F4655" w:rsidRPr="00DC1376" w:rsidTr="00AE7F95">
        <w:tc>
          <w:tcPr>
            <w:tcW w:w="1265" w:type="pct"/>
            <w:shd w:val="clear" w:color="auto" w:fill="auto"/>
            <w:vAlign w:val="center"/>
          </w:tcPr>
          <w:p w:rsidR="009F4655" w:rsidRPr="00DC1376" w:rsidRDefault="009F4655" w:rsidP="00B75105">
            <w:pPr>
              <w:pStyle w:val="TableText"/>
              <w:rPr>
                <w:sz w:val="19"/>
                <w:szCs w:val="19"/>
              </w:rPr>
            </w:pPr>
            <w:r w:rsidRPr="00DC1376">
              <w:rPr>
                <w:sz w:val="19"/>
                <w:szCs w:val="19"/>
              </w:rPr>
              <w:t xml:space="preserve">Cost to PBS/RPBS less </w:t>
            </w:r>
            <w:r w:rsidR="00F604B3" w:rsidRPr="00DC1376">
              <w:rPr>
                <w:sz w:val="19"/>
                <w:szCs w:val="19"/>
              </w:rPr>
              <w:t>co-payments</w:t>
            </w:r>
          </w:p>
        </w:tc>
        <w:tc>
          <w:tcPr>
            <w:tcW w:w="622"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vAlign w:val="center"/>
          </w:tcPr>
          <w:p w:rsidR="009F4655" w:rsidRPr="00DC1376" w:rsidRDefault="009F4655"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r>
      <w:tr w:rsidR="00A7336D" w:rsidRPr="00DC1376" w:rsidTr="00B75105">
        <w:tc>
          <w:tcPr>
            <w:tcW w:w="5000" w:type="pct"/>
            <w:gridSpan w:val="7"/>
            <w:shd w:val="clear" w:color="auto" w:fill="auto"/>
            <w:vAlign w:val="center"/>
          </w:tcPr>
          <w:p w:rsidR="00A7336D" w:rsidRPr="00DC1376" w:rsidRDefault="00AF1595" w:rsidP="00B75105">
            <w:pPr>
              <w:pStyle w:val="TableText"/>
              <w:rPr>
                <w:bCs/>
                <w:color w:val="000000"/>
              </w:rPr>
            </w:pPr>
            <w:r w:rsidRPr="00DC1376">
              <w:rPr>
                <w:b/>
                <w:bCs/>
                <w:color w:val="000000"/>
              </w:rPr>
              <w:t>Cost offsets</w:t>
            </w:r>
            <w:r w:rsidR="00A7336D" w:rsidRPr="00DC1376">
              <w:rPr>
                <w:b/>
                <w:bCs/>
                <w:color w:val="000000"/>
              </w:rPr>
              <w:t xml:space="preserve"> </w:t>
            </w:r>
            <w:r w:rsidR="00891ADD" w:rsidRPr="00DC1376">
              <w:rPr>
                <w:b/>
                <w:bCs/>
                <w:color w:val="000000"/>
              </w:rPr>
              <w:t xml:space="preserve">of medicines </w:t>
            </w:r>
            <w:r w:rsidRPr="00DC1376">
              <w:rPr>
                <w:b/>
                <w:bCs/>
                <w:color w:val="000000"/>
              </w:rPr>
              <w:t>replaced by</w:t>
            </w:r>
            <w:r w:rsidR="00A7336D" w:rsidRPr="00DC1376">
              <w:rPr>
                <w:b/>
                <w:bCs/>
                <w:color w:val="000000"/>
              </w:rPr>
              <w:t xml:space="preserve"> </w:t>
            </w:r>
            <w:r w:rsidR="00891ADD" w:rsidRPr="00DC1376">
              <w:rPr>
                <w:b/>
                <w:bCs/>
                <w:color w:val="000000"/>
              </w:rPr>
              <w:t>baricitinib</w:t>
            </w:r>
          </w:p>
        </w:tc>
      </w:tr>
      <w:tr w:rsidR="0003698F" w:rsidRPr="00DC1376" w:rsidTr="00AE7F95">
        <w:tc>
          <w:tcPr>
            <w:tcW w:w="1265" w:type="pct"/>
            <w:shd w:val="clear" w:color="auto" w:fill="auto"/>
            <w:vAlign w:val="center"/>
          </w:tcPr>
          <w:p w:rsidR="0003698F" w:rsidRPr="00DC1376" w:rsidRDefault="0003698F" w:rsidP="00B75105">
            <w:pPr>
              <w:pStyle w:val="TableText"/>
              <w:rPr>
                <w:sz w:val="19"/>
                <w:szCs w:val="19"/>
              </w:rPr>
            </w:pPr>
            <w:r w:rsidRPr="00DC1376">
              <w:rPr>
                <w:sz w:val="19"/>
                <w:szCs w:val="19"/>
              </w:rPr>
              <w:t>Cost to PBS/RPBS</w:t>
            </w:r>
          </w:p>
        </w:tc>
        <w:tc>
          <w:tcPr>
            <w:tcW w:w="622"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r>
      <w:tr w:rsidR="0003698F" w:rsidRPr="00DC1376" w:rsidTr="00AE7F95">
        <w:tc>
          <w:tcPr>
            <w:tcW w:w="1265" w:type="pct"/>
            <w:shd w:val="clear" w:color="auto" w:fill="auto"/>
            <w:vAlign w:val="center"/>
          </w:tcPr>
          <w:p w:rsidR="0003698F" w:rsidRPr="00DC1376" w:rsidRDefault="00F604B3" w:rsidP="00B75105">
            <w:pPr>
              <w:pStyle w:val="TableText"/>
              <w:rPr>
                <w:sz w:val="19"/>
                <w:szCs w:val="19"/>
              </w:rPr>
            </w:pPr>
            <w:r w:rsidRPr="00DC1376">
              <w:rPr>
                <w:sz w:val="19"/>
                <w:szCs w:val="19"/>
              </w:rPr>
              <w:t>Co-payments</w:t>
            </w:r>
          </w:p>
        </w:tc>
        <w:tc>
          <w:tcPr>
            <w:tcW w:w="622"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r>
      <w:tr w:rsidR="0003698F" w:rsidRPr="00DC1376" w:rsidTr="00AE7F95">
        <w:tc>
          <w:tcPr>
            <w:tcW w:w="1265" w:type="pct"/>
            <w:shd w:val="clear" w:color="auto" w:fill="auto"/>
            <w:vAlign w:val="center"/>
          </w:tcPr>
          <w:p w:rsidR="0003698F" w:rsidRPr="00DC1376" w:rsidRDefault="0003698F" w:rsidP="00B75105">
            <w:pPr>
              <w:pStyle w:val="TableText"/>
              <w:rPr>
                <w:sz w:val="19"/>
                <w:szCs w:val="19"/>
              </w:rPr>
            </w:pPr>
            <w:r w:rsidRPr="00DC1376">
              <w:rPr>
                <w:sz w:val="19"/>
                <w:szCs w:val="19"/>
              </w:rPr>
              <w:t xml:space="preserve">Cost to PBS/RPBS less </w:t>
            </w:r>
            <w:r w:rsidR="00F604B3" w:rsidRPr="00DC1376">
              <w:rPr>
                <w:sz w:val="19"/>
                <w:szCs w:val="19"/>
              </w:rPr>
              <w:t>co-payments</w:t>
            </w:r>
          </w:p>
        </w:tc>
        <w:tc>
          <w:tcPr>
            <w:tcW w:w="622"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c>
          <w:tcPr>
            <w:tcW w:w="622" w:type="pct"/>
            <w:vAlign w:val="center"/>
          </w:tcPr>
          <w:p w:rsidR="0003698F" w:rsidRPr="00DC1376" w:rsidRDefault="0003698F" w:rsidP="00B75105">
            <w:pPr>
              <w:pStyle w:val="TableText"/>
              <w:jc w:val="center"/>
              <w:rPr>
                <w:bCs/>
                <w:szCs w:val="20"/>
              </w:rPr>
            </w:pPr>
            <w:r w:rsidRPr="00DC1376">
              <w:rPr>
                <w:rFonts w:eastAsia="Times New Roman" w:cs="Times New Roman"/>
                <w:szCs w:val="20"/>
              </w:rPr>
              <w:t>$</w:t>
            </w:r>
            <w:r w:rsidR="006D0B68">
              <w:rPr>
                <w:rFonts w:eastAsia="Times New Roman" w:cs="Times New Roman"/>
                <w:noProof/>
                <w:color w:val="000000"/>
                <w:szCs w:val="20"/>
                <w:highlight w:val="black"/>
              </w:rPr>
              <w:t>''''''''''''''''''''''''''''''</w:t>
            </w:r>
          </w:p>
        </w:tc>
      </w:tr>
      <w:tr w:rsidR="00A7336D" w:rsidRPr="00DC1376" w:rsidTr="00B75105">
        <w:tc>
          <w:tcPr>
            <w:tcW w:w="5000" w:type="pct"/>
            <w:gridSpan w:val="7"/>
            <w:shd w:val="clear" w:color="auto" w:fill="auto"/>
            <w:vAlign w:val="center"/>
          </w:tcPr>
          <w:p w:rsidR="00A7336D" w:rsidRPr="00DC1376" w:rsidRDefault="00A7336D" w:rsidP="00B75105">
            <w:pPr>
              <w:pStyle w:val="TableText"/>
              <w:rPr>
                <w:b/>
                <w:bCs/>
                <w:color w:val="000000"/>
              </w:rPr>
            </w:pPr>
            <w:r w:rsidRPr="00DC1376">
              <w:rPr>
                <w:b/>
                <w:bCs/>
                <w:color w:val="000000"/>
              </w:rPr>
              <w:t>Net financial implications</w:t>
            </w:r>
          </w:p>
        </w:tc>
      </w:tr>
      <w:tr w:rsidR="0003698F" w:rsidRPr="00DC1376" w:rsidTr="00AE7F95">
        <w:tc>
          <w:tcPr>
            <w:tcW w:w="1265" w:type="pct"/>
            <w:shd w:val="clear" w:color="auto" w:fill="auto"/>
            <w:vAlign w:val="center"/>
          </w:tcPr>
          <w:p w:rsidR="0003698F" w:rsidRPr="00DC1376" w:rsidRDefault="0003698F" w:rsidP="00B75105">
            <w:pPr>
              <w:pStyle w:val="TableText"/>
              <w:rPr>
                <w:sz w:val="19"/>
                <w:szCs w:val="19"/>
              </w:rPr>
            </w:pPr>
            <w:r w:rsidRPr="00DC1376">
              <w:rPr>
                <w:sz w:val="19"/>
                <w:szCs w:val="19"/>
              </w:rPr>
              <w:t>Net cost to PBS/RPBS</w:t>
            </w:r>
          </w:p>
        </w:tc>
        <w:tc>
          <w:tcPr>
            <w:tcW w:w="622"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2"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2" w:type="pct"/>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r>
      <w:tr w:rsidR="00A7336D" w:rsidRPr="00DC1376" w:rsidTr="00AE7F95">
        <w:tc>
          <w:tcPr>
            <w:tcW w:w="1265" w:type="pct"/>
            <w:shd w:val="clear" w:color="auto" w:fill="auto"/>
            <w:vAlign w:val="center"/>
          </w:tcPr>
          <w:p w:rsidR="00A7336D" w:rsidRPr="00DC1376" w:rsidRDefault="00A7336D" w:rsidP="00B75105">
            <w:pPr>
              <w:pStyle w:val="TableText"/>
              <w:rPr>
                <w:rFonts w:ascii="Times" w:eastAsia="Times New Roman" w:hAnsi="Times" w:cs="Times New Roman"/>
              </w:rPr>
            </w:pPr>
            <w:r w:rsidRPr="00DC1376">
              <w:rPr>
                <w:sz w:val="19"/>
                <w:szCs w:val="19"/>
              </w:rPr>
              <w:t>Net cost to MBS</w:t>
            </w:r>
            <w:r w:rsidR="005C2DE3" w:rsidRPr="00DC1376">
              <w:rPr>
                <w:sz w:val="19"/>
                <w:szCs w:val="19"/>
              </w:rPr>
              <w:t xml:space="preserve"> </w:t>
            </w:r>
            <w:r w:rsidRPr="00DC1376">
              <w:rPr>
                <w:sz w:val="19"/>
                <w:szCs w:val="19"/>
              </w:rPr>
              <w:t>other</w:t>
            </w:r>
          </w:p>
        </w:tc>
        <w:tc>
          <w:tcPr>
            <w:tcW w:w="622" w:type="pct"/>
            <w:shd w:val="clear" w:color="auto" w:fill="auto"/>
            <w:vAlign w:val="center"/>
          </w:tcPr>
          <w:p w:rsidR="00A7336D" w:rsidRPr="00DC1376" w:rsidRDefault="0003698F" w:rsidP="00B75105">
            <w:pPr>
              <w:pStyle w:val="TableText"/>
              <w:jc w:val="center"/>
              <w:rPr>
                <w:bCs/>
                <w:color w:val="000000"/>
              </w:rPr>
            </w:pPr>
            <w:r w:rsidRPr="00DC1376">
              <w:rPr>
                <w:bCs/>
                <w:color w:val="000000"/>
              </w:rPr>
              <w:t>$</w:t>
            </w:r>
            <w:r w:rsidR="006D0B68">
              <w:rPr>
                <w:bCs/>
                <w:noProof/>
                <w:color w:val="000000"/>
                <w:highlight w:val="black"/>
              </w:rPr>
              <w:t>'''</w:t>
            </w:r>
          </w:p>
        </w:tc>
        <w:tc>
          <w:tcPr>
            <w:tcW w:w="623" w:type="pct"/>
            <w:shd w:val="clear" w:color="auto" w:fill="auto"/>
            <w:vAlign w:val="center"/>
          </w:tcPr>
          <w:p w:rsidR="00A7336D" w:rsidRPr="00DC1376" w:rsidRDefault="0003698F" w:rsidP="00B75105">
            <w:pPr>
              <w:pStyle w:val="TableText"/>
              <w:jc w:val="center"/>
              <w:rPr>
                <w:bCs/>
                <w:color w:val="000000"/>
              </w:rPr>
            </w:pPr>
            <w:r w:rsidRPr="00DC1376">
              <w:rPr>
                <w:bCs/>
                <w:color w:val="000000"/>
              </w:rPr>
              <w:t>$</w:t>
            </w:r>
            <w:r w:rsidR="006D0B68">
              <w:rPr>
                <w:bCs/>
                <w:noProof/>
                <w:color w:val="000000"/>
                <w:highlight w:val="black"/>
              </w:rPr>
              <w:t>'''</w:t>
            </w:r>
          </w:p>
        </w:tc>
        <w:tc>
          <w:tcPr>
            <w:tcW w:w="623" w:type="pct"/>
            <w:shd w:val="clear" w:color="auto" w:fill="auto"/>
            <w:vAlign w:val="center"/>
          </w:tcPr>
          <w:p w:rsidR="00A7336D" w:rsidRPr="00DC1376" w:rsidRDefault="0003698F" w:rsidP="00B75105">
            <w:pPr>
              <w:pStyle w:val="TableText"/>
              <w:jc w:val="center"/>
              <w:rPr>
                <w:bCs/>
                <w:color w:val="000000"/>
              </w:rPr>
            </w:pPr>
            <w:r w:rsidRPr="00DC1376">
              <w:rPr>
                <w:bCs/>
                <w:color w:val="000000"/>
              </w:rPr>
              <w:t>$</w:t>
            </w:r>
            <w:r w:rsidR="006D0B68">
              <w:rPr>
                <w:bCs/>
                <w:noProof/>
                <w:color w:val="000000"/>
                <w:highlight w:val="black"/>
              </w:rPr>
              <w:t>'''</w:t>
            </w:r>
          </w:p>
        </w:tc>
        <w:tc>
          <w:tcPr>
            <w:tcW w:w="622" w:type="pct"/>
            <w:shd w:val="clear" w:color="auto" w:fill="auto"/>
            <w:vAlign w:val="center"/>
          </w:tcPr>
          <w:p w:rsidR="00A7336D" w:rsidRPr="00DC1376" w:rsidRDefault="0003698F" w:rsidP="00B75105">
            <w:pPr>
              <w:pStyle w:val="TableText"/>
              <w:jc w:val="center"/>
              <w:rPr>
                <w:bCs/>
                <w:color w:val="000000"/>
              </w:rPr>
            </w:pPr>
            <w:r w:rsidRPr="00DC1376">
              <w:rPr>
                <w:bCs/>
                <w:color w:val="000000"/>
              </w:rPr>
              <w:t>$</w:t>
            </w:r>
            <w:r w:rsidR="006D0B68">
              <w:rPr>
                <w:bCs/>
                <w:noProof/>
                <w:color w:val="000000"/>
                <w:highlight w:val="black"/>
              </w:rPr>
              <w:t>''''</w:t>
            </w:r>
          </w:p>
        </w:tc>
        <w:tc>
          <w:tcPr>
            <w:tcW w:w="623" w:type="pct"/>
            <w:shd w:val="clear" w:color="auto" w:fill="auto"/>
            <w:vAlign w:val="center"/>
          </w:tcPr>
          <w:p w:rsidR="00A7336D" w:rsidRPr="00DC1376" w:rsidRDefault="0003698F" w:rsidP="00B75105">
            <w:pPr>
              <w:pStyle w:val="TableText"/>
              <w:jc w:val="center"/>
              <w:rPr>
                <w:bCs/>
                <w:color w:val="000000"/>
              </w:rPr>
            </w:pPr>
            <w:r w:rsidRPr="00DC1376">
              <w:rPr>
                <w:bCs/>
                <w:color w:val="000000"/>
              </w:rPr>
              <w:t>$</w:t>
            </w:r>
            <w:r w:rsidR="006D0B68">
              <w:rPr>
                <w:bCs/>
                <w:noProof/>
                <w:color w:val="000000"/>
                <w:highlight w:val="black"/>
              </w:rPr>
              <w:t>''''</w:t>
            </w:r>
          </w:p>
        </w:tc>
        <w:tc>
          <w:tcPr>
            <w:tcW w:w="622" w:type="pct"/>
            <w:vAlign w:val="center"/>
          </w:tcPr>
          <w:p w:rsidR="00A7336D" w:rsidRPr="00DC1376" w:rsidRDefault="0003698F" w:rsidP="00B75105">
            <w:pPr>
              <w:pStyle w:val="TableText"/>
              <w:jc w:val="center"/>
              <w:rPr>
                <w:bCs/>
                <w:color w:val="000000"/>
              </w:rPr>
            </w:pPr>
            <w:r w:rsidRPr="00DC1376">
              <w:rPr>
                <w:bCs/>
                <w:color w:val="000000"/>
              </w:rPr>
              <w:t>$</w:t>
            </w:r>
            <w:r w:rsidR="006D0B68">
              <w:rPr>
                <w:bCs/>
                <w:noProof/>
                <w:color w:val="000000"/>
                <w:highlight w:val="black"/>
              </w:rPr>
              <w:t>'''</w:t>
            </w:r>
          </w:p>
        </w:tc>
      </w:tr>
      <w:tr w:rsidR="0003698F" w:rsidRPr="00DC1376" w:rsidTr="00AE7F95">
        <w:tc>
          <w:tcPr>
            <w:tcW w:w="1265" w:type="pct"/>
            <w:shd w:val="clear" w:color="auto" w:fill="auto"/>
            <w:vAlign w:val="center"/>
          </w:tcPr>
          <w:p w:rsidR="0003698F" w:rsidRPr="00DC1376" w:rsidRDefault="0003698F" w:rsidP="00B75105">
            <w:pPr>
              <w:pStyle w:val="TableText"/>
              <w:rPr>
                <w:sz w:val="19"/>
                <w:szCs w:val="19"/>
              </w:rPr>
            </w:pPr>
            <w:r w:rsidRPr="00DC1376">
              <w:rPr>
                <w:sz w:val="19"/>
                <w:szCs w:val="19"/>
              </w:rPr>
              <w:t xml:space="preserve">Net cost to Government </w:t>
            </w:r>
            <w:r w:rsidR="003B11C0" w:rsidRPr="00DC1376">
              <w:rPr>
                <w:sz w:val="19"/>
                <w:szCs w:val="19"/>
              </w:rPr>
              <w:t>b</w:t>
            </w:r>
            <w:r w:rsidRPr="00DC1376">
              <w:rPr>
                <w:sz w:val="19"/>
                <w:szCs w:val="19"/>
              </w:rPr>
              <w:t>udgets</w:t>
            </w:r>
          </w:p>
        </w:tc>
        <w:tc>
          <w:tcPr>
            <w:tcW w:w="622"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2"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3" w:type="pct"/>
            <w:shd w:val="clear" w:color="auto" w:fill="auto"/>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c>
          <w:tcPr>
            <w:tcW w:w="622" w:type="pct"/>
            <w:vAlign w:val="center"/>
          </w:tcPr>
          <w:p w:rsidR="0003698F" w:rsidRPr="00DC1376" w:rsidRDefault="0003698F" w:rsidP="00B75105">
            <w:pPr>
              <w:pStyle w:val="TableText"/>
              <w:jc w:val="center"/>
              <w:rPr>
                <w:bCs/>
                <w:color w:val="000000"/>
              </w:rPr>
            </w:pPr>
            <w:r w:rsidRPr="00DC1376">
              <w:rPr>
                <w:rFonts w:cs="Arial"/>
                <w:bCs/>
                <w:color w:val="000000"/>
                <w:szCs w:val="20"/>
              </w:rPr>
              <w:t>$</w:t>
            </w:r>
            <w:r w:rsidR="006D0B68">
              <w:rPr>
                <w:rFonts w:cs="Arial"/>
                <w:bCs/>
                <w:noProof/>
                <w:color w:val="000000"/>
                <w:szCs w:val="20"/>
                <w:highlight w:val="black"/>
              </w:rPr>
              <w:t>'''''''''''''''''''''''''</w:t>
            </w:r>
          </w:p>
        </w:tc>
      </w:tr>
    </w:tbl>
    <w:p w:rsidR="00AC48A7" w:rsidRPr="00DC1376" w:rsidRDefault="00C317F3" w:rsidP="00D1078F">
      <w:pPr>
        <w:pStyle w:val="TableFooter"/>
      </w:pPr>
      <w:r w:rsidRPr="00DC1376">
        <w:t xml:space="preserve">Source: </w:t>
      </w:r>
      <w:r w:rsidR="005C2DE3" w:rsidRPr="00DC1376">
        <w:t>Excel workbook {baricitinib_section_4.xlsx</w:t>
      </w:r>
      <w:r w:rsidRPr="00DC1376">
        <w:t>}</w:t>
      </w:r>
      <w:r w:rsidR="005C2DE3" w:rsidRPr="00DC1376">
        <w:t xml:space="preserve"> </w:t>
      </w:r>
    </w:p>
    <w:p w:rsidR="00C317F3" w:rsidRPr="00DC1376" w:rsidRDefault="005C2DE3" w:rsidP="00D1078F">
      <w:pPr>
        <w:pStyle w:val="TableFooter"/>
      </w:pPr>
      <w:proofErr w:type="spellStart"/>
      <w:proofErr w:type="gramStart"/>
      <w:r w:rsidRPr="00DC1376">
        <w:t>bDMARD</w:t>
      </w:r>
      <w:proofErr w:type="spellEnd"/>
      <w:proofErr w:type="gramEnd"/>
      <w:r w:rsidRPr="00DC1376">
        <w:t xml:space="preserve"> = biologic disease modifying anti rheumatic drug; PBS = Pharmaceutical Benefits Scheme; RPBS = Repatriation</w:t>
      </w:r>
      <w:r w:rsidR="003B11C0">
        <w:t xml:space="preserve"> Pharmaceutical Benefits Scheme</w:t>
      </w:r>
    </w:p>
    <w:p w:rsidR="006F5799" w:rsidRDefault="00891ADD" w:rsidP="005E290D">
      <w:pPr>
        <w:pStyle w:val="ListParagraph"/>
        <w:numPr>
          <w:ilvl w:val="1"/>
          <w:numId w:val="1"/>
        </w:numPr>
        <w:spacing w:before="0" w:after="120"/>
        <w:jc w:val="both"/>
      </w:pPr>
      <w:r w:rsidRPr="007C3458">
        <w:t>The</w:t>
      </w:r>
      <w:r w:rsidR="006F5799">
        <w:t xml:space="preserve"> redacted table above shows that at year </w:t>
      </w:r>
      <w:r w:rsidR="0071578D">
        <w:t>6</w:t>
      </w:r>
      <w:r w:rsidR="006F5799">
        <w:t>, the estimated number of baricitinib scripts was 50,000 – 100,000 and the net cost to the PBS would be $20 - $30 million.</w:t>
      </w:r>
    </w:p>
    <w:p w:rsidR="00C317F3" w:rsidRPr="007C3458" w:rsidRDefault="006F5799" w:rsidP="005E290D">
      <w:pPr>
        <w:pStyle w:val="ListParagraph"/>
        <w:numPr>
          <w:ilvl w:val="1"/>
          <w:numId w:val="1"/>
        </w:numPr>
        <w:spacing w:before="0" w:after="120"/>
        <w:jc w:val="both"/>
      </w:pPr>
      <w:r>
        <w:t>The</w:t>
      </w:r>
      <w:r w:rsidR="00891ADD" w:rsidRPr="007C3458">
        <w:t xml:space="preserve"> estimates were based on November 2016 PBS prices. As such, the results </w:t>
      </w:r>
      <w:r w:rsidR="00B75105" w:rsidRPr="007C3458">
        <w:t>were</w:t>
      </w:r>
      <w:r w:rsidR="00891ADD" w:rsidRPr="007C3458">
        <w:t xml:space="preserve"> not up to date or accurate. </w:t>
      </w:r>
      <w:r w:rsidR="00E741F3" w:rsidRPr="007C3458">
        <w:t>The ESC also noted that the estimates were highly sensitive to this.</w:t>
      </w:r>
    </w:p>
    <w:p w:rsidR="00891ADD" w:rsidRPr="00DC1376" w:rsidRDefault="00891ADD" w:rsidP="005E290D">
      <w:pPr>
        <w:pStyle w:val="ListParagraph"/>
        <w:numPr>
          <w:ilvl w:val="1"/>
          <w:numId w:val="1"/>
        </w:numPr>
        <w:spacing w:before="0" w:after="120"/>
        <w:jc w:val="both"/>
      </w:pPr>
      <w:r w:rsidRPr="00DC1376">
        <w:t>The submission assumed the first full year of listing would be 2017, though listing was expected in December 2017. Consequently, it may have been more appropriate to use 2018 as the first full year of listing. Given the linear increase in the total market</w:t>
      </w:r>
      <w:r w:rsidR="003B11C0">
        <w:t>, t</w:t>
      </w:r>
      <w:r w:rsidRPr="00DC1376">
        <w:t>his would have led to slightly h</w:t>
      </w:r>
      <w:r w:rsidR="003B11C0">
        <w:t>igher estimates of total costs.</w:t>
      </w:r>
    </w:p>
    <w:p w:rsidR="00891ADD" w:rsidRPr="00DC1376" w:rsidRDefault="00891ADD" w:rsidP="005E290D">
      <w:pPr>
        <w:pStyle w:val="ListParagraph"/>
        <w:numPr>
          <w:ilvl w:val="1"/>
          <w:numId w:val="1"/>
        </w:numPr>
        <w:spacing w:before="0" w:after="120"/>
        <w:jc w:val="both"/>
      </w:pPr>
      <w:r w:rsidRPr="00DC1376">
        <w:t>Uptake rates for baricitinib used to estimate market share each year of listing were not adequately explained. It was unclear how accurate these estimates were, and whether they would be over</w:t>
      </w:r>
      <w:r w:rsidR="00B75105" w:rsidRPr="00DC1376">
        <w:t>-</w:t>
      </w:r>
      <w:r w:rsidRPr="00DC1376">
        <w:t xml:space="preserve"> or under</w:t>
      </w:r>
      <w:r w:rsidR="00B75105" w:rsidRPr="00DC1376">
        <w:t>-</w:t>
      </w:r>
      <w:r w:rsidR="003B11C0">
        <w:t>estimates.</w:t>
      </w:r>
    </w:p>
    <w:p w:rsidR="00E66E73" w:rsidRPr="00DC1376" w:rsidRDefault="00E66E73" w:rsidP="005E290D">
      <w:pPr>
        <w:pStyle w:val="ListParagraph"/>
        <w:numPr>
          <w:ilvl w:val="1"/>
          <w:numId w:val="1"/>
        </w:numPr>
        <w:spacing w:before="0" w:after="120"/>
        <w:jc w:val="both"/>
      </w:pPr>
      <w:r w:rsidRPr="00DC1376">
        <w:t xml:space="preserve">The underlying approach to estimating cost offsets was by estimating a percentage of each currently listed therapy being ‘displaced’ by baricitinib, and calculating the total cost of these offsets. This calculation however, would be better named replacement rather than displacement, as each year the same percentage of each medication was simply removed from use and replaced by baricitinib, with no accounting for use further down the treatment sequence. This approach was unlikely to capture </w:t>
      </w:r>
      <w:proofErr w:type="spellStart"/>
      <w:r w:rsidRPr="00DC1376">
        <w:t>baricitinib’s</w:t>
      </w:r>
      <w:proofErr w:type="spellEnd"/>
      <w:r w:rsidRPr="00DC1376">
        <w:t xml:space="preserve"> effect on use of other RA medicines and the submission’s calculation of cost offse</w:t>
      </w:r>
      <w:r w:rsidR="003B11C0">
        <w:t>ts was unlikely to be accurate.</w:t>
      </w:r>
    </w:p>
    <w:p w:rsidR="005C2DE3" w:rsidRPr="00DC1376" w:rsidRDefault="005C2DE3" w:rsidP="005E290D">
      <w:pPr>
        <w:pStyle w:val="ListParagraph"/>
        <w:numPr>
          <w:ilvl w:val="1"/>
          <w:numId w:val="1"/>
        </w:numPr>
        <w:spacing w:before="0" w:after="120"/>
        <w:jc w:val="both"/>
      </w:pPr>
      <w:r w:rsidRPr="00DC1376">
        <w:t xml:space="preserve">The submission assumed there would be no changes to MBS or other government health budgets and that net costs to the PBS would equal net cost to Government. This underestimated savings from reduction administration costs for intravenous </w:t>
      </w:r>
      <w:proofErr w:type="spellStart"/>
      <w:r w:rsidRPr="00DC1376">
        <w:t>bDMARDs</w:t>
      </w:r>
      <w:proofErr w:type="spellEnd"/>
      <w:r w:rsidRPr="00DC1376">
        <w:t>, but also underestimated costs associated wit</w:t>
      </w:r>
      <w:r w:rsidR="003B11C0">
        <w:t>h management of adverse events.</w:t>
      </w:r>
    </w:p>
    <w:p w:rsidR="00C317F3" w:rsidRPr="00436E07" w:rsidRDefault="00C317F3" w:rsidP="0095170D">
      <w:pPr>
        <w:pStyle w:val="Heading2"/>
      </w:pPr>
      <w:bookmarkStart w:id="24" w:name="_Toc413139285"/>
      <w:bookmarkStart w:id="25" w:name="_Toc482024938"/>
      <w:r w:rsidRPr="00436E07">
        <w:t>Quality Use of Medicines</w:t>
      </w:r>
      <w:bookmarkEnd w:id="24"/>
      <w:bookmarkEnd w:id="25"/>
    </w:p>
    <w:p w:rsidR="00C317F3" w:rsidRDefault="00B75105" w:rsidP="005E290D">
      <w:pPr>
        <w:pStyle w:val="ListParagraph"/>
        <w:numPr>
          <w:ilvl w:val="1"/>
          <w:numId w:val="1"/>
        </w:numPr>
        <w:spacing w:before="0" w:after="120"/>
        <w:jc w:val="both"/>
      </w:pPr>
      <w:r w:rsidRPr="00DC1376">
        <w:t xml:space="preserve">The submission stated that the </w:t>
      </w:r>
      <w:r w:rsidR="003B11C0">
        <w:t>s</w:t>
      </w:r>
      <w:r w:rsidR="00A00165" w:rsidRPr="00DC1376">
        <w:t>ponsor plan</w:t>
      </w:r>
      <w:r w:rsidR="003B11C0">
        <w:t>ned</w:t>
      </w:r>
      <w:r w:rsidR="00A00165" w:rsidRPr="00DC1376">
        <w:t xml:space="preserve"> to implement a range of activities supporting the quality use of medicines in the treatment of rheumatoid arthritis, and the appropriate use of baricitinib in accordance with the TGA indication and proposed PBS listing. These included a patient support program and clinician education.</w:t>
      </w:r>
    </w:p>
    <w:p w:rsidR="00C317F3" w:rsidRDefault="00403840" w:rsidP="00403840">
      <w:pPr>
        <w:spacing w:before="0" w:after="120"/>
        <w:ind w:firstLine="576"/>
        <w:jc w:val="both"/>
      </w:pPr>
      <w:r w:rsidRPr="00DF6290">
        <w:rPr>
          <w:rFonts w:ascii="Calibri" w:eastAsia="Times New Roman" w:hAnsi="Calibri" w:cs="Times New Roman"/>
          <w:i/>
          <w:szCs w:val="24"/>
        </w:rPr>
        <w:t>For more detail on PBAC’s view, see section 7 “PBAC outcome.”</w:t>
      </w:r>
    </w:p>
    <w:p w:rsidR="005E290D" w:rsidRDefault="003B11C0" w:rsidP="005249D1">
      <w:pPr>
        <w:pStyle w:val="Heading1"/>
        <w:numPr>
          <w:ilvl w:val="0"/>
          <w:numId w:val="13"/>
        </w:numPr>
      </w:pPr>
      <w:r>
        <w:t>PBAC Outcome</w:t>
      </w:r>
    </w:p>
    <w:p w:rsidR="004A4E35" w:rsidRDefault="004A4E35" w:rsidP="003B11C0">
      <w:pPr>
        <w:pStyle w:val="ListParagraph"/>
        <w:numPr>
          <w:ilvl w:val="1"/>
          <w:numId w:val="1"/>
        </w:numPr>
        <w:jc w:val="both"/>
      </w:pPr>
      <w:r w:rsidRPr="004A4E35">
        <w:t xml:space="preserve">The PBAC </w:t>
      </w:r>
      <w:r w:rsidR="00315CCE">
        <w:t xml:space="preserve">was of a mind to reject baricitinib </w:t>
      </w:r>
      <w:r w:rsidR="00315CCE" w:rsidRPr="004A4E35">
        <w:t xml:space="preserve">for </w:t>
      </w:r>
      <w:r w:rsidR="00315CCE">
        <w:t>treatment of severe rheumatoid arthritis (RA)</w:t>
      </w:r>
      <w:r w:rsidR="00315CCE" w:rsidRPr="004A4E35">
        <w:t xml:space="preserve"> </w:t>
      </w:r>
      <w:r w:rsidR="00315CCE">
        <w:t xml:space="preserve">based on uncertain clinical need and efficacy and concerns about the safety profile, particularly in relation to serious adverse events. However, the PBAC </w:t>
      </w:r>
      <w:r w:rsidRPr="004A4E35">
        <w:t>deferred making a recommendat</w:t>
      </w:r>
      <w:r>
        <w:t xml:space="preserve">ion on the listing of </w:t>
      </w:r>
      <w:r w:rsidR="00315CCE">
        <w:t>b</w:t>
      </w:r>
      <w:r w:rsidR="00C33D01">
        <w:t>ari</w:t>
      </w:r>
      <w:r>
        <w:t>citinib</w:t>
      </w:r>
      <w:r w:rsidRPr="004A4E35">
        <w:t xml:space="preserve"> pending the </w:t>
      </w:r>
      <w:r w:rsidR="00BD6DB8">
        <w:t>provision</w:t>
      </w:r>
      <w:r w:rsidRPr="004A4E35">
        <w:t xml:space="preserve"> of the </w:t>
      </w:r>
      <w:r w:rsidR="00BD6DB8">
        <w:t xml:space="preserve">relevant </w:t>
      </w:r>
      <w:r w:rsidRPr="004A4E35">
        <w:t xml:space="preserve">TGA </w:t>
      </w:r>
      <w:r w:rsidR="00BD6DB8">
        <w:rPr>
          <w:bCs/>
          <w:szCs w:val="24"/>
        </w:rPr>
        <w:t>delegate’s overview.</w:t>
      </w:r>
    </w:p>
    <w:p w:rsidR="003D4C54" w:rsidRDefault="003D4C54" w:rsidP="003B11C0">
      <w:pPr>
        <w:pStyle w:val="ListParagraph"/>
        <w:numPr>
          <w:ilvl w:val="1"/>
          <w:numId w:val="1"/>
        </w:numPr>
        <w:jc w:val="both"/>
      </w:pPr>
      <w:r>
        <w:t>The PBAC accepted that the cl</w:t>
      </w:r>
      <w:r w:rsidR="00C33D01">
        <w:t>inical place for therapy of bari</w:t>
      </w:r>
      <w:r>
        <w:t xml:space="preserve">citinib would be as an alternative treatment option to the currently PBS listed </w:t>
      </w:r>
      <w:proofErr w:type="spellStart"/>
      <w:r>
        <w:t>bDMARDs</w:t>
      </w:r>
      <w:proofErr w:type="spellEnd"/>
      <w:r>
        <w:t xml:space="preserve">. </w:t>
      </w:r>
      <w:r w:rsidR="00EF282A">
        <w:t>However, t</w:t>
      </w:r>
      <w:r>
        <w:t xml:space="preserve">he PBAC noted the availability of </w:t>
      </w:r>
      <w:r w:rsidR="00EF282A">
        <w:t xml:space="preserve">a number of </w:t>
      </w:r>
      <w:r>
        <w:t xml:space="preserve">alternative </w:t>
      </w:r>
      <w:proofErr w:type="spellStart"/>
      <w:r>
        <w:t>bDMARDs</w:t>
      </w:r>
      <w:proofErr w:type="spellEnd"/>
      <w:r>
        <w:t xml:space="preserve"> listed on the PBS for the treatment of severe RA and conclude</w:t>
      </w:r>
      <w:r w:rsidR="00C33D01">
        <w:t>d that it was uncertain how bari</w:t>
      </w:r>
      <w:r>
        <w:t xml:space="preserve">citinib addressed a clinical need that was not provided by another </w:t>
      </w:r>
      <w:proofErr w:type="spellStart"/>
      <w:r>
        <w:t>bDMARD</w:t>
      </w:r>
      <w:proofErr w:type="spellEnd"/>
      <w:r>
        <w:t>.</w:t>
      </w:r>
    </w:p>
    <w:p w:rsidR="00BA13A2" w:rsidRDefault="003D4C54" w:rsidP="003B11C0">
      <w:pPr>
        <w:pStyle w:val="ListParagraph"/>
        <w:numPr>
          <w:ilvl w:val="1"/>
          <w:numId w:val="1"/>
        </w:numPr>
        <w:jc w:val="both"/>
      </w:pPr>
      <w:r>
        <w:t xml:space="preserve">The PBAC noted </w:t>
      </w:r>
      <w:r w:rsidR="00B2646E">
        <w:t xml:space="preserve">the ESC advice and the sponsor’s agreement in </w:t>
      </w:r>
      <w:r w:rsidR="00101A98">
        <w:t>its</w:t>
      </w:r>
      <w:r w:rsidR="00B2646E">
        <w:t xml:space="preserve"> pre-PBAC response that </w:t>
      </w:r>
      <w:proofErr w:type="spellStart"/>
      <w:r w:rsidR="00B2646E">
        <w:t>tofacitinib</w:t>
      </w:r>
      <w:proofErr w:type="spellEnd"/>
      <w:r w:rsidR="00B2646E">
        <w:t xml:space="preserve"> would be an appropriate comparator</w:t>
      </w:r>
      <w:r>
        <w:t xml:space="preserve">. The PBAC considered that any of the currently PBS listed </w:t>
      </w:r>
      <w:proofErr w:type="spellStart"/>
      <w:r>
        <w:t>bDMARDs</w:t>
      </w:r>
      <w:proofErr w:type="spellEnd"/>
      <w:r>
        <w:t xml:space="preserve"> could be an appropriate comparator,</w:t>
      </w:r>
      <w:r w:rsidR="00B2646E">
        <w:t xml:space="preserve"> noting that</w:t>
      </w:r>
      <w:r w:rsidR="00101A98">
        <w:t>,</w:t>
      </w:r>
      <w:r>
        <w:t xml:space="preserve"> </w:t>
      </w:r>
      <w:r w:rsidR="00712AD0">
        <w:t>w</w:t>
      </w:r>
      <w:r w:rsidR="00712AD0" w:rsidRPr="00DC1376">
        <w:t xml:space="preserve">ith the exception of </w:t>
      </w:r>
      <w:proofErr w:type="spellStart"/>
      <w:r w:rsidR="00712AD0" w:rsidRPr="00DC1376">
        <w:t>etanercept</w:t>
      </w:r>
      <w:proofErr w:type="spellEnd"/>
      <w:r w:rsidR="00712AD0" w:rsidRPr="00DC1376">
        <w:t xml:space="preserve"> (the first </w:t>
      </w:r>
      <w:proofErr w:type="spellStart"/>
      <w:r w:rsidR="00712AD0" w:rsidRPr="00DC1376">
        <w:t>bDMARD</w:t>
      </w:r>
      <w:proofErr w:type="spellEnd"/>
      <w:r w:rsidR="00712AD0" w:rsidRPr="00DC1376">
        <w:t xml:space="preserve"> PBS-listed for the treatment of RA)</w:t>
      </w:r>
      <w:proofErr w:type="gramStart"/>
      <w:r w:rsidR="00712AD0" w:rsidRPr="00DC1376">
        <w:t>,</w:t>
      </w:r>
      <w:proofErr w:type="gramEnd"/>
      <w:r w:rsidR="00712AD0" w:rsidRPr="00DC1376">
        <w:t xml:space="preserve"> all subsequent </w:t>
      </w:r>
      <w:proofErr w:type="spellStart"/>
      <w:r w:rsidR="00712AD0" w:rsidRPr="00DC1376">
        <w:t>bDMARDs</w:t>
      </w:r>
      <w:proofErr w:type="spellEnd"/>
      <w:r w:rsidR="00712AD0" w:rsidRPr="00DC1376">
        <w:t xml:space="preserve"> have been listed on a cost-minimisation basis.</w:t>
      </w:r>
    </w:p>
    <w:p w:rsidR="003D4C54" w:rsidRDefault="00BA13A2" w:rsidP="003B11C0">
      <w:pPr>
        <w:pStyle w:val="ListParagraph"/>
        <w:numPr>
          <w:ilvl w:val="1"/>
          <w:numId w:val="1"/>
        </w:numPr>
        <w:jc w:val="both"/>
      </w:pPr>
      <w:r>
        <w:t xml:space="preserve">The PBAC </w:t>
      </w:r>
      <w:r w:rsidR="00AD4131">
        <w:t xml:space="preserve">noted that </w:t>
      </w:r>
      <w:r w:rsidR="00101A98">
        <w:t xml:space="preserve">in its </w:t>
      </w:r>
      <w:r w:rsidR="00A7339C">
        <w:t xml:space="preserve">pre-PBAC Response, the sponsor – citing ESC advice that all </w:t>
      </w:r>
      <w:proofErr w:type="spellStart"/>
      <w:r w:rsidR="00A7339C" w:rsidRPr="00872353">
        <w:t>bDMARDs</w:t>
      </w:r>
      <w:proofErr w:type="spellEnd"/>
      <w:r w:rsidR="00A7339C" w:rsidRPr="00872353">
        <w:t xml:space="preserve"> have the same effective ex-manufacturer price for RA</w:t>
      </w:r>
      <w:r w:rsidR="00A7339C">
        <w:t xml:space="preserve"> – s</w:t>
      </w:r>
      <w:r w:rsidR="00AD4131">
        <w:t xml:space="preserve">tated </w:t>
      </w:r>
      <w:r w:rsidR="00A7339C">
        <w:t>th</w:t>
      </w:r>
      <w:r w:rsidR="00101A98">
        <w:t>at it</w:t>
      </w:r>
      <w:r w:rsidR="00A7339C">
        <w:t xml:space="preserve"> would be willing to accept </w:t>
      </w:r>
      <w:r w:rsidR="00101A98">
        <w:t xml:space="preserve">listing on </w:t>
      </w:r>
      <w:r w:rsidR="00A7339C">
        <w:t xml:space="preserve">a cost-minimisation </w:t>
      </w:r>
      <w:r w:rsidR="00101A98">
        <w:t>basis against</w:t>
      </w:r>
      <w:r w:rsidR="00AD4131">
        <w:t xml:space="preserve"> </w:t>
      </w:r>
      <w:proofErr w:type="spellStart"/>
      <w:r w:rsidR="00AD4131">
        <w:t>tofacitanib</w:t>
      </w:r>
      <w:proofErr w:type="spellEnd"/>
      <w:r w:rsidR="00AD4131">
        <w:t xml:space="preserve">, based on a per pack basis. </w:t>
      </w:r>
      <w:r w:rsidR="00101A98">
        <w:t>Although</w:t>
      </w:r>
      <w:r w:rsidR="00A7339C">
        <w:t xml:space="preserve"> the PBAC accepted that a cost-minimisation </w:t>
      </w:r>
      <w:r w:rsidR="00101A98">
        <w:t xml:space="preserve">might be </w:t>
      </w:r>
      <w:r w:rsidR="00A7339C">
        <w:t xml:space="preserve">a reasonable approach, the committee </w:t>
      </w:r>
      <w:r w:rsidR="00101A98">
        <w:t>decided to advise</w:t>
      </w:r>
      <w:r>
        <w:t xml:space="preserve"> </w:t>
      </w:r>
      <w:r w:rsidR="003D4C54">
        <w:t>that</w:t>
      </w:r>
      <w:r w:rsidR="00101A98">
        <w:t>,</w:t>
      </w:r>
      <w:r w:rsidR="003D4C54">
        <w:t xml:space="preserve"> in the absence of </w:t>
      </w:r>
      <w:r w:rsidR="00101A98">
        <w:t xml:space="preserve">any basis to conclude </w:t>
      </w:r>
      <w:r w:rsidR="003D4C54">
        <w:t xml:space="preserve">superior comparative effectiveness or safety over </w:t>
      </w:r>
      <w:r w:rsidR="00101A98">
        <w:t xml:space="preserve">any </w:t>
      </w:r>
      <w:r w:rsidR="00A7339C">
        <w:t>alternate</w:t>
      </w:r>
      <w:r w:rsidR="00C33D01">
        <w:t xml:space="preserve"> </w:t>
      </w:r>
      <w:proofErr w:type="spellStart"/>
      <w:r w:rsidR="00C33D01">
        <w:t>bDMARD</w:t>
      </w:r>
      <w:proofErr w:type="spellEnd"/>
      <w:r w:rsidR="00C33D01">
        <w:t>, bari</w:t>
      </w:r>
      <w:r w:rsidR="003D4C54">
        <w:t xml:space="preserve">citinib </w:t>
      </w:r>
      <w:r w:rsidR="00A7339C">
        <w:t>would need to</w:t>
      </w:r>
      <w:r w:rsidR="003D4C54">
        <w:t xml:space="preserve"> be cost-minimised </w:t>
      </w:r>
      <w:r w:rsidR="00101A98">
        <w:t>against</w:t>
      </w:r>
      <w:r w:rsidR="003D4C54">
        <w:t xml:space="preserve"> the least costly </w:t>
      </w:r>
      <w:proofErr w:type="spellStart"/>
      <w:r w:rsidR="003D4C54">
        <w:t>bDMARD</w:t>
      </w:r>
      <w:proofErr w:type="spellEnd"/>
      <w:r w:rsidR="003D4C54">
        <w:t>.</w:t>
      </w:r>
      <w:r w:rsidR="00A7339C">
        <w:t xml:space="preserve"> In making this decision</w:t>
      </w:r>
      <w:r w:rsidR="00101A98">
        <w:t>,</w:t>
      </w:r>
      <w:r w:rsidR="00A7339C">
        <w:t xml:space="preserve"> the PBAC recalled it had previously made a similar decision</w:t>
      </w:r>
      <w:r w:rsidR="000D5E29">
        <w:t xml:space="preserve"> relating to the least costly </w:t>
      </w:r>
      <w:proofErr w:type="spellStart"/>
      <w:r w:rsidR="000D5E29">
        <w:t>bDMARD</w:t>
      </w:r>
      <w:proofErr w:type="spellEnd"/>
      <w:r w:rsidR="00A7339C">
        <w:t xml:space="preserve"> in its consideration of </w:t>
      </w:r>
      <w:proofErr w:type="spellStart"/>
      <w:r w:rsidR="00A7339C">
        <w:t>ixekizumab</w:t>
      </w:r>
      <w:proofErr w:type="spellEnd"/>
      <w:r w:rsidR="00A7339C">
        <w:t xml:space="preserve"> </w:t>
      </w:r>
      <w:r w:rsidR="000D5E29">
        <w:t xml:space="preserve">for psoriasis </w:t>
      </w:r>
      <w:r w:rsidR="00A7339C">
        <w:t>(</w:t>
      </w:r>
      <w:proofErr w:type="spellStart"/>
      <w:r w:rsidR="00A7339C">
        <w:t>ixekizumab</w:t>
      </w:r>
      <w:proofErr w:type="spellEnd"/>
      <w:r w:rsidR="00A7339C">
        <w:t xml:space="preserve"> PSD, July 2016, paragraphs 7.2 and 7.3).</w:t>
      </w:r>
      <w:r w:rsidR="00101A98">
        <w:t xml:space="preserve"> </w:t>
      </w:r>
    </w:p>
    <w:p w:rsidR="00712AD0" w:rsidRDefault="00712AD0" w:rsidP="003B11C0">
      <w:pPr>
        <w:pStyle w:val="ListParagraph"/>
        <w:numPr>
          <w:ilvl w:val="1"/>
          <w:numId w:val="1"/>
        </w:numPr>
        <w:jc w:val="both"/>
      </w:pPr>
      <w:r>
        <w:t>The PBAC did not accept the submission</w:t>
      </w:r>
      <w:r w:rsidR="004C4CD6">
        <w:t>’</w:t>
      </w:r>
      <w:r>
        <w:t>s claim</w:t>
      </w:r>
      <w:r w:rsidRPr="007C3458">
        <w:t xml:space="preserve"> that baricitinib was superior in terms of effectiveness compared with adalimumab.</w:t>
      </w:r>
      <w:r w:rsidRPr="007C3458" w:rsidDel="00FE787E">
        <w:t xml:space="preserve"> </w:t>
      </w:r>
      <w:r w:rsidRPr="007C3458">
        <w:t xml:space="preserve">Specifically, the </w:t>
      </w:r>
      <w:r>
        <w:t xml:space="preserve">PBAC noted that the </w:t>
      </w:r>
      <w:r w:rsidRPr="007C3458">
        <w:t xml:space="preserve">major secondary endpoint of ACR20 at week 12 failed to demonstrate an improvement of greater than 12%, when the pre-specified non-inferiority margin was -12%. Further, </w:t>
      </w:r>
      <w:r w:rsidR="00900D24">
        <w:t>noting that only short-term comparative outcomes were available</w:t>
      </w:r>
      <w:r w:rsidR="00315CCE">
        <w:t>,</w:t>
      </w:r>
      <w:r w:rsidR="00900D24">
        <w:t xml:space="preserve"> the PBAC considered there was no clear evidence that demonstrated that baricitinib provided a significant improvement in eff</w:t>
      </w:r>
      <w:r w:rsidR="006175A5">
        <w:t>ectiveness</w:t>
      </w:r>
      <w:r w:rsidR="004C4CD6">
        <w:t xml:space="preserve"> </w:t>
      </w:r>
      <w:r w:rsidR="00900D24">
        <w:t>over adalimumab.</w:t>
      </w:r>
    </w:p>
    <w:p w:rsidR="004C4CD6" w:rsidRPr="008D496B" w:rsidRDefault="004C4CD6" w:rsidP="003B11C0">
      <w:pPr>
        <w:pStyle w:val="ListParagraph"/>
        <w:numPr>
          <w:ilvl w:val="1"/>
          <w:numId w:val="1"/>
        </w:numPr>
        <w:spacing w:before="0" w:after="120"/>
        <w:jc w:val="both"/>
        <w:rPr>
          <w:rFonts w:cs="Arial"/>
          <w:snapToGrid w:val="0"/>
          <w:szCs w:val="20"/>
        </w:rPr>
      </w:pPr>
      <w:r w:rsidRPr="008D496B">
        <w:rPr>
          <w:rFonts w:cs="Arial"/>
          <w:snapToGrid w:val="0"/>
          <w:szCs w:val="20"/>
        </w:rPr>
        <w:t xml:space="preserve">The PBAC considered that the </w:t>
      </w:r>
      <w:r w:rsidR="006175A5">
        <w:rPr>
          <w:rFonts w:cs="Arial"/>
          <w:snapToGrid w:val="0"/>
          <w:szCs w:val="20"/>
        </w:rPr>
        <w:t xml:space="preserve">sponsor’s </w:t>
      </w:r>
      <w:r w:rsidRPr="008D496B">
        <w:rPr>
          <w:rFonts w:cs="Arial"/>
          <w:snapToGrid w:val="0"/>
          <w:szCs w:val="20"/>
        </w:rPr>
        <w:t>claim of equivalent safety was not adequately supported by the data. In particular</w:t>
      </w:r>
      <w:r>
        <w:rPr>
          <w:rFonts w:cs="Arial"/>
          <w:snapToGrid w:val="0"/>
          <w:szCs w:val="20"/>
        </w:rPr>
        <w:t>,</w:t>
      </w:r>
      <w:r w:rsidRPr="008D496B">
        <w:rPr>
          <w:rFonts w:cs="Arial"/>
          <w:snapToGrid w:val="0"/>
          <w:szCs w:val="20"/>
        </w:rPr>
        <w:t xml:space="preserve"> the PBAC expressed concerns about the higher number of serious adverse events in the </w:t>
      </w:r>
      <w:proofErr w:type="spellStart"/>
      <w:r w:rsidRPr="008D496B">
        <w:rPr>
          <w:rFonts w:cs="Arial"/>
          <w:snapToGrid w:val="0"/>
          <w:szCs w:val="20"/>
        </w:rPr>
        <w:t>baricitinb</w:t>
      </w:r>
      <w:proofErr w:type="spellEnd"/>
      <w:r w:rsidRPr="008D496B">
        <w:rPr>
          <w:rFonts w:cs="Arial"/>
          <w:snapToGrid w:val="0"/>
          <w:szCs w:val="20"/>
        </w:rPr>
        <w:t xml:space="preserve"> group.</w:t>
      </w:r>
      <w:r w:rsidR="00900D24">
        <w:rPr>
          <w:rFonts w:cs="Arial"/>
          <w:snapToGrid w:val="0"/>
          <w:szCs w:val="20"/>
        </w:rPr>
        <w:t xml:space="preserve"> The </w:t>
      </w:r>
      <w:r w:rsidR="00C33D01">
        <w:rPr>
          <w:rFonts w:cs="Arial"/>
          <w:snapToGrid w:val="0"/>
          <w:szCs w:val="20"/>
        </w:rPr>
        <w:t>PBAC expressed concern that bari</w:t>
      </w:r>
      <w:r w:rsidR="00900D24">
        <w:rPr>
          <w:rFonts w:cs="Arial"/>
          <w:snapToGrid w:val="0"/>
          <w:szCs w:val="20"/>
        </w:rPr>
        <w:t xml:space="preserve">citinib appeared to have a worse safety profile than currently listed </w:t>
      </w:r>
      <w:proofErr w:type="spellStart"/>
      <w:r w:rsidR="00900D24">
        <w:rPr>
          <w:rFonts w:cs="Arial"/>
          <w:snapToGrid w:val="0"/>
          <w:szCs w:val="20"/>
        </w:rPr>
        <w:t>bDMARDS</w:t>
      </w:r>
      <w:proofErr w:type="spellEnd"/>
      <w:r w:rsidR="00900D24">
        <w:rPr>
          <w:rFonts w:cs="Arial"/>
          <w:snapToGrid w:val="0"/>
          <w:szCs w:val="20"/>
        </w:rPr>
        <w:t xml:space="preserve"> and noted that </w:t>
      </w:r>
      <w:r>
        <w:rPr>
          <w:rFonts w:cs="Arial"/>
          <w:snapToGrid w:val="0"/>
          <w:szCs w:val="20"/>
        </w:rPr>
        <w:t>it was awaiting the outcome on the TGA evaluation for further information on th</w:t>
      </w:r>
      <w:r w:rsidR="003B11C0">
        <w:rPr>
          <w:rFonts w:cs="Arial"/>
          <w:snapToGrid w:val="0"/>
          <w:szCs w:val="20"/>
        </w:rPr>
        <w:t xml:space="preserve">e safety profile of </w:t>
      </w:r>
      <w:proofErr w:type="spellStart"/>
      <w:r w:rsidR="003B11C0">
        <w:rPr>
          <w:rFonts w:cs="Arial"/>
          <w:snapToGrid w:val="0"/>
          <w:szCs w:val="20"/>
        </w:rPr>
        <w:t>baricitinb</w:t>
      </w:r>
      <w:proofErr w:type="spellEnd"/>
      <w:r w:rsidR="003B11C0">
        <w:rPr>
          <w:rFonts w:cs="Arial"/>
          <w:snapToGrid w:val="0"/>
          <w:szCs w:val="20"/>
        </w:rPr>
        <w:t>.</w:t>
      </w:r>
      <w:r w:rsidR="00101A98">
        <w:rPr>
          <w:rFonts w:cs="Arial"/>
          <w:snapToGrid w:val="0"/>
          <w:szCs w:val="20"/>
        </w:rPr>
        <w:t xml:space="preserve"> Accordingly</w:t>
      </w:r>
      <w:r w:rsidR="00101A98">
        <w:t>, the PBAC considered that it may be more appropriate to consider an economic evaluation that took into consideration the likely</w:t>
      </w:r>
      <w:r w:rsidR="00C33D01">
        <w:t xml:space="preserve"> inferior safety profile of bari</w:t>
      </w:r>
      <w:r w:rsidR="00101A98">
        <w:t xml:space="preserve">citinib against other </w:t>
      </w:r>
      <w:proofErr w:type="spellStart"/>
      <w:r w:rsidR="00101A98">
        <w:t>bDMARDs</w:t>
      </w:r>
      <w:proofErr w:type="spellEnd"/>
      <w:r w:rsidR="00101A98">
        <w:t>.</w:t>
      </w:r>
    </w:p>
    <w:p w:rsidR="00D06741" w:rsidRPr="00315CCE" w:rsidRDefault="00D06741" w:rsidP="003B11C0">
      <w:pPr>
        <w:pStyle w:val="ListParagraph"/>
        <w:numPr>
          <w:ilvl w:val="1"/>
          <w:numId w:val="1"/>
        </w:numPr>
        <w:jc w:val="both"/>
      </w:pPr>
      <w:r>
        <w:t xml:space="preserve">The PBAC </w:t>
      </w:r>
      <w:r w:rsidR="00315CCE">
        <w:t xml:space="preserve">considered there were a number of issues with the model presented including that </w:t>
      </w:r>
      <w:r>
        <w:t xml:space="preserve">model was </w:t>
      </w:r>
      <w:r w:rsidRPr="007C3458">
        <w:t xml:space="preserve">dependent on the assumption that baricitinib was more effective than </w:t>
      </w:r>
      <w:proofErr w:type="spellStart"/>
      <w:r w:rsidRPr="007C3458">
        <w:t>tofacitinib</w:t>
      </w:r>
      <w:proofErr w:type="spellEnd"/>
      <w:r w:rsidR="00315CCE">
        <w:t xml:space="preserve"> -</w:t>
      </w:r>
      <w:r w:rsidRPr="007C3458">
        <w:t xml:space="preserve"> which was not adequately supported by the data presented</w:t>
      </w:r>
      <w:r w:rsidR="00315CCE">
        <w:t>; and the use</w:t>
      </w:r>
      <w:r w:rsidR="00315CCE" w:rsidRPr="007C3458">
        <w:t xml:space="preserve"> of different estimates of effectiveness for subsequent </w:t>
      </w:r>
      <w:proofErr w:type="spellStart"/>
      <w:r w:rsidR="00315CCE" w:rsidRPr="007C3458">
        <w:t>bDMARD</w:t>
      </w:r>
      <w:proofErr w:type="spellEnd"/>
      <w:r w:rsidR="00315CCE" w:rsidRPr="007C3458">
        <w:t xml:space="preserve"> therapies</w:t>
      </w:r>
      <w:r w:rsidR="00315CCE">
        <w:t xml:space="preserve"> -</w:t>
      </w:r>
      <w:r w:rsidR="00315CCE" w:rsidRPr="007C3458">
        <w:t xml:space="preserve"> given that these have all been listed on the basis of non-inferiority.</w:t>
      </w:r>
      <w:r w:rsidR="00A7339C">
        <w:t xml:space="preserve"> In addition</w:t>
      </w:r>
      <w:r w:rsidR="00101A98">
        <w:t>, the</w:t>
      </w:r>
      <w:r w:rsidRPr="007C3458">
        <w:rPr>
          <w:szCs w:val="24"/>
        </w:rPr>
        <w:t xml:space="preserve"> base case did not include adverse event costs for serious adverse event</w:t>
      </w:r>
      <w:r w:rsidR="00101A98">
        <w:rPr>
          <w:szCs w:val="24"/>
        </w:rPr>
        <w:t>s</w:t>
      </w:r>
      <w:r w:rsidR="00315CCE">
        <w:rPr>
          <w:szCs w:val="24"/>
        </w:rPr>
        <w:t xml:space="preserve"> and t</w:t>
      </w:r>
      <w:r w:rsidRPr="007C3458">
        <w:rPr>
          <w:szCs w:val="24"/>
        </w:rPr>
        <w:t xml:space="preserve">he model was significantly </w:t>
      </w:r>
      <w:r>
        <w:rPr>
          <w:szCs w:val="24"/>
        </w:rPr>
        <w:t xml:space="preserve">sensitive to </w:t>
      </w:r>
      <w:r w:rsidR="00101A98">
        <w:rPr>
          <w:szCs w:val="24"/>
        </w:rPr>
        <w:t xml:space="preserve">their </w:t>
      </w:r>
      <w:r>
        <w:rPr>
          <w:szCs w:val="24"/>
        </w:rPr>
        <w:t>inclusion.</w:t>
      </w:r>
    </w:p>
    <w:p w:rsidR="00101A98" w:rsidRDefault="00101A98" w:rsidP="00101A98">
      <w:pPr>
        <w:pStyle w:val="ListParagraph"/>
        <w:numPr>
          <w:ilvl w:val="1"/>
          <w:numId w:val="1"/>
        </w:numPr>
        <w:jc w:val="both"/>
      </w:pPr>
      <w:r>
        <w:t xml:space="preserve">Although the PBAC considered an alternative cost-minimisation approach </w:t>
      </w:r>
      <w:r w:rsidR="00DF6290">
        <w:t xml:space="preserve">against the cheapest listed </w:t>
      </w:r>
      <w:proofErr w:type="spellStart"/>
      <w:r w:rsidR="00DF6290">
        <w:t>bDMARD</w:t>
      </w:r>
      <w:proofErr w:type="spellEnd"/>
      <w:r w:rsidR="00DF6290">
        <w:t xml:space="preserve"> </w:t>
      </w:r>
      <w:r>
        <w:t xml:space="preserve">might be appropriate, </w:t>
      </w:r>
      <w:r w:rsidR="006C1483">
        <w:t xml:space="preserve">more detail would be required to establish the </w:t>
      </w:r>
      <w:proofErr w:type="spellStart"/>
      <w:r w:rsidR="006C1483">
        <w:t>equi</w:t>
      </w:r>
      <w:proofErr w:type="spellEnd"/>
      <w:r w:rsidR="006C1483">
        <w:t xml:space="preserve">-effective doses. However, the PBAC </w:t>
      </w:r>
      <w:r>
        <w:rPr>
          <w:rFonts w:cs="Arial"/>
          <w:snapToGrid w:val="0"/>
          <w:szCs w:val="20"/>
        </w:rPr>
        <w:t xml:space="preserve">did not finalise its view at this time, pending the provision of the TGA </w:t>
      </w:r>
      <w:r>
        <w:rPr>
          <w:bCs/>
          <w:szCs w:val="24"/>
        </w:rPr>
        <w:t>delegate’s overview and any further input from the sponsor in response to the committee’s views about incorporating the safety differences into the economic evaluation</w:t>
      </w:r>
      <w:r>
        <w:rPr>
          <w:rFonts w:cs="Arial"/>
          <w:snapToGrid w:val="0"/>
          <w:szCs w:val="20"/>
        </w:rPr>
        <w:t>.</w:t>
      </w:r>
    </w:p>
    <w:p w:rsidR="005E290D" w:rsidRPr="00257D4F" w:rsidRDefault="005E290D" w:rsidP="005E290D">
      <w:pPr>
        <w:spacing w:before="240" w:after="120"/>
        <w:jc w:val="both"/>
        <w:rPr>
          <w:rFonts w:ascii="Calibri" w:eastAsia="Times New Roman" w:hAnsi="Calibri" w:cs="Arial"/>
          <w:b/>
          <w:bCs/>
          <w:snapToGrid w:val="0"/>
          <w:szCs w:val="24"/>
          <w:lang w:val="en-GB"/>
        </w:rPr>
      </w:pPr>
      <w:r w:rsidRPr="00257D4F">
        <w:rPr>
          <w:rFonts w:ascii="Calibri" w:eastAsia="Times New Roman" w:hAnsi="Calibri" w:cs="Arial"/>
          <w:b/>
          <w:bCs/>
          <w:snapToGrid w:val="0"/>
          <w:szCs w:val="24"/>
          <w:lang w:val="en-GB"/>
        </w:rPr>
        <w:t>Outcome:</w:t>
      </w:r>
    </w:p>
    <w:p w:rsidR="005E290D" w:rsidRPr="00257D4F" w:rsidRDefault="007F2767" w:rsidP="005E290D">
      <w:pPr>
        <w:spacing w:before="0" w:after="120"/>
        <w:jc w:val="both"/>
        <w:rPr>
          <w:rFonts w:ascii="Calibri" w:eastAsia="Times New Roman" w:hAnsi="Calibri" w:cs="Arial"/>
          <w:bCs/>
          <w:snapToGrid w:val="0"/>
          <w:szCs w:val="24"/>
          <w:lang w:val="en-GB"/>
        </w:rPr>
      </w:pPr>
      <w:r w:rsidRPr="00257D4F">
        <w:rPr>
          <w:rFonts w:ascii="Calibri" w:eastAsia="Times New Roman" w:hAnsi="Calibri" w:cs="Arial"/>
          <w:bCs/>
          <w:snapToGrid w:val="0"/>
          <w:szCs w:val="24"/>
          <w:lang w:val="en-GB"/>
        </w:rPr>
        <w:t>Deferred</w:t>
      </w:r>
    </w:p>
    <w:p w:rsidR="006F5799" w:rsidRPr="006F5799" w:rsidRDefault="006F5799" w:rsidP="006F5799">
      <w:pPr>
        <w:pStyle w:val="Heading1"/>
        <w:numPr>
          <w:ilvl w:val="0"/>
          <w:numId w:val="13"/>
        </w:numPr>
      </w:pPr>
      <w:r w:rsidRPr="006F5799">
        <w:t>Context for Decision</w:t>
      </w:r>
    </w:p>
    <w:p w:rsidR="006F5799" w:rsidRPr="00440A84" w:rsidRDefault="006F5799" w:rsidP="006F5799">
      <w:pPr>
        <w:spacing w:after="0"/>
        <w:ind w:left="426"/>
        <w:jc w:val="both"/>
        <w:rPr>
          <w:rFonts w:cs="Arial"/>
          <w:szCs w:val="24"/>
        </w:rPr>
      </w:pPr>
    </w:p>
    <w:p w:rsidR="006F5799" w:rsidRPr="00440A84" w:rsidRDefault="006F5799" w:rsidP="006F5799">
      <w:pPr>
        <w:spacing w:after="0"/>
        <w:jc w:val="both"/>
        <w:rPr>
          <w:rFonts w:cs="Arial"/>
          <w:szCs w:val="24"/>
        </w:rPr>
      </w:pPr>
      <w:r w:rsidRPr="00440A84">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F5799" w:rsidRPr="006F5799" w:rsidRDefault="006F5799" w:rsidP="006F5799">
      <w:pPr>
        <w:pStyle w:val="Heading1"/>
        <w:numPr>
          <w:ilvl w:val="0"/>
          <w:numId w:val="13"/>
        </w:numPr>
      </w:pPr>
      <w:r w:rsidRPr="006F5799">
        <w:t>Sponsor’s Comment</w:t>
      </w:r>
    </w:p>
    <w:p w:rsidR="006F5799" w:rsidRPr="00440A84" w:rsidRDefault="006F5799" w:rsidP="006F5799">
      <w:pPr>
        <w:spacing w:after="0"/>
        <w:ind w:left="426"/>
        <w:jc w:val="both"/>
        <w:rPr>
          <w:rFonts w:cs="Arial"/>
          <w:bCs/>
          <w:szCs w:val="24"/>
          <w:highlight w:val="yellow"/>
          <w:lang w:val="en-GB"/>
        </w:rPr>
      </w:pPr>
    </w:p>
    <w:p w:rsidR="006F5799" w:rsidRPr="00440A84" w:rsidRDefault="006F5799" w:rsidP="006F5799">
      <w:pPr>
        <w:spacing w:after="120"/>
        <w:jc w:val="both"/>
        <w:rPr>
          <w:rFonts w:cs="Arial"/>
          <w:bCs/>
          <w:szCs w:val="24"/>
        </w:rPr>
      </w:pPr>
      <w:r w:rsidRPr="00440A84">
        <w:rPr>
          <w:rFonts w:cs="Arial"/>
          <w:bCs/>
          <w:szCs w:val="24"/>
        </w:rPr>
        <w:t>The sponsor had no comment.</w:t>
      </w:r>
    </w:p>
    <w:p w:rsidR="00870BC5" w:rsidRPr="005E290D" w:rsidRDefault="00870BC5" w:rsidP="005E290D"/>
    <w:sectPr w:rsidR="00870BC5" w:rsidRPr="005E290D" w:rsidSect="001E2A47">
      <w:headerReference w:type="even" r:id="rId9"/>
      <w:headerReference w:type="default" r:id="rId10"/>
      <w:footerReference w:type="even" r:id="rId11"/>
      <w:footerReference w:type="default" r:id="rId12"/>
      <w:headerReference w:type="first" r:id="rId13"/>
      <w:footerReference w:type="first" r:id="rId14"/>
      <w:pgSz w:w="11906" w:h="16838"/>
      <w:pgMar w:top="1086" w:right="1440" w:bottom="1440" w:left="1440" w:header="1156"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6A3F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B68" w:rsidRDefault="006D0B68" w:rsidP="00BA3306">
      <w:pPr>
        <w:spacing w:before="0" w:after="0"/>
      </w:pPr>
      <w:r>
        <w:separator/>
      </w:r>
    </w:p>
  </w:endnote>
  <w:endnote w:type="continuationSeparator" w:id="0">
    <w:p w:rsidR="006D0B68" w:rsidRDefault="006D0B68"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68" w:rsidRDefault="006D0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68" w:rsidRDefault="006D0B68" w:rsidP="00FC6393">
    <w:pPr>
      <w:pStyle w:val="Footer"/>
      <w:jc w:val="center"/>
    </w:pPr>
    <w:r w:rsidRPr="00FC6393">
      <w:rPr>
        <w:rFonts w:ascii="Calibri" w:eastAsia="Times New Roman" w:hAnsi="Calibri" w:cs="Arial"/>
        <w:szCs w:val="24"/>
      </w:rPr>
      <w:fldChar w:fldCharType="begin"/>
    </w:r>
    <w:r w:rsidRPr="00FC6393">
      <w:rPr>
        <w:rFonts w:ascii="Calibri" w:eastAsia="Times New Roman" w:hAnsi="Calibri" w:cs="Arial"/>
        <w:szCs w:val="24"/>
      </w:rPr>
      <w:instrText xml:space="preserve"> PAGE   \* MERGEFORMAT </w:instrText>
    </w:r>
    <w:r w:rsidRPr="00FC6393">
      <w:rPr>
        <w:rFonts w:ascii="Calibri" w:eastAsia="Times New Roman" w:hAnsi="Calibri" w:cs="Arial"/>
        <w:szCs w:val="24"/>
      </w:rPr>
      <w:fldChar w:fldCharType="separate"/>
    </w:r>
    <w:r w:rsidR="00CD31AB">
      <w:rPr>
        <w:rFonts w:ascii="Calibri" w:eastAsia="Times New Roman" w:hAnsi="Calibri" w:cs="Arial"/>
        <w:noProof/>
        <w:szCs w:val="24"/>
      </w:rPr>
      <w:t>19</w:t>
    </w:r>
    <w:r w:rsidRPr="00FC6393">
      <w:rPr>
        <w:rFonts w:ascii="Calibri" w:eastAsia="Times New Roman" w:hAnsi="Calibri" w:cs="Arial"/>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68" w:rsidRDefault="006D0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B68" w:rsidRDefault="006D0B68" w:rsidP="00BA3306">
      <w:pPr>
        <w:spacing w:before="0" w:after="0"/>
      </w:pPr>
      <w:r>
        <w:separator/>
      </w:r>
    </w:p>
  </w:footnote>
  <w:footnote w:type="continuationSeparator" w:id="0">
    <w:p w:rsidR="006D0B68" w:rsidRDefault="006D0B68"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68" w:rsidRDefault="006D0B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68" w:rsidRPr="00FC6393" w:rsidRDefault="006D0B68" w:rsidP="00FC6393">
    <w:pPr>
      <w:tabs>
        <w:tab w:val="center" w:pos="4153"/>
        <w:tab w:val="right" w:pos="8306"/>
      </w:tabs>
      <w:spacing w:before="0" w:after="120"/>
      <w:ind w:left="360"/>
      <w:jc w:val="center"/>
      <w:rPr>
        <w:rFonts w:ascii="Calibri" w:eastAsia="Times New Roman" w:hAnsi="Calibri" w:cs="Arial"/>
        <w:i/>
        <w:color w:val="808080"/>
        <w:szCs w:val="24"/>
      </w:rPr>
    </w:pPr>
    <w:r>
      <w:rPr>
        <w:rFonts w:ascii="Calibri" w:eastAsia="Times New Roman" w:hAnsi="Calibri" w:cs="Arial"/>
        <w:i/>
        <w:color w:val="808080"/>
        <w:szCs w:val="24"/>
      </w:rPr>
      <w:t xml:space="preserve">Public Summary Document </w:t>
    </w:r>
    <w:r w:rsidRPr="00FC6393">
      <w:rPr>
        <w:rFonts w:ascii="Calibri" w:eastAsia="Times New Roman" w:hAnsi="Calibri" w:cs="Arial"/>
        <w:i/>
        <w:color w:val="808080"/>
        <w:szCs w:val="24"/>
      </w:rPr>
      <w:t xml:space="preserve">– </w:t>
    </w:r>
    <w:r>
      <w:rPr>
        <w:rFonts w:ascii="Calibri" w:eastAsia="Times New Roman" w:hAnsi="Calibri" w:cs="Arial"/>
        <w:i/>
        <w:color w:val="808080"/>
        <w:szCs w:val="24"/>
      </w:rPr>
      <w:t>July 2017</w:t>
    </w:r>
    <w:r w:rsidRPr="00FC6393">
      <w:rPr>
        <w:rFonts w:ascii="Calibri" w:eastAsia="Times New Roman" w:hAnsi="Calibri" w:cs="Arial"/>
        <w:i/>
        <w:color w:val="808080"/>
        <w:szCs w:val="24"/>
      </w:rPr>
      <w:t xml:space="preserve"> PBAC Meeting</w:t>
    </w:r>
  </w:p>
  <w:p w:rsidR="006D0B68" w:rsidRPr="00FC6393" w:rsidRDefault="006D0B68" w:rsidP="00FC6393">
    <w:pPr>
      <w:tabs>
        <w:tab w:val="center" w:pos="4153"/>
        <w:tab w:val="right" w:pos="8306"/>
      </w:tabs>
      <w:spacing w:before="0" w:after="120"/>
      <w:ind w:left="360"/>
      <w:jc w:val="center"/>
      <w:rPr>
        <w:rFonts w:ascii="Calibri" w:eastAsia="Times New Roman" w:hAnsi="Calibri" w:cs="Arial"/>
        <w:i/>
        <w:color w:val="808080"/>
        <w:szCs w:val="24"/>
      </w:rPr>
    </w:pPr>
  </w:p>
  <w:p w:rsidR="006D0B68" w:rsidRPr="00FC6393" w:rsidRDefault="006D0B68" w:rsidP="00FC6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68" w:rsidRDefault="006D0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1CF0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040AD"/>
    <w:multiLevelType w:val="hybridMultilevel"/>
    <w:tmpl w:val="A674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84E6825"/>
    <w:multiLevelType w:val="multilevel"/>
    <w:tmpl w:val="6EE482C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E6C1D7C"/>
    <w:multiLevelType w:val="multilevel"/>
    <w:tmpl w:val="96D050C0"/>
    <w:lvl w:ilvl="0">
      <w:start w:val="1"/>
      <w:numFmt w:val="decimal"/>
      <w:lvlText w:val="%1"/>
      <w:lvlJc w:val="left"/>
      <w:pPr>
        <w:ind w:left="4827"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7AF66CB"/>
    <w:multiLevelType w:val="hybridMultilevel"/>
    <w:tmpl w:val="ACD29FF6"/>
    <w:lvl w:ilvl="0" w:tplc="815653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A1E48"/>
    <w:multiLevelType w:val="hybridMultilevel"/>
    <w:tmpl w:val="A9C8C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B6ECC"/>
    <w:multiLevelType w:val="hybridMultilevel"/>
    <w:tmpl w:val="99F604BC"/>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1">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4D033C"/>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B97319D"/>
    <w:multiLevelType w:val="hybridMultilevel"/>
    <w:tmpl w:val="2F4616E4"/>
    <w:lvl w:ilvl="0" w:tplc="71EE4B5A">
      <w:start w:val="1"/>
      <w:numFmt w:val="bullet"/>
      <w:lvlText w:val="•"/>
      <w:lvlJc w:val="left"/>
      <w:pPr>
        <w:tabs>
          <w:tab w:val="num" w:pos="720"/>
        </w:tabs>
        <w:ind w:left="720" w:hanging="360"/>
      </w:pPr>
      <w:rPr>
        <w:rFonts w:ascii="Arial" w:hAnsi="Arial" w:hint="default"/>
      </w:rPr>
    </w:lvl>
    <w:lvl w:ilvl="1" w:tplc="2250A5EA">
      <w:start w:val="1"/>
      <w:numFmt w:val="bullet"/>
      <w:lvlText w:val="•"/>
      <w:lvlJc w:val="left"/>
      <w:pPr>
        <w:tabs>
          <w:tab w:val="num" w:pos="1440"/>
        </w:tabs>
        <w:ind w:left="1440" w:hanging="360"/>
      </w:pPr>
      <w:rPr>
        <w:rFonts w:ascii="Arial" w:hAnsi="Arial" w:hint="default"/>
      </w:rPr>
    </w:lvl>
    <w:lvl w:ilvl="2" w:tplc="8E6C3C02" w:tentative="1">
      <w:start w:val="1"/>
      <w:numFmt w:val="bullet"/>
      <w:lvlText w:val="•"/>
      <w:lvlJc w:val="left"/>
      <w:pPr>
        <w:tabs>
          <w:tab w:val="num" w:pos="2160"/>
        </w:tabs>
        <w:ind w:left="2160" w:hanging="360"/>
      </w:pPr>
      <w:rPr>
        <w:rFonts w:ascii="Arial" w:hAnsi="Arial" w:hint="default"/>
      </w:rPr>
    </w:lvl>
    <w:lvl w:ilvl="3" w:tplc="7DC2E2E4" w:tentative="1">
      <w:start w:val="1"/>
      <w:numFmt w:val="bullet"/>
      <w:lvlText w:val="•"/>
      <w:lvlJc w:val="left"/>
      <w:pPr>
        <w:tabs>
          <w:tab w:val="num" w:pos="2880"/>
        </w:tabs>
        <w:ind w:left="2880" w:hanging="360"/>
      </w:pPr>
      <w:rPr>
        <w:rFonts w:ascii="Arial" w:hAnsi="Arial" w:hint="default"/>
      </w:rPr>
    </w:lvl>
    <w:lvl w:ilvl="4" w:tplc="EA22B0A2" w:tentative="1">
      <w:start w:val="1"/>
      <w:numFmt w:val="bullet"/>
      <w:lvlText w:val="•"/>
      <w:lvlJc w:val="left"/>
      <w:pPr>
        <w:tabs>
          <w:tab w:val="num" w:pos="3600"/>
        </w:tabs>
        <w:ind w:left="3600" w:hanging="360"/>
      </w:pPr>
      <w:rPr>
        <w:rFonts w:ascii="Arial" w:hAnsi="Arial" w:hint="default"/>
      </w:rPr>
    </w:lvl>
    <w:lvl w:ilvl="5" w:tplc="D6FAF124" w:tentative="1">
      <w:start w:val="1"/>
      <w:numFmt w:val="bullet"/>
      <w:lvlText w:val="•"/>
      <w:lvlJc w:val="left"/>
      <w:pPr>
        <w:tabs>
          <w:tab w:val="num" w:pos="4320"/>
        </w:tabs>
        <w:ind w:left="4320" w:hanging="360"/>
      </w:pPr>
      <w:rPr>
        <w:rFonts w:ascii="Arial" w:hAnsi="Arial" w:hint="default"/>
      </w:rPr>
    </w:lvl>
    <w:lvl w:ilvl="6" w:tplc="B6F2F248" w:tentative="1">
      <w:start w:val="1"/>
      <w:numFmt w:val="bullet"/>
      <w:lvlText w:val="•"/>
      <w:lvlJc w:val="left"/>
      <w:pPr>
        <w:tabs>
          <w:tab w:val="num" w:pos="5040"/>
        </w:tabs>
        <w:ind w:left="5040" w:hanging="360"/>
      </w:pPr>
      <w:rPr>
        <w:rFonts w:ascii="Arial" w:hAnsi="Arial" w:hint="default"/>
      </w:rPr>
    </w:lvl>
    <w:lvl w:ilvl="7" w:tplc="49B4CCB8" w:tentative="1">
      <w:start w:val="1"/>
      <w:numFmt w:val="bullet"/>
      <w:lvlText w:val="•"/>
      <w:lvlJc w:val="left"/>
      <w:pPr>
        <w:tabs>
          <w:tab w:val="num" w:pos="5760"/>
        </w:tabs>
        <w:ind w:left="5760" w:hanging="360"/>
      </w:pPr>
      <w:rPr>
        <w:rFonts w:ascii="Arial" w:hAnsi="Arial" w:hint="default"/>
      </w:rPr>
    </w:lvl>
    <w:lvl w:ilvl="8" w:tplc="41AA83C0" w:tentative="1">
      <w:start w:val="1"/>
      <w:numFmt w:val="bullet"/>
      <w:lvlText w:val="•"/>
      <w:lvlJc w:val="left"/>
      <w:pPr>
        <w:tabs>
          <w:tab w:val="num" w:pos="6480"/>
        </w:tabs>
        <w:ind w:left="6480" w:hanging="360"/>
      </w:pPr>
      <w:rPr>
        <w:rFonts w:ascii="Arial" w:hAnsi="Arial" w:hint="default"/>
      </w:rPr>
    </w:lvl>
  </w:abstractNum>
  <w:abstractNum w:abstractNumId="16">
    <w:nsid w:val="7F0D7892"/>
    <w:multiLevelType w:val="hybridMultilevel"/>
    <w:tmpl w:val="F7EE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14"/>
  </w:num>
  <w:num w:numId="5">
    <w:abstractNumId w:val="6"/>
  </w:num>
  <w:num w:numId="6">
    <w:abstractNumId w:val="13"/>
  </w:num>
  <w:num w:numId="7">
    <w:abstractNumId w:val="10"/>
  </w:num>
  <w:num w:numId="8">
    <w:abstractNumId w:val="2"/>
  </w:num>
  <w:num w:numId="9">
    <w:abstractNumId w:val="9"/>
  </w:num>
  <w:num w:numId="10">
    <w:abstractNumId w:val="16"/>
  </w:num>
  <w:num w:numId="11">
    <w:abstractNumId w:val="8"/>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0"/>
  </w:num>
  <w:num w:numId="18">
    <w:abstractNumId w:val="4"/>
  </w:num>
  <w:num w:numId="19">
    <w:abstractNumId w:val="5"/>
  </w:num>
  <w:num w:numId="20">
    <w:abstractNumId w:val="1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Howard">
    <w15:presenceInfo w15:providerId="AD" w15:userId="S-1-5-21-653478955-3067283134-999092648-38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7BB"/>
    <w:rsid w:val="0000131D"/>
    <w:rsid w:val="00001AB4"/>
    <w:rsid w:val="00001DFB"/>
    <w:rsid w:val="00001F25"/>
    <w:rsid w:val="00002366"/>
    <w:rsid w:val="00004959"/>
    <w:rsid w:val="00007109"/>
    <w:rsid w:val="0001066F"/>
    <w:rsid w:val="00011408"/>
    <w:rsid w:val="000115CA"/>
    <w:rsid w:val="000116E9"/>
    <w:rsid w:val="00011CC0"/>
    <w:rsid w:val="00013222"/>
    <w:rsid w:val="000155E1"/>
    <w:rsid w:val="0002068C"/>
    <w:rsid w:val="0002095B"/>
    <w:rsid w:val="00020A08"/>
    <w:rsid w:val="0002146C"/>
    <w:rsid w:val="00022DA3"/>
    <w:rsid w:val="00023F4B"/>
    <w:rsid w:val="000307CC"/>
    <w:rsid w:val="0003199D"/>
    <w:rsid w:val="00031BD7"/>
    <w:rsid w:val="00034404"/>
    <w:rsid w:val="000358DE"/>
    <w:rsid w:val="0003698F"/>
    <w:rsid w:val="000442CD"/>
    <w:rsid w:val="000461CF"/>
    <w:rsid w:val="000468E1"/>
    <w:rsid w:val="000507BF"/>
    <w:rsid w:val="00050E91"/>
    <w:rsid w:val="000522FB"/>
    <w:rsid w:val="00054C3F"/>
    <w:rsid w:val="00057F71"/>
    <w:rsid w:val="00060CBF"/>
    <w:rsid w:val="00062067"/>
    <w:rsid w:val="00062A99"/>
    <w:rsid w:val="00065C62"/>
    <w:rsid w:val="00065CDE"/>
    <w:rsid w:val="00065F4A"/>
    <w:rsid w:val="00071E09"/>
    <w:rsid w:val="00072CCD"/>
    <w:rsid w:val="00077AD2"/>
    <w:rsid w:val="00080FF3"/>
    <w:rsid w:val="00081581"/>
    <w:rsid w:val="000847FE"/>
    <w:rsid w:val="00086133"/>
    <w:rsid w:val="0009071B"/>
    <w:rsid w:val="00092175"/>
    <w:rsid w:val="000A1CBE"/>
    <w:rsid w:val="000A2694"/>
    <w:rsid w:val="000A2EF1"/>
    <w:rsid w:val="000A3417"/>
    <w:rsid w:val="000A3829"/>
    <w:rsid w:val="000A6EF1"/>
    <w:rsid w:val="000A6FBD"/>
    <w:rsid w:val="000B3E05"/>
    <w:rsid w:val="000B4409"/>
    <w:rsid w:val="000B56CD"/>
    <w:rsid w:val="000B6B69"/>
    <w:rsid w:val="000B72EA"/>
    <w:rsid w:val="000B7C49"/>
    <w:rsid w:val="000C0142"/>
    <w:rsid w:val="000C13F8"/>
    <w:rsid w:val="000C30A8"/>
    <w:rsid w:val="000C3369"/>
    <w:rsid w:val="000C495A"/>
    <w:rsid w:val="000C4E74"/>
    <w:rsid w:val="000C57A6"/>
    <w:rsid w:val="000C6A40"/>
    <w:rsid w:val="000D0023"/>
    <w:rsid w:val="000D0608"/>
    <w:rsid w:val="000D2EAF"/>
    <w:rsid w:val="000D4AA3"/>
    <w:rsid w:val="000D50EA"/>
    <w:rsid w:val="000D5E29"/>
    <w:rsid w:val="000D6EE9"/>
    <w:rsid w:val="000E0B7D"/>
    <w:rsid w:val="000E4614"/>
    <w:rsid w:val="000E5A26"/>
    <w:rsid w:val="000E672F"/>
    <w:rsid w:val="000F0395"/>
    <w:rsid w:val="000F2534"/>
    <w:rsid w:val="000F29A6"/>
    <w:rsid w:val="000F2CEA"/>
    <w:rsid w:val="000F3652"/>
    <w:rsid w:val="000F4140"/>
    <w:rsid w:val="000F4843"/>
    <w:rsid w:val="000F6C15"/>
    <w:rsid w:val="0010176E"/>
    <w:rsid w:val="00101A98"/>
    <w:rsid w:val="00101B50"/>
    <w:rsid w:val="00102974"/>
    <w:rsid w:val="00105A8C"/>
    <w:rsid w:val="001070D8"/>
    <w:rsid w:val="00112F50"/>
    <w:rsid w:val="0011324A"/>
    <w:rsid w:val="0011367B"/>
    <w:rsid w:val="001167A6"/>
    <w:rsid w:val="001169CB"/>
    <w:rsid w:val="00117E10"/>
    <w:rsid w:val="00122839"/>
    <w:rsid w:val="001256CE"/>
    <w:rsid w:val="0012701F"/>
    <w:rsid w:val="001279AE"/>
    <w:rsid w:val="00127D74"/>
    <w:rsid w:val="00127F2A"/>
    <w:rsid w:val="001301A0"/>
    <w:rsid w:val="0013292D"/>
    <w:rsid w:val="00136E76"/>
    <w:rsid w:val="0013783E"/>
    <w:rsid w:val="00143990"/>
    <w:rsid w:val="00145268"/>
    <w:rsid w:val="001468C6"/>
    <w:rsid w:val="00146C47"/>
    <w:rsid w:val="00151CB0"/>
    <w:rsid w:val="00155776"/>
    <w:rsid w:val="00155F02"/>
    <w:rsid w:val="0016142A"/>
    <w:rsid w:val="00165A49"/>
    <w:rsid w:val="00165E00"/>
    <w:rsid w:val="00165F84"/>
    <w:rsid w:val="00167B67"/>
    <w:rsid w:val="00173577"/>
    <w:rsid w:val="00176AA5"/>
    <w:rsid w:val="0017720E"/>
    <w:rsid w:val="00177893"/>
    <w:rsid w:val="0018095B"/>
    <w:rsid w:val="00180EE3"/>
    <w:rsid w:val="00182E0C"/>
    <w:rsid w:val="00184221"/>
    <w:rsid w:val="00186307"/>
    <w:rsid w:val="00186EBC"/>
    <w:rsid w:val="00187356"/>
    <w:rsid w:val="00187B36"/>
    <w:rsid w:val="00195DA4"/>
    <w:rsid w:val="0019735A"/>
    <w:rsid w:val="001A0142"/>
    <w:rsid w:val="001A24D0"/>
    <w:rsid w:val="001A2C50"/>
    <w:rsid w:val="001A4CB8"/>
    <w:rsid w:val="001A761D"/>
    <w:rsid w:val="001B00CE"/>
    <w:rsid w:val="001B192F"/>
    <w:rsid w:val="001B1AC2"/>
    <w:rsid w:val="001B1B35"/>
    <w:rsid w:val="001B3171"/>
    <w:rsid w:val="001B5A16"/>
    <w:rsid w:val="001B6389"/>
    <w:rsid w:val="001C04CC"/>
    <w:rsid w:val="001C051E"/>
    <w:rsid w:val="001C5DC7"/>
    <w:rsid w:val="001C7772"/>
    <w:rsid w:val="001D0FCF"/>
    <w:rsid w:val="001D2EEE"/>
    <w:rsid w:val="001D5DE3"/>
    <w:rsid w:val="001D6432"/>
    <w:rsid w:val="001D6DD4"/>
    <w:rsid w:val="001E1145"/>
    <w:rsid w:val="001E1E88"/>
    <w:rsid w:val="001E2A47"/>
    <w:rsid w:val="001E5918"/>
    <w:rsid w:val="001E609D"/>
    <w:rsid w:val="001F073C"/>
    <w:rsid w:val="001F1F76"/>
    <w:rsid w:val="001F2912"/>
    <w:rsid w:val="001F4E9A"/>
    <w:rsid w:val="001F5881"/>
    <w:rsid w:val="001F598C"/>
    <w:rsid w:val="001F645C"/>
    <w:rsid w:val="001F6948"/>
    <w:rsid w:val="001F6E99"/>
    <w:rsid w:val="00200296"/>
    <w:rsid w:val="00201ADB"/>
    <w:rsid w:val="00204678"/>
    <w:rsid w:val="002058E5"/>
    <w:rsid w:val="002075D3"/>
    <w:rsid w:val="002102FE"/>
    <w:rsid w:val="00210FAA"/>
    <w:rsid w:val="002120D0"/>
    <w:rsid w:val="002234A6"/>
    <w:rsid w:val="00224963"/>
    <w:rsid w:val="00226EC0"/>
    <w:rsid w:val="002318FA"/>
    <w:rsid w:val="00233D5F"/>
    <w:rsid w:val="00237B5B"/>
    <w:rsid w:val="002425EA"/>
    <w:rsid w:val="002426BD"/>
    <w:rsid w:val="00242A2A"/>
    <w:rsid w:val="00242EA0"/>
    <w:rsid w:val="00243685"/>
    <w:rsid w:val="00244399"/>
    <w:rsid w:val="0024635F"/>
    <w:rsid w:val="00247ED7"/>
    <w:rsid w:val="0025212F"/>
    <w:rsid w:val="00253FD7"/>
    <w:rsid w:val="002541EA"/>
    <w:rsid w:val="00255056"/>
    <w:rsid w:val="00255D60"/>
    <w:rsid w:val="0025613F"/>
    <w:rsid w:val="0025774C"/>
    <w:rsid w:val="00257D4F"/>
    <w:rsid w:val="00260C23"/>
    <w:rsid w:val="00261DC6"/>
    <w:rsid w:val="00264623"/>
    <w:rsid w:val="00265BA0"/>
    <w:rsid w:val="00267F96"/>
    <w:rsid w:val="00276398"/>
    <w:rsid w:val="00280A5B"/>
    <w:rsid w:val="00280B5B"/>
    <w:rsid w:val="00281A2F"/>
    <w:rsid w:val="002830C1"/>
    <w:rsid w:val="002836DF"/>
    <w:rsid w:val="00283A46"/>
    <w:rsid w:val="00283D45"/>
    <w:rsid w:val="0028794F"/>
    <w:rsid w:val="002928F4"/>
    <w:rsid w:val="002A03CF"/>
    <w:rsid w:val="002A0CBA"/>
    <w:rsid w:val="002A2038"/>
    <w:rsid w:val="002A219F"/>
    <w:rsid w:val="002A236C"/>
    <w:rsid w:val="002A23DB"/>
    <w:rsid w:val="002A2864"/>
    <w:rsid w:val="002A400F"/>
    <w:rsid w:val="002A40C0"/>
    <w:rsid w:val="002A4503"/>
    <w:rsid w:val="002A4F44"/>
    <w:rsid w:val="002A7614"/>
    <w:rsid w:val="002B4941"/>
    <w:rsid w:val="002B4CF8"/>
    <w:rsid w:val="002B5D74"/>
    <w:rsid w:val="002B6E5A"/>
    <w:rsid w:val="002B7ADB"/>
    <w:rsid w:val="002C1D2F"/>
    <w:rsid w:val="002C3607"/>
    <w:rsid w:val="002C3922"/>
    <w:rsid w:val="002C6E05"/>
    <w:rsid w:val="002D2AA9"/>
    <w:rsid w:val="002D2FCA"/>
    <w:rsid w:val="002D7823"/>
    <w:rsid w:val="002D7BDA"/>
    <w:rsid w:val="002E169D"/>
    <w:rsid w:val="002E1DFF"/>
    <w:rsid w:val="002E4C2D"/>
    <w:rsid w:val="002E5DEA"/>
    <w:rsid w:val="002E724A"/>
    <w:rsid w:val="002F2451"/>
    <w:rsid w:val="002F2E10"/>
    <w:rsid w:val="002F2E19"/>
    <w:rsid w:val="002F311E"/>
    <w:rsid w:val="002F71B8"/>
    <w:rsid w:val="003004EF"/>
    <w:rsid w:val="00301EA1"/>
    <w:rsid w:val="00302FCC"/>
    <w:rsid w:val="00305356"/>
    <w:rsid w:val="003062AE"/>
    <w:rsid w:val="00306476"/>
    <w:rsid w:val="00307398"/>
    <w:rsid w:val="00311BF5"/>
    <w:rsid w:val="003132C5"/>
    <w:rsid w:val="00315514"/>
    <w:rsid w:val="00315A35"/>
    <w:rsid w:val="00315CCE"/>
    <w:rsid w:val="00317AA0"/>
    <w:rsid w:val="003203FB"/>
    <w:rsid w:val="00321375"/>
    <w:rsid w:val="00322114"/>
    <w:rsid w:val="00322603"/>
    <w:rsid w:val="003237C3"/>
    <w:rsid w:val="00327C04"/>
    <w:rsid w:val="00331F8A"/>
    <w:rsid w:val="00334ACF"/>
    <w:rsid w:val="003351F4"/>
    <w:rsid w:val="0033521C"/>
    <w:rsid w:val="0034068C"/>
    <w:rsid w:val="00341A14"/>
    <w:rsid w:val="00341BB4"/>
    <w:rsid w:val="0034623C"/>
    <w:rsid w:val="00351381"/>
    <w:rsid w:val="003530A6"/>
    <w:rsid w:val="00353627"/>
    <w:rsid w:val="00355508"/>
    <w:rsid w:val="00355F72"/>
    <w:rsid w:val="00356496"/>
    <w:rsid w:val="00357657"/>
    <w:rsid w:val="003605DC"/>
    <w:rsid w:val="00360DE0"/>
    <w:rsid w:val="00360FC9"/>
    <w:rsid w:val="00361FAE"/>
    <w:rsid w:val="0036268D"/>
    <w:rsid w:val="0036380D"/>
    <w:rsid w:val="003639A6"/>
    <w:rsid w:val="003679AE"/>
    <w:rsid w:val="00370FF1"/>
    <w:rsid w:val="0038281C"/>
    <w:rsid w:val="003836FE"/>
    <w:rsid w:val="00385A64"/>
    <w:rsid w:val="00386D1A"/>
    <w:rsid w:val="0039026A"/>
    <w:rsid w:val="00391804"/>
    <w:rsid w:val="003949ED"/>
    <w:rsid w:val="00396E35"/>
    <w:rsid w:val="00397170"/>
    <w:rsid w:val="003A3433"/>
    <w:rsid w:val="003A537E"/>
    <w:rsid w:val="003A62C9"/>
    <w:rsid w:val="003A660F"/>
    <w:rsid w:val="003A725A"/>
    <w:rsid w:val="003A7F26"/>
    <w:rsid w:val="003B0067"/>
    <w:rsid w:val="003B095E"/>
    <w:rsid w:val="003B11C0"/>
    <w:rsid w:val="003B1215"/>
    <w:rsid w:val="003B335D"/>
    <w:rsid w:val="003B46D9"/>
    <w:rsid w:val="003C0EAF"/>
    <w:rsid w:val="003C1A9F"/>
    <w:rsid w:val="003C5146"/>
    <w:rsid w:val="003C53A0"/>
    <w:rsid w:val="003C5E6D"/>
    <w:rsid w:val="003D101D"/>
    <w:rsid w:val="003D11A9"/>
    <w:rsid w:val="003D14DB"/>
    <w:rsid w:val="003D1825"/>
    <w:rsid w:val="003D2A37"/>
    <w:rsid w:val="003D32AF"/>
    <w:rsid w:val="003D42A2"/>
    <w:rsid w:val="003D4C54"/>
    <w:rsid w:val="003D5030"/>
    <w:rsid w:val="003D69EF"/>
    <w:rsid w:val="003E0EDB"/>
    <w:rsid w:val="003E2245"/>
    <w:rsid w:val="003E3B39"/>
    <w:rsid w:val="003E47A6"/>
    <w:rsid w:val="003E60A2"/>
    <w:rsid w:val="003E6475"/>
    <w:rsid w:val="003F105A"/>
    <w:rsid w:val="003F3768"/>
    <w:rsid w:val="003F4CB7"/>
    <w:rsid w:val="003F6199"/>
    <w:rsid w:val="00400294"/>
    <w:rsid w:val="004018A5"/>
    <w:rsid w:val="004033BF"/>
    <w:rsid w:val="00403840"/>
    <w:rsid w:val="00405227"/>
    <w:rsid w:val="00410570"/>
    <w:rsid w:val="00416C2A"/>
    <w:rsid w:val="00421450"/>
    <w:rsid w:val="00426626"/>
    <w:rsid w:val="004267CE"/>
    <w:rsid w:val="00427E55"/>
    <w:rsid w:val="00430C1A"/>
    <w:rsid w:val="00432442"/>
    <w:rsid w:val="0043325D"/>
    <w:rsid w:val="00436E07"/>
    <w:rsid w:val="00437384"/>
    <w:rsid w:val="00437BB5"/>
    <w:rsid w:val="00441397"/>
    <w:rsid w:val="00443B59"/>
    <w:rsid w:val="0044758A"/>
    <w:rsid w:val="004513CC"/>
    <w:rsid w:val="00453076"/>
    <w:rsid w:val="00453BAE"/>
    <w:rsid w:val="00453D59"/>
    <w:rsid w:val="00453DEC"/>
    <w:rsid w:val="00454265"/>
    <w:rsid w:val="004545D7"/>
    <w:rsid w:val="0045534F"/>
    <w:rsid w:val="00460F00"/>
    <w:rsid w:val="004619BB"/>
    <w:rsid w:val="004638F5"/>
    <w:rsid w:val="00465D3F"/>
    <w:rsid w:val="0046621E"/>
    <w:rsid w:val="00470E03"/>
    <w:rsid w:val="00472D4D"/>
    <w:rsid w:val="004919DD"/>
    <w:rsid w:val="00494F7C"/>
    <w:rsid w:val="004954CD"/>
    <w:rsid w:val="00497D03"/>
    <w:rsid w:val="004A2DF5"/>
    <w:rsid w:val="004A4E35"/>
    <w:rsid w:val="004A4EF3"/>
    <w:rsid w:val="004B02D8"/>
    <w:rsid w:val="004B1111"/>
    <w:rsid w:val="004B3C00"/>
    <w:rsid w:val="004B5288"/>
    <w:rsid w:val="004B7FBF"/>
    <w:rsid w:val="004C0090"/>
    <w:rsid w:val="004C0361"/>
    <w:rsid w:val="004C4CD6"/>
    <w:rsid w:val="004C6661"/>
    <w:rsid w:val="004D041D"/>
    <w:rsid w:val="004D1006"/>
    <w:rsid w:val="004D45DF"/>
    <w:rsid w:val="004D5C87"/>
    <w:rsid w:val="004D60E6"/>
    <w:rsid w:val="004E07B5"/>
    <w:rsid w:val="004E0C0B"/>
    <w:rsid w:val="004E2125"/>
    <w:rsid w:val="004E23DA"/>
    <w:rsid w:val="004E3470"/>
    <w:rsid w:val="004E3BF4"/>
    <w:rsid w:val="004E55C9"/>
    <w:rsid w:val="004E59E3"/>
    <w:rsid w:val="004F1F36"/>
    <w:rsid w:val="004F3688"/>
    <w:rsid w:val="004F3AAE"/>
    <w:rsid w:val="004F4BDE"/>
    <w:rsid w:val="004F79ED"/>
    <w:rsid w:val="004F7CAC"/>
    <w:rsid w:val="00502224"/>
    <w:rsid w:val="00502BF3"/>
    <w:rsid w:val="00503C9C"/>
    <w:rsid w:val="00504958"/>
    <w:rsid w:val="005054DD"/>
    <w:rsid w:val="00511320"/>
    <w:rsid w:val="005143F9"/>
    <w:rsid w:val="0051518C"/>
    <w:rsid w:val="00516566"/>
    <w:rsid w:val="00516D3C"/>
    <w:rsid w:val="005218C3"/>
    <w:rsid w:val="005246E8"/>
    <w:rsid w:val="005249D1"/>
    <w:rsid w:val="00531C11"/>
    <w:rsid w:val="00532A3D"/>
    <w:rsid w:val="005337A0"/>
    <w:rsid w:val="00534815"/>
    <w:rsid w:val="005350A8"/>
    <w:rsid w:val="00535C74"/>
    <w:rsid w:val="005361AB"/>
    <w:rsid w:val="005365C0"/>
    <w:rsid w:val="005409C4"/>
    <w:rsid w:val="00541D43"/>
    <w:rsid w:val="00542068"/>
    <w:rsid w:val="00543AF9"/>
    <w:rsid w:val="00546965"/>
    <w:rsid w:val="00547EB9"/>
    <w:rsid w:val="00551DBD"/>
    <w:rsid w:val="005524C9"/>
    <w:rsid w:val="0055532F"/>
    <w:rsid w:val="005558A9"/>
    <w:rsid w:val="00561D24"/>
    <w:rsid w:val="00561E12"/>
    <w:rsid w:val="005632A2"/>
    <w:rsid w:val="00566F5A"/>
    <w:rsid w:val="00571191"/>
    <w:rsid w:val="005714B7"/>
    <w:rsid w:val="00571FA6"/>
    <w:rsid w:val="0057245B"/>
    <w:rsid w:val="00576ADE"/>
    <w:rsid w:val="00577CFD"/>
    <w:rsid w:val="00577DEF"/>
    <w:rsid w:val="005835DD"/>
    <w:rsid w:val="00583C3E"/>
    <w:rsid w:val="005948CC"/>
    <w:rsid w:val="005953A0"/>
    <w:rsid w:val="00596651"/>
    <w:rsid w:val="005969AB"/>
    <w:rsid w:val="0059765B"/>
    <w:rsid w:val="005976D5"/>
    <w:rsid w:val="00597972"/>
    <w:rsid w:val="005A279F"/>
    <w:rsid w:val="005B355F"/>
    <w:rsid w:val="005C11EF"/>
    <w:rsid w:val="005C2DE3"/>
    <w:rsid w:val="005C73A7"/>
    <w:rsid w:val="005D5BA1"/>
    <w:rsid w:val="005E1535"/>
    <w:rsid w:val="005E290D"/>
    <w:rsid w:val="005E49B2"/>
    <w:rsid w:val="005E78E8"/>
    <w:rsid w:val="005F0AE8"/>
    <w:rsid w:val="005F2A6B"/>
    <w:rsid w:val="005F40C1"/>
    <w:rsid w:val="005F55DB"/>
    <w:rsid w:val="006024D3"/>
    <w:rsid w:val="00606EF9"/>
    <w:rsid w:val="0060706A"/>
    <w:rsid w:val="00607758"/>
    <w:rsid w:val="00610D5E"/>
    <w:rsid w:val="006110E8"/>
    <w:rsid w:val="00613467"/>
    <w:rsid w:val="00614198"/>
    <w:rsid w:val="00614F12"/>
    <w:rsid w:val="00615AF6"/>
    <w:rsid w:val="0061643E"/>
    <w:rsid w:val="006175A5"/>
    <w:rsid w:val="00620DAF"/>
    <w:rsid w:val="00621CF2"/>
    <w:rsid w:val="00623781"/>
    <w:rsid w:val="00624315"/>
    <w:rsid w:val="0062545B"/>
    <w:rsid w:val="0062552A"/>
    <w:rsid w:val="00625A0D"/>
    <w:rsid w:val="0063003E"/>
    <w:rsid w:val="0063137B"/>
    <w:rsid w:val="00631D5F"/>
    <w:rsid w:val="006325FE"/>
    <w:rsid w:val="006332BE"/>
    <w:rsid w:val="006408C3"/>
    <w:rsid w:val="00644867"/>
    <w:rsid w:val="0064620D"/>
    <w:rsid w:val="006476E5"/>
    <w:rsid w:val="00650A01"/>
    <w:rsid w:val="0065209E"/>
    <w:rsid w:val="006553EA"/>
    <w:rsid w:val="00657754"/>
    <w:rsid w:val="00662A9B"/>
    <w:rsid w:val="00662DFF"/>
    <w:rsid w:val="00663E89"/>
    <w:rsid w:val="00664356"/>
    <w:rsid w:val="00670524"/>
    <w:rsid w:val="00672120"/>
    <w:rsid w:val="0067493C"/>
    <w:rsid w:val="006755FE"/>
    <w:rsid w:val="00676E3A"/>
    <w:rsid w:val="00683013"/>
    <w:rsid w:val="00687CAF"/>
    <w:rsid w:val="00690711"/>
    <w:rsid w:val="00691913"/>
    <w:rsid w:val="00691B0F"/>
    <w:rsid w:val="006923F4"/>
    <w:rsid w:val="00692731"/>
    <w:rsid w:val="00692AB4"/>
    <w:rsid w:val="00693BE2"/>
    <w:rsid w:val="00694599"/>
    <w:rsid w:val="006945B5"/>
    <w:rsid w:val="00696BB8"/>
    <w:rsid w:val="006A138B"/>
    <w:rsid w:val="006A2A6A"/>
    <w:rsid w:val="006B0DF7"/>
    <w:rsid w:val="006B140A"/>
    <w:rsid w:val="006B538D"/>
    <w:rsid w:val="006B598E"/>
    <w:rsid w:val="006C1483"/>
    <w:rsid w:val="006C29E8"/>
    <w:rsid w:val="006C4906"/>
    <w:rsid w:val="006C7712"/>
    <w:rsid w:val="006D09E8"/>
    <w:rsid w:val="006D0B68"/>
    <w:rsid w:val="006D0D4B"/>
    <w:rsid w:val="006D141F"/>
    <w:rsid w:val="006D3271"/>
    <w:rsid w:val="006D3D12"/>
    <w:rsid w:val="006D3D95"/>
    <w:rsid w:val="006D3F92"/>
    <w:rsid w:val="006D5ED7"/>
    <w:rsid w:val="006D79D9"/>
    <w:rsid w:val="006E4C03"/>
    <w:rsid w:val="006E533C"/>
    <w:rsid w:val="006E614A"/>
    <w:rsid w:val="006E727D"/>
    <w:rsid w:val="006E7302"/>
    <w:rsid w:val="006F161E"/>
    <w:rsid w:val="006F21CC"/>
    <w:rsid w:val="006F2DAF"/>
    <w:rsid w:val="006F33F2"/>
    <w:rsid w:val="006F5799"/>
    <w:rsid w:val="00704067"/>
    <w:rsid w:val="007114CC"/>
    <w:rsid w:val="00711CDA"/>
    <w:rsid w:val="00712AD0"/>
    <w:rsid w:val="00712C73"/>
    <w:rsid w:val="007139B0"/>
    <w:rsid w:val="0071578D"/>
    <w:rsid w:val="00722244"/>
    <w:rsid w:val="00723E1E"/>
    <w:rsid w:val="00724B47"/>
    <w:rsid w:val="007253C2"/>
    <w:rsid w:val="00725BC6"/>
    <w:rsid w:val="007312F2"/>
    <w:rsid w:val="0073557D"/>
    <w:rsid w:val="0073607B"/>
    <w:rsid w:val="00750831"/>
    <w:rsid w:val="007509A6"/>
    <w:rsid w:val="00750B5A"/>
    <w:rsid w:val="00756E81"/>
    <w:rsid w:val="00762A86"/>
    <w:rsid w:val="00763EFD"/>
    <w:rsid w:val="00765390"/>
    <w:rsid w:val="00767146"/>
    <w:rsid w:val="00767CE7"/>
    <w:rsid w:val="007702B9"/>
    <w:rsid w:val="00770869"/>
    <w:rsid w:val="0077141A"/>
    <w:rsid w:val="00772C70"/>
    <w:rsid w:val="00774EEC"/>
    <w:rsid w:val="007773C4"/>
    <w:rsid w:val="0077765C"/>
    <w:rsid w:val="00781FA9"/>
    <w:rsid w:val="007847FA"/>
    <w:rsid w:val="00790910"/>
    <w:rsid w:val="00791DE1"/>
    <w:rsid w:val="00793D2C"/>
    <w:rsid w:val="0079498D"/>
    <w:rsid w:val="00795CB7"/>
    <w:rsid w:val="0079757E"/>
    <w:rsid w:val="007A3A8C"/>
    <w:rsid w:val="007A5146"/>
    <w:rsid w:val="007A6DEC"/>
    <w:rsid w:val="007B0E0C"/>
    <w:rsid w:val="007B1A4A"/>
    <w:rsid w:val="007B5C73"/>
    <w:rsid w:val="007B6D0F"/>
    <w:rsid w:val="007C0A5B"/>
    <w:rsid w:val="007C26E5"/>
    <w:rsid w:val="007C3458"/>
    <w:rsid w:val="007C720A"/>
    <w:rsid w:val="007C7B1D"/>
    <w:rsid w:val="007D0F75"/>
    <w:rsid w:val="007D1092"/>
    <w:rsid w:val="007D2621"/>
    <w:rsid w:val="007E3334"/>
    <w:rsid w:val="007E74A8"/>
    <w:rsid w:val="007E7F8A"/>
    <w:rsid w:val="007F0529"/>
    <w:rsid w:val="007F08CA"/>
    <w:rsid w:val="007F25AF"/>
    <w:rsid w:val="007F2767"/>
    <w:rsid w:val="007F3B6E"/>
    <w:rsid w:val="007F635F"/>
    <w:rsid w:val="008011F9"/>
    <w:rsid w:val="00801CF3"/>
    <w:rsid w:val="0080225F"/>
    <w:rsid w:val="0080293E"/>
    <w:rsid w:val="00806434"/>
    <w:rsid w:val="008067B7"/>
    <w:rsid w:val="008070D9"/>
    <w:rsid w:val="008073CC"/>
    <w:rsid w:val="00810563"/>
    <w:rsid w:val="00810616"/>
    <w:rsid w:val="00813288"/>
    <w:rsid w:val="008142F0"/>
    <w:rsid w:val="00814EA7"/>
    <w:rsid w:val="00816AF7"/>
    <w:rsid w:val="00816BBD"/>
    <w:rsid w:val="008173A1"/>
    <w:rsid w:val="00821A29"/>
    <w:rsid w:val="00823233"/>
    <w:rsid w:val="00824426"/>
    <w:rsid w:val="008302E9"/>
    <w:rsid w:val="00830E52"/>
    <w:rsid w:val="008324E3"/>
    <w:rsid w:val="00835E77"/>
    <w:rsid w:val="00836E8D"/>
    <w:rsid w:val="008370D7"/>
    <w:rsid w:val="00837736"/>
    <w:rsid w:val="00840C59"/>
    <w:rsid w:val="00841B5A"/>
    <w:rsid w:val="008450E1"/>
    <w:rsid w:val="00845946"/>
    <w:rsid w:val="00845A9C"/>
    <w:rsid w:val="008476A0"/>
    <w:rsid w:val="00852F38"/>
    <w:rsid w:val="00856C34"/>
    <w:rsid w:val="0086534F"/>
    <w:rsid w:val="00865DC1"/>
    <w:rsid w:val="00870BC5"/>
    <w:rsid w:val="00871942"/>
    <w:rsid w:val="00871E0B"/>
    <w:rsid w:val="008750F9"/>
    <w:rsid w:val="00875341"/>
    <w:rsid w:val="0087536F"/>
    <w:rsid w:val="008767A1"/>
    <w:rsid w:val="00877207"/>
    <w:rsid w:val="00877DA3"/>
    <w:rsid w:val="00880A40"/>
    <w:rsid w:val="00882A4A"/>
    <w:rsid w:val="0088429E"/>
    <w:rsid w:val="00885B8F"/>
    <w:rsid w:val="00885EEE"/>
    <w:rsid w:val="008863E7"/>
    <w:rsid w:val="008869F4"/>
    <w:rsid w:val="00891361"/>
    <w:rsid w:val="00891ADD"/>
    <w:rsid w:val="00893EEF"/>
    <w:rsid w:val="008951F9"/>
    <w:rsid w:val="008A018C"/>
    <w:rsid w:val="008A020B"/>
    <w:rsid w:val="008A469A"/>
    <w:rsid w:val="008A4880"/>
    <w:rsid w:val="008A52B1"/>
    <w:rsid w:val="008A5E86"/>
    <w:rsid w:val="008B0F6A"/>
    <w:rsid w:val="008B4097"/>
    <w:rsid w:val="008B5B32"/>
    <w:rsid w:val="008B6D7A"/>
    <w:rsid w:val="008B7BF7"/>
    <w:rsid w:val="008C175C"/>
    <w:rsid w:val="008C2B71"/>
    <w:rsid w:val="008C5069"/>
    <w:rsid w:val="008C5C6D"/>
    <w:rsid w:val="008C688F"/>
    <w:rsid w:val="008D31EA"/>
    <w:rsid w:val="008D37B2"/>
    <w:rsid w:val="008D3DE7"/>
    <w:rsid w:val="008D496B"/>
    <w:rsid w:val="008D63BC"/>
    <w:rsid w:val="008D7010"/>
    <w:rsid w:val="008D78FF"/>
    <w:rsid w:val="008E2A47"/>
    <w:rsid w:val="008E3B5D"/>
    <w:rsid w:val="008E7BC4"/>
    <w:rsid w:val="008F0294"/>
    <w:rsid w:val="008F5AAA"/>
    <w:rsid w:val="008F5B9F"/>
    <w:rsid w:val="008F5F45"/>
    <w:rsid w:val="008F691D"/>
    <w:rsid w:val="008F72BF"/>
    <w:rsid w:val="00900B49"/>
    <w:rsid w:val="00900D24"/>
    <w:rsid w:val="00903493"/>
    <w:rsid w:val="0090491D"/>
    <w:rsid w:val="00906856"/>
    <w:rsid w:val="00907FEF"/>
    <w:rsid w:val="00910141"/>
    <w:rsid w:val="009132E8"/>
    <w:rsid w:val="00914897"/>
    <w:rsid w:val="00914DA7"/>
    <w:rsid w:val="00915F63"/>
    <w:rsid w:val="009177E9"/>
    <w:rsid w:val="0092143C"/>
    <w:rsid w:val="00923B24"/>
    <w:rsid w:val="00925CB7"/>
    <w:rsid w:val="00926146"/>
    <w:rsid w:val="009277B4"/>
    <w:rsid w:val="009331CF"/>
    <w:rsid w:val="009334AC"/>
    <w:rsid w:val="00934711"/>
    <w:rsid w:val="00936C3F"/>
    <w:rsid w:val="00936DAC"/>
    <w:rsid w:val="00942010"/>
    <w:rsid w:val="0094320A"/>
    <w:rsid w:val="009439F4"/>
    <w:rsid w:val="00947DE3"/>
    <w:rsid w:val="0095170D"/>
    <w:rsid w:val="00951BA4"/>
    <w:rsid w:val="0095307F"/>
    <w:rsid w:val="00955526"/>
    <w:rsid w:val="0096170F"/>
    <w:rsid w:val="00966C09"/>
    <w:rsid w:val="00970E44"/>
    <w:rsid w:val="009756DA"/>
    <w:rsid w:val="009805E6"/>
    <w:rsid w:val="00980B83"/>
    <w:rsid w:val="0098157B"/>
    <w:rsid w:val="0098250F"/>
    <w:rsid w:val="00982B99"/>
    <w:rsid w:val="00983766"/>
    <w:rsid w:val="0098439B"/>
    <w:rsid w:val="00984441"/>
    <w:rsid w:val="009844CF"/>
    <w:rsid w:val="00984DD8"/>
    <w:rsid w:val="009854B5"/>
    <w:rsid w:val="00985B78"/>
    <w:rsid w:val="0099085F"/>
    <w:rsid w:val="009909B0"/>
    <w:rsid w:val="009925DB"/>
    <w:rsid w:val="00993CC9"/>
    <w:rsid w:val="0099443A"/>
    <w:rsid w:val="00994C84"/>
    <w:rsid w:val="00994E01"/>
    <w:rsid w:val="00995190"/>
    <w:rsid w:val="009A0499"/>
    <w:rsid w:val="009A0C76"/>
    <w:rsid w:val="009A364D"/>
    <w:rsid w:val="009A383C"/>
    <w:rsid w:val="009A4A9E"/>
    <w:rsid w:val="009A4E8A"/>
    <w:rsid w:val="009A6F74"/>
    <w:rsid w:val="009B0867"/>
    <w:rsid w:val="009B1F9E"/>
    <w:rsid w:val="009B527E"/>
    <w:rsid w:val="009B677E"/>
    <w:rsid w:val="009D2B30"/>
    <w:rsid w:val="009D3628"/>
    <w:rsid w:val="009D4350"/>
    <w:rsid w:val="009D4C2A"/>
    <w:rsid w:val="009D6914"/>
    <w:rsid w:val="009D707B"/>
    <w:rsid w:val="009E0A03"/>
    <w:rsid w:val="009E144C"/>
    <w:rsid w:val="009E1C22"/>
    <w:rsid w:val="009E2481"/>
    <w:rsid w:val="009E3380"/>
    <w:rsid w:val="009E60DA"/>
    <w:rsid w:val="009F095C"/>
    <w:rsid w:val="009F3631"/>
    <w:rsid w:val="009F3790"/>
    <w:rsid w:val="009F4655"/>
    <w:rsid w:val="009F563A"/>
    <w:rsid w:val="009F7CEB"/>
    <w:rsid w:val="00A00165"/>
    <w:rsid w:val="00A03117"/>
    <w:rsid w:val="00A040FD"/>
    <w:rsid w:val="00A0426A"/>
    <w:rsid w:val="00A04560"/>
    <w:rsid w:val="00A04C0D"/>
    <w:rsid w:val="00A13567"/>
    <w:rsid w:val="00A14F73"/>
    <w:rsid w:val="00A15ECD"/>
    <w:rsid w:val="00A20B1A"/>
    <w:rsid w:val="00A2110A"/>
    <w:rsid w:val="00A22A39"/>
    <w:rsid w:val="00A33A27"/>
    <w:rsid w:val="00A33D1B"/>
    <w:rsid w:val="00A3464A"/>
    <w:rsid w:val="00A40A66"/>
    <w:rsid w:val="00A41E5D"/>
    <w:rsid w:val="00A432DC"/>
    <w:rsid w:val="00A4392A"/>
    <w:rsid w:val="00A44774"/>
    <w:rsid w:val="00A45F1A"/>
    <w:rsid w:val="00A463CF"/>
    <w:rsid w:val="00A535FB"/>
    <w:rsid w:val="00A550D7"/>
    <w:rsid w:val="00A5560C"/>
    <w:rsid w:val="00A56030"/>
    <w:rsid w:val="00A571D4"/>
    <w:rsid w:val="00A6081F"/>
    <w:rsid w:val="00A61483"/>
    <w:rsid w:val="00A6374D"/>
    <w:rsid w:val="00A66052"/>
    <w:rsid w:val="00A67F8A"/>
    <w:rsid w:val="00A7336D"/>
    <w:rsid w:val="00A7339C"/>
    <w:rsid w:val="00A74F05"/>
    <w:rsid w:val="00A81F82"/>
    <w:rsid w:val="00A841B0"/>
    <w:rsid w:val="00A84B13"/>
    <w:rsid w:val="00A85A2B"/>
    <w:rsid w:val="00A87B7F"/>
    <w:rsid w:val="00A915C4"/>
    <w:rsid w:val="00A93543"/>
    <w:rsid w:val="00A93731"/>
    <w:rsid w:val="00A94EFC"/>
    <w:rsid w:val="00A953DC"/>
    <w:rsid w:val="00A955B2"/>
    <w:rsid w:val="00A95BB3"/>
    <w:rsid w:val="00A96F4D"/>
    <w:rsid w:val="00AA1681"/>
    <w:rsid w:val="00AA1CBD"/>
    <w:rsid w:val="00AA2FA1"/>
    <w:rsid w:val="00AA4F40"/>
    <w:rsid w:val="00AA51C1"/>
    <w:rsid w:val="00AA6156"/>
    <w:rsid w:val="00AA73AC"/>
    <w:rsid w:val="00AA75CF"/>
    <w:rsid w:val="00AA7B77"/>
    <w:rsid w:val="00AB187A"/>
    <w:rsid w:val="00AB4A27"/>
    <w:rsid w:val="00AB514A"/>
    <w:rsid w:val="00AC11C0"/>
    <w:rsid w:val="00AC3AF7"/>
    <w:rsid w:val="00AC3B27"/>
    <w:rsid w:val="00AC48A7"/>
    <w:rsid w:val="00AC50E3"/>
    <w:rsid w:val="00AC74D6"/>
    <w:rsid w:val="00AC78F6"/>
    <w:rsid w:val="00AD06B8"/>
    <w:rsid w:val="00AD4131"/>
    <w:rsid w:val="00AD51C9"/>
    <w:rsid w:val="00AD6CCA"/>
    <w:rsid w:val="00AE2A68"/>
    <w:rsid w:val="00AE7F95"/>
    <w:rsid w:val="00AE7FA6"/>
    <w:rsid w:val="00AF0DF9"/>
    <w:rsid w:val="00AF1595"/>
    <w:rsid w:val="00AF4BE4"/>
    <w:rsid w:val="00AF6092"/>
    <w:rsid w:val="00AF679A"/>
    <w:rsid w:val="00AF783D"/>
    <w:rsid w:val="00B00217"/>
    <w:rsid w:val="00B01D64"/>
    <w:rsid w:val="00B048E4"/>
    <w:rsid w:val="00B05A6C"/>
    <w:rsid w:val="00B10035"/>
    <w:rsid w:val="00B11D4F"/>
    <w:rsid w:val="00B11EA0"/>
    <w:rsid w:val="00B12C29"/>
    <w:rsid w:val="00B1696B"/>
    <w:rsid w:val="00B1711C"/>
    <w:rsid w:val="00B17FDB"/>
    <w:rsid w:val="00B21BB1"/>
    <w:rsid w:val="00B25D68"/>
    <w:rsid w:val="00B2646E"/>
    <w:rsid w:val="00B26786"/>
    <w:rsid w:val="00B2777B"/>
    <w:rsid w:val="00B27F68"/>
    <w:rsid w:val="00B3359F"/>
    <w:rsid w:val="00B34496"/>
    <w:rsid w:val="00B41C5D"/>
    <w:rsid w:val="00B42CA1"/>
    <w:rsid w:val="00B44EB3"/>
    <w:rsid w:val="00B50605"/>
    <w:rsid w:val="00B544C5"/>
    <w:rsid w:val="00B57154"/>
    <w:rsid w:val="00B577D7"/>
    <w:rsid w:val="00B625D9"/>
    <w:rsid w:val="00B62785"/>
    <w:rsid w:val="00B64909"/>
    <w:rsid w:val="00B66C37"/>
    <w:rsid w:val="00B66FD4"/>
    <w:rsid w:val="00B67119"/>
    <w:rsid w:val="00B67266"/>
    <w:rsid w:val="00B71675"/>
    <w:rsid w:val="00B71B62"/>
    <w:rsid w:val="00B7448E"/>
    <w:rsid w:val="00B75105"/>
    <w:rsid w:val="00B75BC0"/>
    <w:rsid w:val="00B7796D"/>
    <w:rsid w:val="00B80B83"/>
    <w:rsid w:val="00B83273"/>
    <w:rsid w:val="00B863A0"/>
    <w:rsid w:val="00B90670"/>
    <w:rsid w:val="00B912E5"/>
    <w:rsid w:val="00B918B4"/>
    <w:rsid w:val="00B93B06"/>
    <w:rsid w:val="00B9417C"/>
    <w:rsid w:val="00B94531"/>
    <w:rsid w:val="00B95B49"/>
    <w:rsid w:val="00B96501"/>
    <w:rsid w:val="00B97B76"/>
    <w:rsid w:val="00BA01AB"/>
    <w:rsid w:val="00BA13A2"/>
    <w:rsid w:val="00BA15D2"/>
    <w:rsid w:val="00BA3306"/>
    <w:rsid w:val="00BA73EE"/>
    <w:rsid w:val="00BB24BC"/>
    <w:rsid w:val="00BB2EC0"/>
    <w:rsid w:val="00BB3880"/>
    <w:rsid w:val="00BB5AC4"/>
    <w:rsid w:val="00BC23CA"/>
    <w:rsid w:val="00BC2918"/>
    <w:rsid w:val="00BC476F"/>
    <w:rsid w:val="00BC4915"/>
    <w:rsid w:val="00BC4A42"/>
    <w:rsid w:val="00BC5C39"/>
    <w:rsid w:val="00BC5E91"/>
    <w:rsid w:val="00BD03EC"/>
    <w:rsid w:val="00BD0C22"/>
    <w:rsid w:val="00BD123E"/>
    <w:rsid w:val="00BD1E00"/>
    <w:rsid w:val="00BD2066"/>
    <w:rsid w:val="00BD3ECE"/>
    <w:rsid w:val="00BD6DB8"/>
    <w:rsid w:val="00BE178E"/>
    <w:rsid w:val="00BE194F"/>
    <w:rsid w:val="00BE3CAA"/>
    <w:rsid w:val="00BE3E5F"/>
    <w:rsid w:val="00BE55AC"/>
    <w:rsid w:val="00BE583A"/>
    <w:rsid w:val="00BF009F"/>
    <w:rsid w:val="00BF1ED8"/>
    <w:rsid w:val="00BF5E61"/>
    <w:rsid w:val="00C005FB"/>
    <w:rsid w:val="00C0080B"/>
    <w:rsid w:val="00C00D81"/>
    <w:rsid w:val="00C01D73"/>
    <w:rsid w:val="00C0731B"/>
    <w:rsid w:val="00C07417"/>
    <w:rsid w:val="00C07BBA"/>
    <w:rsid w:val="00C10F6D"/>
    <w:rsid w:val="00C227A2"/>
    <w:rsid w:val="00C23FEA"/>
    <w:rsid w:val="00C261A9"/>
    <w:rsid w:val="00C317F3"/>
    <w:rsid w:val="00C32D83"/>
    <w:rsid w:val="00C32E8A"/>
    <w:rsid w:val="00C33D01"/>
    <w:rsid w:val="00C3439B"/>
    <w:rsid w:val="00C41605"/>
    <w:rsid w:val="00C4224F"/>
    <w:rsid w:val="00C44C37"/>
    <w:rsid w:val="00C45F2F"/>
    <w:rsid w:val="00C46AE5"/>
    <w:rsid w:val="00C47654"/>
    <w:rsid w:val="00C51131"/>
    <w:rsid w:val="00C53CD2"/>
    <w:rsid w:val="00C57358"/>
    <w:rsid w:val="00C57E4D"/>
    <w:rsid w:val="00C61102"/>
    <w:rsid w:val="00C61B89"/>
    <w:rsid w:val="00C626E2"/>
    <w:rsid w:val="00C628C8"/>
    <w:rsid w:val="00C63C19"/>
    <w:rsid w:val="00C63CC7"/>
    <w:rsid w:val="00C7519E"/>
    <w:rsid w:val="00C751C9"/>
    <w:rsid w:val="00C767A9"/>
    <w:rsid w:val="00C802AD"/>
    <w:rsid w:val="00C81A12"/>
    <w:rsid w:val="00C822E5"/>
    <w:rsid w:val="00C83E09"/>
    <w:rsid w:val="00C846BE"/>
    <w:rsid w:val="00C861AE"/>
    <w:rsid w:val="00C900FF"/>
    <w:rsid w:val="00C963DE"/>
    <w:rsid w:val="00C97723"/>
    <w:rsid w:val="00CA0730"/>
    <w:rsid w:val="00CA0C26"/>
    <w:rsid w:val="00CA54CE"/>
    <w:rsid w:val="00CB07A8"/>
    <w:rsid w:val="00CB12BB"/>
    <w:rsid w:val="00CB3EDD"/>
    <w:rsid w:val="00CB5389"/>
    <w:rsid w:val="00CB716E"/>
    <w:rsid w:val="00CB7EAC"/>
    <w:rsid w:val="00CC0A18"/>
    <w:rsid w:val="00CC10E1"/>
    <w:rsid w:val="00CC5A2B"/>
    <w:rsid w:val="00CC6750"/>
    <w:rsid w:val="00CD12E3"/>
    <w:rsid w:val="00CD1CDE"/>
    <w:rsid w:val="00CD2A56"/>
    <w:rsid w:val="00CD31AB"/>
    <w:rsid w:val="00CD6327"/>
    <w:rsid w:val="00CD764C"/>
    <w:rsid w:val="00CE2B78"/>
    <w:rsid w:val="00CE2FC3"/>
    <w:rsid w:val="00CE391A"/>
    <w:rsid w:val="00CE3D48"/>
    <w:rsid w:val="00CE5061"/>
    <w:rsid w:val="00CE7366"/>
    <w:rsid w:val="00CE74A3"/>
    <w:rsid w:val="00CF731D"/>
    <w:rsid w:val="00D02CA9"/>
    <w:rsid w:val="00D034DD"/>
    <w:rsid w:val="00D04952"/>
    <w:rsid w:val="00D06645"/>
    <w:rsid w:val="00D06741"/>
    <w:rsid w:val="00D06A16"/>
    <w:rsid w:val="00D06B56"/>
    <w:rsid w:val="00D1078F"/>
    <w:rsid w:val="00D10E60"/>
    <w:rsid w:val="00D12CD2"/>
    <w:rsid w:val="00D14D23"/>
    <w:rsid w:val="00D15D8B"/>
    <w:rsid w:val="00D17984"/>
    <w:rsid w:val="00D24DAD"/>
    <w:rsid w:val="00D25916"/>
    <w:rsid w:val="00D25B1D"/>
    <w:rsid w:val="00D301C4"/>
    <w:rsid w:val="00D304B1"/>
    <w:rsid w:val="00D31A82"/>
    <w:rsid w:val="00D329E6"/>
    <w:rsid w:val="00D35080"/>
    <w:rsid w:val="00D36D2C"/>
    <w:rsid w:val="00D37972"/>
    <w:rsid w:val="00D40896"/>
    <w:rsid w:val="00D41534"/>
    <w:rsid w:val="00D4394D"/>
    <w:rsid w:val="00D4508E"/>
    <w:rsid w:val="00D451FC"/>
    <w:rsid w:val="00D462CF"/>
    <w:rsid w:val="00D536BC"/>
    <w:rsid w:val="00D5451D"/>
    <w:rsid w:val="00D558E1"/>
    <w:rsid w:val="00D60A8A"/>
    <w:rsid w:val="00D622B8"/>
    <w:rsid w:val="00D63C48"/>
    <w:rsid w:val="00D64289"/>
    <w:rsid w:val="00D64EC0"/>
    <w:rsid w:val="00D6667B"/>
    <w:rsid w:val="00D70460"/>
    <w:rsid w:val="00D7054C"/>
    <w:rsid w:val="00D71400"/>
    <w:rsid w:val="00D7291D"/>
    <w:rsid w:val="00D73D6C"/>
    <w:rsid w:val="00D7680A"/>
    <w:rsid w:val="00D86F10"/>
    <w:rsid w:val="00D95394"/>
    <w:rsid w:val="00D958CC"/>
    <w:rsid w:val="00D970E7"/>
    <w:rsid w:val="00DA032B"/>
    <w:rsid w:val="00DA0456"/>
    <w:rsid w:val="00DA3CCE"/>
    <w:rsid w:val="00DA4AF7"/>
    <w:rsid w:val="00DA55BB"/>
    <w:rsid w:val="00DA583E"/>
    <w:rsid w:val="00DA73EE"/>
    <w:rsid w:val="00DB00ED"/>
    <w:rsid w:val="00DB1A68"/>
    <w:rsid w:val="00DB25A8"/>
    <w:rsid w:val="00DC1376"/>
    <w:rsid w:val="00DC15BE"/>
    <w:rsid w:val="00DC1743"/>
    <w:rsid w:val="00DC39B7"/>
    <w:rsid w:val="00DC4CC9"/>
    <w:rsid w:val="00DC7746"/>
    <w:rsid w:val="00DD086F"/>
    <w:rsid w:val="00DD3049"/>
    <w:rsid w:val="00DD6DCC"/>
    <w:rsid w:val="00DD7D25"/>
    <w:rsid w:val="00DE30E2"/>
    <w:rsid w:val="00DE3A9A"/>
    <w:rsid w:val="00DE60F8"/>
    <w:rsid w:val="00DE6421"/>
    <w:rsid w:val="00DF07FA"/>
    <w:rsid w:val="00DF16C0"/>
    <w:rsid w:val="00DF281F"/>
    <w:rsid w:val="00DF4493"/>
    <w:rsid w:val="00DF548B"/>
    <w:rsid w:val="00DF6290"/>
    <w:rsid w:val="00E00442"/>
    <w:rsid w:val="00E04F37"/>
    <w:rsid w:val="00E05FBC"/>
    <w:rsid w:val="00E07635"/>
    <w:rsid w:val="00E10B7D"/>
    <w:rsid w:val="00E1209C"/>
    <w:rsid w:val="00E122C9"/>
    <w:rsid w:val="00E13B66"/>
    <w:rsid w:val="00E14077"/>
    <w:rsid w:val="00E2045A"/>
    <w:rsid w:val="00E227EA"/>
    <w:rsid w:val="00E22975"/>
    <w:rsid w:val="00E23660"/>
    <w:rsid w:val="00E246BC"/>
    <w:rsid w:val="00E24EE4"/>
    <w:rsid w:val="00E2761D"/>
    <w:rsid w:val="00E3017F"/>
    <w:rsid w:val="00E31A1E"/>
    <w:rsid w:val="00E341A9"/>
    <w:rsid w:val="00E3441B"/>
    <w:rsid w:val="00E34484"/>
    <w:rsid w:val="00E3628A"/>
    <w:rsid w:val="00E3654C"/>
    <w:rsid w:val="00E37424"/>
    <w:rsid w:val="00E41FA9"/>
    <w:rsid w:val="00E42A2C"/>
    <w:rsid w:val="00E42CE9"/>
    <w:rsid w:val="00E45180"/>
    <w:rsid w:val="00E45305"/>
    <w:rsid w:val="00E4588E"/>
    <w:rsid w:val="00E45A41"/>
    <w:rsid w:val="00E45BD3"/>
    <w:rsid w:val="00E46AC9"/>
    <w:rsid w:val="00E505B8"/>
    <w:rsid w:val="00E50FD2"/>
    <w:rsid w:val="00E5213E"/>
    <w:rsid w:val="00E5253C"/>
    <w:rsid w:val="00E53DB6"/>
    <w:rsid w:val="00E54FB3"/>
    <w:rsid w:val="00E55904"/>
    <w:rsid w:val="00E55E72"/>
    <w:rsid w:val="00E6201D"/>
    <w:rsid w:val="00E6312C"/>
    <w:rsid w:val="00E6610D"/>
    <w:rsid w:val="00E66614"/>
    <w:rsid w:val="00E66E73"/>
    <w:rsid w:val="00E6718C"/>
    <w:rsid w:val="00E720DE"/>
    <w:rsid w:val="00E7234A"/>
    <w:rsid w:val="00E73DA0"/>
    <w:rsid w:val="00E741F3"/>
    <w:rsid w:val="00E74200"/>
    <w:rsid w:val="00E74C0E"/>
    <w:rsid w:val="00E75553"/>
    <w:rsid w:val="00E7760C"/>
    <w:rsid w:val="00E802A0"/>
    <w:rsid w:val="00E8269B"/>
    <w:rsid w:val="00E8406E"/>
    <w:rsid w:val="00E87CDC"/>
    <w:rsid w:val="00E930FA"/>
    <w:rsid w:val="00E971CA"/>
    <w:rsid w:val="00E97296"/>
    <w:rsid w:val="00EA1B29"/>
    <w:rsid w:val="00EA4DA6"/>
    <w:rsid w:val="00EA66E6"/>
    <w:rsid w:val="00EB19CE"/>
    <w:rsid w:val="00EB426B"/>
    <w:rsid w:val="00EB5E6D"/>
    <w:rsid w:val="00EC0C27"/>
    <w:rsid w:val="00EC137F"/>
    <w:rsid w:val="00EC3C48"/>
    <w:rsid w:val="00EC3E2A"/>
    <w:rsid w:val="00ED05EC"/>
    <w:rsid w:val="00ED4394"/>
    <w:rsid w:val="00ED6D66"/>
    <w:rsid w:val="00EE1AD4"/>
    <w:rsid w:val="00EE2FF5"/>
    <w:rsid w:val="00EE669B"/>
    <w:rsid w:val="00EF1C80"/>
    <w:rsid w:val="00EF282A"/>
    <w:rsid w:val="00EF3278"/>
    <w:rsid w:val="00EF4C13"/>
    <w:rsid w:val="00EF565E"/>
    <w:rsid w:val="00F02311"/>
    <w:rsid w:val="00F02BFB"/>
    <w:rsid w:val="00F049EC"/>
    <w:rsid w:val="00F05769"/>
    <w:rsid w:val="00F06A64"/>
    <w:rsid w:val="00F06FFA"/>
    <w:rsid w:val="00F1386A"/>
    <w:rsid w:val="00F16C0D"/>
    <w:rsid w:val="00F2431E"/>
    <w:rsid w:val="00F26B4B"/>
    <w:rsid w:val="00F2706C"/>
    <w:rsid w:val="00F30137"/>
    <w:rsid w:val="00F3094A"/>
    <w:rsid w:val="00F30A25"/>
    <w:rsid w:val="00F3367A"/>
    <w:rsid w:val="00F35E46"/>
    <w:rsid w:val="00F35FE1"/>
    <w:rsid w:val="00F4027C"/>
    <w:rsid w:val="00F44D89"/>
    <w:rsid w:val="00F537F3"/>
    <w:rsid w:val="00F56314"/>
    <w:rsid w:val="00F573BF"/>
    <w:rsid w:val="00F604B3"/>
    <w:rsid w:val="00F607D6"/>
    <w:rsid w:val="00F61F88"/>
    <w:rsid w:val="00F6211C"/>
    <w:rsid w:val="00F63D6F"/>
    <w:rsid w:val="00F66BBD"/>
    <w:rsid w:val="00F66F9A"/>
    <w:rsid w:val="00F675EA"/>
    <w:rsid w:val="00F72B42"/>
    <w:rsid w:val="00F733F3"/>
    <w:rsid w:val="00F734D1"/>
    <w:rsid w:val="00F73A39"/>
    <w:rsid w:val="00F75D3A"/>
    <w:rsid w:val="00F76B91"/>
    <w:rsid w:val="00F80139"/>
    <w:rsid w:val="00F813A9"/>
    <w:rsid w:val="00F81EED"/>
    <w:rsid w:val="00F87801"/>
    <w:rsid w:val="00F87C31"/>
    <w:rsid w:val="00F90A6B"/>
    <w:rsid w:val="00F9212E"/>
    <w:rsid w:val="00F94100"/>
    <w:rsid w:val="00FA0329"/>
    <w:rsid w:val="00FA2A9E"/>
    <w:rsid w:val="00FA578A"/>
    <w:rsid w:val="00FB0AF4"/>
    <w:rsid w:val="00FB1B8E"/>
    <w:rsid w:val="00FB2E52"/>
    <w:rsid w:val="00FB3E6F"/>
    <w:rsid w:val="00FB57DB"/>
    <w:rsid w:val="00FC06E3"/>
    <w:rsid w:val="00FC22AB"/>
    <w:rsid w:val="00FC4BC9"/>
    <w:rsid w:val="00FC594B"/>
    <w:rsid w:val="00FC6393"/>
    <w:rsid w:val="00FC6959"/>
    <w:rsid w:val="00FD0DA5"/>
    <w:rsid w:val="00FD3722"/>
    <w:rsid w:val="00FD68FE"/>
    <w:rsid w:val="00FD7841"/>
    <w:rsid w:val="00FE2431"/>
    <w:rsid w:val="00FE4AAC"/>
    <w:rsid w:val="00FE4C58"/>
    <w:rsid w:val="00FE6746"/>
    <w:rsid w:val="00FE6E9C"/>
    <w:rsid w:val="00FE787E"/>
    <w:rsid w:val="00FF2550"/>
    <w:rsid w:val="00FF610D"/>
    <w:rsid w:val="00FF68A2"/>
    <w:rsid w:val="00FF75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1A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D24DAD"/>
    <w:pPr>
      <w:keepNext/>
      <w:keepLines/>
      <w:numPr>
        <w:numId w:val="1"/>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Footnote"/>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H17"/>
    <w:basedOn w:val="TableHeading"/>
    <w:next w:val="Normal"/>
    <w:link w:val="CaptionChar"/>
    <w:uiPriority w:val="35"/>
    <w:unhideWhenUsed/>
    <w:qFormat/>
    <w:rsid w:val="00AE7F95"/>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AE7F95"/>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styleId="DocumentMap">
    <w:name w:val="Document Map"/>
    <w:basedOn w:val="Normal"/>
    <w:link w:val="DocumentMapChar"/>
    <w:uiPriority w:val="99"/>
    <w:semiHidden/>
    <w:unhideWhenUsed/>
    <w:rsid w:val="006D5ED7"/>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D5ED7"/>
    <w:rPr>
      <w:rFonts w:ascii="Lucida Grande" w:hAnsi="Lucida Grande" w:cs="Lucida Grande"/>
      <w:sz w:val="24"/>
      <w:szCs w:val="24"/>
    </w:rPr>
  </w:style>
  <w:style w:type="paragraph" w:customStyle="1" w:styleId="Table">
    <w:name w:val="Table"/>
    <w:basedOn w:val="Normal"/>
    <w:link w:val="TableChar"/>
    <w:qFormat/>
    <w:rsid w:val="00E3441B"/>
    <w:pPr>
      <w:spacing w:before="0" w:after="0"/>
    </w:pPr>
    <w:rPr>
      <w:rFonts w:ascii="Calibri" w:eastAsiaTheme="majorEastAsia" w:hAnsi="Calibri" w:cstheme="majorBidi"/>
      <w:sz w:val="20"/>
      <w:lang w:bidi="en-US"/>
    </w:rPr>
  </w:style>
  <w:style w:type="character" w:customStyle="1" w:styleId="TableChar">
    <w:name w:val="Table Char"/>
    <w:basedOn w:val="DefaultParagraphFont"/>
    <w:link w:val="Table"/>
    <w:locked/>
    <w:rsid w:val="00E3441B"/>
    <w:rPr>
      <w:rFonts w:ascii="Calibri" w:eastAsiaTheme="majorEastAsia" w:hAnsi="Calibri" w:cstheme="majorBidi"/>
      <w:sz w:val="20"/>
      <w:lang w:bidi="en-US"/>
    </w:rPr>
  </w:style>
  <w:style w:type="character" w:customStyle="1" w:styleId="Small">
    <w:name w:val="Small"/>
    <w:basedOn w:val="DefaultParagraphFont"/>
    <w:uiPriority w:val="4"/>
    <w:qFormat/>
    <w:rsid w:val="00E3441B"/>
    <w:rPr>
      <w:rFonts w:ascii="Calibri" w:hAnsi="Calibri"/>
      <w:sz w:val="20"/>
    </w:rPr>
  </w:style>
  <w:style w:type="paragraph" w:customStyle="1" w:styleId="NormalBulletList">
    <w:name w:val="Normal Bullet List"/>
    <w:basedOn w:val="Normal"/>
    <w:uiPriority w:val="3"/>
    <w:qFormat/>
    <w:rsid w:val="00621CF2"/>
    <w:pPr>
      <w:numPr>
        <w:numId w:val="7"/>
      </w:numPr>
      <w:spacing w:before="0" w:after="240" w:line="276" w:lineRule="auto"/>
      <w:contextualSpacing/>
    </w:pPr>
    <w:rPr>
      <w:rFonts w:ascii="Calibri" w:eastAsiaTheme="majorEastAsia" w:hAnsi="Calibri" w:cstheme="majorBidi"/>
      <w:lang w:bidi="en-US"/>
    </w:rPr>
  </w:style>
  <w:style w:type="paragraph" w:customStyle="1" w:styleId="NormalBulletList2">
    <w:name w:val="Normal Bullet List 2"/>
    <w:basedOn w:val="NormalBulletList"/>
    <w:qFormat/>
    <w:rsid w:val="00621CF2"/>
    <w:pPr>
      <w:numPr>
        <w:ilvl w:val="1"/>
      </w:numPr>
      <w:spacing w:after="0"/>
      <w:ind w:left="709" w:hanging="357"/>
    </w:pPr>
  </w:style>
  <w:style w:type="character" w:styleId="Strong">
    <w:name w:val="Strong"/>
    <w:basedOn w:val="DefaultParagraphFont"/>
    <w:uiPriority w:val="22"/>
    <w:qFormat/>
    <w:rsid w:val="009D707B"/>
    <w:rPr>
      <w:b/>
      <w:bCs/>
    </w:rPr>
  </w:style>
  <w:style w:type="character" w:customStyle="1" w:styleId="FontUnderlined">
    <w:name w:val="Font Underlined"/>
    <w:basedOn w:val="DefaultParagraphFont"/>
    <w:uiPriority w:val="1"/>
    <w:qFormat/>
    <w:rsid w:val="00165F84"/>
    <w:rPr>
      <w:rFonts w:ascii="Calibri" w:hAnsi="Calibri"/>
      <w:sz w:val="24"/>
      <w:u w:val="single"/>
    </w:rPr>
  </w:style>
  <w:style w:type="character" w:customStyle="1" w:styleId="SmallHighlight">
    <w:name w:val="Small Highlight"/>
    <w:basedOn w:val="Small"/>
    <w:uiPriority w:val="1"/>
    <w:qFormat/>
    <w:rsid w:val="00410570"/>
    <w:rPr>
      <w:rFonts w:ascii="Candara" w:hAnsi="Candara"/>
      <w:sz w:val="20"/>
      <w:bdr w:val="none" w:sz="0" w:space="0" w:color="auto"/>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D24DAD"/>
    <w:pPr>
      <w:keepNext/>
      <w:keepLines/>
      <w:numPr>
        <w:numId w:val="1"/>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Footnote"/>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H17"/>
    <w:basedOn w:val="TableHeading"/>
    <w:next w:val="Normal"/>
    <w:link w:val="CaptionChar"/>
    <w:uiPriority w:val="35"/>
    <w:unhideWhenUsed/>
    <w:qFormat/>
    <w:rsid w:val="00AE7F95"/>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AE7F95"/>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styleId="DocumentMap">
    <w:name w:val="Document Map"/>
    <w:basedOn w:val="Normal"/>
    <w:link w:val="DocumentMapChar"/>
    <w:uiPriority w:val="99"/>
    <w:semiHidden/>
    <w:unhideWhenUsed/>
    <w:rsid w:val="006D5ED7"/>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6D5ED7"/>
    <w:rPr>
      <w:rFonts w:ascii="Lucida Grande" w:hAnsi="Lucida Grande" w:cs="Lucida Grande"/>
      <w:sz w:val="24"/>
      <w:szCs w:val="24"/>
    </w:rPr>
  </w:style>
  <w:style w:type="paragraph" w:customStyle="1" w:styleId="Table">
    <w:name w:val="Table"/>
    <w:basedOn w:val="Normal"/>
    <w:link w:val="TableChar"/>
    <w:qFormat/>
    <w:rsid w:val="00E3441B"/>
    <w:pPr>
      <w:spacing w:before="0" w:after="0"/>
    </w:pPr>
    <w:rPr>
      <w:rFonts w:ascii="Calibri" w:eastAsiaTheme="majorEastAsia" w:hAnsi="Calibri" w:cstheme="majorBidi"/>
      <w:sz w:val="20"/>
      <w:lang w:bidi="en-US"/>
    </w:rPr>
  </w:style>
  <w:style w:type="character" w:customStyle="1" w:styleId="TableChar">
    <w:name w:val="Table Char"/>
    <w:basedOn w:val="DefaultParagraphFont"/>
    <w:link w:val="Table"/>
    <w:locked/>
    <w:rsid w:val="00E3441B"/>
    <w:rPr>
      <w:rFonts w:ascii="Calibri" w:eastAsiaTheme="majorEastAsia" w:hAnsi="Calibri" w:cstheme="majorBidi"/>
      <w:sz w:val="20"/>
      <w:lang w:bidi="en-US"/>
    </w:rPr>
  </w:style>
  <w:style w:type="character" w:customStyle="1" w:styleId="Small">
    <w:name w:val="Small"/>
    <w:basedOn w:val="DefaultParagraphFont"/>
    <w:uiPriority w:val="4"/>
    <w:qFormat/>
    <w:rsid w:val="00E3441B"/>
    <w:rPr>
      <w:rFonts w:ascii="Calibri" w:hAnsi="Calibri"/>
      <w:sz w:val="20"/>
    </w:rPr>
  </w:style>
  <w:style w:type="paragraph" w:customStyle="1" w:styleId="NormalBulletList">
    <w:name w:val="Normal Bullet List"/>
    <w:basedOn w:val="Normal"/>
    <w:uiPriority w:val="3"/>
    <w:qFormat/>
    <w:rsid w:val="00621CF2"/>
    <w:pPr>
      <w:numPr>
        <w:numId w:val="7"/>
      </w:numPr>
      <w:spacing w:before="0" w:after="240" w:line="276" w:lineRule="auto"/>
      <w:contextualSpacing/>
    </w:pPr>
    <w:rPr>
      <w:rFonts w:ascii="Calibri" w:eastAsiaTheme="majorEastAsia" w:hAnsi="Calibri" w:cstheme="majorBidi"/>
      <w:lang w:bidi="en-US"/>
    </w:rPr>
  </w:style>
  <w:style w:type="paragraph" w:customStyle="1" w:styleId="NormalBulletList2">
    <w:name w:val="Normal Bullet List 2"/>
    <w:basedOn w:val="NormalBulletList"/>
    <w:qFormat/>
    <w:rsid w:val="00621CF2"/>
    <w:pPr>
      <w:numPr>
        <w:ilvl w:val="1"/>
      </w:numPr>
      <w:spacing w:after="0"/>
      <w:ind w:left="709" w:hanging="357"/>
    </w:pPr>
  </w:style>
  <w:style w:type="character" w:styleId="Strong">
    <w:name w:val="Strong"/>
    <w:basedOn w:val="DefaultParagraphFont"/>
    <w:uiPriority w:val="22"/>
    <w:qFormat/>
    <w:rsid w:val="009D707B"/>
    <w:rPr>
      <w:b/>
      <w:bCs/>
    </w:rPr>
  </w:style>
  <w:style w:type="character" w:customStyle="1" w:styleId="FontUnderlined">
    <w:name w:val="Font Underlined"/>
    <w:basedOn w:val="DefaultParagraphFont"/>
    <w:uiPriority w:val="1"/>
    <w:qFormat/>
    <w:rsid w:val="00165F84"/>
    <w:rPr>
      <w:rFonts w:ascii="Calibri" w:hAnsi="Calibri"/>
      <w:sz w:val="24"/>
      <w:u w:val="single"/>
    </w:rPr>
  </w:style>
  <w:style w:type="character" w:customStyle="1" w:styleId="SmallHighlight">
    <w:name w:val="Small Highlight"/>
    <w:basedOn w:val="Small"/>
    <w:uiPriority w:val="1"/>
    <w:qFormat/>
    <w:rsid w:val="00410570"/>
    <w:rPr>
      <w:rFonts w:ascii="Candara" w:hAnsi="Candara"/>
      <w:sz w:val="20"/>
      <w:bdr w:val="none" w:sz="0"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338">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15303821">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1969891">
      <w:bodyDiv w:val="1"/>
      <w:marLeft w:val="0"/>
      <w:marRight w:val="0"/>
      <w:marTop w:val="0"/>
      <w:marBottom w:val="0"/>
      <w:divBdr>
        <w:top w:val="none" w:sz="0" w:space="0" w:color="auto"/>
        <w:left w:val="none" w:sz="0" w:space="0" w:color="auto"/>
        <w:bottom w:val="none" w:sz="0" w:space="0" w:color="auto"/>
        <w:right w:val="none" w:sz="0" w:space="0" w:color="auto"/>
      </w:divBdr>
    </w:div>
    <w:div w:id="415978017">
      <w:bodyDiv w:val="1"/>
      <w:marLeft w:val="0"/>
      <w:marRight w:val="0"/>
      <w:marTop w:val="0"/>
      <w:marBottom w:val="0"/>
      <w:divBdr>
        <w:top w:val="none" w:sz="0" w:space="0" w:color="auto"/>
        <w:left w:val="none" w:sz="0" w:space="0" w:color="auto"/>
        <w:bottom w:val="none" w:sz="0" w:space="0" w:color="auto"/>
        <w:right w:val="none" w:sz="0" w:space="0" w:color="auto"/>
      </w:divBdr>
    </w:div>
    <w:div w:id="423460567">
      <w:bodyDiv w:val="1"/>
      <w:marLeft w:val="0"/>
      <w:marRight w:val="0"/>
      <w:marTop w:val="0"/>
      <w:marBottom w:val="0"/>
      <w:divBdr>
        <w:top w:val="none" w:sz="0" w:space="0" w:color="auto"/>
        <w:left w:val="none" w:sz="0" w:space="0" w:color="auto"/>
        <w:bottom w:val="none" w:sz="0" w:space="0" w:color="auto"/>
        <w:right w:val="none" w:sz="0" w:space="0" w:color="auto"/>
      </w:divBdr>
    </w:div>
    <w:div w:id="441344536">
      <w:bodyDiv w:val="1"/>
      <w:marLeft w:val="0"/>
      <w:marRight w:val="0"/>
      <w:marTop w:val="0"/>
      <w:marBottom w:val="0"/>
      <w:divBdr>
        <w:top w:val="none" w:sz="0" w:space="0" w:color="auto"/>
        <w:left w:val="none" w:sz="0" w:space="0" w:color="auto"/>
        <w:bottom w:val="none" w:sz="0" w:space="0" w:color="auto"/>
        <w:right w:val="none" w:sz="0" w:space="0" w:color="auto"/>
      </w:divBdr>
    </w:div>
    <w:div w:id="491528446">
      <w:bodyDiv w:val="1"/>
      <w:marLeft w:val="0"/>
      <w:marRight w:val="0"/>
      <w:marTop w:val="0"/>
      <w:marBottom w:val="0"/>
      <w:divBdr>
        <w:top w:val="none" w:sz="0" w:space="0" w:color="auto"/>
        <w:left w:val="none" w:sz="0" w:space="0" w:color="auto"/>
        <w:bottom w:val="none" w:sz="0" w:space="0" w:color="auto"/>
        <w:right w:val="none" w:sz="0" w:space="0" w:color="auto"/>
      </w:divBdr>
    </w:div>
    <w:div w:id="551310229">
      <w:bodyDiv w:val="1"/>
      <w:marLeft w:val="0"/>
      <w:marRight w:val="0"/>
      <w:marTop w:val="0"/>
      <w:marBottom w:val="0"/>
      <w:divBdr>
        <w:top w:val="none" w:sz="0" w:space="0" w:color="auto"/>
        <w:left w:val="none" w:sz="0" w:space="0" w:color="auto"/>
        <w:bottom w:val="none" w:sz="0" w:space="0" w:color="auto"/>
        <w:right w:val="none" w:sz="0" w:space="0" w:color="auto"/>
      </w:divBdr>
    </w:div>
    <w:div w:id="572394601">
      <w:bodyDiv w:val="1"/>
      <w:marLeft w:val="0"/>
      <w:marRight w:val="0"/>
      <w:marTop w:val="0"/>
      <w:marBottom w:val="0"/>
      <w:divBdr>
        <w:top w:val="none" w:sz="0" w:space="0" w:color="auto"/>
        <w:left w:val="none" w:sz="0" w:space="0" w:color="auto"/>
        <w:bottom w:val="none" w:sz="0" w:space="0" w:color="auto"/>
        <w:right w:val="none" w:sz="0" w:space="0" w:color="auto"/>
      </w:divBdr>
    </w:div>
    <w:div w:id="618491840">
      <w:bodyDiv w:val="1"/>
      <w:marLeft w:val="0"/>
      <w:marRight w:val="0"/>
      <w:marTop w:val="0"/>
      <w:marBottom w:val="0"/>
      <w:divBdr>
        <w:top w:val="none" w:sz="0" w:space="0" w:color="auto"/>
        <w:left w:val="none" w:sz="0" w:space="0" w:color="auto"/>
        <w:bottom w:val="none" w:sz="0" w:space="0" w:color="auto"/>
        <w:right w:val="none" w:sz="0" w:space="0" w:color="auto"/>
      </w:divBdr>
    </w:div>
    <w:div w:id="666515396">
      <w:bodyDiv w:val="1"/>
      <w:marLeft w:val="0"/>
      <w:marRight w:val="0"/>
      <w:marTop w:val="0"/>
      <w:marBottom w:val="0"/>
      <w:divBdr>
        <w:top w:val="none" w:sz="0" w:space="0" w:color="auto"/>
        <w:left w:val="none" w:sz="0" w:space="0" w:color="auto"/>
        <w:bottom w:val="none" w:sz="0" w:space="0" w:color="auto"/>
        <w:right w:val="none" w:sz="0" w:space="0" w:color="auto"/>
      </w:divBdr>
    </w:div>
    <w:div w:id="694699138">
      <w:bodyDiv w:val="1"/>
      <w:marLeft w:val="0"/>
      <w:marRight w:val="0"/>
      <w:marTop w:val="0"/>
      <w:marBottom w:val="0"/>
      <w:divBdr>
        <w:top w:val="none" w:sz="0" w:space="0" w:color="auto"/>
        <w:left w:val="none" w:sz="0" w:space="0" w:color="auto"/>
        <w:bottom w:val="none" w:sz="0" w:space="0" w:color="auto"/>
        <w:right w:val="none" w:sz="0" w:space="0" w:color="auto"/>
      </w:divBdr>
    </w:div>
    <w:div w:id="700394967">
      <w:bodyDiv w:val="1"/>
      <w:marLeft w:val="0"/>
      <w:marRight w:val="0"/>
      <w:marTop w:val="0"/>
      <w:marBottom w:val="0"/>
      <w:divBdr>
        <w:top w:val="none" w:sz="0" w:space="0" w:color="auto"/>
        <w:left w:val="none" w:sz="0" w:space="0" w:color="auto"/>
        <w:bottom w:val="none" w:sz="0" w:space="0" w:color="auto"/>
        <w:right w:val="none" w:sz="0" w:space="0" w:color="auto"/>
      </w:divBdr>
    </w:div>
    <w:div w:id="720859182">
      <w:bodyDiv w:val="1"/>
      <w:marLeft w:val="0"/>
      <w:marRight w:val="0"/>
      <w:marTop w:val="0"/>
      <w:marBottom w:val="0"/>
      <w:divBdr>
        <w:top w:val="none" w:sz="0" w:space="0" w:color="auto"/>
        <w:left w:val="none" w:sz="0" w:space="0" w:color="auto"/>
        <w:bottom w:val="none" w:sz="0" w:space="0" w:color="auto"/>
        <w:right w:val="none" w:sz="0" w:space="0" w:color="auto"/>
      </w:divBdr>
    </w:div>
    <w:div w:id="778255220">
      <w:bodyDiv w:val="1"/>
      <w:marLeft w:val="0"/>
      <w:marRight w:val="0"/>
      <w:marTop w:val="0"/>
      <w:marBottom w:val="0"/>
      <w:divBdr>
        <w:top w:val="none" w:sz="0" w:space="0" w:color="auto"/>
        <w:left w:val="none" w:sz="0" w:space="0" w:color="auto"/>
        <w:bottom w:val="none" w:sz="0" w:space="0" w:color="auto"/>
        <w:right w:val="none" w:sz="0" w:space="0" w:color="auto"/>
      </w:divBdr>
    </w:div>
    <w:div w:id="817845846">
      <w:bodyDiv w:val="1"/>
      <w:marLeft w:val="0"/>
      <w:marRight w:val="0"/>
      <w:marTop w:val="0"/>
      <w:marBottom w:val="0"/>
      <w:divBdr>
        <w:top w:val="none" w:sz="0" w:space="0" w:color="auto"/>
        <w:left w:val="none" w:sz="0" w:space="0" w:color="auto"/>
        <w:bottom w:val="none" w:sz="0" w:space="0" w:color="auto"/>
        <w:right w:val="none" w:sz="0" w:space="0" w:color="auto"/>
      </w:divBdr>
    </w:div>
    <w:div w:id="874538144">
      <w:bodyDiv w:val="1"/>
      <w:marLeft w:val="0"/>
      <w:marRight w:val="0"/>
      <w:marTop w:val="0"/>
      <w:marBottom w:val="0"/>
      <w:divBdr>
        <w:top w:val="none" w:sz="0" w:space="0" w:color="auto"/>
        <w:left w:val="none" w:sz="0" w:space="0" w:color="auto"/>
        <w:bottom w:val="none" w:sz="0" w:space="0" w:color="auto"/>
        <w:right w:val="none" w:sz="0" w:space="0" w:color="auto"/>
      </w:divBdr>
    </w:div>
    <w:div w:id="901676875">
      <w:bodyDiv w:val="1"/>
      <w:marLeft w:val="0"/>
      <w:marRight w:val="0"/>
      <w:marTop w:val="0"/>
      <w:marBottom w:val="0"/>
      <w:divBdr>
        <w:top w:val="none" w:sz="0" w:space="0" w:color="auto"/>
        <w:left w:val="none" w:sz="0" w:space="0" w:color="auto"/>
        <w:bottom w:val="none" w:sz="0" w:space="0" w:color="auto"/>
        <w:right w:val="none" w:sz="0" w:space="0" w:color="auto"/>
      </w:divBdr>
    </w:div>
    <w:div w:id="930622519">
      <w:bodyDiv w:val="1"/>
      <w:marLeft w:val="0"/>
      <w:marRight w:val="0"/>
      <w:marTop w:val="0"/>
      <w:marBottom w:val="0"/>
      <w:divBdr>
        <w:top w:val="none" w:sz="0" w:space="0" w:color="auto"/>
        <w:left w:val="none" w:sz="0" w:space="0" w:color="auto"/>
        <w:bottom w:val="none" w:sz="0" w:space="0" w:color="auto"/>
        <w:right w:val="none" w:sz="0" w:space="0" w:color="auto"/>
      </w:divBdr>
    </w:div>
    <w:div w:id="957028900">
      <w:bodyDiv w:val="1"/>
      <w:marLeft w:val="0"/>
      <w:marRight w:val="0"/>
      <w:marTop w:val="0"/>
      <w:marBottom w:val="0"/>
      <w:divBdr>
        <w:top w:val="none" w:sz="0" w:space="0" w:color="auto"/>
        <w:left w:val="none" w:sz="0" w:space="0" w:color="auto"/>
        <w:bottom w:val="none" w:sz="0" w:space="0" w:color="auto"/>
        <w:right w:val="none" w:sz="0" w:space="0" w:color="auto"/>
      </w:divBdr>
    </w:div>
    <w:div w:id="985015374">
      <w:bodyDiv w:val="1"/>
      <w:marLeft w:val="0"/>
      <w:marRight w:val="0"/>
      <w:marTop w:val="0"/>
      <w:marBottom w:val="0"/>
      <w:divBdr>
        <w:top w:val="none" w:sz="0" w:space="0" w:color="auto"/>
        <w:left w:val="none" w:sz="0" w:space="0" w:color="auto"/>
        <w:bottom w:val="none" w:sz="0" w:space="0" w:color="auto"/>
        <w:right w:val="none" w:sz="0" w:space="0" w:color="auto"/>
      </w:divBdr>
    </w:div>
    <w:div w:id="990595905">
      <w:bodyDiv w:val="1"/>
      <w:marLeft w:val="0"/>
      <w:marRight w:val="0"/>
      <w:marTop w:val="0"/>
      <w:marBottom w:val="0"/>
      <w:divBdr>
        <w:top w:val="none" w:sz="0" w:space="0" w:color="auto"/>
        <w:left w:val="none" w:sz="0" w:space="0" w:color="auto"/>
        <w:bottom w:val="none" w:sz="0" w:space="0" w:color="auto"/>
        <w:right w:val="none" w:sz="0" w:space="0" w:color="auto"/>
      </w:divBdr>
      <w:divsChild>
        <w:div w:id="1666978161">
          <w:marLeft w:val="547"/>
          <w:marRight w:val="0"/>
          <w:marTop w:val="134"/>
          <w:marBottom w:val="0"/>
          <w:divBdr>
            <w:top w:val="none" w:sz="0" w:space="0" w:color="auto"/>
            <w:left w:val="none" w:sz="0" w:space="0" w:color="auto"/>
            <w:bottom w:val="none" w:sz="0" w:space="0" w:color="auto"/>
            <w:right w:val="none" w:sz="0" w:space="0" w:color="auto"/>
          </w:divBdr>
        </w:div>
      </w:divsChild>
    </w:div>
    <w:div w:id="997273759">
      <w:bodyDiv w:val="1"/>
      <w:marLeft w:val="0"/>
      <w:marRight w:val="0"/>
      <w:marTop w:val="0"/>
      <w:marBottom w:val="0"/>
      <w:divBdr>
        <w:top w:val="none" w:sz="0" w:space="0" w:color="auto"/>
        <w:left w:val="none" w:sz="0" w:space="0" w:color="auto"/>
        <w:bottom w:val="none" w:sz="0" w:space="0" w:color="auto"/>
        <w:right w:val="none" w:sz="0" w:space="0" w:color="auto"/>
      </w:divBdr>
    </w:div>
    <w:div w:id="1045641511">
      <w:bodyDiv w:val="1"/>
      <w:marLeft w:val="0"/>
      <w:marRight w:val="0"/>
      <w:marTop w:val="0"/>
      <w:marBottom w:val="0"/>
      <w:divBdr>
        <w:top w:val="none" w:sz="0" w:space="0" w:color="auto"/>
        <w:left w:val="none" w:sz="0" w:space="0" w:color="auto"/>
        <w:bottom w:val="none" w:sz="0" w:space="0" w:color="auto"/>
        <w:right w:val="none" w:sz="0" w:space="0" w:color="auto"/>
      </w:divBdr>
    </w:div>
    <w:div w:id="1072040572">
      <w:bodyDiv w:val="1"/>
      <w:marLeft w:val="0"/>
      <w:marRight w:val="0"/>
      <w:marTop w:val="0"/>
      <w:marBottom w:val="0"/>
      <w:divBdr>
        <w:top w:val="none" w:sz="0" w:space="0" w:color="auto"/>
        <w:left w:val="none" w:sz="0" w:space="0" w:color="auto"/>
        <w:bottom w:val="none" w:sz="0" w:space="0" w:color="auto"/>
        <w:right w:val="none" w:sz="0" w:space="0" w:color="auto"/>
      </w:divBdr>
    </w:div>
    <w:div w:id="1103186034">
      <w:bodyDiv w:val="1"/>
      <w:marLeft w:val="0"/>
      <w:marRight w:val="0"/>
      <w:marTop w:val="0"/>
      <w:marBottom w:val="0"/>
      <w:divBdr>
        <w:top w:val="none" w:sz="0" w:space="0" w:color="auto"/>
        <w:left w:val="none" w:sz="0" w:space="0" w:color="auto"/>
        <w:bottom w:val="none" w:sz="0" w:space="0" w:color="auto"/>
        <w:right w:val="none" w:sz="0" w:space="0" w:color="auto"/>
      </w:divBdr>
    </w:div>
    <w:div w:id="1131248692">
      <w:bodyDiv w:val="1"/>
      <w:marLeft w:val="0"/>
      <w:marRight w:val="0"/>
      <w:marTop w:val="0"/>
      <w:marBottom w:val="0"/>
      <w:divBdr>
        <w:top w:val="none" w:sz="0" w:space="0" w:color="auto"/>
        <w:left w:val="none" w:sz="0" w:space="0" w:color="auto"/>
        <w:bottom w:val="none" w:sz="0" w:space="0" w:color="auto"/>
        <w:right w:val="none" w:sz="0" w:space="0" w:color="auto"/>
      </w:divBdr>
    </w:div>
    <w:div w:id="1180001496">
      <w:bodyDiv w:val="1"/>
      <w:marLeft w:val="0"/>
      <w:marRight w:val="0"/>
      <w:marTop w:val="0"/>
      <w:marBottom w:val="0"/>
      <w:divBdr>
        <w:top w:val="none" w:sz="0" w:space="0" w:color="auto"/>
        <w:left w:val="none" w:sz="0" w:space="0" w:color="auto"/>
        <w:bottom w:val="none" w:sz="0" w:space="0" w:color="auto"/>
        <w:right w:val="none" w:sz="0" w:space="0" w:color="auto"/>
      </w:divBdr>
    </w:div>
    <w:div w:id="1234707301">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58992213">
      <w:bodyDiv w:val="1"/>
      <w:marLeft w:val="0"/>
      <w:marRight w:val="0"/>
      <w:marTop w:val="0"/>
      <w:marBottom w:val="0"/>
      <w:divBdr>
        <w:top w:val="none" w:sz="0" w:space="0" w:color="auto"/>
        <w:left w:val="none" w:sz="0" w:space="0" w:color="auto"/>
        <w:bottom w:val="none" w:sz="0" w:space="0" w:color="auto"/>
        <w:right w:val="none" w:sz="0" w:space="0" w:color="auto"/>
      </w:divBdr>
    </w:div>
    <w:div w:id="1493453356">
      <w:bodyDiv w:val="1"/>
      <w:marLeft w:val="0"/>
      <w:marRight w:val="0"/>
      <w:marTop w:val="0"/>
      <w:marBottom w:val="0"/>
      <w:divBdr>
        <w:top w:val="none" w:sz="0" w:space="0" w:color="auto"/>
        <w:left w:val="none" w:sz="0" w:space="0" w:color="auto"/>
        <w:bottom w:val="none" w:sz="0" w:space="0" w:color="auto"/>
        <w:right w:val="none" w:sz="0" w:space="0" w:color="auto"/>
      </w:divBdr>
    </w:div>
    <w:div w:id="1548759947">
      <w:bodyDiv w:val="1"/>
      <w:marLeft w:val="0"/>
      <w:marRight w:val="0"/>
      <w:marTop w:val="0"/>
      <w:marBottom w:val="0"/>
      <w:divBdr>
        <w:top w:val="none" w:sz="0" w:space="0" w:color="auto"/>
        <w:left w:val="none" w:sz="0" w:space="0" w:color="auto"/>
        <w:bottom w:val="none" w:sz="0" w:space="0" w:color="auto"/>
        <w:right w:val="none" w:sz="0" w:space="0" w:color="auto"/>
      </w:divBdr>
    </w:div>
    <w:div w:id="1562984068">
      <w:bodyDiv w:val="1"/>
      <w:marLeft w:val="0"/>
      <w:marRight w:val="0"/>
      <w:marTop w:val="0"/>
      <w:marBottom w:val="0"/>
      <w:divBdr>
        <w:top w:val="none" w:sz="0" w:space="0" w:color="auto"/>
        <w:left w:val="none" w:sz="0" w:space="0" w:color="auto"/>
        <w:bottom w:val="none" w:sz="0" w:space="0" w:color="auto"/>
        <w:right w:val="none" w:sz="0" w:space="0" w:color="auto"/>
      </w:divBdr>
    </w:div>
    <w:div w:id="1573739865">
      <w:bodyDiv w:val="1"/>
      <w:marLeft w:val="0"/>
      <w:marRight w:val="0"/>
      <w:marTop w:val="0"/>
      <w:marBottom w:val="0"/>
      <w:divBdr>
        <w:top w:val="none" w:sz="0" w:space="0" w:color="auto"/>
        <w:left w:val="none" w:sz="0" w:space="0" w:color="auto"/>
        <w:bottom w:val="none" w:sz="0" w:space="0" w:color="auto"/>
        <w:right w:val="none" w:sz="0" w:space="0" w:color="auto"/>
      </w:divBdr>
    </w:div>
    <w:div w:id="1574852777">
      <w:bodyDiv w:val="1"/>
      <w:marLeft w:val="0"/>
      <w:marRight w:val="0"/>
      <w:marTop w:val="0"/>
      <w:marBottom w:val="0"/>
      <w:divBdr>
        <w:top w:val="none" w:sz="0" w:space="0" w:color="auto"/>
        <w:left w:val="none" w:sz="0" w:space="0" w:color="auto"/>
        <w:bottom w:val="none" w:sz="0" w:space="0" w:color="auto"/>
        <w:right w:val="none" w:sz="0" w:space="0" w:color="auto"/>
      </w:divBdr>
    </w:div>
    <w:div w:id="1629359355">
      <w:bodyDiv w:val="1"/>
      <w:marLeft w:val="0"/>
      <w:marRight w:val="0"/>
      <w:marTop w:val="0"/>
      <w:marBottom w:val="0"/>
      <w:divBdr>
        <w:top w:val="none" w:sz="0" w:space="0" w:color="auto"/>
        <w:left w:val="none" w:sz="0" w:space="0" w:color="auto"/>
        <w:bottom w:val="none" w:sz="0" w:space="0" w:color="auto"/>
        <w:right w:val="none" w:sz="0" w:space="0" w:color="auto"/>
      </w:divBdr>
    </w:div>
    <w:div w:id="1651137189">
      <w:bodyDiv w:val="1"/>
      <w:marLeft w:val="0"/>
      <w:marRight w:val="0"/>
      <w:marTop w:val="0"/>
      <w:marBottom w:val="0"/>
      <w:divBdr>
        <w:top w:val="none" w:sz="0" w:space="0" w:color="auto"/>
        <w:left w:val="none" w:sz="0" w:space="0" w:color="auto"/>
        <w:bottom w:val="none" w:sz="0" w:space="0" w:color="auto"/>
        <w:right w:val="none" w:sz="0" w:space="0" w:color="auto"/>
      </w:divBdr>
    </w:div>
    <w:div w:id="1654720549">
      <w:bodyDiv w:val="1"/>
      <w:marLeft w:val="0"/>
      <w:marRight w:val="0"/>
      <w:marTop w:val="0"/>
      <w:marBottom w:val="0"/>
      <w:divBdr>
        <w:top w:val="none" w:sz="0" w:space="0" w:color="auto"/>
        <w:left w:val="none" w:sz="0" w:space="0" w:color="auto"/>
        <w:bottom w:val="none" w:sz="0" w:space="0" w:color="auto"/>
        <w:right w:val="none" w:sz="0" w:space="0" w:color="auto"/>
      </w:divBdr>
    </w:div>
    <w:div w:id="1884177189">
      <w:bodyDiv w:val="1"/>
      <w:marLeft w:val="0"/>
      <w:marRight w:val="0"/>
      <w:marTop w:val="0"/>
      <w:marBottom w:val="0"/>
      <w:divBdr>
        <w:top w:val="none" w:sz="0" w:space="0" w:color="auto"/>
        <w:left w:val="none" w:sz="0" w:space="0" w:color="auto"/>
        <w:bottom w:val="none" w:sz="0" w:space="0" w:color="auto"/>
        <w:right w:val="none" w:sz="0" w:space="0" w:color="auto"/>
      </w:divBdr>
    </w:div>
    <w:div w:id="1896697590">
      <w:bodyDiv w:val="1"/>
      <w:marLeft w:val="0"/>
      <w:marRight w:val="0"/>
      <w:marTop w:val="0"/>
      <w:marBottom w:val="0"/>
      <w:divBdr>
        <w:top w:val="none" w:sz="0" w:space="0" w:color="auto"/>
        <w:left w:val="none" w:sz="0" w:space="0" w:color="auto"/>
        <w:bottom w:val="none" w:sz="0" w:space="0" w:color="auto"/>
        <w:right w:val="none" w:sz="0" w:space="0" w:color="auto"/>
      </w:divBdr>
    </w:div>
    <w:div w:id="1911428982">
      <w:bodyDiv w:val="1"/>
      <w:marLeft w:val="0"/>
      <w:marRight w:val="0"/>
      <w:marTop w:val="0"/>
      <w:marBottom w:val="0"/>
      <w:divBdr>
        <w:top w:val="none" w:sz="0" w:space="0" w:color="auto"/>
        <w:left w:val="none" w:sz="0" w:space="0" w:color="auto"/>
        <w:bottom w:val="none" w:sz="0" w:space="0" w:color="auto"/>
        <w:right w:val="none" w:sz="0" w:space="0" w:color="auto"/>
      </w:divBdr>
    </w:div>
    <w:div w:id="1913347363">
      <w:bodyDiv w:val="1"/>
      <w:marLeft w:val="0"/>
      <w:marRight w:val="0"/>
      <w:marTop w:val="0"/>
      <w:marBottom w:val="0"/>
      <w:divBdr>
        <w:top w:val="none" w:sz="0" w:space="0" w:color="auto"/>
        <w:left w:val="none" w:sz="0" w:space="0" w:color="auto"/>
        <w:bottom w:val="none" w:sz="0" w:space="0" w:color="auto"/>
        <w:right w:val="none" w:sz="0" w:space="0" w:color="auto"/>
      </w:divBdr>
    </w:div>
    <w:div w:id="1968505205">
      <w:bodyDiv w:val="1"/>
      <w:marLeft w:val="0"/>
      <w:marRight w:val="0"/>
      <w:marTop w:val="0"/>
      <w:marBottom w:val="0"/>
      <w:divBdr>
        <w:top w:val="none" w:sz="0" w:space="0" w:color="auto"/>
        <w:left w:val="none" w:sz="0" w:space="0" w:color="auto"/>
        <w:bottom w:val="none" w:sz="0" w:space="0" w:color="auto"/>
        <w:right w:val="none" w:sz="0" w:space="0" w:color="auto"/>
      </w:divBdr>
    </w:div>
    <w:div w:id="1991399533">
      <w:bodyDiv w:val="1"/>
      <w:marLeft w:val="0"/>
      <w:marRight w:val="0"/>
      <w:marTop w:val="0"/>
      <w:marBottom w:val="0"/>
      <w:divBdr>
        <w:top w:val="none" w:sz="0" w:space="0" w:color="auto"/>
        <w:left w:val="none" w:sz="0" w:space="0" w:color="auto"/>
        <w:bottom w:val="none" w:sz="0" w:space="0" w:color="auto"/>
        <w:right w:val="none" w:sz="0" w:space="0" w:color="auto"/>
      </w:divBdr>
    </w:div>
    <w:div w:id="2037388596">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 w:id="2084444912">
      <w:bodyDiv w:val="1"/>
      <w:marLeft w:val="0"/>
      <w:marRight w:val="0"/>
      <w:marTop w:val="0"/>
      <w:marBottom w:val="0"/>
      <w:divBdr>
        <w:top w:val="none" w:sz="0" w:space="0" w:color="auto"/>
        <w:left w:val="none" w:sz="0" w:space="0" w:color="auto"/>
        <w:bottom w:val="none" w:sz="0" w:space="0" w:color="auto"/>
        <w:right w:val="none" w:sz="0" w:space="0" w:color="auto"/>
      </w:divBdr>
    </w:div>
    <w:div w:id="2122532191">
      <w:bodyDiv w:val="1"/>
      <w:marLeft w:val="0"/>
      <w:marRight w:val="0"/>
      <w:marTop w:val="0"/>
      <w:marBottom w:val="0"/>
      <w:divBdr>
        <w:top w:val="none" w:sz="0" w:space="0" w:color="auto"/>
        <w:left w:val="none" w:sz="0" w:space="0" w:color="auto"/>
        <w:bottom w:val="none" w:sz="0" w:space="0" w:color="auto"/>
        <w:right w:val="none" w:sz="0" w:space="0" w:color="auto"/>
      </w:divBdr>
    </w:div>
    <w:div w:id="2122605069">
      <w:bodyDiv w:val="1"/>
      <w:marLeft w:val="0"/>
      <w:marRight w:val="0"/>
      <w:marTop w:val="0"/>
      <w:marBottom w:val="0"/>
      <w:divBdr>
        <w:top w:val="none" w:sz="0" w:space="0" w:color="auto"/>
        <w:left w:val="none" w:sz="0" w:space="0" w:color="auto"/>
        <w:bottom w:val="none" w:sz="0" w:space="0" w:color="auto"/>
        <w:right w:val="none" w:sz="0" w:space="0" w:color="auto"/>
      </w:divBdr>
    </w:div>
    <w:div w:id="2130778358">
      <w:bodyDiv w:val="1"/>
      <w:marLeft w:val="0"/>
      <w:marRight w:val="0"/>
      <w:marTop w:val="0"/>
      <w:marBottom w:val="0"/>
      <w:divBdr>
        <w:top w:val="none" w:sz="0" w:space="0" w:color="auto"/>
        <w:left w:val="none" w:sz="0" w:space="0" w:color="auto"/>
        <w:bottom w:val="none" w:sz="0" w:space="0" w:color="auto"/>
        <w:right w:val="none" w:sz="0" w:space="0" w:color="auto"/>
      </w:divBdr>
      <w:divsChild>
        <w:div w:id="159555080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F6F5-4480-403B-9087-F1A66E9F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7351</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2017-10-12T00:58:00Z</dcterms:created>
  <dcterms:modified xsi:type="dcterms:W3CDTF">2017-10-12T03:54:00Z</dcterms:modified>
</cp:coreProperties>
</file>