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3E2" w:rsidRPr="00A433E2" w:rsidRDefault="00A433E2" w:rsidP="00A433E2">
      <w:pPr>
        <w:spacing w:after="300"/>
        <w:ind w:left="720" w:hanging="720"/>
        <w:contextualSpacing/>
        <w:outlineLvl w:val="0"/>
        <w:rPr>
          <w:rFonts w:asciiTheme="minorHAnsi" w:eastAsiaTheme="majorEastAsia" w:hAnsiTheme="minorHAnsi" w:cstheme="majorBidi"/>
          <w:b/>
          <w:spacing w:val="5"/>
          <w:kern w:val="28"/>
          <w:sz w:val="36"/>
          <w:szCs w:val="36"/>
        </w:rPr>
      </w:pPr>
      <w:bookmarkStart w:id="0" w:name="_GoBack"/>
      <w:bookmarkEnd w:id="0"/>
      <w:r w:rsidRPr="00A433E2">
        <w:rPr>
          <w:rFonts w:asciiTheme="minorHAnsi" w:eastAsiaTheme="majorEastAsia" w:hAnsiTheme="minorHAnsi" w:cstheme="majorBidi"/>
          <w:b/>
          <w:spacing w:val="5"/>
          <w:kern w:val="28"/>
          <w:sz w:val="36"/>
          <w:szCs w:val="36"/>
        </w:rPr>
        <w:t>5.20</w:t>
      </w:r>
      <w:r w:rsidRPr="00A433E2">
        <w:rPr>
          <w:rFonts w:asciiTheme="minorHAnsi" w:eastAsiaTheme="majorEastAsia" w:hAnsiTheme="minorHAnsi" w:cstheme="majorBidi"/>
          <w:b/>
          <w:spacing w:val="5"/>
          <w:kern w:val="28"/>
          <w:sz w:val="36"/>
          <w:szCs w:val="36"/>
        </w:rPr>
        <w:tab/>
        <w:t xml:space="preserve">BALSALAZIDE, </w:t>
      </w:r>
      <w:r w:rsidRPr="00A433E2">
        <w:rPr>
          <w:rFonts w:asciiTheme="minorHAnsi" w:eastAsiaTheme="majorEastAsia" w:hAnsiTheme="minorHAnsi" w:cstheme="majorBidi"/>
          <w:b/>
          <w:spacing w:val="5"/>
          <w:kern w:val="28"/>
          <w:sz w:val="36"/>
          <w:szCs w:val="36"/>
        </w:rPr>
        <w:br/>
        <w:t xml:space="preserve">Capsule, 750 mg balsalazide sodium, 280, </w:t>
      </w:r>
      <w:r w:rsidRPr="00A433E2">
        <w:rPr>
          <w:rFonts w:asciiTheme="minorHAnsi" w:eastAsiaTheme="majorEastAsia" w:hAnsiTheme="minorHAnsi" w:cstheme="majorBidi"/>
          <w:b/>
          <w:spacing w:val="5"/>
          <w:kern w:val="28"/>
          <w:sz w:val="36"/>
          <w:szCs w:val="36"/>
        </w:rPr>
        <w:br/>
        <w:t>Colazide®, Fresenius Kabi Australia Pty Limited.</w:t>
      </w:r>
    </w:p>
    <w:p w:rsidR="00A433E2" w:rsidRPr="00A433E2" w:rsidRDefault="00A433E2" w:rsidP="00A433E2">
      <w:pPr>
        <w:jc w:val="both"/>
        <w:rPr>
          <w:rFonts w:asciiTheme="minorHAnsi" w:hAnsiTheme="minorHAnsi"/>
          <w:sz w:val="22"/>
          <w:szCs w:val="22"/>
        </w:rPr>
      </w:pPr>
    </w:p>
    <w:p w:rsidR="00A433E2" w:rsidRPr="00A433E2" w:rsidRDefault="00A433E2" w:rsidP="00A433E2">
      <w:pPr>
        <w:numPr>
          <w:ilvl w:val="0"/>
          <w:numId w:val="5"/>
        </w:numPr>
        <w:outlineLvl w:val="0"/>
        <w:rPr>
          <w:rFonts w:asciiTheme="minorHAnsi" w:hAnsiTheme="minorHAnsi" w:cs="Arial"/>
          <w:b/>
          <w:snapToGrid w:val="0"/>
          <w:sz w:val="32"/>
          <w:szCs w:val="32"/>
          <w:lang w:eastAsia="en-US"/>
        </w:rPr>
      </w:pPr>
      <w:r w:rsidRPr="00A433E2">
        <w:rPr>
          <w:rFonts w:asciiTheme="minorHAnsi" w:hAnsiTheme="minorHAnsi" w:cs="Arial"/>
          <w:b/>
          <w:snapToGrid w:val="0"/>
          <w:sz w:val="32"/>
          <w:szCs w:val="32"/>
          <w:lang w:eastAsia="en-US"/>
        </w:rPr>
        <w:t>Purpose of Application</w:t>
      </w:r>
    </w:p>
    <w:p w:rsidR="00A433E2" w:rsidRPr="00A433E2" w:rsidRDefault="00A433E2" w:rsidP="00A433E2">
      <w:pPr>
        <w:rPr>
          <w:rFonts w:asciiTheme="minorHAnsi" w:hAnsiTheme="minorHAnsi"/>
        </w:rPr>
      </w:pPr>
    </w:p>
    <w:p w:rsidR="00A433E2" w:rsidRPr="00A433E2" w:rsidRDefault="00A433E2" w:rsidP="00A433E2">
      <w:pPr>
        <w:widowControl w:val="0"/>
        <w:numPr>
          <w:ilvl w:val="1"/>
          <w:numId w:val="5"/>
        </w:numPr>
        <w:contextualSpacing/>
        <w:jc w:val="both"/>
        <w:rPr>
          <w:rFonts w:asciiTheme="minorHAnsi" w:hAnsiTheme="minorHAnsi" w:cs="Arial"/>
          <w:snapToGrid w:val="0"/>
          <w:lang w:eastAsia="en-US"/>
        </w:rPr>
      </w:pPr>
      <w:r w:rsidRPr="00A433E2">
        <w:rPr>
          <w:rFonts w:asciiTheme="minorHAnsi" w:hAnsiTheme="minorHAnsi" w:cs="Arial"/>
          <w:snapToGrid w:val="0"/>
          <w:lang w:eastAsia="en-US"/>
        </w:rPr>
        <w:t xml:space="preserve">The minor submission sought to list a new pack size of 280 capsules of balsalazide on the PBS. </w:t>
      </w:r>
    </w:p>
    <w:p w:rsidR="00A433E2" w:rsidRPr="00A433E2" w:rsidRDefault="00A433E2" w:rsidP="00A433E2">
      <w:pPr>
        <w:widowControl w:val="0"/>
        <w:ind w:left="720"/>
        <w:contextualSpacing/>
        <w:jc w:val="both"/>
        <w:rPr>
          <w:rFonts w:asciiTheme="minorHAnsi" w:hAnsiTheme="minorHAnsi" w:cs="Arial"/>
          <w:snapToGrid w:val="0"/>
          <w:lang w:eastAsia="en-US"/>
        </w:rPr>
      </w:pPr>
    </w:p>
    <w:p w:rsidR="00A433E2" w:rsidRPr="00A433E2" w:rsidRDefault="00A433E2" w:rsidP="00A433E2">
      <w:pPr>
        <w:widowControl w:val="0"/>
        <w:numPr>
          <w:ilvl w:val="1"/>
          <w:numId w:val="5"/>
        </w:numPr>
        <w:contextualSpacing/>
        <w:jc w:val="both"/>
        <w:rPr>
          <w:rFonts w:asciiTheme="minorHAnsi" w:hAnsiTheme="minorHAnsi" w:cs="Arial"/>
          <w:snapToGrid w:val="0"/>
          <w:lang w:eastAsia="en-US"/>
        </w:rPr>
      </w:pPr>
      <w:r w:rsidRPr="00A433E2">
        <w:rPr>
          <w:rFonts w:asciiTheme="minorHAnsi" w:hAnsiTheme="minorHAnsi" w:cs="Arial"/>
          <w:snapToGrid w:val="0"/>
          <w:lang w:eastAsia="en-US"/>
        </w:rPr>
        <w:t>As PBS listings are based on pharmaceutical items, rather than pack sizes, the PBAC was requested to provide advice on an increase in maximum quantity for balsalazide capsules to 280, which would allow the supply of the pack size requested.</w:t>
      </w:r>
    </w:p>
    <w:p w:rsidR="00A433E2" w:rsidRPr="00A433E2" w:rsidRDefault="00A433E2" w:rsidP="00A433E2">
      <w:pPr>
        <w:jc w:val="both"/>
        <w:rPr>
          <w:rFonts w:asciiTheme="minorHAnsi" w:hAnsiTheme="minorHAnsi"/>
          <w:sz w:val="22"/>
          <w:szCs w:val="22"/>
        </w:rPr>
      </w:pPr>
    </w:p>
    <w:p w:rsidR="00A433E2" w:rsidRPr="00A433E2" w:rsidRDefault="00A433E2" w:rsidP="00A433E2">
      <w:pPr>
        <w:jc w:val="both"/>
        <w:rPr>
          <w:rFonts w:asciiTheme="minorHAnsi" w:hAnsiTheme="minorHAnsi"/>
          <w:sz w:val="22"/>
          <w:szCs w:val="22"/>
        </w:rPr>
      </w:pPr>
    </w:p>
    <w:p w:rsidR="00A433E2" w:rsidRPr="00A433E2" w:rsidRDefault="00A433E2" w:rsidP="00A433E2">
      <w:pPr>
        <w:numPr>
          <w:ilvl w:val="0"/>
          <w:numId w:val="5"/>
        </w:numPr>
        <w:outlineLvl w:val="0"/>
        <w:rPr>
          <w:rFonts w:asciiTheme="minorHAnsi" w:hAnsiTheme="minorHAnsi" w:cs="Arial"/>
          <w:b/>
          <w:snapToGrid w:val="0"/>
          <w:sz w:val="32"/>
          <w:szCs w:val="32"/>
          <w:lang w:eastAsia="en-US"/>
        </w:rPr>
      </w:pPr>
      <w:r w:rsidRPr="00A433E2">
        <w:rPr>
          <w:rFonts w:asciiTheme="minorHAnsi" w:hAnsiTheme="minorHAnsi" w:cs="Arial"/>
          <w:b/>
          <w:snapToGrid w:val="0"/>
          <w:sz w:val="32"/>
          <w:szCs w:val="32"/>
          <w:lang w:eastAsia="en-US"/>
        </w:rPr>
        <w:t>Requested listing</w:t>
      </w:r>
    </w:p>
    <w:p w:rsidR="00A433E2" w:rsidRPr="00A433E2" w:rsidRDefault="00A433E2" w:rsidP="00A433E2">
      <w:pPr>
        <w:jc w:val="both"/>
        <w:rPr>
          <w:rFonts w:asciiTheme="minorHAnsi" w:hAnsiTheme="minorHAnsi"/>
          <w:b/>
          <w:sz w:val="22"/>
          <w:szCs w:val="22"/>
        </w:rPr>
      </w:pPr>
    </w:p>
    <w:p w:rsidR="00A433E2" w:rsidRPr="00A433E2" w:rsidRDefault="00A433E2" w:rsidP="00A433E2">
      <w:pPr>
        <w:widowControl w:val="0"/>
        <w:numPr>
          <w:ilvl w:val="1"/>
          <w:numId w:val="5"/>
        </w:numPr>
        <w:contextualSpacing/>
        <w:jc w:val="both"/>
        <w:rPr>
          <w:rFonts w:asciiTheme="minorHAnsi" w:hAnsiTheme="minorHAnsi" w:cs="Arial"/>
          <w:snapToGrid w:val="0"/>
          <w:lang w:eastAsia="en-US"/>
        </w:rPr>
      </w:pPr>
      <w:r w:rsidRPr="00A433E2">
        <w:rPr>
          <w:rFonts w:asciiTheme="minorHAnsi" w:hAnsiTheme="minorHAnsi" w:cs="Arial"/>
          <w:snapToGrid w:val="0"/>
          <w:lang w:eastAsia="en-US"/>
        </w:rPr>
        <w:t xml:space="preserve">The submission requested no changes to the restriction criteria for balsalazide. </w:t>
      </w:r>
    </w:p>
    <w:p w:rsidR="00A433E2" w:rsidRPr="00A433E2" w:rsidRDefault="00A433E2" w:rsidP="00A433E2">
      <w:pPr>
        <w:ind w:left="709"/>
        <w:jc w:val="both"/>
        <w:rPr>
          <w:rFonts w:asciiTheme="minorHAnsi" w:hAnsiTheme="minorHAnsi" w:cs="Arial"/>
          <w:b/>
          <w:i/>
          <w:sz w:val="22"/>
          <w:szCs w:val="22"/>
        </w:rPr>
      </w:pPr>
    </w:p>
    <w:p w:rsidR="00A433E2" w:rsidRPr="00A433E2" w:rsidRDefault="00A433E2" w:rsidP="00A433E2">
      <w:pPr>
        <w:ind w:firstLine="720"/>
        <w:jc w:val="both"/>
        <w:rPr>
          <w:rFonts w:asciiTheme="minorHAnsi" w:hAnsiTheme="minorHAnsi"/>
          <w:i/>
        </w:rPr>
      </w:pPr>
      <w:r w:rsidRPr="00A433E2">
        <w:rPr>
          <w:rFonts w:asciiTheme="minorHAnsi" w:hAnsiTheme="minorHAnsi"/>
          <w:i/>
        </w:rPr>
        <w:t>For more detail on PBAC’s view, see section 6 “PBAC outcome.”</w:t>
      </w:r>
    </w:p>
    <w:p w:rsidR="00A433E2" w:rsidRPr="00A433E2" w:rsidRDefault="00A433E2" w:rsidP="00A433E2">
      <w:pPr>
        <w:jc w:val="both"/>
        <w:rPr>
          <w:rFonts w:asciiTheme="minorHAnsi" w:hAnsiTheme="minorHAnsi"/>
          <w:sz w:val="22"/>
          <w:szCs w:val="22"/>
        </w:rPr>
      </w:pPr>
    </w:p>
    <w:p w:rsidR="00A433E2" w:rsidRPr="00A433E2" w:rsidRDefault="00A433E2" w:rsidP="00A433E2">
      <w:pPr>
        <w:jc w:val="both"/>
        <w:rPr>
          <w:rFonts w:asciiTheme="minorHAnsi" w:hAnsiTheme="minorHAnsi"/>
          <w:sz w:val="22"/>
          <w:szCs w:val="22"/>
        </w:rPr>
      </w:pPr>
    </w:p>
    <w:p w:rsidR="00A433E2" w:rsidRPr="00A433E2" w:rsidRDefault="00A433E2" w:rsidP="00A433E2">
      <w:pPr>
        <w:numPr>
          <w:ilvl w:val="0"/>
          <w:numId w:val="5"/>
        </w:numPr>
        <w:outlineLvl w:val="0"/>
        <w:rPr>
          <w:rFonts w:asciiTheme="minorHAnsi" w:hAnsiTheme="minorHAnsi" w:cs="Arial"/>
          <w:b/>
          <w:snapToGrid w:val="0"/>
          <w:sz w:val="32"/>
          <w:szCs w:val="32"/>
          <w:lang w:eastAsia="en-US"/>
        </w:rPr>
      </w:pPr>
      <w:r w:rsidRPr="00A433E2">
        <w:rPr>
          <w:rFonts w:asciiTheme="minorHAnsi" w:hAnsiTheme="minorHAnsi" w:cs="Arial"/>
          <w:b/>
          <w:snapToGrid w:val="0"/>
          <w:sz w:val="32"/>
          <w:szCs w:val="32"/>
          <w:lang w:eastAsia="en-US"/>
        </w:rPr>
        <w:t>Background</w:t>
      </w:r>
    </w:p>
    <w:p w:rsidR="00A433E2" w:rsidRPr="00A433E2" w:rsidRDefault="00A433E2" w:rsidP="00A433E2">
      <w:pPr>
        <w:widowControl w:val="0"/>
        <w:ind w:left="720"/>
        <w:contextualSpacing/>
        <w:jc w:val="both"/>
        <w:rPr>
          <w:rFonts w:asciiTheme="minorHAnsi" w:hAnsiTheme="minorHAnsi" w:cs="Arial"/>
          <w:i/>
          <w:snapToGrid w:val="0"/>
          <w:sz w:val="22"/>
          <w:szCs w:val="22"/>
          <w:lang w:eastAsia="en-US"/>
        </w:rPr>
      </w:pPr>
    </w:p>
    <w:p w:rsidR="00A433E2" w:rsidRPr="00A433E2" w:rsidRDefault="00A433E2" w:rsidP="00A433E2">
      <w:pPr>
        <w:widowControl w:val="0"/>
        <w:numPr>
          <w:ilvl w:val="1"/>
          <w:numId w:val="5"/>
        </w:numPr>
        <w:contextualSpacing/>
        <w:jc w:val="both"/>
        <w:rPr>
          <w:rFonts w:asciiTheme="minorHAnsi" w:hAnsiTheme="minorHAnsi" w:cs="Arial"/>
          <w:snapToGrid w:val="0"/>
          <w:lang w:eastAsia="en-US"/>
        </w:rPr>
      </w:pPr>
      <w:r w:rsidRPr="00A433E2">
        <w:rPr>
          <w:rFonts w:asciiTheme="minorHAnsi" w:hAnsiTheme="minorHAnsi" w:cs="Arial"/>
          <w:snapToGrid w:val="0"/>
          <w:lang w:eastAsia="en-US"/>
        </w:rPr>
        <w:t>Balsalazide is TGA registered for treatment of mild-to-moderate active ulcerative colitis, and maintenance of remission, in patients who are intolerant to sulfasalazine.</w:t>
      </w:r>
    </w:p>
    <w:p w:rsidR="00A433E2" w:rsidRPr="00A433E2" w:rsidRDefault="00A433E2" w:rsidP="00A433E2">
      <w:pPr>
        <w:widowControl w:val="0"/>
        <w:ind w:left="720"/>
        <w:contextualSpacing/>
        <w:jc w:val="both"/>
        <w:rPr>
          <w:rFonts w:asciiTheme="minorHAnsi" w:hAnsiTheme="minorHAnsi" w:cs="Arial"/>
          <w:snapToGrid w:val="0"/>
          <w:lang w:eastAsia="en-US"/>
        </w:rPr>
      </w:pPr>
    </w:p>
    <w:p w:rsidR="00A433E2" w:rsidRPr="00A433E2" w:rsidRDefault="00A433E2" w:rsidP="00A433E2">
      <w:pPr>
        <w:widowControl w:val="0"/>
        <w:numPr>
          <w:ilvl w:val="1"/>
          <w:numId w:val="5"/>
        </w:numPr>
        <w:contextualSpacing/>
        <w:jc w:val="both"/>
        <w:rPr>
          <w:rFonts w:asciiTheme="minorHAnsi" w:hAnsiTheme="minorHAnsi" w:cs="Arial"/>
          <w:snapToGrid w:val="0"/>
          <w:lang w:eastAsia="en-US"/>
        </w:rPr>
      </w:pPr>
      <w:r w:rsidRPr="00A433E2">
        <w:rPr>
          <w:rFonts w:asciiTheme="minorHAnsi" w:hAnsiTheme="minorHAnsi" w:cs="Arial"/>
          <w:snapToGrid w:val="0"/>
          <w:lang w:eastAsia="en-US"/>
        </w:rPr>
        <w:t xml:space="preserve">Balsalazide was recommended by the PBAC on a cost-minimisation basis against mesalazine enteric coated tablets at the March 2005 PBAC meeting. </w:t>
      </w:r>
    </w:p>
    <w:p w:rsidR="00A433E2" w:rsidRPr="00A433E2" w:rsidRDefault="00A433E2" w:rsidP="00A433E2">
      <w:pPr>
        <w:jc w:val="both"/>
        <w:rPr>
          <w:rFonts w:asciiTheme="minorHAnsi" w:hAnsiTheme="minorHAnsi"/>
          <w:i/>
          <w:highlight w:val="yellow"/>
        </w:rPr>
      </w:pPr>
    </w:p>
    <w:p w:rsidR="00A433E2" w:rsidRPr="00A433E2" w:rsidRDefault="00A433E2" w:rsidP="00A433E2">
      <w:pPr>
        <w:ind w:firstLine="720"/>
        <w:jc w:val="both"/>
        <w:rPr>
          <w:rFonts w:asciiTheme="minorHAnsi" w:hAnsiTheme="minorHAnsi"/>
          <w:i/>
        </w:rPr>
      </w:pPr>
      <w:r w:rsidRPr="00A433E2">
        <w:rPr>
          <w:rFonts w:asciiTheme="minorHAnsi" w:hAnsiTheme="minorHAnsi"/>
          <w:i/>
        </w:rPr>
        <w:t>For more detail on PBAC’s view, see section 6 “PBAC outcome.”</w:t>
      </w:r>
    </w:p>
    <w:p w:rsidR="00A433E2" w:rsidRPr="00A433E2" w:rsidRDefault="00A433E2" w:rsidP="00A433E2">
      <w:pPr>
        <w:jc w:val="both"/>
        <w:rPr>
          <w:rFonts w:asciiTheme="minorHAnsi" w:hAnsiTheme="minorHAnsi"/>
          <w:sz w:val="22"/>
          <w:szCs w:val="22"/>
        </w:rPr>
      </w:pPr>
    </w:p>
    <w:p w:rsidR="00A433E2" w:rsidRPr="00A433E2" w:rsidRDefault="00A433E2" w:rsidP="00A433E2">
      <w:pPr>
        <w:jc w:val="both"/>
        <w:rPr>
          <w:rFonts w:asciiTheme="minorHAnsi" w:hAnsiTheme="minorHAnsi"/>
          <w:sz w:val="22"/>
          <w:szCs w:val="22"/>
        </w:rPr>
      </w:pPr>
    </w:p>
    <w:p w:rsidR="00A433E2" w:rsidRPr="00A433E2" w:rsidRDefault="00A433E2" w:rsidP="00A433E2">
      <w:pPr>
        <w:numPr>
          <w:ilvl w:val="0"/>
          <w:numId w:val="5"/>
        </w:numPr>
        <w:outlineLvl w:val="0"/>
        <w:rPr>
          <w:rFonts w:asciiTheme="minorHAnsi" w:hAnsiTheme="minorHAnsi" w:cs="Arial"/>
          <w:b/>
          <w:snapToGrid w:val="0"/>
          <w:sz w:val="32"/>
          <w:szCs w:val="32"/>
          <w:lang w:eastAsia="en-US"/>
        </w:rPr>
      </w:pPr>
      <w:r w:rsidRPr="00A433E2">
        <w:rPr>
          <w:rFonts w:asciiTheme="minorHAnsi" w:hAnsiTheme="minorHAnsi" w:cs="Arial"/>
          <w:b/>
          <w:snapToGrid w:val="0"/>
          <w:sz w:val="32"/>
          <w:szCs w:val="32"/>
          <w:lang w:eastAsia="en-US"/>
        </w:rPr>
        <w:t>Basis for the request</w:t>
      </w:r>
    </w:p>
    <w:p w:rsidR="00A433E2" w:rsidRPr="00A433E2" w:rsidRDefault="00A433E2" w:rsidP="00A433E2">
      <w:pPr>
        <w:keepNext/>
        <w:widowControl w:val="0"/>
        <w:ind w:left="720"/>
        <w:contextualSpacing/>
        <w:jc w:val="both"/>
        <w:rPr>
          <w:rFonts w:asciiTheme="minorHAnsi" w:hAnsiTheme="minorHAnsi" w:cs="Arial"/>
          <w:snapToGrid w:val="0"/>
          <w:sz w:val="22"/>
          <w:szCs w:val="22"/>
          <w:lang w:eastAsia="en-US"/>
        </w:rPr>
      </w:pPr>
    </w:p>
    <w:p w:rsidR="00A433E2" w:rsidRPr="00A433E2" w:rsidRDefault="00A433E2" w:rsidP="00A433E2">
      <w:pPr>
        <w:widowControl w:val="0"/>
        <w:numPr>
          <w:ilvl w:val="1"/>
          <w:numId w:val="5"/>
        </w:numPr>
        <w:contextualSpacing/>
        <w:jc w:val="both"/>
        <w:rPr>
          <w:rFonts w:asciiTheme="minorHAnsi" w:hAnsiTheme="minorHAnsi" w:cs="Arial"/>
          <w:snapToGrid w:val="0"/>
          <w:lang w:eastAsia="en-US"/>
        </w:rPr>
      </w:pPr>
      <w:r w:rsidRPr="00A433E2">
        <w:rPr>
          <w:rFonts w:asciiTheme="minorHAnsi" w:hAnsiTheme="minorHAnsi" w:cs="Arial"/>
          <w:snapToGrid w:val="0"/>
          <w:lang w:eastAsia="en-US"/>
        </w:rPr>
        <w:t xml:space="preserve">The submission claimed that there is a need to increase the maximum quantity so that patients have sufficient capsules for the treatment of active disease. </w:t>
      </w:r>
    </w:p>
    <w:p w:rsidR="00A433E2" w:rsidRPr="00A433E2" w:rsidRDefault="00A433E2" w:rsidP="00A433E2">
      <w:pPr>
        <w:widowControl w:val="0"/>
        <w:contextualSpacing/>
        <w:jc w:val="both"/>
        <w:rPr>
          <w:rFonts w:asciiTheme="minorHAnsi" w:hAnsiTheme="minorHAnsi" w:cs="Arial"/>
          <w:snapToGrid w:val="0"/>
          <w:lang w:eastAsia="en-US"/>
        </w:rPr>
      </w:pPr>
    </w:p>
    <w:p w:rsidR="00A433E2" w:rsidRPr="00A433E2" w:rsidRDefault="00A433E2" w:rsidP="00A433E2">
      <w:pPr>
        <w:widowControl w:val="0"/>
        <w:numPr>
          <w:ilvl w:val="1"/>
          <w:numId w:val="5"/>
        </w:numPr>
        <w:contextualSpacing/>
        <w:jc w:val="both"/>
        <w:rPr>
          <w:rFonts w:asciiTheme="minorHAnsi" w:hAnsiTheme="minorHAnsi" w:cs="Arial"/>
          <w:snapToGrid w:val="0"/>
          <w:lang w:eastAsia="en-US"/>
        </w:rPr>
      </w:pPr>
      <w:r w:rsidRPr="00A433E2">
        <w:rPr>
          <w:rFonts w:asciiTheme="minorHAnsi" w:hAnsiTheme="minorHAnsi" w:cs="Arial"/>
          <w:snapToGrid w:val="0"/>
          <w:lang w:eastAsia="en-US"/>
        </w:rPr>
        <w:t>The recommended dosage in the product information for treatment of active disease is three capsules three times a day, or 270 capsules per month.  The recommended dosage for maintenance treatment is two capsules twice a day, or 120 capsules per month. The current maximum quantity for balsalazide is 180 capsules.</w:t>
      </w:r>
    </w:p>
    <w:p w:rsidR="00A433E2" w:rsidRPr="00A433E2" w:rsidRDefault="00A433E2" w:rsidP="00A433E2">
      <w:pPr>
        <w:widowControl w:val="0"/>
        <w:ind w:left="720"/>
        <w:contextualSpacing/>
        <w:jc w:val="both"/>
        <w:rPr>
          <w:rFonts w:asciiTheme="minorHAnsi" w:hAnsiTheme="minorHAnsi" w:cs="Arial"/>
          <w:snapToGrid w:val="0"/>
          <w:lang w:eastAsia="en-US"/>
        </w:rPr>
      </w:pPr>
    </w:p>
    <w:p w:rsidR="00A433E2" w:rsidRPr="00A433E2" w:rsidRDefault="00A433E2" w:rsidP="00A433E2">
      <w:pPr>
        <w:widowControl w:val="0"/>
        <w:numPr>
          <w:ilvl w:val="1"/>
          <w:numId w:val="5"/>
        </w:numPr>
        <w:contextualSpacing/>
        <w:jc w:val="both"/>
        <w:rPr>
          <w:rFonts w:asciiTheme="minorHAnsi" w:hAnsiTheme="minorHAnsi" w:cs="Arial"/>
          <w:snapToGrid w:val="0"/>
          <w:lang w:eastAsia="en-US"/>
        </w:rPr>
      </w:pPr>
      <w:r w:rsidRPr="00A433E2">
        <w:rPr>
          <w:rFonts w:asciiTheme="minorHAnsi" w:hAnsiTheme="minorHAnsi" w:cs="Arial"/>
          <w:snapToGrid w:val="0"/>
          <w:lang w:eastAsia="en-US"/>
        </w:rPr>
        <w:t xml:space="preserve">The submission claimed that this meant that when treating active disease either </w:t>
      </w:r>
      <w:r w:rsidRPr="00A433E2">
        <w:rPr>
          <w:rFonts w:asciiTheme="minorHAnsi" w:hAnsiTheme="minorHAnsi" w:cs="Arial"/>
          <w:snapToGrid w:val="0"/>
          <w:lang w:eastAsia="en-US"/>
        </w:rPr>
        <w:lastRenderedPageBreak/>
        <w:t>doctors need to request an increase in the maximum quantity by telephone authority, or patients may need to fill their prescription more frequently and as a result attend their doctor more regularly for a new prescription.</w:t>
      </w:r>
    </w:p>
    <w:p w:rsidR="00A433E2" w:rsidRPr="00A433E2" w:rsidRDefault="00A433E2" w:rsidP="00A433E2">
      <w:pPr>
        <w:widowControl w:val="0"/>
        <w:contextualSpacing/>
        <w:jc w:val="both"/>
        <w:rPr>
          <w:rFonts w:asciiTheme="minorHAnsi" w:hAnsiTheme="minorHAnsi" w:cs="Arial"/>
          <w:snapToGrid w:val="0"/>
          <w:lang w:eastAsia="en-US"/>
        </w:rPr>
      </w:pPr>
    </w:p>
    <w:p w:rsidR="00A433E2" w:rsidRPr="00A433E2" w:rsidRDefault="00A433E2" w:rsidP="00A433E2">
      <w:pPr>
        <w:widowControl w:val="0"/>
        <w:numPr>
          <w:ilvl w:val="1"/>
          <w:numId w:val="5"/>
        </w:numPr>
        <w:contextualSpacing/>
        <w:jc w:val="both"/>
        <w:rPr>
          <w:rFonts w:asciiTheme="minorHAnsi" w:hAnsiTheme="minorHAnsi" w:cs="Arial"/>
          <w:snapToGrid w:val="0"/>
          <w:sz w:val="22"/>
          <w:szCs w:val="22"/>
          <w:lang w:eastAsia="en-US"/>
        </w:rPr>
      </w:pPr>
      <w:r w:rsidRPr="00A433E2">
        <w:rPr>
          <w:rFonts w:asciiTheme="minorHAnsi" w:hAnsiTheme="minorHAnsi" w:cs="Arial"/>
          <w:snapToGrid w:val="0"/>
          <w:lang w:eastAsia="en-US"/>
        </w:rPr>
        <w:t>The PBAC previously recommended listing of balsalazide on a cost-minimisation basis compared to mesal</w:t>
      </w:r>
      <w:r w:rsidRPr="00A433E2">
        <w:rPr>
          <w:rFonts w:asciiTheme="minorHAnsi" w:hAnsiTheme="minorHAnsi" w:cs="Arial"/>
          <w:snapToGrid w:val="0"/>
          <w:sz w:val="22"/>
          <w:szCs w:val="20"/>
          <w:lang w:eastAsia="en-US"/>
        </w:rPr>
        <w:t xml:space="preserve">azine. </w:t>
      </w:r>
    </w:p>
    <w:p w:rsidR="00A433E2" w:rsidRPr="00A433E2" w:rsidRDefault="00A433E2" w:rsidP="00A433E2">
      <w:pPr>
        <w:widowControl w:val="0"/>
        <w:ind w:left="720"/>
        <w:contextualSpacing/>
        <w:jc w:val="both"/>
        <w:rPr>
          <w:rFonts w:asciiTheme="minorHAnsi" w:hAnsiTheme="minorHAnsi" w:cs="Arial"/>
          <w:snapToGrid w:val="0"/>
          <w:sz w:val="22"/>
          <w:szCs w:val="22"/>
          <w:lang w:eastAsia="en-US"/>
        </w:rPr>
      </w:pPr>
    </w:p>
    <w:p w:rsidR="00A433E2" w:rsidRPr="00A433E2" w:rsidRDefault="00A433E2" w:rsidP="00A433E2">
      <w:pPr>
        <w:ind w:firstLine="720"/>
        <w:jc w:val="both"/>
        <w:rPr>
          <w:rFonts w:asciiTheme="minorHAnsi" w:hAnsiTheme="minorHAnsi"/>
          <w:i/>
        </w:rPr>
      </w:pPr>
      <w:r w:rsidRPr="00A433E2">
        <w:rPr>
          <w:rFonts w:asciiTheme="minorHAnsi" w:hAnsiTheme="minorHAnsi"/>
          <w:i/>
        </w:rPr>
        <w:t>For more detail on PBAC’s view, see section 6 “PBAC outcome.”</w:t>
      </w:r>
    </w:p>
    <w:p w:rsidR="00A433E2" w:rsidRPr="00A433E2" w:rsidRDefault="00A433E2" w:rsidP="00A433E2">
      <w:pPr>
        <w:rPr>
          <w:rFonts w:asciiTheme="minorHAnsi" w:hAnsiTheme="minorHAnsi"/>
          <w:szCs w:val="22"/>
        </w:rPr>
      </w:pPr>
    </w:p>
    <w:p w:rsidR="00A433E2" w:rsidRPr="00A433E2" w:rsidRDefault="00A433E2" w:rsidP="00A433E2">
      <w:pPr>
        <w:rPr>
          <w:rFonts w:asciiTheme="minorHAnsi" w:hAnsiTheme="minorHAnsi"/>
          <w:szCs w:val="22"/>
        </w:rPr>
      </w:pPr>
    </w:p>
    <w:p w:rsidR="00A433E2" w:rsidRPr="00A433E2" w:rsidRDefault="00A433E2" w:rsidP="00A433E2">
      <w:pPr>
        <w:numPr>
          <w:ilvl w:val="0"/>
          <w:numId w:val="5"/>
        </w:numPr>
        <w:outlineLvl w:val="0"/>
        <w:rPr>
          <w:rFonts w:asciiTheme="minorHAnsi" w:hAnsiTheme="minorHAnsi" w:cs="Arial"/>
          <w:b/>
          <w:snapToGrid w:val="0"/>
          <w:sz w:val="32"/>
          <w:szCs w:val="32"/>
          <w:lang w:eastAsia="en-US"/>
        </w:rPr>
      </w:pPr>
      <w:r w:rsidRPr="00A433E2">
        <w:rPr>
          <w:rFonts w:asciiTheme="minorHAnsi" w:hAnsiTheme="minorHAnsi" w:cs="Arial"/>
          <w:b/>
          <w:snapToGrid w:val="0"/>
          <w:sz w:val="32"/>
          <w:szCs w:val="32"/>
          <w:lang w:eastAsia="en-US"/>
        </w:rPr>
        <w:t>Consideration of the evidence</w:t>
      </w:r>
    </w:p>
    <w:p w:rsidR="00A433E2" w:rsidRPr="00A433E2" w:rsidRDefault="00A433E2" w:rsidP="00A433E2"/>
    <w:p w:rsidR="00A433E2" w:rsidRPr="00A433E2" w:rsidRDefault="00A433E2" w:rsidP="00A433E2">
      <w:pPr>
        <w:keepNext/>
        <w:outlineLvl w:val="1"/>
        <w:rPr>
          <w:rFonts w:asciiTheme="minorHAnsi" w:hAnsiTheme="minorHAnsi"/>
          <w:b/>
          <w:i/>
          <w:sz w:val="28"/>
          <w:szCs w:val="28"/>
        </w:rPr>
      </w:pPr>
      <w:r w:rsidRPr="00A433E2">
        <w:rPr>
          <w:rFonts w:asciiTheme="minorHAnsi" w:hAnsiTheme="minorHAnsi"/>
          <w:b/>
          <w:i/>
          <w:sz w:val="28"/>
          <w:szCs w:val="28"/>
        </w:rPr>
        <w:t>Sponsor hearing</w:t>
      </w:r>
    </w:p>
    <w:p w:rsidR="00A433E2" w:rsidRPr="00A433E2" w:rsidRDefault="00A433E2" w:rsidP="00A433E2">
      <w:pPr>
        <w:widowControl w:val="0"/>
        <w:numPr>
          <w:ilvl w:val="1"/>
          <w:numId w:val="5"/>
        </w:numPr>
        <w:spacing w:after="120"/>
        <w:jc w:val="both"/>
        <w:rPr>
          <w:rFonts w:asciiTheme="minorHAnsi" w:hAnsiTheme="minorHAnsi" w:cs="Arial"/>
          <w:bCs/>
          <w:snapToGrid w:val="0"/>
        </w:rPr>
      </w:pPr>
      <w:r w:rsidRPr="00A433E2">
        <w:rPr>
          <w:rFonts w:asciiTheme="minorHAnsi" w:hAnsiTheme="minorHAnsi" w:cs="Arial"/>
          <w:bCs/>
          <w:snapToGrid w:val="0"/>
        </w:rPr>
        <w:t xml:space="preserve">There was no hearing for this item as it was a minor submission. </w:t>
      </w:r>
    </w:p>
    <w:p w:rsidR="00A433E2" w:rsidRPr="00A433E2" w:rsidRDefault="00A433E2" w:rsidP="00A433E2">
      <w:pPr>
        <w:tabs>
          <w:tab w:val="left" w:pos="2581"/>
        </w:tabs>
        <w:jc w:val="both"/>
        <w:rPr>
          <w:rFonts w:asciiTheme="minorHAnsi" w:hAnsiTheme="minorHAnsi"/>
          <w:sz w:val="22"/>
          <w:szCs w:val="22"/>
        </w:rPr>
      </w:pPr>
    </w:p>
    <w:p w:rsidR="00A433E2" w:rsidRPr="00A433E2" w:rsidRDefault="00A433E2" w:rsidP="00A433E2">
      <w:pPr>
        <w:keepNext/>
        <w:outlineLvl w:val="1"/>
        <w:rPr>
          <w:rFonts w:asciiTheme="minorHAnsi" w:hAnsiTheme="minorHAnsi"/>
          <w:b/>
          <w:i/>
          <w:sz w:val="28"/>
          <w:szCs w:val="28"/>
        </w:rPr>
      </w:pPr>
      <w:r w:rsidRPr="00A433E2">
        <w:rPr>
          <w:rFonts w:asciiTheme="minorHAnsi" w:hAnsiTheme="minorHAnsi"/>
          <w:b/>
          <w:i/>
          <w:sz w:val="28"/>
          <w:szCs w:val="28"/>
        </w:rPr>
        <w:t>Consumer comments</w:t>
      </w:r>
    </w:p>
    <w:p w:rsidR="00A433E2" w:rsidRPr="00A433E2" w:rsidRDefault="00A433E2" w:rsidP="00A433E2">
      <w:pPr>
        <w:widowControl w:val="0"/>
        <w:numPr>
          <w:ilvl w:val="1"/>
          <w:numId w:val="5"/>
        </w:numPr>
        <w:spacing w:after="120"/>
        <w:jc w:val="both"/>
        <w:rPr>
          <w:rFonts w:asciiTheme="minorHAnsi" w:hAnsiTheme="minorHAnsi" w:cs="Arial"/>
          <w:bCs/>
          <w:snapToGrid w:val="0"/>
        </w:rPr>
      </w:pPr>
      <w:r w:rsidRPr="00A433E2">
        <w:rPr>
          <w:rFonts w:asciiTheme="minorHAnsi" w:hAnsiTheme="minorHAnsi" w:cs="Arial"/>
          <w:bCs/>
          <w:snapToGrid w:val="0"/>
        </w:rPr>
        <w:t>The PBAC noted that no consumer comments were received for this item.</w:t>
      </w:r>
    </w:p>
    <w:p w:rsidR="00A433E2" w:rsidRPr="00A433E2" w:rsidRDefault="00A433E2" w:rsidP="00A433E2"/>
    <w:p w:rsidR="00A433E2" w:rsidRPr="00A433E2" w:rsidRDefault="00A433E2" w:rsidP="00A433E2">
      <w:pPr>
        <w:keepNext/>
        <w:outlineLvl w:val="1"/>
        <w:rPr>
          <w:rFonts w:asciiTheme="minorHAnsi" w:hAnsiTheme="minorHAnsi"/>
          <w:b/>
          <w:i/>
          <w:sz w:val="28"/>
          <w:szCs w:val="28"/>
        </w:rPr>
      </w:pPr>
      <w:r w:rsidRPr="00A433E2">
        <w:rPr>
          <w:rFonts w:asciiTheme="minorHAnsi" w:hAnsiTheme="minorHAnsi"/>
          <w:b/>
          <w:i/>
          <w:sz w:val="28"/>
          <w:szCs w:val="28"/>
        </w:rPr>
        <w:t>Estimated PBS usage &amp; financial implications</w:t>
      </w:r>
    </w:p>
    <w:p w:rsidR="00A433E2" w:rsidRPr="00A433E2" w:rsidRDefault="00A433E2" w:rsidP="00A433E2">
      <w:pPr>
        <w:widowControl w:val="0"/>
        <w:numPr>
          <w:ilvl w:val="1"/>
          <w:numId w:val="5"/>
        </w:numPr>
        <w:contextualSpacing/>
        <w:jc w:val="both"/>
        <w:rPr>
          <w:rFonts w:asciiTheme="minorHAnsi" w:hAnsiTheme="minorHAnsi" w:cs="Arial"/>
          <w:snapToGrid w:val="0"/>
          <w:lang w:eastAsia="en-US"/>
        </w:rPr>
      </w:pPr>
      <w:r w:rsidRPr="00A433E2">
        <w:rPr>
          <w:rFonts w:asciiTheme="minorHAnsi" w:hAnsiTheme="minorHAnsi" w:cs="Arial"/>
          <w:snapToGrid w:val="0"/>
          <w:lang w:eastAsia="en-US"/>
        </w:rPr>
        <w:t>The minor submission requested the same price per capsule (AEMP) for balsalazide (750 mg, 280 capsules) as the current PBS-listed 180 capsule pack. A summary of the calculations to determine the price for the new pack size are presented below:</w:t>
      </w:r>
    </w:p>
    <w:p w:rsidR="00A433E2" w:rsidRPr="00A433E2" w:rsidRDefault="00A433E2" w:rsidP="00A433E2">
      <w:pPr>
        <w:widowControl w:val="0"/>
        <w:ind w:left="720"/>
        <w:contextualSpacing/>
        <w:jc w:val="both"/>
        <w:rPr>
          <w:rFonts w:asciiTheme="minorHAnsi" w:hAnsiTheme="minorHAnsi" w:cs="Arial"/>
          <w:snapToGrid w:val="0"/>
          <w:sz w:val="22"/>
          <w:szCs w:val="22"/>
          <w:lang w:eastAsia="en-US"/>
        </w:rPr>
      </w:pPr>
    </w:p>
    <w:p w:rsidR="00A433E2" w:rsidRPr="00A433E2" w:rsidRDefault="00A433E2" w:rsidP="00A433E2">
      <w:pPr>
        <w:keepNext/>
        <w:spacing w:before="120"/>
        <w:jc w:val="both"/>
        <w:rPr>
          <w:rFonts w:ascii="Arial Narrow" w:hAnsi="Arial Narrow"/>
          <w:b/>
          <w:bCs/>
          <w:sz w:val="20"/>
          <w:szCs w:val="20"/>
        </w:rPr>
      </w:pPr>
      <w:r w:rsidRPr="00A433E2">
        <w:rPr>
          <w:rFonts w:ascii="Arial Narrow" w:hAnsi="Arial Narrow"/>
          <w:b/>
          <w:bCs/>
          <w:sz w:val="20"/>
          <w:szCs w:val="20"/>
        </w:rPr>
        <w:t xml:space="preserve">Table </w:t>
      </w:r>
      <w:r w:rsidRPr="00A433E2">
        <w:rPr>
          <w:rFonts w:ascii="Arial Narrow" w:hAnsi="Arial Narrow"/>
          <w:b/>
          <w:bCs/>
          <w:noProof/>
          <w:sz w:val="20"/>
          <w:szCs w:val="20"/>
        </w:rPr>
        <w:t>1</w:t>
      </w:r>
      <w:r w:rsidRPr="00A433E2">
        <w:rPr>
          <w:rFonts w:ascii="Arial Narrow" w:hAnsi="Arial Narrow"/>
          <w:b/>
          <w:bCs/>
          <w:sz w:val="20"/>
          <w:szCs w:val="20"/>
        </w:rPr>
        <w:t>: Colazide price per capsule calculations</w:t>
      </w: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8"/>
        <w:gridCol w:w="1361"/>
        <w:gridCol w:w="1531"/>
        <w:gridCol w:w="1020"/>
        <w:gridCol w:w="1814"/>
      </w:tblGrid>
      <w:tr w:rsidR="00A433E2" w:rsidRPr="00A433E2" w:rsidTr="008274FA">
        <w:tc>
          <w:tcPr>
            <w:tcW w:w="3458" w:type="dxa"/>
            <w:shd w:val="clear" w:color="auto" w:fill="BFBFBF" w:themeFill="background1" w:themeFillShade="BF"/>
          </w:tcPr>
          <w:p w:rsidR="00A433E2" w:rsidRPr="007F134D" w:rsidRDefault="00A433E2" w:rsidP="00A433E2">
            <w:pPr>
              <w:spacing w:line="276" w:lineRule="auto"/>
              <w:rPr>
                <w:rFonts w:ascii="Arial Narrow" w:hAnsi="Arial Narrow"/>
                <w:sz w:val="20"/>
                <w:szCs w:val="20"/>
              </w:rPr>
            </w:pPr>
          </w:p>
        </w:tc>
        <w:tc>
          <w:tcPr>
            <w:tcW w:w="1361" w:type="dxa"/>
            <w:shd w:val="clear" w:color="auto" w:fill="BFBFBF" w:themeFill="background1" w:themeFillShade="BF"/>
          </w:tcPr>
          <w:p w:rsidR="00A433E2" w:rsidRPr="007F134D" w:rsidRDefault="00A433E2" w:rsidP="00A433E2">
            <w:pPr>
              <w:spacing w:line="276" w:lineRule="auto"/>
              <w:rPr>
                <w:rFonts w:ascii="Arial Narrow" w:hAnsi="Arial Narrow"/>
                <w:b/>
                <w:sz w:val="20"/>
                <w:szCs w:val="20"/>
              </w:rPr>
            </w:pPr>
            <w:r w:rsidRPr="007F134D">
              <w:rPr>
                <w:rFonts w:ascii="Arial Narrow" w:hAnsi="Arial Narrow"/>
                <w:b/>
                <w:sz w:val="20"/>
                <w:szCs w:val="20"/>
              </w:rPr>
              <w:t>AEMP</w:t>
            </w:r>
          </w:p>
        </w:tc>
        <w:tc>
          <w:tcPr>
            <w:tcW w:w="1531" w:type="dxa"/>
            <w:shd w:val="clear" w:color="auto" w:fill="BFBFBF" w:themeFill="background1" w:themeFillShade="BF"/>
          </w:tcPr>
          <w:p w:rsidR="00A433E2" w:rsidRPr="007F134D" w:rsidRDefault="00A433E2" w:rsidP="00A433E2">
            <w:pPr>
              <w:spacing w:line="276" w:lineRule="auto"/>
              <w:rPr>
                <w:rFonts w:ascii="Arial Narrow" w:hAnsi="Arial Narrow"/>
                <w:b/>
                <w:sz w:val="20"/>
                <w:szCs w:val="20"/>
              </w:rPr>
            </w:pPr>
            <w:r w:rsidRPr="007F134D">
              <w:rPr>
                <w:rFonts w:ascii="Arial Narrow" w:hAnsi="Arial Narrow"/>
                <w:b/>
                <w:sz w:val="20"/>
                <w:szCs w:val="20"/>
              </w:rPr>
              <w:t>Price to Pharmacy (PTP)</w:t>
            </w:r>
          </w:p>
        </w:tc>
        <w:tc>
          <w:tcPr>
            <w:tcW w:w="1020" w:type="dxa"/>
            <w:shd w:val="clear" w:color="auto" w:fill="BFBFBF" w:themeFill="background1" w:themeFillShade="BF"/>
          </w:tcPr>
          <w:p w:rsidR="00A433E2" w:rsidRPr="007F134D" w:rsidRDefault="00A433E2" w:rsidP="00A433E2">
            <w:pPr>
              <w:spacing w:line="276" w:lineRule="auto"/>
              <w:rPr>
                <w:rFonts w:ascii="Arial Narrow" w:hAnsi="Arial Narrow"/>
                <w:b/>
                <w:sz w:val="20"/>
                <w:szCs w:val="20"/>
              </w:rPr>
            </w:pPr>
            <w:r w:rsidRPr="007F134D">
              <w:rPr>
                <w:rFonts w:ascii="Arial Narrow" w:hAnsi="Arial Narrow"/>
                <w:b/>
                <w:sz w:val="20"/>
                <w:szCs w:val="20"/>
              </w:rPr>
              <w:t>DPMQ</w:t>
            </w:r>
          </w:p>
        </w:tc>
        <w:tc>
          <w:tcPr>
            <w:tcW w:w="1814" w:type="dxa"/>
            <w:shd w:val="clear" w:color="auto" w:fill="BFBFBF" w:themeFill="background1" w:themeFillShade="BF"/>
          </w:tcPr>
          <w:p w:rsidR="00A433E2" w:rsidRPr="007F134D" w:rsidRDefault="00A433E2" w:rsidP="00A433E2">
            <w:pPr>
              <w:spacing w:line="276" w:lineRule="auto"/>
              <w:rPr>
                <w:rFonts w:ascii="Arial Narrow" w:hAnsi="Arial Narrow"/>
                <w:b/>
                <w:sz w:val="20"/>
                <w:szCs w:val="20"/>
              </w:rPr>
            </w:pPr>
            <w:r w:rsidRPr="007F134D">
              <w:rPr>
                <w:rFonts w:ascii="Arial Narrow" w:hAnsi="Arial Narrow"/>
                <w:b/>
                <w:sz w:val="20"/>
                <w:szCs w:val="20"/>
              </w:rPr>
              <w:t>Price per capsule (based on AEMP)</w:t>
            </w:r>
          </w:p>
        </w:tc>
      </w:tr>
      <w:tr w:rsidR="00A433E2" w:rsidRPr="00A433E2" w:rsidTr="008274FA">
        <w:tc>
          <w:tcPr>
            <w:tcW w:w="3458" w:type="dxa"/>
            <w:shd w:val="clear" w:color="auto" w:fill="auto"/>
          </w:tcPr>
          <w:p w:rsidR="00A433E2" w:rsidRPr="00A433E2" w:rsidRDefault="00A433E2" w:rsidP="00A433E2">
            <w:pPr>
              <w:spacing w:line="276" w:lineRule="auto"/>
              <w:rPr>
                <w:rFonts w:ascii="Arial Narrow" w:hAnsi="Arial Narrow"/>
                <w:b/>
                <w:sz w:val="20"/>
                <w:szCs w:val="20"/>
              </w:rPr>
            </w:pPr>
            <w:r w:rsidRPr="00A433E2">
              <w:rPr>
                <w:rFonts w:ascii="Arial Narrow" w:hAnsi="Arial Narrow"/>
                <w:b/>
                <w:sz w:val="20"/>
                <w:szCs w:val="20"/>
              </w:rPr>
              <w:t>AEMP for 180-capsule pack</w:t>
            </w:r>
          </w:p>
        </w:tc>
        <w:tc>
          <w:tcPr>
            <w:tcW w:w="1361" w:type="dxa"/>
            <w:shd w:val="clear" w:color="auto" w:fill="auto"/>
            <w:vAlign w:val="bottom"/>
          </w:tcPr>
          <w:p w:rsidR="00A433E2" w:rsidRPr="00A433E2" w:rsidRDefault="00A433E2" w:rsidP="00A433E2">
            <w:pPr>
              <w:spacing w:line="276" w:lineRule="auto"/>
              <w:jc w:val="right"/>
              <w:rPr>
                <w:rFonts w:ascii="Arial Narrow" w:hAnsi="Arial Narrow"/>
                <w:color w:val="000000"/>
                <w:sz w:val="20"/>
                <w:szCs w:val="20"/>
              </w:rPr>
            </w:pPr>
            <w:r w:rsidRPr="00A433E2">
              <w:rPr>
                <w:rFonts w:ascii="Arial Narrow" w:hAnsi="Arial Narrow"/>
                <w:color w:val="000000"/>
                <w:sz w:val="20"/>
                <w:szCs w:val="20"/>
              </w:rPr>
              <w:t>$95.12</w:t>
            </w:r>
          </w:p>
        </w:tc>
        <w:tc>
          <w:tcPr>
            <w:tcW w:w="1531" w:type="dxa"/>
            <w:shd w:val="clear" w:color="auto" w:fill="auto"/>
            <w:vAlign w:val="bottom"/>
          </w:tcPr>
          <w:p w:rsidR="00A433E2" w:rsidRPr="00A433E2" w:rsidRDefault="00A433E2" w:rsidP="00A433E2">
            <w:pPr>
              <w:spacing w:line="276" w:lineRule="auto"/>
              <w:jc w:val="right"/>
              <w:rPr>
                <w:rFonts w:ascii="Arial Narrow" w:hAnsi="Arial Narrow"/>
                <w:color w:val="000000"/>
                <w:sz w:val="20"/>
                <w:szCs w:val="20"/>
              </w:rPr>
            </w:pPr>
            <w:r w:rsidRPr="00A433E2">
              <w:rPr>
                <w:rFonts w:ascii="Arial Narrow" w:hAnsi="Arial Narrow"/>
                <w:color w:val="000000"/>
                <w:sz w:val="20"/>
                <w:szCs w:val="20"/>
              </w:rPr>
              <w:t>$102.27</w:t>
            </w:r>
          </w:p>
        </w:tc>
        <w:tc>
          <w:tcPr>
            <w:tcW w:w="1020" w:type="dxa"/>
            <w:shd w:val="clear" w:color="auto" w:fill="auto"/>
            <w:vAlign w:val="bottom"/>
          </w:tcPr>
          <w:p w:rsidR="00A433E2" w:rsidRPr="00A433E2" w:rsidRDefault="00A433E2" w:rsidP="00A433E2">
            <w:pPr>
              <w:spacing w:line="276" w:lineRule="auto"/>
              <w:jc w:val="right"/>
              <w:rPr>
                <w:rFonts w:ascii="Arial Narrow" w:hAnsi="Arial Narrow"/>
                <w:color w:val="000000"/>
                <w:sz w:val="20"/>
                <w:szCs w:val="20"/>
              </w:rPr>
            </w:pPr>
            <w:r w:rsidRPr="00A433E2">
              <w:rPr>
                <w:rFonts w:ascii="Arial Narrow" w:hAnsi="Arial Narrow"/>
                <w:color w:val="000000"/>
                <w:sz w:val="20"/>
                <w:szCs w:val="20"/>
              </w:rPr>
              <w:t>$112.83</w:t>
            </w:r>
          </w:p>
        </w:tc>
        <w:tc>
          <w:tcPr>
            <w:tcW w:w="1814" w:type="dxa"/>
            <w:vAlign w:val="bottom"/>
          </w:tcPr>
          <w:p w:rsidR="00A433E2" w:rsidRPr="00A433E2" w:rsidRDefault="00A433E2" w:rsidP="00A433E2">
            <w:pPr>
              <w:spacing w:line="276" w:lineRule="auto"/>
              <w:jc w:val="right"/>
              <w:rPr>
                <w:rFonts w:ascii="Arial Narrow" w:hAnsi="Arial Narrow"/>
                <w:color w:val="000000"/>
                <w:sz w:val="20"/>
                <w:szCs w:val="20"/>
              </w:rPr>
            </w:pPr>
            <w:r w:rsidRPr="00A433E2">
              <w:rPr>
                <w:rFonts w:ascii="Arial Narrow" w:hAnsi="Arial Narrow"/>
                <w:color w:val="000000"/>
                <w:sz w:val="20"/>
                <w:szCs w:val="20"/>
              </w:rPr>
              <w:t>$0.53</w:t>
            </w:r>
          </w:p>
        </w:tc>
      </w:tr>
      <w:tr w:rsidR="00A433E2" w:rsidRPr="00A433E2" w:rsidTr="008274FA">
        <w:tc>
          <w:tcPr>
            <w:tcW w:w="3458" w:type="dxa"/>
            <w:shd w:val="clear" w:color="auto" w:fill="auto"/>
          </w:tcPr>
          <w:p w:rsidR="00A433E2" w:rsidRPr="00A433E2" w:rsidRDefault="00A433E2" w:rsidP="00A433E2">
            <w:pPr>
              <w:spacing w:line="276" w:lineRule="auto"/>
              <w:rPr>
                <w:rFonts w:ascii="Arial Narrow" w:hAnsi="Arial Narrow"/>
                <w:b/>
                <w:sz w:val="20"/>
                <w:szCs w:val="20"/>
              </w:rPr>
            </w:pPr>
            <w:r w:rsidRPr="00A433E2">
              <w:rPr>
                <w:rFonts w:ascii="Arial Narrow" w:hAnsi="Arial Narrow"/>
                <w:b/>
                <w:sz w:val="20"/>
                <w:szCs w:val="20"/>
              </w:rPr>
              <w:t>Proposed AEMP for 280-capsule pack</w:t>
            </w:r>
          </w:p>
        </w:tc>
        <w:tc>
          <w:tcPr>
            <w:tcW w:w="1361" w:type="dxa"/>
            <w:shd w:val="clear" w:color="auto" w:fill="auto"/>
            <w:vAlign w:val="bottom"/>
          </w:tcPr>
          <w:p w:rsidR="00A433E2" w:rsidRPr="00A433E2" w:rsidRDefault="00A433E2" w:rsidP="00A433E2">
            <w:pPr>
              <w:spacing w:line="276" w:lineRule="auto"/>
              <w:jc w:val="right"/>
              <w:rPr>
                <w:rFonts w:ascii="Arial Narrow" w:hAnsi="Arial Narrow"/>
                <w:color w:val="000000"/>
                <w:sz w:val="20"/>
                <w:szCs w:val="20"/>
              </w:rPr>
            </w:pPr>
            <w:r w:rsidRPr="00A433E2">
              <w:rPr>
                <w:rFonts w:ascii="Arial Narrow" w:hAnsi="Arial Narrow"/>
                <w:color w:val="000000"/>
                <w:sz w:val="20"/>
                <w:szCs w:val="20"/>
              </w:rPr>
              <w:t>$147.96</w:t>
            </w:r>
          </w:p>
        </w:tc>
        <w:tc>
          <w:tcPr>
            <w:tcW w:w="1531" w:type="dxa"/>
            <w:shd w:val="clear" w:color="auto" w:fill="auto"/>
            <w:vAlign w:val="bottom"/>
          </w:tcPr>
          <w:p w:rsidR="00A433E2" w:rsidRPr="00A433E2" w:rsidRDefault="00A433E2" w:rsidP="00A433E2">
            <w:pPr>
              <w:spacing w:line="276" w:lineRule="auto"/>
              <w:jc w:val="right"/>
              <w:rPr>
                <w:rFonts w:ascii="Arial Narrow" w:hAnsi="Arial Narrow"/>
                <w:color w:val="000000"/>
                <w:sz w:val="20"/>
                <w:szCs w:val="20"/>
              </w:rPr>
            </w:pPr>
            <w:r w:rsidRPr="00A433E2">
              <w:rPr>
                <w:rFonts w:ascii="Arial Narrow" w:hAnsi="Arial Narrow"/>
                <w:color w:val="000000"/>
                <w:sz w:val="20"/>
                <w:szCs w:val="20"/>
              </w:rPr>
              <w:t>$159.09</w:t>
            </w:r>
          </w:p>
        </w:tc>
        <w:tc>
          <w:tcPr>
            <w:tcW w:w="1020" w:type="dxa"/>
            <w:shd w:val="clear" w:color="auto" w:fill="auto"/>
            <w:vAlign w:val="bottom"/>
          </w:tcPr>
          <w:p w:rsidR="00A433E2" w:rsidRPr="00A433E2" w:rsidRDefault="00A433E2" w:rsidP="00A433E2">
            <w:pPr>
              <w:spacing w:line="276" w:lineRule="auto"/>
              <w:jc w:val="right"/>
              <w:rPr>
                <w:rFonts w:ascii="Arial Narrow" w:hAnsi="Arial Narrow"/>
                <w:color w:val="000000"/>
                <w:sz w:val="20"/>
                <w:szCs w:val="20"/>
              </w:rPr>
            </w:pPr>
            <w:r w:rsidRPr="00A433E2">
              <w:rPr>
                <w:rFonts w:ascii="Arial Narrow" w:hAnsi="Arial Narrow"/>
                <w:color w:val="000000"/>
                <w:sz w:val="20"/>
                <w:szCs w:val="20"/>
              </w:rPr>
              <w:t>$169.65</w:t>
            </w:r>
          </w:p>
        </w:tc>
        <w:tc>
          <w:tcPr>
            <w:tcW w:w="1814" w:type="dxa"/>
            <w:vAlign w:val="bottom"/>
          </w:tcPr>
          <w:p w:rsidR="00A433E2" w:rsidRPr="00A433E2" w:rsidRDefault="00A433E2" w:rsidP="00A433E2">
            <w:pPr>
              <w:spacing w:line="276" w:lineRule="auto"/>
              <w:jc w:val="right"/>
              <w:rPr>
                <w:rFonts w:ascii="Arial Narrow" w:hAnsi="Arial Narrow"/>
                <w:color w:val="000000"/>
                <w:sz w:val="20"/>
                <w:szCs w:val="20"/>
              </w:rPr>
            </w:pPr>
            <w:r w:rsidRPr="00A433E2">
              <w:rPr>
                <w:rFonts w:ascii="Arial Narrow" w:hAnsi="Arial Narrow"/>
                <w:color w:val="000000"/>
                <w:sz w:val="20"/>
                <w:szCs w:val="20"/>
              </w:rPr>
              <w:t>$0.53</w:t>
            </w:r>
          </w:p>
        </w:tc>
      </w:tr>
    </w:tbl>
    <w:p w:rsidR="00A433E2" w:rsidRPr="00A433E2" w:rsidRDefault="00A433E2" w:rsidP="00A433E2">
      <w:pPr>
        <w:ind w:left="720" w:hanging="720"/>
        <w:rPr>
          <w:rFonts w:asciiTheme="minorHAnsi" w:hAnsiTheme="minorHAnsi" w:cs="Arial"/>
          <w:snapToGrid w:val="0"/>
          <w:sz w:val="18"/>
          <w:szCs w:val="18"/>
          <w:lang w:eastAsia="en-US"/>
        </w:rPr>
      </w:pPr>
      <w:r w:rsidRPr="00A433E2">
        <w:rPr>
          <w:rFonts w:asciiTheme="minorHAnsi" w:hAnsiTheme="minorHAnsi" w:cs="Arial"/>
          <w:snapToGrid w:val="0"/>
          <w:sz w:val="18"/>
          <w:szCs w:val="18"/>
          <w:lang w:eastAsia="en-US"/>
        </w:rPr>
        <w:t>Source: Colazide Financial Implications Excel workbook, Pricing calculations worksheet, pg11 of the submission</w:t>
      </w:r>
    </w:p>
    <w:p w:rsidR="00A433E2" w:rsidRPr="00A433E2" w:rsidRDefault="00A433E2" w:rsidP="00A433E2"/>
    <w:p w:rsidR="00A433E2" w:rsidRPr="00A433E2" w:rsidRDefault="00A433E2" w:rsidP="00A433E2">
      <w:pPr>
        <w:widowControl w:val="0"/>
        <w:numPr>
          <w:ilvl w:val="1"/>
          <w:numId w:val="5"/>
        </w:numPr>
        <w:contextualSpacing/>
        <w:jc w:val="both"/>
        <w:rPr>
          <w:rFonts w:asciiTheme="minorHAnsi" w:hAnsiTheme="minorHAnsi" w:cs="Arial"/>
          <w:snapToGrid w:val="0"/>
          <w:lang w:eastAsia="en-US"/>
        </w:rPr>
      </w:pPr>
      <w:r w:rsidRPr="00A433E2">
        <w:rPr>
          <w:rFonts w:asciiTheme="minorHAnsi" w:hAnsiTheme="minorHAnsi" w:cs="Arial"/>
          <w:snapToGrid w:val="0"/>
          <w:lang w:eastAsia="en-US"/>
        </w:rPr>
        <w:t xml:space="preserve">The submission assumed that the uptake of balsalazide 280-capsule pack would replace the existing 180-capsule pack and did not expect it to impact on the overall market size for balsalazide. </w:t>
      </w:r>
    </w:p>
    <w:p w:rsidR="00A433E2" w:rsidRPr="00A433E2" w:rsidRDefault="00A433E2" w:rsidP="00A433E2">
      <w:pPr>
        <w:widowControl w:val="0"/>
        <w:ind w:left="720"/>
        <w:contextualSpacing/>
        <w:jc w:val="both"/>
        <w:rPr>
          <w:rFonts w:asciiTheme="minorHAnsi" w:hAnsiTheme="minorHAnsi" w:cs="Arial"/>
          <w:snapToGrid w:val="0"/>
          <w:sz w:val="22"/>
          <w:szCs w:val="22"/>
          <w:lang w:eastAsia="en-US"/>
        </w:rPr>
      </w:pPr>
    </w:p>
    <w:p w:rsidR="00A433E2" w:rsidRPr="00A433E2" w:rsidRDefault="00A433E2" w:rsidP="00A433E2">
      <w:pPr>
        <w:widowControl w:val="0"/>
        <w:numPr>
          <w:ilvl w:val="1"/>
          <w:numId w:val="5"/>
        </w:numPr>
        <w:contextualSpacing/>
        <w:jc w:val="both"/>
        <w:rPr>
          <w:rFonts w:asciiTheme="minorHAnsi" w:hAnsiTheme="minorHAnsi" w:cs="Arial"/>
          <w:snapToGrid w:val="0"/>
          <w:lang w:eastAsia="en-US"/>
        </w:rPr>
      </w:pPr>
      <w:r w:rsidRPr="00A433E2">
        <w:rPr>
          <w:rFonts w:asciiTheme="minorHAnsi" w:hAnsiTheme="minorHAnsi" w:cs="Arial"/>
          <w:snapToGrid w:val="0"/>
          <w:lang w:eastAsia="en-US"/>
        </w:rPr>
        <w:t>The submission also anticipated a reduction in the number of prescriptions and number of Authority Required approvals, as patients would receive sufficient medicines for one months’ supply with the new maximum quantity.</w:t>
      </w:r>
    </w:p>
    <w:p w:rsidR="00A433E2" w:rsidRPr="00A433E2" w:rsidRDefault="00A433E2" w:rsidP="00A433E2">
      <w:pPr>
        <w:widowControl w:val="0"/>
        <w:ind w:left="720"/>
        <w:contextualSpacing/>
        <w:jc w:val="both"/>
        <w:rPr>
          <w:rFonts w:asciiTheme="minorHAnsi" w:hAnsiTheme="minorHAnsi" w:cs="Arial"/>
          <w:snapToGrid w:val="0"/>
          <w:lang w:eastAsia="en-US"/>
        </w:rPr>
      </w:pPr>
    </w:p>
    <w:p w:rsidR="00A433E2" w:rsidRPr="00A433E2" w:rsidRDefault="00A433E2" w:rsidP="00A433E2">
      <w:pPr>
        <w:widowControl w:val="0"/>
        <w:numPr>
          <w:ilvl w:val="1"/>
          <w:numId w:val="5"/>
        </w:numPr>
        <w:contextualSpacing/>
        <w:jc w:val="both"/>
        <w:rPr>
          <w:rFonts w:asciiTheme="minorHAnsi" w:hAnsiTheme="minorHAnsi" w:cs="Arial"/>
          <w:snapToGrid w:val="0"/>
          <w:lang w:eastAsia="en-US"/>
        </w:rPr>
      </w:pPr>
      <w:r w:rsidRPr="00A433E2">
        <w:rPr>
          <w:rFonts w:asciiTheme="minorHAnsi" w:hAnsiTheme="minorHAnsi" w:cs="Arial"/>
          <w:snapToGrid w:val="0"/>
          <w:lang w:eastAsia="en-US"/>
        </w:rPr>
        <w:t xml:space="preserve">The minor submission estimated a total net cost to the PBS of less than $10 million over the first 5 years of listing (table 2), due to a reduction in the number of co-payments.  The submission also claimed savings to the MBS as a result of a reduction in the number of consultations. The sponsor assumed that all patients will attend only 2 appointments, instead of 3 per year. </w:t>
      </w:r>
    </w:p>
    <w:p w:rsidR="00A433E2" w:rsidRPr="00A433E2" w:rsidRDefault="00A433E2" w:rsidP="00A433E2">
      <w:pPr>
        <w:rPr>
          <w:rFonts w:asciiTheme="minorHAnsi" w:hAnsiTheme="minorHAnsi" w:cs="Arial"/>
          <w:snapToGrid w:val="0"/>
          <w:lang w:eastAsia="en-US"/>
        </w:rPr>
      </w:pPr>
    </w:p>
    <w:p w:rsidR="00A433E2" w:rsidRPr="00A433E2" w:rsidRDefault="00A433E2" w:rsidP="00A433E2">
      <w:pPr>
        <w:keepNext/>
        <w:spacing w:before="120"/>
        <w:jc w:val="both"/>
        <w:rPr>
          <w:rFonts w:ascii="Arial Narrow" w:hAnsi="Arial Narrow"/>
          <w:b/>
          <w:bCs/>
          <w:sz w:val="20"/>
          <w:szCs w:val="20"/>
        </w:rPr>
      </w:pPr>
      <w:r w:rsidRPr="00A433E2">
        <w:rPr>
          <w:rFonts w:ascii="Arial Narrow" w:hAnsi="Arial Narrow"/>
          <w:b/>
          <w:bCs/>
          <w:sz w:val="20"/>
          <w:szCs w:val="20"/>
        </w:rPr>
        <w:lastRenderedPageBreak/>
        <w:t xml:space="preserve">Table </w:t>
      </w:r>
      <w:r w:rsidRPr="00A433E2">
        <w:rPr>
          <w:rFonts w:ascii="Arial Narrow" w:hAnsi="Arial Narrow"/>
          <w:b/>
          <w:bCs/>
          <w:noProof/>
          <w:sz w:val="20"/>
          <w:szCs w:val="20"/>
        </w:rPr>
        <w:t>2</w:t>
      </w:r>
      <w:r w:rsidRPr="00A433E2">
        <w:rPr>
          <w:rFonts w:ascii="Arial Narrow" w:hAnsi="Arial Narrow"/>
          <w:b/>
          <w:bCs/>
          <w:sz w:val="20"/>
          <w:szCs w:val="20"/>
        </w:rPr>
        <w:t>: Estimated net cost to the PBS/RPBS for balsalazide 280-capsule pack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134"/>
        <w:gridCol w:w="1134"/>
        <w:gridCol w:w="1134"/>
        <w:gridCol w:w="1134"/>
        <w:gridCol w:w="1134"/>
      </w:tblGrid>
      <w:tr w:rsidR="00A433E2" w:rsidRPr="00A433E2" w:rsidTr="008274FA">
        <w:trPr>
          <w:trHeight w:val="321"/>
        </w:trPr>
        <w:tc>
          <w:tcPr>
            <w:tcW w:w="3510" w:type="dxa"/>
            <w:shd w:val="clear" w:color="000000" w:fill="BFBFBF"/>
            <w:noWrap/>
            <w:vAlign w:val="bottom"/>
            <w:hideMark/>
          </w:tcPr>
          <w:p w:rsidR="00A433E2" w:rsidRPr="00A433E2" w:rsidRDefault="00A433E2" w:rsidP="00A433E2">
            <w:pPr>
              <w:spacing w:line="276" w:lineRule="auto"/>
              <w:jc w:val="center"/>
              <w:rPr>
                <w:rFonts w:ascii="Arial Narrow" w:hAnsi="Arial Narrow" w:cs="Arial"/>
                <w:b/>
                <w:bCs/>
                <w:sz w:val="20"/>
                <w:szCs w:val="20"/>
                <w:lang w:val="en-US" w:eastAsia="en-US"/>
              </w:rPr>
            </w:pPr>
          </w:p>
        </w:tc>
        <w:tc>
          <w:tcPr>
            <w:tcW w:w="1134" w:type="dxa"/>
            <w:shd w:val="clear" w:color="000000" w:fill="BFBFBF"/>
            <w:noWrap/>
            <w:vAlign w:val="bottom"/>
            <w:hideMark/>
          </w:tcPr>
          <w:p w:rsidR="00A433E2" w:rsidRPr="00A433E2" w:rsidRDefault="00A433E2" w:rsidP="00A433E2">
            <w:pPr>
              <w:spacing w:line="276" w:lineRule="auto"/>
              <w:jc w:val="center"/>
              <w:rPr>
                <w:rFonts w:ascii="Arial Narrow" w:hAnsi="Arial Narrow" w:cs="Arial"/>
                <w:b/>
                <w:bCs/>
                <w:sz w:val="20"/>
                <w:szCs w:val="20"/>
              </w:rPr>
            </w:pPr>
            <w:r w:rsidRPr="00A433E2">
              <w:rPr>
                <w:rFonts w:ascii="Arial Narrow" w:hAnsi="Arial Narrow" w:cs="Arial"/>
                <w:b/>
                <w:bCs/>
                <w:sz w:val="20"/>
                <w:szCs w:val="20"/>
              </w:rPr>
              <w:t>Year 1</w:t>
            </w:r>
          </w:p>
        </w:tc>
        <w:tc>
          <w:tcPr>
            <w:tcW w:w="1134" w:type="dxa"/>
            <w:shd w:val="clear" w:color="000000" w:fill="BFBFBF"/>
            <w:noWrap/>
            <w:vAlign w:val="bottom"/>
            <w:hideMark/>
          </w:tcPr>
          <w:p w:rsidR="00A433E2" w:rsidRPr="00A433E2" w:rsidRDefault="00A433E2" w:rsidP="00A433E2">
            <w:pPr>
              <w:spacing w:line="276" w:lineRule="auto"/>
              <w:jc w:val="center"/>
              <w:rPr>
                <w:rFonts w:ascii="Arial Narrow" w:hAnsi="Arial Narrow" w:cs="Arial"/>
                <w:b/>
                <w:bCs/>
                <w:sz w:val="20"/>
                <w:szCs w:val="20"/>
              </w:rPr>
            </w:pPr>
            <w:r w:rsidRPr="00A433E2">
              <w:rPr>
                <w:rFonts w:ascii="Arial Narrow" w:hAnsi="Arial Narrow" w:cs="Arial"/>
                <w:b/>
                <w:bCs/>
                <w:sz w:val="20"/>
                <w:szCs w:val="20"/>
              </w:rPr>
              <w:t>Year 2</w:t>
            </w:r>
          </w:p>
        </w:tc>
        <w:tc>
          <w:tcPr>
            <w:tcW w:w="1134" w:type="dxa"/>
            <w:shd w:val="clear" w:color="000000" w:fill="BFBFBF"/>
            <w:noWrap/>
            <w:vAlign w:val="bottom"/>
            <w:hideMark/>
          </w:tcPr>
          <w:p w:rsidR="00A433E2" w:rsidRPr="00A433E2" w:rsidRDefault="00A433E2" w:rsidP="00A433E2">
            <w:pPr>
              <w:spacing w:line="276" w:lineRule="auto"/>
              <w:jc w:val="center"/>
              <w:rPr>
                <w:rFonts w:ascii="Arial Narrow" w:hAnsi="Arial Narrow" w:cs="Arial"/>
                <w:b/>
                <w:bCs/>
                <w:sz w:val="20"/>
                <w:szCs w:val="20"/>
              </w:rPr>
            </w:pPr>
            <w:r w:rsidRPr="00A433E2">
              <w:rPr>
                <w:rFonts w:ascii="Arial Narrow" w:hAnsi="Arial Narrow" w:cs="Arial"/>
                <w:b/>
                <w:bCs/>
                <w:sz w:val="20"/>
                <w:szCs w:val="20"/>
              </w:rPr>
              <w:t>Year 3</w:t>
            </w:r>
          </w:p>
        </w:tc>
        <w:tc>
          <w:tcPr>
            <w:tcW w:w="1134" w:type="dxa"/>
            <w:shd w:val="clear" w:color="000000" w:fill="BFBFBF"/>
            <w:noWrap/>
            <w:vAlign w:val="bottom"/>
            <w:hideMark/>
          </w:tcPr>
          <w:p w:rsidR="00A433E2" w:rsidRPr="00A433E2" w:rsidRDefault="00A433E2" w:rsidP="00A433E2">
            <w:pPr>
              <w:spacing w:line="276" w:lineRule="auto"/>
              <w:jc w:val="center"/>
              <w:rPr>
                <w:rFonts w:ascii="Arial Narrow" w:hAnsi="Arial Narrow" w:cs="Arial"/>
                <w:b/>
                <w:bCs/>
                <w:sz w:val="20"/>
                <w:szCs w:val="20"/>
              </w:rPr>
            </w:pPr>
            <w:r w:rsidRPr="00A433E2">
              <w:rPr>
                <w:rFonts w:ascii="Arial Narrow" w:hAnsi="Arial Narrow" w:cs="Arial"/>
                <w:b/>
                <w:bCs/>
                <w:sz w:val="20"/>
                <w:szCs w:val="20"/>
              </w:rPr>
              <w:t>Year 4</w:t>
            </w:r>
          </w:p>
        </w:tc>
        <w:tc>
          <w:tcPr>
            <w:tcW w:w="1134" w:type="dxa"/>
            <w:shd w:val="clear" w:color="000000" w:fill="BFBFBF"/>
            <w:noWrap/>
            <w:vAlign w:val="bottom"/>
            <w:hideMark/>
          </w:tcPr>
          <w:p w:rsidR="00A433E2" w:rsidRPr="00A433E2" w:rsidRDefault="00A433E2" w:rsidP="00A433E2">
            <w:pPr>
              <w:spacing w:line="276" w:lineRule="auto"/>
              <w:jc w:val="center"/>
              <w:rPr>
                <w:rFonts w:ascii="Arial Narrow" w:hAnsi="Arial Narrow" w:cs="Arial"/>
                <w:b/>
                <w:bCs/>
                <w:sz w:val="20"/>
                <w:szCs w:val="20"/>
              </w:rPr>
            </w:pPr>
            <w:r w:rsidRPr="00A433E2">
              <w:rPr>
                <w:rFonts w:ascii="Arial Narrow" w:hAnsi="Arial Narrow" w:cs="Arial"/>
                <w:b/>
                <w:bCs/>
                <w:sz w:val="20"/>
                <w:szCs w:val="20"/>
              </w:rPr>
              <w:t>Year 5</w:t>
            </w:r>
          </w:p>
        </w:tc>
      </w:tr>
      <w:tr w:rsidR="00A433E2" w:rsidRPr="00A433E2" w:rsidTr="008274FA">
        <w:trPr>
          <w:trHeight w:val="303"/>
        </w:trPr>
        <w:tc>
          <w:tcPr>
            <w:tcW w:w="3510" w:type="dxa"/>
            <w:tcBorders>
              <w:top w:val="single" w:sz="4" w:space="0" w:color="auto"/>
              <w:bottom w:val="single" w:sz="4" w:space="0" w:color="auto"/>
              <w:right w:val="single" w:sz="4" w:space="0" w:color="auto"/>
            </w:tcBorders>
            <w:shd w:val="clear" w:color="auto" w:fill="auto"/>
            <w:noWrap/>
            <w:vAlign w:val="bottom"/>
            <w:hideMark/>
          </w:tcPr>
          <w:p w:rsidR="00A433E2" w:rsidRPr="00A433E2" w:rsidRDefault="00A433E2" w:rsidP="00A433E2">
            <w:pPr>
              <w:spacing w:line="276" w:lineRule="auto"/>
              <w:rPr>
                <w:rFonts w:ascii="Arial Narrow" w:hAnsi="Arial Narrow" w:cs="Arial"/>
                <w:sz w:val="20"/>
                <w:szCs w:val="20"/>
              </w:rPr>
            </w:pPr>
            <w:r w:rsidRPr="00A433E2">
              <w:rPr>
                <w:rFonts w:ascii="Arial Narrow" w:hAnsi="Arial Narrow" w:cs="Arial"/>
                <w:sz w:val="20"/>
                <w:szCs w:val="20"/>
              </w:rPr>
              <w:t>Projected net cost of new listing to the PBS/RPBS less co-payments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33E2" w:rsidRPr="00A433E2" w:rsidRDefault="00A433E2" w:rsidP="00A433E2">
            <w:pPr>
              <w:spacing w:line="276" w:lineRule="auto"/>
              <w:jc w:val="right"/>
              <w:rPr>
                <w:rFonts w:ascii="Arial Narrow" w:hAnsi="Arial Narrow" w:cs="Arial"/>
                <w:sz w:val="20"/>
                <w:szCs w:val="20"/>
              </w:rPr>
            </w:pPr>
            <w:r w:rsidRPr="00A433E2">
              <w:rPr>
                <w:rFonts w:ascii="Arial Narrow" w:hAnsi="Arial Narrow"/>
                <w:color w:val="000000"/>
                <w:sz w:val="20"/>
                <w:szCs w:val="20"/>
              </w:rPr>
              <w:t>$</w:t>
            </w:r>
            <w:r w:rsidRPr="00A433E2">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33E2" w:rsidRPr="00A433E2" w:rsidRDefault="00A433E2" w:rsidP="00A433E2">
            <w:pPr>
              <w:spacing w:line="276" w:lineRule="auto"/>
              <w:jc w:val="right"/>
              <w:rPr>
                <w:rFonts w:ascii="Arial Narrow" w:hAnsi="Arial Narrow" w:cs="Arial"/>
                <w:sz w:val="20"/>
                <w:szCs w:val="20"/>
              </w:rPr>
            </w:pPr>
            <w:r w:rsidRPr="00A433E2">
              <w:rPr>
                <w:rFonts w:ascii="Arial Narrow" w:hAnsi="Arial Narrow"/>
                <w:color w:val="000000"/>
                <w:sz w:val="20"/>
                <w:szCs w:val="20"/>
              </w:rPr>
              <w:t>$</w:t>
            </w:r>
            <w:r w:rsidRPr="00A433E2">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33E2" w:rsidRPr="00A433E2" w:rsidRDefault="00A433E2" w:rsidP="00A433E2">
            <w:pPr>
              <w:spacing w:line="276" w:lineRule="auto"/>
              <w:jc w:val="right"/>
              <w:rPr>
                <w:rFonts w:ascii="Arial Narrow" w:hAnsi="Arial Narrow" w:cs="Arial"/>
                <w:sz w:val="20"/>
                <w:szCs w:val="20"/>
              </w:rPr>
            </w:pPr>
            <w:r w:rsidRPr="00A433E2">
              <w:rPr>
                <w:rFonts w:ascii="Arial Narrow" w:hAnsi="Arial Narrow"/>
                <w:color w:val="000000"/>
                <w:sz w:val="20"/>
                <w:szCs w:val="20"/>
              </w:rPr>
              <w:t>$</w:t>
            </w:r>
            <w:r w:rsidRPr="00A433E2">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33E2" w:rsidRPr="00A433E2" w:rsidRDefault="00A433E2" w:rsidP="00A433E2">
            <w:pPr>
              <w:spacing w:line="276" w:lineRule="auto"/>
              <w:jc w:val="right"/>
              <w:rPr>
                <w:rFonts w:ascii="Arial Narrow" w:hAnsi="Arial Narrow" w:cs="Arial"/>
                <w:sz w:val="20"/>
                <w:szCs w:val="20"/>
              </w:rPr>
            </w:pPr>
            <w:r w:rsidRPr="00A433E2">
              <w:rPr>
                <w:rFonts w:ascii="Arial Narrow" w:hAnsi="Arial Narrow"/>
                <w:color w:val="000000"/>
                <w:sz w:val="20"/>
                <w:szCs w:val="20"/>
              </w:rPr>
              <w:t>$</w:t>
            </w:r>
            <w:r w:rsidRPr="00A433E2">
              <w:rPr>
                <w:rFonts w:ascii="Arial Narrow" w:hAnsi="Arial Narrow"/>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33E2" w:rsidRPr="00A433E2" w:rsidRDefault="00A433E2" w:rsidP="00A433E2">
            <w:pPr>
              <w:spacing w:line="276" w:lineRule="auto"/>
              <w:jc w:val="right"/>
              <w:rPr>
                <w:rFonts w:ascii="Arial Narrow" w:hAnsi="Arial Narrow" w:cs="Arial"/>
                <w:sz w:val="20"/>
                <w:szCs w:val="20"/>
              </w:rPr>
            </w:pPr>
            <w:r w:rsidRPr="00A433E2">
              <w:rPr>
                <w:rFonts w:ascii="Arial Narrow" w:hAnsi="Arial Narrow"/>
                <w:color w:val="000000"/>
                <w:sz w:val="20"/>
                <w:szCs w:val="20"/>
              </w:rPr>
              <w:t>$</w:t>
            </w:r>
            <w:r w:rsidRPr="00A433E2">
              <w:rPr>
                <w:rFonts w:ascii="Arial Narrow" w:hAnsi="Arial Narrow"/>
                <w:noProof/>
                <w:color w:val="000000"/>
                <w:sz w:val="20"/>
                <w:szCs w:val="20"/>
                <w:highlight w:val="black"/>
              </w:rPr>
              <w:t>'''''''''''''''''''</w:t>
            </w:r>
          </w:p>
        </w:tc>
      </w:tr>
      <w:tr w:rsidR="00A433E2" w:rsidRPr="00A433E2" w:rsidTr="008274FA">
        <w:trPr>
          <w:trHeight w:val="303"/>
        </w:trPr>
        <w:tc>
          <w:tcPr>
            <w:tcW w:w="3510" w:type="dxa"/>
            <w:shd w:val="clear" w:color="auto" w:fill="auto"/>
            <w:noWrap/>
            <w:vAlign w:val="bottom"/>
            <w:hideMark/>
          </w:tcPr>
          <w:p w:rsidR="00A433E2" w:rsidRPr="00A433E2" w:rsidRDefault="00A433E2" w:rsidP="00A433E2">
            <w:pPr>
              <w:spacing w:line="276" w:lineRule="auto"/>
              <w:rPr>
                <w:rFonts w:ascii="Arial Narrow" w:hAnsi="Arial Narrow" w:cs="Arial"/>
                <w:sz w:val="20"/>
                <w:szCs w:val="20"/>
              </w:rPr>
            </w:pPr>
            <w:r w:rsidRPr="00A433E2">
              <w:rPr>
                <w:rFonts w:ascii="Arial Narrow" w:hAnsi="Arial Narrow" w:cs="Arial"/>
                <w:sz w:val="20"/>
                <w:szCs w:val="20"/>
              </w:rPr>
              <w:t>Projected net costs of displaced medicines to the PBS/RPBS less co-payments</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433E2" w:rsidRPr="00A433E2" w:rsidRDefault="00A433E2" w:rsidP="00A433E2">
            <w:pPr>
              <w:spacing w:line="276" w:lineRule="auto"/>
              <w:jc w:val="right"/>
              <w:rPr>
                <w:rFonts w:ascii="Arial Narrow" w:hAnsi="Arial Narrow" w:cs="Arial"/>
                <w:sz w:val="20"/>
                <w:szCs w:val="20"/>
              </w:rPr>
            </w:pPr>
            <w:r w:rsidRPr="00A433E2">
              <w:rPr>
                <w:rFonts w:ascii="Arial Narrow" w:hAnsi="Arial Narrow" w:cs="Arial"/>
                <w:sz w:val="20"/>
                <w:szCs w:val="20"/>
              </w:rPr>
              <w:t>$</w:t>
            </w:r>
            <w:r w:rsidRPr="00A433E2">
              <w:rPr>
                <w:rFonts w:ascii="Arial Narrow" w:hAnsi="Arial Narrow" w:cs="Arial"/>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33E2" w:rsidRPr="00A433E2" w:rsidRDefault="00A433E2" w:rsidP="00A433E2">
            <w:pPr>
              <w:spacing w:line="276" w:lineRule="auto"/>
              <w:jc w:val="right"/>
              <w:rPr>
                <w:rFonts w:ascii="Arial Narrow" w:hAnsi="Arial Narrow" w:cs="Arial"/>
                <w:sz w:val="20"/>
                <w:szCs w:val="20"/>
              </w:rPr>
            </w:pPr>
            <w:r w:rsidRPr="00A433E2">
              <w:rPr>
                <w:rFonts w:ascii="Arial Narrow" w:hAnsi="Arial Narrow" w:cs="Arial"/>
                <w:sz w:val="20"/>
                <w:szCs w:val="20"/>
              </w:rPr>
              <w:t>$</w:t>
            </w:r>
            <w:r w:rsidRPr="00A433E2">
              <w:rPr>
                <w:rFonts w:ascii="Arial Narrow" w:hAnsi="Arial Narrow" w:cs="Arial"/>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33E2" w:rsidRPr="00A433E2" w:rsidRDefault="00A433E2" w:rsidP="00A433E2">
            <w:pPr>
              <w:spacing w:line="276" w:lineRule="auto"/>
              <w:jc w:val="right"/>
              <w:rPr>
                <w:rFonts w:ascii="Arial Narrow" w:hAnsi="Arial Narrow" w:cs="Arial"/>
                <w:sz w:val="20"/>
                <w:szCs w:val="20"/>
              </w:rPr>
            </w:pPr>
            <w:r w:rsidRPr="00A433E2">
              <w:rPr>
                <w:rFonts w:ascii="Arial Narrow" w:hAnsi="Arial Narrow" w:cs="Arial"/>
                <w:sz w:val="20"/>
                <w:szCs w:val="20"/>
              </w:rPr>
              <w:t>$</w:t>
            </w:r>
            <w:r w:rsidRPr="00A433E2">
              <w:rPr>
                <w:rFonts w:ascii="Arial Narrow" w:hAnsi="Arial Narrow" w:cs="Arial"/>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33E2" w:rsidRPr="00A433E2" w:rsidRDefault="00A433E2" w:rsidP="00A433E2">
            <w:pPr>
              <w:spacing w:line="276" w:lineRule="auto"/>
              <w:jc w:val="right"/>
              <w:rPr>
                <w:rFonts w:ascii="Arial Narrow" w:hAnsi="Arial Narrow" w:cs="Arial"/>
                <w:sz w:val="20"/>
                <w:szCs w:val="20"/>
              </w:rPr>
            </w:pPr>
            <w:r w:rsidRPr="00A433E2">
              <w:rPr>
                <w:rFonts w:ascii="Arial Narrow" w:hAnsi="Arial Narrow" w:cs="Arial"/>
                <w:sz w:val="20"/>
                <w:szCs w:val="20"/>
              </w:rPr>
              <w:t>$</w:t>
            </w:r>
            <w:r w:rsidRPr="00A433E2">
              <w:rPr>
                <w:rFonts w:ascii="Arial Narrow" w:hAnsi="Arial Narrow" w:cs="Arial"/>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33E2" w:rsidRPr="00A433E2" w:rsidRDefault="00A433E2" w:rsidP="00A433E2">
            <w:pPr>
              <w:spacing w:line="276" w:lineRule="auto"/>
              <w:jc w:val="right"/>
              <w:rPr>
                <w:rFonts w:ascii="Arial Narrow" w:hAnsi="Arial Narrow" w:cs="Arial"/>
                <w:sz w:val="20"/>
                <w:szCs w:val="20"/>
              </w:rPr>
            </w:pPr>
            <w:r w:rsidRPr="00A433E2">
              <w:rPr>
                <w:rFonts w:ascii="Arial Narrow" w:hAnsi="Arial Narrow" w:cs="Arial"/>
                <w:sz w:val="20"/>
                <w:szCs w:val="20"/>
              </w:rPr>
              <w:t>$</w:t>
            </w:r>
            <w:r w:rsidRPr="00A433E2">
              <w:rPr>
                <w:rFonts w:ascii="Arial Narrow" w:hAnsi="Arial Narrow" w:cs="Arial"/>
                <w:noProof/>
                <w:color w:val="000000"/>
                <w:sz w:val="20"/>
                <w:szCs w:val="20"/>
                <w:highlight w:val="black"/>
              </w:rPr>
              <w:t>''''''''''''''''''''</w:t>
            </w:r>
          </w:p>
        </w:tc>
      </w:tr>
      <w:tr w:rsidR="00A433E2" w:rsidRPr="00A433E2" w:rsidTr="008274FA">
        <w:trPr>
          <w:trHeight w:val="303"/>
        </w:trPr>
        <w:tc>
          <w:tcPr>
            <w:tcW w:w="3510" w:type="dxa"/>
            <w:shd w:val="clear" w:color="auto" w:fill="auto"/>
            <w:noWrap/>
            <w:vAlign w:val="bottom"/>
            <w:hideMark/>
          </w:tcPr>
          <w:p w:rsidR="00A433E2" w:rsidRPr="00A433E2" w:rsidRDefault="00A433E2" w:rsidP="00A433E2">
            <w:pPr>
              <w:spacing w:line="276" w:lineRule="auto"/>
              <w:rPr>
                <w:rFonts w:ascii="Arial Narrow" w:hAnsi="Arial Narrow" w:cs="Arial"/>
                <w:sz w:val="20"/>
                <w:szCs w:val="20"/>
              </w:rPr>
            </w:pPr>
            <w:r w:rsidRPr="00A433E2">
              <w:rPr>
                <w:rFonts w:ascii="Arial Narrow" w:hAnsi="Arial Narrow" w:cs="Arial"/>
                <w:sz w:val="20"/>
                <w:szCs w:val="20"/>
              </w:rPr>
              <w:t>Net impact to the PBS/RPBS to the PBS/RPBS</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433E2" w:rsidRPr="00A433E2" w:rsidRDefault="00A433E2" w:rsidP="00A433E2">
            <w:pPr>
              <w:spacing w:line="276" w:lineRule="auto"/>
              <w:jc w:val="right"/>
              <w:rPr>
                <w:rFonts w:ascii="Arial Narrow" w:hAnsi="Arial Narrow" w:cs="Arial"/>
                <w:sz w:val="20"/>
                <w:szCs w:val="20"/>
              </w:rPr>
            </w:pPr>
            <w:r w:rsidRPr="00A433E2">
              <w:rPr>
                <w:rFonts w:ascii="Arial Narrow" w:hAnsi="Arial Narrow" w:cs="Arial"/>
                <w:sz w:val="20"/>
                <w:szCs w:val="20"/>
              </w:rPr>
              <w:t>$</w:t>
            </w:r>
            <w:r w:rsidRPr="00A433E2">
              <w:rPr>
                <w:rFonts w:ascii="Arial Narrow" w:hAnsi="Arial Narrow" w:cs="Arial"/>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33E2" w:rsidRPr="00A433E2" w:rsidRDefault="00A433E2" w:rsidP="00A433E2">
            <w:pPr>
              <w:spacing w:line="276" w:lineRule="auto"/>
              <w:jc w:val="right"/>
              <w:rPr>
                <w:rFonts w:ascii="Arial Narrow" w:hAnsi="Arial Narrow" w:cs="Arial"/>
                <w:sz w:val="20"/>
                <w:szCs w:val="20"/>
              </w:rPr>
            </w:pPr>
            <w:r w:rsidRPr="00A433E2">
              <w:rPr>
                <w:rFonts w:ascii="Arial Narrow" w:hAnsi="Arial Narrow" w:cs="Arial"/>
                <w:sz w:val="20"/>
                <w:szCs w:val="20"/>
              </w:rPr>
              <w:t>$</w:t>
            </w:r>
            <w:r w:rsidRPr="00A433E2">
              <w:rPr>
                <w:rFonts w:ascii="Arial Narrow" w:hAnsi="Arial Narrow" w:cs="Arial"/>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33E2" w:rsidRPr="00A433E2" w:rsidRDefault="00A433E2" w:rsidP="00A433E2">
            <w:pPr>
              <w:spacing w:line="276" w:lineRule="auto"/>
              <w:jc w:val="right"/>
              <w:rPr>
                <w:rFonts w:ascii="Arial Narrow" w:hAnsi="Arial Narrow" w:cs="Arial"/>
                <w:sz w:val="20"/>
                <w:szCs w:val="20"/>
              </w:rPr>
            </w:pPr>
            <w:r w:rsidRPr="00A433E2">
              <w:rPr>
                <w:rFonts w:ascii="Arial Narrow" w:hAnsi="Arial Narrow" w:cs="Arial"/>
                <w:sz w:val="20"/>
                <w:szCs w:val="20"/>
              </w:rPr>
              <w:t>$</w:t>
            </w:r>
            <w:r w:rsidRPr="00A433E2">
              <w:rPr>
                <w:rFonts w:ascii="Arial Narrow" w:hAnsi="Arial Narrow" w:cs="Arial"/>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33E2" w:rsidRPr="00A433E2" w:rsidRDefault="00A433E2" w:rsidP="00A433E2">
            <w:pPr>
              <w:spacing w:line="276" w:lineRule="auto"/>
              <w:jc w:val="right"/>
              <w:rPr>
                <w:rFonts w:ascii="Arial Narrow" w:hAnsi="Arial Narrow" w:cs="Arial"/>
                <w:sz w:val="20"/>
                <w:szCs w:val="20"/>
              </w:rPr>
            </w:pPr>
            <w:r w:rsidRPr="00A433E2">
              <w:rPr>
                <w:rFonts w:ascii="Arial Narrow" w:hAnsi="Arial Narrow" w:cs="Arial"/>
                <w:sz w:val="20"/>
                <w:szCs w:val="20"/>
              </w:rPr>
              <w:t>$</w:t>
            </w:r>
            <w:r w:rsidRPr="00A433E2">
              <w:rPr>
                <w:rFonts w:ascii="Arial Narrow" w:hAnsi="Arial Narrow" w:cs="Arial"/>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33E2" w:rsidRPr="00A433E2" w:rsidRDefault="00A433E2" w:rsidP="00A433E2">
            <w:pPr>
              <w:spacing w:line="276" w:lineRule="auto"/>
              <w:jc w:val="right"/>
              <w:rPr>
                <w:rFonts w:ascii="Arial Narrow" w:hAnsi="Arial Narrow" w:cs="Arial"/>
                <w:sz w:val="20"/>
                <w:szCs w:val="20"/>
              </w:rPr>
            </w:pPr>
            <w:r w:rsidRPr="00A433E2">
              <w:rPr>
                <w:rFonts w:ascii="Arial Narrow" w:hAnsi="Arial Narrow" w:cs="Arial"/>
                <w:sz w:val="20"/>
                <w:szCs w:val="20"/>
              </w:rPr>
              <w:t>$</w:t>
            </w:r>
            <w:r w:rsidRPr="00A433E2">
              <w:rPr>
                <w:rFonts w:ascii="Arial Narrow" w:hAnsi="Arial Narrow" w:cs="Arial"/>
                <w:noProof/>
                <w:color w:val="000000"/>
                <w:sz w:val="20"/>
                <w:szCs w:val="20"/>
                <w:highlight w:val="black"/>
              </w:rPr>
              <w:t>'''''''''''''</w:t>
            </w:r>
          </w:p>
        </w:tc>
      </w:tr>
      <w:tr w:rsidR="00A433E2" w:rsidRPr="00A433E2" w:rsidTr="008274FA">
        <w:trPr>
          <w:trHeight w:val="303"/>
        </w:trPr>
        <w:tc>
          <w:tcPr>
            <w:tcW w:w="3510" w:type="dxa"/>
            <w:shd w:val="clear" w:color="auto" w:fill="auto"/>
            <w:noWrap/>
            <w:vAlign w:val="bottom"/>
          </w:tcPr>
          <w:p w:rsidR="00A433E2" w:rsidRPr="00A433E2" w:rsidRDefault="00A433E2" w:rsidP="00A433E2">
            <w:pPr>
              <w:spacing w:line="276" w:lineRule="auto"/>
              <w:rPr>
                <w:rFonts w:ascii="Arial Narrow" w:hAnsi="Arial Narrow" w:cs="Arial"/>
                <w:sz w:val="20"/>
                <w:szCs w:val="20"/>
              </w:rPr>
            </w:pPr>
            <w:r w:rsidRPr="00A433E2">
              <w:rPr>
                <w:rFonts w:ascii="Arial Narrow" w:hAnsi="Arial Narrow" w:cs="Arial"/>
                <w:sz w:val="20"/>
                <w:szCs w:val="20"/>
              </w:rPr>
              <w:t>Net impact to the MBS</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433E2" w:rsidRPr="00A433E2" w:rsidRDefault="00A433E2" w:rsidP="00A433E2">
            <w:pPr>
              <w:spacing w:line="276" w:lineRule="auto"/>
              <w:jc w:val="right"/>
              <w:rPr>
                <w:rFonts w:ascii="Arial Narrow" w:hAnsi="Arial Narrow" w:cs="Arial"/>
                <w:sz w:val="20"/>
                <w:szCs w:val="20"/>
              </w:rPr>
            </w:pPr>
            <w:r w:rsidRPr="00A433E2">
              <w:rPr>
                <w:rFonts w:ascii="Arial Narrow" w:hAnsi="Arial Narrow" w:cs="Arial"/>
                <w:sz w:val="20"/>
                <w:szCs w:val="20"/>
              </w:rPr>
              <w:t>-$</w:t>
            </w:r>
            <w:r w:rsidRPr="00A433E2">
              <w:rPr>
                <w:rFonts w:ascii="Arial Narrow" w:hAnsi="Arial Narrow" w:cs="Arial"/>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33E2" w:rsidRPr="00A433E2" w:rsidRDefault="00A433E2" w:rsidP="00A433E2">
            <w:pPr>
              <w:spacing w:line="276" w:lineRule="auto"/>
              <w:jc w:val="right"/>
              <w:rPr>
                <w:rFonts w:ascii="Arial Narrow" w:hAnsi="Arial Narrow" w:cs="Arial"/>
                <w:sz w:val="20"/>
                <w:szCs w:val="20"/>
              </w:rPr>
            </w:pPr>
            <w:r w:rsidRPr="00A433E2">
              <w:rPr>
                <w:rFonts w:ascii="Arial Narrow" w:hAnsi="Arial Narrow" w:cs="Arial"/>
                <w:sz w:val="20"/>
                <w:szCs w:val="20"/>
              </w:rPr>
              <w:t>-$</w:t>
            </w:r>
            <w:r w:rsidRPr="00A433E2">
              <w:rPr>
                <w:rFonts w:ascii="Arial Narrow" w:hAnsi="Arial Narrow" w:cs="Arial"/>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33E2" w:rsidRPr="00A433E2" w:rsidRDefault="00A433E2" w:rsidP="00A433E2">
            <w:pPr>
              <w:spacing w:line="276" w:lineRule="auto"/>
              <w:jc w:val="right"/>
              <w:rPr>
                <w:rFonts w:ascii="Arial Narrow" w:hAnsi="Arial Narrow" w:cs="Arial"/>
                <w:sz w:val="20"/>
                <w:szCs w:val="20"/>
              </w:rPr>
            </w:pPr>
            <w:r w:rsidRPr="00A433E2">
              <w:rPr>
                <w:rFonts w:ascii="Arial Narrow" w:hAnsi="Arial Narrow" w:cs="Arial"/>
                <w:sz w:val="20"/>
                <w:szCs w:val="20"/>
              </w:rPr>
              <w:t>-$</w:t>
            </w:r>
            <w:r w:rsidRPr="00A433E2">
              <w:rPr>
                <w:rFonts w:ascii="Arial Narrow" w:hAnsi="Arial Narrow" w:cs="Arial"/>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33E2" w:rsidRPr="00A433E2" w:rsidRDefault="00A433E2" w:rsidP="00A433E2">
            <w:pPr>
              <w:spacing w:line="276" w:lineRule="auto"/>
              <w:jc w:val="right"/>
              <w:rPr>
                <w:rFonts w:ascii="Arial Narrow" w:hAnsi="Arial Narrow" w:cs="Arial"/>
                <w:sz w:val="20"/>
                <w:szCs w:val="20"/>
              </w:rPr>
            </w:pPr>
            <w:r w:rsidRPr="00A433E2">
              <w:rPr>
                <w:rFonts w:ascii="Arial Narrow" w:hAnsi="Arial Narrow" w:cs="Arial"/>
                <w:sz w:val="20"/>
                <w:szCs w:val="20"/>
              </w:rPr>
              <w:t>-$</w:t>
            </w:r>
            <w:r w:rsidRPr="00A433E2">
              <w:rPr>
                <w:rFonts w:ascii="Arial Narrow" w:hAnsi="Arial Narrow" w:cs="Arial"/>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33E2" w:rsidRPr="00A433E2" w:rsidRDefault="00A433E2" w:rsidP="00A433E2">
            <w:pPr>
              <w:spacing w:line="276" w:lineRule="auto"/>
              <w:jc w:val="right"/>
              <w:rPr>
                <w:rFonts w:ascii="Arial Narrow" w:hAnsi="Arial Narrow" w:cs="Arial"/>
                <w:sz w:val="20"/>
                <w:szCs w:val="20"/>
              </w:rPr>
            </w:pPr>
            <w:r w:rsidRPr="00A433E2">
              <w:rPr>
                <w:rFonts w:ascii="Arial Narrow" w:hAnsi="Arial Narrow" w:cs="Arial"/>
                <w:sz w:val="20"/>
                <w:szCs w:val="20"/>
              </w:rPr>
              <w:t>-$</w:t>
            </w:r>
            <w:r w:rsidRPr="00A433E2">
              <w:rPr>
                <w:rFonts w:ascii="Arial Narrow" w:hAnsi="Arial Narrow" w:cs="Arial"/>
                <w:noProof/>
                <w:color w:val="000000"/>
                <w:sz w:val="20"/>
                <w:szCs w:val="20"/>
                <w:highlight w:val="black"/>
              </w:rPr>
              <w:t>''''''''''''''''</w:t>
            </w:r>
          </w:p>
        </w:tc>
      </w:tr>
      <w:tr w:rsidR="00A433E2" w:rsidRPr="00A433E2" w:rsidTr="008274FA">
        <w:trPr>
          <w:trHeight w:val="303"/>
        </w:trPr>
        <w:tc>
          <w:tcPr>
            <w:tcW w:w="3510" w:type="dxa"/>
            <w:shd w:val="clear" w:color="auto" w:fill="auto"/>
            <w:noWrap/>
            <w:vAlign w:val="bottom"/>
          </w:tcPr>
          <w:p w:rsidR="00A433E2" w:rsidRPr="00A433E2" w:rsidRDefault="00A433E2" w:rsidP="00A433E2">
            <w:pPr>
              <w:spacing w:line="276" w:lineRule="auto"/>
              <w:rPr>
                <w:rFonts w:ascii="Arial Narrow" w:hAnsi="Arial Narrow" w:cs="Arial"/>
                <w:sz w:val="20"/>
                <w:szCs w:val="20"/>
              </w:rPr>
            </w:pPr>
            <w:r w:rsidRPr="00A433E2">
              <w:rPr>
                <w:rFonts w:ascii="Arial Narrow" w:hAnsi="Arial Narrow" w:cs="Arial"/>
                <w:sz w:val="20"/>
                <w:szCs w:val="20"/>
              </w:rPr>
              <w:t>Net impact to government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433E2" w:rsidRPr="00A433E2" w:rsidRDefault="00A433E2" w:rsidP="00A433E2">
            <w:pPr>
              <w:spacing w:line="276" w:lineRule="auto"/>
              <w:jc w:val="right"/>
              <w:rPr>
                <w:rFonts w:ascii="Arial Narrow" w:hAnsi="Arial Narrow" w:cs="Arial"/>
                <w:sz w:val="20"/>
                <w:szCs w:val="20"/>
              </w:rPr>
            </w:pPr>
            <w:r w:rsidRPr="00A433E2">
              <w:rPr>
                <w:rFonts w:ascii="Arial Narrow" w:hAnsi="Arial Narrow" w:cs="Arial"/>
                <w:sz w:val="20"/>
                <w:szCs w:val="20"/>
              </w:rPr>
              <w:t>-$</w:t>
            </w:r>
            <w:r w:rsidRPr="00A433E2">
              <w:rPr>
                <w:rFonts w:ascii="Arial Narrow" w:hAnsi="Arial Narrow" w:cs="Arial"/>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33E2" w:rsidRPr="00A433E2" w:rsidRDefault="00A433E2" w:rsidP="00A433E2">
            <w:pPr>
              <w:spacing w:line="276" w:lineRule="auto"/>
              <w:jc w:val="right"/>
              <w:rPr>
                <w:rFonts w:ascii="Arial Narrow" w:hAnsi="Arial Narrow" w:cs="Arial"/>
                <w:sz w:val="20"/>
                <w:szCs w:val="20"/>
              </w:rPr>
            </w:pPr>
            <w:r w:rsidRPr="00A433E2">
              <w:rPr>
                <w:rFonts w:ascii="Arial Narrow" w:hAnsi="Arial Narrow" w:cs="Arial"/>
                <w:sz w:val="20"/>
                <w:szCs w:val="20"/>
              </w:rPr>
              <w:t>-$</w:t>
            </w:r>
            <w:r w:rsidRPr="00A433E2">
              <w:rPr>
                <w:rFonts w:ascii="Arial Narrow" w:hAnsi="Arial Narrow" w:cs="Arial"/>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33E2" w:rsidRPr="00A433E2" w:rsidRDefault="00A433E2" w:rsidP="00A433E2">
            <w:pPr>
              <w:spacing w:line="276" w:lineRule="auto"/>
              <w:jc w:val="right"/>
              <w:rPr>
                <w:rFonts w:ascii="Arial Narrow" w:hAnsi="Arial Narrow" w:cs="Arial"/>
                <w:sz w:val="20"/>
                <w:szCs w:val="20"/>
              </w:rPr>
            </w:pPr>
            <w:r w:rsidRPr="00A433E2">
              <w:rPr>
                <w:rFonts w:ascii="Arial Narrow" w:hAnsi="Arial Narrow" w:cs="Arial"/>
                <w:sz w:val="20"/>
                <w:szCs w:val="20"/>
              </w:rPr>
              <w:t>-$</w:t>
            </w:r>
            <w:r w:rsidRPr="00A433E2">
              <w:rPr>
                <w:rFonts w:ascii="Arial Narrow" w:hAnsi="Arial Narrow" w:cs="Arial"/>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33E2" w:rsidRPr="00A433E2" w:rsidRDefault="00A433E2" w:rsidP="00A433E2">
            <w:pPr>
              <w:spacing w:line="276" w:lineRule="auto"/>
              <w:jc w:val="right"/>
              <w:rPr>
                <w:rFonts w:ascii="Arial Narrow" w:hAnsi="Arial Narrow" w:cs="Arial"/>
                <w:sz w:val="20"/>
                <w:szCs w:val="20"/>
              </w:rPr>
            </w:pPr>
            <w:r w:rsidRPr="00A433E2">
              <w:rPr>
                <w:rFonts w:ascii="Arial Narrow" w:hAnsi="Arial Narrow" w:cs="Arial"/>
                <w:sz w:val="20"/>
                <w:szCs w:val="20"/>
              </w:rPr>
              <w:t>-$</w:t>
            </w:r>
            <w:r w:rsidRPr="00A433E2">
              <w:rPr>
                <w:rFonts w:ascii="Arial Narrow" w:hAnsi="Arial Narrow" w:cs="Arial"/>
                <w:noProof/>
                <w:color w:val="000000"/>
                <w:sz w:val="2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33E2" w:rsidRPr="00A433E2" w:rsidRDefault="00A433E2" w:rsidP="00A433E2">
            <w:pPr>
              <w:spacing w:line="276" w:lineRule="auto"/>
              <w:jc w:val="right"/>
              <w:rPr>
                <w:rFonts w:ascii="Arial Narrow" w:hAnsi="Arial Narrow" w:cs="Arial"/>
                <w:sz w:val="20"/>
                <w:szCs w:val="20"/>
              </w:rPr>
            </w:pPr>
            <w:r w:rsidRPr="00A433E2">
              <w:rPr>
                <w:rFonts w:ascii="Arial Narrow" w:hAnsi="Arial Narrow" w:cs="Arial"/>
                <w:sz w:val="20"/>
                <w:szCs w:val="20"/>
              </w:rPr>
              <w:t>-$</w:t>
            </w:r>
            <w:r w:rsidRPr="00A433E2">
              <w:rPr>
                <w:rFonts w:ascii="Arial Narrow" w:hAnsi="Arial Narrow" w:cs="Arial"/>
                <w:noProof/>
                <w:color w:val="000000"/>
                <w:sz w:val="20"/>
                <w:szCs w:val="20"/>
                <w:highlight w:val="black"/>
              </w:rPr>
              <w:t>'''''''''''''''</w:t>
            </w:r>
          </w:p>
        </w:tc>
      </w:tr>
    </w:tbl>
    <w:p w:rsidR="00A433E2" w:rsidRPr="00A433E2" w:rsidRDefault="00A433E2" w:rsidP="00A433E2">
      <w:pPr>
        <w:rPr>
          <w:rFonts w:asciiTheme="minorHAnsi" w:hAnsiTheme="minorHAnsi" w:cs="Arial"/>
          <w:i/>
          <w:snapToGrid w:val="0"/>
          <w:sz w:val="18"/>
          <w:szCs w:val="18"/>
          <w:lang w:eastAsia="en-US"/>
        </w:rPr>
      </w:pPr>
      <w:r w:rsidRPr="00A433E2">
        <w:rPr>
          <w:rFonts w:asciiTheme="minorHAnsi" w:hAnsiTheme="minorHAnsi" w:cs="Arial"/>
          <w:i/>
          <w:snapToGrid w:val="0"/>
          <w:sz w:val="18"/>
          <w:szCs w:val="18"/>
          <w:lang w:eastAsia="en-US"/>
        </w:rPr>
        <w:t>Source: Financial Implications Workbook</w:t>
      </w:r>
    </w:p>
    <w:p w:rsidR="00A433E2" w:rsidRPr="00A433E2" w:rsidRDefault="00A433E2" w:rsidP="00A433E2">
      <w:pPr>
        <w:widowControl w:val="0"/>
        <w:ind w:left="720"/>
        <w:contextualSpacing/>
        <w:jc w:val="both"/>
        <w:rPr>
          <w:rFonts w:asciiTheme="minorHAnsi" w:hAnsiTheme="minorHAnsi" w:cs="Arial"/>
          <w:snapToGrid w:val="0"/>
          <w:lang w:eastAsia="en-US"/>
        </w:rPr>
      </w:pPr>
    </w:p>
    <w:p w:rsidR="00A433E2" w:rsidRPr="00A433E2" w:rsidRDefault="00A433E2" w:rsidP="00A433E2">
      <w:pPr>
        <w:widowControl w:val="0"/>
        <w:numPr>
          <w:ilvl w:val="1"/>
          <w:numId w:val="5"/>
        </w:numPr>
        <w:contextualSpacing/>
        <w:jc w:val="both"/>
        <w:rPr>
          <w:rFonts w:asciiTheme="minorHAnsi" w:hAnsiTheme="minorHAnsi" w:cs="Arial"/>
          <w:snapToGrid w:val="0"/>
          <w:lang w:eastAsia="en-US"/>
        </w:rPr>
      </w:pPr>
      <w:r w:rsidRPr="00A433E2">
        <w:rPr>
          <w:rFonts w:asciiTheme="minorHAnsi" w:hAnsiTheme="minorHAnsi" w:cs="Arial"/>
          <w:snapToGrid w:val="0"/>
          <w:lang w:eastAsia="en-US"/>
        </w:rPr>
        <w:t>However, there appeared to be some discrepancies in the estimated financial impact:</w:t>
      </w:r>
    </w:p>
    <w:p w:rsidR="00A433E2" w:rsidRPr="00A433E2" w:rsidRDefault="00A433E2" w:rsidP="00A433E2">
      <w:pPr>
        <w:widowControl w:val="0"/>
        <w:ind w:left="720"/>
        <w:contextualSpacing/>
        <w:jc w:val="both"/>
        <w:rPr>
          <w:rFonts w:asciiTheme="minorHAnsi" w:hAnsiTheme="minorHAnsi" w:cs="Arial"/>
          <w:snapToGrid w:val="0"/>
          <w:sz w:val="22"/>
          <w:szCs w:val="22"/>
          <w:lang w:eastAsia="en-US"/>
        </w:rPr>
      </w:pPr>
    </w:p>
    <w:p w:rsidR="00A433E2" w:rsidRPr="00A433E2" w:rsidRDefault="00A433E2" w:rsidP="00A433E2">
      <w:pPr>
        <w:widowControl w:val="0"/>
        <w:numPr>
          <w:ilvl w:val="1"/>
          <w:numId w:val="21"/>
        </w:numPr>
        <w:contextualSpacing/>
        <w:jc w:val="both"/>
        <w:rPr>
          <w:rFonts w:asciiTheme="minorHAnsi" w:hAnsiTheme="minorHAnsi" w:cs="Arial"/>
          <w:snapToGrid w:val="0"/>
          <w:lang w:eastAsia="en-US"/>
        </w:rPr>
      </w:pPr>
      <w:r w:rsidRPr="00A433E2">
        <w:rPr>
          <w:rFonts w:asciiTheme="minorHAnsi" w:hAnsiTheme="minorHAnsi" w:cs="Arial"/>
          <w:snapToGrid w:val="0"/>
          <w:lang w:eastAsia="en-US"/>
        </w:rPr>
        <w:t>The submission assumed that 80% of patients will be on active treatment or maintenance treatment at 8 capsules per day and will require larger quantities. This is inconsistent with the previous estimate that 17% of patients would be on active treatment, and the recommended dosage for maintenance treatment. Although the pre-PBAC response (p2) provided a sensitivity analysis where 17% of patients required an increase in maximum quantity, this was still higher than observed in the PBS data.</w:t>
      </w:r>
    </w:p>
    <w:p w:rsidR="00A433E2" w:rsidRPr="00A433E2" w:rsidRDefault="00A433E2" w:rsidP="00A433E2">
      <w:pPr>
        <w:widowControl w:val="0"/>
        <w:contextualSpacing/>
        <w:jc w:val="both"/>
        <w:rPr>
          <w:rFonts w:asciiTheme="minorHAnsi" w:hAnsiTheme="minorHAnsi" w:cs="Arial"/>
          <w:snapToGrid w:val="0"/>
          <w:lang w:eastAsia="en-US"/>
        </w:rPr>
      </w:pPr>
    </w:p>
    <w:p w:rsidR="00A433E2" w:rsidRPr="00A433E2" w:rsidRDefault="00A433E2" w:rsidP="00A433E2">
      <w:pPr>
        <w:widowControl w:val="0"/>
        <w:numPr>
          <w:ilvl w:val="1"/>
          <w:numId w:val="21"/>
        </w:numPr>
        <w:contextualSpacing/>
        <w:jc w:val="both"/>
        <w:rPr>
          <w:rFonts w:asciiTheme="minorHAnsi" w:hAnsiTheme="minorHAnsi" w:cs="Arial"/>
          <w:snapToGrid w:val="0"/>
          <w:lang w:eastAsia="en-US"/>
        </w:rPr>
      </w:pPr>
      <w:r w:rsidRPr="00A433E2">
        <w:rPr>
          <w:rFonts w:asciiTheme="minorHAnsi" w:hAnsiTheme="minorHAnsi" w:cs="Arial"/>
          <w:snapToGrid w:val="0"/>
          <w:lang w:eastAsia="en-US"/>
        </w:rPr>
        <w:t>The submission assumed that all of these patients are currently getting additional scripts to meet their dosing requirements, whilst also assuming that 80% of them are also seeking a telephone authority approval for an increased maximum quantity. These estimates have not been justified and appear to overestimate the reduction in co-payments and/or the reduction in the number of telephone authority requests. The pre-PBAC response (p2) acknowledged this and applied revised estimates which resulted in a small saving to government.</w:t>
      </w:r>
    </w:p>
    <w:p w:rsidR="00A433E2" w:rsidRPr="00A433E2" w:rsidRDefault="00A433E2" w:rsidP="00A433E2">
      <w:pPr>
        <w:widowControl w:val="0"/>
        <w:contextualSpacing/>
        <w:jc w:val="both"/>
        <w:rPr>
          <w:rFonts w:asciiTheme="minorHAnsi" w:hAnsiTheme="minorHAnsi" w:cs="Arial"/>
          <w:snapToGrid w:val="0"/>
          <w:lang w:eastAsia="en-US"/>
        </w:rPr>
      </w:pPr>
    </w:p>
    <w:p w:rsidR="00A433E2" w:rsidRPr="00A433E2" w:rsidRDefault="00A433E2" w:rsidP="00A433E2">
      <w:pPr>
        <w:widowControl w:val="0"/>
        <w:numPr>
          <w:ilvl w:val="1"/>
          <w:numId w:val="21"/>
        </w:numPr>
        <w:contextualSpacing/>
        <w:jc w:val="both"/>
        <w:rPr>
          <w:rFonts w:asciiTheme="minorHAnsi" w:hAnsiTheme="minorHAnsi" w:cs="Arial"/>
          <w:snapToGrid w:val="0"/>
          <w:lang w:eastAsia="en-US"/>
        </w:rPr>
      </w:pPr>
      <w:r w:rsidRPr="00A433E2">
        <w:rPr>
          <w:rFonts w:asciiTheme="minorHAnsi" w:hAnsiTheme="minorHAnsi" w:cs="Arial"/>
          <w:snapToGrid w:val="0"/>
          <w:lang w:eastAsia="en-US"/>
        </w:rPr>
        <w:t>The submission also assumed that all current patients require higher quantities, and all will attend additional appointments to get more scripts. This is inconsistent with the previous estimates that only 80% of patients require higher quantities, and that 80% of these are currently seeking a telephone authority for increased maximum quantities, and therefore overestimates the savings to Medicare.</w:t>
      </w:r>
    </w:p>
    <w:p w:rsidR="00A433E2" w:rsidRPr="00A433E2" w:rsidRDefault="00A433E2" w:rsidP="00A433E2">
      <w:pPr>
        <w:widowControl w:val="0"/>
        <w:ind w:left="720"/>
        <w:contextualSpacing/>
        <w:jc w:val="both"/>
        <w:rPr>
          <w:rFonts w:asciiTheme="minorHAnsi" w:hAnsiTheme="minorHAnsi" w:cs="Arial"/>
          <w:snapToGrid w:val="0"/>
          <w:lang w:eastAsia="en-US"/>
        </w:rPr>
      </w:pPr>
    </w:p>
    <w:p w:rsidR="00A433E2" w:rsidRPr="00A433E2" w:rsidRDefault="00A433E2" w:rsidP="00A433E2">
      <w:pPr>
        <w:widowControl w:val="0"/>
        <w:numPr>
          <w:ilvl w:val="1"/>
          <w:numId w:val="21"/>
        </w:numPr>
        <w:contextualSpacing/>
        <w:jc w:val="both"/>
        <w:rPr>
          <w:rFonts w:asciiTheme="minorHAnsi" w:hAnsiTheme="minorHAnsi" w:cs="Arial"/>
          <w:snapToGrid w:val="0"/>
          <w:lang w:eastAsia="en-US"/>
        </w:rPr>
      </w:pPr>
      <w:r w:rsidRPr="00A433E2">
        <w:rPr>
          <w:rFonts w:asciiTheme="minorHAnsi" w:hAnsiTheme="minorHAnsi" w:cs="Arial"/>
          <w:snapToGrid w:val="0"/>
          <w:lang w:eastAsia="en-US"/>
        </w:rPr>
        <w:t xml:space="preserve">The expected saving from reduced visits to consultant physicians (MBS Item 116), will not be realised as the system is considered to act at capacity and a reduction in its use by one groups of patients does not result in a harvestable saving. The pre-PBAC response (p2) argued that regardless of whether the MBS is acting at capacity or not, the opportunity cost forgone by providing an additional consultation to a patient for the provision of a Colazide prescription presents a tangible and quantifiable cost to the healthcare system. </w:t>
      </w:r>
    </w:p>
    <w:p w:rsidR="00A433E2" w:rsidRPr="00A433E2" w:rsidRDefault="00A433E2" w:rsidP="00A433E2">
      <w:pPr>
        <w:widowControl w:val="0"/>
        <w:ind w:left="720"/>
        <w:contextualSpacing/>
        <w:jc w:val="both"/>
        <w:rPr>
          <w:rFonts w:asciiTheme="minorHAnsi" w:hAnsiTheme="minorHAnsi" w:cs="Arial"/>
          <w:snapToGrid w:val="0"/>
          <w:lang w:eastAsia="en-US"/>
        </w:rPr>
      </w:pPr>
    </w:p>
    <w:p w:rsidR="00A433E2" w:rsidRPr="00A433E2" w:rsidRDefault="00A433E2" w:rsidP="00A433E2">
      <w:pPr>
        <w:widowControl w:val="0"/>
        <w:numPr>
          <w:ilvl w:val="1"/>
          <w:numId w:val="21"/>
        </w:numPr>
        <w:contextualSpacing/>
        <w:jc w:val="both"/>
        <w:rPr>
          <w:rFonts w:asciiTheme="minorHAnsi" w:hAnsiTheme="minorHAnsi" w:cs="Arial"/>
          <w:snapToGrid w:val="0"/>
          <w:lang w:eastAsia="en-US"/>
        </w:rPr>
      </w:pPr>
      <w:r w:rsidRPr="00A433E2">
        <w:rPr>
          <w:rFonts w:asciiTheme="minorHAnsi" w:hAnsiTheme="minorHAnsi" w:cs="Arial"/>
          <w:snapToGrid w:val="0"/>
          <w:lang w:eastAsia="en-US"/>
        </w:rPr>
        <w:t>The increased risk of wastage was not addressed by the submission. The pre</w:t>
      </w:r>
      <w:r w:rsidRPr="00A433E2">
        <w:rPr>
          <w:rFonts w:asciiTheme="minorHAnsi" w:hAnsiTheme="minorHAnsi" w:cs="Arial"/>
          <w:snapToGrid w:val="0"/>
          <w:lang w:eastAsia="en-US"/>
        </w:rPr>
        <w:noBreakHyphen/>
        <w:t>PBAC response (p2) claimed that wastage would be consistent with other PBS listed medicines of a relapsing-remitting nature and would be offset by savings to the MBS. However, this was inadequately justified.</w:t>
      </w:r>
    </w:p>
    <w:p w:rsidR="00A433E2" w:rsidRPr="00A433E2" w:rsidRDefault="00A433E2" w:rsidP="00A433E2">
      <w:pPr>
        <w:widowControl w:val="0"/>
        <w:ind w:left="720"/>
        <w:contextualSpacing/>
        <w:jc w:val="both"/>
        <w:rPr>
          <w:rFonts w:asciiTheme="minorHAnsi" w:hAnsiTheme="minorHAnsi" w:cs="Arial"/>
          <w:snapToGrid w:val="0"/>
          <w:lang w:eastAsia="en-US"/>
        </w:rPr>
      </w:pPr>
    </w:p>
    <w:p w:rsidR="00A433E2" w:rsidRPr="00A433E2" w:rsidRDefault="00A433E2" w:rsidP="00A433E2">
      <w:pPr>
        <w:widowControl w:val="0"/>
        <w:numPr>
          <w:ilvl w:val="1"/>
          <w:numId w:val="5"/>
        </w:numPr>
        <w:contextualSpacing/>
        <w:jc w:val="both"/>
        <w:rPr>
          <w:rFonts w:asciiTheme="minorHAnsi" w:hAnsiTheme="minorHAnsi" w:cs="Arial"/>
          <w:snapToGrid w:val="0"/>
          <w:lang w:eastAsia="en-US"/>
        </w:rPr>
      </w:pPr>
      <w:r w:rsidRPr="00A433E2">
        <w:rPr>
          <w:rFonts w:asciiTheme="minorHAnsi" w:hAnsiTheme="minorHAnsi" w:cs="Arial"/>
          <w:snapToGrid w:val="0"/>
          <w:lang w:eastAsia="en-US"/>
        </w:rPr>
        <w:t xml:space="preserve">The PBAC therefore considered that the submission’s assumptions and the resulting estimate of financial implications did not appear well justified. </w:t>
      </w:r>
    </w:p>
    <w:p w:rsidR="00A433E2" w:rsidRPr="00A433E2" w:rsidRDefault="00A433E2" w:rsidP="00A433E2">
      <w:pPr>
        <w:rPr>
          <w:rFonts w:asciiTheme="minorHAnsi" w:hAnsiTheme="minorHAnsi"/>
          <w:szCs w:val="22"/>
        </w:rPr>
      </w:pPr>
    </w:p>
    <w:p w:rsidR="00A433E2" w:rsidRPr="00A433E2" w:rsidRDefault="00A433E2" w:rsidP="00A433E2">
      <w:pPr>
        <w:widowControl w:val="0"/>
        <w:numPr>
          <w:ilvl w:val="1"/>
          <w:numId w:val="5"/>
        </w:numPr>
        <w:contextualSpacing/>
        <w:jc w:val="both"/>
        <w:rPr>
          <w:rFonts w:asciiTheme="minorHAnsi" w:hAnsiTheme="minorHAnsi" w:cs="Arial"/>
          <w:snapToGrid w:val="0"/>
          <w:lang w:eastAsia="en-US"/>
        </w:rPr>
      </w:pPr>
      <w:r w:rsidRPr="00A433E2">
        <w:rPr>
          <w:rFonts w:asciiTheme="minorHAnsi" w:hAnsiTheme="minorHAnsi" w:cs="Arial"/>
          <w:snapToGrid w:val="0"/>
          <w:lang w:eastAsia="en-US"/>
        </w:rPr>
        <w:t xml:space="preserve">The PBAC noted that there is an upcoming DUSC review to assess whether the increasing utilisation of 5-aminosalicylic acid medicines is due to more patients receiving treatment or higher doses (DUSC Outcome Statement, September 2016). The PBAC noted that there may be grounds to confirm the cost-effectiveness of colitis treatments used at higher doses. </w:t>
      </w:r>
    </w:p>
    <w:p w:rsidR="00A433E2" w:rsidRPr="00A433E2" w:rsidRDefault="00A433E2" w:rsidP="00A433E2">
      <w:pPr>
        <w:jc w:val="both"/>
        <w:rPr>
          <w:rFonts w:asciiTheme="minorHAnsi" w:hAnsiTheme="minorHAnsi"/>
          <w:sz w:val="22"/>
          <w:szCs w:val="22"/>
        </w:rPr>
      </w:pPr>
    </w:p>
    <w:p w:rsidR="00A433E2" w:rsidRPr="00A433E2" w:rsidRDefault="00A433E2" w:rsidP="00A433E2">
      <w:pPr>
        <w:ind w:firstLine="720"/>
        <w:jc w:val="both"/>
        <w:rPr>
          <w:rFonts w:asciiTheme="minorHAnsi" w:hAnsiTheme="minorHAnsi"/>
          <w:i/>
        </w:rPr>
      </w:pPr>
      <w:r w:rsidRPr="00A433E2">
        <w:rPr>
          <w:rFonts w:asciiTheme="minorHAnsi" w:hAnsiTheme="minorHAnsi"/>
          <w:i/>
        </w:rPr>
        <w:t>For more detail on PBAC’s view, see section 6 “PBAC outcome.”</w:t>
      </w:r>
    </w:p>
    <w:p w:rsidR="00A433E2" w:rsidRPr="00A433E2" w:rsidRDefault="00A433E2" w:rsidP="00A433E2">
      <w:pPr>
        <w:jc w:val="both"/>
        <w:rPr>
          <w:rFonts w:asciiTheme="minorHAnsi" w:hAnsiTheme="minorHAnsi"/>
          <w:i/>
        </w:rPr>
      </w:pPr>
    </w:p>
    <w:p w:rsidR="00A433E2" w:rsidRPr="00A433E2" w:rsidRDefault="00A433E2" w:rsidP="00A433E2">
      <w:pPr>
        <w:jc w:val="both"/>
        <w:rPr>
          <w:rFonts w:asciiTheme="minorHAnsi" w:hAnsiTheme="minorHAnsi"/>
          <w:sz w:val="22"/>
          <w:szCs w:val="22"/>
        </w:rPr>
      </w:pPr>
    </w:p>
    <w:p w:rsidR="00A433E2" w:rsidRPr="00A433E2" w:rsidRDefault="00A433E2" w:rsidP="00A433E2">
      <w:pPr>
        <w:numPr>
          <w:ilvl w:val="0"/>
          <w:numId w:val="5"/>
        </w:numPr>
        <w:outlineLvl w:val="0"/>
        <w:rPr>
          <w:rFonts w:asciiTheme="minorHAnsi" w:hAnsiTheme="minorHAnsi" w:cs="Arial"/>
          <w:b/>
          <w:snapToGrid w:val="0"/>
          <w:sz w:val="32"/>
          <w:szCs w:val="32"/>
          <w:lang w:eastAsia="en-US"/>
        </w:rPr>
      </w:pPr>
      <w:r w:rsidRPr="00A433E2">
        <w:rPr>
          <w:rFonts w:asciiTheme="minorHAnsi" w:hAnsiTheme="minorHAnsi" w:cs="Arial"/>
          <w:b/>
          <w:snapToGrid w:val="0"/>
          <w:sz w:val="32"/>
          <w:szCs w:val="32"/>
          <w:lang w:eastAsia="en-US"/>
        </w:rPr>
        <w:t>PBAC Outcome</w:t>
      </w:r>
    </w:p>
    <w:p w:rsidR="00A433E2" w:rsidRPr="00A433E2" w:rsidRDefault="00A433E2" w:rsidP="00A433E2"/>
    <w:p w:rsidR="00A433E2" w:rsidRPr="00A433E2" w:rsidRDefault="00A433E2" w:rsidP="00A433E2">
      <w:pPr>
        <w:widowControl w:val="0"/>
        <w:numPr>
          <w:ilvl w:val="1"/>
          <w:numId w:val="5"/>
        </w:numPr>
        <w:contextualSpacing/>
        <w:jc w:val="both"/>
        <w:rPr>
          <w:rFonts w:asciiTheme="minorHAnsi" w:hAnsiTheme="minorHAnsi" w:cs="Arial"/>
          <w:snapToGrid w:val="0"/>
          <w:lang w:eastAsia="en-US"/>
        </w:rPr>
      </w:pPr>
      <w:r w:rsidRPr="00A433E2">
        <w:rPr>
          <w:rFonts w:asciiTheme="minorHAnsi" w:hAnsiTheme="minorHAnsi" w:cs="Arial"/>
          <w:snapToGrid w:val="0"/>
          <w:lang w:eastAsia="en-US"/>
        </w:rPr>
        <w:t xml:space="preserve">The PBAC deferred the request to increase the maximum quantity of the currently listed pharmaceutical item balsalazide (Colazide®) to 280 capsules, to allow further analysis of utilisation, and consideration of the impact that an increase in maximum quantity may have on wastage, as well as the impact of higher doses on quality use of medicines and the cost-effectiveness of balsalazide treatment. </w:t>
      </w:r>
    </w:p>
    <w:p w:rsidR="00A433E2" w:rsidRPr="00A433E2" w:rsidRDefault="00A433E2" w:rsidP="00A433E2">
      <w:pPr>
        <w:widowControl w:val="0"/>
        <w:ind w:left="720"/>
        <w:contextualSpacing/>
        <w:jc w:val="both"/>
        <w:rPr>
          <w:rFonts w:asciiTheme="minorHAnsi" w:hAnsiTheme="minorHAnsi" w:cs="Arial"/>
          <w:snapToGrid w:val="0"/>
          <w:lang w:eastAsia="en-US"/>
        </w:rPr>
      </w:pPr>
    </w:p>
    <w:p w:rsidR="00A433E2" w:rsidRPr="00A433E2" w:rsidRDefault="00A433E2" w:rsidP="00A433E2">
      <w:pPr>
        <w:widowControl w:val="0"/>
        <w:numPr>
          <w:ilvl w:val="1"/>
          <w:numId w:val="5"/>
        </w:numPr>
        <w:contextualSpacing/>
        <w:jc w:val="both"/>
        <w:rPr>
          <w:rFonts w:asciiTheme="minorHAnsi" w:hAnsiTheme="minorHAnsi" w:cs="Arial"/>
          <w:snapToGrid w:val="0"/>
          <w:lang w:eastAsia="en-US"/>
        </w:rPr>
      </w:pPr>
      <w:r w:rsidRPr="00A433E2">
        <w:rPr>
          <w:rFonts w:asciiTheme="minorHAnsi" w:hAnsiTheme="minorHAnsi" w:cs="Arial"/>
          <w:snapToGrid w:val="0"/>
          <w:lang w:eastAsia="en-US"/>
        </w:rPr>
        <w:t>The PBAC recalled that it recommended the listing of balsalazide on a cost</w:t>
      </w:r>
      <w:r w:rsidRPr="00A433E2">
        <w:rPr>
          <w:rFonts w:asciiTheme="minorHAnsi" w:hAnsiTheme="minorHAnsi" w:cs="Arial"/>
          <w:snapToGrid w:val="0"/>
          <w:lang w:eastAsia="en-US"/>
        </w:rPr>
        <w:noBreakHyphen/>
        <w:t xml:space="preserve">minimisation basis compared to mesalazine. The recommended maximum quantity was based on trial data and the dose of the comparator, mesalazine. </w:t>
      </w:r>
    </w:p>
    <w:p w:rsidR="00A433E2" w:rsidRPr="00A433E2" w:rsidRDefault="00A433E2" w:rsidP="00A433E2">
      <w:pPr>
        <w:widowControl w:val="0"/>
        <w:ind w:left="720"/>
        <w:contextualSpacing/>
        <w:jc w:val="both"/>
        <w:rPr>
          <w:rFonts w:asciiTheme="minorHAnsi" w:hAnsiTheme="minorHAnsi" w:cs="Arial"/>
          <w:snapToGrid w:val="0"/>
          <w:lang w:eastAsia="en-US"/>
        </w:rPr>
      </w:pPr>
    </w:p>
    <w:p w:rsidR="00A433E2" w:rsidRPr="00A433E2" w:rsidRDefault="00A433E2" w:rsidP="00A433E2">
      <w:pPr>
        <w:widowControl w:val="0"/>
        <w:numPr>
          <w:ilvl w:val="1"/>
          <w:numId w:val="5"/>
        </w:numPr>
        <w:contextualSpacing/>
        <w:jc w:val="both"/>
        <w:rPr>
          <w:rFonts w:asciiTheme="minorHAnsi" w:hAnsiTheme="minorHAnsi" w:cs="Arial"/>
          <w:snapToGrid w:val="0"/>
          <w:lang w:eastAsia="en-US"/>
        </w:rPr>
      </w:pPr>
      <w:r w:rsidRPr="00A433E2">
        <w:rPr>
          <w:rFonts w:asciiTheme="minorHAnsi" w:hAnsiTheme="minorHAnsi" w:cs="Arial"/>
          <w:snapToGrid w:val="0"/>
          <w:lang w:eastAsia="en-US"/>
        </w:rPr>
        <w:t>The PBAC noted that while the requested increase in maximum quantity would allow for the supply of one months’ treatment of active disease, the recommended course of treatment for active disease is only 12 weeks; whereas each prescription provides for five repeats, or equivalent to six months treatment of active disease. As such, an increase in the maximum quantity increased the risk of wastage, and would also allow for use at higher doses than considered cost-effective at the time this listing was recommended.</w:t>
      </w:r>
    </w:p>
    <w:p w:rsidR="00A433E2" w:rsidRPr="00A433E2" w:rsidRDefault="00A433E2" w:rsidP="00A433E2">
      <w:pPr>
        <w:rPr>
          <w:rFonts w:asciiTheme="minorHAnsi" w:hAnsiTheme="minorHAnsi"/>
        </w:rPr>
      </w:pPr>
    </w:p>
    <w:p w:rsidR="00A433E2" w:rsidRPr="00A433E2" w:rsidRDefault="00A433E2" w:rsidP="00A433E2">
      <w:pPr>
        <w:widowControl w:val="0"/>
        <w:numPr>
          <w:ilvl w:val="1"/>
          <w:numId w:val="5"/>
        </w:numPr>
        <w:contextualSpacing/>
        <w:jc w:val="both"/>
        <w:rPr>
          <w:rFonts w:asciiTheme="minorHAnsi" w:hAnsiTheme="minorHAnsi" w:cs="Arial"/>
          <w:snapToGrid w:val="0"/>
          <w:lang w:eastAsia="en-US"/>
        </w:rPr>
      </w:pPr>
      <w:r w:rsidRPr="00A433E2">
        <w:rPr>
          <w:rFonts w:asciiTheme="minorHAnsi" w:hAnsiTheme="minorHAnsi" w:cs="Arial"/>
          <w:snapToGrid w:val="0"/>
          <w:lang w:eastAsia="en-US"/>
        </w:rPr>
        <w:t xml:space="preserve">The PBAC considered the submission’s claim that 80% of patients require larger quantities of balsalazide was not adequately justified. The PBAC noted that PBS dispensing data for the 2016 calendar year indicated that 88% of PBS subsidised dispensing was for amounts less than or equal to 180 capsules. The PBAC therefore considered that further analyses are required to investigate the current prescribing pattern for balsalazide, to determine whether there is a need for a change to the maximum quantity. </w:t>
      </w:r>
    </w:p>
    <w:p w:rsidR="00A433E2" w:rsidRPr="00A433E2" w:rsidRDefault="00A433E2" w:rsidP="00A433E2">
      <w:pPr>
        <w:widowControl w:val="0"/>
        <w:ind w:left="720"/>
        <w:contextualSpacing/>
        <w:jc w:val="both"/>
        <w:rPr>
          <w:rFonts w:asciiTheme="minorHAnsi" w:hAnsiTheme="minorHAnsi" w:cs="Arial"/>
          <w:snapToGrid w:val="0"/>
          <w:lang w:eastAsia="en-US"/>
        </w:rPr>
      </w:pPr>
    </w:p>
    <w:p w:rsidR="00A433E2" w:rsidRPr="00A433E2" w:rsidRDefault="00A433E2" w:rsidP="00A433E2">
      <w:pPr>
        <w:widowControl w:val="0"/>
        <w:numPr>
          <w:ilvl w:val="1"/>
          <w:numId w:val="5"/>
        </w:numPr>
        <w:contextualSpacing/>
        <w:jc w:val="both"/>
        <w:rPr>
          <w:rFonts w:asciiTheme="minorHAnsi" w:hAnsiTheme="minorHAnsi" w:cs="Arial"/>
          <w:snapToGrid w:val="0"/>
          <w:lang w:eastAsia="en-US"/>
        </w:rPr>
      </w:pPr>
      <w:r w:rsidRPr="00A433E2">
        <w:rPr>
          <w:rFonts w:asciiTheme="minorHAnsi" w:hAnsiTheme="minorHAnsi" w:cs="Arial"/>
          <w:snapToGrid w:val="0"/>
          <w:lang w:eastAsia="en-US"/>
        </w:rPr>
        <w:t>The PBAC also noted that the DUSC is undertaking further analyses to understand the patterns of use of 5-ASAs, including balsalazide, and considered that the findings would be relevant to this request.</w:t>
      </w:r>
    </w:p>
    <w:p w:rsidR="00A433E2" w:rsidRPr="00A433E2" w:rsidRDefault="00A433E2" w:rsidP="00A433E2">
      <w:pPr>
        <w:widowControl w:val="0"/>
        <w:ind w:left="720"/>
        <w:contextualSpacing/>
        <w:jc w:val="both"/>
        <w:rPr>
          <w:rFonts w:asciiTheme="minorHAnsi" w:hAnsiTheme="minorHAnsi" w:cs="Arial"/>
          <w:snapToGrid w:val="0"/>
          <w:lang w:eastAsia="en-US"/>
        </w:rPr>
      </w:pPr>
    </w:p>
    <w:p w:rsidR="00A433E2" w:rsidRPr="00A433E2" w:rsidRDefault="00A433E2" w:rsidP="00A433E2">
      <w:pPr>
        <w:widowControl w:val="0"/>
        <w:numPr>
          <w:ilvl w:val="1"/>
          <w:numId w:val="5"/>
        </w:numPr>
        <w:contextualSpacing/>
        <w:jc w:val="both"/>
        <w:rPr>
          <w:rFonts w:asciiTheme="minorHAnsi" w:hAnsiTheme="minorHAnsi" w:cs="Arial"/>
          <w:snapToGrid w:val="0"/>
          <w:lang w:eastAsia="en-US"/>
        </w:rPr>
      </w:pPr>
      <w:r w:rsidRPr="00A433E2">
        <w:rPr>
          <w:rFonts w:asciiTheme="minorHAnsi" w:hAnsiTheme="minorHAnsi" w:cs="Arial"/>
          <w:snapToGrid w:val="0"/>
          <w:lang w:eastAsia="en-US"/>
        </w:rPr>
        <w:t xml:space="preserve">The PBAC noted that this submission does not meet the criteria for an Independent Review because it is relates to an existing listing. </w:t>
      </w:r>
    </w:p>
    <w:p w:rsidR="00A433E2" w:rsidRPr="00A433E2" w:rsidRDefault="00A433E2" w:rsidP="00A433E2">
      <w:pPr>
        <w:rPr>
          <w:rFonts w:asciiTheme="minorHAnsi" w:hAnsiTheme="minorHAnsi"/>
        </w:rPr>
      </w:pPr>
    </w:p>
    <w:p w:rsidR="00A433E2" w:rsidRPr="00A433E2" w:rsidRDefault="00A433E2" w:rsidP="00A433E2">
      <w:pPr>
        <w:spacing w:before="240"/>
        <w:jc w:val="both"/>
        <w:rPr>
          <w:rFonts w:asciiTheme="minorHAnsi" w:hAnsiTheme="minorHAnsi" w:cs="Arial"/>
          <w:b/>
          <w:bCs/>
          <w:snapToGrid w:val="0"/>
          <w:lang w:val="en-GB"/>
        </w:rPr>
      </w:pPr>
      <w:r w:rsidRPr="00A433E2">
        <w:rPr>
          <w:rFonts w:asciiTheme="minorHAnsi" w:hAnsiTheme="minorHAnsi" w:cs="Arial"/>
          <w:b/>
          <w:bCs/>
          <w:snapToGrid w:val="0"/>
          <w:lang w:val="en-GB"/>
        </w:rPr>
        <w:t>Outcome:</w:t>
      </w:r>
    </w:p>
    <w:p w:rsidR="00A433E2" w:rsidRPr="00A433E2" w:rsidRDefault="00A433E2" w:rsidP="00A433E2">
      <w:pPr>
        <w:jc w:val="both"/>
        <w:rPr>
          <w:rFonts w:asciiTheme="minorHAnsi" w:hAnsiTheme="minorHAnsi" w:cs="Arial"/>
          <w:bCs/>
          <w:snapToGrid w:val="0"/>
          <w:lang w:val="en-GB"/>
        </w:rPr>
      </w:pPr>
      <w:r w:rsidRPr="00A433E2">
        <w:rPr>
          <w:rFonts w:asciiTheme="minorHAnsi" w:hAnsiTheme="minorHAnsi" w:cs="Arial"/>
          <w:bCs/>
          <w:snapToGrid w:val="0"/>
          <w:lang w:val="en-GB"/>
        </w:rPr>
        <w:t>Deferred</w:t>
      </w:r>
    </w:p>
    <w:p w:rsidR="00A433E2" w:rsidRPr="00A433E2" w:rsidRDefault="00A433E2" w:rsidP="00A433E2">
      <w:pPr>
        <w:widowControl w:val="0"/>
        <w:jc w:val="both"/>
        <w:rPr>
          <w:rFonts w:asciiTheme="minorHAnsi" w:hAnsiTheme="minorHAnsi" w:cs="Arial"/>
          <w:b/>
          <w:bCs/>
          <w:snapToGrid w:val="0"/>
        </w:rPr>
      </w:pPr>
    </w:p>
    <w:p w:rsidR="00A433E2" w:rsidRPr="00A433E2" w:rsidRDefault="00A433E2" w:rsidP="00A433E2">
      <w:pPr>
        <w:numPr>
          <w:ilvl w:val="0"/>
          <w:numId w:val="5"/>
        </w:numPr>
        <w:outlineLvl w:val="0"/>
        <w:rPr>
          <w:rFonts w:asciiTheme="minorHAnsi" w:eastAsiaTheme="minorHAnsi" w:hAnsiTheme="minorHAnsi" w:cstheme="minorBidi"/>
          <w:b/>
          <w:snapToGrid w:val="0"/>
          <w:sz w:val="32"/>
          <w:szCs w:val="32"/>
          <w:lang w:eastAsia="en-US"/>
        </w:rPr>
      </w:pPr>
      <w:r w:rsidRPr="00A433E2">
        <w:rPr>
          <w:rFonts w:asciiTheme="minorHAnsi" w:eastAsiaTheme="minorHAnsi" w:hAnsiTheme="minorHAnsi" w:cstheme="minorBidi"/>
          <w:b/>
          <w:snapToGrid w:val="0"/>
          <w:sz w:val="32"/>
          <w:szCs w:val="32"/>
          <w:lang w:eastAsia="en-US"/>
        </w:rPr>
        <w:t>Context for Decision</w:t>
      </w:r>
    </w:p>
    <w:p w:rsidR="00A433E2" w:rsidRPr="00A433E2" w:rsidRDefault="00A433E2" w:rsidP="00A433E2">
      <w:pPr>
        <w:spacing w:line="276" w:lineRule="auto"/>
        <w:ind w:left="426"/>
        <w:jc w:val="both"/>
        <w:rPr>
          <w:rFonts w:asciiTheme="minorHAnsi" w:eastAsiaTheme="minorHAnsi" w:hAnsiTheme="minorHAnsi" w:cs="Arial"/>
          <w:lang w:eastAsia="en-US"/>
        </w:rPr>
      </w:pPr>
    </w:p>
    <w:p w:rsidR="00A433E2" w:rsidRPr="00A433E2" w:rsidRDefault="00A433E2" w:rsidP="00A433E2">
      <w:pPr>
        <w:spacing w:line="276" w:lineRule="auto"/>
        <w:jc w:val="both"/>
        <w:rPr>
          <w:rFonts w:asciiTheme="minorHAnsi" w:eastAsiaTheme="minorHAnsi" w:hAnsiTheme="minorHAnsi" w:cs="Arial"/>
          <w:lang w:eastAsia="en-US"/>
        </w:rPr>
      </w:pPr>
      <w:r w:rsidRPr="00A433E2">
        <w:rPr>
          <w:rFonts w:asciiTheme="minorHAnsi" w:eastAsiaTheme="minorHAnsi" w:hAnsiTheme="minorHAnsi" w:cs="Arial"/>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433E2" w:rsidRPr="00A433E2" w:rsidRDefault="00A433E2" w:rsidP="00A433E2">
      <w:pPr>
        <w:spacing w:after="200" w:line="276" w:lineRule="auto"/>
        <w:ind w:left="426"/>
        <w:jc w:val="both"/>
        <w:rPr>
          <w:rFonts w:asciiTheme="minorHAnsi" w:eastAsiaTheme="minorHAnsi" w:hAnsiTheme="minorHAnsi" w:cs="Arial"/>
          <w:lang w:eastAsia="en-US"/>
        </w:rPr>
      </w:pPr>
    </w:p>
    <w:p w:rsidR="00A433E2" w:rsidRPr="00A433E2" w:rsidRDefault="00A433E2" w:rsidP="00A433E2">
      <w:pPr>
        <w:numPr>
          <w:ilvl w:val="0"/>
          <w:numId w:val="5"/>
        </w:numPr>
        <w:outlineLvl w:val="0"/>
        <w:rPr>
          <w:rFonts w:asciiTheme="minorHAnsi" w:eastAsiaTheme="minorHAnsi" w:hAnsiTheme="minorHAnsi" w:cstheme="minorBidi"/>
          <w:b/>
          <w:snapToGrid w:val="0"/>
          <w:sz w:val="32"/>
          <w:szCs w:val="32"/>
          <w:lang w:eastAsia="en-US"/>
        </w:rPr>
      </w:pPr>
      <w:r w:rsidRPr="00A433E2">
        <w:rPr>
          <w:rFonts w:asciiTheme="minorHAnsi" w:eastAsiaTheme="minorHAnsi" w:hAnsiTheme="minorHAnsi" w:cstheme="minorBidi"/>
          <w:b/>
          <w:snapToGrid w:val="0"/>
          <w:sz w:val="32"/>
          <w:szCs w:val="32"/>
          <w:lang w:eastAsia="en-US"/>
        </w:rPr>
        <w:t>Sponsor’s Comment</w:t>
      </w:r>
    </w:p>
    <w:p w:rsidR="00A433E2" w:rsidRPr="00A433E2" w:rsidRDefault="00A433E2" w:rsidP="00A433E2">
      <w:pPr>
        <w:spacing w:line="276" w:lineRule="auto"/>
        <w:ind w:left="426"/>
        <w:jc w:val="both"/>
        <w:rPr>
          <w:rFonts w:asciiTheme="minorHAnsi" w:eastAsiaTheme="minorHAnsi" w:hAnsiTheme="minorHAnsi" w:cs="Arial"/>
          <w:bCs/>
          <w:highlight w:val="yellow"/>
          <w:lang w:val="en-GB" w:eastAsia="en-US"/>
        </w:rPr>
      </w:pPr>
    </w:p>
    <w:p w:rsidR="00A433E2" w:rsidRPr="00A433E2" w:rsidRDefault="00A433E2" w:rsidP="00A433E2">
      <w:pPr>
        <w:spacing w:after="120" w:line="276" w:lineRule="auto"/>
        <w:jc w:val="both"/>
        <w:rPr>
          <w:rFonts w:asciiTheme="minorHAnsi" w:eastAsiaTheme="minorHAnsi" w:hAnsiTheme="minorHAnsi" w:cs="Arial"/>
          <w:bCs/>
          <w:lang w:eastAsia="en-US"/>
        </w:rPr>
      </w:pPr>
      <w:r w:rsidRPr="00A433E2">
        <w:rPr>
          <w:rFonts w:asciiTheme="minorHAnsi" w:eastAsiaTheme="minorHAnsi" w:hAnsiTheme="minorHAnsi" w:cs="Arial"/>
          <w:bCs/>
          <w:lang w:eastAsia="en-US"/>
        </w:rPr>
        <w:t>The sponsor had no comment.</w:t>
      </w:r>
    </w:p>
    <w:p w:rsidR="000B14BB" w:rsidRPr="005B570F" w:rsidRDefault="000B14BB" w:rsidP="00455063">
      <w:pPr>
        <w:jc w:val="both"/>
        <w:rPr>
          <w:rFonts w:asciiTheme="minorHAnsi" w:hAnsiTheme="minorHAnsi" w:cs="Arial"/>
          <w:bCs/>
          <w:snapToGrid w:val="0"/>
        </w:rPr>
      </w:pPr>
    </w:p>
    <w:p w:rsidR="00B10DCE" w:rsidRPr="005B570F" w:rsidRDefault="00B10DCE">
      <w:pPr>
        <w:rPr>
          <w:rFonts w:asciiTheme="minorHAnsi" w:hAnsiTheme="minorHAnsi" w:cs="Arial"/>
          <w:b/>
          <w:bCs/>
          <w:snapToGrid w:val="0"/>
        </w:rPr>
      </w:pPr>
      <w:r w:rsidRPr="005B570F">
        <w:rPr>
          <w:rFonts w:asciiTheme="minorHAnsi" w:hAnsiTheme="minorHAnsi" w:cs="Arial"/>
          <w:b/>
          <w:bCs/>
          <w:snapToGrid w:val="0"/>
        </w:rPr>
        <w:br w:type="page"/>
      </w:r>
    </w:p>
    <w:p w:rsidR="00B10DCE" w:rsidRPr="005B570F" w:rsidRDefault="00A26F6C" w:rsidP="00A433E2">
      <w:pPr>
        <w:widowControl w:val="0"/>
        <w:jc w:val="both"/>
        <w:outlineLvl w:val="0"/>
        <w:rPr>
          <w:rFonts w:ascii="Arial" w:hAnsi="Arial" w:cs="Arial"/>
          <w:b/>
          <w:bCs/>
          <w:snapToGrid w:val="0"/>
          <w:sz w:val="22"/>
          <w:szCs w:val="22"/>
        </w:rPr>
      </w:pPr>
      <w:r>
        <w:rPr>
          <w:rFonts w:ascii="Arial" w:hAnsi="Arial" w:cs="Arial"/>
          <w:b/>
          <w:bCs/>
          <w:snapToGrid w:val="0"/>
          <w:color w:val="FF0000"/>
          <w:sz w:val="22"/>
          <w:szCs w:val="22"/>
        </w:rPr>
        <w:t>November 2017 a</w:t>
      </w:r>
      <w:r w:rsidR="00B10DCE" w:rsidRPr="005B570F">
        <w:rPr>
          <w:rFonts w:ascii="Arial" w:hAnsi="Arial" w:cs="Arial"/>
          <w:b/>
          <w:bCs/>
          <w:snapToGrid w:val="0"/>
          <w:color w:val="FF0000"/>
          <w:sz w:val="22"/>
          <w:szCs w:val="22"/>
        </w:rPr>
        <w:t>ddendum to the July 2017 PBAC Minutes:</w:t>
      </w:r>
    </w:p>
    <w:p w:rsidR="00B10DCE" w:rsidRPr="005B570F" w:rsidRDefault="00B10DCE" w:rsidP="000B14BB"/>
    <w:p w:rsidR="00B10DCE" w:rsidRPr="005B570F" w:rsidRDefault="00B10DCE" w:rsidP="00B10DCE">
      <w:pPr>
        <w:pStyle w:val="Title"/>
        <w:ind w:left="720" w:hanging="720"/>
        <w:rPr>
          <w:rFonts w:asciiTheme="minorHAnsi" w:hAnsiTheme="minorHAnsi"/>
          <w:sz w:val="36"/>
          <w:szCs w:val="36"/>
        </w:rPr>
      </w:pPr>
      <w:r w:rsidRPr="005B570F">
        <w:rPr>
          <w:rFonts w:asciiTheme="minorHAnsi" w:hAnsiTheme="minorHAnsi"/>
          <w:sz w:val="36"/>
          <w:szCs w:val="36"/>
        </w:rPr>
        <w:t>4.06</w:t>
      </w:r>
      <w:r w:rsidRPr="005B570F">
        <w:rPr>
          <w:rFonts w:asciiTheme="minorHAnsi" w:hAnsiTheme="minorHAnsi"/>
          <w:sz w:val="36"/>
          <w:szCs w:val="36"/>
        </w:rPr>
        <w:tab/>
        <w:t xml:space="preserve">BALSALAZIDE </w:t>
      </w:r>
      <w:r w:rsidRPr="005B570F">
        <w:rPr>
          <w:rFonts w:asciiTheme="minorHAnsi" w:hAnsiTheme="minorHAnsi"/>
          <w:sz w:val="36"/>
          <w:szCs w:val="36"/>
        </w:rPr>
        <w:br/>
      </w:r>
      <w:r w:rsidR="00A433E2">
        <w:rPr>
          <w:rFonts w:asciiTheme="minorHAnsi" w:hAnsiTheme="minorHAnsi"/>
          <w:sz w:val="36"/>
          <w:szCs w:val="36"/>
        </w:rPr>
        <w:t>C</w:t>
      </w:r>
      <w:r w:rsidRPr="005B570F">
        <w:rPr>
          <w:rFonts w:asciiTheme="minorHAnsi" w:hAnsiTheme="minorHAnsi"/>
          <w:sz w:val="36"/>
          <w:szCs w:val="36"/>
        </w:rPr>
        <w:t xml:space="preserve">apsule, 750 mg balsalazide sodium, 280, </w:t>
      </w:r>
      <w:r w:rsidRPr="005B570F">
        <w:rPr>
          <w:rFonts w:asciiTheme="minorHAnsi" w:hAnsiTheme="minorHAnsi"/>
          <w:sz w:val="36"/>
          <w:szCs w:val="36"/>
        </w:rPr>
        <w:br/>
        <w:t>Colazide®, Fresenius Kabi Australia Pty Limited</w:t>
      </w:r>
    </w:p>
    <w:p w:rsidR="00091A39" w:rsidRPr="005B570F" w:rsidRDefault="00D350B9" w:rsidP="004D36C4">
      <w:pPr>
        <w:rPr>
          <w:rFonts w:asciiTheme="minorHAnsi" w:hAnsiTheme="minorHAnsi"/>
        </w:rPr>
      </w:pPr>
      <w:r w:rsidRPr="005B570F">
        <w:rPr>
          <w:rFonts w:asciiTheme="minorHAnsi" w:hAnsiTheme="minorHAnsi"/>
        </w:rPr>
        <w:t xml:space="preserve">At the July 2017 PBAC meeting, the Committee </w:t>
      </w:r>
      <w:r w:rsidR="00941B60" w:rsidRPr="005B570F">
        <w:rPr>
          <w:rFonts w:asciiTheme="minorHAnsi" w:hAnsiTheme="minorHAnsi"/>
        </w:rPr>
        <w:t>considered the</w:t>
      </w:r>
      <w:r w:rsidRPr="005B570F">
        <w:rPr>
          <w:rFonts w:asciiTheme="minorHAnsi" w:hAnsiTheme="minorHAnsi"/>
        </w:rPr>
        <w:t xml:space="preserve"> request to increase the maximum quantity of the currently listed pharmaceutical item balsalazide (Colazide®) to 280 capsules. The </w:t>
      </w:r>
      <w:r w:rsidR="00091A39" w:rsidRPr="005B570F">
        <w:rPr>
          <w:rFonts w:asciiTheme="minorHAnsi" w:hAnsiTheme="minorHAnsi"/>
        </w:rPr>
        <w:t xml:space="preserve">PBAC </w:t>
      </w:r>
      <w:r w:rsidR="00BE51D9" w:rsidRPr="005B570F">
        <w:rPr>
          <w:rFonts w:asciiTheme="minorHAnsi" w:hAnsiTheme="minorHAnsi"/>
        </w:rPr>
        <w:t xml:space="preserve">previously </w:t>
      </w:r>
      <w:r w:rsidR="00091A39" w:rsidRPr="005B570F">
        <w:rPr>
          <w:rFonts w:asciiTheme="minorHAnsi" w:hAnsiTheme="minorHAnsi"/>
        </w:rPr>
        <w:t xml:space="preserve">considered the submission’s claim that 80% of patients require larger quantities of balsalazide was not adequately justified. </w:t>
      </w:r>
    </w:p>
    <w:p w:rsidR="00091A39" w:rsidRPr="005B570F" w:rsidRDefault="00091A39" w:rsidP="004D36C4">
      <w:pPr>
        <w:rPr>
          <w:rFonts w:asciiTheme="minorHAnsi" w:hAnsiTheme="minorHAnsi"/>
        </w:rPr>
      </w:pPr>
    </w:p>
    <w:p w:rsidR="00034958" w:rsidRPr="005B570F" w:rsidRDefault="00065C1D" w:rsidP="00034958">
      <w:pPr>
        <w:rPr>
          <w:rFonts w:asciiTheme="minorHAnsi" w:hAnsiTheme="minorHAnsi"/>
        </w:rPr>
      </w:pPr>
      <w:r w:rsidRPr="005B570F">
        <w:rPr>
          <w:rFonts w:asciiTheme="minorHAnsi" w:hAnsiTheme="minorHAnsi"/>
        </w:rPr>
        <w:t>T</w:t>
      </w:r>
      <w:r w:rsidR="00091A39" w:rsidRPr="005B570F">
        <w:rPr>
          <w:rFonts w:asciiTheme="minorHAnsi" w:hAnsiTheme="minorHAnsi"/>
        </w:rPr>
        <w:t xml:space="preserve">he PBAC </w:t>
      </w:r>
      <w:r w:rsidR="00941B60" w:rsidRPr="005B570F">
        <w:rPr>
          <w:rFonts w:asciiTheme="minorHAnsi" w:hAnsiTheme="minorHAnsi"/>
        </w:rPr>
        <w:t>deferred the recommendation as it was noted that the Drug Utilisation Sub-committee (DUSC) w</w:t>
      </w:r>
      <w:r w:rsidR="00C27E34">
        <w:rPr>
          <w:rFonts w:asciiTheme="minorHAnsi" w:hAnsiTheme="minorHAnsi"/>
        </w:rPr>
        <w:t>as</w:t>
      </w:r>
      <w:r w:rsidR="00941B60" w:rsidRPr="005B570F">
        <w:rPr>
          <w:rFonts w:asciiTheme="minorHAnsi" w:hAnsiTheme="minorHAnsi"/>
        </w:rPr>
        <w:t xml:space="preserve"> </w:t>
      </w:r>
      <w:r w:rsidR="005709CD" w:rsidRPr="005B570F">
        <w:rPr>
          <w:rFonts w:asciiTheme="minorHAnsi" w:hAnsiTheme="minorHAnsi"/>
        </w:rPr>
        <w:t>due to review</w:t>
      </w:r>
      <w:r w:rsidR="00941B60" w:rsidRPr="005B570F">
        <w:rPr>
          <w:rFonts w:asciiTheme="minorHAnsi" w:hAnsiTheme="minorHAnsi"/>
        </w:rPr>
        <w:t xml:space="preserve"> the patterns of use of </w:t>
      </w:r>
      <w:r w:rsidR="00EC52D7" w:rsidRPr="005B570F">
        <w:rPr>
          <w:rFonts w:asciiTheme="minorHAnsi" w:hAnsiTheme="minorHAnsi"/>
        </w:rPr>
        <w:t>5-aminosalic acids (</w:t>
      </w:r>
      <w:r w:rsidR="00941B60" w:rsidRPr="005B570F">
        <w:rPr>
          <w:rFonts w:asciiTheme="minorHAnsi" w:hAnsiTheme="minorHAnsi"/>
        </w:rPr>
        <w:t>5-ASAs</w:t>
      </w:r>
      <w:r w:rsidR="00EC52D7" w:rsidRPr="005B570F">
        <w:rPr>
          <w:rFonts w:asciiTheme="minorHAnsi" w:hAnsiTheme="minorHAnsi"/>
        </w:rPr>
        <w:t>)</w:t>
      </w:r>
      <w:r w:rsidR="005709CD" w:rsidRPr="005B570F">
        <w:rPr>
          <w:rFonts w:asciiTheme="minorHAnsi" w:hAnsiTheme="minorHAnsi"/>
        </w:rPr>
        <w:t>, including balsalazide</w:t>
      </w:r>
      <w:r w:rsidR="00941B60" w:rsidRPr="005B570F">
        <w:rPr>
          <w:rFonts w:asciiTheme="minorHAnsi" w:hAnsiTheme="minorHAnsi"/>
        </w:rPr>
        <w:t>.</w:t>
      </w:r>
      <w:r w:rsidR="00034958" w:rsidRPr="005B570F">
        <w:rPr>
          <w:rFonts w:asciiTheme="minorHAnsi" w:hAnsiTheme="minorHAnsi"/>
        </w:rPr>
        <w:t xml:space="preserve"> </w:t>
      </w:r>
    </w:p>
    <w:p w:rsidR="007E684E" w:rsidRPr="005B570F" w:rsidRDefault="007E684E" w:rsidP="004D36C4">
      <w:pPr>
        <w:rPr>
          <w:rFonts w:asciiTheme="minorHAnsi" w:hAnsiTheme="minorHAnsi"/>
        </w:rPr>
      </w:pPr>
    </w:p>
    <w:p w:rsidR="00BB0E77" w:rsidRPr="005B570F" w:rsidRDefault="00581148" w:rsidP="004D36C4">
      <w:pPr>
        <w:rPr>
          <w:rFonts w:asciiTheme="minorHAnsi" w:hAnsiTheme="minorHAnsi"/>
        </w:rPr>
      </w:pPr>
      <w:r w:rsidRPr="005B570F">
        <w:rPr>
          <w:rFonts w:asciiTheme="minorHAnsi" w:hAnsiTheme="minorHAnsi"/>
        </w:rPr>
        <w:t xml:space="preserve">Following the availability of the </w:t>
      </w:r>
      <w:r w:rsidR="003159EB">
        <w:rPr>
          <w:rFonts w:asciiTheme="minorHAnsi" w:hAnsiTheme="minorHAnsi"/>
        </w:rPr>
        <w:t xml:space="preserve">September 2017 </w:t>
      </w:r>
      <w:r w:rsidRPr="005B570F">
        <w:rPr>
          <w:rFonts w:asciiTheme="minorHAnsi" w:hAnsiTheme="minorHAnsi"/>
        </w:rPr>
        <w:t>DUSC review on the utilisation of 5-</w:t>
      </w:r>
      <w:r w:rsidRPr="003159EB">
        <w:rPr>
          <w:rFonts w:asciiTheme="minorHAnsi" w:hAnsiTheme="minorHAnsi"/>
        </w:rPr>
        <w:t>ASAs</w:t>
      </w:r>
      <w:r w:rsidR="003159EB" w:rsidRPr="003159EB">
        <w:rPr>
          <w:rFonts w:asciiTheme="minorHAnsi" w:hAnsiTheme="minorHAnsi"/>
        </w:rPr>
        <w:t xml:space="preserve"> (</w:t>
      </w:r>
      <w:r w:rsidR="003159EB" w:rsidRPr="00BC3CA5">
        <w:rPr>
          <w:rFonts w:asciiTheme="minorHAnsi" w:hAnsiTheme="minorHAnsi"/>
        </w:rPr>
        <w:t>available on PBS website</w:t>
      </w:r>
      <w:r w:rsidR="003159EB" w:rsidRPr="003159EB">
        <w:rPr>
          <w:rFonts w:asciiTheme="minorHAnsi" w:hAnsiTheme="minorHAnsi"/>
        </w:rPr>
        <w:t>)</w:t>
      </w:r>
      <w:r w:rsidRPr="003159EB">
        <w:rPr>
          <w:rFonts w:asciiTheme="minorHAnsi" w:hAnsiTheme="minorHAnsi"/>
        </w:rPr>
        <w:t>,</w:t>
      </w:r>
      <w:r w:rsidRPr="005B570F">
        <w:rPr>
          <w:rFonts w:asciiTheme="minorHAnsi" w:hAnsiTheme="minorHAnsi"/>
        </w:rPr>
        <w:t xml:space="preserve"> t</w:t>
      </w:r>
      <w:r w:rsidR="007E684E" w:rsidRPr="005B570F">
        <w:rPr>
          <w:rFonts w:asciiTheme="minorHAnsi" w:hAnsiTheme="minorHAnsi"/>
        </w:rPr>
        <w:t>he sponsor request</w:t>
      </w:r>
      <w:r w:rsidR="00BE51D9" w:rsidRPr="005B570F">
        <w:rPr>
          <w:rFonts w:asciiTheme="minorHAnsi" w:hAnsiTheme="minorHAnsi"/>
        </w:rPr>
        <w:t>ed</w:t>
      </w:r>
      <w:r w:rsidR="007E684E" w:rsidRPr="005B570F">
        <w:rPr>
          <w:rFonts w:asciiTheme="minorHAnsi" w:hAnsiTheme="minorHAnsi"/>
        </w:rPr>
        <w:t xml:space="preserve"> that the PBAC reconsider the submission to increase the maximum quantity of balsalazide to 280 capsules in the November 2017 PBAC meeting. </w:t>
      </w:r>
      <w:r w:rsidR="009E32CD" w:rsidRPr="005B570F">
        <w:rPr>
          <w:rFonts w:asciiTheme="minorHAnsi" w:hAnsiTheme="minorHAnsi"/>
        </w:rPr>
        <w:t>The review on the utilisation of 5-ASAs, was considered by the PBAC at the November 2017 meeting.</w:t>
      </w:r>
    </w:p>
    <w:p w:rsidR="00581148" w:rsidRPr="005B570F" w:rsidRDefault="00581148" w:rsidP="004D36C4">
      <w:pPr>
        <w:rPr>
          <w:rFonts w:asciiTheme="minorHAnsi" w:hAnsiTheme="minorHAnsi"/>
        </w:rPr>
      </w:pPr>
    </w:p>
    <w:p w:rsidR="009E32CD" w:rsidRPr="005B570F" w:rsidRDefault="005709CD" w:rsidP="009E32CD">
      <w:pPr>
        <w:rPr>
          <w:rFonts w:asciiTheme="minorHAnsi" w:hAnsiTheme="minorHAnsi"/>
        </w:rPr>
      </w:pPr>
      <w:r w:rsidRPr="005B570F">
        <w:rPr>
          <w:rFonts w:asciiTheme="minorHAnsi" w:hAnsiTheme="minorHAnsi"/>
        </w:rPr>
        <w:t xml:space="preserve">The PBAC recommended </w:t>
      </w:r>
      <w:r w:rsidR="00581148" w:rsidRPr="005B570F">
        <w:rPr>
          <w:rFonts w:asciiTheme="minorHAnsi" w:hAnsiTheme="minorHAnsi"/>
        </w:rPr>
        <w:t>an increase in the maximum quantity of balsalazide to 280 capsules. The listing of the</w:t>
      </w:r>
      <w:r w:rsidRPr="005B570F">
        <w:rPr>
          <w:rFonts w:asciiTheme="minorHAnsi" w:hAnsiTheme="minorHAnsi"/>
        </w:rPr>
        <w:t xml:space="preserve"> 280 capsule pack size of balsalazide</w:t>
      </w:r>
      <w:r w:rsidR="00581148" w:rsidRPr="005B570F">
        <w:rPr>
          <w:rFonts w:asciiTheme="minorHAnsi" w:hAnsiTheme="minorHAnsi"/>
        </w:rPr>
        <w:t xml:space="preserve"> will be</w:t>
      </w:r>
      <w:r w:rsidRPr="005B570F">
        <w:rPr>
          <w:rFonts w:asciiTheme="minorHAnsi" w:hAnsiTheme="minorHAnsi"/>
        </w:rPr>
        <w:t xml:space="preserve"> the same price per capsule (AEMP) as the existing 180 capsule pack size.</w:t>
      </w:r>
      <w:r w:rsidR="00581148" w:rsidRPr="005B570F">
        <w:rPr>
          <w:rFonts w:asciiTheme="minorHAnsi" w:hAnsiTheme="minorHAnsi"/>
        </w:rPr>
        <w:t xml:space="preserve"> The 180 capsule pack size will be delisted upon the listing of the 280 capsule pack size.</w:t>
      </w:r>
      <w:r w:rsidR="009E32CD" w:rsidRPr="009E32CD">
        <w:rPr>
          <w:rFonts w:asciiTheme="minorHAnsi" w:hAnsiTheme="minorHAnsi"/>
        </w:rPr>
        <w:t xml:space="preserve"> </w:t>
      </w:r>
      <w:r w:rsidR="009E32CD" w:rsidRPr="005B570F">
        <w:rPr>
          <w:rFonts w:asciiTheme="minorHAnsi" w:hAnsiTheme="minorHAnsi"/>
        </w:rPr>
        <w:t>Although the PBAC considered there may be potential for wastage, it considered that this would be minimal for this chronic condition.</w:t>
      </w:r>
    </w:p>
    <w:p w:rsidR="00BB0E77" w:rsidRPr="005B570F" w:rsidRDefault="00BB0E77" w:rsidP="004D36C4">
      <w:pPr>
        <w:rPr>
          <w:rFonts w:asciiTheme="minorHAnsi" w:hAnsiTheme="minorHAnsi"/>
        </w:rPr>
      </w:pPr>
    </w:p>
    <w:p w:rsidR="007E684E" w:rsidRPr="005B570F" w:rsidRDefault="007E684E" w:rsidP="00455063">
      <w:pPr>
        <w:widowControl w:val="0"/>
        <w:jc w:val="both"/>
        <w:rPr>
          <w:rFonts w:asciiTheme="minorHAnsi" w:hAnsiTheme="minorHAnsi" w:cs="Arial"/>
          <w:b/>
          <w:bCs/>
          <w:snapToGrid w:val="0"/>
        </w:rPr>
      </w:pPr>
    </w:p>
    <w:p w:rsidR="00AF3BBE" w:rsidRPr="005B570F" w:rsidRDefault="00AF3BBE" w:rsidP="00A433E2">
      <w:pPr>
        <w:rPr>
          <w:b/>
          <w:i/>
          <w:snapToGrid w:val="0"/>
        </w:rPr>
      </w:pPr>
      <w:r w:rsidRPr="00A433E2">
        <w:rPr>
          <w:rFonts w:asciiTheme="minorHAnsi" w:hAnsiTheme="minorHAnsi"/>
          <w:b/>
          <w:snapToGrid w:val="0"/>
          <w:sz w:val="28"/>
          <w:szCs w:val="28"/>
        </w:rPr>
        <w:t>Outcome</w:t>
      </w:r>
      <w:r w:rsidRPr="005B570F">
        <w:rPr>
          <w:snapToGrid w:val="0"/>
        </w:rPr>
        <w:br/>
      </w:r>
      <w:r w:rsidRPr="00A433E2">
        <w:rPr>
          <w:rFonts w:asciiTheme="minorHAnsi" w:hAnsiTheme="minorHAnsi"/>
          <w:snapToGrid w:val="0"/>
        </w:rPr>
        <w:t>Recommended</w:t>
      </w:r>
    </w:p>
    <w:p w:rsidR="007F134D" w:rsidRDefault="007F134D">
      <w:r>
        <w:br w:type="page"/>
      </w:r>
    </w:p>
    <w:p w:rsidR="00C219E8" w:rsidRDefault="00C219E8" w:rsidP="00C219E8"/>
    <w:p w:rsidR="00C219E8" w:rsidRPr="005B570F" w:rsidRDefault="00C219E8" w:rsidP="00C219E8"/>
    <w:p w:rsidR="00C219E8" w:rsidRPr="006A7FD7" w:rsidRDefault="00C219E8" w:rsidP="006A7FD7">
      <w:pPr>
        <w:pStyle w:val="PBACHeading1"/>
        <w:numPr>
          <w:ilvl w:val="0"/>
          <w:numId w:val="14"/>
        </w:numPr>
        <w:rPr>
          <w:rFonts w:asciiTheme="minorHAnsi" w:hAnsiTheme="minorHAnsi"/>
          <w:sz w:val="32"/>
          <w:szCs w:val="32"/>
        </w:rPr>
      </w:pPr>
      <w:r w:rsidRPr="006A7FD7">
        <w:rPr>
          <w:rFonts w:asciiTheme="minorHAnsi" w:hAnsiTheme="minorHAnsi"/>
          <w:sz w:val="32"/>
          <w:szCs w:val="32"/>
        </w:rPr>
        <w:t>Recommended listing</w:t>
      </w:r>
    </w:p>
    <w:p w:rsidR="00C219E8" w:rsidRPr="005B570F" w:rsidRDefault="00C219E8" w:rsidP="00C219E8">
      <w:pPr>
        <w:pStyle w:val="ListParagraph"/>
      </w:pPr>
    </w:p>
    <w:p w:rsidR="00C219E8" w:rsidRPr="005B570F" w:rsidRDefault="00C219E8" w:rsidP="00C219E8">
      <w:pPr>
        <w:rPr>
          <w:rFonts w:asciiTheme="minorHAnsi" w:hAnsiTheme="minorHAnsi" w:cs="Arial"/>
          <w:bCs/>
          <w:snapToGrid w:val="0"/>
        </w:rPr>
      </w:pPr>
      <w:r w:rsidRPr="005B570F">
        <w:rPr>
          <w:rFonts w:asciiTheme="minorHAnsi" w:hAnsiTheme="minorHAnsi" w:cs="Arial"/>
          <w:bCs/>
          <w:snapToGrid w:val="0"/>
        </w:rPr>
        <w:t>Add new item:</w:t>
      </w:r>
    </w:p>
    <w:p w:rsidR="00C219E8" w:rsidRPr="005B570F" w:rsidRDefault="00C219E8" w:rsidP="00C219E8"/>
    <w:tbl>
      <w:tblPr>
        <w:tblW w:w="5000" w:type="pct"/>
        <w:tblCellMar>
          <w:left w:w="28" w:type="dxa"/>
          <w:right w:w="28" w:type="dxa"/>
        </w:tblCellMar>
        <w:tblLook w:val="0000" w:firstRow="0" w:lastRow="0" w:firstColumn="0" w:lastColumn="0" w:noHBand="0" w:noVBand="0"/>
      </w:tblPr>
      <w:tblGrid>
        <w:gridCol w:w="35"/>
        <w:gridCol w:w="2863"/>
        <w:gridCol w:w="82"/>
        <w:gridCol w:w="639"/>
        <w:gridCol w:w="897"/>
        <w:gridCol w:w="1440"/>
        <w:gridCol w:w="3053"/>
        <w:gridCol w:w="73"/>
      </w:tblGrid>
      <w:tr w:rsidR="003D2AD5" w:rsidRPr="005B570F" w:rsidTr="00B224A6">
        <w:trPr>
          <w:cantSplit/>
          <w:trHeight w:val="471"/>
        </w:trPr>
        <w:tc>
          <w:tcPr>
            <w:tcW w:w="1595" w:type="pct"/>
            <w:gridSpan w:val="2"/>
            <w:tcBorders>
              <w:bottom w:val="single" w:sz="4" w:space="0" w:color="auto"/>
            </w:tcBorders>
          </w:tcPr>
          <w:p w:rsidR="003D2AD5" w:rsidRPr="005B570F" w:rsidRDefault="003D2AD5" w:rsidP="005D7701">
            <w:pPr>
              <w:keepNext/>
              <w:spacing w:before="40" w:after="40"/>
              <w:jc w:val="both"/>
              <w:rPr>
                <w:rFonts w:ascii="Arial Narrow" w:hAnsi="Arial Narrow" w:cs="Arial"/>
                <w:b/>
                <w:snapToGrid w:val="0"/>
                <w:sz w:val="20"/>
                <w:szCs w:val="20"/>
              </w:rPr>
            </w:pPr>
            <w:r w:rsidRPr="005B570F">
              <w:rPr>
                <w:rFonts w:ascii="Arial Narrow" w:hAnsi="Arial Narrow" w:cs="Arial"/>
                <w:b/>
                <w:snapToGrid w:val="0"/>
                <w:sz w:val="20"/>
                <w:szCs w:val="20"/>
              </w:rPr>
              <w:t>Name, Restriction,</w:t>
            </w:r>
          </w:p>
          <w:p w:rsidR="003D2AD5" w:rsidRPr="005B570F" w:rsidRDefault="003D2AD5" w:rsidP="005D7701">
            <w:pPr>
              <w:keepNext/>
              <w:spacing w:before="40" w:after="40"/>
              <w:jc w:val="both"/>
              <w:rPr>
                <w:rFonts w:ascii="Arial Narrow" w:hAnsi="Arial Narrow" w:cs="Arial"/>
                <w:b/>
                <w:snapToGrid w:val="0"/>
                <w:sz w:val="20"/>
                <w:szCs w:val="20"/>
              </w:rPr>
            </w:pPr>
            <w:r w:rsidRPr="005B570F">
              <w:rPr>
                <w:rFonts w:ascii="Arial Narrow" w:hAnsi="Arial Narrow" w:cs="Arial"/>
                <w:b/>
                <w:snapToGrid w:val="0"/>
                <w:sz w:val="20"/>
                <w:szCs w:val="20"/>
              </w:rPr>
              <w:t>Manner of administration and form</w:t>
            </w:r>
          </w:p>
        </w:tc>
        <w:tc>
          <w:tcPr>
            <w:tcW w:w="397" w:type="pct"/>
            <w:gridSpan w:val="2"/>
            <w:tcBorders>
              <w:bottom w:val="single" w:sz="4" w:space="0" w:color="auto"/>
            </w:tcBorders>
          </w:tcPr>
          <w:p w:rsidR="003D2AD5" w:rsidRPr="005B570F" w:rsidRDefault="003D2AD5" w:rsidP="005D7701">
            <w:pPr>
              <w:keepNext/>
              <w:spacing w:before="40" w:after="40"/>
              <w:jc w:val="center"/>
              <w:rPr>
                <w:rFonts w:ascii="Arial Narrow" w:hAnsi="Arial Narrow" w:cs="Arial"/>
                <w:b/>
                <w:snapToGrid w:val="0"/>
                <w:sz w:val="20"/>
                <w:szCs w:val="20"/>
              </w:rPr>
            </w:pPr>
            <w:r w:rsidRPr="005B570F">
              <w:rPr>
                <w:rFonts w:ascii="Arial Narrow" w:hAnsi="Arial Narrow" w:cs="Arial"/>
                <w:b/>
                <w:snapToGrid w:val="0"/>
                <w:sz w:val="20"/>
                <w:szCs w:val="20"/>
              </w:rPr>
              <w:t>Max.</w:t>
            </w:r>
          </w:p>
          <w:p w:rsidR="003D2AD5" w:rsidRPr="005B570F" w:rsidRDefault="003D2AD5" w:rsidP="005D7701">
            <w:pPr>
              <w:keepNext/>
              <w:spacing w:before="40" w:after="40"/>
              <w:jc w:val="center"/>
              <w:rPr>
                <w:rFonts w:ascii="Arial Narrow" w:hAnsi="Arial Narrow" w:cs="Arial"/>
                <w:b/>
                <w:snapToGrid w:val="0"/>
                <w:sz w:val="20"/>
                <w:szCs w:val="20"/>
              </w:rPr>
            </w:pPr>
            <w:r w:rsidRPr="005B570F">
              <w:rPr>
                <w:rFonts w:ascii="Arial Narrow" w:hAnsi="Arial Narrow" w:cs="Arial"/>
                <w:b/>
                <w:snapToGrid w:val="0"/>
                <w:sz w:val="20"/>
                <w:szCs w:val="20"/>
              </w:rPr>
              <w:t>Qty</w:t>
            </w:r>
          </w:p>
        </w:tc>
        <w:tc>
          <w:tcPr>
            <w:tcW w:w="494" w:type="pct"/>
            <w:tcBorders>
              <w:bottom w:val="single" w:sz="4" w:space="0" w:color="auto"/>
            </w:tcBorders>
          </w:tcPr>
          <w:p w:rsidR="003D2AD5" w:rsidRPr="005B570F" w:rsidRDefault="003D2AD5" w:rsidP="005D7701">
            <w:pPr>
              <w:keepNext/>
              <w:spacing w:before="40" w:after="40"/>
              <w:jc w:val="center"/>
              <w:rPr>
                <w:rFonts w:ascii="Arial Narrow" w:hAnsi="Arial Narrow" w:cs="Arial"/>
                <w:b/>
                <w:snapToGrid w:val="0"/>
                <w:sz w:val="20"/>
                <w:szCs w:val="20"/>
              </w:rPr>
            </w:pPr>
            <w:r w:rsidRPr="005B570F">
              <w:rPr>
                <w:rFonts w:ascii="Arial Narrow" w:hAnsi="Arial Narrow" w:cs="Arial"/>
                <w:b/>
                <w:snapToGrid w:val="0"/>
                <w:sz w:val="20"/>
                <w:szCs w:val="20"/>
              </w:rPr>
              <w:t>№.of</w:t>
            </w:r>
          </w:p>
          <w:p w:rsidR="003D2AD5" w:rsidRPr="005B570F" w:rsidRDefault="003D2AD5" w:rsidP="005D7701">
            <w:pPr>
              <w:keepNext/>
              <w:spacing w:before="40" w:after="40"/>
              <w:jc w:val="center"/>
              <w:rPr>
                <w:rFonts w:ascii="Arial Narrow" w:hAnsi="Arial Narrow" w:cs="Arial"/>
                <w:b/>
                <w:snapToGrid w:val="0"/>
                <w:sz w:val="20"/>
                <w:szCs w:val="20"/>
              </w:rPr>
            </w:pPr>
            <w:r w:rsidRPr="005B570F">
              <w:rPr>
                <w:rFonts w:ascii="Arial Narrow" w:hAnsi="Arial Narrow" w:cs="Arial"/>
                <w:b/>
                <w:snapToGrid w:val="0"/>
                <w:sz w:val="20"/>
                <w:szCs w:val="20"/>
              </w:rPr>
              <w:t>Rpts</w:t>
            </w:r>
          </w:p>
        </w:tc>
        <w:tc>
          <w:tcPr>
            <w:tcW w:w="2514" w:type="pct"/>
            <w:gridSpan w:val="3"/>
            <w:tcBorders>
              <w:bottom w:val="single" w:sz="4" w:space="0" w:color="auto"/>
            </w:tcBorders>
          </w:tcPr>
          <w:p w:rsidR="003D2AD5" w:rsidRPr="005B570F" w:rsidRDefault="003D2AD5" w:rsidP="005D7701">
            <w:pPr>
              <w:keepNext/>
              <w:spacing w:before="40" w:after="40"/>
              <w:jc w:val="center"/>
              <w:rPr>
                <w:rFonts w:ascii="Arial Narrow" w:hAnsi="Arial Narrow" w:cs="Arial"/>
                <w:b/>
                <w:snapToGrid w:val="0"/>
                <w:sz w:val="20"/>
                <w:szCs w:val="20"/>
              </w:rPr>
            </w:pPr>
            <w:r w:rsidRPr="005B570F">
              <w:rPr>
                <w:rFonts w:ascii="Arial Narrow" w:hAnsi="Arial Narrow" w:cs="Arial"/>
                <w:b/>
                <w:snapToGrid w:val="0"/>
                <w:sz w:val="20"/>
                <w:szCs w:val="20"/>
              </w:rPr>
              <w:t>Proprietary Name and Manufacturer</w:t>
            </w:r>
          </w:p>
        </w:tc>
      </w:tr>
      <w:tr w:rsidR="003D2AD5" w:rsidRPr="005B570F" w:rsidTr="00B224A6">
        <w:trPr>
          <w:cantSplit/>
          <w:trHeight w:val="577"/>
        </w:trPr>
        <w:tc>
          <w:tcPr>
            <w:tcW w:w="1595" w:type="pct"/>
            <w:gridSpan w:val="2"/>
          </w:tcPr>
          <w:p w:rsidR="003D2AD5" w:rsidRPr="005B570F" w:rsidRDefault="003D2AD5" w:rsidP="005D7701">
            <w:pPr>
              <w:keepNext/>
              <w:spacing w:before="40" w:after="40"/>
              <w:contextualSpacing/>
              <w:jc w:val="both"/>
              <w:rPr>
                <w:rFonts w:ascii="Arial Narrow" w:hAnsi="Arial Narrow" w:cs="Arial"/>
                <w:snapToGrid w:val="0"/>
                <w:sz w:val="20"/>
                <w:szCs w:val="20"/>
              </w:rPr>
            </w:pPr>
            <w:r w:rsidRPr="005B570F">
              <w:rPr>
                <w:rFonts w:ascii="Arial Narrow" w:hAnsi="Arial Narrow" w:cs="Arial"/>
                <w:smallCaps/>
                <w:snapToGrid w:val="0"/>
                <w:sz w:val="20"/>
                <w:szCs w:val="20"/>
              </w:rPr>
              <w:t>balsalazide</w:t>
            </w:r>
          </w:p>
          <w:p w:rsidR="003D2AD5" w:rsidRPr="005B570F" w:rsidRDefault="003D2AD5" w:rsidP="00C219E8">
            <w:pPr>
              <w:keepNext/>
              <w:spacing w:before="40" w:after="40"/>
              <w:contextualSpacing/>
              <w:jc w:val="both"/>
              <w:rPr>
                <w:rFonts w:ascii="Arial Narrow" w:hAnsi="Arial Narrow" w:cs="Arial"/>
                <w:i/>
                <w:snapToGrid w:val="0"/>
                <w:sz w:val="20"/>
                <w:szCs w:val="20"/>
              </w:rPr>
            </w:pPr>
            <w:r w:rsidRPr="005B570F">
              <w:rPr>
                <w:rFonts w:ascii="Arial Narrow" w:hAnsi="Arial Narrow" w:cs="Arial"/>
                <w:snapToGrid w:val="0"/>
                <w:sz w:val="20"/>
                <w:szCs w:val="20"/>
              </w:rPr>
              <w:t>Capsule, 750 mg balsalazide sodium</w:t>
            </w:r>
            <w:r w:rsidRPr="005B570F">
              <w:rPr>
                <w:rFonts w:ascii="Arial Narrow" w:hAnsi="Arial Narrow" w:cs="Arial"/>
                <w:i/>
                <w:snapToGrid w:val="0"/>
                <w:sz w:val="20"/>
                <w:szCs w:val="20"/>
              </w:rPr>
              <w:t>, 280</w:t>
            </w:r>
          </w:p>
        </w:tc>
        <w:tc>
          <w:tcPr>
            <w:tcW w:w="397" w:type="pct"/>
            <w:gridSpan w:val="2"/>
          </w:tcPr>
          <w:p w:rsidR="003D2AD5" w:rsidRPr="005B570F" w:rsidRDefault="003D2AD5" w:rsidP="005D7701">
            <w:pPr>
              <w:keepNext/>
              <w:spacing w:before="40" w:after="40"/>
              <w:contextualSpacing/>
              <w:jc w:val="center"/>
              <w:rPr>
                <w:rFonts w:ascii="Arial Narrow" w:hAnsi="Arial Narrow" w:cs="Arial"/>
                <w:snapToGrid w:val="0"/>
                <w:sz w:val="20"/>
                <w:szCs w:val="20"/>
              </w:rPr>
            </w:pPr>
          </w:p>
          <w:p w:rsidR="003D2AD5" w:rsidRPr="005B570F" w:rsidRDefault="003D2AD5" w:rsidP="005D7701">
            <w:pPr>
              <w:keepNext/>
              <w:spacing w:before="40" w:after="40"/>
              <w:contextualSpacing/>
              <w:jc w:val="center"/>
              <w:rPr>
                <w:rFonts w:ascii="Arial Narrow" w:hAnsi="Arial Narrow" w:cs="Arial"/>
                <w:i/>
                <w:snapToGrid w:val="0"/>
                <w:sz w:val="20"/>
                <w:szCs w:val="20"/>
              </w:rPr>
            </w:pPr>
            <w:r w:rsidRPr="005B570F">
              <w:rPr>
                <w:rFonts w:ascii="Arial Narrow" w:hAnsi="Arial Narrow" w:cs="Arial"/>
                <w:i/>
                <w:snapToGrid w:val="0"/>
                <w:sz w:val="20"/>
                <w:szCs w:val="20"/>
              </w:rPr>
              <w:t>280</w:t>
            </w:r>
          </w:p>
        </w:tc>
        <w:tc>
          <w:tcPr>
            <w:tcW w:w="494" w:type="pct"/>
          </w:tcPr>
          <w:p w:rsidR="003D2AD5" w:rsidRPr="005B570F" w:rsidRDefault="003D2AD5" w:rsidP="005D7701">
            <w:pPr>
              <w:keepNext/>
              <w:spacing w:before="40" w:after="40"/>
              <w:contextualSpacing/>
              <w:jc w:val="center"/>
              <w:rPr>
                <w:rFonts w:ascii="Arial Narrow" w:hAnsi="Arial Narrow" w:cs="Arial"/>
                <w:snapToGrid w:val="0"/>
                <w:sz w:val="20"/>
                <w:szCs w:val="20"/>
              </w:rPr>
            </w:pPr>
          </w:p>
          <w:p w:rsidR="003D2AD5" w:rsidRPr="005B570F" w:rsidRDefault="003D2AD5" w:rsidP="005D7701">
            <w:pPr>
              <w:keepNext/>
              <w:spacing w:before="40" w:after="40"/>
              <w:contextualSpacing/>
              <w:jc w:val="center"/>
              <w:rPr>
                <w:rFonts w:ascii="Arial Narrow" w:hAnsi="Arial Narrow" w:cs="Arial"/>
                <w:i/>
                <w:snapToGrid w:val="0"/>
                <w:sz w:val="20"/>
                <w:szCs w:val="20"/>
              </w:rPr>
            </w:pPr>
            <w:r w:rsidRPr="005B570F">
              <w:rPr>
                <w:rFonts w:ascii="Arial Narrow" w:hAnsi="Arial Narrow" w:cs="Arial"/>
                <w:snapToGrid w:val="0"/>
                <w:sz w:val="20"/>
                <w:szCs w:val="20"/>
              </w:rPr>
              <w:t>5</w:t>
            </w:r>
          </w:p>
        </w:tc>
        <w:tc>
          <w:tcPr>
            <w:tcW w:w="793" w:type="pct"/>
          </w:tcPr>
          <w:p w:rsidR="003D2AD5" w:rsidRPr="005B570F" w:rsidRDefault="003D2AD5" w:rsidP="005D7701">
            <w:pPr>
              <w:keepNext/>
              <w:spacing w:before="40" w:after="40"/>
              <w:contextualSpacing/>
              <w:jc w:val="center"/>
              <w:rPr>
                <w:rFonts w:ascii="Arial Narrow" w:hAnsi="Arial Narrow" w:cs="Arial"/>
                <w:snapToGrid w:val="0"/>
                <w:sz w:val="20"/>
                <w:szCs w:val="20"/>
              </w:rPr>
            </w:pPr>
          </w:p>
          <w:p w:rsidR="003D2AD5" w:rsidRPr="005B570F" w:rsidRDefault="003D2AD5" w:rsidP="005D7701">
            <w:pPr>
              <w:keepNext/>
              <w:spacing w:before="40" w:after="40"/>
              <w:contextualSpacing/>
              <w:jc w:val="center"/>
              <w:rPr>
                <w:rFonts w:ascii="Arial Narrow" w:hAnsi="Arial Narrow" w:cs="Arial"/>
                <w:snapToGrid w:val="0"/>
                <w:sz w:val="20"/>
                <w:szCs w:val="20"/>
              </w:rPr>
            </w:pPr>
            <w:r w:rsidRPr="005B570F">
              <w:rPr>
                <w:rFonts w:ascii="Arial Narrow" w:hAnsi="Arial Narrow" w:cs="Arial"/>
                <w:snapToGrid w:val="0"/>
                <w:sz w:val="20"/>
                <w:szCs w:val="20"/>
              </w:rPr>
              <w:t>Colazide</w:t>
            </w:r>
          </w:p>
        </w:tc>
        <w:tc>
          <w:tcPr>
            <w:tcW w:w="1721" w:type="pct"/>
            <w:gridSpan w:val="2"/>
          </w:tcPr>
          <w:p w:rsidR="003D2AD5" w:rsidRPr="005B570F" w:rsidRDefault="003D2AD5" w:rsidP="005D7701">
            <w:pPr>
              <w:keepNext/>
              <w:spacing w:before="40" w:after="40"/>
              <w:contextualSpacing/>
              <w:jc w:val="center"/>
              <w:rPr>
                <w:rFonts w:ascii="Arial Narrow" w:hAnsi="Arial Narrow" w:cs="Arial"/>
                <w:snapToGrid w:val="0"/>
                <w:sz w:val="20"/>
                <w:szCs w:val="20"/>
              </w:rPr>
            </w:pPr>
            <w:r w:rsidRPr="005B570F">
              <w:rPr>
                <w:rFonts w:ascii="Arial Narrow" w:hAnsi="Arial Narrow" w:cs="Arial"/>
                <w:snapToGrid w:val="0"/>
                <w:sz w:val="20"/>
                <w:szCs w:val="20"/>
              </w:rPr>
              <w:t>Fresenius Kabi Australia Pty Limited</w:t>
            </w:r>
          </w:p>
        </w:tc>
      </w:tr>
      <w:tr w:rsidR="00C219E8" w:rsidRPr="005B570F" w:rsidTr="00B224A6">
        <w:tblPrEx>
          <w:tblCellMar>
            <w:left w:w="108" w:type="dxa"/>
            <w:right w:w="108" w:type="dxa"/>
          </w:tblCellMar>
        </w:tblPrEx>
        <w:trPr>
          <w:gridBefore w:val="1"/>
          <w:gridAfter w:val="1"/>
          <w:wBefore w:w="19" w:type="pct"/>
          <w:wAfter w:w="40" w:type="pct"/>
          <w:cantSplit/>
          <w:trHeight w:val="360"/>
        </w:trPr>
        <w:tc>
          <w:tcPr>
            <w:tcW w:w="1621" w:type="pct"/>
            <w:gridSpan w:val="2"/>
            <w:tcBorders>
              <w:top w:val="single" w:sz="4" w:space="0" w:color="auto"/>
              <w:left w:val="single" w:sz="4" w:space="0" w:color="auto"/>
              <w:bottom w:val="single" w:sz="4" w:space="0" w:color="auto"/>
              <w:right w:val="single" w:sz="4" w:space="0" w:color="auto"/>
            </w:tcBorders>
          </w:tcPr>
          <w:p w:rsidR="00C219E8" w:rsidRPr="005B570F" w:rsidRDefault="00C219E8" w:rsidP="005D7701">
            <w:pPr>
              <w:jc w:val="both"/>
              <w:rPr>
                <w:rFonts w:ascii="Arial Narrow" w:hAnsi="Arial Narrow" w:cs="Arial"/>
                <w:b/>
                <w:sz w:val="20"/>
                <w:szCs w:val="20"/>
              </w:rPr>
            </w:pPr>
            <w:r w:rsidRPr="005B570F">
              <w:rPr>
                <w:rFonts w:ascii="Arial Narrow" w:hAnsi="Arial Narrow" w:cs="Arial"/>
                <w:b/>
                <w:sz w:val="20"/>
                <w:szCs w:val="20"/>
              </w:rPr>
              <w:t xml:space="preserve">Category / </w:t>
            </w:r>
          </w:p>
          <w:p w:rsidR="00C219E8" w:rsidRPr="005B570F" w:rsidRDefault="00C219E8" w:rsidP="005D7701">
            <w:pPr>
              <w:jc w:val="both"/>
              <w:rPr>
                <w:rFonts w:ascii="Arial Narrow" w:hAnsi="Arial Narrow" w:cs="Arial"/>
                <w:b/>
                <w:sz w:val="20"/>
                <w:szCs w:val="20"/>
              </w:rPr>
            </w:pPr>
            <w:r w:rsidRPr="005B570F">
              <w:rPr>
                <w:rFonts w:ascii="Arial Narrow" w:hAnsi="Arial Narrow" w:cs="Arial"/>
                <w:b/>
                <w:sz w:val="20"/>
                <w:szCs w:val="20"/>
              </w:rPr>
              <w:t>Program</w:t>
            </w:r>
          </w:p>
        </w:tc>
        <w:tc>
          <w:tcPr>
            <w:tcW w:w="3320" w:type="pct"/>
            <w:gridSpan w:val="4"/>
            <w:tcBorders>
              <w:top w:val="single" w:sz="4" w:space="0" w:color="auto"/>
              <w:left w:val="single" w:sz="4" w:space="0" w:color="auto"/>
              <w:bottom w:val="single" w:sz="4" w:space="0" w:color="auto"/>
              <w:right w:val="single" w:sz="4" w:space="0" w:color="auto"/>
            </w:tcBorders>
          </w:tcPr>
          <w:p w:rsidR="00C219E8" w:rsidRPr="005B570F" w:rsidRDefault="00C34E46" w:rsidP="005D7701">
            <w:pPr>
              <w:rPr>
                <w:rFonts w:ascii="Arial Narrow" w:hAnsi="Arial Narrow" w:cs="Arial"/>
                <w:sz w:val="20"/>
                <w:szCs w:val="20"/>
              </w:rPr>
            </w:pPr>
            <w:r w:rsidRPr="005B570F">
              <w:rPr>
                <w:rFonts w:ascii="Arial Narrow" w:hAnsi="Arial Narrow" w:cs="Arial"/>
                <w:sz w:val="20"/>
                <w:szCs w:val="20"/>
              </w:rPr>
              <w:t>GENERAL – General Schedule (Code GE)</w:t>
            </w:r>
          </w:p>
        </w:tc>
      </w:tr>
      <w:tr w:rsidR="00C219E8" w:rsidRPr="005B570F" w:rsidTr="00B224A6">
        <w:tblPrEx>
          <w:tblCellMar>
            <w:left w:w="108" w:type="dxa"/>
            <w:right w:w="108" w:type="dxa"/>
          </w:tblCellMar>
        </w:tblPrEx>
        <w:trPr>
          <w:gridBefore w:val="1"/>
          <w:gridAfter w:val="1"/>
          <w:wBefore w:w="19" w:type="pct"/>
          <w:wAfter w:w="40" w:type="pct"/>
          <w:cantSplit/>
          <w:trHeight w:val="360"/>
        </w:trPr>
        <w:tc>
          <w:tcPr>
            <w:tcW w:w="1621" w:type="pct"/>
            <w:gridSpan w:val="2"/>
            <w:tcBorders>
              <w:top w:val="single" w:sz="4" w:space="0" w:color="auto"/>
              <w:left w:val="single" w:sz="4" w:space="0" w:color="auto"/>
              <w:bottom w:val="single" w:sz="4" w:space="0" w:color="auto"/>
              <w:right w:val="single" w:sz="4" w:space="0" w:color="auto"/>
            </w:tcBorders>
          </w:tcPr>
          <w:p w:rsidR="00C219E8" w:rsidRPr="005B570F" w:rsidRDefault="00C219E8" w:rsidP="005D7701">
            <w:pPr>
              <w:jc w:val="both"/>
              <w:rPr>
                <w:rFonts w:ascii="Arial Narrow" w:hAnsi="Arial Narrow" w:cs="Arial"/>
                <w:b/>
                <w:sz w:val="20"/>
                <w:szCs w:val="20"/>
              </w:rPr>
            </w:pPr>
            <w:r w:rsidRPr="005B570F">
              <w:rPr>
                <w:rFonts w:ascii="Arial Narrow" w:hAnsi="Arial Narrow" w:cs="Arial"/>
                <w:b/>
                <w:sz w:val="20"/>
                <w:szCs w:val="20"/>
              </w:rPr>
              <w:t>Prescriber type:</w:t>
            </w:r>
          </w:p>
          <w:p w:rsidR="00C219E8" w:rsidRPr="005B570F" w:rsidRDefault="00C219E8" w:rsidP="005D7701">
            <w:pPr>
              <w:jc w:val="both"/>
              <w:rPr>
                <w:rFonts w:ascii="Arial Narrow" w:hAnsi="Arial Narrow" w:cs="Arial"/>
                <w:b/>
                <w:sz w:val="20"/>
                <w:szCs w:val="20"/>
              </w:rPr>
            </w:pPr>
          </w:p>
        </w:tc>
        <w:tc>
          <w:tcPr>
            <w:tcW w:w="3320" w:type="pct"/>
            <w:gridSpan w:val="4"/>
            <w:tcBorders>
              <w:top w:val="single" w:sz="4" w:space="0" w:color="auto"/>
              <w:left w:val="single" w:sz="4" w:space="0" w:color="auto"/>
              <w:bottom w:val="single" w:sz="4" w:space="0" w:color="auto"/>
              <w:right w:val="single" w:sz="4" w:space="0" w:color="auto"/>
            </w:tcBorders>
          </w:tcPr>
          <w:p w:rsidR="00C219E8" w:rsidRPr="005B570F" w:rsidRDefault="00C219E8" w:rsidP="005D7701">
            <w:pPr>
              <w:rPr>
                <w:rFonts w:ascii="Arial Narrow" w:hAnsi="Arial Narrow" w:cs="Arial"/>
                <w:sz w:val="20"/>
                <w:szCs w:val="20"/>
              </w:rPr>
            </w:pPr>
            <w:r w:rsidRPr="005B570F">
              <w:rPr>
                <w:rFonts w:ascii="Arial Narrow" w:hAnsi="Arial Narrow" w:cs="Arial"/>
                <w:sz w:val="20"/>
                <w:szCs w:val="20"/>
              </w:rPr>
              <w:fldChar w:fldCharType="begin">
                <w:ffData>
                  <w:name w:val="Check1"/>
                  <w:enabled/>
                  <w:calcOnExit w:val="0"/>
                  <w:checkBox>
                    <w:sizeAuto/>
                    <w:default w:val="0"/>
                  </w:checkBox>
                </w:ffData>
              </w:fldChar>
            </w:r>
            <w:r w:rsidRPr="005B570F">
              <w:rPr>
                <w:rFonts w:ascii="Arial Narrow" w:hAnsi="Arial Narrow" w:cs="Arial"/>
                <w:sz w:val="20"/>
                <w:szCs w:val="20"/>
              </w:rPr>
              <w:instrText xml:space="preserve"> FORMCHECKBOX </w:instrText>
            </w:r>
            <w:r w:rsidR="00BC3CA5">
              <w:rPr>
                <w:rFonts w:ascii="Arial Narrow" w:hAnsi="Arial Narrow" w:cs="Arial"/>
                <w:sz w:val="20"/>
                <w:szCs w:val="20"/>
              </w:rPr>
            </w:r>
            <w:r w:rsidR="00BC3CA5">
              <w:rPr>
                <w:rFonts w:ascii="Arial Narrow" w:hAnsi="Arial Narrow" w:cs="Arial"/>
                <w:sz w:val="20"/>
                <w:szCs w:val="20"/>
              </w:rPr>
              <w:fldChar w:fldCharType="separate"/>
            </w:r>
            <w:r w:rsidRPr="005B570F">
              <w:rPr>
                <w:rFonts w:ascii="Arial Narrow" w:hAnsi="Arial Narrow" w:cs="Arial"/>
                <w:sz w:val="20"/>
                <w:szCs w:val="20"/>
              </w:rPr>
              <w:fldChar w:fldCharType="end"/>
            </w:r>
            <w:r w:rsidRPr="005B570F">
              <w:rPr>
                <w:rFonts w:ascii="Arial Narrow" w:hAnsi="Arial Narrow" w:cs="Arial"/>
                <w:sz w:val="20"/>
                <w:szCs w:val="20"/>
              </w:rPr>
              <w:t xml:space="preserve">Dental  </w:t>
            </w:r>
            <w:r w:rsidRPr="005B570F">
              <w:rPr>
                <w:rFonts w:ascii="Arial Narrow" w:hAnsi="Arial Narrow" w:cs="Arial"/>
                <w:sz w:val="20"/>
                <w:szCs w:val="20"/>
              </w:rPr>
              <w:fldChar w:fldCharType="begin">
                <w:ffData>
                  <w:name w:val=""/>
                  <w:enabled/>
                  <w:calcOnExit w:val="0"/>
                  <w:checkBox>
                    <w:sizeAuto/>
                    <w:default w:val="1"/>
                  </w:checkBox>
                </w:ffData>
              </w:fldChar>
            </w:r>
            <w:r w:rsidRPr="005B570F">
              <w:rPr>
                <w:rFonts w:ascii="Arial Narrow" w:hAnsi="Arial Narrow" w:cs="Arial"/>
                <w:sz w:val="20"/>
                <w:szCs w:val="20"/>
              </w:rPr>
              <w:instrText xml:space="preserve"> FORMCHECKBOX </w:instrText>
            </w:r>
            <w:r w:rsidR="00BC3CA5">
              <w:rPr>
                <w:rFonts w:ascii="Arial Narrow" w:hAnsi="Arial Narrow" w:cs="Arial"/>
                <w:sz w:val="20"/>
                <w:szCs w:val="20"/>
              </w:rPr>
            </w:r>
            <w:r w:rsidR="00BC3CA5">
              <w:rPr>
                <w:rFonts w:ascii="Arial Narrow" w:hAnsi="Arial Narrow" w:cs="Arial"/>
                <w:sz w:val="20"/>
                <w:szCs w:val="20"/>
              </w:rPr>
              <w:fldChar w:fldCharType="separate"/>
            </w:r>
            <w:r w:rsidRPr="005B570F">
              <w:rPr>
                <w:rFonts w:ascii="Arial Narrow" w:hAnsi="Arial Narrow" w:cs="Arial"/>
                <w:sz w:val="20"/>
                <w:szCs w:val="20"/>
              </w:rPr>
              <w:fldChar w:fldCharType="end"/>
            </w:r>
            <w:r w:rsidRPr="005B570F">
              <w:rPr>
                <w:rFonts w:ascii="Arial Narrow" w:hAnsi="Arial Narrow" w:cs="Arial"/>
                <w:sz w:val="20"/>
                <w:szCs w:val="20"/>
              </w:rPr>
              <w:t xml:space="preserve">Medical Practitioners  </w:t>
            </w:r>
            <w:r w:rsidR="00C34E46" w:rsidRPr="005B570F">
              <w:rPr>
                <w:rFonts w:ascii="Arial Narrow" w:hAnsi="Arial Narrow" w:cs="Arial"/>
                <w:sz w:val="20"/>
                <w:szCs w:val="20"/>
              </w:rPr>
              <w:fldChar w:fldCharType="begin">
                <w:ffData>
                  <w:name w:val="Check3"/>
                  <w:enabled/>
                  <w:calcOnExit w:val="0"/>
                  <w:checkBox>
                    <w:sizeAuto/>
                    <w:default w:val="1"/>
                  </w:checkBox>
                </w:ffData>
              </w:fldChar>
            </w:r>
            <w:bookmarkStart w:id="1" w:name="Check3"/>
            <w:r w:rsidR="00C34E46" w:rsidRPr="005B570F">
              <w:rPr>
                <w:rFonts w:ascii="Arial Narrow" w:hAnsi="Arial Narrow" w:cs="Arial"/>
                <w:sz w:val="20"/>
                <w:szCs w:val="20"/>
              </w:rPr>
              <w:instrText xml:space="preserve"> FORMCHECKBOX </w:instrText>
            </w:r>
            <w:r w:rsidR="00BC3CA5">
              <w:rPr>
                <w:rFonts w:ascii="Arial Narrow" w:hAnsi="Arial Narrow" w:cs="Arial"/>
                <w:sz w:val="20"/>
                <w:szCs w:val="20"/>
              </w:rPr>
            </w:r>
            <w:r w:rsidR="00BC3CA5">
              <w:rPr>
                <w:rFonts w:ascii="Arial Narrow" w:hAnsi="Arial Narrow" w:cs="Arial"/>
                <w:sz w:val="20"/>
                <w:szCs w:val="20"/>
              </w:rPr>
              <w:fldChar w:fldCharType="separate"/>
            </w:r>
            <w:r w:rsidR="00C34E46" w:rsidRPr="005B570F">
              <w:rPr>
                <w:rFonts w:ascii="Arial Narrow" w:hAnsi="Arial Narrow" w:cs="Arial"/>
                <w:sz w:val="20"/>
                <w:szCs w:val="20"/>
              </w:rPr>
              <w:fldChar w:fldCharType="end"/>
            </w:r>
            <w:bookmarkEnd w:id="1"/>
            <w:r w:rsidRPr="005B570F">
              <w:rPr>
                <w:rFonts w:ascii="Arial Narrow" w:hAnsi="Arial Narrow" w:cs="Arial"/>
                <w:sz w:val="20"/>
                <w:szCs w:val="20"/>
              </w:rPr>
              <w:t xml:space="preserve">Nurse practitioners  </w:t>
            </w:r>
            <w:r w:rsidRPr="005B570F">
              <w:rPr>
                <w:rFonts w:ascii="Arial Narrow" w:hAnsi="Arial Narrow" w:cs="Arial"/>
                <w:sz w:val="20"/>
                <w:szCs w:val="20"/>
              </w:rPr>
              <w:fldChar w:fldCharType="begin">
                <w:ffData>
                  <w:name w:val=""/>
                  <w:enabled/>
                  <w:calcOnExit w:val="0"/>
                  <w:checkBox>
                    <w:sizeAuto/>
                    <w:default w:val="0"/>
                  </w:checkBox>
                </w:ffData>
              </w:fldChar>
            </w:r>
            <w:r w:rsidRPr="005B570F">
              <w:rPr>
                <w:rFonts w:ascii="Arial Narrow" w:hAnsi="Arial Narrow" w:cs="Arial"/>
                <w:sz w:val="20"/>
                <w:szCs w:val="20"/>
              </w:rPr>
              <w:instrText xml:space="preserve"> FORMCHECKBOX </w:instrText>
            </w:r>
            <w:r w:rsidR="00BC3CA5">
              <w:rPr>
                <w:rFonts w:ascii="Arial Narrow" w:hAnsi="Arial Narrow" w:cs="Arial"/>
                <w:sz w:val="20"/>
                <w:szCs w:val="20"/>
              </w:rPr>
            </w:r>
            <w:r w:rsidR="00BC3CA5">
              <w:rPr>
                <w:rFonts w:ascii="Arial Narrow" w:hAnsi="Arial Narrow" w:cs="Arial"/>
                <w:sz w:val="20"/>
                <w:szCs w:val="20"/>
              </w:rPr>
              <w:fldChar w:fldCharType="separate"/>
            </w:r>
            <w:r w:rsidRPr="005B570F">
              <w:rPr>
                <w:rFonts w:ascii="Arial Narrow" w:hAnsi="Arial Narrow" w:cs="Arial"/>
                <w:sz w:val="20"/>
                <w:szCs w:val="20"/>
              </w:rPr>
              <w:fldChar w:fldCharType="end"/>
            </w:r>
            <w:r w:rsidRPr="005B570F">
              <w:rPr>
                <w:rFonts w:ascii="Arial Narrow" w:hAnsi="Arial Narrow" w:cs="Arial"/>
                <w:sz w:val="20"/>
                <w:szCs w:val="20"/>
              </w:rPr>
              <w:t>Optometrists</w:t>
            </w:r>
          </w:p>
          <w:p w:rsidR="00C219E8" w:rsidRPr="005B570F" w:rsidRDefault="00C219E8" w:rsidP="005D7701">
            <w:pPr>
              <w:rPr>
                <w:rFonts w:ascii="Arial Narrow" w:hAnsi="Arial Narrow" w:cs="Arial"/>
                <w:sz w:val="20"/>
                <w:szCs w:val="20"/>
              </w:rPr>
            </w:pPr>
            <w:r w:rsidRPr="005B570F">
              <w:rPr>
                <w:rFonts w:ascii="Arial Narrow" w:hAnsi="Arial Narrow" w:cs="Arial"/>
                <w:sz w:val="20"/>
                <w:szCs w:val="20"/>
              </w:rPr>
              <w:fldChar w:fldCharType="begin">
                <w:ffData>
                  <w:name w:val="Check5"/>
                  <w:enabled/>
                  <w:calcOnExit w:val="0"/>
                  <w:checkBox>
                    <w:sizeAuto/>
                    <w:default w:val="0"/>
                  </w:checkBox>
                </w:ffData>
              </w:fldChar>
            </w:r>
            <w:r w:rsidRPr="005B570F">
              <w:rPr>
                <w:rFonts w:ascii="Arial Narrow" w:hAnsi="Arial Narrow" w:cs="Arial"/>
                <w:sz w:val="20"/>
                <w:szCs w:val="20"/>
              </w:rPr>
              <w:instrText xml:space="preserve"> FORMCHECKBOX </w:instrText>
            </w:r>
            <w:r w:rsidR="00BC3CA5">
              <w:rPr>
                <w:rFonts w:ascii="Arial Narrow" w:hAnsi="Arial Narrow" w:cs="Arial"/>
                <w:sz w:val="20"/>
                <w:szCs w:val="20"/>
              </w:rPr>
            </w:r>
            <w:r w:rsidR="00BC3CA5">
              <w:rPr>
                <w:rFonts w:ascii="Arial Narrow" w:hAnsi="Arial Narrow" w:cs="Arial"/>
                <w:sz w:val="20"/>
                <w:szCs w:val="20"/>
              </w:rPr>
              <w:fldChar w:fldCharType="separate"/>
            </w:r>
            <w:r w:rsidRPr="005B570F">
              <w:rPr>
                <w:rFonts w:ascii="Arial Narrow" w:hAnsi="Arial Narrow" w:cs="Arial"/>
                <w:sz w:val="20"/>
                <w:szCs w:val="20"/>
              </w:rPr>
              <w:fldChar w:fldCharType="end"/>
            </w:r>
            <w:r w:rsidRPr="005B570F">
              <w:rPr>
                <w:rFonts w:ascii="Arial Narrow" w:hAnsi="Arial Narrow" w:cs="Arial"/>
                <w:sz w:val="20"/>
                <w:szCs w:val="20"/>
              </w:rPr>
              <w:t>Midwives</w:t>
            </w:r>
          </w:p>
        </w:tc>
      </w:tr>
      <w:tr w:rsidR="00C219E8" w:rsidRPr="005B570F" w:rsidTr="00B224A6">
        <w:tblPrEx>
          <w:tblCellMar>
            <w:left w:w="108" w:type="dxa"/>
            <w:right w:w="108" w:type="dxa"/>
          </w:tblCellMar>
        </w:tblPrEx>
        <w:trPr>
          <w:gridBefore w:val="1"/>
          <w:gridAfter w:val="1"/>
          <w:wBefore w:w="19" w:type="pct"/>
          <w:wAfter w:w="40" w:type="pct"/>
          <w:cantSplit/>
          <w:trHeight w:val="360"/>
        </w:trPr>
        <w:tc>
          <w:tcPr>
            <w:tcW w:w="1621" w:type="pct"/>
            <w:gridSpan w:val="2"/>
            <w:tcBorders>
              <w:top w:val="single" w:sz="4" w:space="0" w:color="auto"/>
              <w:left w:val="single" w:sz="4" w:space="0" w:color="auto"/>
              <w:bottom w:val="single" w:sz="4" w:space="0" w:color="auto"/>
              <w:right w:val="single" w:sz="4" w:space="0" w:color="auto"/>
            </w:tcBorders>
          </w:tcPr>
          <w:p w:rsidR="00C219E8" w:rsidRPr="005B570F" w:rsidRDefault="00C219E8" w:rsidP="005D7701">
            <w:pPr>
              <w:jc w:val="both"/>
              <w:rPr>
                <w:rFonts w:ascii="Arial Narrow" w:hAnsi="Arial Narrow" w:cs="Arial"/>
                <w:b/>
                <w:sz w:val="20"/>
                <w:szCs w:val="20"/>
              </w:rPr>
            </w:pPr>
            <w:r w:rsidRPr="005B570F">
              <w:rPr>
                <w:rFonts w:ascii="Arial Narrow" w:hAnsi="Arial Narrow" w:cs="Arial"/>
                <w:b/>
                <w:sz w:val="20"/>
                <w:szCs w:val="20"/>
              </w:rPr>
              <w:t>Condition:</w:t>
            </w:r>
          </w:p>
        </w:tc>
        <w:tc>
          <w:tcPr>
            <w:tcW w:w="3320" w:type="pct"/>
            <w:gridSpan w:val="4"/>
            <w:tcBorders>
              <w:top w:val="single" w:sz="4" w:space="0" w:color="auto"/>
              <w:left w:val="single" w:sz="4" w:space="0" w:color="auto"/>
              <w:bottom w:val="single" w:sz="4" w:space="0" w:color="auto"/>
              <w:right w:val="single" w:sz="4" w:space="0" w:color="auto"/>
            </w:tcBorders>
          </w:tcPr>
          <w:p w:rsidR="00C219E8" w:rsidRPr="005B570F" w:rsidRDefault="00C34E46" w:rsidP="005D7701">
            <w:pPr>
              <w:rPr>
                <w:rFonts w:ascii="Arial Narrow" w:hAnsi="Arial Narrow" w:cs="Arial"/>
                <w:sz w:val="20"/>
                <w:szCs w:val="20"/>
              </w:rPr>
            </w:pPr>
            <w:r w:rsidRPr="005B570F">
              <w:rPr>
                <w:rFonts w:ascii="Arial Narrow" w:hAnsi="Arial Narrow" w:cs="Arial"/>
                <w:sz w:val="20"/>
                <w:szCs w:val="20"/>
              </w:rPr>
              <w:t>Ulcerative colitis</w:t>
            </w:r>
          </w:p>
        </w:tc>
      </w:tr>
      <w:tr w:rsidR="00C219E8" w:rsidRPr="005B570F" w:rsidTr="00B224A6">
        <w:tblPrEx>
          <w:tblCellMar>
            <w:left w:w="108" w:type="dxa"/>
            <w:right w:w="108" w:type="dxa"/>
          </w:tblCellMar>
        </w:tblPrEx>
        <w:trPr>
          <w:gridBefore w:val="1"/>
          <w:gridAfter w:val="1"/>
          <w:wBefore w:w="19" w:type="pct"/>
          <w:wAfter w:w="40" w:type="pct"/>
          <w:cantSplit/>
          <w:trHeight w:val="360"/>
        </w:trPr>
        <w:tc>
          <w:tcPr>
            <w:tcW w:w="1621" w:type="pct"/>
            <w:gridSpan w:val="2"/>
            <w:tcBorders>
              <w:top w:val="single" w:sz="4" w:space="0" w:color="auto"/>
              <w:left w:val="single" w:sz="4" w:space="0" w:color="auto"/>
              <w:bottom w:val="single" w:sz="4" w:space="0" w:color="auto"/>
              <w:right w:val="single" w:sz="4" w:space="0" w:color="auto"/>
            </w:tcBorders>
          </w:tcPr>
          <w:p w:rsidR="00C219E8" w:rsidRPr="005B570F" w:rsidRDefault="00C219E8" w:rsidP="005D7701">
            <w:pPr>
              <w:jc w:val="both"/>
              <w:rPr>
                <w:rFonts w:ascii="Arial Narrow" w:hAnsi="Arial Narrow" w:cs="Arial"/>
                <w:b/>
                <w:sz w:val="20"/>
                <w:szCs w:val="20"/>
              </w:rPr>
            </w:pPr>
            <w:r w:rsidRPr="005B570F">
              <w:rPr>
                <w:rFonts w:ascii="Arial Narrow" w:hAnsi="Arial Narrow" w:cs="Arial"/>
                <w:b/>
                <w:sz w:val="20"/>
                <w:szCs w:val="20"/>
              </w:rPr>
              <w:t>PBS Indication:</w:t>
            </w:r>
          </w:p>
        </w:tc>
        <w:tc>
          <w:tcPr>
            <w:tcW w:w="3320" w:type="pct"/>
            <w:gridSpan w:val="4"/>
            <w:tcBorders>
              <w:top w:val="single" w:sz="4" w:space="0" w:color="auto"/>
              <w:left w:val="single" w:sz="4" w:space="0" w:color="auto"/>
              <w:bottom w:val="single" w:sz="4" w:space="0" w:color="auto"/>
              <w:right w:val="single" w:sz="4" w:space="0" w:color="auto"/>
            </w:tcBorders>
          </w:tcPr>
          <w:p w:rsidR="00C219E8" w:rsidRPr="005B570F" w:rsidRDefault="00C34E46" w:rsidP="005D7701">
            <w:pPr>
              <w:rPr>
                <w:rFonts w:ascii="Arial Narrow" w:hAnsi="Arial Narrow" w:cs="Arial"/>
                <w:sz w:val="20"/>
                <w:szCs w:val="20"/>
              </w:rPr>
            </w:pPr>
            <w:r w:rsidRPr="005B570F">
              <w:rPr>
                <w:rFonts w:ascii="Arial Narrow" w:hAnsi="Arial Narrow" w:cs="Arial"/>
                <w:sz w:val="20"/>
                <w:szCs w:val="20"/>
              </w:rPr>
              <w:t>Ulcerative colitis</w:t>
            </w:r>
          </w:p>
        </w:tc>
      </w:tr>
      <w:tr w:rsidR="00C219E8" w:rsidRPr="005B570F" w:rsidTr="00B224A6">
        <w:tblPrEx>
          <w:tblCellMar>
            <w:left w:w="108" w:type="dxa"/>
            <w:right w:w="108" w:type="dxa"/>
          </w:tblCellMar>
        </w:tblPrEx>
        <w:trPr>
          <w:gridBefore w:val="1"/>
          <w:gridAfter w:val="1"/>
          <w:wBefore w:w="19" w:type="pct"/>
          <w:wAfter w:w="40" w:type="pct"/>
          <w:cantSplit/>
          <w:trHeight w:val="360"/>
        </w:trPr>
        <w:tc>
          <w:tcPr>
            <w:tcW w:w="1621" w:type="pct"/>
            <w:gridSpan w:val="2"/>
            <w:tcBorders>
              <w:top w:val="single" w:sz="4" w:space="0" w:color="auto"/>
              <w:left w:val="single" w:sz="4" w:space="0" w:color="auto"/>
              <w:bottom w:val="single" w:sz="4" w:space="0" w:color="auto"/>
              <w:right w:val="single" w:sz="4" w:space="0" w:color="auto"/>
            </w:tcBorders>
          </w:tcPr>
          <w:p w:rsidR="00C219E8" w:rsidRPr="005B570F" w:rsidRDefault="00C219E8" w:rsidP="005D7701">
            <w:pPr>
              <w:jc w:val="both"/>
              <w:rPr>
                <w:rFonts w:ascii="Arial Narrow" w:hAnsi="Arial Narrow" w:cs="Arial"/>
                <w:b/>
                <w:sz w:val="20"/>
                <w:szCs w:val="20"/>
              </w:rPr>
            </w:pPr>
            <w:r w:rsidRPr="005B570F">
              <w:rPr>
                <w:rFonts w:ascii="Arial Narrow" w:hAnsi="Arial Narrow" w:cs="Arial"/>
                <w:b/>
                <w:sz w:val="20"/>
                <w:szCs w:val="20"/>
              </w:rPr>
              <w:t>Restriction Level / Method:</w:t>
            </w:r>
          </w:p>
          <w:p w:rsidR="00C219E8" w:rsidRPr="005B570F" w:rsidRDefault="00C219E8" w:rsidP="005D7701">
            <w:pPr>
              <w:rPr>
                <w:rFonts w:ascii="Arial Narrow" w:hAnsi="Arial Narrow" w:cs="Arial"/>
                <w:i/>
                <w:sz w:val="20"/>
                <w:szCs w:val="20"/>
                <w:highlight w:val="yellow"/>
              </w:rPr>
            </w:pPr>
          </w:p>
          <w:p w:rsidR="00C219E8" w:rsidRPr="005B570F" w:rsidRDefault="00C219E8" w:rsidP="005D7701">
            <w:pPr>
              <w:rPr>
                <w:rFonts w:ascii="Arial Narrow" w:hAnsi="Arial Narrow" w:cs="Arial"/>
                <w:i/>
                <w:sz w:val="20"/>
                <w:szCs w:val="20"/>
              </w:rPr>
            </w:pPr>
          </w:p>
          <w:p w:rsidR="00C219E8" w:rsidRPr="005B570F" w:rsidRDefault="00C219E8" w:rsidP="005D7701">
            <w:pPr>
              <w:rPr>
                <w:rFonts w:ascii="Arial Narrow" w:hAnsi="Arial Narrow" w:cs="Arial"/>
                <w:i/>
                <w:sz w:val="20"/>
                <w:szCs w:val="20"/>
              </w:rPr>
            </w:pPr>
          </w:p>
        </w:tc>
        <w:tc>
          <w:tcPr>
            <w:tcW w:w="3320" w:type="pct"/>
            <w:gridSpan w:val="4"/>
            <w:tcBorders>
              <w:top w:val="single" w:sz="4" w:space="0" w:color="auto"/>
              <w:left w:val="single" w:sz="4" w:space="0" w:color="auto"/>
              <w:bottom w:val="single" w:sz="4" w:space="0" w:color="auto"/>
              <w:right w:val="single" w:sz="4" w:space="0" w:color="auto"/>
            </w:tcBorders>
          </w:tcPr>
          <w:p w:rsidR="00C219E8" w:rsidRPr="005B570F" w:rsidRDefault="00C219E8" w:rsidP="005D7701">
            <w:pPr>
              <w:rPr>
                <w:rFonts w:ascii="Arial Narrow" w:hAnsi="Arial Narrow" w:cs="Arial"/>
                <w:sz w:val="20"/>
                <w:szCs w:val="20"/>
              </w:rPr>
            </w:pPr>
            <w:r w:rsidRPr="005B570F">
              <w:rPr>
                <w:rFonts w:ascii="Arial Narrow" w:hAnsi="Arial Narrow" w:cs="Arial"/>
                <w:sz w:val="20"/>
                <w:szCs w:val="20"/>
              </w:rPr>
              <w:fldChar w:fldCharType="begin">
                <w:ffData>
                  <w:name w:val="Check1"/>
                  <w:enabled/>
                  <w:calcOnExit w:val="0"/>
                  <w:checkBox>
                    <w:sizeAuto/>
                    <w:default w:val="0"/>
                  </w:checkBox>
                </w:ffData>
              </w:fldChar>
            </w:r>
            <w:r w:rsidRPr="005B570F">
              <w:rPr>
                <w:rFonts w:ascii="Arial Narrow" w:hAnsi="Arial Narrow" w:cs="Arial"/>
                <w:sz w:val="20"/>
                <w:szCs w:val="20"/>
              </w:rPr>
              <w:instrText xml:space="preserve"> FORMCHECKBOX </w:instrText>
            </w:r>
            <w:r w:rsidR="00BC3CA5">
              <w:rPr>
                <w:rFonts w:ascii="Arial Narrow" w:hAnsi="Arial Narrow" w:cs="Arial"/>
                <w:sz w:val="20"/>
                <w:szCs w:val="20"/>
              </w:rPr>
            </w:r>
            <w:r w:rsidR="00BC3CA5">
              <w:rPr>
                <w:rFonts w:ascii="Arial Narrow" w:hAnsi="Arial Narrow" w:cs="Arial"/>
                <w:sz w:val="20"/>
                <w:szCs w:val="20"/>
              </w:rPr>
              <w:fldChar w:fldCharType="separate"/>
            </w:r>
            <w:r w:rsidRPr="005B570F">
              <w:rPr>
                <w:rFonts w:ascii="Arial Narrow" w:hAnsi="Arial Narrow" w:cs="Arial"/>
                <w:sz w:val="20"/>
                <w:szCs w:val="20"/>
              </w:rPr>
              <w:fldChar w:fldCharType="end"/>
            </w:r>
            <w:r w:rsidRPr="005B570F">
              <w:rPr>
                <w:rFonts w:ascii="Arial Narrow" w:hAnsi="Arial Narrow" w:cs="Arial"/>
                <w:sz w:val="20"/>
                <w:szCs w:val="20"/>
              </w:rPr>
              <w:t>Restricted benefit</w:t>
            </w:r>
          </w:p>
          <w:p w:rsidR="00C219E8" w:rsidRPr="005B570F" w:rsidRDefault="00C219E8" w:rsidP="005D7701">
            <w:pPr>
              <w:rPr>
                <w:rFonts w:ascii="Arial Narrow" w:hAnsi="Arial Narrow" w:cs="Arial"/>
                <w:sz w:val="20"/>
                <w:szCs w:val="20"/>
              </w:rPr>
            </w:pPr>
            <w:r w:rsidRPr="005B570F">
              <w:rPr>
                <w:rFonts w:ascii="Arial Narrow" w:hAnsi="Arial Narrow" w:cs="Arial"/>
                <w:sz w:val="20"/>
                <w:szCs w:val="20"/>
              </w:rPr>
              <w:fldChar w:fldCharType="begin">
                <w:ffData>
                  <w:name w:val=""/>
                  <w:enabled/>
                  <w:calcOnExit w:val="0"/>
                  <w:checkBox>
                    <w:sizeAuto/>
                    <w:default w:val="0"/>
                  </w:checkBox>
                </w:ffData>
              </w:fldChar>
            </w:r>
            <w:r w:rsidRPr="005B570F">
              <w:rPr>
                <w:rFonts w:ascii="Arial Narrow" w:hAnsi="Arial Narrow" w:cs="Arial"/>
                <w:sz w:val="20"/>
                <w:szCs w:val="20"/>
              </w:rPr>
              <w:instrText xml:space="preserve"> FORMCHECKBOX </w:instrText>
            </w:r>
            <w:r w:rsidR="00BC3CA5">
              <w:rPr>
                <w:rFonts w:ascii="Arial Narrow" w:hAnsi="Arial Narrow" w:cs="Arial"/>
                <w:sz w:val="20"/>
                <w:szCs w:val="20"/>
              </w:rPr>
            </w:r>
            <w:r w:rsidR="00BC3CA5">
              <w:rPr>
                <w:rFonts w:ascii="Arial Narrow" w:hAnsi="Arial Narrow" w:cs="Arial"/>
                <w:sz w:val="20"/>
                <w:szCs w:val="20"/>
              </w:rPr>
              <w:fldChar w:fldCharType="separate"/>
            </w:r>
            <w:r w:rsidRPr="005B570F">
              <w:rPr>
                <w:rFonts w:ascii="Arial Narrow" w:hAnsi="Arial Narrow" w:cs="Arial"/>
                <w:sz w:val="20"/>
                <w:szCs w:val="20"/>
              </w:rPr>
              <w:fldChar w:fldCharType="end"/>
            </w:r>
            <w:r w:rsidRPr="005B570F">
              <w:rPr>
                <w:rFonts w:ascii="Arial Narrow" w:hAnsi="Arial Narrow" w:cs="Arial"/>
                <w:sz w:val="20"/>
                <w:szCs w:val="20"/>
              </w:rPr>
              <w:t>Authority Required - In Writing</w:t>
            </w:r>
          </w:p>
          <w:p w:rsidR="00C219E8" w:rsidRPr="005B570F" w:rsidRDefault="00C219E8" w:rsidP="005D7701">
            <w:pPr>
              <w:rPr>
                <w:rFonts w:ascii="Arial Narrow" w:hAnsi="Arial Narrow" w:cs="Arial"/>
                <w:sz w:val="20"/>
                <w:szCs w:val="20"/>
              </w:rPr>
            </w:pPr>
            <w:r w:rsidRPr="005B570F">
              <w:rPr>
                <w:rFonts w:ascii="Arial Narrow" w:hAnsi="Arial Narrow" w:cs="Arial"/>
                <w:sz w:val="20"/>
                <w:szCs w:val="20"/>
              </w:rPr>
              <w:fldChar w:fldCharType="begin">
                <w:ffData>
                  <w:name w:val="Check3"/>
                  <w:enabled/>
                  <w:calcOnExit w:val="0"/>
                  <w:checkBox>
                    <w:sizeAuto/>
                    <w:default w:val="0"/>
                  </w:checkBox>
                </w:ffData>
              </w:fldChar>
            </w:r>
            <w:r w:rsidRPr="005B570F">
              <w:rPr>
                <w:rFonts w:ascii="Arial Narrow" w:hAnsi="Arial Narrow" w:cs="Arial"/>
                <w:sz w:val="20"/>
                <w:szCs w:val="20"/>
              </w:rPr>
              <w:instrText xml:space="preserve"> FORMCHECKBOX </w:instrText>
            </w:r>
            <w:r w:rsidR="00BC3CA5">
              <w:rPr>
                <w:rFonts w:ascii="Arial Narrow" w:hAnsi="Arial Narrow" w:cs="Arial"/>
                <w:sz w:val="20"/>
                <w:szCs w:val="20"/>
              </w:rPr>
            </w:r>
            <w:r w:rsidR="00BC3CA5">
              <w:rPr>
                <w:rFonts w:ascii="Arial Narrow" w:hAnsi="Arial Narrow" w:cs="Arial"/>
                <w:sz w:val="20"/>
                <w:szCs w:val="20"/>
              </w:rPr>
              <w:fldChar w:fldCharType="separate"/>
            </w:r>
            <w:r w:rsidRPr="005B570F">
              <w:rPr>
                <w:rFonts w:ascii="Arial Narrow" w:hAnsi="Arial Narrow" w:cs="Arial"/>
                <w:sz w:val="20"/>
                <w:szCs w:val="20"/>
              </w:rPr>
              <w:fldChar w:fldCharType="end"/>
            </w:r>
            <w:r w:rsidRPr="005B570F">
              <w:rPr>
                <w:rFonts w:ascii="Arial Narrow" w:hAnsi="Arial Narrow" w:cs="Arial"/>
                <w:sz w:val="20"/>
                <w:szCs w:val="20"/>
              </w:rPr>
              <w:t>Authority Required - Telephone</w:t>
            </w:r>
          </w:p>
          <w:p w:rsidR="00C219E8" w:rsidRPr="005B570F" w:rsidRDefault="00C219E8" w:rsidP="005D7701">
            <w:pPr>
              <w:rPr>
                <w:rFonts w:ascii="Arial Narrow" w:hAnsi="Arial Narrow" w:cs="Arial"/>
                <w:sz w:val="20"/>
                <w:szCs w:val="20"/>
              </w:rPr>
            </w:pPr>
            <w:r w:rsidRPr="005B570F">
              <w:rPr>
                <w:rFonts w:ascii="Arial Narrow" w:hAnsi="Arial Narrow" w:cs="Arial"/>
                <w:sz w:val="20"/>
                <w:szCs w:val="20"/>
              </w:rPr>
              <w:fldChar w:fldCharType="begin">
                <w:ffData>
                  <w:name w:val=""/>
                  <w:enabled/>
                  <w:calcOnExit w:val="0"/>
                  <w:checkBox>
                    <w:sizeAuto/>
                    <w:default w:val="0"/>
                  </w:checkBox>
                </w:ffData>
              </w:fldChar>
            </w:r>
            <w:r w:rsidRPr="005B570F">
              <w:rPr>
                <w:rFonts w:ascii="Arial Narrow" w:hAnsi="Arial Narrow" w:cs="Arial"/>
                <w:sz w:val="20"/>
                <w:szCs w:val="20"/>
              </w:rPr>
              <w:instrText xml:space="preserve"> FORMCHECKBOX </w:instrText>
            </w:r>
            <w:r w:rsidR="00BC3CA5">
              <w:rPr>
                <w:rFonts w:ascii="Arial Narrow" w:hAnsi="Arial Narrow" w:cs="Arial"/>
                <w:sz w:val="20"/>
                <w:szCs w:val="20"/>
              </w:rPr>
            </w:r>
            <w:r w:rsidR="00BC3CA5">
              <w:rPr>
                <w:rFonts w:ascii="Arial Narrow" w:hAnsi="Arial Narrow" w:cs="Arial"/>
                <w:sz w:val="20"/>
                <w:szCs w:val="20"/>
              </w:rPr>
              <w:fldChar w:fldCharType="separate"/>
            </w:r>
            <w:r w:rsidRPr="005B570F">
              <w:rPr>
                <w:rFonts w:ascii="Arial Narrow" w:hAnsi="Arial Narrow" w:cs="Arial"/>
                <w:sz w:val="20"/>
                <w:szCs w:val="20"/>
              </w:rPr>
              <w:fldChar w:fldCharType="end"/>
            </w:r>
            <w:r w:rsidRPr="005B570F">
              <w:rPr>
                <w:rFonts w:ascii="Arial Narrow" w:hAnsi="Arial Narrow" w:cs="Arial"/>
                <w:sz w:val="20"/>
                <w:szCs w:val="20"/>
              </w:rPr>
              <w:t>Authority Required - Emergency</w:t>
            </w:r>
          </w:p>
          <w:p w:rsidR="00C219E8" w:rsidRPr="005B570F" w:rsidRDefault="00C219E8" w:rsidP="005D7701">
            <w:pPr>
              <w:rPr>
                <w:rFonts w:ascii="Arial Narrow" w:hAnsi="Arial Narrow" w:cs="Arial"/>
                <w:sz w:val="20"/>
                <w:szCs w:val="20"/>
              </w:rPr>
            </w:pPr>
            <w:r w:rsidRPr="005B570F">
              <w:rPr>
                <w:rFonts w:ascii="Arial Narrow" w:hAnsi="Arial Narrow" w:cs="Arial"/>
                <w:sz w:val="20"/>
                <w:szCs w:val="20"/>
              </w:rPr>
              <w:fldChar w:fldCharType="begin">
                <w:ffData>
                  <w:name w:val="Check5"/>
                  <w:enabled/>
                  <w:calcOnExit w:val="0"/>
                  <w:checkBox>
                    <w:sizeAuto/>
                    <w:default w:val="0"/>
                  </w:checkBox>
                </w:ffData>
              </w:fldChar>
            </w:r>
            <w:r w:rsidRPr="005B570F">
              <w:rPr>
                <w:rFonts w:ascii="Arial Narrow" w:hAnsi="Arial Narrow" w:cs="Arial"/>
                <w:sz w:val="20"/>
                <w:szCs w:val="20"/>
              </w:rPr>
              <w:instrText xml:space="preserve"> FORMCHECKBOX </w:instrText>
            </w:r>
            <w:r w:rsidR="00BC3CA5">
              <w:rPr>
                <w:rFonts w:ascii="Arial Narrow" w:hAnsi="Arial Narrow" w:cs="Arial"/>
                <w:sz w:val="20"/>
                <w:szCs w:val="20"/>
              </w:rPr>
            </w:r>
            <w:r w:rsidR="00BC3CA5">
              <w:rPr>
                <w:rFonts w:ascii="Arial Narrow" w:hAnsi="Arial Narrow" w:cs="Arial"/>
                <w:sz w:val="20"/>
                <w:szCs w:val="20"/>
              </w:rPr>
              <w:fldChar w:fldCharType="separate"/>
            </w:r>
            <w:r w:rsidRPr="005B570F">
              <w:rPr>
                <w:rFonts w:ascii="Arial Narrow" w:hAnsi="Arial Narrow" w:cs="Arial"/>
                <w:sz w:val="20"/>
                <w:szCs w:val="20"/>
              </w:rPr>
              <w:fldChar w:fldCharType="end"/>
            </w:r>
            <w:r w:rsidRPr="005B570F">
              <w:rPr>
                <w:rFonts w:ascii="Arial Narrow" w:hAnsi="Arial Narrow" w:cs="Arial"/>
                <w:sz w:val="20"/>
                <w:szCs w:val="20"/>
              </w:rPr>
              <w:t>Authority Required - Electronic</w:t>
            </w:r>
          </w:p>
          <w:p w:rsidR="00C219E8" w:rsidRPr="005B570F" w:rsidRDefault="00C219E8" w:rsidP="005D7701">
            <w:pPr>
              <w:rPr>
                <w:rFonts w:ascii="Arial Narrow" w:hAnsi="Arial Narrow" w:cs="Arial"/>
                <w:sz w:val="20"/>
                <w:szCs w:val="20"/>
              </w:rPr>
            </w:pPr>
            <w:r w:rsidRPr="005B570F">
              <w:rPr>
                <w:rFonts w:ascii="Arial Narrow" w:hAnsi="Arial Narrow" w:cs="Arial"/>
                <w:sz w:val="20"/>
                <w:szCs w:val="20"/>
              </w:rPr>
              <w:fldChar w:fldCharType="begin">
                <w:ffData>
                  <w:name w:val="Check5"/>
                  <w:enabled/>
                  <w:calcOnExit w:val="0"/>
                  <w:checkBox>
                    <w:sizeAuto/>
                    <w:default w:val="1"/>
                  </w:checkBox>
                </w:ffData>
              </w:fldChar>
            </w:r>
            <w:r w:rsidRPr="005B570F">
              <w:rPr>
                <w:rFonts w:ascii="Arial Narrow" w:hAnsi="Arial Narrow" w:cs="Arial"/>
                <w:sz w:val="20"/>
                <w:szCs w:val="20"/>
              </w:rPr>
              <w:instrText xml:space="preserve"> FORMCHECKBOX </w:instrText>
            </w:r>
            <w:r w:rsidR="00BC3CA5">
              <w:rPr>
                <w:rFonts w:ascii="Arial Narrow" w:hAnsi="Arial Narrow" w:cs="Arial"/>
                <w:sz w:val="20"/>
                <w:szCs w:val="20"/>
              </w:rPr>
            </w:r>
            <w:r w:rsidR="00BC3CA5">
              <w:rPr>
                <w:rFonts w:ascii="Arial Narrow" w:hAnsi="Arial Narrow" w:cs="Arial"/>
                <w:sz w:val="20"/>
                <w:szCs w:val="20"/>
              </w:rPr>
              <w:fldChar w:fldCharType="separate"/>
            </w:r>
            <w:r w:rsidRPr="005B570F">
              <w:rPr>
                <w:rFonts w:ascii="Arial Narrow" w:hAnsi="Arial Narrow" w:cs="Arial"/>
                <w:sz w:val="20"/>
                <w:szCs w:val="20"/>
              </w:rPr>
              <w:fldChar w:fldCharType="end"/>
            </w:r>
            <w:r w:rsidRPr="005B570F">
              <w:rPr>
                <w:rFonts w:ascii="Arial Narrow" w:hAnsi="Arial Narrow" w:cs="Arial"/>
                <w:sz w:val="20"/>
                <w:szCs w:val="20"/>
              </w:rPr>
              <w:t>Streamlined</w:t>
            </w:r>
          </w:p>
        </w:tc>
      </w:tr>
      <w:tr w:rsidR="00C219E8" w:rsidRPr="005B570F" w:rsidTr="00B224A6">
        <w:tblPrEx>
          <w:tblCellMar>
            <w:left w:w="108" w:type="dxa"/>
            <w:right w:w="108" w:type="dxa"/>
          </w:tblCellMar>
        </w:tblPrEx>
        <w:trPr>
          <w:gridBefore w:val="1"/>
          <w:gridAfter w:val="1"/>
          <w:wBefore w:w="19" w:type="pct"/>
          <w:wAfter w:w="40" w:type="pct"/>
          <w:cantSplit/>
          <w:trHeight w:val="360"/>
        </w:trPr>
        <w:tc>
          <w:tcPr>
            <w:tcW w:w="1621" w:type="pct"/>
            <w:gridSpan w:val="2"/>
            <w:tcBorders>
              <w:top w:val="single" w:sz="4" w:space="0" w:color="auto"/>
              <w:left w:val="single" w:sz="4" w:space="0" w:color="auto"/>
              <w:bottom w:val="single" w:sz="4" w:space="0" w:color="auto"/>
              <w:right w:val="single" w:sz="4" w:space="0" w:color="auto"/>
            </w:tcBorders>
          </w:tcPr>
          <w:p w:rsidR="00C219E8" w:rsidRPr="005B570F" w:rsidRDefault="00C219E8" w:rsidP="005D7701">
            <w:pPr>
              <w:jc w:val="both"/>
              <w:rPr>
                <w:rFonts w:ascii="Arial Narrow" w:hAnsi="Arial Narrow" w:cs="Arial"/>
                <w:b/>
                <w:sz w:val="20"/>
                <w:szCs w:val="20"/>
              </w:rPr>
            </w:pPr>
            <w:r w:rsidRPr="005B570F">
              <w:rPr>
                <w:rFonts w:ascii="Arial Narrow" w:hAnsi="Arial Narrow" w:cs="Arial"/>
                <w:b/>
                <w:sz w:val="20"/>
                <w:szCs w:val="20"/>
              </w:rPr>
              <w:t>Clinical criteria:</w:t>
            </w:r>
          </w:p>
        </w:tc>
        <w:tc>
          <w:tcPr>
            <w:tcW w:w="3320" w:type="pct"/>
            <w:gridSpan w:val="4"/>
            <w:tcBorders>
              <w:top w:val="single" w:sz="4" w:space="0" w:color="auto"/>
              <w:left w:val="single" w:sz="4" w:space="0" w:color="auto"/>
              <w:bottom w:val="single" w:sz="4" w:space="0" w:color="auto"/>
              <w:right w:val="single" w:sz="4" w:space="0" w:color="auto"/>
            </w:tcBorders>
          </w:tcPr>
          <w:p w:rsidR="00C219E8" w:rsidRPr="005B570F" w:rsidRDefault="00C34E46" w:rsidP="005D7701">
            <w:pPr>
              <w:rPr>
                <w:rFonts w:ascii="Arial Narrow" w:hAnsi="Arial Narrow" w:cs="Arial"/>
                <w:sz w:val="20"/>
                <w:szCs w:val="20"/>
              </w:rPr>
            </w:pPr>
            <w:r w:rsidRPr="005B570F">
              <w:rPr>
                <w:rFonts w:ascii="Arial Narrow" w:hAnsi="Arial Narrow" w:cs="Arial"/>
                <w:sz w:val="20"/>
                <w:szCs w:val="20"/>
              </w:rPr>
              <w:t xml:space="preserve">Patient must have had a documented hypersensitivity reaction to a sulphonamide; </w:t>
            </w:r>
          </w:p>
          <w:p w:rsidR="00C34E46" w:rsidRPr="005B570F" w:rsidRDefault="00C34E46" w:rsidP="005D7701">
            <w:pPr>
              <w:rPr>
                <w:rFonts w:ascii="Arial Narrow" w:hAnsi="Arial Narrow" w:cs="Arial"/>
                <w:sz w:val="20"/>
                <w:szCs w:val="20"/>
              </w:rPr>
            </w:pPr>
            <w:r w:rsidRPr="005B570F">
              <w:rPr>
                <w:rFonts w:ascii="Arial Narrow" w:hAnsi="Arial Narrow" w:cs="Arial"/>
                <w:sz w:val="20"/>
                <w:szCs w:val="20"/>
              </w:rPr>
              <w:t>OR</w:t>
            </w:r>
          </w:p>
          <w:p w:rsidR="00C34E46" w:rsidRPr="005B570F" w:rsidRDefault="00C34E46" w:rsidP="005D7701">
            <w:pPr>
              <w:rPr>
                <w:rFonts w:ascii="Arial Narrow" w:hAnsi="Arial Narrow" w:cs="Arial"/>
                <w:sz w:val="20"/>
                <w:szCs w:val="20"/>
              </w:rPr>
            </w:pPr>
            <w:r w:rsidRPr="005B570F">
              <w:rPr>
                <w:rFonts w:ascii="Arial Narrow" w:hAnsi="Arial Narrow" w:cs="Arial"/>
                <w:sz w:val="20"/>
                <w:szCs w:val="20"/>
              </w:rPr>
              <w:t>Patient must be intolerant to sulfasalazine</w:t>
            </w:r>
          </w:p>
        </w:tc>
      </w:tr>
      <w:tr w:rsidR="00C34E46" w:rsidRPr="005B570F" w:rsidTr="00B224A6">
        <w:tblPrEx>
          <w:tblCellMar>
            <w:left w:w="108" w:type="dxa"/>
            <w:right w:w="108" w:type="dxa"/>
          </w:tblCellMar>
        </w:tblPrEx>
        <w:trPr>
          <w:gridBefore w:val="1"/>
          <w:gridAfter w:val="1"/>
          <w:wBefore w:w="19" w:type="pct"/>
          <w:wAfter w:w="40" w:type="pct"/>
          <w:cantSplit/>
          <w:trHeight w:val="360"/>
        </w:trPr>
        <w:tc>
          <w:tcPr>
            <w:tcW w:w="1621" w:type="pct"/>
            <w:gridSpan w:val="2"/>
            <w:tcBorders>
              <w:top w:val="single" w:sz="4" w:space="0" w:color="auto"/>
              <w:left w:val="single" w:sz="4" w:space="0" w:color="auto"/>
              <w:bottom w:val="single" w:sz="4" w:space="0" w:color="auto"/>
              <w:right w:val="single" w:sz="4" w:space="0" w:color="auto"/>
            </w:tcBorders>
          </w:tcPr>
          <w:p w:rsidR="00C34E46" w:rsidRPr="005B570F" w:rsidRDefault="00C34E46" w:rsidP="005D7701">
            <w:pPr>
              <w:jc w:val="both"/>
              <w:rPr>
                <w:rFonts w:ascii="Arial Narrow" w:hAnsi="Arial Narrow" w:cs="Arial"/>
                <w:b/>
                <w:sz w:val="20"/>
                <w:szCs w:val="20"/>
              </w:rPr>
            </w:pPr>
            <w:r w:rsidRPr="005B570F">
              <w:rPr>
                <w:rFonts w:ascii="Arial Narrow" w:hAnsi="Arial Narrow" w:cs="Arial"/>
                <w:b/>
                <w:sz w:val="20"/>
                <w:szCs w:val="20"/>
              </w:rPr>
              <w:t>Administrative Advice</w:t>
            </w:r>
          </w:p>
        </w:tc>
        <w:tc>
          <w:tcPr>
            <w:tcW w:w="3320" w:type="pct"/>
            <w:gridSpan w:val="4"/>
            <w:tcBorders>
              <w:top w:val="single" w:sz="4" w:space="0" w:color="auto"/>
              <w:left w:val="single" w:sz="4" w:space="0" w:color="auto"/>
              <w:bottom w:val="single" w:sz="4" w:space="0" w:color="auto"/>
              <w:right w:val="single" w:sz="4" w:space="0" w:color="auto"/>
            </w:tcBorders>
          </w:tcPr>
          <w:p w:rsidR="00C34E46" w:rsidRPr="005B570F" w:rsidRDefault="00C34E46" w:rsidP="005D7701">
            <w:pPr>
              <w:rPr>
                <w:rFonts w:ascii="Arial Narrow" w:hAnsi="Arial Narrow" w:cs="Arial"/>
                <w:sz w:val="20"/>
                <w:szCs w:val="20"/>
              </w:rPr>
            </w:pPr>
            <w:r w:rsidRPr="005B570F">
              <w:rPr>
                <w:rFonts w:ascii="Arial Narrow" w:hAnsi="Arial Narrow" w:cs="Arial"/>
                <w:sz w:val="20"/>
                <w:szCs w:val="20"/>
              </w:rPr>
              <w:t>Not for the treatment of Crohn disease</w:t>
            </w:r>
          </w:p>
          <w:p w:rsidR="00C34E46" w:rsidRPr="005B570F" w:rsidRDefault="00C34E46" w:rsidP="005D7701">
            <w:pPr>
              <w:rPr>
                <w:rFonts w:ascii="Arial Narrow" w:hAnsi="Arial Narrow" w:cs="Arial"/>
                <w:sz w:val="20"/>
                <w:szCs w:val="20"/>
              </w:rPr>
            </w:pPr>
          </w:p>
          <w:p w:rsidR="00C34E46" w:rsidRPr="005B570F" w:rsidRDefault="00C34E46" w:rsidP="005D7701">
            <w:pPr>
              <w:rPr>
                <w:rFonts w:ascii="Arial Narrow" w:hAnsi="Arial Narrow" w:cs="Arial"/>
                <w:sz w:val="20"/>
                <w:szCs w:val="20"/>
              </w:rPr>
            </w:pPr>
            <w:r w:rsidRPr="005B570F">
              <w:rPr>
                <w:rFonts w:ascii="Arial Narrow" w:hAnsi="Arial Narrow" w:cs="Arial"/>
                <w:sz w:val="20"/>
                <w:szCs w:val="20"/>
              </w:rPr>
              <w:t>Continuing Therapy Only:</w:t>
            </w:r>
          </w:p>
          <w:p w:rsidR="00C34E46" w:rsidRPr="005B570F" w:rsidRDefault="00C34E46" w:rsidP="005D7701">
            <w:pPr>
              <w:rPr>
                <w:rFonts w:ascii="Arial Narrow" w:hAnsi="Arial Narrow" w:cs="Arial"/>
                <w:sz w:val="20"/>
                <w:szCs w:val="20"/>
              </w:rPr>
            </w:pPr>
            <w:r w:rsidRPr="005B570F">
              <w:rPr>
                <w:rFonts w:ascii="Arial Narrow" w:hAnsi="Arial Narrow" w:cs="Arial"/>
                <w:sz w:val="20"/>
                <w:szCs w:val="20"/>
              </w:rPr>
              <w:t>For prescribing by nurse practitioners as continuing therapy only, where the treatment of, and prescribing the medicine for, a patient has been initiated by a medicine be found in the Explanatory Notes for Nurse Practitioners.</w:t>
            </w:r>
          </w:p>
          <w:p w:rsidR="00C34E46" w:rsidRPr="005B570F" w:rsidRDefault="00C34E46" w:rsidP="005D7701">
            <w:pPr>
              <w:rPr>
                <w:rFonts w:ascii="Arial Narrow" w:hAnsi="Arial Narrow" w:cs="Arial"/>
                <w:sz w:val="20"/>
                <w:szCs w:val="20"/>
              </w:rPr>
            </w:pPr>
          </w:p>
        </w:tc>
      </w:tr>
    </w:tbl>
    <w:p w:rsidR="00BE51D9" w:rsidRPr="005B570F" w:rsidRDefault="00BE51D9" w:rsidP="00455063">
      <w:pPr>
        <w:widowControl w:val="0"/>
        <w:jc w:val="both"/>
        <w:rPr>
          <w:rFonts w:asciiTheme="minorHAnsi" w:hAnsiTheme="minorHAnsi" w:cs="Arial"/>
          <w:b/>
          <w:bCs/>
          <w:snapToGrid w:val="0"/>
        </w:rPr>
      </w:pPr>
    </w:p>
    <w:p w:rsidR="00BE51D9" w:rsidRPr="005B570F" w:rsidRDefault="00BE51D9" w:rsidP="00455063">
      <w:pPr>
        <w:widowControl w:val="0"/>
        <w:jc w:val="both"/>
        <w:rPr>
          <w:rFonts w:asciiTheme="minorHAnsi" w:hAnsiTheme="minorHAnsi" w:cs="Arial"/>
          <w:b/>
          <w:bCs/>
          <w:snapToGrid w:val="0"/>
        </w:rPr>
      </w:pPr>
    </w:p>
    <w:p w:rsidR="006A7FD7" w:rsidRPr="000B14BB" w:rsidRDefault="006A7FD7" w:rsidP="006A7FD7">
      <w:pPr>
        <w:pStyle w:val="PBACHeading1"/>
        <w:numPr>
          <w:ilvl w:val="0"/>
          <w:numId w:val="14"/>
        </w:numPr>
        <w:rPr>
          <w:rFonts w:asciiTheme="minorHAnsi" w:hAnsiTheme="minorHAnsi"/>
          <w:sz w:val="32"/>
          <w:szCs w:val="32"/>
        </w:rPr>
      </w:pPr>
      <w:r w:rsidRPr="000B14BB">
        <w:rPr>
          <w:rFonts w:asciiTheme="minorHAnsi" w:hAnsiTheme="minorHAnsi"/>
          <w:sz w:val="32"/>
          <w:szCs w:val="32"/>
        </w:rPr>
        <w:t>Context for Decision</w:t>
      </w:r>
    </w:p>
    <w:p w:rsidR="006A7FD7" w:rsidRPr="000B14BB" w:rsidRDefault="006A7FD7" w:rsidP="006A7FD7">
      <w:pPr>
        <w:spacing w:before="120" w:after="120"/>
        <w:rPr>
          <w:rFonts w:asciiTheme="minorHAnsi" w:hAnsiTheme="minorHAnsi" w:cs="Arial"/>
          <w:snapToGrid w:val="0"/>
          <w:lang w:eastAsia="en-US"/>
        </w:rPr>
      </w:pPr>
      <w:r w:rsidRPr="000B14BB">
        <w:rPr>
          <w:rFonts w:asciiTheme="minorHAnsi" w:hAnsiTheme="minorHAnsi" w:cs="Arial"/>
          <w:snapToGrid w:val="0"/>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A7FD7" w:rsidRPr="000B14BB" w:rsidRDefault="006A7FD7" w:rsidP="006A7FD7">
      <w:pPr>
        <w:pStyle w:val="PBACHeading1"/>
        <w:numPr>
          <w:ilvl w:val="0"/>
          <w:numId w:val="14"/>
        </w:numPr>
        <w:rPr>
          <w:rFonts w:asciiTheme="minorHAnsi" w:hAnsiTheme="minorHAnsi"/>
          <w:sz w:val="32"/>
          <w:szCs w:val="32"/>
        </w:rPr>
      </w:pPr>
      <w:r w:rsidRPr="000B14BB">
        <w:rPr>
          <w:rFonts w:asciiTheme="minorHAnsi" w:hAnsiTheme="minorHAnsi"/>
          <w:sz w:val="32"/>
          <w:szCs w:val="32"/>
        </w:rPr>
        <w:t>Sponsor’s Comment</w:t>
      </w:r>
    </w:p>
    <w:p w:rsidR="006A7FD7" w:rsidRPr="000B14BB" w:rsidRDefault="006A7FD7" w:rsidP="006A7FD7">
      <w:pPr>
        <w:spacing w:before="120" w:after="160"/>
        <w:jc w:val="both"/>
        <w:rPr>
          <w:rFonts w:ascii="Calibri" w:eastAsia="Calibri" w:hAnsi="Calibri" w:cs="Arial"/>
          <w:snapToGrid w:val="0"/>
          <w:szCs w:val="20"/>
          <w:lang w:eastAsia="en-US"/>
        </w:rPr>
      </w:pPr>
      <w:r w:rsidRPr="000B14BB">
        <w:rPr>
          <w:rFonts w:ascii="Calibri" w:eastAsia="Calibri" w:hAnsi="Calibri" w:cs="Arial"/>
          <w:snapToGrid w:val="0"/>
          <w:szCs w:val="20"/>
          <w:lang w:eastAsia="en-US"/>
        </w:rPr>
        <w:t>The sponsor had no comment.</w:t>
      </w:r>
    </w:p>
    <w:p w:rsidR="00BE51D9" w:rsidRPr="005B570F" w:rsidRDefault="00BE51D9" w:rsidP="00455063">
      <w:pPr>
        <w:widowControl w:val="0"/>
        <w:jc w:val="both"/>
        <w:rPr>
          <w:rFonts w:asciiTheme="minorHAnsi" w:hAnsiTheme="minorHAnsi" w:cs="Arial"/>
          <w:b/>
          <w:bCs/>
          <w:snapToGrid w:val="0"/>
        </w:rPr>
      </w:pPr>
    </w:p>
    <w:sectPr w:rsidR="00BE51D9" w:rsidRPr="005B570F" w:rsidSect="006A7FD7">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CA5" w:rsidRDefault="00BC3CA5">
      <w:r>
        <w:separator/>
      </w:r>
    </w:p>
    <w:p w:rsidR="00BC3CA5" w:rsidRDefault="00BC3CA5"/>
  </w:endnote>
  <w:endnote w:type="continuationSeparator" w:id="0">
    <w:p w:rsidR="00BC3CA5" w:rsidRDefault="00BC3CA5">
      <w:r>
        <w:continuationSeparator/>
      </w:r>
    </w:p>
    <w:p w:rsidR="00BC3CA5" w:rsidRDefault="00BC3C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E6F59" w:rsidTr="005A3173">
      <w:trPr>
        <w:trHeight w:val="151"/>
      </w:trPr>
      <w:tc>
        <w:tcPr>
          <w:tcW w:w="2250" w:type="pct"/>
          <w:tcBorders>
            <w:top w:val="nil"/>
            <w:left w:val="nil"/>
            <w:bottom w:val="single" w:sz="4" w:space="0" w:color="4F81BD"/>
            <w:right w:val="nil"/>
          </w:tcBorders>
        </w:tcPr>
        <w:p w:rsidR="00FE6F59" w:rsidRPr="005A3173" w:rsidRDefault="00FE6F5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E6F59" w:rsidRPr="005A3173" w:rsidRDefault="00FE6F5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E6F59" w:rsidRPr="005A3173" w:rsidRDefault="00FE6F59" w:rsidP="005A3173">
          <w:pPr>
            <w:pStyle w:val="Header"/>
            <w:spacing w:line="276" w:lineRule="auto"/>
            <w:rPr>
              <w:rFonts w:ascii="Calibri" w:eastAsia="MS Gothic" w:hAnsi="Calibri"/>
              <w:b/>
              <w:bCs/>
              <w:color w:val="4F81BD"/>
            </w:rPr>
          </w:pPr>
        </w:p>
      </w:tc>
    </w:tr>
    <w:tr w:rsidR="00FE6F59" w:rsidTr="005A3173">
      <w:trPr>
        <w:trHeight w:val="150"/>
      </w:trPr>
      <w:tc>
        <w:tcPr>
          <w:tcW w:w="2250" w:type="pct"/>
          <w:tcBorders>
            <w:top w:val="single" w:sz="4" w:space="0" w:color="4F81BD"/>
            <w:left w:val="nil"/>
            <w:bottom w:val="nil"/>
            <w:right w:val="nil"/>
          </w:tcBorders>
        </w:tcPr>
        <w:p w:rsidR="00FE6F59" w:rsidRPr="005A3173" w:rsidRDefault="00FE6F59" w:rsidP="005A3173">
          <w:pPr>
            <w:pStyle w:val="Header"/>
            <w:spacing w:line="276" w:lineRule="auto"/>
            <w:rPr>
              <w:rFonts w:ascii="Calibri" w:eastAsia="MS Gothic" w:hAnsi="Calibri"/>
              <w:b/>
              <w:bCs/>
              <w:color w:val="4F81BD"/>
            </w:rPr>
          </w:pPr>
        </w:p>
      </w:tc>
      <w:tc>
        <w:tcPr>
          <w:tcW w:w="0" w:type="auto"/>
          <w:vMerge/>
          <w:vAlign w:val="center"/>
          <w:hideMark/>
        </w:tcPr>
        <w:p w:rsidR="00FE6F59" w:rsidRPr="005A3173" w:rsidRDefault="00FE6F59" w:rsidP="005A3173">
          <w:pPr>
            <w:rPr>
              <w:rFonts w:ascii="Calibri" w:hAnsi="Calibri"/>
              <w:color w:val="365F91"/>
              <w:sz w:val="22"/>
              <w:szCs w:val="22"/>
            </w:rPr>
          </w:pPr>
        </w:p>
      </w:tc>
      <w:tc>
        <w:tcPr>
          <w:tcW w:w="2250" w:type="pct"/>
          <w:tcBorders>
            <w:top w:val="single" w:sz="4" w:space="0" w:color="4F81BD"/>
            <w:left w:val="nil"/>
            <w:bottom w:val="nil"/>
            <w:right w:val="nil"/>
          </w:tcBorders>
        </w:tcPr>
        <w:p w:rsidR="00FE6F59" w:rsidRPr="005A3173" w:rsidRDefault="00FE6F59" w:rsidP="005A3173">
          <w:pPr>
            <w:pStyle w:val="Header"/>
            <w:spacing w:line="276" w:lineRule="auto"/>
            <w:rPr>
              <w:rFonts w:ascii="Calibri" w:eastAsia="MS Gothic" w:hAnsi="Calibri"/>
              <w:b/>
              <w:bCs/>
              <w:color w:val="4F81BD"/>
            </w:rPr>
          </w:pPr>
        </w:p>
      </w:tc>
    </w:tr>
  </w:tbl>
  <w:p w:rsidR="00FE6F59" w:rsidRDefault="00FE6F59"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E6F59" w:rsidRDefault="00FE6F59">
    <w:pPr>
      <w:pStyle w:val="Footer"/>
    </w:pPr>
  </w:p>
  <w:p w:rsidR="00FE6F59" w:rsidRDefault="00FE6F5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6843121"/>
      <w:docPartObj>
        <w:docPartGallery w:val="Page Numbers (Bottom of Page)"/>
        <w:docPartUnique/>
      </w:docPartObj>
    </w:sdtPr>
    <w:sdtEndPr>
      <w:rPr>
        <w:rFonts w:asciiTheme="minorHAnsi" w:hAnsiTheme="minorHAnsi"/>
        <w:noProof/>
      </w:rPr>
    </w:sdtEndPr>
    <w:sdtContent>
      <w:p w:rsidR="005173EB" w:rsidRDefault="005173EB" w:rsidP="005173EB">
        <w:pPr>
          <w:pStyle w:val="Footer"/>
          <w:jc w:val="center"/>
        </w:pPr>
      </w:p>
      <w:p w:rsidR="00FE6F59" w:rsidRPr="005173EB" w:rsidRDefault="005173EB" w:rsidP="005173EB">
        <w:pPr>
          <w:pStyle w:val="Footer"/>
          <w:jc w:val="center"/>
          <w:rPr>
            <w:rFonts w:asciiTheme="minorHAnsi" w:hAnsiTheme="minorHAnsi"/>
          </w:rPr>
        </w:pPr>
        <w:r w:rsidRPr="0041236F">
          <w:rPr>
            <w:rFonts w:asciiTheme="minorHAnsi" w:hAnsiTheme="minorHAnsi"/>
            <w:b/>
            <w:sz w:val="20"/>
            <w:szCs w:val="20"/>
          </w:rPr>
          <w:fldChar w:fldCharType="begin"/>
        </w:r>
        <w:r w:rsidRPr="0041236F">
          <w:rPr>
            <w:rFonts w:asciiTheme="minorHAnsi" w:hAnsiTheme="minorHAnsi"/>
            <w:b/>
            <w:sz w:val="20"/>
            <w:szCs w:val="20"/>
          </w:rPr>
          <w:instrText xml:space="preserve"> PAGE   \* MERGEFORMAT </w:instrText>
        </w:r>
        <w:r w:rsidRPr="0041236F">
          <w:rPr>
            <w:rFonts w:asciiTheme="minorHAnsi" w:hAnsiTheme="minorHAnsi"/>
            <w:b/>
            <w:sz w:val="20"/>
            <w:szCs w:val="20"/>
          </w:rPr>
          <w:fldChar w:fldCharType="separate"/>
        </w:r>
        <w:r w:rsidR="00BC3CA5">
          <w:rPr>
            <w:rFonts w:asciiTheme="minorHAnsi" w:hAnsiTheme="minorHAnsi"/>
            <w:b/>
            <w:noProof/>
            <w:sz w:val="20"/>
            <w:szCs w:val="20"/>
          </w:rPr>
          <w:t>1</w:t>
        </w:r>
        <w:r w:rsidRPr="0041236F">
          <w:rPr>
            <w:rFonts w:asciiTheme="minorHAnsi" w:hAnsiTheme="minorHAnsi"/>
            <w:b/>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FE6F59" w:rsidTr="005A3173">
      <w:trPr>
        <w:trHeight w:val="151"/>
      </w:trPr>
      <w:tc>
        <w:tcPr>
          <w:tcW w:w="2250" w:type="pct"/>
          <w:tcBorders>
            <w:top w:val="nil"/>
            <w:left w:val="nil"/>
            <w:bottom w:val="single" w:sz="4" w:space="0" w:color="4F81BD"/>
            <w:right w:val="nil"/>
          </w:tcBorders>
        </w:tcPr>
        <w:p w:rsidR="00FE6F59" w:rsidRPr="005A3173" w:rsidRDefault="00FE6F5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E6F59" w:rsidRPr="005A3173" w:rsidRDefault="00FE6F5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E6F59" w:rsidRPr="005A3173" w:rsidRDefault="00FE6F59" w:rsidP="005A3173">
          <w:pPr>
            <w:pStyle w:val="Header"/>
            <w:spacing w:line="276" w:lineRule="auto"/>
            <w:rPr>
              <w:rFonts w:ascii="Calibri" w:eastAsia="MS Gothic" w:hAnsi="Calibri"/>
              <w:b/>
              <w:bCs/>
              <w:color w:val="4F81BD"/>
            </w:rPr>
          </w:pPr>
        </w:p>
      </w:tc>
    </w:tr>
    <w:tr w:rsidR="00FE6F59" w:rsidTr="005A3173">
      <w:trPr>
        <w:trHeight w:val="150"/>
      </w:trPr>
      <w:tc>
        <w:tcPr>
          <w:tcW w:w="2250" w:type="pct"/>
          <w:tcBorders>
            <w:top w:val="single" w:sz="4" w:space="0" w:color="4F81BD"/>
            <w:left w:val="nil"/>
            <w:bottom w:val="nil"/>
            <w:right w:val="nil"/>
          </w:tcBorders>
        </w:tcPr>
        <w:p w:rsidR="00FE6F59" w:rsidRPr="005A3173" w:rsidRDefault="00FE6F59" w:rsidP="005A3173">
          <w:pPr>
            <w:pStyle w:val="Header"/>
            <w:spacing w:line="276" w:lineRule="auto"/>
            <w:rPr>
              <w:rFonts w:ascii="Calibri" w:eastAsia="MS Gothic" w:hAnsi="Calibri"/>
              <w:b/>
              <w:bCs/>
              <w:color w:val="4F81BD"/>
            </w:rPr>
          </w:pPr>
        </w:p>
      </w:tc>
      <w:tc>
        <w:tcPr>
          <w:tcW w:w="0" w:type="auto"/>
          <w:vMerge/>
          <w:vAlign w:val="center"/>
          <w:hideMark/>
        </w:tcPr>
        <w:p w:rsidR="00FE6F59" w:rsidRPr="005A3173" w:rsidRDefault="00FE6F59" w:rsidP="005A3173">
          <w:pPr>
            <w:rPr>
              <w:rFonts w:ascii="Calibri" w:hAnsi="Calibri"/>
              <w:color w:val="365F91"/>
              <w:sz w:val="22"/>
              <w:szCs w:val="22"/>
            </w:rPr>
          </w:pPr>
        </w:p>
      </w:tc>
      <w:tc>
        <w:tcPr>
          <w:tcW w:w="2250" w:type="pct"/>
          <w:tcBorders>
            <w:top w:val="single" w:sz="4" w:space="0" w:color="4F81BD"/>
            <w:left w:val="nil"/>
            <w:bottom w:val="nil"/>
            <w:right w:val="nil"/>
          </w:tcBorders>
        </w:tcPr>
        <w:p w:rsidR="00FE6F59" w:rsidRPr="005A3173" w:rsidRDefault="00FE6F59"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E6F59" w:rsidTr="005A3173">
      <w:trPr>
        <w:trHeight w:val="151"/>
      </w:trPr>
      <w:tc>
        <w:tcPr>
          <w:tcW w:w="2250" w:type="pct"/>
          <w:tcBorders>
            <w:top w:val="nil"/>
            <w:left w:val="nil"/>
            <w:bottom w:val="single" w:sz="4" w:space="0" w:color="4F81BD"/>
            <w:right w:val="nil"/>
          </w:tcBorders>
        </w:tcPr>
        <w:p w:rsidR="00FE6F59" w:rsidRPr="005A3173" w:rsidRDefault="00FE6F5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E6F59" w:rsidRPr="005A3173" w:rsidRDefault="00FE6F5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E6F59" w:rsidRPr="005A3173" w:rsidRDefault="00FE6F59" w:rsidP="005A3173">
          <w:pPr>
            <w:pStyle w:val="Header"/>
            <w:spacing w:line="276" w:lineRule="auto"/>
            <w:rPr>
              <w:rFonts w:ascii="Calibri" w:eastAsia="MS Gothic" w:hAnsi="Calibri"/>
              <w:b/>
              <w:bCs/>
              <w:color w:val="4F81BD"/>
            </w:rPr>
          </w:pPr>
        </w:p>
      </w:tc>
    </w:tr>
    <w:tr w:rsidR="00FE6F59" w:rsidTr="005A3173">
      <w:trPr>
        <w:trHeight w:val="150"/>
      </w:trPr>
      <w:tc>
        <w:tcPr>
          <w:tcW w:w="2250" w:type="pct"/>
          <w:tcBorders>
            <w:top w:val="single" w:sz="4" w:space="0" w:color="4F81BD"/>
            <w:left w:val="nil"/>
            <w:bottom w:val="nil"/>
            <w:right w:val="nil"/>
          </w:tcBorders>
        </w:tcPr>
        <w:p w:rsidR="00FE6F59" w:rsidRPr="005A3173" w:rsidRDefault="00FE6F59" w:rsidP="005A3173">
          <w:pPr>
            <w:pStyle w:val="Header"/>
            <w:spacing w:line="276" w:lineRule="auto"/>
            <w:rPr>
              <w:rFonts w:ascii="Calibri" w:eastAsia="MS Gothic" w:hAnsi="Calibri"/>
              <w:b/>
              <w:bCs/>
              <w:color w:val="4F81BD"/>
            </w:rPr>
          </w:pPr>
        </w:p>
      </w:tc>
      <w:tc>
        <w:tcPr>
          <w:tcW w:w="0" w:type="auto"/>
          <w:vMerge/>
          <w:vAlign w:val="center"/>
          <w:hideMark/>
        </w:tcPr>
        <w:p w:rsidR="00FE6F59" w:rsidRPr="005A3173" w:rsidRDefault="00FE6F59" w:rsidP="005A3173">
          <w:pPr>
            <w:rPr>
              <w:rFonts w:ascii="Calibri" w:hAnsi="Calibri"/>
              <w:color w:val="365F91"/>
              <w:sz w:val="22"/>
              <w:szCs w:val="22"/>
            </w:rPr>
          </w:pPr>
        </w:p>
      </w:tc>
      <w:tc>
        <w:tcPr>
          <w:tcW w:w="2250" w:type="pct"/>
          <w:tcBorders>
            <w:top w:val="single" w:sz="4" w:space="0" w:color="4F81BD"/>
            <w:left w:val="nil"/>
            <w:bottom w:val="nil"/>
            <w:right w:val="nil"/>
          </w:tcBorders>
        </w:tcPr>
        <w:p w:rsidR="00FE6F59" w:rsidRPr="005A3173" w:rsidRDefault="00FE6F59" w:rsidP="005A3173">
          <w:pPr>
            <w:pStyle w:val="Header"/>
            <w:spacing w:line="276" w:lineRule="auto"/>
            <w:rPr>
              <w:rFonts w:ascii="Calibri" w:eastAsia="MS Gothic" w:hAnsi="Calibri"/>
              <w:b/>
              <w:bCs/>
              <w:color w:val="4F81BD"/>
            </w:rPr>
          </w:pPr>
        </w:p>
      </w:tc>
    </w:tr>
  </w:tbl>
  <w:p w:rsidR="00FE6F59" w:rsidRPr="007C0F57" w:rsidRDefault="00FE6F59"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FE6F59" w:rsidRPr="007C0F57" w:rsidRDefault="00FE6F59" w:rsidP="007C0F57">
    <w:pPr>
      <w:pStyle w:val="Footer"/>
      <w:jc w:val="center"/>
      <w:rPr>
        <w:b/>
        <w:i/>
        <w:sz w:val="20"/>
        <w:szCs w:val="20"/>
      </w:rPr>
    </w:pPr>
    <w:r w:rsidRPr="007C0F57">
      <w:rPr>
        <w:b/>
        <w:i/>
        <w:sz w:val="20"/>
        <w:szCs w:val="20"/>
      </w:rPr>
      <w:t>Commercial-in-Confidence</w:t>
    </w:r>
  </w:p>
  <w:p w:rsidR="00FE6F59" w:rsidRDefault="00FE6F5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CA5" w:rsidRDefault="00BC3CA5">
      <w:r>
        <w:separator/>
      </w:r>
    </w:p>
    <w:p w:rsidR="00BC3CA5" w:rsidRDefault="00BC3CA5"/>
  </w:footnote>
  <w:footnote w:type="continuationSeparator" w:id="0">
    <w:p w:rsidR="00BC3CA5" w:rsidRDefault="00BC3CA5">
      <w:r>
        <w:continuationSeparator/>
      </w:r>
    </w:p>
    <w:p w:rsidR="00BC3CA5" w:rsidRDefault="00BC3C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FE6F59" w:rsidRPr="008E0D90" w:rsidTr="00A06225">
      <w:trPr>
        <w:trHeight w:val="151"/>
      </w:trPr>
      <w:tc>
        <w:tcPr>
          <w:tcW w:w="2389" w:type="pct"/>
          <w:tcBorders>
            <w:top w:val="nil"/>
            <w:left w:val="nil"/>
            <w:bottom w:val="single" w:sz="4" w:space="0" w:color="4F81BD"/>
            <w:right w:val="nil"/>
          </w:tcBorders>
        </w:tcPr>
        <w:p w:rsidR="00FE6F59" w:rsidRPr="00A06225" w:rsidRDefault="00FE6F59">
          <w:pPr>
            <w:pStyle w:val="Header"/>
            <w:spacing w:line="276" w:lineRule="auto"/>
            <w:rPr>
              <w:rFonts w:ascii="Cambria" w:eastAsia="MS Gothic" w:hAnsi="Cambria"/>
              <w:b/>
              <w:bCs/>
              <w:color w:val="4F81BD"/>
            </w:rPr>
          </w:pPr>
        </w:p>
      </w:tc>
      <w:tc>
        <w:tcPr>
          <w:tcW w:w="333" w:type="pct"/>
          <w:vMerge w:val="restart"/>
          <w:noWrap/>
          <w:vAlign w:val="center"/>
          <w:hideMark/>
        </w:tcPr>
        <w:p w:rsidR="00FE6F59" w:rsidRPr="00A06225" w:rsidRDefault="00FE6F59"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FE6F59" w:rsidRPr="00A06225" w:rsidRDefault="00FE6F59">
          <w:pPr>
            <w:pStyle w:val="Header"/>
            <w:spacing w:line="276" w:lineRule="auto"/>
            <w:rPr>
              <w:rFonts w:ascii="Cambria" w:eastAsia="MS Gothic" w:hAnsi="Cambria"/>
              <w:b/>
              <w:bCs/>
              <w:color w:val="4F81BD"/>
            </w:rPr>
          </w:pPr>
        </w:p>
      </w:tc>
    </w:tr>
    <w:tr w:rsidR="00FE6F59" w:rsidRPr="008E0D90" w:rsidTr="00A06225">
      <w:trPr>
        <w:trHeight w:val="150"/>
      </w:trPr>
      <w:tc>
        <w:tcPr>
          <w:tcW w:w="2389" w:type="pct"/>
          <w:tcBorders>
            <w:top w:val="single" w:sz="4" w:space="0" w:color="4F81BD"/>
            <w:left w:val="nil"/>
            <w:bottom w:val="nil"/>
            <w:right w:val="nil"/>
          </w:tcBorders>
        </w:tcPr>
        <w:p w:rsidR="00FE6F59" w:rsidRPr="00A06225" w:rsidRDefault="00FE6F59">
          <w:pPr>
            <w:pStyle w:val="Header"/>
            <w:spacing w:line="276" w:lineRule="auto"/>
            <w:rPr>
              <w:rFonts w:ascii="Cambria" w:eastAsia="MS Gothic" w:hAnsi="Cambria"/>
              <w:b/>
              <w:bCs/>
              <w:color w:val="4F81BD"/>
            </w:rPr>
          </w:pPr>
        </w:p>
      </w:tc>
      <w:tc>
        <w:tcPr>
          <w:tcW w:w="0" w:type="auto"/>
          <w:vMerge/>
          <w:vAlign w:val="center"/>
          <w:hideMark/>
        </w:tcPr>
        <w:p w:rsidR="00FE6F59" w:rsidRPr="00A06225" w:rsidRDefault="00FE6F59">
          <w:pPr>
            <w:rPr>
              <w:rFonts w:ascii="Cambria" w:hAnsi="Cambria"/>
              <w:color w:val="4F81BD"/>
              <w:sz w:val="22"/>
              <w:szCs w:val="22"/>
            </w:rPr>
          </w:pPr>
        </w:p>
      </w:tc>
      <w:tc>
        <w:tcPr>
          <w:tcW w:w="2278" w:type="pct"/>
          <w:tcBorders>
            <w:top w:val="single" w:sz="4" w:space="0" w:color="4F81BD"/>
            <w:left w:val="nil"/>
            <w:bottom w:val="nil"/>
            <w:right w:val="nil"/>
          </w:tcBorders>
        </w:tcPr>
        <w:p w:rsidR="00FE6F59" w:rsidRPr="00A06225" w:rsidRDefault="00FE6F59">
          <w:pPr>
            <w:pStyle w:val="Header"/>
            <w:spacing w:line="276" w:lineRule="auto"/>
            <w:rPr>
              <w:rFonts w:ascii="Cambria" w:eastAsia="MS Gothic" w:hAnsi="Cambria"/>
              <w:b/>
              <w:bCs/>
              <w:color w:val="4F81BD"/>
            </w:rPr>
          </w:pPr>
        </w:p>
      </w:tc>
    </w:tr>
  </w:tbl>
  <w:p w:rsidR="00FE6F59" w:rsidRDefault="00FE6F59">
    <w:pPr>
      <w:pStyle w:val="Header"/>
    </w:pPr>
  </w:p>
  <w:p w:rsidR="00FE6F59" w:rsidRDefault="00FE6F5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DCE" w:rsidRPr="0041236F" w:rsidRDefault="000B14BB" w:rsidP="0041236F">
    <w:pPr>
      <w:pStyle w:val="Header"/>
      <w:jc w:val="center"/>
      <w:rPr>
        <w:rFonts w:asciiTheme="minorHAnsi" w:hAnsiTheme="minorHAnsi" w:cs="Arial"/>
        <w:i/>
        <w:sz w:val="22"/>
        <w:szCs w:val="22"/>
      </w:rPr>
    </w:pPr>
    <w:r>
      <w:rPr>
        <w:rFonts w:asciiTheme="minorHAnsi" w:hAnsiTheme="minorHAnsi" w:cs="Arial"/>
        <w:i/>
        <w:sz w:val="22"/>
        <w:szCs w:val="22"/>
      </w:rPr>
      <w:t>Public Summary Document</w:t>
    </w:r>
    <w:r w:rsidR="0041236F" w:rsidRPr="0041236F">
      <w:rPr>
        <w:rFonts w:asciiTheme="minorHAnsi" w:hAnsiTheme="minorHAnsi" w:cs="Arial"/>
        <w:i/>
        <w:sz w:val="22"/>
        <w:szCs w:val="22"/>
      </w:rPr>
      <w:t xml:space="preserve"> – </w:t>
    </w:r>
    <w:r w:rsidR="00A433E2">
      <w:rPr>
        <w:rFonts w:asciiTheme="minorHAnsi" w:hAnsiTheme="minorHAnsi" w:cs="Arial"/>
        <w:i/>
        <w:sz w:val="22"/>
        <w:szCs w:val="22"/>
      </w:rPr>
      <w:t>July</w:t>
    </w:r>
    <w:r w:rsidR="0041236F" w:rsidRPr="0041236F">
      <w:rPr>
        <w:rFonts w:asciiTheme="minorHAnsi" w:hAnsiTheme="minorHAnsi" w:cs="Arial"/>
        <w:i/>
        <w:sz w:val="22"/>
        <w:szCs w:val="22"/>
      </w:rPr>
      <w:t xml:space="preserve"> 2017 PBAC</w:t>
    </w:r>
  </w:p>
  <w:p w:rsidR="00FE6F59" w:rsidRDefault="00FE6F59"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CA5" w:rsidRDefault="00BC3C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01E79DC"/>
    <w:multiLevelType w:val="multilevel"/>
    <w:tmpl w:val="72FC9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84E6825"/>
    <w:multiLevelType w:val="multilevel"/>
    <w:tmpl w:val="9A7056F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bCs/>
        <w:color w:val="auto"/>
        <w:sz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77C4F9F"/>
    <w:multiLevelType w:val="hybridMultilevel"/>
    <w:tmpl w:val="84761A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4B302C84"/>
    <w:multiLevelType w:val="hybridMultilevel"/>
    <w:tmpl w:val="189C8A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0F677D9"/>
    <w:multiLevelType w:val="hybridMultilevel"/>
    <w:tmpl w:val="18AAB6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F236719"/>
    <w:multiLevelType w:val="hybridMultilevel"/>
    <w:tmpl w:val="DF2E8A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84D033C"/>
    <w:multiLevelType w:val="multilevel"/>
    <w:tmpl w:val="27AAEEF0"/>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7C995F77"/>
    <w:multiLevelType w:val="hybridMultilevel"/>
    <w:tmpl w:val="39387B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D836DE8"/>
    <w:multiLevelType w:val="hybridMultilevel"/>
    <w:tmpl w:val="7C18492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3"/>
  </w:num>
  <w:num w:numId="3">
    <w:abstractNumId w:val="6"/>
  </w:num>
  <w:num w:numId="4">
    <w:abstractNumId w:val="17"/>
  </w:num>
  <w:num w:numId="5">
    <w:abstractNumId w:val="22"/>
  </w:num>
  <w:num w:numId="6">
    <w:abstractNumId w:val="8"/>
  </w:num>
  <w:num w:numId="7">
    <w:abstractNumId w:val="16"/>
  </w:num>
  <w:num w:numId="8">
    <w:abstractNumId w:val="4"/>
  </w:num>
  <w:num w:numId="9">
    <w:abstractNumId w:val="14"/>
  </w:num>
  <w:num w:numId="10">
    <w:abstractNumId w:val="13"/>
  </w:num>
  <w:num w:numId="11">
    <w:abstractNumId w:val="12"/>
  </w:num>
  <w:num w:numId="12">
    <w:abstractNumId w:val="1"/>
  </w:num>
  <w:num w:numId="13">
    <w:abstractNumId w:val="0"/>
  </w:num>
  <w:num w:numId="14">
    <w:abstractNumId w:val="22"/>
  </w:num>
  <w:num w:numId="15">
    <w:abstractNumId w:val="7"/>
  </w:num>
  <w:num w:numId="16">
    <w:abstractNumId w:val="21"/>
  </w:num>
  <w:num w:numId="17">
    <w:abstractNumId w:val="20"/>
  </w:num>
  <w:num w:numId="18">
    <w:abstractNumId w:val="23"/>
  </w:num>
  <w:num w:numId="19">
    <w:abstractNumId w:val="24"/>
  </w:num>
  <w:num w:numId="20">
    <w:abstractNumId w:val="15"/>
  </w:num>
  <w:num w:numId="21">
    <w:abstractNumId w:val="18"/>
  </w:num>
  <w:num w:numId="22">
    <w:abstractNumId w:val="19"/>
  </w:num>
  <w:num w:numId="23">
    <w:abstractNumId w:val="5"/>
  </w:num>
  <w:num w:numId="24">
    <w:abstractNumId w:val="2"/>
  </w:num>
  <w:num w:numId="25">
    <w:abstractNumId w:val="10"/>
  </w:num>
  <w:num w:numId="2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2539E"/>
    <w:rsid w:val="0003106B"/>
    <w:rsid w:val="00034958"/>
    <w:rsid w:val="000421A1"/>
    <w:rsid w:val="0004240E"/>
    <w:rsid w:val="00045E26"/>
    <w:rsid w:val="000514B5"/>
    <w:rsid w:val="00060E64"/>
    <w:rsid w:val="000637A9"/>
    <w:rsid w:val="00065C1D"/>
    <w:rsid w:val="00066755"/>
    <w:rsid w:val="000674EC"/>
    <w:rsid w:val="00077143"/>
    <w:rsid w:val="00091A39"/>
    <w:rsid w:val="000969AD"/>
    <w:rsid w:val="000A3FED"/>
    <w:rsid w:val="000B14BB"/>
    <w:rsid w:val="000B558D"/>
    <w:rsid w:val="000C6996"/>
    <w:rsid w:val="000D23BA"/>
    <w:rsid w:val="000E681E"/>
    <w:rsid w:val="000F4E6A"/>
    <w:rsid w:val="001103E6"/>
    <w:rsid w:val="001107BF"/>
    <w:rsid w:val="00117673"/>
    <w:rsid w:val="00120C68"/>
    <w:rsid w:val="0012417C"/>
    <w:rsid w:val="00142395"/>
    <w:rsid w:val="00142714"/>
    <w:rsid w:val="001452ED"/>
    <w:rsid w:val="00174089"/>
    <w:rsid w:val="001830CE"/>
    <w:rsid w:val="0018643B"/>
    <w:rsid w:val="00194D0A"/>
    <w:rsid w:val="00195C57"/>
    <w:rsid w:val="00196307"/>
    <w:rsid w:val="001A33EA"/>
    <w:rsid w:val="001B017F"/>
    <w:rsid w:val="001B054D"/>
    <w:rsid w:val="001B0EEA"/>
    <w:rsid w:val="001B5129"/>
    <w:rsid w:val="001C1195"/>
    <w:rsid w:val="001F1F05"/>
    <w:rsid w:val="002104D7"/>
    <w:rsid w:val="00213CFB"/>
    <w:rsid w:val="002330DE"/>
    <w:rsid w:val="00271BA1"/>
    <w:rsid w:val="002762FA"/>
    <w:rsid w:val="00277505"/>
    <w:rsid w:val="002938D0"/>
    <w:rsid w:val="0029458F"/>
    <w:rsid w:val="002A104C"/>
    <w:rsid w:val="002A4960"/>
    <w:rsid w:val="002B1AE6"/>
    <w:rsid w:val="002B30F8"/>
    <w:rsid w:val="002B63F1"/>
    <w:rsid w:val="002C0FAC"/>
    <w:rsid w:val="002C212F"/>
    <w:rsid w:val="002E3153"/>
    <w:rsid w:val="002E72CA"/>
    <w:rsid w:val="00300AD6"/>
    <w:rsid w:val="00311683"/>
    <w:rsid w:val="003159EB"/>
    <w:rsid w:val="00326E79"/>
    <w:rsid w:val="00335E82"/>
    <w:rsid w:val="003367EF"/>
    <w:rsid w:val="00341AE4"/>
    <w:rsid w:val="00353E08"/>
    <w:rsid w:val="0036303B"/>
    <w:rsid w:val="00376CE5"/>
    <w:rsid w:val="00386E03"/>
    <w:rsid w:val="003872CF"/>
    <w:rsid w:val="0039782C"/>
    <w:rsid w:val="003A5B4A"/>
    <w:rsid w:val="003B23C5"/>
    <w:rsid w:val="003B2A75"/>
    <w:rsid w:val="003B3611"/>
    <w:rsid w:val="003B4EAA"/>
    <w:rsid w:val="003C1F6B"/>
    <w:rsid w:val="003D2AD5"/>
    <w:rsid w:val="003D4AC4"/>
    <w:rsid w:val="003D63B7"/>
    <w:rsid w:val="003E468B"/>
    <w:rsid w:val="003F5C8C"/>
    <w:rsid w:val="0041236F"/>
    <w:rsid w:val="004246B9"/>
    <w:rsid w:val="00424D39"/>
    <w:rsid w:val="00424F6B"/>
    <w:rsid w:val="004253C7"/>
    <w:rsid w:val="004465BD"/>
    <w:rsid w:val="004507D1"/>
    <w:rsid w:val="0045370D"/>
    <w:rsid w:val="00455063"/>
    <w:rsid w:val="00457B88"/>
    <w:rsid w:val="004614AB"/>
    <w:rsid w:val="00466ADA"/>
    <w:rsid w:val="00466B21"/>
    <w:rsid w:val="00476245"/>
    <w:rsid w:val="004857AF"/>
    <w:rsid w:val="00485940"/>
    <w:rsid w:val="004902A7"/>
    <w:rsid w:val="00491066"/>
    <w:rsid w:val="00496C10"/>
    <w:rsid w:val="004A2484"/>
    <w:rsid w:val="004A28DA"/>
    <w:rsid w:val="004A5A85"/>
    <w:rsid w:val="004A764C"/>
    <w:rsid w:val="004B5640"/>
    <w:rsid w:val="004C0293"/>
    <w:rsid w:val="004C1AAD"/>
    <w:rsid w:val="004C1BD7"/>
    <w:rsid w:val="004C691D"/>
    <w:rsid w:val="004D1581"/>
    <w:rsid w:val="004D36C4"/>
    <w:rsid w:val="004E692D"/>
    <w:rsid w:val="00500563"/>
    <w:rsid w:val="00501554"/>
    <w:rsid w:val="00505C21"/>
    <w:rsid w:val="00513815"/>
    <w:rsid w:val="00514CD7"/>
    <w:rsid w:val="005173EB"/>
    <w:rsid w:val="00520925"/>
    <w:rsid w:val="005319B2"/>
    <w:rsid w:val="00532C74"/>
    <w:rsid w:val="00533055"/>
    <w:rsid w:val="005337F1"/>
    <w:rsid w:val="00534E2E"/>
    <w:rsid w:val="0054169F"/>
    <w:rsid w:val="00543BFD"/>
    <w:rsid w:val="00544552"/>
    <w:rsid w:val="005455B7"/>
    <w:rsid w:val="00550B21"/>
    <w:rsid w:val="005709CD"/>
    <w:rsid w:val="00570D4D"/>
    <w:rsid w:val="00580DF6"/>
    <w:rsid w:val="00581148"/>
    <w:rsid w:val="00581932"/>
    <w:rsid w:val="00582177"/>
    <w:rsid w:val="005935EB"/>
    <w:rsid w:val="005963BB"/>
    <w:rsid w:val="005A3173"/>
    <w:rsid w:val="005A3223"/>
    <w:rsid w:val="005A3DA3"/>
    <w:rsid w:val="005A4C59"/>
    <w:rsid w:val="005A52C4"/>
    <w:rsid w:val="005B4A48"/>
    <w:rsid w:val="005B570F"/>
    <w:rsid w:val="005B6D61"/>
    <w:rsid w:val="005C38FA"/>
    <w:rsid w:val="005D03AB"/>
    <w:rsid w:val="005D3923"/>
    <w:rsid w:val="005D5017"/>
    <w:rsid w:val="005F7B4B"/>
    <w:rsid w:val="00601A91"/>
    <w:rsid w:val="00602BA3"/>
    <w:rsid w:val="00614159"/>
    <w:rsid w:val="00617C00"/>
    <w:rsid w:val="006263BF"/>
    <w:rsid w:val="0062748A"/>
    <w:rsid w:val="00630A2C"/>
    <w:rsid w:val="00633DB0"/>
    <w:rsid w:val="00634BF7"/>
    <w:rsid w:val="00637460"/>
    <w:rsid w:val="006436CD"/>
    <w:rsid w:val="00644F14"/>
    <w:rsid w:val="006471F1"/>
    <w:rsid w:val="00651169"/>
    <w:rsid w:val="00653D69"/>
    <w:rsid w:val="00664452"/>
    <w:rsid w:val="00670A76"/>
    <w:rsid w:val="006711AA"/>
    <w:rsid w:val="00672B57"/>
    <w:rsid w:val="00675622"/>
    <w:rsid w:val="006906DB"/>
    <w:rsid w:val="00696FA8"/>
    <w:rsid w:val="006A12A5"/>
    <w:rsid w:val="006A2E6F"/>
    <w:rsid w:val="006A7FD7"/>
    <w:rsid w:val="006B0AD6"/>
    <w:rsid w:val="006B0D94"/>
    <w:rsid w:val="006B485D"/>
    <w:rsid w:val="006B4D36"/>
    <w:rsid w:val="006C21A1"/>
    <w:rsid w:val="006C3AD7"/>
    <w:rsid w:val="006C708E"/>
    <w:rsid w:val="006D6EC7"/>
    <w:rsid w:val="006F5125"/>
    <w:rsid w:val="00702CB7"/>
    <w:rsid w:val="007174BB"/>
    <w:rsid w:val="00731958"/>
    <w:rsid w:val="00734356"/>
    <w:rsid w:val="00741FC2"/>
    <w:rsid w:val="007537D2"/>
    <w:rsid w:val="0076420C"/>
    <w:rsid w:val="00765F6A"/>
    <w:rsid w:val="007753C2"/>
    <w:rsid w:val="007838B8"/>
    <w:rsid w:val="007C0F57"/>
    <w:rsid w:val="007C40B6"/>
    <w:rsid w:val="007C54D5"/>
    <w:rsid w:val="007C6294"/>
    <w:rsid w:val="007C729F"/>
    <w:rsid w:val="007D589F"/>
    <w:rsid w:val="007E1D28"/>
    <w:rsid w:val="007E56A9"/>
    <w:rsid w:val="007E684E"/>
    <w:rsid w:val="007F134D"/>
    <w:rsid w:val="007F2641"/>
    <w:rsid w:val="007F7C36"/>
    <w:rsid w:val="00806796"/>
    <w:rsid w:val="008151D6"/>
    <w:rsid w:val="00816E99"/>
    <w:rsid w:val="00822B3B"/>
    <w:rsid w:val="00824E4F"/>
    <w:rsid w:val="00826F6D"/>
    <w:rsid w:val="00837D61"/>
    <w:rsid w:val="00840417"/>
    <w:rsid w:val="008424A4"/>
    <w:rsid w:val="00843204"/>
    <w:rsid w:val="00852B7C"/>
    <w:rsid w:val="00853E26"/>
    <w:rsid w:val="00855C93"/>
    <w:rsid w:val="00856DDD"/>
    <w:rsid w:val="00857A83"/>
    <w:rsid w:val="00860E02"/>
    <w:rsid w:val="00863E68"/>
    <w:rsid w:val="0087183B"/>
    <w:rsid w:val="00882085"/>
    <w:rsid w:val="00883188"/>
    <w:rsid w:val="00897D58"/>
    <w:rsid w:val="008A1956"/>
    <w:rsid w:val="008A4937"/>
    <w:rsid w:val="008A50F1"/>
    <w:rsid w:val="008C269C"/>
    <w:rsid w:val="008D1563"/>
    <w:rsid w:val="008D1B5C"/>
    <w:rsid w:val="008D3C82"/>
    <w:rsid w:val="008D447E"/>
    <w:rsid w:val="008D7A41"/>
    <w:rsid w:val="008E3680"/>
    <w:rsid w:val="008E5870"/>
    <w:rsid w:val="008F1434"/>
    <w:rsid w:val="008F2922"/>
    <w:rsid w:val="008F7355"/>
    <w:rsid w:val="009067B7"/>
    <w:rsid w:val="00922A64"/>
    <w:rsid w:val="00930937"/>
    <w:rsid w:val="00930C39"/>
    <w:rsid w:val="00933E6C"/>
    <w:rsid w:val="00935089"/>
    <w:rsid w:val="00941B60"/>
    <w:rsid w:val="00942160"/>
    <w:rsid w:val="0095146F"/>
    <w:rsid w:val="009544F3"/>
    <w:rsid w:val="009602C5"/>
    <w:rsid w:val="00962223"/>
    <w:rsid w:val="00962DF5"/>
    <w:rsid w:val="00974C21"/>
    <w:rsid w:val="00981CEE"/>
    <w:rsid w:val="009945E9"/>
    <w:rsid w:val="009B0F67"/>
    <w:rsid w:val="009C32DF"/>
    <w:rsid w:val="009C703C"/>
    <w:rsid w:val="009D017A"/>
    <w:rsid w:val="009D3CAA"/>
    <w:rsid w:val="009E32CD"/>
    <w:rsid w:val="009F4E46"/>
    <w:rsid w:val="009F5B65"/>
    <w:rsid w:val="009F5F2E"/>
    <w:rsid w:val="00A06225"/>
    <w:rsid w:val="00A128E6"/>
    <w:rsid w:val="00A20349"/>
    <w:rsid w:val="00A26F6C"/>
    <w:rsid w:val="00A336D0"/>
    <w:rsid w:val="00A34BFC"/>
    <w:rsid w:val="00A35E92"/>
    <w:rsid w:val="00A37C8D"/>
    <w:rsid w:val="00A4017C"/>
    <w:rsid w:val="00A433E2"/>
    <w:rsid w:val="00A5273B"/>
    <w:rsid w:val="00A53A9D"/>
    <w:rsid w:val="00A55FEE"/>
    <w:rsid w:val="00A62C1A"/>
    <w:rsid w:val="00A6426D"/>
    <w:rsid w:val="00A65144"/>
    <w:rsid w:val="00A65AFA"/>
    <w:rsid w:val="00A70622"/>
    <w:rsid w:val="00A70977"/>
    <w:rsid w:val="00A75716"/>
    <w:rsid w:val="00A77613"/>
    <w:rsid w:val="00A77938"/>
    <w:rsid w:val="00A8390C"/>
    <w:rsid w:val="00A928BD"/>
    <w:rsid w:val="00AA4D1C"/>
    <w:rsid w:val="00AB683B"/>
    <w:rsid w:val="00AC193C"/>
    <w:rsid w:val="00AC39BD"/>
    <w:rsid w:val="00AC5206"/>
    <w:rsid w:val="00AC5CD1"/>
    <w:rsid w:val="00AE0FAF"/>
    <w:rsid w:val="00AE11A5"/>
    <w:rsid w:val="00AE13E2"/>
    <w:rsid w:val="00AE29AD"/>
    <w:rsid w:val="00AE6ADA"/>
    <w:rsid w:val="00AF0E90"/>
    <w:rsid w:val="00AF3BBE"/>
    <w:rsid w:val="00AF62EE"/>
    <w:rsid w:val="00AF68CC"/>
    <w:rsid w:val="00B1059E"/>
    <w:rsid w:val="00B10DCE"/>
    <w:rsid w:val="00B17AEA"/>
    <w:rsid w:val="00B205AA"/>
    <w:rsid w:val="00B224A6"/>
    <w:rsid w:val="00B22E84"/>
    <w:rsid w:val="00B25F75"/>
    <w:rsid w:val="00B2771A"/>
    <w:rsid w:val="00B279DD"/>
    <w:rsid w:val="00B30A57"/>
    <w:rsid w:val="00B30C08"/>
    <w:rsid w:val="00B43E90"/>
    <w:rsid w:val="00B446AE"/>
    <w:rsid w:val="00B467DC"/>
    <w:rsid w:val="00B56118"/>
    <w:rsid w:val="00B65353"/>
    <w:rsid w:val="00B6773F"/>
    <w:rsid w:val="00B70242"/>
    <w:rsid w:val="00B801BA"/>
    <w:rsid w:val="00B831F7"/>
    <w:rsid w:val="00B84861"/>
    <w:rsid w:val="00B862BF"/>
    <w:rsid w:val="00BA20CF"/>
    <w:rsid w:val="00BB0E77"/>
    <w:rsid w:val="00BB69F5"/>
    <w:rsid w:val="00BB7EC3"/>
    <w:rsid w:val="00BC3CA5"/>
    <w:rsid w:val="00BC4B9A"/>
    <w:rsid w:val="00BD4554"/>
    <w:rsid w:val="00BD784C"/>
    <w:rsid w:val="00BE51D9"/>
    <w:rsid w:val="00BF07A6"/>
    <w:rsid w:val="00BF293B"/>
    <w:rsid w:val="00BF4CB6"/>
    <w:rsid w:val="00BF4EC5"/>
    <w:rsid w:val="00C00DA7"/>
    <w:rsid w:val="00C040AB"/>
    <w:rsid w:val="00C04B26"/>
    <w:rsid w:val="00C120B4"/>
    <w:rsid w:val="00C12768"/>
    <w:rsid w:val="00C219E8"/>
    <w:rsid w:val="00C27B58"/>
    <w:rsid w:val="00C27E34"/>
    <w:rsid w:val="00C31857"/>
    <w:rsid w:val="00C34E46"/>
    <w:rsid w:val="00C35996"/>
    <w:rsid w:val="00C42F12"/>
    <w:rsid w:val="00C5342C"/>
    <w:rsid w:val="00C5772A"/>
    <w:rsid w:val="00C603D4"/>
    <w:rsid w:val="00C6256A"/>
    <w:rsid w:val="00C62A9E"/>
    <w:rsid w:val="00C66F4D"/>
    <w:rsid w:val="00C769F2"/>
    <w:rsid w:val="00C83540"/>
    <w:rsid w:val="00C91449"/>
    <w:rsid w:val="00C92D10"/>
    <w:rsid w:val="00C94760"/>
    <w:rsid w:val="00CE10C4"/>
    <w:rsid w:val="00CE27B5"/>
    <w:rsid w:val="00CF0EEA"/>
    <w:rsid w:val="00D02CD3"/>
    <w:rsid w:val="00D0321E"/>
    <w:rsid w:val="00D07EE9"/>
    <w:rsid w:val="00D1455A"/>
    <w:rsid w:val="00D213FC"/>
    <w:rsid w:val="00D3138B"/>
    <w:rsid w:val="00D3280C"/>
    <w:rsid w:val="00D3406A"/>
    <w:rsid w:val="00D3441D"/>
    <w:rsid w:val="00D350B9"/>
    <w:rsid w:val="00D469B2"/>
    <w:rsid w:val="00D741EB"/>
    <w:rsid w:val="00D82F2C"/>
    <w:rsid w:val="00D83605"/>
    <w:rsid w:val="00D84934"/>
    <w:rsid w:val="00D84FD6"/>
    <w:rsid w:val="00D91271"/>
    <w:rsid w:val="00D95959"/>
    <w:rsid w:val="00D960C0"/>
    <w:rsid w:val="00DA29E6"/>
    <w:rsid w:val="00DA2CB5"/>
    <w:rsid w:val="00DA4BAC"/>
    <w:rsid w:val="00DA6932"/>
    <w:rsid w:val="00DD02F9"/>
    <w:rsid w:val="00DD4AAC"/>
    <w:rsid w:val="00DE1C27"/>
    <w:rsid w:val="00DE6D27"/>
    <w:rsid w:val="00DF217D"/>
    <w:rsid w:val="00DF26A7"/>
    <w:rsid w:val="00DF7168"/>
    <w:rsid w:val="00E05A7C"/>
    <w:rsid w:val="00E05FAE"/>
    <w:rsid w:val="00E15627"/>
    <w:rsid w:val="00E164B3"/>
    <w:rsid w:val="00E16910"/>
    <w:rsid w:val="00E208F5"/>
    <w:rsid w:val="00E27085"/>
    <w:rsid w:val="00E30193"/>
    <w:rsid w:val="00E32AED"/>
    <w:rsid w:val="00E619A5"/>
    <w:rsid w:val="00E65E54"/>
    <w:rsid w:val="00E80155"/>
    <w:rsid w:val="00E848C0"/>
    <w:rsid w:val="00E91B96"/>
    <w:rsid w:val="00E92009"/>
    <w:rsid w:val="00E941A1"/>
    <w:rsid w:val="00E94419"/>
    <w:rsid w:val="00E95CE3"/>
    <w:rsid w:val="00EA2825"/>
    <w:rsid w:val="00EB5088"/>
    <w:rsid w:val="00EB50A8"/>
    <w:rsid w:val="00EC52D7"/>
    <w:rsid w:val="00ED1644"/>
    <w:rsid w:val="00ED2593"/>
    <w:rsid w:val="00EF44A0"/>
    <w:rsid w:val="00EF4FED"/>
    <w:rsid w:val="00F00085"/>
    <w:rsid w:val="00F027AF"/>
    <w:rsid w:val="00F050BD"/>
    <w:rsid w:val="00F05657"/>
    <w:rsid w:val="00F206BE"/>
    <w:rsid w:val="00F25578"/>
    <w:rsid w:val="00F256F6"/>
    <w:rsid w:val="00F258E5"/>
    <w:rsid w:val="00F300BC"/>
    <w:rsid w:val="00F3334E"/>
    <w:rsid w:val="00F338C0"/>
    <w:rsid w:val="00F368B5"/>
    <w:rsid w:val="00F36CCB"/>
    <w:rsid w:val="00F420B6"/>
    <w:rsid w:val="00F50EC4"/>
    <w:rsid w:val="00F57A6D"/>
    <w:rsid w:val="00F638CC"/>
    <w:rsid w:val="00F64CC1"/>
    <w:rsid w:val="00F8247A"/>
    <w:rsid w:val="00F90122"/>
    <w:rsid w:val="00F9629A"/>
    <w:rsid w:val="00FA5883"/>
    <w:rsid w:val="00FA6055"/>
    <w:rsid w:val="00FB322F"/>
    <w:rsid w:val="00FB3849"/>
    <w:rsid w:val="00FB39D1"/>
    <w:rsid w:val="00FB442F"/>
    <w:rsid w:val="00FC1929"/>
    <w:rsid w:val="00FC5B46"/>
    <w:rsid w:val="00FE0E94"/>
    <w:rsid w:val="00FE1C3F"/>
    <w:rsid w:val="00FE25E2"/>
    <w:rsid w:val="00FE6F59"/>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99"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uiPriority w:val="1"/>
    <w:qFormat/>
    <w:rsid w:val="00C603D4"/>
    <w:pPr>
      <w:numPr>
        <w:numId w:val="13"/>
      </w:numPr>
      <w:outlineLvl w:val="0"/>
    </w:pPr>
    <w:rPr>
      <w:b/>
      <w:szCs w:val="22"/>
    </w:rPr>
  </w:style>
  <w:style w:type="paragraph" w:styleId="Heading2">
    <w:name w:val="heading 2"/>
    <w:basedOn w:val="Normal"/>
    <w:next w:val="Normal"/>
    <w:link w:val="Heading2Char"/>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outlineLvl w:val="0"/>
    </w:pPr>
    <w:rPr>
      <w:rFonts w:ascii="Arial" w:hAnsi="Arial" w:cs="Arial"/>
      <w:b/>
      <w:snapToGrid w:val="0"/>
      <w:sz w:val="22"/>
      <w:szCs w:val="22"/>
      <w:lang w:eastAsia="en-US"/>
    </w:rPr>
  </w:style>
  <w:style w:type="paragraph" w:styleId="Caption">
    <w:name w:val="caption"/>
    <w:aliases w:val="CSR Caption,Bayer Caption,IB Caption,Medical Caption,- H17,Char,Caption2,Caption Char1 Char,Caption Char Char Char,Caption Char1 Char Char Char,Caption Char Char Char Char Char,Caption Char Char1 Char,Caption Char1 Char1,CAPTION"/>
    <w:basedOn w:val="Normal"/>
    <w:next w:val="Normal"/>
    <w:link w:val="CaptionChar"/>
    <w:uiPriority w:val="99"/>
    <w:qFormat/>
    <w:rsid w:val="00853E26"/>
    <w:pPr>
      <w:spacing w:before="120"/>
      <w:jc w:val="both"/>
    </w:pPr>
    <w:rPr>
      <w:rFonts w:ascii="Arial" w:hAnsi="Arial"/>
      <w:b/>
      <w:bCs/>
      <w:sz w:val="22"/>
    </w:rPr>
  </w:style>
  <w:style w:type="character" w:customStyle="1" w:styleId="CaptionChar">
    <w:name w:val="Caption Char"/>
    <w:aliases w:val="CSR Caption Char,Bayer Caption Char,IB Caption Char,Medical Caption Char,- H17 Char,Char Char,Caption2 Char,Caption Char1 Char Char,Caption Char Char Char Char,Caption Char1 Char Char Char Char,Caption Char Char Char Char Char Char"/>
    <w:link w:val="Caption"/>
    <w:uiPriority w:val="99"/>
    <w:rsid w:val="00853E26"/>
    <w:rPr>
      <w:rFonts w:ascii="Arial" w:hAnsi="Arial"/>
      <w:b/>
      <w:bCs/>
      <w:sz w:val="22"/>
      <w:szCs w:val="24"/>
    </w:rPr>
  </w:style>
  <w:style w:type="paragraph" w:customStyle="1" w:styleId="CaptionFootnote">
    <w:name w:val="Caption Footnote"/>
    <w:basedOn w:val="Caption"/>
    <w:qFormat/>
    <w:rsid w:val="005B6D61"/>
    <w:pPr>
      <w:widowControl w:val="0"/>
      <w:spacing w:before="0"/>
      <w:jc w:val="left"/>
    </w:pPr>
    <w:rPr>
      <w:rFonts w:ascii="Candara" w:hAnsi="Candara"/>
      <w:b w:val="0"/>
      <w:sz w:val="16"/>
      <w:szCs w:val="18"/>
      <w:lang w:eastAsia="en-US" w:bidi="en-US"/>
    </w:rPr>
  </w:style>
  <w:style w:type="character" w:customStyle="1" w:styleId="Heading2Char">
    <w:name w:val="Heading 2 Char"/>
    <w:basedOn w:val="DefaultParagraphFont"/>
    <w:link w:val="Heading2"/>
    <w:rsid w:val="00AE0FAF"/>
    <w:rPr>
      <w:rFonts w:ascii="Arial" w:hAnsi="Arial"/>
      <w:b/>
      <w:i/>
      <w:sz w:val="22"/>
      <w:szCs w:val="24"/>
    </w:rPr>
  </w:style>
  <w:style w:type="paragraph" w:customStyle="1" w:styleId="Heading81">
    <w:name w:val="Heading 81"/>
    <w:basedOn w:val="Normal"/>
    <w:next w:val="Normal"/>
    <w:uiPriority w:val="7"/>
    <w:unhideWhenUsed/>
    <w:qFormat/>
    <w:rsid w:val="000B14BB"/>
    <w:pPr>
      <w:keepNext/>
      <w:keepLines/>
      <w:tabs>
        <w:tab w:val="num" w:pos="5760"/>
      </w:tabs>
      <w:spacing w:before="40"/>
      <w:ind w:left="5760" w:hanging="360"/>
      <w:outlineLvl w:val="7"/>
    </w:pPr>
    <w:rPr>
      <w:rFonts w:ascii="Calibri Light" w:eastAsia="SimSun" w:hAnsi="Calibri Light"/>
      <w:color w:val="272727"/>
      <w:sz w:val="21"/>
      <w:szCs w:val="21"/>
      <w:lang w:eastAsia="en-US"/>
    </w:rPr>
  </w:style>
  <w:style w:type="character" w:styleId="FollowedHyperlink">
    <w:name w:val="FollowedHyperlink"/>
    <w:basedOn w:val="DefaultParagraphFont"/>
    <w:rsid w:val="003159E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99"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uiPriority w:val="1"/>
    <w:qFormat/>
    <w:rsid w:val="00C603D4"/>
    <w:pPr>
      <w:numPr>
        <w:numId w:val="13"/>
      </w:numPr>
      <w:outlineLvl w:val="0"/>
    </w:pPr>
    <w:rPr>
      <w:b/>
      <w:szCs w:val="22"/>
    </w:rPr>
  </w:style>
  <w:style w:type="paragraph" w:styleId="Heading2">
    <w:name w:val="heading 2"/>
    <w:basedOn w:val="Normal"/>
    <w:next w:val="Normal"/>
    <w:link w:val="Heading2Char"/>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outlineLvl w:val="0"/>
    </w:pPr>
    <w:rPr>
      <w:rFonts w:ascii="Arial" w:hAnsi="Arial" w:cs="Arial"/>
      <w:b/>
      <w:snapToGrid w:val="0"/>
      <w:sz w:val="22"/>
      <w:szCs w:val="22"/>
      <w:lang w:eastAsia="en-US"/>
    </w:rPr>
  </w:style>
  <w:style w:type="paragraph" w:styleId="Caption">
    <w:name w:val="caption"/>
    <w:aliases w:val="CSR Caption,Bayer Caption,IB Caption,Medical Caption,- H17,Char,Caption2,Caption Char1 Char,Caption Char Char Char,Caption Char1 Char Char Char,Caption Char Char Char Char Char,Caption Char Char1 Char,Caption Char1 Char1,CAPTION"/>
    <w:basedOn w:val="Normal"/>
    <w:next w:val="Normal"/>
    <w:link w:val="CaptionChar"/>
    <w:uiPriority w:val="99"/>
    <w:qFormat/>
    <w:rsid w:val="00853E26"/>
    <w:pPr>
      <w:spacing w:before="120"/>
      <w:jc w:val="both"/>
    </w:pPr>
    <w:rPr>
      <w:rFonts w:ascii="Arial" w:hAnsi="Arial"/>
      <w:b/>
      <w:bCs/>
      <w:sz w:val="22"/>
    </w:rPr>
  </w:style>
  <w:style w:type="character" w:customStyle="1" w:styleId="CaptionChar">
    <w:name w:val="Caption Char"/>
    <w:aliases w:val="CSR Caption Char,Bayer Caption Char,IB Caption Char,Medical Caption Char,- H17 Char,Char Char,Caption2 Char,Caption Char1 Char Char,Caption Char Char Char Char,Caption Char1 Char Char Char Char,Caption Char Char Char Char Char Char"/>
    <w:link w:val="Caption"/>
    <w:uiPriority w:val="99"/>
    <w:rsid w:val="00853E26"/>
    <w:rPr>
      <w:rFonts w:ascii="Arial" w:hAnsi="Arial"/>
      <w:b/>
      <w:bCs/>
      <w:sz w:val="22"/>
      <w:szCs w:val="24"/>
    </w:rPr>
  </w:style>
  <w:style w:type="paragraph" w:customStyle="1" w:styleId="CaptionFootnote">
    <w:name w:val="Caption Footnote"/>
    <w:basedOn w:val="Caption"/>
    <w:qFormat/>
    <w:rsid w:val="005B6D61"/>
    <w:pPr>
      <w:widowControl w:val="0"/>
      <w:spacing w:before="0"/>
      <w:jc w:val="left"/>
    </w:pPr>
    <w:rPr>
      <w:rFonts w:ascii="Candara" w:hAnsi="Candara"/>
      <w:b w:val="0"/>
      <w:sz w:val="16"/>
      <w:szCs w:val="18"/>
      <w:lang w:eastAsia="en-US" w:bidi="en-US"/>
    </w:rPr>
  </w:style>
  <w:style w:type="character" w:customStyle="1" w:styleId="Heading2Char">
    <w:name w:val="Heading 2 Char"/>
    <w:basedOn w:val="DefaultParagraphFont"/>
    <w:link w:val="Heading2"/>
    <w:rsid w:val="00AE0FAF"/>
    <w:rPr>
      <w:rFonts w:ascii="Arial" w:hAnsi="Arial"/>
      <w:b/>
      <w:i/>
      <w:sz w:val="22"/>
      <w:szCs w:val="24"/>
    </w:rPr>
  </w:style>
  <w:style w:type="paragraph" w:customStyle="1" w:styleId="Heading81">
    <w:name w:val="Heading 81"/>
    <w:basedOn w:val="Normal"/>
    <w:next w:val="Normal"/>
    <w:uiPriority w:val="7"/>
    <w:unhideWhenUsed/>
    <w:qFormat/>
    <w:rsid w:val="000B14BB"/>
    <w:pPr>
      <w:keepNext/>
      <w:keepLines/>
      <w:tabs>
        <w:tab w:val="num" w:pos="5760"/>
      </w:tabs>
      <w:spacing w:before="40"/>
      <w:ind w:left="5760" w:hanging="360"/>
      <w:outlineLvl w:val="7"/>
    </w:pPr>
    <w:rPr>
      <w:rFonts w:ascii="Calibri Light" w:eastAsia="SimSun" w:hAnsi="Calibri Light"/>
      <w:color w:val="272727"/>
      <w:sz w:val="21"/>
      <w:szCs w:val="21"/>
      <w:lang w:eastAsia="en-US"/>
    </w:rPr>
  </w:style>
  <w:style w:type="character" w:styleId="FollowedHyperlink">
    <w:name w:val="FollowedHyperlink"/>
    <w:basedOn w:val="DefaultParagraphFont"/>
    <w:rsid w:val="003159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393892686">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5015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6DB77-AB84-45DB-A76F-22B9CBB9C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1988</Words>
  <Characters>11183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2018-01-30T23:11:00Z</dcterms:created>
  <dcterms:modified xsi:type="dcterms:W3CDTF">2018-01-30T23:14:00Z</dcterms:modified>
</cp:coreProperties>
</file>