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D6" w:rsidRDefault="00B10DD6" w:rsidP="00FE3BBF">
      <w:pPr>
        <w:widowControl/>
        <w:spacing w:before="120" w:after="160"/>
        <w:ind w:left="851" w:hanging="851"/>
        <w:jc w:val="left"/>
        <w:outlineLvl w:val="0"/>
        <w:rPr>
          <w:rFonts w:asciiTheme="minorHAnsi" w:hAnsiTheme="minorHAnsi"/>
          <w:b/>
          <w:sz w:val="36"/>
          <w:szCs w:val="36"/>
        </w:rPr>
      </w:pPr>
      <w:r w:rsidRPr="001D011C">
        <w:rPr>
          <w:rFonts w:asciiTheme="minorHAnsi" w:hAnsiTheme="minorHAnsi"/>
          <w:b/>
          <w:sz w:val="36"/>
          <w:szCs w:val="36"/>
        </w:rPr>
        <w:t>5.02</w:t>
      </w:r>
      <w:r w:rsidRPr="001D011C">
        <w:rPr>
          <w:rFonts w:asciiTheme="minorHAnsi" w:hAnsiTheme="minorHAnsi"/>
          <w:b/>
          <w:sz w:val="36"/>
          <w:szCs w:val="36"/>
        </w:rPr>
        <w:tab/>
        <w:t xml:space="preserve">ASFOTASE ALFA </w:t>
      </w:r>
      <w:r w:rsidR="00465F17" w:rsidRPr="001D011C">
        <w:rPr>
          <w:rFonts w:asciiTheme="minorHAnsi" w:hAnsiTheme="minorHAnsi"/>
          <w:b/>
          <w:i/>
          <w:sz w:val="36"/>
          <w:szCs w:val="36"/>
        </w:rPr>
        <w:t>RCH</w:t>
      </w:r>
      <w:r w:rsidRPr="001D011C">
        <w:rPr>
          <w:rFonts w:asciiTheme="minorHAnsi" w:hAnsiTheme="minorHAnsi"/>
          <w:b/>
          <w:sz w:val="36"/>
          <w:szCs w:val="36"/>
        </w:rPr>
        <w:t xml:space="preserve">, </w:t>
      </w:r>
      <w:r w:rsidR="009F31F8" w:rsidRPr="001D011C">
        <w:rPr>
          <w:rFonts w:asciiTheme="minorHAnsi" w:hAnsiTheme="minorHAnsi"/>
          <w:b/>
          <w:sz w:val="36"/>
          <w:szCs w:val="36"/>
        </w:rPr>
        <w:br/>
        <w:t xml:space="preserve">Injection, 18 mg in 0.45 mL, 28 mg in 0.7 mL, </w:t>
      </w:r>
      <w:r w:rsidR="00DD7CF0" w:rsidRPr="001D011C">
        <w:rPr>
          <w:rFonts w:asciiTheme="minorHAnsi" w:hAnsiTheme="minorHAnsi"/>
          <w:b/>
          <w:sz w:val="36"/>
          <w:szCs w:val="36"/>
        </w:rPr>
        <w:t>40</w:t>
      </w:r>
      <w:r w:rsidR="00195160" w:rsidRPr="001D011C">
        <w:rPr>
          <w:rFonts w:asciiTheme="minorHAnsi" w:hAnsiTheme="minorHAnsi"/>
          <w:b/>
          <w:sz w:val="36"/>
          <w:szCs w:val="36"/>
        </w:rPr>
        <w:t xml:space="preserve"> </w:t>
      </w:r>
      <w:r w:rsidR="009F31F8" w:rsidRPr="001D011C">
        <w:rPr>
          <w:rFonts w:asciiTheme="minorHAnsi" w:hAnsiTheme="minorHAnsi"/>
          <w:b/>
          <w:sz w:val="36"/>
          <w:szCs w:val="36"/>
        </w:rPr>
        <w:t>mg in 1 mL and 80 mg in 0.8 mL, vial</w:t>
      </w:r>
      <w:r w:rsidR="00DD7CF0" w:rsidRPr="001D011C">
        <w:rPr>
          <w:rFonts w:asciiTheme="minorHAnsi" w:hAnsiTheme="minorHAnsi"/>
          <w:b/>
          <w:sz w:val="36"/>
          <w:szCs w:val="36"/>
        </w:rPr>
        <w:br/>
      </w:r>
      <w:proofErr w:type="spellStart"/>
      <w:r w:rsidRPr="001D011C">
        <w:rPr>
          <w:rFonts w:asciiTheme="minorHAnsi" w:hAnsiTheme="minorHAnsi"/>
          <w:b/>
          <w:sz w:val="36"/>
          <w:szCs w:val="36"/>
        </w:rPr>
        <w:t>Strensiq</w:t>
      </w:r>
      <w:proofErr w:type="spellEnd"/>
      <w:r w:rsidRPr="001D011C">
        <w:rPr>
          <w:rFonts w:asciiTheme="minorHAnsi" w:hAnsiTheme="minorHAnsi"/>
          <w:b/>
          <w:sz w:val="36"/>
          <w:szCs w:val="36"/>
        </w:rPr>
        <w:t>®,</w:t>
      </w:r>
      <w:r w:rsidR="00ED029E" w:rsidRPr="001D011C">
        <w:rPr>
          <w:rFonts w:asciiTheme="minorHAnsi" w:hAnsiTheme="minorHAnsi"/>
          <w:b/>
          <w:sz w:val="36"/>
          <w:szCs w:val="36"/>
        </w:rPr>
        <w:t xml:space="preserve"> </w:t>
      </w:r>
      <w:r w:rsidRPr="001D011C">
        <w:rPr>
          <w:rFonts w:asciiTheme="minorHAnsi" w:hAnsiTheme="minorHAnsi"/>
          <w:b/>
          <w:sz w:val="36"/>
          <w:szCs w:val="36"/>
        </w:rPr>
        <w:t>Alexion Pharmaceuticals Australasia Pty Ltd</w:t>
      </w:r>
    </w:p>
    <w:p w:rsidR="00E22521" w:rsidRPr="00FE3BBF" w:rsidRDefault="00E22521" w:rsidP="005123EA">
      <w:pPr>
        <w:widowControl/>
        <w:spacing w:before="120" w:after="160"/>
        <w:ind w:left="851" w:hanging="851"/>
        <w:jc w:val="left"/>
        <w:rPr>
          <w:rFonts w:asciiTheme="minorHAnsi" w:hAnsiTheme="minorHAnsi"/>
          <w:sz w:val="24"/>
          <w:szCs w:val="24"/>
        </w:rPr>
      </w:pPr>
    </w:p>
    <w:p w:rsidR="00B10DD6" w:rsidRPr="00E97842" w:rsidRDefault="00B10DD6" w:rsidP="005123EA">
      <w:pPr>
        <w:pStyle w:val="Heading1"/>
        <w:ind w:left="567" w:hanging="567"/>
      </w:pPr>
      <w:bookmarkStart w:id="0" w:name="_Toc413139271"/>
      <w:bookmarkStart w:id="1" w:name="_Toc476306881"/>
      <w:bookmarkStart w:id="2" w:name="_Toc481339857"/>
      <w:bookmarkStart w:id="3" w:name="_Toc481410702"/>
      <w:r w:rsidRPr="00E97842">
        <w:t>Purpose of Application</w:t>
      </w:r>
      <w:bookmarkEnd w:id="0"/>
      <w:bookmarkEnd w:id="1"/>
      <w:bookmarkEnd w:id="2"/>
      <w:bookmarkEnd w:id="3"/>
    </w:p>
    <w:p w:rsidR="00B10DD6" w:rsidRDefault="00B10DD6" w:rsidP="005123EA">
      <w:pPr>
        <w:pStyle w:val="TableHeading"/>
        <w:numPr>
          <w:ilvl w:val="1"/>
          <w:numId w:val="2"/>
        </w:numPr>
        <w:rPr>
          <w:rFonts w:ascii="Calibri" w:eastAsia="Times New Roman" w:hAnsi="Calibri" w:cs="Arial"/>
          <w:b w:val="0"/>
          <w:snapToGrid w:val="0"/>
          <w:sz w:val="24"/>
          <w:szCs w:val="20"/>
        </w:rPr>
      </w:pPr>
      <w:r w:rsidRPr="00040BC8">
        <w:rPr>
          <w:rFonts w:ascii="Calibri" w:eastAsia="Times New Roman" w:hAnsi="Calibri" w:cs="Arial"/>
          <w:b w:val="0"/>
          <w:snapToGrid w:val="0"/>
          <w:sz w:val="24"/>
          <w:szCs w:val="20"/>
        </w:rPr>
        <w:t>The submission request</w:t>
      </w:r>
      <w:r>
        <w:rPr>
          <w:rFonts w:ascii="Calibri" w:eastAsia="Times New Roman" w:hAnsi="Calibri" w:cs="Arial"/>
          <w:b w:val="0"/>
          <w:snapToGrid w:val="0"/>
          <w:sz w:val="24"/>
          <w:szCs w:val="20"/>
        </w:rPr>
        <w:t>ed</w:t>
      </w:r>
      <w:r w:rsidRPr="00040BC8">
        <w:rPr>
          <w:rFonts w:ascii="Calibri" w:eastAsia="Times New Roman" w:hAnsi="Calibri" w:cs="Arial"/>
          <w:b w:val="0"/>
          <w:snapToGrid w:val="0"/>
          <w:sz w:val="24"/>
          <w:szCs w:val="20"/>
        </w:rPr>
        <w:t xml:space="preserve"> </w:t>
      </w:r>
      <w:r>
        <w:rPr>
          <w:rFonts w:ascii="Calibri" w:eastAsia="Times New Roman" w:hAnsi="Calibri" w:cs="Arial"/>
          <w:b w:val="0"/>
          <w:snapToGrid w:val="0"/>
          <w:sz w:val="24"/>
          <w:szCs w:val="20"/>
        </w:rPr>
        <w:t>a</w:t>
      </w:r>
      <w:r w:rsidRPr="00040BC8">
        <w:rPr>
          <w:rFonts w:ascii="Calibri" w:eastAsia="Times New Roman" w:hAnsi="Calibri" w:cs="Arial"/>
          <w:b w:val="0"/>
          <w:snapToGrid w:val="0"/>
          <w:sz w:val="24"/>
          <w:szCs w:val="20"/>
        </w:rPr>
        <w:t xml:space="preserve"> Section 100 </w:t>
      </w:r>
      <w:r w:rsidR="00D47D5B">
        <w:rPr>
          <w:rFonts w:ascii="Calibri" w:eastAsia="Times New Roman" w:hAnsi="Calibri" w:cs="Arial"/>
          <w:b w:val="0"/>
          <w:snapToGrid w:val="0"/>
          <w:sz w:val="24"/>
          <w:szCs w:val="20"/>
        </w:rPr>
        <w:t xml:space="preserve">(Highly Specialised Drugs Program), Authority Required </w:t>
      </w:r>
      <w:r w:rsidRPr="00040BC8">
        <w:rPr>
          <w:rFonts w:ascii="Calibri" w:eastAsia="Times New Roman" w:hAnsi="Calibri" w:cs="Arial"/>
          <w:b w:val="0"/>
          <w:snapToGrid w:val="0"/>
          <w:sz w:val="24"/>
          <w:szCs w:val="20"/>
        </w:rPr>
        <w:t xml:space="preserve">PBS listing for </w:t>
      </w:r>
      <w:proofErr w:type="spellStart"/>
      <w:r>
        <w:rPr>
          <w:rFonts w:ascii="Calibri" w:eastAsia="Times New Roman" w:hAnsi="Calibri" w:cs="Arial"/>
          <w:b w:val="0"/>
          <w:snapToGrid w:val="0"/>
          <w:sz w:val="24"/>
          <w:szCs w:val="20"/>
        </w:rPr>
        <w:t>asfotase</w:t>
      </w:r>
      <w:proofErr w:type="spellEnd"/>
      <w:r>
        <w:rPr>
          <w:rFonts w:ascii="Calibri" w:eastAsia="Times New Roman" w:hAnsi="Calibri" w:cs="Arial"/>
          <w:b w:val="0"/>
          <w:snapToGrid w:val="0"/>
          <w:sz w:val="24"/>
          <w:szCs w:val="20"/>
        </w:rPr>
        <w:t xml:space="preserve"> </w:t>
      </w:r>
      <w:r w:rsidRPr="00040BC8">
        <w:rPr>
          <w:rFonts w:ascii="Calibri" w:eastAsia="Times New Roman" w:hAnsi="Calibri" w:cs="Arial"/>
          <w:b w:val="0"/>
          <w:snapToGrid w:val="0"/>
          <w:sz w:val="24"/>
          <w:szCs w:val="20"/>
        </w:rPr>
        <w:t xml:space="preserve">alfa </w:t>
      </w:r>
      <w:proofErr w:type="spellStart"/>
      <w:r w:rsidR="00465F17" w:rsidRPr="00465F17">
        <w:rPr>
          <w:rFonts w:ascii="Calibri" w:eastAsia="Times New Roman" w:hAnsi="Calibri" w:cs="Arial"/>
          <w:b w:val="0"/>
          <w:i/>
          <w:snapToGrid w:val="0"/>
          <w:sz w:val="24"/>
          <w:szCs w:val="20"/>
        </w:rPr>
        <w:t>rch</w:t>
      </w:r>
      <w:proofErr w:type="spellEnd"/>
      <w:r>
        <w:rPr>
          <w:rFonts w:ascii="Calibri" w:eastAsia="Times New Roman" w:hAnsi="Calibri" w:cs="Arial"/>
          <w:b w:val="0"/>
          <w:snapToGrid w:val="0"/>
          <w:sz w:val="24"/>
          <w:szCs w:val="20"/>
        </w:rPr>
        <w:t xml:space="preserve"> </w:t>
      </w:r>
      <w:r w:rsidRPr="00040BC8">
        <w:rPr>
          <w:rFonts w:ascii="Calibri" w:eastAsia="Times New Roman" w:hAnsi="Calibri" w:cs="Arial"/>
          <w:b w:val="0"/>
          <w:snapToGrid w:val="0"/>
          <w:sz w:val="24"/>
          <w:szCs w:val="20"/>
        </w:rPr>
        <w:t xml:space="preserve">in the treatment of patients </w:t>
      </w:r>
      <w:r>
        <w:rPr>
          <w:rFonts w:ascii="Calibri" w:eastAsia="Times New Roman" w:hAnsi="Calibri" w:cs="Arial"/>
          <w:b w:val="0"/>
          <w:snapToGrid w:val="0"/>
          <w:sz w:val="24"/>
          <w:szCs w:val="20"/>
        </w:rPr>
        <w:t xml:space="preserve">with paediatric-onset </w:t>
      </w:r>
      <w:proofErr w:type="spellStart"/>
      <w:r>
        <w:rPr>
          <w:rFonts w:ascii="Calibri" w:eastAsia="Times New Roman" w:hAnsi="Calibri" w:cs="Arial"/>
          <w:b w:val="0"/>
          <w:snapToGrid w:val="0"/>
          <w:sz w:val="24"/>
          <w:szCs w:val="20"/>
        </w:rPr>
        <w:t>hypophosphatasia</w:t>
      </w:r>
      <w:proofErr w:type="spellEnd"/>
      <w:r>
        <w:rPr>
          <w:rFonts w:ascii="Calibri" w:eastAsia="Times New Roman" w:hAnsi="Calibri" w:cs="Arial"/>
          <w:b w:val="0"/>
          <w:snapToGrid w:val="0"/>
          <w:sz w:val="24"/>
          <w:szCs w:val="20"/>
        </w:rPr>
        <w:t xml:space="preserve"> (HPP).</w:t>
      </w:r>
    </w:p>
    <w:p w:rsidR="002757CE" w:rsidRDefault="002757CE" w:rsidP="002757CE">
      <w:pPr>
        <w:pStyle w:val="Caption"/>
      </w:pPr>
      <w:r>
        <w:t xml:space="preserve">Table </w:t>
      </w:r>
      <w:r>
        <w:rPr>
          <w:noProof/>
        </w:rPr>
        <w:t>1</w:t>
      </w:r>
      <w:r w:rsidRPr="0076302E">
        <w:t>: Key components of the clinical issue addressed by the submission</w:t>
      </w:r>
    </w:p>
    <w:tbl>
      <w:tblPr>
        <w:tblStyle w:val="TableGrid"/>
        <w:tblW w:w="0" w:type="auto"/>
        <w:tblLook w:val="04A0" w:firstRow="1" w:lastRow="0" w:firstColumn="1" w:lastColumn="0" w:noHBand="0" w:noVBand="1"/>
        <w:tblCaption w:val=" Key components of the clinical issue addressed by the submission"/>
      </w:tblPr>
      <w:tblGrid>
        <w:gridCol w:w="1696"/>
        <w:gridCol w:w="7320"/>
      </w:tblGrid>
      <w:tr w:rsidR="00B10DD6" w:rsidRPr="00DD48DB" w:rsidTr="00FE3BBF">
        <w:trPr>
          <w:cantSplit/>
          <w:tblHeader/>
        </w:trPr>
        <w:tc>
          <w:tcPr>
            <w:tcW w:w="1696" w:type="dxa"/>
            <w:shd w:val="clear" w:color="auto" w:fill="auto"/>
          </w:tcPr>
          <w:p w:rsidR="00B10DD6" w:rsidRPr="00DD48DB" w:rsidRDefault="00B10DD6" w:rsidP="005123EA">
            <w:pPr>
              <w:pStyle w:val="TableText1"/>
            </w:pPr>
            <w:r w:rsidRPr="00DD48DB">
              <w:t>Population</w:t>
            </w:r>
          </w:p>
        </w:tc>
        <w:tc>
          <w:tcPr>
            <w:tcW w:w="7320" w:type="dxa"/>
            <w:shd w:val="clear" w:color="auto" w:fill="auto"/>
          </w:tcPr>
          <w:p w:rsidR="00B10DD6" w:rsidRPr="00DD48DB" w:rsidRDefault="00B10DD6" w:rsidP="005123EA">
            <w:pPr>
              <w:pStyle w:val="TableText1"/>
            </w:pPr>
            <w:r>
              <w:t>Patients with paediatric-onset HPP</w:t>
            </w:r>
          </w:p>
        </w:tc>
      </w:tr>
      <w:tr w:rsidR="00B10DD6" w:rsidRPr="00DD48DB" w:rsidTr="003B76C9">
        <w:trPr>
          <w:cantSplit/>
        </w:trPr>
        <w:tc>
          <w:tcPr>
            <w:tcW w:w="1696" w:type="dxa"/>
            <w:shd w:val="clear" w:color="auto" w:fill="auto"/>
          </w:tcPr>
          <w:p w:rsidR="00B10DD6" w:rsidRPr="00DD48DB" w:rsidRDefault="00B10DD6" w:rsidP="005123EA">
            <w:pPr>
              <w:pStyle w:val="TableText1"/>
            </w:pPr>
            <w:r w:rsidRPr="00DD48DB">
              <w:t>Intervention</w:t>
            </w:r>
          </w:p>
        </w:tc>
        <w:tc>
          <w:tcPr>
            <w:tcW w:w="7320" w:type="dxa"/>
            <w:shd w:val="clear" w:color="auto" w:fill="auto"/>
          </w:tcPr>
          <w:p w:rsidR="00B10DD6" w:rsidRPr="00DD48DB" w:rsidRDefault="00B10DD6" w:rsidP="005123EA">
            <w:pPr>
              <w:pStyle w:val="TableText1"/>
            </w:pPr>
            <w:proofErr w:type="spellStart"/>
            <w:r>
              <w:t>Asfotase</w:t>
            </w:r>
            <w:proofErr w:type="spellEnd"/>
            <w:r>
              <w:t xml:space="preserve"> alfa </w:t>
            </w:r>
            <w:proofErr w:type="spellStart"/>
            <w:r w:rsidR="00465F17" w:rsidRPr="00465F17">
              <w:rPr>
                <w:i/>
              </w:rPr>
              <w:t>rch</w:t>
            </w:r>
            <w:proofErr w:type="spellEnd"/>
            <w:r>
              <w:t xml:space="preserve"> 6mg/kg/week via subcutaneous injection</w:t>
            </w:r>
          </w:p>
        </w:tc>
      </w:tr>
      <w:tr w:rsidR="00B10DD6" w:rsidRPr="00DD48DB" w:rsidTr="003B76C9">
        <w:trPr>
          <w:cantSplit/>
        </w:trPr>
        <w:tc>
          <w:tcPr>
            <w:tcW w:w="1696" w:type="dxa"/>
            <w:shd w:val="clear" w:color="auto" w:fill="auto"/>
          </w:tcPr>
          <w:p w:rsidR="00B10DD6" w:rsidRPr="00DD48DB" w:rsidRDefault="00B10DD6" w:rsidP="005123EA">
            <w:pPr>
              <w:pStyle w:val="TableText1"/>
            </w:pPr>
            <w:r w:rsidRPr="00DD48DB">
              <w:t>Comparator</w:t>
            </w:r>
          </w:p>
        </w:tc>
        <w:tc>
          <w:tcPr>
            <w:tcW w:w="7320" w:type="dxa"/>
            <w:shd w:val="clear" w:color="auto" w:fill="auto"/>
          </w:tcPr>
          <w:p w:rsidR="00B10DD6" w:rsidRPr="00DD48DB" w:rsidRDefault="00B10DD6" w:rsidP="005123EA">
            <w:pPr>
              <w:pStyle w:val="TableText1"/>
            </w:pPr>
            <w:r>
              <w:t>Best supportive care</w:t>
            </w:r>
          </w:p>
        </w:tc>
      </w:tr>
      <w:tr w:rsidR="00B10DD6" w:rsidRPr="00DD48DB" w:rsidTr="003B76C9">
        <w:trPr>
          <w:cantSplit/>
        </w:trPr>
        <w:tc>
          <w:tcPr>
            <w:tcW w:w="1696" w:type="dxa"/>
            <w:shd w:val="clear" w:color="auto" w:fill="auto"/>
          </w:tcPr>
          <w:p w:rsidR="00B10DD6" w:rsidRPr="00DD48DB" w:rsidRDefault="00B10DD6" w:rsidP="005123EA">
            <w:pPr>
              <w:pStyle w:val="TableText1"/>
            </w:pPr>
            <w:r w:rsidRPr="00DD48DB">
              <w:t>Outcomes</w:t>
            </w:r>
          </w:p>
        </w:tc>
        <w:tc>
          <w:tcPr>
            <w:tcW w:w="7320" w:type="dxa"/>
            <w:shd w:val="clear" w:color="auto" w:fill="auto"/>
          </w:tcPr>
          <w:p w:rsidR="00B10DD6" w:rsidRPr="00DD48DB" w:rsidRDefault="00B10DD6" w:rsidP="005123EA">
            <w:pPr>
              <w:pStyle w:val="TableText1"/>
            </w:pPr>
            <w:r>
              <w:t>6MWT and overall survival</w:t>
            </w:r>
          </w:p>
        </w:tc>
      </w:tr>
      <w:tr w:rsidR="00B10DD6" w:rsidRPr="00DD48DB" w:rsidTr="003B76C9">
        <w:trPr>
          <w:cantSplit/>
        </w:trPr>
        <w:tc>
          <w:tcPr>
            <w:tcW w:w="1696" w:type="dxa"/>
            <w:shd w:val="clear" w:color="auto" w:fill="auto"/>
          </w:tcPr>
          <w:p w:rsidR="00B10DD6" w:rsidRPr="00DD48DB" w:rsidRDefault="00B10DD6" w:rsidP="005123EA">
            <w:pPr>
              <w:pStyle w:val="TableText1"/>
            </w:pPr>
            <w:r w:rsidRPr="00DD48DB">
              <w:t>Clinical claim</w:t>
            </w:r>
          </w:p>
        </w:tc>
        <w:tc>
          <w:tcPr>
            <w:tcW w:w="7320" w:type="dxa"/>
            <w:shd w:val="clear" w:color="auto" w:fill="auto"/>
          </w:tcPr>
          <w:p w:rsidR="00B10DD6" w:rsidRPr="00DD48DB" w:rsidRDefault="00B10DD6" w:rsidP="005123EA">
            <w:pPr>
              <w:pStyle w:val="TableText1"/>
            </w:pPr>
            <w:proofErr w:type="spellStart"/>
            <w:r>
              <w:t>Asfotase</w:t>
            </w:r>
            <w:proofErr w:type="spellEnd"/>
            <w:r>
              <w:t xml:space="preserve"> alfa </w:t>
            </w:r>
            <w:proofErr w:type="spellStart"/>
            <w:r w:rsidR="00465F17" w:rsidRPr="00465F17">
              <w:rPr>
                <w:i/>
              </w:rPr>
              <w:t>rch</w:t>
            </w:r>
            <w:proofErr w:type="spellEnd"/>
            <w:r>
              <w:t xml:space="preserve"> is superior in terms of comparative effectiveness and non-inferior in terms of comparative safety to best supportive care.</w:t>
            </w:r>
          </w:p>
        </w:tc>
      </w:tr>
    </w:tbl>
    <w:p w:rsidR="00B10DD6" w:rsidRDefault="00B10DD6" w:rsidP="005123EA">
      <w:pPr>
        <w:pStyle w:val="TableFooter"/>
        <w:widowControl/>
      </w:pPr>
      <w:r>
        <w:t xml:space="preserve">HPP = </w:t>
      </w:r>
      <w:proofErr w:type="spellStart"/>
      <w:r>
        <w:t>Hypophosphatasia</w:t>
      </w:r>
      <w:proofErr w:type="spellEnd"/>
      <w:r>
        <w:t>; 6MWT = six-minute walk test</w:t>
      </w:r>
    </w:p>
    <w:p w:rsidR="00B10DD6" w:rsidRPr="00DD48DB" w:rsidRDefault="00B10DD6" w:rsidP="005123EA">
      <w:pPr>
        <w:pStyle w:val="TableFooter"/>
        <w:widowControl/>
        <w:spacing w:after="120"/>
      </w:pPr>
      <w:r w:rsidRPr="00DD48DB">
        <w:t xml:space="preserve">Source: </w:t>
      </w:r>
      <w:r>
        <w:t>Compiled during the evaluation</w:t>
      </w:r>
    </w:p>
    <w:p w:rsidR="00B10DD6" w:rsidRDefault="00B10DD6" w:rsidP="005123EA">
      <w:pPr>
        <w:pStyle w:val="Heading1"/>
        <w:ind w:left="567" w:hanging="567"/>
      </w:pPr>
      <w:bookmarkStart w:id="4" w:name="_Toc413139272"/>
      <w:bookmarkStart w:id="5" w:name="_Toc476306882"/>
      <w:bookmarkStart w:id="6" w:name="_Toc481339858"/>
      <w:bookmarkStart w:id="7" w:name="_Toc481410703"/>
      <w:r w:rsidRPr="00DD48DB">
        <w:t>Requested listing</w:t>
      </w:r>
      <w:bookmarkEnd w:id="4"/>
      <w:bookmarkEnd w:id="5"/>
      <w:bookmarkEnd w:id="6"/>
      <w:bookmarkEnd w:id="7"/>
    </w:p>
    <w:tbl>
      <w:tblPr>
        <w:tblW w:w="5010" w:type="pct"/>
        <w:tblCellMar>
          <w:left w:w="28" w:type="dxa"/>
          <w:right w:w="28" w:type="dxa"/>
        </w:tblCellMar>
        <w:tblLook w:val="0000" w:firstRow="0" w:lastRow="0" w:firstColumn="0" w:lastColumn="0" w:noHBand="0" w:noVBand="0"/>
      </w:tblPr>
      <w:tblGrid>
        <w:gridCol w:w="8"/>
        <w:gridCol w:w="1916"/>
        <w:gridCol w:w="928"/>
        <w:gridCol w:w="1001"/>
        <w:gridCol w:w="730"/>
        <w:gridCol w:w="1148"/>
        <w:gridCol w:w="1148"/>
        <w:gridCol w:w="743"/>
        <w:gridCol w:w="1318"/>
        <w:gridCol w:w="160"/>
      </w:tblGrid>
      <w:tr w:rsidR="00F563E3" w:rsidRPr="00ED7DE9" w:rsidTr="00803BA8">
        <w:trPr>
          <w:gridAfter w:val="1"/>
          <w:wAfter w:w="88" w:type="pct"/>
          <w:cantSplit/>
          <w:trHeight w:val="249"/>
        </w:trPr>
        <w:tc>
          <w:tcPr>
            <w:tcW w:w="1567" w:type="pct"/>
            <w:gridSpan w:val="3"/>
            <w:vMerge w:val="restart"/>
            <w:vAlign w:val="center"/>
          </w:tcPr>
          <w:p w:rsidR="00F563E3" w:rsidRPr="00ED7DE9" w:rsidRDefault="00F563E3" w:rsidP="005123EA">
            <w:pPr>
              <w:widowControl/>
              <w:jc w:val="left"/>
              <w:rPr>
                <w:rFonts w:ascii="Arial Narrow" w:hAnsi="Arial Narrow"/>
                <w:b/>
                <w:sz w:val="20"/>
              </w:rPr>
            </w:pPr>
            <w:bookmarkStart w:id="8" w:name="_Toc480371256"/>
            <w:bookmarkEnd w:id="8"/>
            <w:r w:rsidRPr="00ED7DE9">
              <w:rPr>
                <w:rFonts w:ascii="Arial Narrow" w:hAnsi="Arial Narrow"/>
                <w:b/>
                <w:sz w:val="20"/>
              </w:rPr>
              <w:t>Name, Restriction,</w:t>
            </w:r>
          </w:p>
          <w:p w:rsidR="00F563E3" w:rsidRPr="00ED7DE9" w:rsidRDefault="00F563E3" w:rsidP="005123EA">
            <w:pPr>
              <w:widowControl/>
              <w:jc w:val="left"/>
              <w:rPr>
                <w:rFonts w:ascii="Arial Narrow" w:hAnsi="Arial Narrow"/>
                <w:b/>
                <w:sz w:val="20"/>
              </w:rPr>
            </w:pPr>
            <w:r w:rsidRPr="00ED7DE9">
              <w:rPr>
                <w:rFonts w:ascii="Arial Narrow" w:hAnsi="Arial Narrow"/>
                <w:b/>
                <w:sz w:val="20"/>
              </w:rPr>
              <w:t>Manner of administration and form</w:t>
            </w:r>
          </w:p>
        </w:tc>
        <w:tc>
          <w:tcPr>
            <w:tcW w:w="550" w:type="pct"/>
            <w:vMerge w:val="restart"/>
            <w:vAlign w:val="center"/>
          </w:tcPr>
          <w:p w:rsidR="00F563E3" w:rsidRPr="00ED7DE9" w:rsidRDefault="00F563E3" w:rsidP="005123EA">
            <w:pPr>
              <w:widowControl/>
              <w:jc w:val="center"/>
              <w:rPr>
                <w:rFonts w:ascii="Arial Narrow" w:hAnsi="Arial Narrow"/>
                <w:b/>
                <w:sz w:val="20"/>
              </w:rPr>
            </w:pPr>
            <w:r w:rsidRPr="00ED7DE9">
              <w:rPr>
                <w:rFonts w:ascii="Arial Narrow" w:hAnsi="Arial Narrow"/>
                <w:b/>
                <w:sz w:val="20"/>
              </w:rPr>
              <w:t>Max.</w:t>
            </w:r>
          </w:p>
          <w:p w:rsidR="00F563E3" w:rsidRPr="00ED7DE9" w:rsidRDefault="00F563E3" w:rsidP="005123EA">
            <w:pPr>
              <w:widowControl/>
              <w:jc w:val="center"/>
              <w:rPr>
                <w:rFonts w:ascii="Arial Narrow" w:hAnsi="Arial Narrow"/>
                <w:b/>
                <w:sz w:val="20"/>
              </w:rPr>
            </w:pPr>
            <w:proofErr w:type="spellStart"/>
            <w:r w:rsidRPr="00ED7DE9">
              <w:rPr>
                <w:rFonts w:ascii="Arial Narrow" w:hAnsi="Arial Narrow"/>
                <w:b/>
                <w:sz w:val="20"/>
              </w:rPr>
              <w:t>Qty</w:t>
            </w:r>
            <w:proofErr w:type="spellEnd"/>
            <w:r>
              <w:rPr>
                <w:rFonts w:ascii="Arial Narrow" w:hAnsi="Arial Narrow"/>
                <w:b/>
                <w:sz w:val="20"/>
              </w:rPr>
              <w:t xml:space="preserve"> (units)</w:t>
            </w:r>
          </w:p>
        </w:tc>
        <w:tc>
          <w:tcPr>
            <w:tcW w:w="401" w:type="pct"/>
            <w:vMerge w:val="restart"/>
            <w:vAlign w:val="center"/>
          </w:tcPr>
          <w:p w:rsidR="00F563E3" w:rsidRPr="00ED7DE9" w:rsidRDefault="00F563E3" w:rsidP="005123EA">
            <w:pPr>
              <w:widowControl/>
              <w:jc w:val="center"/>
              <w:rPr>
                <w:rFonts w:ascii="Arial Narrow" w:hAnsi="Arial Narrow"/>
                <w:b/>
                <w:sz w:val="20"/>
              </w:rPr>
            </w:pPr>
            <w:r w:rsidRPr="00ED7DE9">
              <w:rPr>
                <w:rFonts w:ascii="Arial Narrow" w:hAnsi="Arial Narrow"/>
                <w:b/>
                <w:sz w:val="20"/>
              </w:rPr>
              <w:t>№.of</w:t>
            </w:r>
          </w:p>
          <w:p w:rsidR="00F563E3" w:rsidRPr="00ED7DE9" w:rsidRDefault="00F563E3" w:rsidP="005123EA">
            <w:pPr>
              <w:widowControl/>
              <w:jc w:val="center"/>
              <w:rPr>
                <w:rFonts w:ascii="Arial Narrow" w:hAnsi="Arial Narrow"/>
                <w:b/>
                <w:sz w:val="20"/>
              </w:rPr>
            </w:pPr>
            <w:proofErr w:type="spellStart"/>
            <w:r w:rsidRPr="00ED7DE9">
              <w:rPr>
                <w:rFonts w:ascii="Arial Narrow" w:hAnsi="Arial Narrow"/>
                <w:b/>
                <w:sz w:val="20"/>
              </w:rPr>
              <w:t>Rpts</w:t>
            </w:r>
            <w:proofErr w:type="spellEnd"/>
          </w:p>
        </w:tc>
        <w:tc>
          <w:tcPr>
            <w:tcW w:w="1262" w:type="pct"/>
            <w:gridSpan w:val="2"/>
          </w:tcPr>
          <w:p w:rsidR="00F563E3" w:rsidRPr="00200246" w:rsidRDefault="00803BA8" w:rsidP="005123EA">
            <w:pPr>
              <w:widowControl/>
              <w:jc w:val="center"/>
              <w:rPr>
                <w:rFonts w:ascii="Arial Narrow" w:hAnsi="Arial Narrow"/>
                <w:b/>
                <w:i/>
                <w:sz w:val="20"/>
                <w:vertAlign w:val="superscript"/>
              </w:rPr>
            </w:pPr>
            <w:r>
              <w:rPr>
                <w:rFonts w:ascii="Arial Narrow" w:hAnsi="Arial Narrow"/>
                <w:b/>
                <w:i/>
                <w:sz w:val="20"/>
              </w:rPr>
              <w:t xml:space="preserve">Dispensed price per maximum </w:t>
            </w:r>
            <w:proofErr w:type="spellStart"/>
            <w:r>
              <w:rPr>
                <w:rFonts w:ascii="Arial Narrow" w:hAnsi="Arial Narrow"/>
                <w:b/>
                <w:i/>
                <w:sz w:val="20"/>
              </w:rPr>
              <w:t>quantity</w:t>
            </w:r>
            <w:r w:rsidR="00F563E3" w:rsidRPr="00200246">
              <w:rPr>
                <w:rFonts w:ascii="Arial Narrow" w:hAnsi="Arial Narrow"/>
                <w:b/>
                <w:i/>
                <w:sz w:val="20"/>
                <w:vertAlign w:val="superscript"/>
              </w:rPr>
              <w:t>a</w:t>
            </w:r>
            <w:proofErr w:type="spellEnd"/>
          </w:p>
        </w:tc>
        <w:tc>
          <w:tcPr>
            <w:tcW w:w="1132" w:type="pct"/>
            <w:gridSpan w:val="2"/>
            <w:vMerge w:val="restart"/>
            <w:vAlign w:val="center"/>
          </w:tcPr>
          <w:p w:rsidR="00F563E3" w:rsidRPr="00ED7DE9" w:rsidRDefault="00F563E3" w:rsidP="005123EA">
            <w:pPr>
              <w:widowControl/>
              <w:jc w:val="center"/>
              <w:rPr>
                <w:rFonts w:ascii="Arial Narrow" w:hAnsi="Arial Narrow"/>
                <w:b/>
                <w:sz w:val="20"/>
                <w:lang w:val="fr-FR"/>
              </w:rPr>
            </w:pPr>
            <w:r w:rsidRPr="00ED7DE9">
              <w:rPr>
                <w:rFonts w:ascii="Arial Narrow" w:hAnsi="Arial Narrow"/>
                <w:b/>
                <w:sz w:val="20"/>
              </w:rPr>
              <w:t>Proprietary Name and Manufacturer</w:t>
            </w:r>
          </w:p>
        </w:tc>
      </w:tr>
      <w:tr w:rsidR="00F563E3" w:rsidRPr="00ED7DE9" w:rsidTr="008C6C2E">
        <w:trPr>
          <w:gridAfter w:val="1"/>
          <w:wAfter w:w="88" w:type="pct"/>
          <w:cantSplit/>
          <w:trHeight w:val="248"/>
        </w:trPr>
        <w:tc>
          <w:tcPr>
            <w:tcW w:w="1567" w:type="pct"/>
            <w:gridSpan w:val="3"/>
            <w:vMerge/>
            <w:tcBorders>
              <w:bottom w:val="single" w:sz="4" w:space="0" w:color="auto"/>
            </w:tcBorders>
          </w:tcPr>
          <w:p w:rsidR="00F563E3" w:rsidRPr="00ED7DE9" w:rsidRDefault="00F563E3" w:rsidP="005123EA">
            <w:pPr>
              <w:widowControl/>
              <w:rPr>
                <w:rFonts w:ascii="Arial Narrow" w:hAnsi="Arial Narrow"/>
                <w:b/>
                <w:sz w:val="20"/>
              </w:rPr>
            </w:pPr>
          </w:p>
        </w:tc>
        <w:tc>
          <w:tcPr>
            <w:tcW w:w="550" w:type="pct"/>
            <w:vMerge/>
            <w:tcBorders>
              <w:bottom w:val="single" w:sz="4" w:space="0" w:color="auto"/>
            </w:tcBorders>
          </w:tcPr>
          <w:p w:rsidR="00F563E3" w:rsidRPr="00ED7DE9" w:rsidRDefault="00F563E3" w:rsidP="005123EA">
            <w:pPr>
              <w:widowControl/>
              <w:jc w:val="center"/>
              <w:rPr>
                <w:rFonts w:ascii="Arial Narrow" w:hAnsi="Arial Narrow"/>
                <w:b/>
                <w:sz w:val="20"/>
              </w:rPr>
            </w:pPr>
          </w:p>
        </w:tc>
        <w:tc>
          <w:tcPr>
            <w:tcW w:w="401" w:type="pct"/>
            <w:vMerge/>
            <w:tcBorders>
              <w:bottom w:val="single" w:sz="4" w:space="0" w:color="auto"/>
            </w:tcBorders>
          </w:tcPr>
          <w:p w:rsidR="00F563E3" w:rsidRPr="00ED7DE9" w:rsidRDefault="00F563E3" w:rsidP="005123EA">
            <w:pPr>
              <w:widowControl/>
              <w:jc w:val="center"/>
              <w:rPr>
                <w:rFonts w:ascii="Arial Narrow" w:hAnsi="Arial Narrow"/>
                <w:b/>
                <w:sz w:val="20"/>
              </w:rPr>
            </w:pPr>
          </w:p>
        </w:tc>
        <w:tc>
          <w:tcPr>
            <w:tcW w:w="631" w:type="pct"/>
            <w:tcBorders>
              <w:bottom w:val="single" w:sz="4" w:space="0" w:color="auto"/>
            </w:tcBorders>
          </w:tcPr>
          <w:p w:rsidR="00F563E3" w:rsidRPr="00200246" w:rsidRDefault="00F563E3" w:rsidP="005123EA">
            <w:pPr>
              <w:widowControl/>
              <w:jc w:val="center"/>
              <w:rPr>
                <w:rFonts w:ascii="Arial Narrow" w:hAnsi="Arial Narrow"/>
                <w:b/>
                <w:i/>
                <w:sz w:val="20"/>
              </w:rPr>
            </w:pPr>
            <w:r w:rsidRPr="00200246">
              <w:rPr>
                <w:rFonts w:ascii="Arial Narrow" w:hAnsi="Arial Narrow"/>
                <w:b/>
                <w:i/>
                <w:sz w:val="20"/>
              </w:rPr>
              <w:t xml:space="preserve">Public </w:t>
            </w:r>
          </w:p>
        </w:tc>
        <w:tc>
          <w:tcPr>
            <w:tcW w:w="631" w:type="pct"/>
            <w:tcBorders>
              <w:bottom w:val="single" w:sz="4" w:space="0" w:color="auto"/>
            </w:tcBorders>
          </w:tcPr>
          <w:p w:rsidR="00F563E3" w:rsidRPr="00200246" w:rsidRDefault="00F563E3" w:rsidP="005123EA">
            <w:pPr>
              <w:widowControl/>
              <w:jc w:val="center"/>
              <w:rPr>
                <w:rFonts w:ascii="Arial Narrow" w:hAnsi="Arial Narrow"/>
                <w:b/>
                <w:i/>
                <w:sz w:val="20"/>
              </w:rPr>
            </w:pPr>
            <w:r w:rsidRPr="00200246">
              <w:rPr>
                <w:rFonts w:ascii="Arial Narrow" w:hAnsi="Arial Narrow"/>
                <w:b/>
                <w:i/>
                <w:sz w:val="20"/>
              </w:rPr>
              <w:t xml:space="preserve">Private </w:t>
            </w:r>
          </w:p>
        </w:tc>
        <w:tc>
          <w:tcPr>
            <w:tcW w:w="1132" w:type="pct"/>
            <w:gridSpan w:val="2"/>
            <w:vMerge/>
            <w:tcBorders>
              <w:bottom w:val="single" w:sz="4" w:space="0" w:color="auto"/>
            </w:tcBorders>
          </w:tcPr>
          <w:p w:rsidR="00F563E3" w:rsidRPr="00ED7DE9" w:rsidRDefault="00F563E3" w:rsidP="005123EA">
            <w:pPr>
              <w:widowControl/>
              <w:jc w:val="center"/>
              <w:rPr>
                <w:rFonts w:ascii="Arial Narrow" w:hAnsi="Arial Narrow"/>
                <w:b/>
                <w:sz w:val="20"/>
              </w:rPr>
            </w:pPr>
          </w:p>
        </w:tc>
      </w:tr>
      <w:tr w:rsidR="00F563E3" w:rsidRPr="00ED7DE9" w:rsidTr="008C6C2E">
        <w:trPr>
          <w:gridAfter w:val="1"/>
          <w:wAfter w:w="88" w:type="pct"/>
          <w:cantSplit/>
          <w:trHeight w:val="577"/>
        </w:trPr>
        <w:tc>
          <w:tcPr>
            <w:tcW w:w="1567" w:type="pct"/>
            <w:gridSpan w:val="3"/>
          </w:tcPr>
          <w:p w:rsidR="00F563E3" w:rsidRPr="009B6F63" w:rsidRDefault="00F563E3" w:rsidP="005123EA">
            <w:pPr>
              <w:widowControl/>
              <w:rPr>
                <w:rFonts w:ascii="Arial Narrow" w:hAnsi="Arial Narrow"/>
                <w:sz w:val="20"/>
              </w:rPr>
            </w:pPr>
            <w:proofErr w:type="spellStart"/>
            <w:r w:rsidRPr="009B6F63">
              <w:rPr>
                <w:rFonts w:ascii="Arial Narrow" w:hAnsi="Arial Narrow"/>
                <w:smallCaps/>
                <w:sz w:val="20"/>
              </w:rPr>
              <w:t>Asfotase</w:t>
            </w:r>
            <w:proofErr w:type="spellEnd"/>
            <w:r w:rsidRPr="009B6F63">
              <w:rPr>
                <w:rFonts w:ascii="Arial Narrow" w:hAnsi="Arial Narrow"/>
                <w:smallCaps/>
                <w:sz w:val="20"/>
              </w:rPr>
              <w:t xml:space="preserve"> alfa </w:t>
            </w:r>
            <w:proofErr w:type="spellStart"/>
            <w:r w:rsidR="00465F17" w:rsidRPr="009B6F63">
              <w:rPr>
                <w:rFonts w:ascii="Arial Narrow" w:hAnsi="Arial Narrow"/>
                <w:smallCaps/>
                <w:sz w:val="20"/>
              </w:rPr>
              <w:t>rch</w:t>
            </w:r>
            <w:proofErr w:type="spellEnd"/>
          </w:p>
          <w:p w:rsidR="00F563E3" w:rsidRPr="009B6F63" w:rsidRDefault="00F563E3" w:rsidP="005123EA">
            <w:pPr>
              <w:widowControl/>
              <w:rPr>
                <w:rFonts w:ascii="Arial Narrow" w:hAnsi="Arial Narrow"/>
                <w:sz w:val="20"/>
              </w:rPr>
            </w:pPr>
            <w:r w:rsidRPr="009B6F63">
              <w:rPr>
                <w:rFonts w:ascii="Arial Narrow" w:hAnsi="Arial Narrow"/>
                <w:sz w:val="20"/>
              </w:rPr>
              <w:t>Injection 18 mg in 0.45 mL, vial</w:t>
            </w:r>
          </w:p>
          <w:p w:rsidR="00F563E3" w:rsidRPr="009B6F63" w:rsidRDefault="00F563E3" w:rsidP="005123EA">
            <w:pPr>
              <w:widowControl/>
              <w:rPr>
                <w:rFonts w:ascii="Arial Narrow" w:hAnsi="Arial Narrow"/>
                <w:sz w:val="20"/>
              </w:rPr>
            </w:pPr>
            <w:r w:rsidRPr="009B6F63">
              <w:rPr>
                <w:rFonts w:ascii="Arial Narrow" w:hAnsi="Arial Narrow"/>
                <w:sz w:val="20"/>
              </w:rPr>
              <w:t>Injection</w:t>
            </w:r>
            <w:r w:rsidRPr="009B6F63" w:rsidDel="00A21930">
              <w:rPr>
                <w:rFonts w:ascii="Arial Narrow" w:hAnsi="Arial Narrow"/>
                <w:sz w:val="20"/>
              </w:rPr>
              <w:t xml:space="preserve"> </w:t>
            </w:r>
            <w:r w:rsidRPr="009B6F63">
              <w:rPr>
                <w:rFonts w:ascii="Arial Narrow" w:hAnsi="Arial Narrow"/>
                <w:sz w:val="20"/>
              </w:rPr>
              <w:t>28 mg in 0.7 mL, vial</w:t>
            </w:r>
          </w:p>
          <w:p w:rsidR="00F563E3" w:rsidRPr="009B6F63" w:rsidRDefault="00F563E3" w:rsidP="005123EA">
            <w:pPr>
              <w:widowControl/>
              <w:rPr>
                <w:rFonts w:ascii="Arial Narrow" w:hAnsi="Arial Narrow"/>
                <w:sz w:val="20"/>
              </w:rPr>
            </w:pPr>
            <w:r w:rsidRPr="009B6F63">
              <w:rPr>
                <w:rFonts w:ascii="Arial Narrow" w:hAnsi="Arial Narrow"/>
                <w:sz w:val="20"/>
              </w:rPr>
              <w:t>Injection</w:t>
            </w:r>
            <w:r w:rsidRPr="009B6F63" w:rsidDel="00A21930">
              <w:rPr>
                <w:rFonts w:ascii="Arial Narrow" w:hAnsi="Arial Narrow"/>
                <w:sz w:val="20"/>
              </w:rPr>
              <w:t xml:space="preserve"> </w:t>
            </w:r>
            <w:r w:rsidRPr="009B6F63">
              <w:rPr>
                <w:rFonts w:ascii="Arial Narrow" w:hAnsi="Arial Narrow"/>
                <w:sz w:val="20"/>
              </w:rPr>
              <w:t>40 mg in 1 mL, vial</w:t>
            </w:r>
          </w:p>
          <w:p w:rsidR="00F563E3" w:rsidRPr="009B6F63" w:rsidRDefault="00F563E3" w:rsidP="005123EA">
            <w:pPr>
              <w:widowControl/>
              <w:rPr>
                <w:rFonts w:ascii="Arial Narrow" w:hAnsi="Arial Narrow"/>
                <w:sz w:val="20"/>
              </w:rPr>
            </w:pPr>
            <w:r w:rsidRPr="009B6F63">
              <w:rPr>
                <w:rFonts w:ascii="Arial Narrow" w:hAnsi="Arial Narrow"/>
                <w:sz w:val="20"/>
              </w:rPr>
              <w:t>Injection</w:t>
            </w:r>
            <w:r w:rsidRPr="009B6F63" w:rsidDel="00A21930">
              <w:rPr>
                <w:rFonts w:ascii="Arial Narrow" w:hAnsi="Arial Narrow"/>
                <w:sz w:val="20"/>
              </w:rPr>
              <w:t xml:space="preserve"> </w:t>
            </w:r>
            <w:r w:rsidRPr="009B6F63">
              <w:rPr>
                <w:rFonts w:ascii="Arial Narrow" w:hAnsi="Arial Narrow"/>
                <w:sz w:val="20"/>
              </w:rPr>
              <w:t>80 mg in 0.8 mL, vial</w:t>
            </w:r>
          </w:p>
        </w:tc>
        <w:tc>
          <w:tcPr>
            <w:tcW w:w="550" w:type="pct"/>
          </w:tcPr>
          <w:p w:rsidR="00F563E3" w:rsidRPr="009B6F63" w:rsidRDefault="00F563E3" w:rsidP="005123EA">
            <w:pPr>
              <w:widowControl/>
              <w:jc w:val="center"/>
              <w:rPr>
                <w:rFonts w:ascii="Arial Narrow" w:hAnsi="Arial Narrow"/>
                <w:sz w:val="20"/>
              </w:rPr>
            </w:pPr>
          </w:p>
          <w:p w:rsidR="00F563E3" w:rsidRPr="009B6F63" w:rsidRDefault="00F563E3" w:rsidP="005123EA">
            <w:pPr>
              <w:widowControl/>
              <w:jc w:val="center"/>
              <w:rPr>
                <w:rFonts w:ascii="Arial Narrow" w:hAnsi="Arial Narrow"/>
                <w:sz w:val="20"/>
              </w:rPr>
            </w:pPr>
            <w:r w:rsidRPr="009B6F63">
              <w:rPr>
                <w:rFonts w:ascii="Arial Narrow" w:hAnsi="Arial Narrow"/>
                <w:sz w:val="20"/>
              </w:rPr>
              <w:t>12</w:t>
            </w:r>
          </w:p>
          <w:p w:rsidR="00F563E3" w:rsidRPr="009B6F63" w:rsidRDefault="00F563E3" w:rsidP="005123EA">
            <w:pPr>
              <w:widowControl/>
              <w:jc w:val="center"/>
              <w:rPr>
                <w:rFonts w:ascii="Arial Narrow" w:hAnsi="Arial Narrow"/>
                <w:sz w:val="20"/>
              </w:rPr>
            </w:pPr>
            <w:r w:rsidRPr="009B6F63">
              <w:rPr>
                <w:rFonts w:ascii="Arial Narrow" w:hAnsi="Arial Narrow"/>
                <w:sz w:val="20"/>
              </w:rPr>
              <w:t>12</w:t>
            </w:r>
          </w:p>
          <w:p w:rsidR="00F563E3" w:rsidRPr="009B6F63" w:rsidRDefault="00F563E3" w:rsidP="005123EA">
            <w:pPr>
              <w:widowControl/>
              <w:jc w:val="center"/>
              <w:rPr>
                <w:rFonts w:ascii="Arial Narrow" w:hAnsi="Arial Narrow"/>
                <w:sz w:val="20"/>
              </w:rPr>
            </w:pPr>
            <w:r w:rsidRPr="009B6F63">
              <w:rPr>
                <w:rFonts w:ascii="Arial Narrow" w:hAnsi="Arial Narrow"/>
                <w:sz w:val="20"/>
              </w:rPr>
              <w:t>12</w:t>
            </w:r>
          </w:p>
          <w:p w:rsidR="00F563E3" w:rsidRPr="009B6F63" w:rsidRDefault="00F563E3" w:rsidP="005123EA">
            <w:pPr>
              <w:widowControl/>
              <w:jc w:val="center"/>
              <w:rPr>
                <w:rFonts w:ascii="Arial Narrow" w:hAnsi="Arial Narrow"/>
                <w:sz w:val="20"/>
              </w:rPr>
            </w:pPr>
            <w:r w:rsidRPr="009B6F63">
              <w:rPr>
                <w:rFonts w:ascii="Arial Narrow" w:hAnsi="Arial Narrow"/>
                <w:sz w:val="20"/>
              </w:rPr>
              <w:t>12</w:t>
            </w:r>
          </w:p>
        </w:tc>
        <w:tc>
          <w:tcPr>
            <w:tcW w:w="401" w:type="pct"/>
          </w:tcPr>
          <w:p w:rsidR="00F563E3" w:rsidRPr="009B6F63" w:rsidRDefault="00F563E3" w:rsidP="005123EA">
            <w:pPr>
              <w:widowControl/>
              <w:jc w:val="center"/>
              <w:rPr>
                <w:rFonts w:ascii="Arial Narrow" w:hAnsi="Arial Narrow"/>
                <w:sz w:val="20"/>
              </w:rPr>
            </w:pPr>
          </w:p>
          <w:p w:rsidR="00F563E3" w:rsidRPr="009B6F63" w:rsidRDefault="00F563E3" w:rsidP="005123EA">
            <w:pPr>
              <w:widowControl/>
              <w:jc w:val="center"/>
              <w:rPr>
                <w:rFonts w:ascii="Arial Narrow" w:hAnsi="Arial Narrow"/>
                <w:sz w:val="20"/>
              </w:rPr>
            </w:pPr>
            <w:r w:rsidRPr="009B6F63">
              <w:rPr>
                <w:rFonts w:ascii="Arial Narrow" w:hAnsi="Arial Narrow"/>
                <w:sz w:val="20"/>
              </w:rPr>
              <w:t>0</w:t>
            </w:r>
          </w:p>
          <w:p w:rsidR="00F563E3" w:rsidRPr="009B6F63" w:rsidRDefault="00F563E3" w:rsidP="005123EA">
            <w:pPr>
              <w:widowControl/>
              <w:jc w:val="center"/>
              <w:rPr>
                <w:rFonts w:ascii="Arial Narrow" w:hAnsi="Arial Narrow"/>
                <w:sz w:val="20"/>
              </w:rPr>
            </w:pPr>
            <w:r w:rsidRPr="009B6F63">
              <w:rPr>
                <w:rFonts w:ascii="Arial Narrow" w:hAnsi="Arial Narrow"/>
                <w:sz w:val="20"/>
              </w:rPr>
              <w:t>0</w:t>
            </w:r>
          </w:p>
          <w:p w:rsidR="00F563E3" w:rsidRPr="009B6F63" w:rsidRDefault="00F563E3" w:rsidP="005123EA">
            <w:pPr>
              <w:widowControl/>
              <w:jc w:val="center"/>
              <w:rPr>
                <w:rFonts w:ascii="Arial Narrow" w:hAnsi="Arial Narrow"/>
                <w:sz w:val="20"/>
              </w:rPr>
            </w:pPr>
            <w:r w:rsidRPr="009B6F63">
              <w:rPr>
                <w:rFonts w:ascii="Arial Narrow" w:hAnsi="Arial Narrow"/>
                <w:sz w:val="20"/>
              </w:rPr>
              <w:t>0</w:t>
            </w:r>
          </w:p>
          <w:p w:rsidR="00F563E3" w:rsidRPr="009B6F63" w:rsidRDefault="00F563E3" w:rsidP="005123EA">
            <w:pPr>
              <w:widowControl/>
              <w:jc w:val="center"/>
              <w:rPr>
                <w:rFonts w:ascii="Arial Narrow" w:hAnsi="Arial Narrow"/>
                <w:sz w:val="20"/>
              </w:rPr>
            </w:pPr>
            <w:r w:rsidRPr="009B6F63">
              <w:rPr>
                <w:rFonts w:ascii="Arial Narrow" w:hAnsi="Arial Narrow"/>
                <w:sz w:val="20"/>
              </w:rPr>
              <w:t>0</w:t>
            </w:r>
          </w:p>
        </w:tc>
        <w:tc>
          <w:tcPr>
            <w:tcW w:w="631" w:type="pct"/>
          </w:tcPr>
          <w:p w:rsidR="00F563E3" w:rsidRPr="009B6F63" w:rsidRDefault="00F563E3" w:rsidP="005123EA">
            <w:pPr>
              <w:widowControl/>
              <w:jc w:val="center"/>
              <w:rPr>
                <w:rFonts w:ascii="Arial Narrow" w:hAnsi="Arial Narrow"/>
                <w:sz w:val="20"/>
              </w:rPr>
            </w:pPr>
          </w:p>
          <w:p w:rsidR="00F563E3" w:rsidRPr="009B6F63" w:rsidRDefault="00F563E3" w:rsidP="005123EA">
            <w:pPr>
              <w:widowControl/>
              <w:jc w:val="center"/>
              <w:rPr>
                <w:rFonts w:ascii="Arial Narrow" w:hAnsi="Arial Narrow"/>
                <w:sz w:val="20"/>
              </w:rPr>
            </w:pPr>
            <w:r w:rsidRPr="009B6F63">
              <w:rPr>
                <w:rFonts w:ascii="Arial Narrow" w:hAnsi="Arial Narrow"/>
                <w:sz w:val="20"/>
              </w:rPr>
              <w:t>$</w:t>
            </w:r>
            <w:r w:rsidR="00551B2E">
              <w:rPr>
                <w:rFonts w:ascii="Arial Narrow" w:hAnsi="Arial Narrow"/>
                <w:noProof/>
                <w:color w:val="000000"/>
                <w:sz w:val="20"/>
                <w:highlight w:val="black"/>
              </w:rPr>
              <w:t>'''''''''''''''''''''''''</w:t>
            </w:r>
          </w:p>
          <w:p w:rsidR="00F563E3" w:rsidRPr="009B6F63" w:rsidRDefault="00F563E3" w:rsidP="005123EA">
            <w:pPr>
              <w:widowControl/>
              <w:jc w:val="center"/>
              <w:rPr>
                <w:rFonts w:ascii="Arial Narrow" w:hAnsi="Arial Narrow"/>
                <w:sz w:val="20"/>
              </w:rPr>
            </w:pPr>
            <w:r w:rsidRPr="009B6F63">
              <w:rPr>
                <w:rFonts w:ascii="Arial Narrow" w:hAnsi="Arial Narrow"/>
                <w:sz w:val="20"/>
              </w:rPr>
              <w:t>$</w:t>
            </w:r>
            <w:r w:rsidR="00551B2E">
              <w:rPr>
                <w:rFonts w:ascii="Arial Narrow" w:hAnsi="Arial Narrow"/>
                <w:noProof/>
                <w:color w:val="000000"/>
                <w:sz w:val="20"/>
                <w:highlight w:val="black"/>
              </w:rPr>
              <w:t>'''''''''''''''''''''''</w:t>
            </w:r>
          </w:p>
          <w:p w:rsidR="00F563E3" w:rsidRPr="009B6F63" w:rsidRDefault="00F563E3" w:rsidP="005123EA">
            <w:pPr>
              <w:widowControl/>
              <w:jc w:val="center"/>
              <w:rPr>
                <w:rFonts w:ascii="Arial Narrow" w:hAnsi="Arial Narrow"/>
                <w:sz w:val="20"/>
              </w:rPr>
            </w:pPr>
            <w:r w:rsidRPr="009B6F63">
              <w:rPr>
                <w:rFonts w:ascii="Arial Narrow" w:hAnsi="Arial Narrow"/>
                <w:sz w:val="20"/>
              </w:rPr>
              <w:t>$</w:t>
            </w:r>
            <w:r w:rsidR="00551B2E">
              <w:rPr>
                <w:rFonts w:ascii="Arial Narrow" w:hAnsi="Arial Narrow"/>
                <w:noProof/>
                <w:color w:val="000000"/>
                <w:sz w:val="20"/>
                <w:highlight w:val="black"/>
              </w:rPr>
              <w:t>''''''''''''''''''''''</w:t>
            </w:r>
          </w:p>
          <w:p w:rsidR="00F563E3" w:rsidRPr="009B6F63" w:rsidRDefault="00F563E3" w:rsidP="005123EA">
            <w:pPr>
              <w:widowControl/>
              <w:jc w:val="center"/>
              <w:rPr>
                <w:rFonts w:ascii="Arial Narrow" w:hAnsi="Arial Narrow"/>
                <w:sz w:val="20"/>
              </w:rPr>
            </w:pPr>
            <w:r w:rsidRPr="009B6F63">
              <w:rPr>
                <w:rFonts w:ascii="Arial Narrow" w:hAnsi="Arial Narrow"/>
                <w:sz w:val="20"/>
              </w:rPr>
              <w:t>$</w:t>
            </w:r>
            <w:r w:rsidR="00551B2E">
              <w:rPr>
                <w:rFonts w:ascii="Arial Narrow" w:hAnsi="Arial Narrow"/>
                <w:noProof/>
                <w:color w:val="000000"/>
                <w:sz w:val="20"/>
                <w:highlight w:val="black"/>
              </w:rPr>
              <w:t>'''''''''''''''''''''''''</w:t>
            </w:r>
          </w:p>
        </w:tc>
        <w:tc>
          <w:tcPr>
            <w:tcW w:w="631" w:type="pct"/>
            <w:tcBorders>
              <w:left w:val="nil"/>
            </w:tcBorders>
          </w:tcPr>
          <w:p w:rsidR="00F563E3" w:rsidRPr="009B6F63" w:rsidRDefault="00F563E3" w:rsidP="005123EA">
            <w:pPr>
              <w:widowControl/>
              <w:jc w:val="left"/>
              <w:rPr>
                <w:rFonts w:ascii="Arial Narrow" w:hAnsi="Arial Narrow"/>
                <w:sz w:val="20"/>
              </w:rPr>
            </w:pPr>
          </w:p>
          <w:p w:rsidR="00F563E3" w:rsidRPr="009B6F63" w:rsidRDefault="00F563E3" w:rsidP="005123EA">
            <w:pPr>
              <w:widowControl/>
              <w:jc w:val="center"/>
              <w:rPr>
                <w:rFonts w:ascii="Arial Narrow" w:hAnsi="Arial Narrow"/>
                <w:sz w:val="20"/>
              </w:rPr>
            </w:pPr>
            <w:r w:rsidRPr="009B6F63">
              <w:rPr>
                <w:rFonts w:ascii="Arial Narrow" w:hAnsi="Arial Narrow"/>
                <w:sz w:val="20"/>
              </w:rPr>
              <w:t>$</w:t>
            </w:r>
            <w:r w:rsidR="00551B2E">
              <w:rPr>
                <w:rFonts w:ascii="Arial Narrow" w:hAnsi="Arial Narrow"/>
                <w:noProof/>
                <w:color w:val="000000"/>
                <w:sz w:val="20"/>
                <w:highlight w:val="black"/>
              </w:rPr>
              <w:t>''''''''''''''''''''''''</w:t>
            </w:r>
          </w:p>
          <w:p w:rsidR="00F563E3" w:rsidRPr="009B6F63" w:rsidRDefault="00F563E3" w:rsidP="005123EA">
            <w:pPr>
              <w:widowControl/>
              <w:jc w:val="center"/>
              <w:rPr>
                <w:rFonts w:ascii="Arial Narrow" w:hAnsi="Arial Narrow"/>
                <w:sz w:val="20"/>
              </w:rPr>
            </w:pPr>
            <w:r w:rsidRPr="009B6F63">
              <w:rPr>
                <w:rFonts w:ascii="Arial Narrow" w:hAnsi="Arial Narrow"/>
                <w:sz w:val="20"/>
              </w:rPr>
              <w:t>$</w:t>
            </w:r>
            <w:r w:rsidR="00551B2E">
              <w:rPr>
                <w:rFonts w:ascii="Arial Narrow" w:hAnsi="Arial Narrow"/>
                <w:noProof/>
                <w:color w:val="000000"/>
                <w:sz w:val="20"/>
                <w:highlight w:val="black"/>
              </w:rPr>
              <w:t>'''''''''''''''''''''''''</w:t>
            </w:r>
          </w:p>
          <w:p w:rsidR="00F563E3" w:rsidRPr="009B6F63" w:rsidRDefault="00F563E3" w:rsidP="005123EA">
            <w:pPr>
              <w:widowControl/>
              <w:jc w:val="center"/>
              <w:rPr>
                <w:rFonts w:ascii="Arial Narrow" w:hAnsi="Arial Narrow"/>
                <w:sz w:val="20"/>
              </w:rPr>
            </w:pPr>
            <w:r w:rsidRPr="009B6F63">
              <w:rPr>
                <w:rFonts w:ascii="Arial Narrow" w:hAnsi="Arial Narrow"/>
                <w:sz w:val="20"/>
              </w:rPr>
              <w:t>$</w:t>
            </w:r>
            <w:r w:rsidR="00551B2E">
              <w:rPr>
                <w:rFonts w:ascii="Arial Narrow" w:hAnsi="Arial Narrow"/>
                <w:noProof/>
                <w:color w:val="000000"/>
                <w:sz w:val="20"/>
                <w:highlight w:val="black"/>
              </w:rPr>
              <w:t>'''''''''''''''''''''</w:t>
            </w:r>
          </w:p>
          <w:p w:rsidR="00F563E3" w:rsidRPr="009B6F63" w:rsidRDefault="00F563E3" w:rsidP="005123EA">
            <w:pPr>
              <w:widowControl/>
              <w:jc w:val="center"/>
              <w:rPr>
                <w:rFonts w:ascii="Arial Narrow" w:hAnsi="Arial Narrow"/>
                <w:sz w:val="20"/>
              </w:rPr>
            </w:pPr>
            <w:r w:rsidRPr="009B6F63">
              <w:rPr>
                <w:rFonts w:ascii="Arial Narrow" w:hAnsi="Arial Narrow"/>
                <w:sz w:val="20"/>
              </w:rPr>
              <w:t>$</w:t>
            </w:r>
            <w:r w:rsidR="00551B2E">
              <w:rPr>
                <w:rFonts w:ascii="Arial Narrow" w:hAnsi="Arial Narrow"/>
                <w:noProof/>
                <w:color w:val="000000"/>
                <w:sz w:val="20"/>
                <w:highlight w:val="black"/>
              </w:rPr>
              <w:t>'''''''''''''''''''''''''</w:t>
            </w:r>
          </w:p>
        </w:tc>
        <w:tc>
          <w:tcPr>
            <w:tcW w:w="408" w:type="pct"/>
          </w:tcPr>
          <w:p w:rsidR="00F563E3" w:rsidRPr="009B6F63" w:rsidRDefault="00F563E3" w:rsidP="005123EA">
            <w:pPr>
              <w:widowControl/>
              <w:jc w:val="center"/>
              <w:rPr>
                <w:rFonts w:ascii="Arial Narrow" w:hAnsi="Arial Narrow"/>
                <w:sz w:val="20"/>
              </w:rPr>
            </w:pPr>
            <w:proofErr w:type="spellStart"/>
            <w:r w:rsidRPr="009B6F63">
              <w:rPr>
                <w:rFonts w:ascii="Arial Narrow" w:hAnsi="Arial Narrow"/>
                <w:sz w:val="20"/>
              </w:rPr>
              <w:t>Strensiq</w:t>
            </w:r>
            <w:proofErr w:type="spellEnd"/>
            <w:r w:rsidRPr="009B6F63">
              <w:rPr>
                <w:rFonts w:ascii="Arial Narrow" w:hAnsi="Arial Narrow"/>
                <w:sz w:val="20"/>
                <w:vertAlign w:val="superscript"/>
              </w:rPr>
              <w:t>®</w:t>
            </w:r>
          </w:p>
        </w:tc>
        <w:tc>
          <w:tcPr>
            <w:tcW w:w="724" w:type="pct"/>
          </w:tcPr>
          <w:p w:rsidR="00F563E3" w:rsidRPr="009B6F63" w:rsidRDefault="00F563E3" w:rsidP="005123EA">
            <w:pPr>
              <w:widowControl/>
              <w:jc w:val="center"/>
              <w:rPr>
                <w:rFonts w:ascii="Arial Narrow" w:hAnsi="Arial Narrow"/>
                <w:sz w:val="20"/>
              </w:rPr>
            </w:pPr>
            <w:r w:rsidRPr="009B6F63">
              <w:rPr>
                <w:rFonts w:ascii="Arial Narrow" w:hAnsi="Arial Narrow"/>
                <w:sz w:val="20"/>
              </w:rPr>
              <w:t>XI</w:t>
            </w:r>
          </w:p>
        </w:tc>
      </w:tr>
      <w:tr w:rsidR="00B10DD6" w:rsidRPr="00A939CD" w:rsidTr="00F563E3">
        <w:trPr>
          <w:gridAfter w:val="1"/>
          <w:wAfter w:w="88" w:type="pct"/>
          <w:cantSplit/>
          <w:trHeight w:val="177"/>
        </w:trPr>
        <w:tc>
          <w:tcPr>
            <w:tcW w:w="4912" w:type="pct"/>
            <w:gridSpan w:val="9"/>
          </w:tcPr>
          <w:p w:rsidR="00B10DD6" w:rsidRPr="009B6F63" w:rsidRDefault="00B10DD6" w:rsidP="005123EA">
            <w:pPr>
              <w:widowControl/>
              <w:tabs>
                <w:tab w:val="left" w:pos="255"/>
              </w:tabs>
              <w:spacing w:after="120"/>
              <w:ind w:left="256" w:hanging="284"/>
              <w:jc w:val="left"/>
              <w:rPr>
                <w:rFonts w:ascii="Arial Narrow" w:hAnsi="Arial Narrow"/>
                <w:sz w:val="20"/>
              </w:rPr>
            </w:pPr>
            <w:proofErr w:type="gramStart"/>
            <w:r w:rsidRPr="009B6F63">
              <w:rPr>
                <w:rFonts w:ascii="Arial Narrow" w:hAnsi="Arial Narrow"/>
                <w:sz w:val="20"/>
                <w:vertAlign w:val="superscript"/>
              </w:rPr>
              <w:t>a</w:t>
            </w:r>
            <w:proofErr w:type="gramEnd"/>
            <w:r w:rsidRPr="009B6F63">
              <w:rPr>
                <w:rFonts w:ascii="Arial Narrow" w:hAnsi="Arial Narrow"/>
                <w:sz w:val="20"/>
                <w:vertAlign w:val="superscript"/>
              </w:rPr>
              <w:tab/>
            </w:r>
            <w:r w:rsidR="00D67D09" w:rsidRPr="009B6F63">
              <w:rPr>
                <w:rFonts w:ascii="Arial Narrow" w:hAnsi="Arial Narrow"/>
                <w:sz w:val="20"/>
              </w:rPr>
              <w:t>B</w:t>
            </w:r>
            <w:r w:rsidR="00200246" w:rsidRPr="009B6F63">
              <w:rPr>
                <w:rFonts w:ascii="Arial Narrow" w:hAnsi="Arial Narrow"/>
                <w:sz w:val="20"/>
              </w:rPr>
              <w:t>ased on a</w:t>
            </w:r>
            <w:r w:rsidR="00855052" w:rsidRPr="009B6F63">
              <w:rPr>
                <w:rFonts w:ascii="Arial Narrow" w:hAnsi="Arial Narrow"/>
                <w:sz w:val="20"/>
              </w:rPr>
              <w:t xml:space="preserve"> requested</w:t>
            </w:r>
            <w:r w:rsidR="00200246" w:rsidRPr="009B6F63">
              <w:rPr>
                <w:rFonts w:ascii="Arial Narrow" w:hAnsi="Arial Narrow"/>
                <w:sz w:val="20"/>
              </w:rPr>
              <w:t xml:space="preserve"> </w:t>
            </w:r>
            <w:r w:rsidR="00F563E3" w:rsidRPr="009B6F63">
              <w:rPr>
                <w:rFonts w:ascii="Arial Narrow" w:hAnsi="Arial Narrow"/>
                <w:sz w:val="20"/>
              </w:rPr>
              <w:t>ex-manufacturer</w:t>
            </w:r>
            <w:r w:rsidR="00F563E3" w:rsidRPr="009B6F63">
              <w:rPr>
                <w:rFonts w:ascii="Arial Narrow" w:hAnsi="Arial Narrow"/>
                <w:sz w:val="20"/>
                <w:vertAlign w:val="superscript"/>
              </w:rPr>
              <w:t xml:space="preserve"> </w:t>
            </w:r>
            <w:r w:rsidR="00F563E3" w:rsidRPr="009B6F63">
              <w:rPr>
                <w:rFonts w:ascii="Arial Narrow" w:hAnsi="Arial Narrow"/>
                <w:sz w:val="20"/>
              </w:rPr>
              <w:t xml:space="preserve">price </w:t>
            </w:r>
            <w:r w:rsidR="00200246" w:rsidRPr="009B6F63">
              <w:rPr>
                <w:rFonts w:ascii="Arial Narrow" w:hAnsi="Arial Narrow"/>
                <w:sz w:val="20"/>
              </w:rPr>
              <w:t>of $</w:t>
            </w:r>
            <w:r w:rsidR="00551B2E">
              <w:rPr>
                <w:rFonts w:ascii="Arial Narrow" w:hAnsi="Arial Narrow"/>
                <w:noProof/>
                <w:color w:val="000000"/>
                <w:sz w:val="20"/>
                <w:highlight w:val="black"/>
              </w:rPr>
              <w:t>''''''''''''''</w:t>
            </w:r>
            <w:r w:rsidR="00200246" w:rsidRPr="009B6F63">
              <w:rPr>
                <w:rFonts w:ascii="Arial Narrow" w:hAnsi="Arial Narrow"/>
                <w:sz w:val="20"/>
              </w:rPr>
              <w:t xml:space="preserve"> per mg </w:t>
            </w:r>
            <w:r w:rsidR="00F563E3" w:rsidRPr="009B6F63">
              <w:rPr>
                <w:rFonts w:ascii="Arial Narrow" w:hAnsi="Arial Narrow"/>
                <w:sz w:val="20"/>
              </w:rPr>
              <w:t xml:space="preserve">for </w:t>
            </w:r>
            <w:r w:rsidRPr="009B6F63">
              <w:rPr>
                <w:rFonts w:ascii="Arial Narrow" w:hAnsi="Arial Narrow"/>
                <w:sz w:val="20"/>
              </w:rPr>
              <w:t>public hospital</w:t>
            </w:r>
            <w:r w:rsidR="00200246" w:rsidRPr="009B6F63">
              <w:rPr>
                <w:rFonts w:ascii="Arial Narrow" w:hAnsi="Arial Narrow"/>
                <w:sz w:val="20"/>
              </w:rPr>
              <w:t>s</w:t>
            </w:r>
            <w:r w:rsidRPr="009B6F63">
              <w:rPr>
                <w:rFonts w:ascii="Arial Narrow" w:hAnsi="Arial Narrow"/>
                <w:sz w:val="20"/>
              </w:rPr>
              <w:t xml:space="preserve">, </w:t>
            </w:r>
            <w:r w:rsidR="002175F3" w:rsidRPr="009B6F63">
              <w:rPr>
                <w:rFonts w:ascii="Arial Narrow" w:hAnsi="Arial Narrow"/>
                <w:sz w:val="20"/>
              </w:rPr>
              <w:t xml:space="preserve">with a </w:t>
            </w:r>
            <w:r w:rsidRPr="009B6F63">
              <w:rPr>
                <w:rFonts w:ascii="Arial Narrow" w:hAnsi="Arial Narrow"/>
                <w:sz w:val="20"/>
              </w:rPr>
              <w:t xml:space="preserve">$40 </w:t>
            </w:r>
            <w:r w:rsidR="00803BA8" w:rsidRPr="009B6F63">
              <w:rPr>
                <w:rFonts w:ascii="Arial Narrow" w:hAnsi="Arial Narrow"/>
                <w:sz w:val="20"/>
              </w:rPr>
              <w:t>mark-up and $</w:t>
            </w:r>
            <w:r w:rsidR="008C6C2E" w:rsidRPr="009B6F63">
              <w:rPr>
                <w:rFonts w:ascii="Arial Narrow" w:hAnsi="Arial Narrow"/>
                <w:sz w:val="20"/>
              </w:rPr>
              <w:t>7.02</w:t>
            </w:r>
            <w:r w:rsidR="00803BA8" w:rsidRPr="009B6F63">
              <w:rPr>
                <w:rFonts w:ascii="Arial Narrow" w:hAnsi="Arial Narrow"/>
                <w:sz w:val="20"/>
              </w:rPr>
              <w:t xml:space="preserve"> dispensing fee </w:t>
            </w:r>
            <w:r w:rsidR="002175F3" w:rsidRPr="009B6F63">
              <w:rPr>
                <w:rFonts w:ascii="Arial Narrow" w:hAnsi="Arial Narrow"/>
                <w:sz w:val="20"/>
              </w:rPr>
              <w:t xml:space="preserve">added </w:t>
            </w:r>
            <w:r w:rsidR="00200246" w:rsidRPr="009B6F63">
              <w:rPr>
                <w:rFonts w:ascii="Arial Narrow" w:hAnsi="Arial Narrow"/>
                <w:sz w:val="20"/>
              </w:rPr>
              <w:t xml:space="preserve">for </w:t>
            </w:r>
            <w:r w:rsidRPr="009B6F63">
              <w:rPr>
                <w:rFonts w:ascii="Arial Narrow" w:hAnsi="Arial Narrow"/>
                <w:sz w:val="20"/>
              </w:rPr>
              <w:t>private hospitals</w:t>
            </w:r>
            <w:r w:rsidR="002175F3" w:rsidRPr="009B6F63">
              <w:rPr>
                <w:rFonts w:ascii="Arial Narrow" w:hAnsi="Arial Narrow"/>
                <w:sz w:val="20"/>
              </w:rPr>
              <w:t>.</w:t>
            </w:r>
          </w:p>
        </w:tc>
      </w:tr>
      <w:tr w:rsidR="00B10DD6" w:rsidRPr="00DD48DB" w:rsidTr="006E5375">
        <w:tblPrEx>
          <w:tblCellMar>
            <w:left w:w="108" w:type="dxa"/>
            <w:right w:w="108" w:type="dxa"/>
          </w:tblCellMar>
        </w:tblPrEx>
        <w:trPr>
          <w:gridBefore w:val="1"/>
          <w:wBefore w:w="4" w:type="pct"/>
          <w:cantSplit/>
          <w:trHeight w:val="360"/>
        </w:trPr>
        <w:tc>
          <w:tcPr>
            <w:tcW w:w="1053"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keepNext w:val="0"/>
            </w:pPr>
            <w:r w:rsidRPr="00DD48DB">
              <w:t>Category / Program:</w:t>
            </w:r>
          </w:p>
        </w:tc>
        <w:tc>
          <w:tcPr>
            <w:tcW w:w="3943" w:type="pct"/>
            <w:gridSpan w:val="8"/>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keepNext w:val="0"/>
            </w:pPr>
            <w:r>
              <w:t>Section 100 – Highly Specialised Drugs Program</w:t>
            </w:r>
          </w:p>
        </w:tc>
      </w:tr>
      <w:tr w:rsidR="00B10DD6" w:rsidRPr="00DD48DB" w:rsidTr="006E5375">
        <w:tblPrEx>
          <w:tblCellMar>
            <w:left w:w="108" w:type="dxa"/>
            <w:right w:w="108" w:type="dxa"/>
          </w:tblCellMar>
        </w:tblPrEx>
        <w:trPr>
          <w:gridBefore w:val="1"/>
          <w:wBefore w:w="4" w:type="pct"/>
          <w:cantSplit/>
          <w:trHeight w:val="360"/>
        </w:trPr>
        <w:tc>
          <w:tcPr>
            <w:tcW w:w="1053"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keepNext w:val="0"/>
              <w:rPr>
                <w:rFonts w:eastAsia="Times New Roman" w:cs="Times New Roman"/>
                <w:szCs w:val="20"/>
                <w:lang w:val="en-US"/>
              </w:rPr>
            </w:pPr>
            <w:r w:rsidRPr="00DD48DB">
              <w:t>PBS Indication:</w:t>
            </w:r>
          </w:p>
        </w:tc>
        <w:tc>
          <w:tcPr>
            <w:tcW w:w="3943" w:type="pct"/>
            <w:gridSpan w:val="8"/>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keepNext w:val="0"/>
            </w:pPr>
            <w:r>
              <w:t xml:space="preserve">Paediatric-onset </w:t>
            </w:r>
            <w:proofErr w:type="spellStart"/>
            <w:r>
              <w:t>Hypophosphatasia</w:t>
            </w:r>
            <w:proofErr w:type="spellEnd"/>
            <w:r>
              <w:t xml:space="preserve"> (HPP)</w:t>
            </w:r>
          </w:p>
        </w:tc>
      </w:tr>
      <w:tr w:rsidR="00B10DD6" w:rsidRPr="00DD48DB" w:rsidTr="006E5375">
        <w:tblPrEx>
          <w:tblCellMar>
            <w:left w:w="108" w:type="dxa"/>
            <w:right w:w="108" w:type="dxa"/>
          </w:tblCellMar>
        </w:tblPrEx>
        <w:trPr>
          <w:gridBefore w:val="1"/>
          <w:wBefore w:w="4" w:type="pct"/>
          <w:cantSplit/>
          <w:trHeight w:val="360"/>
        </w:trPr>
        <w:tc>
          <w:tcPr>
            <w:tcW w:w="1053"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keepNext w:val="0"/>
            </w:pPr>
            <w:r w:rsidRPr="00DD48DB">
              <w:t>Treatment phase:</w:t>
            </w:r>
          </w:p>
        </w:tc>
        <w:tc>
          <w:tcPr>
            <w:tcW w:w="3943" w:type="pct"/>
            <w:gridSpan w:val="8"/>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keepNext w:val="0"/>
            </w:pPr>
            <w:r>
              <w:t>Initial treatment</w:t>
            </w:r>
          </w:p>
        </w:tc>
      </w:tr>
      <w:tr w:rsidR="00B10DD6" w:rsidRPr="00DD48DB" w:rsidTr="006E5375">
        <w:tblPrEx>
          <w:tblCellMar>
            <w:left w:w="108" w:type="dxa"/>
            <w:right w:w="108" w:type="dxa"/>
          </w:tblCellMar>
        </w:tblPrEx>
        <w:trPr>
          <w:gridBefore w:val="1"/>
          <w:wBefore w:w="4" w:type="pct"/>
          <w:cantSplit/>
          <w:trHeight w:val="360"/>
        </w:trPr>
        <w:tc>
          <w:tcPr>
            <w:tcW w:w="1053"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keepNext w:val="0"/>
            </w:pPr>
            <w:r w:rsidRPr="00DD48DB">
              <w:t>Restriction:</w:t>
            </w:r>
          </w:p>
        </w:tc>
        <w:tc>
          <w:tcPr>
            <w:tcW w:w="3943" w:type="pct"/>
            <w:gridSpan w:val="8"/>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keepNext w:val="0"/>
            </w:pPr>
            <w:r>
              <w:t xml:space="preserve">Authority required </w:t>
            </w:r>
            <w:r w:rsidR="00712926">
              <w:t xml:space="preserve">– </w:t>
            </w:r>
            <w:r>
              <w:t>in</w:t>
            </w:r>
            <w:r w:rsidR="00712926">
              <w:t xml:space="preserve"> </w:t>
            </w:r>
            <w:r>
              <w:t>writing</w:t>
            </w:r>
          </w:p>
        </w:tc>
      </w:tr>
      <w:tr w:rsidR="00B10DD6" w:rsidRPr="00DD48DB" w:rsidTr="006E5375">
        <w:tblPrEx>
          <w:tblCellMar>
            <w:left w:w="108" w:type="dxa"/>
            <w:right w:w="108" w:type="dxa"/>
          </w:tblCellMar>
        </w:tblPrEx>
        <w:trPr>
          <w:gridBefore w:val="1"/>
          <w:wBefore w:w="4" w:type="pct"/>
          <w:cantSplit/>
          <w:trHeight w:val="360"/>
        </w:trPr>
        <w:tc>
          <w:tcPr>
            <w:tcW w:w="1053"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keepNext w:val="0"/>
              <w:rPr>
                <w:rFonts w:eastAsia="Times New Roman" w:cs="Times New Roman"/>
                <w:szCs w:val="20"/>
                <w:lang w:val="en-US"/>
              </w:rPr>
            </w:pPr>
            <w:r w:rsidRPr="00DD48DB">
              <w:lastRenderedPageBreak/>
              <w:t>Clinical criteria:</w:t>
            </w:r>
          </w:p>
        </w:tc>
        <w:tc>
          <w:tcPr>
            <w:tcW w:w="3943" w:type="pct"/>
            <w:gridSpan w:val="8"/>
            <w:tcBorders>
              <w:top w:val="single" w:sz="4" w:space="0" w:color="auto"/>
              <w:left w:val="single" w:sz="4" w:space="0" w:color="auto"/>
              <w:bottom w:val="single" w:sz="4" w:space="0" w:color="auto"/>
              <w:right w:val="single" w:sz="4" w:space="0" w:color="auto"/>
            </w:tcBorders>
          </w:tcPr>
          <w:p w:rsidR="00B10DD6" w:rsidRDefault="00B10DD6" w:rsidP="005123EA">
            <w:pPr>
              <w:pStyle w:val="TableText1"/>
              <w:keepNext w:val="0"/>
            </w:pPr>
            <w:r>
              <w:t>All infants 1 year old or younger with HPP, confirmed by age- and gender-adjusted alkaline phosphatase (ALP) activity below lower limit of normal and presence of HPP-related bone disease (by skeletal imaging), should be treated immediately.</w:t>
            </w:r>
          </w:p>
          <w:p w:rsidR="00B10DD6" w:rsidRDefault="00B10DD6" w:rsidP="005123EA">
            <w:pPr>
              <w:pStyle w:val="TableText1"/>
              <w:keepNext w:val="0"/>
            </w:pPr>
            <w:r>
              <w:t>OR</w:t>
            </w:r>
          </w:p>
          <w:p w:rsidR="00B10DD6" w:rsidRDefault="00B10DD6" w:rsidP="005123EA">
            <w:pPr>
              <w:pStyle w:val="TableText1"/>
              <w:keepNext w:val="0"/>
            </w:pPr>
            <w:r>
              <w:t>Patients with ALP activity below lower limit of age- and gender-adjusted normal range AND</w:t>
            </w:r>
          </w:p>
          <w:p w:rsidR="00B10DD6" w:rsidRDefault="00B10DD6" w:rsidP="005123EA">
            <w:pPr>
              <w:pStyle w:val="TableText1"/>
              <w:keepNext w:val="0"/>
            </w:pPr>
            <w:r>
              <w:t>Patients with non-HPP-related causes of low ALP excluded AND</w:t>
            </w:r>
          </w:p>
          <w:p w:rsidR="00B10DD6" w:rsidRDefault="00B10DD6" w:rsidP="005123EA">
            <w:pPr>
              <w:pStyle w:val="TableText1"/>
              <w:keepNext w:val="0"/>
            </w:pPr>
            <w:r>
              <w:t>Patients with available paediatric medical records documenting HPP-related symptoms AND</w:t>
            </w:r>
          </w:p>
          <w:p w:rsidR="00B10DD6" w:rsidRDefault="00B10DD6" w:rsidP="005123EA">
            <w:pPr>
              <w:pStyle w:val="TableText1"/>
              <w:keepNext w:val="0"/>
            </w:pPr>
            <w:r>
              <w:t xml:space="preserve">Patients with a history of HPP-related bone disease, as assessed by skeletal imaging (radiography, dual energy x-ray absorptiometry [DXA] OR </w:t>
            </w:r>
            <w:proofErr w:type="spellStart"/>
            <w:r>
              <w:t>histomorphometry</w:t>
            </w:r>
            <w:proofErr w:type="spellEnd"/>
            <w:r>
              <w:t xml:space="preserve">) </w:t>
            </w:r>
          </w:p>
          <w:p w:rsidR="00B10DD6" w:rsidRDefault="00B10DD6" w:rsidP="005123EA">
            <w:pPr>
              <w:pStyle w:val="TableText1"/>
              <w:keepNext w:val="0"/>
            </w:pPr>
            <w:r>
              <w:t>PLUS ONE OR MORE of the following HPP-related morbidities:</w:t>
            </w:r>
          </w:p>
          <w:p w:rsidR="00B10DD6" w:rsidRDefault="00B10DD6" w:rsidP="005123EA">
            <w:pPr>
              <w:pStyle w:val="TableText1"/>
              <w:keepNext w:val="0"/>
            </w:pPr>
            <w:r>
              <w:t>Respiratory compromise requiring mechanical ventilation or oxygen supplementation within the last 12 months OR</w:t>
            </w:r>
          </w:p>
          <w:p w:rsidR="00B10DD6" w:rsidRDefault="00B10DD6" w:rsidP="005123EA">
            <w:pPr>
              <w:pStyle w:val="TableText1"/>
              <w:keepNext w:val="0"/>
            </w:pPr>
            <w:r>
              <w:t xml:space="preserve">Failure to thrive, </w:t>
            </w:r>
            <w:r w:rsidR="00E3709F" w:rsidRPr="00E3709F">
              <w:rPr>
                <w:strike/>
              </w:rPr>
              <w:t>within the last 12 months</w:t>
            </w:r>
            <w:r w:rsidR="00E3709F">
              <w:t xml:space="preserve"> </w:t>
            </w:r>
            <w:r w:rsidR="00601BF5" w:rsidRPr="00E3709F">
              <w:rPr>
                <w:i/>
              </w:rPr>
              <w:t>defined as a reduction in the z-score for weight of 1 SD or greater over the last 12 months</w:t>
            </w:r>
            <w:r w:rsidR="00601BF5">
              <w:t xml:space="preserve"> </w:t>
            </w:r>
            <w:r>
              <w:t>OR</w:t>
            </w:r>
          </w:p>
          <w:p w:rsidR="00B10DD6" w:rsidRDefault="00B10DD6" w:rsidP="005123EA">
            <w:pPr>
              <w:pStyle w:val="TableText1"/>
              <w:keepNext w:val="0"/>
            </w:pPr>
            <w:r>
              <w:t>Vitamin B</w:t>
            </w:r>
            <w:r w:rsidRPr="001356E5">
              <w:rPr>
                <w:vertAlign w:val="subscript"/>
              </w:rPr>
              <w:t>6</w:t>
            </w:r>
            <w:r>
              <w:t>-dependent seizures within the last 12 months OR</w:t>
            </w:r>
          </w:p>
          <w:p w:rsidR="00B10DD6" w:rsidRDefault="00B10DD6" w:rsidP="005123EA">
            <w:pPr>
              <w:pStyle w:val="TableText1"/>
              <w:keepNext w:val="0"/>
            </w:pPr>
            <w:r>
              <w:t xml:space="preserve">Developmental delay; missed developmental milestones as defined by a validated scale within the last 12 months OR </w:t>
            </w:r>
          </w:p>
          <w:p w:rsidR="00B10DD6" w:rsidRDefault="00B10DD6" w:rsidP="005123EA">
            <w:pPr>
              <w:pStyle w:val="TableText1"/>
              <w:keepNext w:val="0"/>
            </w:pPr>
            <w:r>
              <w:t>History of two or more non-traumatic, non-/poorly healing fractures requiring surgical fixation PLUS currently presenting with:</w:t>
            </w:r>
          </w:p>
          <w:p w:rsidR="00B10DD6" w:rsidRDefault="00B10DD6" w:rsidP="005123EA">
            <w:pPr>
              <w:pStyle w:val="TableText1"/>
              <w:keepNext w:val="0"/>
            </w:pPr>
            <w:r>
              <w:t>Severely impaired mobility due to HPP-related skeletal deformities requiring assistance devices OR home modification AND</w:t>
            </w:r>
          </w:p>
          <w:p w:rsidR="00B10DD6" w:rsidRPr="00DD48DB" w:rsidRDefault="00B10DD6" w:rsidP="005123EA">
            <w:pPr>
              <w:pStyle w:val="TableText1"/>
              <w:keepNext w:val="0"/>
            </w:pPr>
            <w:r>
              <w:t>Chronic muscular/joint and/or bone pain severe enough to limit the performance of activities of daily living/functional independence, requiring prescription pain medication.</w:t>
            </w:r>
          </w:p>
        </w:tc>
      </w:tr>
      <w:tr w:rsidR="00B10DD6" w:rsidRPr="00DD48DB" w:rsidTr="006E5375">
        <w:tblPrEx>
          <w:tblCellMar>
            <w:left w:w="108" w:type="dxa"/>
            <w:right w:w="108" w:type="dxa"/>
          </w:tblCellMar>
        </w:tblPrEx>
        <w:trPr>
          <w:gridBefore w:val="1"/>
          <w:wBefore w:w="4" w:type="pct"/>
          <w:cantSplit/>
          <w:trHeight w:val="360"/>
        </w:trPr>
        <w:tc>
          <w:tcPr>
            <w:tcW w:w="1053"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rPr>
                <w:rFonts w:eastAsia="Times New Roman" w:cs="Times New Roman"/>
                <w:szCs w:val="20"/>
                <w:lang w:val="en-US"/>
              </w:rPr>
            </w:pPr>
            <w:r w:rsidRPr="00DD48DB">
              <w:t>Prescriber Instructions</w:t>
            </w:r>
          </w:p>
        </w:tc>
        <w:tc>
          <w:tcPr>
            <w:tcW w:w="3943" w:type="pct"/>
            <w:gridSpan w:val="8"/>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pPr>
            <w:r>
              <w:t>None proposed</w:t>
            </w:r>
          </w:p>
        </w:tc>
      </w:tr>
    </w:tbl>
    <w:p w:rsidR="008D7025" w:rsidRDefault="008D7025" w:rsidP="005123EA">
      <w:pPr>
        <w:widowControl/>
      </w:pPr>
    </w:p>
    <w:tbl>
      <w:tblPr>
        <w:tblW w:w="4939" w:type="pct"/>
        <w:tblInd w:w="108" w:type="dxa"/>
        <w:tblLook w:val="0000" w:firstRow="0" w:lastRow="0" w:firstColumn="0" w:lastColumn="0" w:noHBand="0" w:noVBand="0"/>
      </w:tblPr>
      <w:tblGrid>
        <w:gridCol w:w="1972"/>
        <w:gridCol w:w="7157"/>
      </w:tblGrid>
      <w:tr w:rsidR="00B10DD6" w:rsidRPr="00DD48DB" w:rsidTr="00A12A50">
        <w:trPr>
          <w:cantSplit/>
          <w:trHeight w:val="360"/>
        </w:trPr>
        <w:tc>
          <w:tcPr>
            <w:tcW w:w="1080"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pPr>
            <w:r w:rsidRPr="00DD48DB">
              <w:t>Treatment phase:</w:t>
            </w:r>
          </w:p>
        </w:tc>
        <w:tc>
          <w:tcPr>
            <w:tcW w:w="3920"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pPr>
            <w:r>
              <w:t>Continuing treatment and grandfathered patients</w:t>
            </w:r>
          </w:p>
        </w:tc>
      </w:tr>
      <w:tr w:rsidR="00B10DD6" w:rsidRPr="00DD48DB" w:rsidTr="00A12A50">
        <w:trPr>
          <w:cantSplit/>
          <w:trHeight w:val="360"/>
        </w:trPr>
        <w:tc>
          <w:tcPr>
            <w:tcW w:w="1080"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pPr>
            <w:r w:rsidRPr="00DD48DB">
              <w:t>Restriction:</w:t>
            </w:r>
          </w:p>
        </w:tc>
        <w:tc>
          <w:tcPr>
            <w:tcW w:w="3920"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pPr>
            <w:r>
              <w:t>Authority required in writing</w:t>
            </w:r>
          </w:p>
        </w:tc>
      </w:tr>
      <w:tr w:rsidR="00B10DD6" w:rsidRPr="00DD48DB" w:rsidTr="00A12A50">
        <w:trPr>
          <w:cantSplit/>
          <w:trHeight w:val="360"/>
        </w:trPr>
        <w:tc>
          <w:tcPr>
            <w:tcW w:w="1080"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rPr>
                <w:rFonts w:eastAsia="Times New Roman" w:cs="Times New Roman"/>
                <w:szCs w:val="20"/>
                <w:lang w:val="en-US"/>
              </w:rPr>
            </w:pPr>
            <w:r w:rsidRPr="00DD48DB">
              <w:t>Clinical criteria:</w:t>
            </w:r>
          </w:p>
        </w:tc>
        <w:tc>
          <w:tcPr>
            <w:tcW w:w="3920" w:type="pct"/>
            <w:tcBorders>
              <w:top w:val="single" w:sz="4" w:space="0" w:color="auto"/>
              <w:left w:val="single" w:sz="4" w:space="0" w:color="auto"/>
              <w:bottom w:val="single" w:sz="4" w:space="0" w:color="auto"/>
              <w:right w:val="single" w:sz="4" w:space="0" w:color="auto"/>
            </w:tcBorders>
          </w:tcPr>
          <w:p w:rsidR="00B10DD6" w:rsidRPr="00DD48DB" w:rsidRDefault="00B10DD6" w:rsidP="005123EA">
            <w:pPr>
              <w:pStyle w:val="TableText1"/>
            </w:pPr>
            <w:r w:rsidRPr="00477A10">
              <w:t xml:space="preserve">Evidence of clinical improvement or stabilisation of the patient's condition to support ongoing eligibility for </w:t>
            </w:r>
            <w:proofErr w:type="spellStart"/>
            <w:r w:rsidRPr="00477A10">
              <w:t>asfotase</w:t>
            </w:r>
            <w:proofErr w:type="spellEnd"/>
            <w:r w:rsidRPr="00477A10">
              <w:t xml:space="preserve"> alfa </w:t>
            </w:r>
            <w:proofErr w:type="spellStart"/>
            <w:r w:rsidR="00465F17" w:rsidRPr="00465F17">
              <w:rPr>
                <w:i/>
              </w:rPr>
              <w:t>rch</w:t>
            </w:r>
            <w:proofErr w:type="spellEnd"/>
            <w:r w:rsidRPr="00477A10">
              <w:t xml:space="preserve"> treatment*</w:t>
            </w:r>
            <w:r>
              <w:t xml:space="preserve"> </w:t>
            </w:r>
          </w:p>
        </w:tc>
      </w:tr>
    </w:tbl>
    <w:p w:rsidR="00F178DB" w:rsidRDefault="00B10DD6" w:rsidP="005123EA">
      <w:pPr>
        <w:widowControl/>
        <w:tabs>
          <w:tab w:val="left" w:pos="284"/>
        </w:tabs>
        <w:ind w:left="284" w:hanging="284"/>
        <w:rPr>
          <w:rFonts w:ascii="Arial Narrow" w:hAnsi="Arial Narrow"/>
          <w:sz w:val="18"/>
        </w:rPr>
      </w:pPr>
      <w:r>
        <w:rPr>
          <w:rFonts w:ascii="Arial Narrow" w:hAnsi="Arial Narrow"/>
          <w:sz w:val="18"/>
        </w:rPr>
        <w:t>*</w:t>
      </w:r>
      <w:r>
        <w:rPr>
          <w:rFonts w:ascii="Arial Narrow" w:hAnsi="Arial Narrow"/>
          <w:sz w:val="18"/>
        </w:rPr>
        <w:tab/>
      </w:r>
      <w:r w:rsidRPr="001D1804">
        <w:rPr>
          <w:rFonts w:ascii="Arial Narrow" w:hAnsi="Arial Narrow"/>
          <w:sz w:val="18"/>
          <w:szCs w:val="18"/>
          <w:lang w:eastAsia="en-AU"/>
        </w:rPr>
        <w:t xml:space="preserve">To satisfy these requirements, age-relevant clinical assessment scales utilised in the clinical development program for </w:t>
      </w:r>
      <w:proofErr w:type="spellStart"/>
      <w:r w:rsidRPr="001D1804">
        <w:rPr>
          <w:rFonts w:ascii="Arial Narrow" w:hAnsi="Arial Narrow"/>
          <w:sz w:val="18"/>
          <w:szCs w:val="18"/>
          <w:lang w:eastAsia="en-AU"/>
        </w:rPr>
        <w:t>asfotase</w:t>
      </w:r>
      <w:proofErr w:type="spellEnd"/>
      <w:r w:rsidRPr="001D1804">
        <w:rPr>
          <w:rFonts w:ascii="Arial Narrow" w:hAnsi="Arial Narrow"/>
          <w:sz w:val="18"/>
          <w:szCs w:val="18"/>
          <w:lang w:eastAsia="en-AU"/>
        </w:rPr>
        <w:t xml:space="preserve"> alfa </w:t>
      </w:r>
      <w:proofErr w:type="spellStart"/>
      <w:r w:rsidR="00465F17" w:rsidRPr="00465F17">
        <w:rPr>
          <w:rFonts w:ascii="Arial Narrow" w:hAnsi="Arial Narrow"/>
          <w:i/>
          <w:sz w:val="18"/>
          <w:szCs w:val="18"/>
          <w:lang w:eastAsia="en-AU"/>
        </w:rPr>
        <w:t>rch</w:t>
      </w:r>
      <w:proofErr w:type="spellEnd"/>
      <w:r w:rsidRPr="001D1804">
        <w:rPr>
          <w:rFonts w:ascii="Arial Narrow" w:hAnsi="Arial Narrow"/>
          <w:sz w:val="18"/>
          <w:szCs w:val="18"/>
          <w:lang w:eastAsia="en-AU"/>
        </w:rPr>
        <w:t xml:space="preserve"> should be administered, with evidence of clinical improvement/stabilisation based on changes in at least one of these scales (from pre-treatment/baseline, or from the last annual evaluation for those patients currently receiving subsidised </w:t>
      </w:r>
      <w:proofErr w:type="spellStart"/>
      <w:r w:rsidRPr="001D1804">
        <w:rPr>
          <w:rFonts w:ascii="Arial Narrow" w:hAnsi="Arial Narrow"/>
          <w:sz w:val="18"/>
          <w:szCs w:val="18"/>
          <w:lang w:eastAsia="en-AU"/>
        </w:rPr>
        <w:t>asfotase</w:t>
      </w:r>
      <w:proofErr w:type="spellEnd"/>
      <w:r w:rsidRPr="001D1804">
        <w:rPr>
          <w:rFonts w:ascii="Arial Narrow" w:hAnsi="Arial Narrow"/>
          <w:sz w:val="18"/>
          <w:szCs w:val="18"/>
          <w:lang w:eastAsia="en-AU"/>
        </w:rPr>
        <w:t xml:space="preserve"> alfa </w:t>
      </w:r>
      <w:proofErr w:type="spellStart"/>
      <w:r w:rsidR="00465F17" w:rsidRPr="00465F17">
        <w:rPr>
          <w:rFonts w:ascii="Arial Narrow" w:hAnsi="Arial Narrow"/>
          <w:i/>
          <w:sz w:val="18"/>
          <w:szCs w:val="18"/>
          <w:lang w:eastAsia="en-AU"/>
        </w:rPr>
        <w:t>rch</w:t>
      </w:r>
      <w:proofErr w:type="spellEnd"/>
      <w:r w:rsidRPr="001D1804">
        <w:rPr>
          <w:rFonts w:ascii="Arial Narrow" w:hAnsi="Arial Narrow"/>
          <w:sz w:val="18"/>
          <w:szCs w:val="18"/>
          <w:lang w:eastAsia="en-AU"/>
        </w:rPr>
        <w:t>), utilising clinically relevant definitions of this improvement/stabilisation.</w:t>
      </w:r>
      <w:r w:rsidR="00540116">
        <w:rPr>
          <w:rFonts w:ascii="Arial Narrow" w:hAnsi="Arial Narrow"/>
          <w:sz w:val="18"/>
          <w:szCs w:val="18"/>
          <w:lang w:eastAsia="en-AU"/>
        </w:rPr>
        <w:t xml:space="preserve"> </w:t>
      </w:r>
      <w:r w:rsidRPr="001D1804">
        <w:rPr>
          <w:rFonts w:ascii="Arial Narrow" w:hAnsi="Arial Narrow"/>
          <w:sz w:val="18"/>
          <w:szCs w:val="18"/>
          <w:lang w:eastAsia="en-AU"/>
        </w:rPr>
        <w:t>Re-application by the treating physician t</w:t>
      </w:r>
      <w:r w:rsidRPr="001D1804">
        <w:rPr>
          <w:rFonts w:ascii="Arial Narrow" w:hAnsi="Arial Narrow"/>
          <w:sz w:val="18"/>
          <w:szCs w:val="18"/>
        </w:rPr>
        <w:t>o</w:t>
      </w:r>
      <w:r>
        <w:rPr>
          <w:rFonts w:ascii="Arial Narrow" w:hAnsi="Arial Narrow"/>
          <w:sz w:val="18"/>
        </w:rPr>
        <w:t xml:space="preserve"> be submitted via a re-application by 1 May every year. </w:t>
      </w:r>
    </w:p>
    <w:p w:rsidR="00F178DB" w:rsidRDefault="00F178DB" w:rsidP="00F178DB">
      <w:pPr>
        <w:widowControl/>
        <w:tabs>
          <w:tab w:val="left" w:pos="284"/>
        </w:tabs>
        <w:rPr>
          <w:rFonts w:ascii="Arial Narrow" w:hAnsi="Arial Narrow"/>
          <w:sz w:val="18"/>
        </w:rPr>
      </w:pPr>
    </w:p>
    <w:p w:rsidR="001B444F" w:rsidRPr="001B444F" w:rsidRDefault="001B444F" w:rsidP="001B444F">
      <w:pPr>
        <w:pStyle w:val="ListParagraph"/>
        <w:widowControl/>
        <w:numPr>
          <w:ilvl w:val="0"/>
          <w:numId w:val="1"/>
        </w:numPr>
        <w:spacing w:after="0"/>
        <w:contextualSpacing w:val="0"/>
        <w:jc w:val="left"/>
        <w:rPr>
          <w:rFonts w:ascii="Arial" w:hAnsi="Arial"/>
          <w:b/>
          <w:vanish/>
          <w:sz w:val="22"/>
          <w:szCs w:val="22"/>
        </w:rPr>
      </w:pPr>
    </w:p>
    <w:p w:rsidR="002C3C4A" w:rsidRPr="001B444F" w:rsidRDefault="002C3C4A" w:rsidP="006C6A56">
      <w:pPr>
        <w:pStyle w:val="ListParagraph"/>
        <w:widowControl/>
        <w:numPr>
          <w:ilvl w:val="1"/>
          <w:numId w:val="2"/>
        </w:numPr>
        <w:ind w:left="578"/>
        <w:contextualSpacing w:val="0"/>
        <w:rPr>
          <w:rFonts w:asciiTheme="minorHAnsi" w:hAnsiTheme="minorHAnsi"/>
        </w:rPr>
      </w:pPr>
      <w:r w:rsidRPr="006C6A56">
        <w:rPr>
          <w:rFonts w:asciiTheme="minorHAnsi" w:hAnsiTheme="minorHAnsi"/>
        </w:rPr>
        <w:t>The restriction will require development in consultation with a rare diseases expert. The ESC questioned whether the restriction should include a requirement for genetic testing for the relevant mutations in the Alkaline Phosphatase, Liver/Bone/Kidney (ALPL) gene that can cause this condition.</w:t>
      </w:r>
    </w:p>
    <w:p w:rsidR="006C6A56" w:rsidRPr="006C6A56" w:rsidRDefault="00B10DD6" w:rsidP="006C6A56">
      <w:pPr>
        <w:pStyle w:val="ListParagraph"/>
        <w:widowControl/>
        <w:numPr>
          <w:ilvl w:val="1"/>
          <w:numId w:val="2"/>
        </w:numPr>
        <w:ind w:left="578"/>
        <w:contextualSpacing w:val="0"/>
        <w:rPr>
          <w:rFonts w:asciiTheme="minorHAnsi" w:hAnsiTheme="minorHAnsi"/>
        </w:rPr>
      </w:pPr>
      <w:r w:rsidRPr="006C6A56">
        <w:rPr>
          <w:rFonts w:asciiTheme="minorHAnsi" w:hAnsiTheme="minorHAnsi"/>
        </w:rPr>
        <w:t xml:space="preserve">The basis for the listing was a cost-utility analysis compared </w:t>
      </w:r>
      <w:r w:rsidR="00712926" w:rsidRPr="006C6A56">
        <w:rPr>
          <w:rFonts w:asciiTheme="minorHAnsi" w:hAnsiTheme="minorHAnsi"/>
        </w:rPr>
        <w:t xml:space="preserve">with </w:t>
      </w:r>
      <w:r w:rsidRPr="006C6A56">
        <w:rPr>
          <w:rFonts w:asciiTheme="minorHAnsi" w:hAnsiTheme="minorHAnsi"/>
        </w:rPr>
        <w:t>best supportive care (BSC).</w:t>
      </w:r>
    </w:p>
    <w:p w:rsidR="00B10DD6" w:rsidRPr="006C6A56" w:rsidRDefault="00DF7054" w:rsidP="006C6A56">
      <w:pPr>
        <w:pStyle w:val="ListParagraph"/>
        <w:widowControl/>
        <w:numPr>
          <w:ilvl w:val="1"/>
          <w:numId w:val="2"/>
        </w:numPr>
        <w:ind w:left="578"/>
        <w:contextualSpacing w:val="0"/>
        <w:rPr>
          <w:rFonts w:asciiTheme="minorHAnsi" w:hAnsiTheme="minorHAnsi"/>
        </w:rPr>
      </w:pPr>
      <w:r w:rsidRPr="006C6A56">
        <w:rPr>
          <w:rFonts w:asciiTheme="minorHAnsi" w:hAnsiTheme="minorHAnsi"/>
        </w:rPr>
        <w:t>The recommended dosing regimen is either</w:t>
      </w:r>
      <w:r w:rsidR="00B10DD6" w:rsidRPr="006C6A56">
        <w:rPr>
          <w:rFonts w:asciiTheme="minorHAnsi" w:hAnsiTheme="minorHAnsi"/>
        </w:rPr>
        <w:t xml:space="preserve"> 1mg/kg six times a week</w:t>
      </w:r>
      <w:r w:rsidR="00322A05" w:rsidRPr="006C6A56">
        <w:rPr>
          <w:rFonts w:asciiTheme="minorHAnsi" w:hAnsiTheme="minorHAnsi"/>
        </w:rPr>
        <w:t>,</w:t>
      </w:r>
      <w:r w:rsidR="00B10DD6" w:rsidRPr="006C6A56">
        <w:rPr>
          <w:rFonts w:asciiTheme="minorHAnsi" w:hAnsiTheme="minorHAnsi"/>
        </w:rPr>
        <w:t xml:space="preserve"> or 2mg/kg three times per week</w:t>
      </w:r>
      <w:r w:rsidR="00322A05" w:rsidRPr="006C6A56">
        <w:rPr>
          <w:rFonts w:asciiTheme="minorHAnsi" w:hAnsiTheme="minorHAnsi"/>
        </w:rPr>
        <w:t>,</w:t>
      </w:r>
      <w:r w:rsidR="000B7831" w:rsidRPr="006C6A56">
        <w:rPr>
          <w:rFonts w:asciiTheme="minorHAnsi" w:hAnsiTheme="minorHAnsi"/>
        </w:rPr>
        <w:t xml:space="preserve"> </w:t>
      </w:r>
      <w:r w:rsidR="00D20F37" w:rsidRPr="006C6A56">
        <w:rPr>
          <w:rFonts w:asciiTheme="minorHAnsi" w:hAnsiTheme="minorHAnsi"/>
        </w:rPr>
        <w:t xml:space="preserve">via subcutaneous injection </w:t>
      </w:r>
      <w:r w:rsidR="000B7831" w:rsidRPr="006C6A56">
        <w:rPr>
          <w:rFonts w:asciiTheme="minorHAnsi" w:hAnsiTheme="minorHAnsi"/>
        </w:rPr>
        <w:t>f</w:t>
      </w:r>
      <w:r w:rsidR="00A672B6" w:rsidRPr="006C6A56">
        <w:rPr>
          <w:rFonts w:asciiTheme="minorHAnsi" w:hAnsiTheme="minorHAnsi"/>
        </w:rPr>
        <w:t>or the life</w:t>
      </w:r>
      <w:r w:rsidR="000B7831" w:rsidRPr="006C6A56">
        <w:rPr>
          <w:rFonts w:asciiTheme="minorHAnsi" w:hAnsiTheme="minorHAnsi"/>
        </w:rPr>
        <w:t>time of the patient</w:t>
      </w:r>
      <w:r w:rsidR="00AA4DFB" w:rsidRPr="006C6A56">
        <w:rPr>
          <w:rFonts w:asciiTheme="minorHAnsi" w:hAnsiTheme="minorHAnsi"/>
        </w:rPr>
        <w:t xml:space="preserve"> </w:t>
      </w:r>
      <w:r w:rsidR="002175F3" w:rsidRPr="006C6A56">
        <w:rPr>
          <w:rFonts w:asciiTheme="minorHAnsi" w:hAnsiTheme="minorHAnsi"/>
        </w:rPr>
        <w:t>unless</w:t>
      </w:r>
      <w:r w:rsidR="00F86945" w:rsidRPr="006C6A56">
        <w:rPr>
          <w:rFonts w:asciiTheme="minorHAnsi" w:hAnsiTheme="minorHAnsi"/>
        </w:rPr>
        <w:t xml:space="preserve"> excluded from treatment by</w:t>
      </w:r>
      <w:r w:rsidR="00AA4DFB" w:rsidRPr="006C6A56">
        <w:rPr>
          <w:rFonts w:asciiTheme="minorHAnsi" w:hAnsiTheme="minorHAnsi"/>
        </w:rPr>
        <w:t xml:space="preserve"> specified discontinuation criteria (e</w:t>
      </w:r>
      <w:r w:rsidR="002175F3" w:rsidRPr="006C6A56">
        <w:rPr>
          <w:rFonts w:asciiTheme="minorHAnsi" w:hAnsiTheme="minorHAnsi"/>
        </w:rPr>
        <w:t>.</w:t>
      </w:r>
      <w:r w:rsidR="00AA4DFB" w:rsidRPr="006C6A56">
        <w:rPr>
          <w:rFonts w:asciiTheme="minorHAnsi" w:hAnsiTheme="minorHAnsi"/>
        </w:rPr>
        <w:t>g</w:t>
      </w:r>
      <w:r w:rsidR="002175F3" w:rsidRPr="006C6A56">
        <w:rPr>
          <w:rFonts w:asciiTheme="minorHAnsi" w:hAnsiTheme="minorHAnsi"/>
        </w:rPr>
        <w:t>.</w:t>
      </w:r>
      <w:r w:rsidR="00AA4DFB" w:rsidRPr="006C6A56">
        <w:rPr>
          <w:rFonts w:asciiTheme="minorHAnsi" w:hAnsiTheme="minorHAnsi"/>
        </w:rPr>
        <w:t>, failure to document treatment effectiveness, adverse events or non-compliance)</w:t>
      </w:r>
      <w:r w:rsidR="00B10DD6" w:rsidRPr="006C6A56">
        <w:rPr>
          <w:rFonts w:asciiTheme="minorHAnsi" w:hAnsiTheme="minorHAnsi"/>
        </w:rPr>
        <w:t>.</w:t>
      </w:r>
    </w:p>
    <w:p w:rsidR="00B10DD6" w:rsidRDefault="00EE7E8D" w:rsidP="006C6A56">
      <w:pPr>
        <w:pStyle w:val="ListParagraph"/>
        <w:widowControl/>
        <w:numPr>
          <w:ilvl w:val="1"/>
          <w:numId w:val="2"/>
        </w:numPr>
        <w:ind w:left="578"/>
        <w:contextualSpacing w:val="0"/>
        <w:rPr>
          <w:rFonts w:asciiTheme="minorHAnsi" w:hAnsiTheme="minorHAnsi"/>
        </w:rPr>
      </w:pPr>
      <w:r>
        <w:rPr>
          <w:rFonts w:asciiTheme="minorHAnsi" w:hAnsiTheme="minorHAnsi"/>
        </w:rPr>
        <w:lastRenderedPageBreak/>
        <w:t>The submission p</w:t>
      </w:r>
      <w:r w:rsidR="00B10DD6" w:rsidRPr="00CF4F57">
        <w:rPr>
          <w:rFonts w:asciiTheme="minorHAnsi" w:hAnsiTheme="minorHAnsi"/>
        </w:rPr>
        <w:t>ropose</w:t>
      </w:r>
      <w:r w:rsidR="00A672B6">
        <w:rPr>
          <w:rFonts w:asciiTheme="minorHAnsi" w:hAnsiTheme="minorHAnsi"/>
        </w:rPr>
        <w:t>d</w:t>
      </w:r>
      <w:r>
        <w:rPr>
          <w:rFonts w:asciiTheme="minorHAnsi" w:hAnsiTheme="minorHAnsi"/>
        </w:rPr>
        <w:t xml:space="preserve"> </w:t>
      </w:r>
      <w:r w:rsidRPr="00845BC4">
        <w:rPr>
          <w:rFonts w:asciiTheme="minorHAnsi" w:hAnsiTheme="minorHAnsi"/>
        </w:rPr>
        <w:t>an</w:t>
      </w:r>
      <w:r w:rsidR="00B10DD6" w:rsidRPr="00845BC4">
        <w:rPr>
          <w:rFonts w:asciiTheme="minorHAnsi" w:hAnsiTheme="minorHAnsi"/>
        </w:rPr>
        <w:t xml:space="preserve"> annual expenditure cap</w:t>
      </w:r>
      <w:r w:rsidR="00322A05" w:rsidRPr="00845BC4">
        <w:rPr>
          <w:rFonts w:asciiTheme="minorHAnsi" w:hAnsiTheme="minorHAnsi"/>
        </w:rPr>
        <w:t xml:space="preserve"> through</w:t>
      </w:r>
      <w:r w:rsidR="00322A05">
        <w:rPr>
          <w:rFonts w:asciiTheme="minorHAnsi" w:hAnsiTheme="minorHAnsi"/>
        </w:rPr>
        <w:t xml:space="preserve"> a risk sharing arrangement</w:t>
      </w:r>
      <w:r w:rsidR="00B10DD6" w:rsidRPr="00CF4F57">
        <w:rPr>
          <w:rFonts w:asciiTheme="minorHAnsi" w:hAnsiTheme="minorHAnsi"/>
        </w:rPr>
        <w:t xml:space="preserve"> </w:t>
      </w:r>
      <w:r w:rsidR="00B10DD6" w:rsidRPr="00845BC4">
        <w:rPr>
          <w:rFonts w:asciiTheme="minorHAnsi" w:hAnsiTheme="minorHAnsi"/>
        </w:rPr>
        <w:t>of $</w:t>
      </w:r>
      <w:r w:rsidR="00551B2E">
        <w:rPr>
          <w:rFonts w:asciiTheme="minorHAnsi" w:hAnsiTheme="minorHAnsi"/>
          <w:noProof/>
          <w:color w:val="000000"/>
          <w:highlight w:val="black"/>
        </w:rPr>
        <w:t>''''''''''''''</w:t>
      </w:r>
      <w:r w:rsidR="00B10DD6" w:rsidRPr="00845BC4">
        <w:rPr>
          <w:rFonts w:asciiTheme="minorHAnsi" w:hAnsiTheme="minorHAnsi"/>
        </w:rPr>
        <w:t xml:space="preserve"> per patient</w:t>
      </w:r>
      <w:r w:rsidR="00B10DD6" w:rsidRPr="00CF4F57">
        <w:rPr>
          <w:rFonts w:asciiTheme="minorHAnsi" w:hAnsiTheme="minorHAnsi"/>
        </w:rPr>
        <w:t>.</w:t>
      </w:r>
    </w:p>
    <w:p w:rsidR="00BF1E8B" w:rsidRPr="00BF1E8B" w:rsidRDefault="00BF1E8B" w:rsidP="005123EA">
      <w:pPr>
        <w:pStyle w:val="ListParagraph"/>
        <w:widowControl/>
        <w:contextualSpacing w:val="0"/>
        <w:rPr>
          <w:rFonts w:asciiTheme="minorHAnsi" w:hAnsiTheme="minorHAnsi"/>
          <w:i/>
        </w:rPr>
      </w:pPr>
      <w:r w:rsidRPr="00026509">
        <w:rPr>
          <w:rFonts w:asciiTheme="minorHAnsi" w:hAnsiTheme="minorHAnsi"/>
          <w:i/>
        </w:rPr>
        <w:t>For more detail on PBAC’s view, see section 7 “PBAC outcome.”</w:t>
      </w:r>
    </w:p>
    <w:p w:rsidR="00B10DD6" w:rsidRPr="00DD48DB" w:rsidRDefault="00B10DD6" w:rsidP="005123EA">
      <w:pPr>
        <w:pStyle w:val="Heading1"/>
        <w:ind w:left="567" w:hanging="567"/>
      </w:pPr>
      <w:bookmarkStart w:id="9" w:name="_Toc413139273"/>
      <w:bookmarkStart w:id="10" w:name="_Toc476306883"/>
      <w:bookmarkStart w:id="11" w:name="_Toc481339859"/>
      <w:bookmarkStart w:id="12" w:name="_Toc481410704"/>
      <w:r w:rsidRPr="00DD48DB">
        <w:t>Background</w:t>
      </w:r>
      <w:bookmarkEnd w:id="9"/>
      <w:bookmarkEnd w:id="10"/>
      <w:bookmarkEnd w:id="11"/>
      <w:bookmarkEnd w:id="12"/>
    </w:p>
    <w:p w:rsidR="00B10DD6" w:rsidRDefault="00D20F37" w:rsidP="005123EA">
      <w:pPr>
        <w:pStyle w:val="ListParagraph"/>
        <w:widowControl/>
        <w:numPr>
          <w:ilvl w:val="1"/>
          <w:numId w:val="2"/>
        </w:numPr>
        <w:ind w:left="578"/>
        <w:contextualSpacing w:val="0"/>
        <w:rPr>
          <w:rFonts w:asciiTheme="minorHAnsi" w:hAnsiTheme="minorHAnsi"/>
        </w:rPr>
      </w:pPr>
      <w:proofErr w:type="spellStart"/>
      <w:r>
        <w:rPr>
          <w:rFonts w:asciiTheme="minorHAnsi" w:hAnsiTheme="minorHAnsi"/>
        </w:rPr>
        <w:t>A</w:t>
      </w:r>
      <w:r w:rsidR="00B10DD6" w:rsidRPr="003B76C9">
        <w:rPr>
          <w:rFonts w:asciiTheme="minorHAnsi" w:hAnsiTheme="minorHAnsi"/>
        </w:rPr>
        <w:t>sfotase</w:t>
      </w:r>
      <w:proofErr w:type="spellEnd"/>
      <w:r w:rsidR="00B10DD6" w:rsidRPr="003B76C9">
        <w:rPr>
          <w:rFonts w:asciiTheme="minorHAnsi" w:hAnsiTheme="minorHAnsi"/>
        </w:rPr>
        <w:t xml:space="preserve"> alfa </w:t>
      </w:r>
      <w:proofErr w:type="spellStart"/>
      <w:r w:rsidR="00465F17" w:rsidRPr="00465F17">
        <w:rPr>
          <w:rFonts w:asciiTheme="minorHAnsi" w:hAnsiTheme="minorHAnsi"/>
          <w:i/>
        </w:rPr>
        <w:t>rch</w:t>
      </w:r>
      <w:proofErr w:type="spellEnd"/>
      <w:r w:rsidR="00B10DD6" w:rsidRPr="003B76C9">
        <w:rPr>
          <w:rFonts w:asciiTheme="minorHAnsi" w:hAnsiTheme="minorHAnsi"/>
        </w:rPr>
        <w:t xml:space="preserve"> was TGA registered on 14 January 2016 as enzyme replacement therapy in patients with paediatric-onset HPP.</w:t>
      </w:r>
    </w:p>
    <w:p w:rsidR="00B10DD6" w:rsidRDefault="00B10DD6" w:rsidP="005123EA">
      <w:pPr>
        <w:pStyle w:val="ListParagraph"/>
        <w:widowControl/>
        <w:numPr>
          <w:ilvl w:val="1"/>
          <w:numId w:val="2"/>
        </w:numPr>
        <w:ind w:left="578"/>
        <w:contextualSpacing w:val="0"/>
        <w:rPr>
          <w:rFonts w:asciiTheme="minorHAnsi" w:hAnsiTheme="minorHAnsi"/>
        </w:rPr>
      </w:pPr>
      <w:r w:rsidRPr="00CF4F57">
        <w:rPr>
          <w:rFonts w:asciiTheme="minorHAnsi" w:hAnsiTheme="minorHAnsi"/>
        </w:rPr>
        <w:t xml:space="preserve">This </w:t>
      </w:r>
      <w:r w:rsidR="00F23992">
        <w:rPr>
          <w:rFonts w:asciiTheme="minorHAnsi" w:hAnsiTheme="minorHAnsi"/>
        </w:rPr>
        <w:t>is</w:t>
      </w:r>
      <w:r w:rsidR="00F23992" w:rsidRPr="00CF4F57">
        <w:rPr>
          <w:rFonts w:asciiTheme="minorHAnsi" w:hAnsiTheme="minorHAnsi"/>
        </w:rPr>
        <w:t xml:space="preserve"> </w:t>
      </w:r>
      <w:r w:rsidRPr="00CF4F57">
        <w:rPr>
          <w:rFonts w:asciiTheme="minorHAnsi" w:hAnsiTheme="minorHAnsi"/>
        </w:rPr>
        <w:t xml:space="preserve">the first application to the PBAC for </w:t>
      </w:r>
      <w:proofErr w:type="spellStart"/>
      <w:r w:rsidRPr="00CF4F57">
        <w:rPr>
          <w:rFonts w:asciiTheme="minorHAnsi" w:hAnsiTheme="minorHAnsi"/>
        </w:rPr>
        <w:t>asfotase</w:t>
      </w:r>
      <w:proofErr w:type="spellEnd"/>
      <w:r w:rsidRPr="00CF4F57">
        <w:rPr>
          <w:rFonts w:asciiTheme="minorHAnsi" w:hAnsiTheme="minorHAnsi"/>
        </w:rPr>
        <w:t xml:space="preserve"> alfa </w:t>
      </w:r>
      <w:proofErr w:type="spellStart"/>
      <w:r w:rsidR="00465F17" w:rsidRPr="00465F17">
        <w:rPr>
          <w:rFonts w:asciiTheme="minorHAnsi" w:hAnsiTheme="minorHAnsi"/>
          <w:i/>
        </w:rPr>
        <w:t>rch</w:t>
      </w:r>
      <w:proofErr w:type="spellEnd"/>
      <w:r w:rsidRPr="00CF4F57">
        <w:rPr>
          <w:rFonts w:asciiTheme="minorHAnsi" w:hAnsiTheme="minorHAnsi"/>
        </w:rPr>
        <w:t>.</w:t>
      </w:r>
    </w:p>
    <w:p w:rsidR="00B10DD6" w:rsidRPr="00DD48DB" w:rsidRDefault="00B10DD6" w:rsidP="005123EA">
      <w:pPr>
        <w:pStyle w:val="Heading1"/>
        <w:ind w:left="567" w:hanging="567"/>
      </w:pPr>
      <w:bookmarkStart w:id="13" w:name="_Toc476306884"/>
      <w:bookmarkStart w:id="14" w:name="_Toc481339860"/>
      <w:bookmarkStart w:id="15" w:name="_Toc481410705"/>
      <w:r w:rsidRPr="00DD48DB">
        <w:t>Population and disease</w:t>
      </w:r>
      <w:bookmarkEnd w:id="13"/>
      <w:bookmarkEnd w:id="14"/>
      <w:bookmarkEnd w:id="15"/>
    </w:p>
    <w:p w:rsidR="00771911" w:rsidRPr="00771911" w:rsidRDefault="00B10DD6" w:rsidP="005123EA">
      <w:pPr>
        <w:pStyle w:val="ListParagraph"/>
        <w:widowControl/>
        <w:numPr>
          <w:ilvl w:val="1"/>
          <w:numId w:val="2"/>
        </w:numPr>
        <w:contextualSpacing w:val="0"/>
        <w:rPr>
          <w:rFonts w:asciiTheme="minorHAnsi" w:hAnsiTheme="minorHAnsi"/>
        </w:rPr>
      </w:pPr>
      <w:proofErr w:type="spellStart"/>
      <w:r w:rsidRPr="00771827">
        <w:rPr>
          <w:rFonts w:asciiTheme="minorHAnsi" w:hAnsiTheme="minorHAnsi"/>
        </w:rPr>
        <w:t>Hypophosphatasia</w:t>
      </w:r>
      <w:proofErr w:type="spellEnd"/>
      <w:r w:rsidRPr="00771827">
        <w:rPr>
          <w:rFonts w:asciiTheme="minorHAnsi" w:hAnsiTheme="minorHAnsi"/>
        </w:rPr>
        <w:t xml:space="preserve"> (HPP) is a</w:t>
      </w:r>
      <w:r w:rsidR="00BD2AD7">
        <w:rPr>
          <w:rFonts w:asciiTheme="minorHAnsi" w:hAnsiTheme="minorHAnsi"/>
        </w:rPr>
        <w:t xml:space="preserve"> </w:t>
      </w:r>
      <w:r w:rsidRPr="00771827">
        <w:rPr>
          <w:rFonts w:asciiTheme="minorHAnsi" w:hAnsiTheme="minorHAnsi"/>
        </w:rPr>
        <w:t>rare disease</w:t>
      </w:r>
      <w:r w:rsidR="00AA4DFB">
        <w:rPr>
          <w:rFonts w:asciiTheme="minorHAnsi" w:hAnsiTheme="minorHAnsi"/>
        </w:rPr>
        <w:t>.</w:t>
      </w:r>
      <w:r w:rsidRPr="00771827" w:rsidDel="003679AE">
        <w:rPr>
          <w:rFonts w:asciiTheme="minorHAnsi" w:hAnsiTheme="minorHAnsi"/>
        </w:rPr>
        <w:t xml:space="preserve"> </w:t>
      </w:r>
      <w:r w:rsidR="00AA4DFB" w:rsidRPr="00AA4DFB">
        <w:rPr>
          <w:rFonts w:asciiTheme="minorHAnsi" w:hAnsiTheme="minorHAnsi"/>
        </w:rPr>
        <w:t>The disease presents as a continuum, with significant heterogeneity in morbidity and mortality</w:t>
      </w:r>
      <w:r w:rsidR="00AA4DFB">
        <w:rPr>
          <w:rFonts w:asciiTheme="minorHAnsi" w:hAnsiTheme="minorHAnsi"/>
        </w:rPr>
        <w:t xml:space="preserve">. </w:t>
      </w:r>
      <w:r w:rsidR="00AA4DFB" w:rsidRPr="00AA4DFB">
        <w:rPr>
          <w:rFonts w:asciiTheme="minorHAnsi" w:hAnsiTheme="minorHAnsi"/>
        </w:rPr>
        <w:t>Signs and symptoms can appear at any time f</w:t>
      </w:r>
      <w:r w:rsidR="00AA4DFB">
        <w:rPr>
          <w:rFonts w:asciiTheme="minorHAnsi" w:hAnsiTheme="minorHAnsi"/>
        </w:rPr>
        <w:t>rom before birth to adulthood</w:t>
      </w:r>
      <w:r w:rsidR="00771911">
        <w:rPr>
          <w:rFonts w:asciiTheme="minorHAnsi" w:hAnsiTheme="minorHAnsi"/>
        </w:rPr>
        <w:t>, with several clinical forms currently recognised: (</w:t>
      </w:r>
      <w:proofErr w:type="spellStart"/>
      <w:r w:rsidR="00771911">
        <w:rPr>
          <w:rFonts w:asciiTheme="minorHAnsi" w:hAnsiTheme="minorHAnsi"/>
        </w:rPr>
        <w:t>i</w:t>
      </w:r>
      <w:proofErr w:type="spellEnd"/>
      <w:r w:rsidR="00771911">
        <w:rPr>
          <w:rFonts w:asciiTheme="minorHAnsi" w:hAnsiTheme="minorHAnsi"/>
        </w:rPr>
        <w:t xml:space="preserve">) perinatal [onset before or at birth]; (ii) infantile [onset 0-6 months]; (iii) juvenile [onset 6 months </w:t>
      </w:r>
      <w:r w:rsidR="002279F1">
        <w:rPr>
          <w:rFonts w:asciiTheme="minorHAnsi" w:hAnsiTheme="minorHAnsi"/>
        </w:rPr>
        <w:t>-</w:t>
      </w:r>
      <w:r w:rsidR="00771911">
        <w:rPr>
          <w:rFonts w:asciiTheme="minorHAnsi" w:hAnsiTheme="minorHAnsi"/>
        </w:rPr>
        <w:t xml:space="preserve"> 17 years]; (iv) adult [onset 18+ years]; and (v) </w:t>
      </w:r>
      <w:proofErr w:type="spellStart"/>
      <w:r w:rsidR="00771911">
        <w:rPr>
          <w:rFonts w:asciiTheme="minorHAnsi" w:hAnsiTheme="minorHAnsi"/>
        </w:rPr>
        <w:t>odonto-hypophosphatasia</w:t>
      </w:r>
      <w:proofErr w:type="spellEnd"/>
      <w:r w:rsidR="00771911">
        <w:rPr>
          <w:rFonts w:asciiTheme="minorHAnsi" w:hAnsiTheme="minorHAnsi"/>
        </w:rPr>
        <w:t xml:space="preserve"> [only dental symptoms]</w:t>
      </w:r>
      <w:r w:rsidR="00AA4DFB">
        <w:rPr>
          <w:rFonts w:asciiTheme="minorHAnsi" w:hAnsiTheme="minorHAnsi"/>
        </w:rPr>
        <w:t xml:space="preserve">. </w:t>
      </w:r>
      <w:r w:rsidR="00771911" w:rsidRPr="00771911">
        <w:rPr>
          <w:rFonts w:asciiTheme="minorHAnsi" w:hAnsiTheme="minorHAnsi" w:cstheme="minorHAnsi"/>
          <w:szCs w:val="24"/>
        </w:rPr>
        <w:t xml:space="preserve">The submission appeared to define paediatric-onset HPP as </w:t>
      </w:r>
      <w:r w:rsidR="00BD2AD7">
        <w:rPr>
          <w:rFonts w:asciiTheme="minorHAnsi" w:hAnsiTheme="minorHAnsi" w:cstheme="minorHAnsi"/>
          <w:szCs w:val="24"/>
        </w:rPr>
        <w:t xml:space="preserve">disease with an onset of symptoms at </w:t>
      </w:r>
      <w:r w:rsidR="00771911" w:rsidRPr="00771911">
        <w:rPr>
          <w:rFonts w:asciiTheme="minorHAnsi" w:hAnsiTheme="minorHAnsi" w:cstheme="minorHAnsi"/>
          <w:szCs w:val="24"/>
        </w:rPr>
        <w:t>less than 18 years of age, which would include perinatal-, infantile- and juvenile-onset HPP.</w:t>
      </w:r>
      <w:r w:rsidR="00A2380C">
        <w:rPr>
          <w:rFonts w:asciiTheme="minorHAnsi" w:hAnsiTheme="minorHAnsi" w:cstheme="minorHAnsi"/>
          <w:i/>
          <w:szCs w:val="24"/>
        </w:rPr>
        <w:t xml:space="preserve"> </w:t>
      </w:r>
    </w:p>
    <w:p w:rsidR="00B10DD6" w:rsidRPr="000E7B17" w:rsidRDefault="00AA4DFB" w:rsidP="005123EA">
      <w:pPr>
        <w:pStyle w:val="ListParagraph"/>
        <w:widowControl/>
        <w:numPr>
          <w:ilvl w:val="1"/>
          <w:numId w:val="2"/>
        </w:numPr>
        <w:contextualSpacing w:val="0"/>
        <w:rPr>
          <w:rFonts w:asciiTheme="minorHAnsi" w:hAnsiTheme="minorHAnsi"/>
        </w:rPr>
      </w:pPr>
      <w:r w:rsidRPr="00AA4DFB">
        <w:rPr>
          <w:rFonts w:asciiTheme="minorHAnsi" w:hAnsiTheme="minorHAnsi"/>
        </w:rPr>
        <w:t>Generally, the earlier that symptoms are apparent, the more severe the form of the disorder</w:t>
      </w:r>
      <w:r w:rsidR="008034CB">
        <w:rPr>
          <w:rFonts w:asciiTheme="minorHAnsi" w:hAnsiTheme="minorHAnsi"/>
        </w:rPr>
        <w:t>.</w:t>
      </w:r>
      <w:r w:rsidRPr="00AA4DFB">
        <w:rPr>
          <w:rFonts w:asciiTheme="minorHAnsi" w:hAnsiTheme="minorHAnsi"/>
        </w:rPr>
        <w:t xml:space="preserve"> </w:t>
      </w:r>
      <w:r w:rsidR="008034CB">
        <w:rPr>
          <w:rFonts w:asciiTheme="minorHAnsi" w:hAnsiTheme="minorHAnsi"/>
        </w:rPr>
        <w:t>A</w:t>
      </w:r>
      <w:r w:rsidRPr="00AA4DFB">
        <w:rPr>
          <w:rFonts w:asciiTheme="minorHAnsi" w:hAnsiTheme="minorHAnsi"/>
        </w:rPr>
        <w:t xml:space="preserve"> patient’s age at onset of symptoms </w:t>
      </w:r>
      <w:r w:rsidR="008034CB">
        <w:rPr>
          <w:rFonts w:asciiTheme="minorHAnsi" w:hAnsiTheme="minorHAnsi"/>
        </w:rPr>
        <w:t>is</w:t>
      </w:r>
      <w:r w:rsidR="008034CB" w:rsidRPr="00AA4DFB">
        <w:rPr>
          <w:rFonts w:asciiTheme="minorHAnsi" w:hAnsiTheme="minorHAnsi"/>
        </w:rPr>
        <w:t xml:space="preserve"> </w:t>
      </w:r>
      <w:r w:rsidRPr="00AA4DFB">
        <w:rPr>
          <w:rFonts w:asciiTheme="minorHAnsi" w:hAnsiTheme="minorHAnsi"/>
        </w:rPr>
        <w:t xml:space="preserve">thought to reflect the level of enzymatic activity of tissue non-specific alkaline phosphatase </w:t>
      </w:r>
      <w:r>
        <w:rPr>
          <w:rFonts w:asciiTheme="minorHAnsi" w:hAnsiTheme="minorHAnsi"/>
        </w:rPr>
        <w:t>(</w:t>
      </w:r>
      <w:r w:rsidRPr="00AA4DFB">
        <w:rPr>
          <w:rFonts w:asciiTheme="minorHAnsi" w:hAnsiTheme="minorHAnsi"/>
        </w:rPr>
        <w:t>TNSALP</w:t>
      </w:r>
      <w:r>
        <w:rPr>
          <w:rFonts w:asciiTheme="minorHAnsi" w:hAnsiTheme="minorHAnsi"/>
        </w:rPr>
        <w:t>)</w:t>
      </w:r>
      <w:r w:rsidRPr="00AA4DFB">
        <w:rPr>
          <w:rFonts w:asciiTheme="minorHAnsi" w:hAnsiTheme="minorHAnsi"/>
        </w:rPr>
        <w:t xml:space="preserve"> in an individual patient. </w:t>
      </w:r>
      <w:r w:rsidR="00B10DD6" w:rsidRPr="001D6A86">
        <w:t xml:space="preserve">In babies and infants, mortality is high, primarily due to respiratory failure as a result of </w:t>
      </w:r>
      <w:r w:rsidR="00F04921" w:rsidRPr="00EC75E9">
        <w:t>defective</w:t>
      </w:r>
      <w:r w:rsidR="00F04921">
        <w:t xml:space="preserve"> </w:t>
      </w:r>
      <w:r w:rsidR="00B10DD6" w:rsidRPr="001D6A86">
        <w:t>b</w:t>
      </w:r>
      <w:r w:rsidR="00B0230B">
        <w:t>one mineralisation of the ribs.</w:t>
      </w:r>
      <w:r w:rsidR="00B10DD6" w:rsidRPr="001D6A86">
        <w:t xml:space="preserve"> </w:t>
      </w:r>
      <w:r w:rsidR="00B10DD6" w:rsidRPr="000E7B17">
        <w:t xml:space="preserve">The disease can also </w:t>
      </w:r>
      <w:r w:rsidR="00B10DD6" w:rsidRPr="000E7B17">
        <w:rPr>
          <w:rFonts w:asciiTheme="minorHAnsi" w:hAnsiTheme="minorHAnsi"/>
        </w:rPr>
        <w:t xml:space="preserve">result </w:t>
      </w:r>
      <w:r w:rsidR="006E5375" w:rsidRPr="000E7B17">
        <w:t>in rickets</w:t>
      </w:r>
      <w:r w:rsidR="006E5375" w:rsidRPr="000E7B17">
        <w:noBreakHyphen/>
      </w:r>
      <w:r w:rsidR="00B10DD6" w:rsidRPr="000E7B17">
        <w:t xml:space="preserve">like bone disease in infants and children and </w:t>
      </w:r>
      <w:proofErr w:type="spellStart"/>
      <w:r w:rsidR="00B10DD6" w:rsidRPr="000E7B17">
        <w:t>osteomalacia</w:t>
      </w:r>
      <w:proofErr w:type="spellEnd"/>
      <w:r w:rsidR="00B10DD6" w:rsidRPr="000E7B17">
        <w:t xml:space="preserve">, kidney stones, </w:t>
      </w:r>
      <w:r w:rsidR="00A2380C" w:rsidRPr="000E7B17">
        <w:t xml:space="preserve">raised intracranial pressure from premature </w:t>
      </w:r>
      <w:proofErr w:type="spellStart"/>
      <w:r w:rsidR="00A2380C" w:rsidRPr="000E7B17">
        <w:t>craniosynostosis</w:t>
      </w:r>
      <w:proofErr w:type="spellEnd"/>
      <w:r w:rsidR="00A2380C" w:rsidRPr="000E7B17">
        <w:t xml:space="preserve">, </w:t>
      </w:r>
      <w:proofErr w:type="spellStart"/>
      <w:r w:rsidR="00B10DD6" w:rsidRPr="000E7B17">
        <w:t>nephrocalcinosis</w:t>
      </w:r>
      <w:proofErr w:type="spellEnd"/>
      <w:r w:rsidR="00B10DD6" w:rsidRPr="000E7B17">
        <w:t xml:space="preserve"> and pyridoxine-responsive seizures in </w:t>
      </w:r>
      <w:r w:rsidR="00B0230B" w:rsidRPr="000E7B17">
        <w:t>patients of all ages.</w:t>
      </w:r>
    </w:p>
    <w:p w:rsidR="00B10DD6" w:rsidRPr="00771827" w:rsidRDefault="00B10DD6" w:rsidP="005123EA">
      <w:pPr>
        <w:pStyle w:val="ListParagraph"/>
        <w:widowControl/>
        <w:numPr>
          <w:ilvl w:val="1"/>
          <w:numId w:val="2"/>
        </w:numPr>
        <w:contextualSpacing w:val="0"/>
        <w:rPr>
          <w:rFonts w:asciiTheme="minorHAnsi" w:hAnsiTheme="minorHAnsi"/>
        </w:rPr>
      </w:pPr>
      <w:r>
        <w:t>D</w:t>
      </w:r>
      <w:r w:rsidRPr="001D6A86">
        <w:t>iagnosis is made based on medical history and clinical manifestations, confirmed following skeletal imaging consistent with HPP-related bone disease and a laboratory test showing low alkaline phosphatase (ALP) below the normal range fo</w:t>
      </w:r>
      <w:r w:rsidR="00B0230B">
        <w:t>r the patient’s age and gender.</w:t>
      </w:r>
      <w:r w:rsidRPr="001D6A86">
        <w:t xml:space="preserve"> Additionally, tests using commercially available assays for serum pyridoxal-5’-phosphate (PLP) or urine </w:t>
      </w:r>
      <w:proofErr w:type="spellStart"/>
      <w:r w:rsidRPr="001D6A86">
        <w:t>phosphoethanolamine</w:t>
      </w:r>
      <w:proofErr w:type="spellEnd"/>
      <w:r w:rsidRPr="001D6A86">
        <w:t xml:space="preserve"> (PEA), which are metabolic substrates of ALP, may be ordered and in patients with HPP these substrates would appear at levels </w:t>
      </w:r>
      <w:r w:rsidRPr="00771827">
        <w:t>a</w:t>
      </w:r>
      <w:r w:rsidR="00B0230B">
        <w:t>bove the upper limit of normal.</w:t>
      </w:r>
      <w:r w:rsidRPr="00771827">
        <w:t xml:space="preserve"> Molecular genetic testing can also detect </w:t>
      </w:r>
      <w:r>
        <w:t xml:space="preserve">any of the 334 </w:t>
      </w:r>
      <w:r w:rsidR="00051078">
        <w:t xml:space="preserve">currently known </w:t>
      </w:r>
      <w:r>
        <w:t xml:space="preserve">different </w:t>
      </w:r>
      <w:r w:rsidRPr="00771827">
        <w:t>mutations in the ALPL gene</w:t>
      </w:r>
      <w:r>
        <w:t xml:space="preserve"> that can cause this condition.</w:t>
      </w:r>
    </w:p>
    <w:p w:rsidR="00B10DD6" w:rsidRDefault="00B10DD6" w:rsidP="005123EA">
      <w:pPr>
        <w:pStyle w:val="ListParagraph"/>
        <w:widowControl/>
        <w:numPr>
          <w:ilvl w:val="1"/>
          <w:numId w:val="2"/>
        </w:numPr>
        <w:contextualSpacing w:val="0"/>
        <w:rPr>
          <w:rFonts w:asciiTheme="minorHAnsi" w:hAnsiTheme="minorHAnsi"/>
        </w:rPr>
      </w:pPr>
      <w:proofErr w:type="spellStart"/>
      <w:r w:rsidRPr="00771827">
        <w:rPr>
          <w:rFonts w:asciiTheme="minorHAnsi" w:hAnsiTheme="minorHAnsi"/>
        </w:rPr>
        <w:t>Asfotase</w:t>
      </w:r>
      <w:proofErr w:type="spellEnd"/>
      <w:r w:rsidRPr="00771827">
        <w:rPr>
          <w:rFonts w:asciiTheme="minorHAnsi" w:hAnsiTheme="minorHAnsi"/>
        </w:rPr>
        <w:t xml:space="preserve"> alfa </w:t>
      </w:r>
      <w:proofErr w:type="spellStart"/>
      <w:r w:rsidR="00465F17" w:rsidRPr="00465F17">
        <w:rPr>
          <w:rFonts w:asciiTheme="minorHAnsi" w:hAnsiTheme="minorHAnsi"/>
          <w:i/>
        </w:rPr>
        <w:t>rch</w:t>
      </w:r>
      <w:proofErr w:type="spellEnd"/>
      <w:r w:rsidRPr="00771827">
        <w:rPr>
          <w:rFonts w:asciiTheme="minorHAnsi" w:hAnsiTheme="minorHAnsi"/>
        </w:rPr>
        <w:t xml:space="preserve"> would be used in addition to best supportive care.</w:t>
      </w:r>
    </w:p>
    <w:p w:rsidR="00BF1E8B" w:rsidRPr="00771827" w:rsidRDefault="00BF1E8B" w:rsidP="005123EA">
      <w:pPr>
        <w:pStyle w:val="ListParagraph"/>
        <w:widowControl/>
        <w:ind w:hanging="153"/>
        <w:contextualSpacing w:val="0"/>
        <w:rPr>
          <w:rFonts w:asciiTheme="minorHAnsi" w:hAnsiTheme="minorHAnsi"/>
        </w:rPr>
      </w:pPr>
      <w:r w:rsidRPr="00BF1E8B">
        <w:rPr>
          <w:rFonts w:asciiTheme="minorHAnsi" w:hAnsiTheme="minorHAnsi"/>
          <w:i/>
        </w:rPr>
        <w:t>For more detail on PBAC’s view, see section 7 “PBAC outcome.”</w:t>
      </w:r>
    </w:p>
    <w:p w:rsidR="00B10DD6" w:rsidRPr="00771827" w:rsidRDefault="00B10DD6" w:rsidP="005123EA">
      <w:pPr>
        <w:pStyle w:val="Heading1"/>
        <w:ind w:left="567" w:hanging="567"/>
      </w:pPr>
      <w:bookmarkStart w:id="16" w:name="_Toc413139275"/>
      <w:bookmarkStart w:id="17" w:name="_Toc476306885"/>
      <w:bookmarkStart w:id="18" w:name="_Toc481339861"/>
      <w:bookmarkStart w:id="19" w:name="_Toc481410706"/>
      <w:r w:rsidRPr="00771827">
        <w:t>Comparator</w:t>
      </w:r>
      <w:bookmarkEnd w:id="16"/>
      <w:bookmarkEnd w:id="17"/>
      <w:bookmarkEnd w:id="18"/>
      <w:bookmarkEnd w:id="19"/>
    </w:p>
    <w:p w:rsidR="00B10DD6" w:rsidRPr="00BF1E8B" w:rsidRDefault="00151D01" w:rsidP="005123EA">
      <w:pPr>
        <w:pStyle w:val="ListParagraph"/>
        <w:widowControl/>
        <w:numPr>
          <w:ilvl w:val="1"/>
          <w:numId w:val="2"/>
        </w:numPr>
        <w:contextualSpacing w:val="0"/>
        <w:rPr>
          <w:rFonts w:asciiTheme="minorHAnsi" w:hAnsiTheme="minorHAnsi"/>
          <w:lang w:val="en-GB"/>
        </w:rPr>
      </w:pPr>
      <w:r>
        <w:rPr>
          <w:rFonts w:asciiTheme="minorHAnsi" w:hAnsiTheme="minorHAnsi"/>
        </w:rPr>
        <w:t>The submission nominated b</w:t>
      </w:r>
      <w:r w:rsidR="00B10DD6" w:rsidRPr="00691EF6">
        <w:rPr>
          <w:rFonts w:asciiTheme="minorHAnsi" w:hAnsiTheme="minorHAnsi"/>
        </w:rPr>
        <w:t>est supportive care</w:t>
      </w:r>
      <w:r w:rsidR="00DE38E2">
        <w:rPr>
          <w:rFonts w:asciiTheme="minorHAnsi" w:hAnsiTheme="minorHAnsi"/>
        </w:rPr>
        <w:t xml:space="preserve"> (BSC)</w:t>
      </w:r>
      <w:r>
        <w:rPr>
          <w:rFonts w:asciiTheme="minorHAnsi" w:hAnsiTheme="minorHAnsi"/>
        </w:rPr>
        <w:t xml:space="preserve"> as the main comparator on the basis that there are no other therapeutic options that treat the underlying cause of HPP</w:t>
      </w:r>
      <w:r w:rsidR="00B10DD6" w:rsidRPr="00691EF6">
        <w:rPr>
          <w:rFonts w:asciiTheme="minorHAnsi" w:hAnsiTheme="minorHAnsi"/>
        </w:rPr>
        <w:t xml:space="preserve">. </w:t>
      </w:r>
      <w:r w:rsidR="001824A6" w:rsidRPr="00151D01">
        <w:rPr>
          <w:rFonts w:asciiTheme="minorHAnsi" w:hAnsiTheme="minorHAnsi"/>
        </w:rPr>
        <w:t xml:space="preserve">The ESC considered this </w:t>
      </w:r>
      <w:r w:rsidR="00B10DD6" w:rsidRPr="00151D01">
        <w:rPr>
          <w:rFonts w:asciiTheme="minorHAnsi" w:hAnsiTheme="minorHAnsi"/>
        </w:rPr>
        <w:t xml:space="preserve">was the appropriate comparator. </w:t>
      </w:r>
    </w:p>
    <w:p w:rsidR="00BF1E8B" w:rsidRPr="00BF1E8B" w:rsidRDefault="00BF1E8B" w:rsidP="005123EA">
      <w:pPr>
        <w:pStyle w:val="ListParagraph"/>
        <w:widowControl/>
        <w:ind w:hanging="153"/>
        <w:contextualSpacing w:val="0"/>
        <w:rPr>
          <w:rFonts w:asciiTheme="minorHAnsi" w:hAnsiTheme="minorHAnsi"/>
          <w:i/>
        </w:rPr>
      </w:pPr>
      <w:r w:rsidRPr="00BF1E8B">
        <w:rPr>
          <w:rFonts w:asciiTheme="minorHAnsi" w:hAnsiTheme="minorHAnsi"/>
          <w:i/>
        </w:rPr>
        <w:t>For more detail on PBAC’s view, see section 7 “PBAC outcome.”</w:t>
      </w:r>
    </w:p>
    <w:p w:rsidR="00B10DD6" w:rsidRPr="00DD48DB" w:rsidRDefault="00B10DD6" w:rsidP="005123EA">
      <w:pPr>
        <w:pStyle w:val="Heading1"/>
        <w:ind w:left="567" w:hanging="567"/>
      </w:pPr>
      <w:bookmarkStart w:id="20" w:name="_Toc413139276"/>
      <w:bookmarkStart w:id="21" w:name="_Toc476306886"/>
      <w:bookmarkStart w:id="22" w:name="_Toc481339862"/>
      <w:bookmarkStart w:id="23" w:name="_Toc481410707"/>
      <w:r w:rsidRPr="00DD48DB">
        <w:t>Consideration of the evidence</w:t>
      </w:r>
      <w:bookmarkEnd w:id="20"/>
      <w:bookmarkEnd w:id="21"/>
      <w:bookmarkEnd w:id="22"/>
      <w:bookmarkEnd w:id="23"/>
    </w:p>
    <w:p w:rsidR="007C12E4" w:rsidRPr="002D6020" w:rsidRDefault="007C12E4" w:rsidP="005123EA">
      <w:pPr>
        <w:pStyle w:val="Heading2"/>
        <w:keepNext/>
        <w:widowControl/>
      </w:pPr>
      <w:bookmarkStart w:id="24" w:name="_Toc413139277"/>
      <w:bookmarkStart w:id="25" w:name="_Toc476306887"/>
      <w:bookmarkStart w:id="26" w:name="_Toc481339863"/>
      <w:bookmarkStart w:id="27" w:name="_Toc481410708"/>
      <w:r w:rsidRPr="002D6020">
        <w:t>Sponsor hearing</w:t>
      </w:r>
    </w:p>
    <w:p w:rsidR="007C12E4" w:rsidRPr="00EE571F" w:rsidRDefault="007C12E4" w:rsidP="00C91975">
      <w:pPr>
        <w:pStyle w:val="ListParagraph"/>
        <w:widowControl/>
        <w:numPr>
          <w:ilvl w:val="1"/>
          <w:numId w:val="2"/>
        </w:numPr>
        <w:contextualSpacing w:val="0"/>
        <w:rPr>
          <w:rFonts w:asciiTheme="minorHAnsi" w:hAnsiTheme="minorHAnsi"/>
          <w:bCs/>
          <w:szCs w:val="24"/>
        </w:rPr>
      </w:pPr>
      <w:r w:rsidRPr="00EE571F">
        <w:rPr>
          <w:rFonts w:asciiTheme="minorHAnsi" w:hAnsiTheme="minorHAnsi"/>
          <w:bCs/>
          <w:szCs w:val="24"/>
        </w:rPr>
        <w:t>The sponsor requested a hearing for this item. The clinician</w:t>
      </w:r>
      <w:r w:rsidR="00DA6ACA" w:rsidRPr="00EE571F">
        <w:rPr>
          <w:rFonts w:asciiTheme="minorHAnsi" w:hAnsiTheme="minorHAnsi"/>
          <w:bCs/>
          <w:szCs w:val="24"/>
        </w:rPr>
        <w:t xml:space="preserve"> </w:t>
      </w:r>
      <w:r w:rsidR="00AB3E06" w:rsidRPr="00EE571F">
        <w:rPr>
          <w:rFonts w:asciiTheme="minorHAnsi" w:hAnsiTheme="minorHAnsi"/>
          <w:bCs/>
          <w:szCs w:val="24"/>
        </w:rPr>
        <w:t xml:space="preserve">presented </w:t>
      </w:r>
      <w:r w:rsidR="00F82185" w:rsidRPr="00EE571F">
        <w:rPr>
          <w:rFonts w:asciiTheme="minorHAnsi" w:hAnsiTheme="minorHAnsi"/>
          <w:bCs/>
          <w:szCs w:val="24"/>
        </w:rPr>
        <w:t xml:space="preserve">clinical </w:t>
      </w:r>
      <w:r w:rsidR="00AB3E06" w:rsidRPr="00EE571F">
        <w:rPr>
          <w:rFonts w:asciiTheme="minorHAnsi" w:hAnsiTheme="minorHAnsi"/>
          <w:bCs/>
          <w:szCs w:val="24"/>
        </w:rPr>
        <w:t>case</w:t>
      </w:r>
      <w:r w:rsidR="00BD2AD7" w:rsidRPr="00EE571F">
        <w:rPr>
          <w:rFonts w:asciiTheme="minorHAnsi" w:hAnsiTheme="minorHAnsi"/>
          <w:bCs/>
          <w:szCs w:val="24"/>
        </w:rPr>
        <w:t>s and</w:t>
      </w:r>
      <w:r w:rsidR="00AB3E06" w:rsidRPr="00EE571F">
        <w:rPr>
          <w:rFonts w:asciiTheme="minorHAnsi" w:hAnsiTheme="minorHAnsi"/>
          <w:bCs/>
          <w:szCs w:val="24"/>
        </w:rPr>
        <w:t xml:space="preserve"> </w:t>
      </w:r>
      <w:r w:rsidR="00F82185" w:rsidRPr="00EE571F">
        <w:rPr>
          <w:rFonts w:asciiTheme="minorHAnsi" w:hAnsiTheme="minorHAnsi"/>
          <w:bCs/>
          <w:szCs w:val="24"/>
        </w:rPr>
        <w:t xml:space="preserve">discussed the natural history of HPP and the use of </w:t>
      </w:r>
      <w:proofErr w:type="spellStart"/>
      <w:r w:rsidR="00AB3E06" w:rsidRPr="00EE571F">
        <w:rPr>
          <w:rFonts w:asciiTheme="minorHAnsi" w:hAnsiTheme="minorHAnsi"/>
          <w:bCs/>
          <w:szCs w:val="24"/>
        </w:rPr>
        <w:t>asfotase</w:t>
      </w:r>
      <w:proofErr w:type="spellEnd"/>
      <w:r w:rsidR="00AB3E06" w:rsidRPr="00EE571F">
        <w:rPr>
          <w:rFonts w:asciiTheme="minorHAnsi" w:hAnsiTheme="minorHAnsi"/>
          <w:bCs/>
          <w:szCs w:val="24"/>
        </w:rPr>
        <w:t xml:space="preserve"> alfa </w:t>
      </w:r>
      <w:proofErr w:type="spellStart"/>
      <w:r w:rsidR="00AB3E06" w:rsidRPr="00EE571F">
        <w:rPr>
          <w:rFonts w:asciiTheme="minorHAnsi" w:hAnsiTheme="minorHAnsi"/>
          <w:bCs/>
          <w:i/>
          <w:szCs w:val="24"/>
        </w:rPr>
        <w:t>rch</w:t>
      </w:r>
      <w:proofErr w:type="spellEnd"/>
      <w:r w:rsidR="00AB3E06" w:rsidRPr="00EE571F">
        <w:rPr>
          <w:rFonts w:asciiTheme="minorHAnsi" w:hAnsiTheme="minorHAnsi"/>
          <w:bCs/>
          <w:szCs w:val="24"/>
        </w:rPr>
        <w:t xml:space="preserve"> in patients </w:t>
      </w:r>
      <w:r w:rsidR="00EE571F" w:rsidRPr="00EE571F">
        <w:rPr>
          <w:rFonts w:asciiTheme="minorHAnsi" w:hAnsiTheme="minorHAnsi"/>
          <w:bCs/>
          <w:szCs w:val="24"/>
        </w:rPr>
        <w:t xml:space="preserve">noting the wide phenotypic variation in </w:t>
      </w:r>
      <w:r w:rsidR="008A012E" w:rsidRPr="00EE571F">
        <w:rPr>
          <w:rFonts w:asciiTheme="minorHAnsi" w:hAnsiTheme="minorHAnsi"/>
          <w:bCs/>
          <w:szCs w:val="24"/>
        </w:rPr>
        <w:t>HPP</w:t>
      </w:r>
      <w:r w:rsidR="00AB3E06" w:rsidRPr="00EE571F">
        <w:rPr>
          <w:rFonts w:asciiTheme="minorHAnsi" w:hAnsiTheme="minorHAnsi"/>
          <w:bCs/>
          <w:szCs w:val="24"/>
        </w:rPr>
        <w:t xml:space="preserve">. The presentation highlighted the benefits of </w:t>
      </w:r>
      <w:proofErr w:type="spellStart"/>
      <w:r w:rsidR="00AB3E06" w:rsidRPr="00EE571F">
        <w:rPr>
          <w:rFonts w:asciiTheme="minorHAnsi" w:hAnsiTheme="minorHAnsi"/>
          <w:bCs/>
          <w:szCs w:val="24"/>
        </w:rPr>
        <w:t>asfotase</w:t>
      </w:r>
      <w:proofErr w:type="spellEnd"/>
      <w:r w:rsidR="00AB3E06" w:rsidRPr="00EE571F">
        <w:rPr>
          <w:rFonts w:asciiTheme="minorHAnsi" w:hAnsiTheme="minorHAnsi"/>
          <w:bCs/>
          <w:szCs w:val="24"/>
        </w:rPr>
        <w:t xml:space="preserve"> alfa </w:t>
      </w:r>
      <w:proofErr w:type="spellStart"/>
      <w:r w:rsidR="00AB3E06" w:rsidRPr="00EE571F">
        <w:rPr>
          <w:rFonts w:asciiTheme="minorHAnsi" w:hAnsiTheme="minorHAnsi"/>
          <w:bCs/>
          <w:i/>
          <w:szCs w:val="24"/>
        </w:rPr>
        <w:t>rch</w:t>
      </w:r>
      <w:proofErr w:type="spellEnd"/>
      <w:r w:rsidR="00AA51C9" w:rsidRPr="00EE571F">
        <w:rPr>
          <w:rFonts w:asciiTheme="minorHAnsi" w:hAnsiTheme="minorHAnsi"/>
          <w:bCs/>
          <w:szCs w:val="24"/>
        </w:rPr>
        <w:t xml:space="preserve"> in assisting with</w:t>
      </w:r>
      <w:r w:rsidR="00AB3E06" w:rsidRPr="00EE571F">
        <w:rPr>
          <w:rFonts w:asciiTheme="minorHAnsi" w:hAnsiTheme="minorHAnsi"/>
          <w:bCs/>
          <w:szCs w:val="24"/>
        </w:rPr>
        <w:t xml:space="preserve"> mobility and improved quality of life</w:t>
      </w:r>
      <w:r w:rsidR="002B2479" w:rsidRPr="00EE571F">
        <w:rPr>
          <w:rFonts w:asciiTheme="minorHAnsi" w:hAnsiTheme="minorHAnsi"/>
          <w:bCs/>
          <w:szCs w:val="24"/>
        </w:rPr>
        <w:t>, as well as mortality in infantile patients</w:t>
      </w:r>
      <w:r w:rsidR="00AB3E06" w:rsidRPr="00EE571F">
        <w:rPr>
          <w:rFonts w:asciiTheme="minorHAnsi" w:hAnsiTheme="minorHAnsi"/>
          <w:bCs/>
          <w:szCs w:val="24"/>
        </w:rPr>
        <w:t xml:space="preserve">. The clinician </w:t>
      </w:r>
      <w:r w:rsidR="00AA51C9" w:rsidRPr="00EE571F">
        <w:rPr>
          <w:rFonts w:asciiTheme="minorHAnsi" w:hAnsiTheme="minorHAnsi"/>
          <w:bCs/>
          <w:szCs w:val="24"/>
        </w:rPr>
        <w:t>and the Committee</w:t>
      </w:r>
      <w:r w:rsidR="00AB3E06" w:rsidRPr="00EE571F">
        <w:rPr>
          <w:rFonts w:asciiTheme="minorHAnsi" w:hAnsiTheme="minorHAnsi"/>
          <w:bCs/>
          <w:szCs w:val="24"/>
        </w:rPr>
        <w:t xml:space="preserve"> discussed prevalence rates </w:t>
      </w:r>
      <w:r w:rsidR="00EE571F" w:rsidRPr="00EE571F">
        <w:rPr>
          <w:rFonts w:asciiTheme="minorHAnsi" w:hAnsiTheme="minorHAnsi"/>
          <w:bCs/>
          <w:szCs w:val="24"/>
        </w:rPr>
        <w:t>(it was noted that the prevalence may be around 1:6000 (</w:t>
      </w:r>
      <w:proofErr w:type="spellStart"/>
      <w:r w:rsidR="00EE571F" w:rsidRPr="00EE571F">
        <w:rPr>
          <w:rFonts w:asciiTheme="minorHAnsi" w:hAnsiTheme="minorHAnsi"/>
          <w:bCs/>
          <w:szCs w:val="24"/>
        </w:rPr>
        <w:t>Mornet</w:t>
      </w:r>
      <w:proofErr w:type="spellEnd"/>
      <w:r w:rsidR="00EE571F" w:rsidRPr="00EE571F">
        <w:rPr>
          <w:rFonts w:asciiTheme="minorHAnsi" w:hAnsiTheme="minorHAnsi"/>
          <w:bCs/>
          <w:szCs w:val="24"/>
        </w:rPr>
        <w:t xml:space="preserve">) if milder forms were included) </w:t>
      </w:r>
      <w:r w:rsidR="00AA51C9" w:rsidRPr="00EE571F">
        <w:rPr>
          <w:rFonts w:asciiTheme="minorHAnsi" w:hAnsiTheme="minorHAnsi"/>
          <w:bCs/>
          <w:szCs w:val="24"/>
        </w:rPr>
        <w:t xml:space="preserve">and the applicability of genetic testing in Australia. The clinician briefly addressed concerns surrounding </w:t>
      </w:r>
      <w:r w:rsidR="00AB3E06" w:rsidRPr="00EE571F">
        <w:rPr>
          <w:rFonts w:asciiTheme="minorHAnsi" w:hAnsiTheme="minorHAnsi"/>
          <w:bCs/>
          <w:szCs w:val="24"/>
        </w:rPr>
        <w:t>anaphylaxis</w:t>
      </w:r>
      <w:r w:rsidR="00AA51C9" w:rsidRPr="00EE571F">
        <w:rPr>
          <w:rFonts w:asciiTheme="minorHAnsi" w:hAnsiTheme="minorHAnsi"/>
          <w:bCs/>
          <w:szCs w:val="24"/>
        </w:rPr>
        <w:t xml:space="preserve"> and self-</w:t>
      </w:r>
      <w:r w:rsidR="00C43FB8" w:rsidRPr="00EE571F">
        <w:rPr>
          <w:rFonts w:asciiTheme="minorHAnsi" w:hAnsiTheme="minorHAnsi"/>
          <w:bCs/>
          <w:szCs w:val="24"/>
        </w:rPr>
        <w:t>administration. The</w:t>
      </w:r>
      <w:r w:rsidRPr="00EE571F">
        <w:rPr>
          <w:rFonts w:asciiTheme="minorHAnsi" w:hAnsiTheme="minorHAnsi"/>
          <w:bCs/>
          <w:szCs w:val="24"/>
        </w:rPr>
        <w:t xml:space="preserve"> PBAC considered that the hearing was informative as it provided a clinical perspective on treating this uncommon disease.</w:t>
      </w:r>
    </w:p>
    <w:p w:rsidR="007C12E4" w:rsidRPr="002D6020" w:rsidRDefault="007C12E4" w:rsidP="005123EA">
      <w:pPr>
        <w:pStyle w:val="Heading2"/>
        <w:widowControl/>
      </w:pPr>
      <w:r w:rsidRPr="002D6020">
        <w:t>Consumer comments</w:t>
      </w:r>
    </w:p>
    <w:p w:rsidR="007C12E4" w:rsidRPr="002D6020" w:rsidRDefault="007C12E4" w:rsidP="00C91975">
      <w:pPr>
        <w:pStyle w:val="ListParagraph"/>
        <w:widowControl/>
        <w:numPr>
          <w:ilvl w:val="1"/>
          <w:numId w:val="2"/>
        </w:numPr>
        <w:contextualSpacing w:val="0"/>
        <w:rPr>
          <w:rFonts w:asciiTheme="minorHAnsi" w:hAnsiTheme="minorHAnsi"/>
          <w:bCs/>
          <w:szCs w:val="24"/>
        </w:rPr>
      </w:pPr>
      <w:r w:rsidRPr="002D6020">
        <w:rPr>
          <w:rFonts w:asciiTheme="minorHAnsi" w:hAnsiTheme="minorHAnsi"/>
          <w:bCs/>
          <w:szCs w:val="24"/>
        </w:rPr>
        <w:t xml:space="preserve">The PBAC noted and welcomed the input from individuals (6), health care professionals (6) and </w:t>
      </w:r>
      <w:r w:rsidR="00EC4337">
        <w:rPr>
          <w:rFonts w:asciiTheme="minorHAnsi" w:hAnsiTheme="minorHAnsi"/>
          <w:bCs/>
          <w:szCs w:val="24"/>
        </w:rPr>
        <w:t xml:space="preserve">an </w:t>
      </w:r>
      <w:r w:rsidRPr="002D6020">
        <w:rPr>
          <w:rFonts w:asciiTheme="minorHAnsi" w:hAnsiTheme="minorHAnsi"/>
          <w:bCs/>
          <w:szCs w:val="24"/>
        </w:rPr>
        <w:t xml:space="preserve">organisation (1) via the Consumer Comments facility on the PBS website.  The comments described a range of benefits of treatment with </w:t>
      </w:r>
      <w:proofErr w:type="spellStart"/>
      <w:r w:rsidR="00683636" w:rsidRPr="002D6020">
        <w:rPr>
          <w:rFonts w:asciiTheme="minorHAnsi" w:hAnsiTheme="minorHAnsi"/>
          <w:szCs w:val="24"/>
        </w:rPr>
        <w:t>a</w:t>
      </w:r>
      <w:r w:rsidRPr="002D6020">
        <w:rPr>
          <w:rFonts w:asciiTheme="minorHAnsi" w:hAnsiTheme="minorHAnsi"/>
          <w:szCs w:val="24"/>
        </w:rPr>
        <w:t>sfotase</w:t>
      </w:r>
      <w:proofErr w:type="spellEnd"/>
      <w:r w:rsidRPr="002D6020">
        <w:rPr>
          <w:rFonts w:asciiTheme="minorHAnsi" w:hAnsiTheme="minorHAnsi"/>
          <w:szCs w:val="24"/>
        </w:rPr>
        <w:t xml:space="preserve"> alfa </w:t>
      </w:r>
      <w:proofErr w:type="spellStart"/>
      <w:r w:rsidRPr="000D6F01">
        <w:rPr>
          <w:rFonts w:asciiTheme="minorHAnsi" w:hAnsiTheme="minorHAnsi"/>
          <w:i/>
          <w:szCs w:val="24"/>
        </w:rPr>
        <w:t>rch</w:t>
      </w:r>
      <w:proofErr w:type="spellEnd"/>
      <w:r w:rsidRPr="002D6020">
        <w:rPr>
          <w:rFonts w:asciiTheme="minorHAnsi" w:hAnsiTheme="minorHAnsi"/>
          <w:bCs/>
          <w:szCs w:val="24"/>
        </w:rPr>
        <w:t xml:space="preserve"> </w:t>
      </w:r>
      <w:r w:rsidR="008A012E">
        <w:rPr>
          <w:rFonts w:asciiTheme="minorHAnsi" w:hAnsiTheme="minorHAnsi"/>
          <w:bCs/>
          <w:szCs w:val="24"/>
        </w:rPr>
        <w:t xml:space="preserve">for HPP, </w:t>
      </w:r>
      <w:r w:rsidRPr="002D6020">
        <w:rPr>
          <w:rFonts w:asciiTheme="minorHAnsi" w:hAnsiTheme="minorHAnsi"/>
          <w:bCs/>
          <w:szCs w:val="24"/>
        </w:rPr>
        <w:t xml:space="preserve">including </w:t>
      </w:r>
      <w:r w:rsidR="00EC4337">
        <w:rPr>
          <w:rFonts w:asciiTheme="minorHAnsi" w:hAnsiTheme="minorHAnsi"/>
          <w:bCs/>
          <w:szCs w:val="24"/>
        </w:rPr>
        <w:t>improved</w:t>
      </w:r>
      <w:r w:rsidR="00EC4337" w:rsidRPr="002D6020">
        <w:rPr>
          <w:rFonts w:asciiTheme="minorHAnsi" w:hAnsiTheme="minorHAnsi"/>
          <w:bCs/>
          <w:szCs w:val="24"/>
        </w:rPr>
        <w:t xml:space="preserve"> </w:t>
      </w:r>
      <w:r w:rsidR="001240AE" w:rsidRPr="002D6020">
        <w:rPr>
          <w:rFonts w:asciiTheme="minorHAnsi" w:hAnsiTheme="minorHAnsi"/>
          <w:bCs/>
          <w:szCs w:val="24"/>
        </w:rPr>
        <w:t>survival</w:t>
      </w:r>
      <w:r w:rsidR="00EC4337">
        <w:rPr>
          <w:rFonts w:asciiTheme="minorHAnsi" w:hAnsiTheme="minorHAnsi"/>
          <w:bCs/>
          <w:szCs w:val="24"/>
        </w:rPr>
        <w:t xml:space="preserve"> for infants</w:t>
      </w:r>
      <w:r w:rsidR="001240AE" w:rsidRPr="002D6020">
        <w:rPr>
          <w:rFonts w:asciiTheme="minorHAnsi" w:hAnsiTheme="minorHAnsi"/>
          <w:bCs/>
          <w:szCs w:val="24"/>
        </w:rPr>
        <w:t xml:space="preserve">, reduced pain, reduced disability, </w:t>
      </w:r>
      <w:r w:rsidR="00146239" w:rsidRPr="002D6020">
        <w:rPr>
          <w:rFonts w:asciiTheme="minorHAnsi" w:hAnsiTheme="minorHAnsi"/>
          <w:bCs/>
          <w:szCs w:val="24"/>
        </w:rPr>
        <w:t>delayed disease progression and</w:t>
      </w:r>
      <w:r w:rsidR="001240AE" w:rsidRPr="002D6020">
        <w:rPr>
          <w:rFonts w:asciiTheme="minorHAnsi" w:hAnsiTheme="minorHAnsi"/>
          <w:bCs/>
          <w:szCs w:val="24"/>
        </w:rPr>
        <w:t xml:space="preserve"> increased mobility.</w:t>
      </w:r>
    </w:p>
    <w:p w:rsidR="007C12E4" w:rsidRPr="00C91975" w:rsidRDefault="007C12E4" w:rsidP="00C91975">
      <w:pPr>
        <w:pStyle w:val="ListParagraph"/>
        <w:widowControl/>
        <w:numPr>
          <w:ilvl w:val="1"/>
          <w:numId w:val="2"/>
        </w:numPr>
        <w:contextualSpacing w:val="0"/>
        <w:rPr>
          <w:rFonts w:asciiTheme="minorHAnsi" w:hAnsiTheme="minorHAnsi"/>
          <w:bCs/>
          <w:szCs w:val="24"/>
        </w:rPr>
      </w:pPr>
      <w:r w:rsidRPr="00C91975">
        <w:rPr>
          <w:rFonts w:asciiTheme="minorHAnsi" w:hAnsiTheme="minorHAnsi"/>
          <w:bCs/>
          <w:szCs w:val="24"/>
        </w:rPr>
        <w:t xml:space="preserve">The PBAC </w:t>
      </w:r>
      <w:r w:rsidR="009D7D09" w:rsidRPr="00C91975">
        <w:rPr>
          <w:rFonts w:asciiTheme="minorHAnsi" w:hAnsiTheme="minorHAnsi"/>
          <w:bCs/>
          <w:szCs w:val="24"/>
        </w:rPr>
        <w:t>noted the advice received from Soft Bones Australia</w:t>
      </w:r>
      <w:r w:rsidRPr="00C91975">
        <w:rPr>
          <w:rFonts w:asciiTheme="minorHAnsi" w:hAnsiTheme="minorHAnsi"/>
          <w:bCs/>
          <w:szCs w:val="24"/>
        </w:rPr>
        <w:t xml:space="preserve"> </w:t>
      </w:r>
      <w:r w:rsidR="00C55EA4" w:rsidRPr="00C91975">
        <w:rPr>
          <w:rFonts w:asciiTheme="minorHAnsi" w:hAnsiTheme="minorHAnsi"/>
          <w:bCs/>
          <w:szCs w:val="24"/>
        </w:rPr>
        <w:t xml:space="preserve">that outlined the </w:t>
      </w:r>
      <w:r w:rsidRPr="00C91975">
        <w:rPr>
          <w:rFonts w:asciiTheme="minorHAnsi" w:hAnsiTheme="minorHAnsi"/>
          <w:bCs/>
          <w:szCs w:val="24"/>
        </w:rPr>
        <w:t xml:space="preserve">likely use of </w:t>
      </w:r>
      <w:proofErr w:type="spellStart"/>
      <w:r w:rsidR="009D7D09" w:rsidRPr="00C91975">
        <w:rPr>
          <w:rFonts w:asciiTheme="minorHAnsi" w:hAnsiTheme="minorHAnsi"/>
          <w:szCs w:val="24"/>
        </w:rPr>
        <w:t>asfotase</w:t>
      </w:r>
      <w:proofErr w:type="spellEnd"/>
      <w:r w:rsidR="009D7D09" w:rsidRPr="00C91975">
        <w:rPr>
          <w:rFonts w:asciiTheme="minorHAnsi" w:hAnsiTheme="minorHAnsi"/>
          <w:szCs w:val="24"/>
        </w:rPr>
        <w:t xml:space="preserve"> alfa </w:t>
      </w:r>
      <w:proofErr w:type="spellStart"/>
      <w:r w:rsidR="009D7D09" w:rsidRPr="00C91975">
        <w:rPr>
          <w:rFonts w:asciiTheme="minorHAnsi" w:hAnsiTheme="minorHAnsi"/>
          <w:i/>
          <w:szCs w:val="24"/>
        </w:rPr>
        <w:t>rch</w:t>
      </w:r>
      <w:proofErr w:type="spellEnd"/>
      <w:r w:rsidR="009D7D09" w:rsidRPr="00C91975">
        <w:rPr>
          <w:rFonts w:asciiTheme="minorHAnsi" w:hAnsiTheme="minorHAnsi"/>
          <w:bCs/>
          <w:szCs w:val="24"/>
        </w:rPr>
        <w:t xml:space="preserve"> </w:t>
      </w:r>
      <w:r w:rsidRPr="00C91975">
        <w:rPr>
          <w:rFonts w:asciiTheme="minorHAnsi" w:hAnsiTheme="minorHAnsi"/>
          <w:bCs/>
          <w:szCs w:val="24"/>
        </w:rPr>
        <w:t xml:space="preserve">in clinical practice.  The PBAC specifically noted the advice that the use of </w:t>
      </w:r>
      <w:proofErr w:type="spellStart"/>
      <w:r w:rsidR="009D7D09" w:rsidRPr="00C91975">
        <w:rPr>
          <w:rFonts w:asciiTheme="minorHAnsi" w:hAnsiTheme="minorHAnsi"/>
          <w:szCs w:val="24"/>
        </w:rPr>
        <w:t>asfotase</w:t>
      </w:r>
      <w:proofErr w:type="spellEnd"/>
      <w:r w:rsidR="009D7D09" w:rsidRPr="00C91975">
        <w:rPr>
          <w:rFonts w:asciiTheme="minorHAnsi" w:hAnsiTheme="minorHAnsi"/>
          <w:szCs w:val="24"/>
        </w:rPr>
        <w:t xml:space="preserve"> alfa </w:t>
      </w:r>
      <w:proofErr w:type="spellStart"/>
      <w:r w:rsidR="009D7D09" w:rsidRPr="00C91975">
        <w:rPr>
          <w:rFonts w:asciiTheme="minorHAnsi" w:hAnsiTheme="minorHAnsi"/>
          <w:i/>
          <w:szCs w:val="24"/>
        </w:rPr>
        <w:t>rch</w:t>
      </w:r>
      <w:proofErr w:type="spellEnd"/>
      <w:r w:rsidRPr="00C91975">
        <w:rPr>
          <w:rFonts w:asciiTheme="minorHAnsi" w:hAnsiTheme="minorHAnsi"/>
          <w:bCs/>
          <w:szCs w:val="24"/>
        </w:rPr>
        <w:t xml:space="preserve"> may </w:t>
      </w:r>
      <w:r w:rsidR="00C55EA4" w:rsidRPr="00C91975">
        <w:rPr>
          <w:rFonts w:asciiTheme="minorHAnsi" w:hAnsiTheme="minorHAnsi"/>
          <w:bCs/>
          <w:szCs w:val="24"/>
        </w:rPr>
        <w:t xml:space="preserve">assist in preventing or </w:t>
      </w:r>
      <w:r w:rsidR="00167E62" w:rsidRPr="00C91975">
        <w:rPr>
          <w:rFonts w:asciiTheme="minorHAnsi" w:hAnsiTheme="minorHAnsi"/>
          <w:bCs/>
          <w:szCs w:val="24"/>
        </w:rPr>
        <w:t xml:space="preserve">improving </w:t>
      </w:r>
      <w:r w:rsidR="00C55EA4" w:rsidRPr="00C91975">
        <w:rPr>
          <w:rFonts w:asciiTheme="minorHAnsi" w:hAnsiTheme="minorHAnsi"/>
          <w:bCs/>
          <w:szCs w:val="24"/>
        </w:rPr>
        <w:t xml:space="preserve">the symptoms and complications </w:t>
      </w:r>
      <w:r w:rsidR="00167E62" w:rsidRPr="00C91975">
        <w:rPr>
          <w:rFonts w:asciiTheme="minorHAnsi" w:hAnsiTheme="minorHAnsi"/>
          <w:bCs/>
          <w:szCs w:val="24"/>
        </w:rPr>
        <w:t xml:space="preserve">associated with </w:t>
      </w:r>
      <w:r w:rsidR="00723C01" w:rsidRPr="00C91975">
        <w:rPr>
          <w:rFonts w:asciiTheme="minorHAnsi" w:hAnsiTheme="minorHAnsi"/>
          <w:snapToGrid/>
          <w:szCs w:val="24"/>
          <w:lang w:eastAsia="en-AU"/>
        </w:rPr>
        <w:t>HPP</w:t>
      </w:r>
      <w:r w:rsidRPr="00C91975">
        <w:rPr>
          <w:rFonts w:asciiTheme="minorHAnsi" w:hAnsiTheme="minorHAnsi"/>
          <w:bCs/>
          <w:szCs w:val="24"/>
        </w:rPr>
        <w:t xml:space="preserve">. </w:t>
      </w:r>
      <w:r w:rsidR="00723C01" w:rsidRPr="00C91975">
        <w:rPr>
          <w:rFonts w:asciiTheme="minorHAnsi" w:hAnsiTheme="minorHAnsi"/>
          <w:bCs/>
          <w:szCs w:val="24"/>
        </w:rPr>
        <w:t>The comments noted symptoms can range from being very mild to life threatening</w:t>
      </w:r>
      <w:r w:rsidR="00167E62" w:rsidRPr="00C91975">
        <w:rPr>
          <w:rFonts w:asciiTheme="minorHAnsi" w:hAnsiTheme="minorHAnsi"/>
          <w:bCs/>
          <w:szCs w:val="24"/>
        </w:rPr>
        <w:t xml:space="preserve"> and that </w:t>
      </w:r>
      <w:r w:rsidR="00723C01" w:rsidRPr="00C91975">
        <w:rPr>
          <w:rFonts w:asciiTheme="minorHAnsi" w:hAnsiTheme="minorHAnsi"/>
          <w:bCs/>
          <w:szCs w:val="24"/>
        </w:rPr>
        <w:t>diagnosing the condition</w:t>
      </w:r>
      <w:r w:rsidR="00167E62" w:rsidRPr="00C91975">
        <w:rPr>
          <w:rFonts w:asciiTheme="minorHAnsi" w:hAnsiTheme="minorHAnsi"/>
          <w:bCs/>
          <w:szCs w:val="24"/>
        </w:rPr>
        <w:t xml:space="preserve"> can be difficult</w:t>
      </w:r>
      <w:r w:rsidR="00723C01" w:rsidRPr="00C91975">
        <w:rPr>
          <w:rFonts w:asciiTheme="minorHAnsi" w:hAnsiTheme="minorHAnsi"/>
          <w:bCs/>
          <w:szCs w:val="24"/>
        </w:rPr>
        <w:t>. While HPP is a genetic condition, the age at diagnosis can vary and many patients diagnosed as adults may have a history of symptoms throughout childhood.</w:t>
      </w:r>
      <w:r w:rsidRPr="00C91975">
        <w:rPr>
          <w:rFonts w:asciiTheme="minorHAnsi" w:hAnsiTheme="minorHAnsi"/>
          <w:bCs/>
          <w:szCs w:val="24"/>
        </w:rPr>
        <w:t xml:space="preserve"> </w:t>
      </w:r>
      <w:r w:rsidR="003E5C03" w:rsidRPr="00C91975">
        <w:rPr>
          <w:rFonts w:asciiTheme="minorHAnsi" w:hAnsiTheme="minorHAnsi"/>
          <w:bCs/>
          <w:szCs w:val="24"/>
        </w:rPr>
        <w:t xml:space="preserve">The comments indicated that subsidised access to </w:t>
      </w:r>
      <w:proofErr w:type="spellStart"/>
      <w:r w:rsidR="003E5C03" w:rsidRPr="00C91975">
        <w:rPr>
          <w:rFonts w:asciiTheme="minorHAnsi" w:hAnsiTheme="minorHAnsi"/>
          <w:bCs/>
          <w:szCs w:val="24"/>
        </w:rPr>
        <w:t>asfotase</w:t>
      </w:r>
      <w:proofErr w:type="spellEnd"/>
      <w:r w:rsidR="003E5C03" w:rsidRPr="00C91975">
        <w:rPr>
          <w:rFonts w:asciiTheme="minorHAnsi" w:hAnsiTheme="minorHAnsi"/>
          <w:bCs/>
          <w:szCs w:val="24"/>
        </w:rPr>
        <w:t xml:space="preserve"> alfa </w:t>
      </w:r>
      <w:proofErr w:type="spellStart"/>
      <w:r w:rsidR="003E5C03" w:rsidRPr="00C91975">
        <w:rPr>
          <w:rFonts w:asciiTheme="minorHAnsi" w:hAnsiTheme="minorHAnsi"/>
          <w:bCs/>
          <w:i/>
          <w:szCs w:val="24"/>
        </w:rPr>
        <w:t>rch</w:t>
      </w:r>
      <w:proofErr w:type="spellEnd"/>
      <w:r w:rsidR="003E5C03" w:rsidRPr="00C91975">
        <w:rPr>
          <w:rFonts w:asciiTheme="minorHAnsi" w:hAnsiTheme="minorHAnsi"/>
          <w:bCs/>
          <w:szCs w:val="24"/>
        </w:rPr>
        <w:t xml:space="preserve"> would be preferred for all forms of HPP, as opposed to just the requested population of paediatric-onset.</w:t>
      </w:r>
    </w:p>
    <w:p w:rsidR="00AD491F" w:rsidRDefault="00AD491F" w:rsidP="00C91975">
      <w:pPr>
        <w:pStyle w:val="ListParagraph"/>
        <w:widowControl/>
        <w:numPr>
          <w:ilvl w:val="1"/>
          <w:numId w:val="2"/>
        </w:numPr>
        <w:contextualSpacing w:val="0"/>
        <w:rPr>
          <w:rFonts w:asciiTheme="minorHAnsi" w:hAnsiTheme="minorHAnsi"/>
          <w:bCs/>
          <w:szCs w:val="24"/>
        </w:rPr>
      </w:pPr>
      <w:r>
        <w:rPr>
          <w:rFonts w:asciiTheme="minorHAnsi" w:hAnsiTheme="minorHAnsi"/>
          <w:bCs/>
          <w:szCs w:val="24"/>
        </w:rPr>
        <w:t xml:space="preserve">Representatives of the </w:t>
      </w:r>
      <w:r w:rsidRPr="00AD491F">
        <w:rPr>
          <w:rFonts w:asciiTheme="minorHAnsi" w:hAnsiTheme="minorHAnsi"/>
          <w:bCs/>
          <w:szCs w:val="24"/>
        </w:rPr>
        <w:t xml:space="preserve">PBAC </w:t>
      </w:r>
      <w:r>
        <w:rPr>
          <w:rFonts w:asciiTheme="minorHAnsi" w:hAnsiTheme="minorHAnsi"/>
          <w:bCs/>
          <w:szCs w:val="24"/>
        </w:rPr>
        <w:t xml:space="preserve">met with a representative of </w:t>
      </w:r>
      <w:r w:rsidRPr="00AD491F">
        <w:rPr>
          <w:rFonts w:asciiTheme="minorHAnsi" w:hAnsiTheme="minorHAnsi"/>
          <w:bCs/>
          <w:szCs w:val="24"/>
        </w:rPr>
        <w:t xml:space="preserve">Soft Bones Australia </w:t>
      </w:r>
      <w:r>
        <w:rPr>
          <w:rFonts w:asciiTheme="minorHAnsi" w:hAnsiTheme="minorHAnsi"/>
          <w:bCs/>
          <w:szCs w:val="24"/>
        </w:rPr>
        <w:t>prior to the PBAC meeting. The following is a summary of the perspectives presented to the PBAC representatives</w:t>
      </w:r>
      <w:r w:rsidRPr="00AD491F">
        <w:rPr>
          <w:rFonts w:asciiTheme="minorHAnsi" w:hAnsiTheme="minorHAnsi"/>
          <w:bCs/>
          <w:szCs w:val="24"/>
        </w:rPr>
        <w:t>:</w:t>
      </w:r>
    </w:p>
    <w:p w:rsidR="00F178DB" w:rsidRDefault="00D82C76" w:rsidP="00F178DB">
      <w:pPr>
        <w:pStyle w:val="ListParagraph"/>
        <w:widowControl/>
        <w:numPr>
          <w:ilvl w:val="0"/>
          <w:numId w:val="27"/>
        </w:numPr>
        <w:spacing w:after="160" w:line="259" w:lineRule="auto"/>
        <w:ind w:left="567" w:firstLine="0"/>
        <w:jc w:val="left"/>
      </w:pPr>
      <w:r>
        <w:t xml:space="preserve">  </w:t>
      </w:r>
      <w:r w:rsidR="00C74A08">
        <w:t xml:space="preserve">HPP </w:t>
      </w:r>
      <w:r w:rsidR="004F4B7A">
        <w:t xml:space="preserve">can be </w:t>
      </w:r>
      <w:r w:rsidR="00C74A08">
        <w:t xml:space="preserve">difficult to diagnose, particularly in patients with less severe symptoms, and can sometimes be mistaken for osteoarthritis or </w:t>
      </w:r>
      <w:proofErr w:type="spellStart"/>
      <w:r w:rsidR="00C74A08">
        <w:t>o</w:t>
      </w:r>
      <w:r w:rsidR="00C74A08" w:rsidRPr="006B6FA6">
        <w:t>steomalacia</w:t>
      </w:r>
      <w:proofErr w:type="spellEnd"/>
      <w:r w:rsidR="00C74A08">
        <w:t>. Diagnosis is based on family background, symptoms and blood test results and can be confirmed with genetic testing (usually via the Unites States) which can take several months. Accordingly, the prevalence of HPP in Australia is uncertain.</w:t>
      </w:r>
    </w:p>
    <w:p w:rsidR="00C74A08" w:rsidRDefault="00D82C76" w:rsidP="000D624A">
      <w:pPr>
        <w:pStyle w:val="ListParagraph"/>
        <w:widowControl/>
        <w:numPr>
          <w:ilvl w:val="0"/>
          <w:numId w:val="27"/>
        </w:numPr>
        <w:spacing w:after="160" w:line="259" w:lineRule="auto"/>
        <w:ind w:left="567" w:firstLine="0"/>
        <w:jc w:val="left"/>
      </w:pPr>
      <w:r>
        <w:t xml:space="preserve"> </w:t>
      </w:r>
      <w:r w:rsidR="00C74A08">
        <w:t>The symptoms of HPP can affect quality of life for patients and their families/carers, impacting on their social, economic and psychological wellbeing. There is a spectrum of severity of symptoms, largely associated with limitations in physical growth, mobility, strength and stamina, both between patients and across a patient’s lifetime.</w:t>
      </w:r>
    </w:p>
    <w:p w:rsidR="00C74A08" w:rsidRDefault="00D82C76" w:rsidP="000D624A">
      <w:pPr>
        <w:pStyle w:val="ListParagraph"/>
        <w:widowControl/>
        <w:numPr>
          <w:ilvl w:val="1"/>
          <w:numId w:val="27"/>
        </w:numPr>
        <w:tabs>
          <w:tab w:val="left" w:pos="1134"/>
        </w:tabs>
        <w:spacing w:after="160" w:line="259" w:lineRule="auto"/>
        <w:ind w:left="851" w:firstLine="0"/>
        <w:jc w:val="left"/>
      </w:pPr>
      <w:r>
        <w:t xml:space="preserve">  </w:t>
      </w:r>
      <w:r w:rsidR="00C74A08">
        <w:t xml:space="preserve">The most severely affected patients are a small group with perinatal/infantile-onset of symptoms who present with severe respiratory issues and may require mechanical ventilation or oxygen supplementation. As these patients age, their growth may be slower than expected and they may have significantly impaired movement. Consumers are of the view that treatment with </w:t>
      </w:r>
      <w:proofErr w:type="spellStart"/>
      <w:r w:rsidR="00C74A08">
        <w:t>asfotase</w:t>
      </w:r>
      <w:proofErr w:type="spellEnd"/>
      <w:r w:rsidR="00C74A08">
        <w:t xml:space="preserve"> alfa improves survival and may allow these patients to come off ventilation/oxygen earlier than otherwise expected. Life-long treatment with </w:t>
      </w:r>
      <w:proofErr w:type="spellStart"/>
      <w:r w:rsidR="00C74A08">
        <w:t>asfotase</w:t>
      </w:r>
      <w:proofErr w:type="spellEnd"/>
      <w:r w:rsidR="00C74A08">
        <w:t xml:space="preserve"> alfa is viewed as necessary to assist in </w:t>
      </w:r>
      <w:r w:rsidR="00C74A08" w:rsidRPr="00F778D6">
        <w:t>build</w:t>
      </w:r>
      <w:r w:rsidR="00C74A08">
        <w:t>ing</w:t>
      </w:r>
      <w:r w:rsidR="00C74A08" w:rsidRPr="00F778D6">
        <w:t xml:space="preserve"> </w:t>
      </w:r>
      <w:r w:rsidR="00C74A08">
        <w:t xml:space="preserve">lung </w:t>
      </w:r>
      <w:r w:rsidR="00C74A08" w:rsidRPr="00F778D6">
        <w:t>capacity</w:t>
      </w:r>
      <w:r w:rsidR="00C74A08">
        <w:t>, strength and mobility</w:t>
      </w:r>
      <w:r w:rsidR="00C74A08" w:rsidRPr="00F778D6">
        <w:t>.</w:t>
      </w:r>
    </w:p>
    <w:p w:rsidR="00C74A08" w:rsidRDefault="00C74A08" w:rsidP="00D82C76">
      <w:pPr>
        <w:pStyle w:val="ListParagraph"/>
        <w:widowControl/>
        <w:numPr>
          <w:ilvl w:val="1"/>
          <w:numId w:val="27"/>
        </w:numPr>
        <w:spacing w:after="160" w:line="259" w:lineRule="auto"/>
        <w:ind w:left="851" w:firstLine="0"/>
        <w:jc w:val="left"/>
      </w:pPr>
      <w:r>
        <w:t xml:space="preserve">Juvenile-onset patients may present with symptoms such as delayed growth, limitations in movement, fatigue, loss of teeth and rickets. Consumers are of the view that treatment with </w:t>
      </w:r>
      <w:proofErr w:type="spellStart"/>
      <w:r>
        <w:t>asfotase</w:t>
      </w:r>
      <w:proofErr w:type="spellEnd"/>
      <w:r>
        <w:t xml:space="preserve"> alfa can allow children to physically grow, improve independence in movement and build strength and stamina.</w:t>
      </w:r>
    </w:p>
    <w:p w:rsidR="00C74A08" w:rsidRPr="001D6426" w:rsidRDefault="00C74A08" w:rsidP="00D82C76">
      <w:pPr>
        <w:pStyle w:val="ListParagraph"/>
        <w:widowControl/>
        <w:numPr>
          <w:ilvl w:val="1"/>
          <w:numId w:val="27"/>
        </w:numPr>
        <w:spacing w:after="160" w:line="259" w:lineRule="auto"/>
        <w:ind w:left="851" w:firstLine="0"/>
        <w:jc w:val="left"/>
      </w:pPr>
      <w:r>
        <w:t>Patients who either have adult-onset disease, or are diagnosed later in life with a history of less severe symptoms associated with HPP during childhood, may present with a range of symptoms such as arthritis, fractures, fatigue and neurological complications (</w:t>
      </w:r>
      <w:r w:rsidR="004F4B7A">
        <w:t xml:space="preserve">described by the consumer representative as </w:t>
      </w:r>
      <w:r>
        <w:t xml:space="preserve">“brain fog”). Some of these older patients with symptoms during childhood may experience a “honeymoon period” in their 20s and 30s (which can further hamper diagnosis) but decline again in their 40s and 50s. Consumers are of the view that treatment with </w:t>
      </w:r>
      <w:proofErr w:type="spellStart"/>
      <w:r>
        <w:t>asfotase</w:t>
      </w:r>
      <w:proofErr w:type="spellEnd"/>
      <w:r>
        <w:t xml:space="preserve"> alfa can help to increase mobility and independence by increasing stamina, strengthening bones and healing fractures faster.</w:t>
      </w:r>
      <w:r w:rsidRPr="001D6426">
        <w:rPr>
          <w:color w:val="FF0000"/>
        </w:rPr>
        <w:t xml:space="preserve"> </w:t>
      </w:r>
    </w:p>
    <w:p w:rsidR="00B10DD6" w:rsidRPr="00DD48DB" w:rsidRDefault="00B10DD6" w:rsidP="005123EA">
      <w:pPr>
        <w:pStyle w:val="Heading2"/>
        <w:widowControl/>
      </w:pPr>
      <w:r w:rsidRPr="00A83916">
        <w:t>Clinical</w:t>
      </w:r>
      <w:r w:rsidRPr="00DD48DB">
        <w:t xml:space="preserve"> trials</w:t>
      </w:r>
      <w:bookmarkEnd w:id="24"/>
      <w:bookmarkEnd w:id="25"/>
      <w:bookmarkEnd w:id="26"/>
      <w:bookmarkEnd w:id="27"/>
    </w:p>
    <w:p w:rsidR="00B10DD6" w:rsidRDefault="00B10DD6" w:rsidP="001B444F">
      <w:pPr>
        <w:pStyle w:val="ListParagraph"/>
        <w:widowControl/>
        <w:numPr>
          <w:ilvl w:val="1"/>
          <w:numId w:val="17"/>
        </w:numPr>
        <w:spacing w:after="0"/>
        <w:contextualSpacing w:val="0"/>
        <w:rPr>
          <w:rFonts w:asciiTheme="minorHAnsi" w:hAnsiTheme="minorHAnsi"/>
        </w:rPr>
      </w:pPr>
      <w:r w:rsidRPr="00884AF2">
        <w:rPr>
          <w:rFonts w:asciiTheme="minorHAnsi" w:hAnsiTheme="minorHAnsi"/>
        </w:rPr>
        <w:t>The submission was based on</w:t>
      </w:r>
      <w:r>
        <w:rPr>
          <w:rFonts w:asciiTheme="minorHAnsi" w:hAnsiTheme="minorHAnsi"/>
        </w:rPr>
        <w:t>:</w:t>
      </w:r>
    </w:p>
    <w:p w:rsidR="00B10DD6" w:rsidRDefault="00B10DD6" w:rsidP="001B444F">
      <w:pPr>
        <w:pStyle w:val="ListParagraph"/>
        <w:widowControl/>
        <w:numPr>
          <w:ilvl w:val="1"/>
          <w:numId w:val="13"/>
        </w:numPr>
        <w:spacing w:after="0"/>
        <w:ind w:left="851" w:hanging="284"/>
        <w:contextualSpacing w:val="0"/>
        <w:rPr>
          <w:rFonts w:asciiTheme="minorHAnsi" w:hAnsiTheme="minorHAnsi"/>
        </w:rPr>
      </w:pPr>
      <w:r w:rsidRPr="00884AF2">
        <w:rPr>
          <w:rFonts w:asciiTheme="minorHAnsi" w:hAnsiTheme="minorHAnsi"/>
        </w:rPr>
        <w:t xml:space="preserve">one head-to-head trial comparing </w:t>
      </w:r>
      <w:proofErr w:type="spellStart"/>
      <w:r w:rsidRPr="00884AF2">
        <w:rPr>
          <w:rFonts w:asciiTheme="minorHAnsi" w:hAnsiTheme="minorHAnsi"/>
        </w:rPr>
        <w:t>asfotase</w:t>
      </w:r>
      <w:proofErr w:type="spellEnd"/>
      <w:r w:rsidRPr="00884AF2">
        <w:rPr>
          <w:rFonts w:asciiTheme="minorHAnsi" w:hAnsiTheme="minorHAnsi"/>
        </w:rPr>
        <w:t xml:space="preserve"> alfa </w:t>
      </w:r>
      <w:proofErr w:type="spellStart"/>
      <w:r w:rsidR="00465F17" w:rsidRPr="00465F17">
        <w:rPr>
          <w:rFonts w:asciiTheme="minorHAnsi" w:hAnsiTheme="minorHAnsi"/>
          <w:i/>
        </w:rPr>
        <w:t>rch</w:t>
      </w:r>
      <w:proofErr w:type="spellEnd"/>
      <w:r w:rsidRPr="00884AF2">
        <w:rPr>
          <w:rFonts w:asciiTheme="minorHAnsi" w:hAnsiTheme="minorHAnsi"/>
        </w:rPr>
        <w:t xml:space="preserve"> to best supportive care (n=19) ENB-009-10, </w:t>
      </w:r>
    </w:p>
    <w:p w:rsidR="00B10DD6" w:rsidRDefault="00B10DD6" w:rsidP="001B444F">
      <w:pPr>
        <w:pStyle w:val="ListParagraph"/>
        <w:widowControl/>
        <w:numPr>
          <w:ilvl w:val="1"/>
          <w:numId w:val="13"/>
        </w:numPr>
        <w:spacing w:after="0"/>
        <w:ind w:left="851" w:hanging="284"/>
        <w:contextualSpacing w:val="0"/>
        <w:rPr>
          <w:rFonts w:asciiTheme="minorHAnsi" w:hAnsiTheme="minorHAnsi"/>
        </w:rPr>
      </w:pPr>
      <w:r w:rsidRPr="00884AF2">
        <w:rPr>
          <w:rFonts w:asciiTheme="minorHAnsi" w:hAnsiTheme="minorHAnsi"/>
        </w:rPr>
        <w:t>five supplementary non-randomised studies</w:t>
      </w:r>
      <w:r w:rsidR="003B76C9">
        <w:rPr>
          <w:rFonts w:asciiTheme="minorHAnsi" w:hAnsiTheme="minorHAnsi"/>
        </w:rPr>
        <w:t>:</w:t>
      </w:r>
    </w:p>
    <w:p w:rsidR="00B10DD6" w:rsidRPr="00A71057" w:rsidRDefault="00B10DD6" w:rsidP="005123EA">
      <w:pPr>
        <w:widowControl/>
        <w:ind w:left="1134" w:hanging="283"/>
        <w:rPr>
          <w:rFonts w:asciiTheme="minorHAnsi" w:hAnsiTheme="minorHAnsi"/>
          <w:sz w:val="24"/>
          <w:szCs w:val="24"/>
        </w:rPr>
      </w:pPr>
      <w:r>
        <w:rPr>
          <w:rFonts w:asciiTheme="minorHAnsi" w:hAnsiTheme="minorHAnsi"/>
          <w:sz w:val="24"/>
          <w:szCs w:val="24"/>
        </w:rPr>
        <w:t xml:space="preserve">- </w:t>
      </w:r>
      <w:r w:rsidRPr="00A71057">
        <w:rPr>
          <w:rFonts w:asciiTheme="minorHAnsi" w:hAnsiTheme="minorHAnsi"/>
          <w:sz w:val="24"/>
          <w:szCs w:val="24"/>
        </w:rPr>
        <w:t xml:space="preserve">ENB-002-08 and extension study ENB-003-08; </w:t>
      </w:r>
    </w:p>
    <w:p w:rsidR="00B10DD6" w:rsidRPr="00A71057" w:rsidRDefault="00B10DD6" w:rsidP="005123EA">
      <w:pPr>
        <w:widowControl/>
        <w:ind w:left="1134" w:hanging="283"/>
        <w:rPr>
          <w:rFonts w:asciiTheme="minorHAnsi" w:hAnsiTheme="minorHAnsi"/>
          <w:sz w:val="24"/>
          <w:szCs w:val="24"/>
        </w:rPr>
      </w:pPr>
      <w:r>
        <w:rPr>
          <w:rFonts w:asciiTheme="minorHAnsi" w:hAnsiTheme="minorHAnsi"/>
          <w:sz w:val="24"/>
          <w:szCs w:val="24"/>
        </w:rPr>
        <w:t xml:space="preserve">- </w:t>
      </w:r>
      <w:r w:rsidRPr="00A71057">
        <w:rPr>
          <w:rFonts w:asciiTheme="minorHAnsi" w:hAnsiTheme="minorHAnsi"/>
          <w:sz w:val="24"/>
          <w:szCs w:val="24"/>
        </w:rPr>
        <w:t xml:space="preserve">ENB-10-10; and </w:t>
      </w:r>
    </w:p>
    <w:p w:rsidR="00B10DD6" w:rsidRPr="00A71057" w:rsidRDefault="00B10DD6" w:rsidP="005123EA">
      <w:pPr>
        <w:widowControl/>
        <w:ind w:left="1134" w:hanging="283"/>
        <w:rPr>
          <w:rFonts w:asciiTheme="minorHAnsi" w:hAnsiTheme="minorHAnsi"/>
          <w:sz w:val="24"/>
          <w:szCs w:val="24"/>
        </w:rPr>
      </w:pPr>
      <w:r>
        <w:rPr>
          <w:rFonts w:asciiTheme="minorHAnsi" w:hAnsiTheme="minorHAnsi"/>
          <w:sz w:val="24"/>
          <w:szCs w:val="24"/>
        </w:rPr>
        <w:t xml:space="preserve">- </w:t>
      </w:r>
      <w:r w:rsidRPr="00A71057">
        <w:rPr>
          <w:rFonts w:asciiTheme="minorHAnsi" w:hAnsiTheme="minorHAnsi"/>
          <w:sz w:val="24"/>
          <w:szCs w:val="24"/>
        </w:rPr>
        <w:t xml:space="preserve">ENB-006-09 and extension study ENB-008-10, and </w:t>
      </w:r>
    </w:p>
    <w:p w:rsidR="00B10DD6" w:rsidRDefault="00B10DD6" w:rsidP="001B444F">
      <w:pPr>
        <w:pStyle w:val="ListParagraph"/>
        <w:widowControl/>
        <w:numPr>
          <w:ilvl w:val="1"/>
          <w:numId w:val="13"/>
        </w:numPr>
        <w:ind w:left="851" w:hanging="284"/>
        <w:contextualSpacing w:val="0"/>
        <w:rPr>
          <w:rFonts w:asciiTheme="minorHAnsi" w:hAnsiTheme="minorHAnsi"/>
        </w:rPr>
      </w:pPr>
      <w:proofErr w:type="gramStart"/>
      <w:r w:rsidRPr="00884AF2">
        <w:rPr>
          <w:rFonts w:asciiTheme="minorHAnsi" w:hAnsiTheme="minorHAnsi"/>
        </w:rPr>
        <w:t>a</w:t>
      </w:r>
      <w:proofErr w:type="gramEnd"/>
      <w:r w:rsidRPr="00884AF2">
        <w:rPr>
          <w:rFonts w:asciiTheme="minorHAnsi" w:hAnsiTheme="minorHAnsi"/>
        </w:rPr>
        <w:t xml:space="preserve"> retrospective epidemiological review of patients receiving BSC (ENB-011-10).</w:t>
      </w:r>
      <w:r w:rsidR="00540116">
        <w:rPr>
          <w:rFonts w:asciiTheme="minorHAnsi" w:hAnsiTheme="minorHAnsi"/>
        </w:rPr>
        <w:t xml:space="preserve"> </w:t>
      </w:r>
    </w:p>
    <w:p w:rsidR="00B10DD6" w:rsidRPr="001824A6" w:rsidRDefault="00B10DD6" w:rsidP="005123EA">
      <w:pPr>
        <w:pStyle w:val="ListParagraph"/>
        <w:widowControl/>
        <w:numPr>
          <w:ilvl w:val="1"/>
          <w:numId w:val="2"/>
        </w:numPr>
        <w:ind w:left="578" w:hanging="578"/>
        <w:contextualSpacing w:val="0"/>
        <w:rPr>
          <w:rFonts w:asciiTheme="minorHAnsi" w:hAnsiTheme="minorHAnsi"/>
        </w:rPr>
      </w:pPr>
      <w:r w:rsidRPr="001824A6">
        <w:rPr>
          <w:rFonts w:asciiTheme="minorHAnsi" w:hAnsiTheme="minorHAnsi"/>
        </w:rPr>
        <w:t xml:space="preserve">The submission also presented data on a sponsored non-interventional natural history study (ALX-HPP-502 and a </w:t>
      </w:r>
      <w:proofErr w:type="spellStart"/>
      <w:r w:rsidRPr="001824A6">
        <w:rPr>
          <w:rFonts w:asciiTheme="minorHAnsi" w:hAnsiTheme="minorHAnsi"/>
        </w:rPr>
        <w:t>substudy</w:t>
      </w:r>
      <w:proofErr w:type="spellEnd"/>
      <w:r w:rsidRPr="001824A6">
        <w:rPr>
          <w:rFonts w:asciiTheme="minorHAnsi" w:hAnsiTheme="minorHAnsi"/>
        </w:rPr>
        <w:t xml:space="preserve"> of ALX-HPP-502) and a pooled analysis of studies ENB-002-08/ENB-003-08 with ENB-010-10 compared to ENB-011-10. Efficacy and safety results from ALX-HPP-502 were not used in the economic evaluation or used to support the clinical claim and therefore </w:t>
      </w:r>
      <w:r w:rsidR="001824A6">
        <w:rPr>
          <w:rFonts w:asciiTheme="minorHAnsi" w:hAnsiTheme="minorHAnsi"/>
        </w:rPr>
        <w:t>have</w:t>
      </w:r>
      <w:r w:rsidR="001824A6" w:rsidRPr="001824A6">
        <w:rPr>
          <w:rFonts w:asciiTheme="minorHAnsi" w:hAnsiTheme="minorHAnsi"/>
        </w:rPr>
        <w:t xml:space="preserve"> </w:t>
      </w:r>
      <w:r w:rsidRPr="001824A6">
        <w:rPr>
          <w:rFonts w:asciiTheme="minorHAnsi" w:hAnsiTheme="minorHAnsi"/>
        </w:rPr>
        <w:t xml:space="preserve">not </w:t>
      </w:r>
      <w:r w:rsidR="001824A6">
        <w:rPr>
          <w:rFonts w:asciiTheme="minorHAnsi" w:hAnsiTheme="minorHAnsi"/>
        </w:rPr>
        <w:t xml:space="preserve">been </w:t>
      </w:r>
      <w:r w:rsidRPr="001824A6">
        <w:rPr>
          <w:rFonts w:asciiTheme="minorHAnsi" w:hAnsiTheme="minorHAnsi"/>
        </w:rPr>
        <w:t xml:space="preserve">presented </w:t>
      </w:r>
      <w:r w:rsidR="001824A6">
        <w:rPr>
          <w:rFonts w:asciiTheme="minorHAnsi" w:hAnsiTheme="minorHAnsi"/>
        </w:rPr>
        <w:t>here</w:t>
      </w:r>
      <w:r w:rsidRPr="001824A6">
        <w:rPr>
          <w:rFonts w:asciiTheme="minorHAnsi" w:hAnsiTheme="minorHAnsi"/>
        </w:rPr>
        <w:t>.</w:t>
      </w:r>
    </w:p>
    <w:p w:rsidR="00B10DD6" w:rsidRPr="00DD48DB" w:rsidRDefault="00B10DD6" w:rsidP="005123EA">
      <w:pPr>
        <w:pStyle w:val="ListParagraph"/>
        <w:widowControl/>
        <w:numPr>
          <w:ilvl w:val="1"/>
          <w:numId w:val="2"/>
        </w:numPr>
        <w:contextualSpacing w:val="0"/>
        <w:rPr>
          <w:rFonts w:asciiTheme="minorHAnsi" w:hAnsiTheme="minorHAnsi"/>
        </w:rPr>
      </w:pPr>
      <w:r w:rsidRPr="00DD48DB">
        <w:rPr>
          <w:rFonts w:asciiTheme="minorHAnsi" w:hAnsiTheme="minorHAnsi"/>
        </w:rPr>
        <w:t xml:space="preserve">Details of the trials presented in the submission are provided in </w:t>
      </w:r>
      <w:r w:rsidR="00963601">
        <w:rPr>
          <w:rFonts w:asciiTheme="minorHAnsi" w:hAnsiTheme="minorHAnsi"/>
        </w:rPr>
        <w:t xml:space="preserve">Table </w:t>
      </w:r>
      <w:r w:rsidR="00565879">
        <w:rPr>
          <w:rFonts w:asciiTheme="minorHAnsi" w:hAnsiTheme="minorHAnsi"/>
        </w:rPr>
        <w:t>2</w:t>
      </w:r>
      <w:r w:rsidRPr="00DD48DB">
        <w:rPr>
          <w:rFonts w:asciiTheme="minorHAnsi" w:hAnsiTheme="minorHAnsi"/>
        </w:rPr>
        <w:t>.</w:t>
      </w:r>
      <w:r w:rsidR="00540116">
        <w:rPr>
          <w:rFonts w:asciiTheme="minorHAnsi" w:hAnsiTheme="minorHAnsi"/>
        </w:rPr>
        <w:t xml:space="preserve"> </w:t>
      </w:r>
    </w:p>
    <w:p w:rsidR="002757CE" w:rsidRDefault="002757CE" w:rsidP="002757CE">
      <w:pPr>
        <w:pStyle w:val="Caption"/>
      </w:pPr>
      <w:r>
        <w:t xml:space="preserve">Table </w:t>
      </w:r>
      <w:r>
        <w:rPr>
          <w:noProof/>
        </w:rPr>
        <w:t>2</w:t>
      </w:r>
      <w:r w:rsidRPr="00D75AF7">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63"/>
        <w:gridCol w:w="5658"/>
        <w:gridCol w:w="2661"/>
      </w:tblGrid>
      <w:tr w:rsidR="000C1E22" w:rsidRPr="004E2ADC" w:rsidTr="000C1E22">
        <w:tc>
          <w:tcPr>
            <w:tcW w:w="420" w:type="pct"/>
          </w:tcPr>
          <w:p w:rsidR="000C1E22" w:rsidRPr="004E2ADC" w:rsidRDefault="000C1E22" w:rsidP="005123EA">
            <w:pPr>
              <w:keepNext/>
              <w:widowControl/>
              <w:jc w:val="left"/>
              <w:rPr>
                <w:rFonts w:ascii="Arial Narrow" w:hAnsi="Arial Narrow"/>
                <w:b/>
                <w:sz w:val="20"/>
              </w:rPr>
            </w:pPr>
            <w:r w:rsidRPr="004E2ADC">
              <w:rPr>
                <w:rFonts w:ascii="Arial Narrow" w:hAnsi="Arial Narrow"/>
                <w:b/>
                <w:sz w:val="20"/>
              </w:rPr>
              <w:t xml:space="preserve">Trial </w:t>
            </w:r>
          </w:p>
        </w:tc>
        <w:tc>
          <w:tcPr>
            <w:tcW w:w="3115" w:type="pct"/>
          </w:tcPr>
          <w:p w:rsidR="000C1E22" w:rsidRPr="004E2ADC" w:rsidRDefault="000C1E22" w:rsidP="005123EA">
            <w:pPr>
              <w:keepNext/>
              <w:widowControl/>
              <w:jc w:val="center"/>
              <w:rPr>
                <w:rFonts w:ascii="Arial Narrow" w:hAnsi="Arial Narrow"/>
                <w:b/>
                <w:sz w:val="20"/>
              </w:rPr>
            </w:pPr>
            <w:r w:rsidRPr="004E2ADC">
              <w:rPr>
                <w:rFonts w:ascii="Arial Narrow" w:hAnsi="Arial Narrow"/>
                <w:b/>
                <w:sz w:val="20"/>
              </w:rPr>
              <w:t>Protocol title/ Publication title</w:t>
            </w:r>
          </w:p>
        </w:tc>
        <w:tc>
          <w:tcPr>
            <w:tcW w:w="1465" w:type="pct"/>
            <w:vAlign w:val="center"/>
          </w:tcPr>
          <w:p w:rsidR="000C1E22" w:rsidRPr="00E20777" w:rsidRDefault="000C1E22" w:rsidP="005123EA">
            <w:pPr>
              <w:pStyle w:val="BodyText"/>
              <w:keepNext/>
              <w:widowControl/>
              <w:jc w:val="center"/>
              <w:rPr>
                <w:rFonts w:ascii="Arial Narrow" w:hAnsi="Arial Narrow"/>
                <w:b/>
                <w:sz w:val="20"/>
              </w:rPr>
            </w:pPr>
            <w:r w:rsidRPr="00E20777">
              <w:rPr>
                <w:rFonts w:ascii="Arial Narrow" w:hAnsi="Arial Narrow"/>
                <w:b/>
                <w:sz w:val="20"/>
              </w:rPr>
              <w:t>Publication citation</w:t>
            </w:r>
          </w:p>
        </w:tc>
      </w:tr>
      <w:tr w:rsidR="000C1E22" w:rsidRPr="004E2ADC" w:rsidTr="000C1E22">
        <w:tc>
          <w:tcPr>
            <w:tcW w:w="5000" w:type="pct"/>
            <w:gridSpan w:val="3"/>
          </w:tcPr>
          <w:p w:rsidR="000C1E22" w:rsidRPr="004A10C3" w:rsidRDefault="000C1E22" w:rsidP="005123EA">
            <w:pPr>
              <w:pStyle w:val="BodyText"/>
              <w:keepNext/>
              <w:widowControl/>
              <w:rPr>
                <w:rFonts w:ascii="Arial Narrow" w:hAnsi="Arial Narrow"/>
                <w:sz w:val="20"/>
              </w:rPr>
            </w:pPr>
            <w:r w:rsidRPr="004A10C3">
              <w:rPr>
                <w:rFonts w:ascii="Arial Narrow" w:hAnsi="Arial Narrow"/>
                <w:sz w:val="20"/>
              </w:rPr>
              <w:t>Direct randomised trials</w:t>
            </w:r>
          </w:p>
        </w:tc>
      </w:tr>
      <w:tr w:rsidR="000C1E22" w:rsidRPr="004E2ADC" w:rsidTr="000C1E22">
        <w:trPr>
          <w:trHeight w:val="915"/>
        </w:trPr>
        <w:tc>
          <w:tcPr>
            <w:tcW w:w="420" w:type="pct"/>
            <w:vMerge w:val="restart"/>
          </w:tcPr>
          <w:p w:rsidR="000C1E22" w:rsidRPr="004E2ADC" w:rsidRDefault="000C1E22" w:rsidP="005123EA">
            <w:pPr>
              <w:keepNext/>
              <w:widowControl/>
              <w:jc w:val="left"/>
              <w:rPr>
                <w:rFonts w:ascii="Arial Narrow" w:hAnsi="Arial Narrow"/>
                <w:sz w:val="20"/>
              </w:rPr>
            </w:pPr>
            <w:r>
              <w:rPr>
                <w:rFonts w:ascii="Arial Narrow" w:hAnsi="Arial Narrow"/>
                <w:sz w:val="20"/>
              </w:rPr>
              <w:t>ENB-009-10</w:t>
            </w:r>
          </w:p>
        </w:tc>
        <w:tc>
          <w:tcPr>
            <w:tcW w:w="3115" w:type="pct"/>
            <w:tcBorders>
              <w:bottom w:val="nil"/>
            </w:tcBorders>
          </w:tcPr>
          <w:p w:rsidR="000C1E22" w:rsidRPr="00EA6EFC" w:rsidRDefault="000C1E22" w:rsidP="005123EA">
            <w:pPr>
              <w:keepNext/>
              <w:widowControl/>
              <w:jc w:val="left"/>
              <w:rPr>
                <w:rFonts w:ascii="Arial Narrow" w:hAnsi="Arial Narrow"/>
                <w:sz w:val="20"/>
              </w:rPr>
            </w:pPr>
            <w:r>
              <w:rPr>
                <w:rFonts w:ascii="Arial Narrow" w:hAnsi="Arial Narrow"/>
                <w:sz w:val="20"/>
              </w:rPr>
              <w:t xml:space="preserve">ENB-009-10: A randomized, open-label, </w:t>
            </w:r>
            <w:proofErr w:type="spellStart"/>
            <w:r>
              <w:rPr>
                <w:rFonts w:ascii="Arial Narrow" w:hAnsi="Arial Narrow"/>
                <w:sz w:val="20"/>
              </w:rPr>
              <w:t>multicenter</w:t>
            </w:r>
            <w:proofErr w:type="spellEnd"/>
            <w:r>
              <w:rPr>
                <w:rFonts w:ascii="Arial Narrow" w:hAnsi="Arial Narrow"/>
                <w:sz w:val="20"/>
              </w:rPr>
              <w:t xml:space="preserve">, multinational, dose-ranging, concurrent control study of the safety, efficacy, and pharmacokinetics of </w:t>
            </w:r>
            <w:proofErr w:type="spellStart"/>
            <w:r>
              <w:rPr>
                <w:rFonts w:ascii="Arial Narrow" w:hAnsi="Arial Narrow"/>
                <w:sz w:val="20"/>
              </w:rPr>
              <w:t>asfotase</w:t>
            </w:r>
            <w:proofErr w:type="spellEnd"/>
            <w:r>
              <w:rPr>
                <w:rFonts w:ascii="Arial Narrow" w:hAnsi="Arial Narrow"/>
                <w:sz w:val="20"/>
              </w:rPr>
              <w:t xml:space="preserve"> alfa in adolescents and adults with </w:t>
            </w:r>
            <w:proofErr w:type="spellStart"/>
            <w:r>
              <w:rPr>
                <w:rFonts w:ascii="Arial Narrow" w:hAnsi="Arial Narrow"/>
                <w:sz w:val="20"/>
              </w:rPr>
              <w:t>Hypophosphatasia</w:t>
            </w:r>
            <w:proofErr w:type="spellEnd"/>
            <w:r>
              <w:rPr>
                <w:rFonts w:ascii="Arial Narrow" w:hAnsi="Arial Narrow"/>
                <w:sz w:val="20"/>
              </w:rPr>
              <w:t xml:space="preserve"> (HPP)</w:t>
            </w:r>
            <w:r w:rsidRPr="004E2ADC">
              <w:rPr>
                <w:rFonts w:ascii="Arial Narrow" w:hAnsi="Arial Narrow"/>
                <w:sz w:val="20"/>
              </w:rPr>
              <w:t xml:space="preserve">. </w:t>
            </w:r>
          </w:p>
        </w:tc>
        <w:tc>
          <w:tcPr>
            <w:tcW w:w="1465" w:type="pct"/>
            <w:tcBorders>
              <w:bottom w:val="nil"/>
            </w:tcBorders>
          </w:tcPr>
          <w:p w:rsidR="000C1E22" w:rsidRPr="004A10C3" w:rsidRDefault="000C1E22" w:rsidP="005123EA">
            <w:pPr>
              <w:pStyle w:val="BodyText"/>
              <w:keepNext/>
              <w:widowControl/>
              <w:rPr>
                <w:rFonts w:ascii="Arial Narrow" w:hAnsi="Arial Narrow"/>
                <w:i/>
                <w:sz w:val="20"/>
              </w:rPr>
            </w:pPr>
            <w:r w:rsidRPr="004A10C3">
              <w:rPr>
                <w:rFonts w:ascii="Arial Narrow" w:hAnsi="Arial Narrow"/>
                <w:sz w:val="20"/>
              </w:rPr>
              <w:t>2 April 2015</w:t>
            </w:r>
          </w:p>
        </w:tc>
      </w:tr>
      <w:tr w:rsidR="000C1E22" w:rsidRPr="004E2ADC" w:rsidTr="000C1E22">
        <w:trPr>
          <w:trHeight w:val="963"/>
        </w:trPr>
        <w:tc>
          <w:tcPr>
            <w:tcW w:w="420" w:type="pct"/>
            <w:vMerge/>
          </w:tcPr>
          <w:p w:rsidR="000C1E22" w:rsidRDefault="000C1E22" w:rsidP="005123EA">
            <w:pPr>
              <w:widowControl/>
              <w:jc w:val="left"/>
              <w:rPr>
                <w:rFonts w:ascii="Arial Narrow" w:hAnsi="Arial Narrow"/>
                <w:sz w:val="20"/>
              </w:rPr>
            </w:pPr>
          </w:p>
        </w:tc>
        <w:tc>
          <w:tcPr>
            <w:tcW w:w="3115" w:type="pct"/>
            <w:tcBorders>
              <w:top w:val="nil"/>
              <w:bottom w:val="nil"/>
            </w:tcBorders>
          </w:tcPr>
          <w:p w:rsidR="000C1E22" w:rsidRDefault="000C1E22" w:rsidP="005123EA">
            <w:pPr>
              <w:widowControl/>
              <w:jc w:val="left"/>
              <w:rPr>
                <w:rFonts w:ascii="Arial Narrow" w:hAnsi="Arial Narrow"/>
                <w:sz w:val="20"/>
              </w:rPr>
            </w:pPr>
            <w:proofErr w:type="spellStart"/>
            <w:r w:rsidRPr="00EA6EFC">
              <w:rPr>
                <w:rFonts w:ascii="Arial Narrow" w:hAnsi="Arial Narrow"/>
                <w:sz w:val="20"/>
              </w:rPr>
              <w:t>Kishnani</w:t>
            </w:r>
            <w:proofErr w:type="spellEnd"/>
            <w:r w:rsidRPr="00EA6EFC">
              <w:rPr>
                <w:rFonts w:ascii="Arial Narrow" w:hAnsi="Arial Narrow"/>
                <w:sz w:val="20"/>
              </w:rPr>
              <w:t xml:space="preserve"> PS, </w:t>
            </w:r>
            <w:proofErr w:type="spellStart"/>
            <w:r w:rsidRPr="00EA6EFC">
              <w:rPr>
                <w:rFonts w:ascii="Arial Narrow" w:hAnsi="Arial Narrow"/>
                <w:sz w:val="20"/>
              </w:rPr>
              <w:t>Madson</w:t>
            </w:r>
            <w:proofErr w:type="spellEnd"/>
            <w:r w:rsidRPr="00EA6EFC">
              <w:rPr>
                <w:rFonts w:ascii="Arial Narrow" w:hAnsi="Arial Narrow"/>
                <w:sz w:val="20"/>
              </w:rPr>
              <w:t xml:space="preserve"> KL, Whyte MP,</w:t>
            </w:r>
            <w:r>
              <w:rPr>
                <w:rFonts w:ascii="Arial Narrow" w:hAnsi="Arial Narrow"/>
                <w:sz w:val="20"/>
              </w:rPr>
              <w:t xml:space="preserve"> </w:t>
            </w:r>
            <w:r w:rsidRPr="00F04BFB">
              <w:rPr>
                <w:rFonts w:ascii="Arial Narrow" w:hAnsi="Arial Narrow"/>
                <w:i/>
                <w:sz w:val="20"/>
              </w:rPr>
              <w:t>et al</w:t>
            </w:r>
            <w:r w:rsidRPr="004E2ADC">
              <w:rPr>
                <w:rFonts w:ascii="Arial Narrow" w:hAnsi="Arial Narrow"/>
                <w:sz w:val="20"/>
              </w:rPr>
              <w:t xml:space="preserve">. </w:t>
            </w:r>
            <w:r w:rsidRPr="00EA6EFC">
              <w:rPr>
                <w:rFonts w:ascii="Arial Narrow" w:hAnsi="Arial Narrow"/>
                <w:sz w:val="20"/>
              </w:rPr>
              <w:t xml:space="preserve">Biochemical and physical function outcomes in adolescents and adults with </w:t>
            </w:r>
            <w:proofErr w:type="spellStart"/>
            <w:r w:rsidRPr="00EA6EFC">
              <w:rPr>
                <w:rFonts w:ascii="Arial Narrow" w:hAnsi="Arial Narrow"/>
                <w:sz w:val="20"/>
              </w:rPr>
              <w:t>hypophosphatasia</w:t>
            </w:r>
            <w:proofErr w:type="spellEnd"/>
            <w:r w:rsidRPr="00EA6EFC">
              <w:rPr>
                <w:rFonts w:ascii="Arial Narrow" w:hAnsi="Arial Narrow"/>
                <w:sz w:val="20"/>
              </w:rPr>
              <w:t xml:space="preserve"> treated with </w:t>
            </w:r>
            <w:proofErr w:type="spellStart"/>
            <w:r w:rsidRPr="00EA6EFC">
              <w:rPr>
                <w:rFonts w:ascii="Arial Narrow" w:hAnsi="Arial Narrow"/>
                <w:sz w:val="20"/>
              </w:rPr>
              <w:t>asfotase</w:t>
            </w:r>
            <w:proofErr w:type="spellEnd"/>
            <w:r w:rsidRPr="00EA6EFC">
              <w:rPr>
                <w:rFonts w:ascii="Arial Narrow" w:hAnsi="Arial Narrow"/>
                <w:sz w:val="20"/>
              </w:rPr>
              <w:t xml:space="preserve"> alfa for up to 4 years: Interim results from a Phase II study</w:t>
            </w:r>
            <w:r w:rsidRPr="004E2ADC">
              <w:rPr>
                <w:rFonts w:ascii="Arial Narrow" w:hAnsi="Arial Narrow"/>
                <w:sz w:val="20"/>
              </w:rPr>
              <w:t>.</w:t>
            </w:r>
          </w:p>
        </w:tc>
        <w:tc>
          <w:tcPr>
            <w:tcW w:w="1465" w:type="pct"/>
            <w:tcBorders>
              <w:top w:val="nil"/>
              <w:bottom w:val="nil"/>
            </w:tcBorders>
          </w:tcPr>
          <w:p w:rsidR="000C1E22" w:rsidRPr="004A10C3" w:rsidRDefault="000C1E22" w:rsidP="005123EA">
            <w:pPr>
              <w:pStyle w:val="BodyText"/>
              <w:widowControl/>
              <w:spacing w:before="40"/>
              <w:rPr>
                <w:rFonts w:ascii="Arial Narrow" w:hAnsi="Arial Narrow"/>
                <w:sz w:val="20"/>
              </w:rPr>
            </w:pPr>
            <w:r w:rsidRPr="004A10C3">
              <w:rPr>
                <w:rFonts w:ascii="Arial Narrow" w:hAnsi="Arial Narrow"/>
                <w:sz w:val="20"/>
              </w:rPr>
              <w:t>98</w:t>
            </w:r>
            <w:r w:rsidRPr="004A10C3">
              <w:rPr>
                <w:rFonts w:ascii="Arial Narrow" w:hAnsi="Arial Narrow"/>
                <w:sz w:val="20"/>
                <w:vertAlign w:val="superscript"/>
              </w:rPr>
              <w:t>th</w:t>
            </w:r>
            <w:r w:rsidRPr="004A10C3">
              <w:rPr>
                <w:rFonts w:ascii="Arial Narrow" w:hAnsi="Arial Narrow"/>
                <w:sz w:val="20"/>
              </w:rPr>
              <w:t xml:space="preserve"> Annual Meeting of the Endocrine Society (ENDO); April 1-4, 2016; Boston, MA. Abstract 25979. Presentation OR26-3</w:t>
            </w:r>
          </w:p>
        </w:tc>
      </w:tr>
      <w:tr w:rsidR="000C1E22" w:rsidRPr="004E2ADC" w:rsidTr="000C1E22">
        <w:trPr>
          <w:trHeight w:val="632"/>
        </w:trPr>
        <w:tc>
          <w:tcPr>
            <w:tcW w:w="420" w:type="pct"/>
            <w:vMerge/>
          </w:tcPr>
          <w:p w:rsidR="000C1E22" w:rsidRDefault="000C1E22" w:rsidP="005123EA">
            <w:pPr>
              <w:widowControl/>
              <w:jc w:val="left"/>
              <w:rPr>
                <w:rFonts w:ascii="Arial Narrow" w:hAnsi="Arial Narrow"/>
                <w:sz w:val="20"/>
              </w:rPr>
            </w:pPr>
          </w:p>
        </w:tc>
        <w:tc>
          <w:tcPr>
            <w:tcW w:w="3115" w:type="pct"/>
            <w:tcBorders>
              <w:top w:val="nil"/>
              <w:bottom w:val="nil"/>
            </w:tcBorders>
          </w:tcPr>
          <w:p w:rsidR="000C1E22" w:rsidRPr="00EA6EFC" w:rsidRDefault="000C1E22" w:rsidP="005123EA">
            <w:pPr>
              <w:widowControl/>
              <w:spacing w:before="40"/>
              <w:jc w:val="left"/>
              <w:rPr>
                <w:rFonts w:ascii="Arial Narrow" w:hAnsi="Arial Narrow"/>
                <w:sz w:val="20"/>
              </w:rPr>
            </w:pPr>
            <w:proofErr w:type="spellStart"/>
            <w:r w:rsidRPr="00EA6EFC">
              <w:rPr>
                <w:rFonts w:ascii="Arial Narrow" w:hAnsi="Arial Narrow"/>
                <w:bCs/>
                <w:sz w:val="20"/>
              </w:rPr>
              <w:t>Kishnani</w:t>
            </w:r>
            <w:proofErr w:type="spellEnd"/>
            <w:r w:rsidRPr="00EA6EFC">
              <w:rPr>
                <w:rFonts w:ascii="Arial Narrow" w:hAnsi="Arial Narrow"/>
                <w:bCs/>
                <w:sz w:val="20"/>
              </w:rPr>
              <w:t xml:space="preserve"> PS, </w:t>
            </w:r>
            <w:proofErr w:type="spellStart"/>
            <w:r w:rsidRPr="00EA6EFC">
              <w:rPr>
                <w:rFonts w:ascii="Arial Narrow" w:hAnsi="Arial Narrow"/>
                <w:bCs/>
                <w:sz w:val="20"/>
              </w:rPr>
              <w:t>Rockman</w:t>
            </w:r>
            <w:proofErr w:type="spellEnd"/>
            <w:r w:rsidRPr="00EA6EFC">
              <w:rPr>
                <w:rFonts w:ascii="Arial Narrow" w:hAnsi="Arial Narrow"/>
                <w:bCs/>
                <w:sz w:val="20"/>
              </w:rPr>
              <w:t>-Greenberg C,</w:t>
            </w:r>
            <w:r>
              <w:rPr>
                <w:rFonts w:ascii="Arial Narrow" w:hAnsi="Arial Narrow"/>
                <w:bCs/>
                <w:sz w:val="20"/>
              </w:rPr>
              <w:t xml:space="preserve"> Whyte M, </w:t>
            </w:r>
            <w:r w:rsidRPr="00F04BFB">
              <w:rPr>
                <w:rFonts w:ascii="Arial Narrow" w:hAnsi="Arial Narrow"/>
                <w:bCs/>
                <w:i/>
                <w:sz w:val="20"/>
              </w:rPr>
              <w:t>et al</w:t>
            </w:r>
            <w:r w:rsidRPr="00EA6EFC">
              <w:rPr>
                <w:rFonts w:ascii="Arial Narrow" w:hAnsi="Arial Narrow"/>
                <w:bCs/>
                <w:sz w:val="20"/>
              </w:rPr>
              <w:t>. Enzyme replacement therapy (ENB-0040) decreases TNSALP accumulation and improves functional outcome in affected adolescents and adults.</w:t>
            </w:r>
          </w:p>
        </w:tc>
        <w:tc>
          <w:tcPr>
            <w:tcW w:w="1465" w:type="pct"/>
            <w:tcBorders>
              <w:top w:val="nil"/>
              <w:bottom w:val="nil"/>
            </w:tcBorders>
          </w:tcPr>
          <w:p w:rsidR="000C1E22" w:rsidRPr="004A10C3" w:rsidRDefault="000C1E22" w:rsidP="005123EA">
            <w:pPr>
              <w:pStyle w:val="BodyText"/>
              <w:widowControl/>
              <w:spacing w:before="40"/>
              <w:rPr>
                <w:rFonts w:ascii="Arial Narrow" w:hAnsi="Arial Narrow"/>
                <w:sz w:val="20"/>
              </w:rPr>
            </w:pPr>
            <w:r w:rsidRPr="004A10C3">
              <w:rPr>
                <w:rFonts w:ascii="Arial Narrow" w:hAnsi="Arial Narrow"/>
                <w:bCs/>
                <w:i/>
                <w:sz w:val="20"/>
              </w:rPr>
              <w:t>Molecular Genetics and Metabolism</w:t>
            </w:r>
            <w:r w:rsidRPr="004A10C3">
              <w:rPr>
                <w:rFonts w:ascii="Arial Narrow" w:hAnsi="Arial Narrow"/>
                <w:bCs/>
                <w:sz w:val="20"/>
              </w:rPr>
              <w:t xml:space="preserve"> 2012;105(3):328-329</w:t>
            </w:r>
          </w:p>
        </w:tc>
      </w:tr>
      <w:tr w:rsidR="000C1E22" w:rsidRPr="004E2ADC" w:rsidTr="000C1E22">
        <w:trPr>
          <w:trHeight w:val="231"/>
        </w:trPr>
        <w:tc>
          <w:tcPr>
            <w:tcW w:w="420" w:type="pct"/>
            <w:vMerge/>
          </w:tcPr>
          <w:p w:rsidR="000C1E22" w:rsidRDefault="000C1E22" w:rsidP="005123EA">
            <w:pPr>
              <w:widowControl/>
              <w:jc w:val="left"/>
              <w:rPr>
                <w:rFonts w:ascii="Arial Narrow" w:hAnsi="Arial Narrow"/>
                <w:sz w:val="20"/>
              </w:rPr>
            </w:pPr>
          </w:p>
        </w:tc>
        <w:tc>
          <w:tcPr>
            <w:tcW w:w="3115" w:type="pct"/>
            <w:tcBorders>
              <w:top w:val="nil"/>
            </w:tcBorders>
          </w:tcPr>
          <w:p w:rsidR="000C1E22" w:rsidRPr="00EA6EFC" w:rsidRDefault="000C1E22" w:rsidP="005123EA">
            <w:pPr>
              <w:widowControl/>
              <w:spacing w:before="40"/>
              <w:jc w:val="left"/>
              <w:rPr>
                <w:rFonts w:ascii="Arial Narrow" w:hAnsi="Arial Narrow"/>
                <w:bCs/>
                <w:sz w:val="20"/>
              </w:rPr>
            </w:pPr>
            <w:r w:rsidRPr="009E1E66">
              <w:rPr>
                <w:rFonts w:ascii="Arial Narrow" w:hAnsi="Arial Narrow"/>
                <w:sz w:val="20"/>
              </w:rPr>
              <w:t xml:space="preserve">Whyte MP, </w:t>
            </w:r>
            <w:proofErr w:type="spellStart"/>
            <w:r w:rsidRPr="009E1E66">
              <w:rPr>
                <w:rFonts w:ascii="Arial Narrow" w:hAnsi="Arial Narrow"/>
                <w:sz w:val="20"/>
              </w:rPr>
              <w:t>Rockman</w:t>
            </w:r>
            <w:proofErr w:type="spellEnd"/>
            <w:r w:rsidRPr="009E1E66">
              <w:rPr>
                <w:rFonts w:ascii="Arial Narrow" w:hAnsi="Arial Narrow"/>
                <w:sz w:val="20"/>
              </w:rPr>
              <w:t xml:space="preserve">-Greenberg C, </w:t>
            </w:r>
            <w:proofErr w:type="spellStart"/>
            <w:r w:rsidRPr="009E1E66">
              <w:rPr>
                <w:rFonts w:ascii="Arial Narrow" w:hAnsi="Arial Narrow"/>
                <w:sz w:val="20"/>
              </w:rPr>
              <w:t>Ozono</w:t>
            </w:r>
            <w:proofErr w:type="spellEnd"/>
            <w:r w:rsidRPr="009E1E66">
              <w:rPr>
                <w:rFonts w:ascii="Arial Narrow" w:hAnsi="Arial Narrow"/>
                <w:sz w:val="20"/>
              </w:rPr>
              <w:t xml:space="preserve"> K,</w:t>
            </w:r>
            <w:r>
              <w:rPr>
                <w:rFonts w:ascii="Arial Narrow" w:hAnsi="Arial Narrow"/>
                <w:sz w:val="20"/>
              </w:rPr>
              <w:t xml:space="preserve"> </w:t>
            </w:r>
            <w:proofErr w:type="gramStart"/>
            <w:r w:rsidRPr="00F04BFB">
              <w:rPr>
                <w:rFonts w:ascii="Arial Narrow" w:hAnsi="Arial Narrow"/>
                <w:i/>
                <w:sz w:val="20"/>
              </w:rPr>
              <w:t>et</w:t>
            </w:r>
            <w:proofErr w:type="gramEnd"/>
            <w:r w:rsidRPr="00F04BFB">
              <w:rPr>
                <w:rFonts w:ascii="Arial Narrow" w:hAnsi="Arial Narrow"/>
                <w:i/>
                <w:sz w:val="20"/>
              </w:rPr>
              <w:t xml:space="preserve"> al</w:t>
            </w:r>
            <w:r>
              <w:rPr>
                <w:rFonts w:ascii="Arial Narrow" w:hAnsi="Arial Narrow"/>
                <w:sz w:val="20"/>
              </w:rPr>
              <w:t xml:space="preserve">. </w:t>
            </w:r>
            <w:proofErr w:type="spellStart"/>
            <w:r w:rsidRPr="009E1E66">
              <w:rPr>
                <w:rFonts w:ascii="Arial Narrow" w:hAnsi="Arial Narrow"/>
                <w:sz w:val="20"/>
              </w:rPr>
              <w:t>Asfotase</w:t>
            </w:r>
            <w:proofErr w:type="spellEnd"/>
            <w:r w:rsidRPr="009E1E66">
              <w:rPr>
                <w:rFonts w:ascii="Arial Narrow" w:hAnsi="Arial Narrow"/>
                <w:sz w:val="20"/>
              </w:rPr>
              <w:t xml:space="preserve"> alfa treatment improves survival for perinatal and infantile </w:t>
            </w:r>
            <w:proofErr w:type="spellStart"/>
            <w:r w:rsidRPr="009E1E66">
              <w:rPr>
                <w:rFonts w:ascii="Arial Narrow" w:hAnsi="Arial Narrow"/>
                <w:sz w:val="20"/>
              </w:rPr>
              <w:t>hypophosphatasia</w:t>
            </w:r>
            <w:proofErr w:type="spellEnd"/>
            <w:r w:rsidRPr="009E1E66">
              <w:rPr>
                <w:rFonts w:ascii="Arial Narrow" w:hAnsi="Arial Narrow"/>
                <w:sz w:val="20"/>
              </w:rPr>
              <w:t>.</w:t>
            </w:r>
          </w:p>
        </w:tc>
        <w:tc>
          <w:tcPr>
            <w:tcW w:w="1465" w:type="pct"/>
            <w:tcBorders>
              <w:top w:val="nil"/>
            </w:tcBorders>
          </w:tcPr>
          <w:p w:rsidR="000C1E22" w:rsidRPr="004A10C3" w:rsidRDefault="000C1E22" w:rsidP="005123EA">
            <w:pPr>
              <w:pStyle w:val="BodyText"/>
              <w:widowControl/>
              <w:spacing w:before="40"/>
              <w:rPr>
                <w:rFonts w:ascii="Arial Narrow" w:hAnsi="Arial Narrow"/>
                <w:bCs/>
                <w:i/>
                <w:sz w:val="20"/>
              </w:rPr>
            </w:pPr>
            <w:r w:rsidRPr="004A10C3">
              <w:rPr>
                <w:rFonts w:ascii="Arial Narrow" w:hAnsi="Arial Narrow"/>
                <w:i/>
                <w:sz w:val="20"/>
              </w:rPr>
              <w:t xml:space="preserve">J </w:t>
            </w:r>
            <w:proofErr w:type="spellStart"/>
            <w:r w:rsidRPr="004A10C3">
              <w:rPr>
                <w:rFonts w:ascii="Arial Narrow" w:hAnsi="Arial Narrow"/>
                <w:i/>
                <w:sz w:val="20"/>
              </w:rPr>
              <w:t>Clin</w:t>
            </w:r>
            <w:proofErr w:type="spellEnd"/>
            <w:r w:rsidRPr="004A10C3">
              <w:rPr>
                <w:rFonts w:ascii="Arial Narrow" w:hAnsi="Arial Narrow"/>
                <w:i/>
                <w:sz w:val="20"/>
              </w:rPr>
              <w:t xml:space="preserve"> </w:t>
            </w:r>
            <w:proofErr w:type="spellStart"/>
            <w:r w:rsidRPr="004A10C3">
              <w:rPr>
                <w:rFonts w:ascii="Arial Narrow" w:hAnsi="Arial Narrow"/>
                <w:i/>
                <w:sz w:val="20"/>
              </w:rPr>
              <w:t>Endocrinol</w:t>
            </w:r>
            <w:proofErr w:type="spellEnd"/>
            <w:r w:rsidRPr="004A10C3">
              <w:rPr>
                <w:rFonts w:ascii="Arial Narrow" w:hAnsi="Arial Narrow"/>
                <w:i/>
                <w:sz w:val="20"/>
              </w:rPr>
              <w:t xml:space="preserve"> </w:t>
            </w:r>
            <w:proofErr w:type="spellStart"/>
            <w:r w:rsidRPr="004A10C3">
              <w:rPr>
                <w:rFonts w:ascii="Arial Narrow" w:hAnsi="Arial Narrow"/>
                <w:i/>
                <w:sz w:val="20"/>
              </w:rPr>
              <w:t>Metab</w:t>
            </w:r>
            <w:proofErr w:type="spellEnd"/>
            <w:r w:rsidRPr="004A10C3">
              <w:rPr>
                <w:rFonts w:ascii="Arial Narrow" w:hAnsi="Arial Narrow"/>
                <w:i/>
                <w:sz w:val="20"/>
              </w:rPr>
              <w:t xml:space="preserve"> 2016;101:334-42</w:t>
            </w:r>
          </w:p>
        </w:tc>
      </w:tr>
      <w:tr w:rsidR="000C1E22" w:rsidRPr="004E2ADC" w:rsidTr="000C1E22">
        <w:tc>
          <w:tcPr>
            <w:tcW w:w="5000" w:type="pct"/>
            <w:gridSpan w:val="3"/>
          </w:tcPr>
          <w:p w:rsidR="000C1E22" w:rsidRPr="004A10C3" w:rsidRDefault="000C1E22" w:rsidP="005123EA">
            <w:pPr>
              <w:pStyle w:val="BodyText"/>
              <w:widowControl/>
              <w:rPr>
                <w:rFonts w:ascii="Arial Narrow" w:hAnsi="Arial Narrow"/>
                <w:sz w:val="20"/>
              </w:rPr>
            </w:pPr>
            <w:r w:rsidRPr="004A10C3">
              <w:rPr>
                <w:rFonts w:ascii="Arial Narrow" w:hAnsi="Arial Narrow"/>
                <w:sz w:val="20"/>
              </w:rPr>
              <w:t xml:space="preserve">Single arms of randomised trials with </w:t>
            </w:r>
            <w:proofErr w:type="spellStart"/>
            <w:r w:rsidRPr="004A10C3">
              <w:rPr>
                <w:rFonts w:ascii="Arial Narrow" w:hAnsi="Arial Narrow"/>
                <w:sz w:val="20"/>
              </w:rPr>
              <w:t>asfotase</w:t>
            </w:r>
            <w:proofErr w:type="spellEnd"/>
            <w:r w:rsidRPr="004A10C3">
              <w:rPr>
                <w:rFonts w:ascii="Arial Narrow" w:hAnsi="Arial Narrow"/>
                <w:sz w:val="20"/>
              </w:rPr>
              <w:t xml:space="preserve"> alfa </w:t>
            </w:r>
            <w:proofErr w:type="spellStart"/>
            <w:r w:rsidR="00465F17" w:rsidRPr="00465F17">
              <w:rPr>
                <w:rFonts w:ascii="Arial Narrow" w:hAnsi="Arial Narrow"/>
                <w:i/>
                <w:sz w:val="20"/>
              </w:rPr>
              <w:t>rch</w:t>
            </w:r>
            <w:proofErr w:type="spellEnd"/>
          </w:p>
        </w:tc>
      </w:tr>
      <w:tr w:rsidR="000C1E22" w:rsidRPr="004E2ADC" w:rsidTr="000C1E22">
        <w:trPr>
          <w:trHeight w:val="582"/>
        </w:trPr>
        <w:tc>
          <w:tcPr>
            <w:tcW w:w="420" w:type="pct"/>
            <w:vMerge w:val="restart"/>
            <w:tcBorders>
              <w:top w:val="single" w:sz="4" w:space="0" w:color="auto"/>
              <w:left w:val="single" w:sz="4" w:space="0" w:color="auto"/>
              <w:right w:val="single" w:sz="4" w:space="0" w:color="auto"/>
            </w:tcBorders>
            <w:vAlign w:val="center"/>
          </w:tcPr>
          <w:p w:rsidR="000C1E22" w:rsidRPr="00F04BFB" w:rsidRDefault="000C1E22" w:rsidP="005123EA">
            <w:pPr>
              <w:widowControl/>
              <w:jc w:val="left"/>
              <w:rPr>
                <w:rFonts w:ascii="Arial Narrow" w:hAnsi="Arial Narrow"/>
                <w:sz w:val="20"/>
              </w:rPr>
            </w:pPr>
            <w:r>
              <w:rPr>
                <w:rFonts w:ascii="Arial Narrow" w:hAnsi="Arial Narrow"/>
                <w:sz w:val="20"/>
                <w:lang w:eastAsia="en-AU"/>
              </w:rPr>
              <w:t>ENB-006-09</w:t>
            </w:r>
          </w:p>
        </w:tc>
        <w:tc>
          <w:tcPr>
            <w:tcW w:w="3115" w:type="pct"/>
            <w:tcBorders>
              <w:top w:val="single" w:sz="4" w:space="0" w:color="auto"/>
              <w:left w:val="single" w:sz="4" w:space="0" w:color="auto"/>
              <w:bottom w:val="nil"/>
              <w:right w:val="single" w:sz="4" w:space="0" w:color="auto"/>
            </w:tcBorders>
          </w:tcPr>
          <w:p w:rsidR="000C1E22" w:rsidRPr="00F04BFB" w:rsidRDefault="000C1E22" w:rsidP="005123EA">
            <w:pPr>
              <w:pStyle w:val="TableText0"/>
              <w:spacing w:before="0" w:after="0"/>
            </w:pPr>
            <w:r>
              <w:rPr>
                <w:lang w:eastAsia="en-AU"/>
              </w:rPr>
              <w:t xml:space="preserve">ENB-006-09: </w:t>
            </w:r>
            <w:r w:rsidRPr="00F04BFB">
              <w:rPr>
                <w:rFonts w:cs="Arial"/>
                <w:lang w:eastAsia="en-AU"/>
              </w:rPr>
              <w:t xml:space="preserve">A randomized, open-label, </w:t>
            </w:r>
            <w:proofErr w:type="spellStart"/>
            <w:r w:rsidRPr="00F04BFB">
              <w:rPr>
                <w:rFonts w:cs="Arial"/>
                <w:lang w:eastAsia="en-AU"/>
              </w:rPr>
              <w:t>multicenter</w:t>
            </w:r>
            <w:proofErr w:type="spellEnd"/>
            <w:r w:rsidRPr="00F04BFB">
              <w:rPr>
                <w:rFonts w:cs="Arial"/>
                <w:lang w:eastAsia="en-AU"/>
              </w:rPr>
              <w:t xml:space="preserve">, multinational, dose-ranging, historical control study of the safety, efficacy, pharmacokinetics, and pharmacodynamics of </w:t>
            </w:r>
            <w:proofErr w:type="spellStart"/>
            <w:r w:rsidRPr="00F04BFB">
              <w:rPr>
                <w:rFonts w:cs="Arial"/>
                <w:lang w:eastAsia="en-AU"/>
              </w:rPr>
              <w:t>asfotase</w:t>
            </w:r>
            <w:proofErr w:type="spellEnd"/>
            <w:r w:rsidRPr="00F04BFB">
              <w:rPr>
                <w:rFonts w:cs="Arial"/>
                <w:lang w:eastAsia="en-AU"/>
              </w:rPr>
              <w:t xml:space="preserve"> alfa in children with </w:t>
            </w:r>
            <w:proofErr w:type="spellStart"/>
            <w:r w:rsidRPr="00F04BFB">
              <w:rPr>
                <w:rFonts w:cs="Arial"/>
                <w:lang w:eastAsia="en-AU"/>
              </w:rPr>
              <w:t>Hypophosphatasia</w:t>
            </w:r>
            <w:proofErr w:type="spellEnd"/>
            <w:r w:rsidRPr="00F04BFB">
              <w:rPr>
                <w:rFonts w:cs="Arial"/>
                <w:lang w:eastAsia="en-AU"/>
              </w:rPr>
              <w:t xml:space="preserve"> (HPP)</w:t>
            </w:r>
            <w:r>
              <w:rPr>
                <w:rFonts w:cs="Arial"/>
                <w:lang w:eastAsia="en-AU"/>
              </w:rPr>
              <w:t>.</w:t>
            </w:r>
          </w:p>
        </w:tc>
        <w:tc>
          <w:tcPr>
            <w:tcW w:w="1465" w:type="pct"/>
            <w:tcBorders>
              <w:top w:val="single" w:sz="4" w:space="0" w:color="auto"/>
              <w:left w:val="single" w:sz="4" w:space="0" w:color="auto"/>
              <w:bottom w:val="nil"/>
              <w:right w:val="single" w:sz="4" w:space="0" w:color="auto"/>
            </w:tcBorders>
          </w:tcPr>
          <w:p w:rsidR="000C1E22" w:rsidRPr="004A10C3" w:rsidRDefault="000C1E22" w:rsidP="005123EA">
            <w:pPr>
              <w:pStyle w:val="BodyText"/>
              <w:widowControl/>
              <w:rPr>
                <w:rFonts w:ascii="Arial Narrow" w:hAnsi="Arial Narrow"/>
                <w:i/>
                <w:sz w:val="20"/>
              </w:rPr>
            </w:pPr>
            <w:r w:rsidRPr="004A10C3">
              <w:rPr>
                <w:rFonts w:ascii="Arial Narrow" w:hAnsi="Arial Narrow"/>
                <w:sz w:val="20"/>
                <w:lang w:eastAsia="en-AU"/>
              </w:rPr>
              <w:t>3 April 2015</w:t>
            </w:r>
          </w:p>
          <w:p w:rsidR="000C1E22" w:rsidRPr="004A10C3" w:rsidRDefault="000C1E22" w:rsidP="005123EA">
            <w:pPr>
              <w:pStyle w:val="BodyText"/>
              <w:widowControl/>
              <w:rPr>
                <w:rFonts w:ascii="Arial Narrow" w:hAnsi="Arial Narrow"/>
                <w:sz w:val="20"/>
              </w:rPr>
            </w:pPr>
          </w:p>
        </w:tc>
      </w:tr>
      <w:tr w:rsidR="000C1E22" w:rsidRPr="004E2ADC" w:rsidTr="000C1E22">
        <w:trPr>
          <w:trHeight w:val="199"/>
        </w:trPr>
        <w:tc>
          <w:tcPr>
            <w:tcW w:w="420" w:type="pct"/>
            <w:vMerge/>
            <w:tcBorders>
              <w:left w:val="single" w:sz="4" w:space="0" w:color="auto"/>
              <w:bottom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p>
        </w:tc>
        <w:tc>
          <w:tcPr>
            <w:tcW w:w="3115" w:type="pct"/>
            <w:tcBorders>
              <w:top w:val="nil"/>
              <w:left w:val="single" w:sz="4" w:space="0" w:color="auto"/>
              <w:bottom w:val="single" w:sz="4" w:space="0" w:color="auto"/>
              <w:right w:val="single" w:sz="4" w:space="0" w:color="auto"/>
            </w:tcBorders>
          </w:tcPr>
          <w:p w:rsidR="000C1E22" w:rsidRDefault="000C1E22" w:rsidP="005123EA">
            <w:pPr>
              <w:pStyle w:val="TableText0"/>
              <w:spacing w:after="0"/>
              <w:rPr>
                <w:lang w:eastAsia="en-AU"/>
              </w:rPr>
            </w:pPr>
            <w:r w:rsidRPr="00F04BFB">
              <w:rPr>
                <w:noProof/>
              </w:rPr>
              <w:t xml:space="preserve">Whyte MP, Madson K, Phillips D, </w:t>
            </w:r>
            <w:r w:rsidRPr="00F04BFB">
              <w:rPr>
                <w:i/>
                <w:noProof/>
              </w:rPr>
              <w:t>et al</w:t>
            </w:r>
            <w:r w:rsidRPr="00F04BFB">
              <w:rPr>
                <w:rFonts w:cs="Arial"/>
                <w:lang w:eastAsia="en-AU"/>
              </w:rPr>
              <w:t>.</w:t>
            </w:r>
            <w:r w:rsidRPr="00F04BFB">
              <w:t xml:space="preserve"> </w:t>
            </w:r>
            <w:proofErr w:type="spellStart"/>
            <w:r w:rsidRPr="00F04BFB">
              <w:t>Asfotase</w:t>
            </w:r>
            <w:proofErr w:type="spellEnd"/>
            <w:r w:rsidRPr="00F04BFB">
              <w:t xml:space="preserve"> alfa therapy for children with </w:t>
            </w:r>
            <w:proofErr w:type="spellStart"/>
            <w:r w:rsidRPr="00F04BFB">
              <w:t>hypophosphatasia</w:t>
            </w:r>
            <w:proofErr w:type="spellEnd"/>
            <w:r w:rsidRPr="00F04BFB">
              <w:t>.</w:t>
            </w:r>
          </w:p>
        </w:tc>
        <w:tc>
          <w:tcPr>
            <w:tcW w:w="1465" w:type="pct"/>
            <w:tcBorders>
              <w:top w:val="nil"/>
              <w:left w:val="single" w:sz="4" w:space="0" w:color="auto"/>
              <w:bottom w:val="single" w:sz="4" w:space="0" w:color="auto"/>
              <w:right w:val="single" w:sz="4" w:space="0" w:color="auto"/>
            </w:tcBorders>
          </w:tcPr>
          <w:p w:rsidR="000C1E22" w:rsidRPr="004A10C3" w:rsidRDefault="000C1E22" w:rsidP="005123EA">
            <w:pPr>
              <w:pStyle w:val="BodyText"/>
              <w:widowControl/>
              <w:spacing w:before="40"/>
              <w:rPr>
                <w:rFonts w:ascii="Arial Narrow" w:hAnsi="Arial Narrow"/>
                <w:sz w:val="20"/>
                <w:lang w:eastAsia="en-AU"/>
              </w:rPr>
            </w:pPr>
            <w:r w:rsidRPr="004A10C3">
              <w:rPr>
                <w:rFonts w:ascii="Arial Narrow" w:hAnsi="Arial Narrow"/>
                <w:i/>
                <w:sz w:val="20"/>
              </w:rPr>
              <w:t>JCI Insight</w:t>
            </w:r>
            <w:r w:rsidRPr="004A10C3">
              <w:rPr>
                <w:rFonts w:ascii="Arial Narrow" w:hAnsi="Arial Narrow"/>
                <w:sz w:val="20"/>
              </w:rPr>
              <w:t xml:space="preserve"> 2016:1(9):e85971</w:t>
            </w:r>
          </w:p>
        </w:tc>
      </w:tr>
      <w:tr w:rsidR="000C1E22" w:rsidRPr="004E2ADC" w:rsidTr="000C1E22">
        <w:trPr>
          <w:trHeight w:val="533"/>
        </w:trPr>
        <w:tc>
          <w:tcPr>
            <w:tcW w:w="420" w:type="pct"/>
            <w:vMerge w:val="restart"/>
            <w:tcBorders>
              <w:top w:val="single" w:sz="4" w:space="0" w:color="auto"/>
              <w:left w:val="single" w:sz="4" w:space="0" w:color="auto"/>
              <w:right w:val="single" w:sz="4" w:space="0" w:color="auto"/>
            </w:tcBorders>
            <w:vAlign w:val="center"/>
          </w:tcPr>
          <w:p w:rsidR="000C1E22" w:rsidRPr="00F04BFB" w:rsidRDefault="000C1E22" w:rsidP="005123EA">
            <w:pPr>
              <w:widowControl/>
              <w:jc w:val="left"/>
              <w:rPr>
                <w:rFonts w:ascii="Arial Narrow" w:hAnsi="Arial Narrow"/>
                <w:sz w:val="20"/>
              </w:rPr>
            </w:pPr>
            <w:r>
              <w:rPr>
                <w:rFonts w:ascii="Arial Narrow" w:hAnsi="Arial Narrow"/>
                <w:sz w:val="20"/>
                <w:lang w:eastAsia="en-AU"/>
              </w:rPr>
              <w:t>ENB-008-10</w:t>
            </w:r>
          </w:p>
        </w:tc>
        <w:tc>
          <w:tcPr>
            <w:tcW w:w="3115" w:type="pct"/>
            <w:tcBorders>
              <w:top w:val="single" w:sz="4" w:space="0" w:color="auto"/>
              <w:left w:val="single" w:sz="4" w:space="0" w:color="auto"/>
              <w:bottom w:val="nil"/>
              <w:right w:val="single" w:sz="4" w:space="0" w:color="auto"/>
            </w:tcBorders>
          </w:tcPr>
          <w:p w:rsidR="000C1E22" w:rsidRPr="00F04BFB" w:rsidRDefault="000C1E22" w:rsidP="005123EA">
            <w:pPr>
              <w:widowControl/>
              <w:jc w:val="left"/>
              <w:rPr>
                <w:rFonts w:ascii="Arial Narrow" w:hAnsi="Arial Narrow"/>
                <w:sz w:val="20"/>
              </w:rPr>
            </w:pPr>
            <w:r>
              <w:rPr>
                <w:rFonts w:ascii="Arial Narrow" w:hAnsi="Arial Narrow"/>
                <w:sz w:val="20"/>
                <w:lang w:eastAsia="en-AU"/>
              </w:rPr>
              <w:t xml:space="preserve">ENB-008-10: </w:t>
            </w:r>
            <w:r w:rsidRPr="00E16CF7">
              <w:rPr>
                <w:rFonts w:ascii="Arial Narrow" w:hAnsi="Arial Narrow"/>
                <w:sz w:val="20"/>
                <w:lang w:eastAsia="en-AU"/>
              </w:rPr>
              <w:t xml:space="preserve">Extension study of protocol ENB-006-09 evaluating the long-term safety and efficacy of </w:t>
            </w:r>
            <w:proofErr w:type="spellStart"/>
            <w:r w:rsidRPr="00E16CF7">
              <w:rPr>
                <w:rFonts w:ascii="Arial Narrow" w:hAnsi="Arial Narrow"/>
                <w:sz w:val="20"/>
                <w:lang w:eastAsia="en-AU"/>
              </w:rPr>
              <w:t>asfotase</w:t>
            </w:r>
            <w:proofErr w:type="spellEnd"/>
            <w:r w:rsidRPr="00E16CF7">
              <w:rPr>
                <w:rFonts w:ascii="Arial Narrow" w:hAnsi="Arial Narrow"/>
                <w:sz w:val="20"/>
                <w:lang w:eastAsia="en-AU"/>
              </w:rPr>
              <w:t xml:space="preserve"> alfa in children with </w:t>
            </w:r>
            <w:proofErr w:type="spellStart"/>
            <w:r w:rsidRPr="00E16CF7">
              <w:rPr>
                <w:rFonts w:ascii="Arial Narrow" w:hAnsi="Arial Narrow"/>
                <w:sz w:val="20"/>
                <w:lang w:eastAsia="en-AU"/>
              </w:rPr>
              <w:t>Hypophosphatasia</w:t>
            </w:r>
            <w:proofErr w:type="spellEnd"/>
            <w:r w:rsidRPr="00E16CF7">
              <w:rPr>
                <w:rFonts w:ascii="Arial Narrow" w:hAnsi="Arial Narrow"/>
                <w:sz w:val="20"/>
                <w:lang w:eastAsia="en-AU"/>
              </w:rPr>
              <w:t xml:space="preserve"> (HPP).</w:t>
            </w:r>
          </w:p>
        </w:tc>
        <w:tc>
          <w:tcPr>
            <w:tcW w:w="1465" w:type="pct"/>
            <w:tcBorders>
              <w:top w:val="single" w:sz="4" w:space="0" w:color="auto"/>
              <w:left w:val="single" w:sz="4" w:space="0" w:color="auto"/>
              <w:bottom w:val="nil"/>
              <w:right w:val="single" w:sz="4" w:space="0" w:color="auto"/>
            </w:tcBorders>
          </w:tcPr>
          <w:p w:rsidR="000C1E22" w:rsidRPr="004A10C3" w:rsidRDefault="000C1E22" w:rsidP="005123EA">
            <w:pPr>
              <w:pStyle w:val="BodyText"/>
              <w:widowControl/>
              <w:rPr>
                <w:rFonts w:ascii="Arial Narrow" w:hAnsi="Arial Narrow"/>
                <w:sz w:val="20"/>
              </w:rPr>
            </w:pPr>
            <w:r w:rsidRPr="004A10C3">
              <w:rPr>
                <w:rFonts w:ascii="Arial Narrow" w:hAnsi="Arial Narrow"/>
                <w:sz w:val="20"/>
                <w:lang w:eastAsia="en-AU"/>
              </w:rPr>
              <w:t>3 April 2015</w:t>
            </w:r>
          </w:p>
        </w:tc>
      </w:tr>
      <w:tr w:rsidR="000C1E22" w:rsidRPr="004E2ADC" w:rsidTr="000C1E22">
        <w:trPr>
          <w:trHeight w:val="145"/>
        </w:trPr>
        <w:tc>
          <w:tcPr>
            <w:tcW w:w="420" w:type="pct"/>
            <w:vMerge/>
            <w:tcBorders>
              <w:left w:val="single" w:sz="4" w:space="0" w:color="auto"/>
              <w:bottom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p>
        </w:tc>
        <w:tc>
          <w:tcPr>
            <w:tcW w:w="3115" w:type="pct"/>
            <w:tcBorders>
              <w:top w:val="nil"/>
              <w:left w:val="single" w:sz="4" w:space="0" w:color="auto"/>
              <w:bottom w:val="single" w:sz="4" w:space="0" w:color="auto"/>
              <w:right w:val="single" w:sz="4" w:space="0" w:color="auto"/>
            </w:tcBorders>
          </w:tcPr>
          <w:p w:rsidR="000C1E22" w:rsidRDefault="000C1E22" w:rsidP="005123EA">
            <w:pPr>
              <w:widowControl/>
              <w:spacing w:before="40"/>
              <w:jc w:val="left"/>
              <w:rPr>
                <w:rFonts w:ascii="Arial Narrow" w:hAnsi="Arial Narrow"/>
                <w:sz w:val="20"/>
                <w:lang w:eastAsia="en-AU"/>
              </w:rPr>
            </w:pPr>
            <w:r w:rsidRPr="00F04BFB">
              <w:rPr>
                <w:rFonts w:ascii="Arial Narrow" w:hAnsi="Arial Narrow"/>
                <w:noProof/>
                <w:sz w:val="20"/>
              </w:rPr>
              <w:t xml:space="preserve">Whyte MP, Madson K, Phillips D, </w:t>
            </w:r>
            <w:r w:rsidRPr="00F04BFB">
              <w:rPr>
                <w:rFonts w:ascii="Arial Narrow" w:hAnsi="Arial Narrow"/>
                <w:i/>
                <w:noProof/>
                <w:sz w:val="20"/>
              </w:rPr>
              <w:t>et al</w:t>
            </w:r>
            <w:r w:rsidRPr="00F04BFB">
              <w:rPr>
                <w:rFonts w:ascii="Arial Narrow" w:hAnsi="Arial Narrow"/>
                <w:sz w:val="20"/>
                <w:lang w:eastAsia="en-AU"/>
              </w:rPr>
              <w:t xml:space="preserve">. </w:t>
            </w:r>
            <w:proofErr w:type="spellStart"/>
            <w:r w:rsidRPr="00F04BFB">
              <w:rPr>
                <w:rFonts w:ascii="Arial Narrow" w:hAnsi="Arial Narrow"/>
                <w:sz w:val="20"/>
              </w:rPr>
              <w:t>Asfotase</w:t>
            </w:r>
            <w:proofErr w:type="spellEnd"/>
            <w:r w:rsidRPr="00F04BFB">
              <w:rPr>
                <w:rFonts w:ascii="Arial Narrow" w:hAnsi="Arial Narrow"/>
                <w:sz w:val="20"/>
              </w:rPr>
              <w:t xml:space="preserve"> alfa therapy for children with </w:t>
            </w:r>
            <w:proofErr w:type="spellStart"/>
            <w:r w:rsidRPr="00F04BFB">
              <w:rPr>
                <w:rFonts w:ascii="Arial Narrow" w:hAnsi="Arial Narrow"/>
                <w:sz w:val="20"/>
              </w:rPr>
              <w:t>hypophosphatasia</w:t>
            </w:r>
            <w:proofErr w:type="spellEnd"/>
            <w:r w:rsidRPr="00F04BFB">
              <w:rPr>
                <w:rFonts w:ascii="Arial Narrow" w:hAnsi="Arial Narrow"/>
                <w:sz w:val="20"/>
              </w:rPr>
              <w:t>.</w:t>
            </w:r>
          </w:p>
        </w:tc>
        <w:tc>
          <w:tcPr>
            <w:tcW w:w="1465" w:type="pct"/>
            <w:tcBorders>
              <w:top w:val="nil"/>
              <w:left w:val="single" w:sz="4" w:space="0" w:color="auto"/>
              <w:bottom w:val="single" w:sz="4" w:space="0" w:color="auto"/>
              <w:right w:val="single" w:sz="4" w:space="0" w:color="auto"/>
            </w:tcBorders>
          </w:tcPr>
          <w:p w:rsidR="000C1E22" w:rsidRPr="004A10C3" w:rsidRDefault="000C1E22" w:rsidP="005123EA">
            <w:pPr>
              <w:pStyle w:val="BodyText"/>
              <w:widowControl/>
              <w:spacing w:before="40"/>
              <w:rPr>
                <w:rFonts w:ascii="Arial Narrow" w:hAnsi="Arial Narrow"/>
                <w:sz w:val="20"/>
                <w:lang w:eastAsia="en-AU"/>
              </w:rPr>
            </w:pPr>
            <w:r w:rsidRPr="004A10C3">
              <w:rPr>
                <w:rFonts w:ascii="Arial Narrow" w:hAnsi="Arial Narrow"/>
                <w:i/>
                <w:sz w:val="20"/>
              </w:rPr>
              <w:t>JCI Insight</w:t>
            </w:r>
            <w:r w:rsidRPr="004A10C3">
              <w:rPr>
                <w:rFonts w:ascii="Arial Narrow" w:hAnsi="Arial Narrow"/>
                <w:sz w:val="20"/>
              </w:rPr>
              <w:t xml:space="preserve"> 2016:1(9):e85971</w:t>
            </w:r>
          </w:p>
        </w:tc>
      </w:tr>
      <w:tr w:rsidR="000C1E22" w:rsidRPr="004E2ADC" w:rsidTr="000C1E22">
        <w:tc>
          <w:tcPr>
            <w:tcW w:w="5000" w:type="pct"/>
            <w:gridSpan w:val="3"/>
            <w:tcBorders>
              <w:top w:val="single" w:sz="4" w:space="0" w:color="auto"/>
              <w:left w:val="single" w:sz="4" w:space="0" w:color="auto"/>
              <w:bottom w:val="single" w:sz="4" w:space="0" w:color="auto"/>
              <w:right w:val="single" w:sz="4" w:space="0" w:color="auto"/>
            </w:tcBorders>
            <w:vAlign w:val="center"/>
          </w:tcPr>
          <w:p w:rsidR="000C1E22" w:rsidRPr="004A10C3" w:rsidRDefault="000C1E22" w:rsidP="005123EA">
            <w:pPr>
              <w:pStyle w:val="BodyText"/>
              <w:widowControl/>
              <w:rPr>
                <w:rFonts w:ascii="Arial Narrow" w:hAnsi="Arial Narrow"/>
                <w:sz w:val="20"/>
                <w:lang w:eastAsia="en-AU"/>
              </w:rPr>
            </w:pPr>
            <w:r w:rsidRPr="004A10C3">
              <w:rPr>
                <w:rFonts w:ascii="Arial Narrow" w:hAnsi="Arial Narrow"/>
                <w:sz w:val="20"/>
                <w:lang w:eastAsia="en-AU"/>
              </w:rPr>
              <w:t xml:space="preserve">Nonrandomised single arm </w:t>
            </w:r>
            <w:proofErr w:type="spellStart"/>
            <w:r w:rsidRPr="004A10C3">
              <w:rPr>
                <w:rFonts w:ascii="Arial Narrow" w:hAnsi="Arial Narrow"/>
                <w:sz w:val="20"/>
                <w:lang w:eastAsia="en-AU"/>
              </w:rPr>
              <w:t>asfotase</w:t>
            </w:r>
            <w:proofErr w:type="spellEnd"/>
            <w:r w:rsidRPr="004A10C3">
              <w:rPr>
                <w:rFonts w:ascii="Arial Narrow" w:hAnsi="Arial Narrow"/>
                <w:sz w:val="20"/>
                <w:lang w:eastAsia="en-AU"/>
              </w:rPr>
              <w:t xml:space="preserve"> alfa </w:t>
            </w:r>
            <w:proofErr w:type="spellStart"/>
            <w:r w:rsidR="00465F17" w:rsidRPr="00465F17">
              <w:rPr>
                <w:rFonts w:ascii="Arial Narrow" w:hAnsi="Arial Narrow"/>
                <w:i/>
                <w:sz w:val="20"/>
                <w:lang w:eastAsia="en-AU"/>
              </w:rPr>
              <w:t>rch</w:t>
            </w:r>
            <w:proofErr w:type="spellEnd"/>
            <w:r w:rsidRPr="004A10C3">
              <w:rPr>
                <w:rFonts w:ascii="Arial Narrow" w:hAnsi="Arial Narrow"/>
                <w:sz w:val="20"/>
                <w:lang w:eastAsia="en-AU"/>
              </w:rPr>
              <w:t xml:space="preserve"> studies</w:t>
            </w:r>
          </w:p>
        </w:tc>
      </w:tr>
      <w:tr w:rsidR="000C1E22" w:rsidRPr="004E2ADC" w:rsidTr="000C1E22">
        <w:trPr>
          <w:trHeight w:val="383"/>
        </w:trPr>
        <w:tc>
          <w:tcPr>
            <w:tcW w:w="420" w:type="pct"/>
            <w:vMerge w:val="restart"/>
            <w:tcBorders>
              <w:top w:val="single" w:sz="4" w:space="0" w:color="auto"/>
              <w:left w:val="single" w:sz="4" w:space="0" w:color="auto"/>
              <w:right w:val="single" w:sz="4" w:space="0" w:color="auto"/>
            </w:tcBorders>
            <w:vAlign w:val="center"/>
          </w:tcPr>
          <w:p w:rsidR="000C1E22" w:rsidRPr="00574D2A" w:rsidRDefault="000C1E22" w:rsidP="005123EA">
            <w:pPr>
              <w:widowControl/>
              <w:jc w:val="left"/>
              <w:rPr>
                <w:rFonts w:ascii="Arial Narrow" w:hAnsi="Arial Narrow"/>
                <w:sz w:val="20"/>
                <w:lang w:eastAsia="en-AU"/>
              </w:rPr>
            </w:pPr>
            <w:r>
              <w:rPr>
                <w:rFonts w:ascii="Arial Narrow" w:hAnsi="Arial Narrow"/>
                <w:sz w:val="20"/>
                <w:lang w:eastAsia="en-AU"/>
              </w:rPr>
              <w:t>ENB-002-08</w:t>
            </w:r>
          </w:p>
        </w:tc>
        <w:tc>
          <w:tcPr>
            <w:tcW w:w="3115" w:type="pct"/>
            <w:tcBorders>
              <w:top w:val="single" w:sz="4" w:space="0" w:color="auto"/>
              <w:left w:val="single" w:sz="4" w:space="0" w:color="auto"/>
              <w:bottom w:val="nil"/>
              <w:right w:val="single" w:sz="4" w:space="0" w:color="auto"/>
            </w:tcBorders>
          </w:tcPr>
          <w:p w:rsidR="000C1E22" w:rsidRPr="00574D2A" w:rsidRDefault="000C1E22" w:rsidP="005123EA">
            <w:pPr>
              <w:widowControl/>
              <w:jc w:val="left"/>
              <w:rPr>
                <w:rFonts w:ascii="Arial Narrow" w:hAnsi="Arial Narrow"/>
                <w:sz w:val="20"/>
                <w:lang w:eastAsia="en-AU"/>
              </w:rPr>
            </w:pPr>
            <w:r>
              <w:rPr>
                <w:rFonts w:ascii="Arial Narrow" w:hAnsi="Arial Narrow"/>
                <w:sz w:val="20"/>
                <w:lang w:eastAsia="en-AU"/>
              </w:rPr>
              <w:t xml:space="preserve">ENB-002-08: </w:t>
            </w:r>
            <w:r w:rsidRPr="00574D2A">
              <w:rPr>
                <w:rFonts w:ascii="Arial Narrow" w:hAnsi="Arial Narrow"/>
                <w:sz w:val="20"/>
                <w:lang w:eastAsia="en-AU"/>
              </w:rPr>
              <w:t xml:space="preserve">A </w:t>
            </w:r>
            <w:proofErr w:type="spellStart"/>
            <w:r w:rsidRPr="00574D2A">
              <w:rPr>
                <w:rFonts w:ascii="Arial Narrow" w:hAnsi="Arial Narrow"/>
                <w:sz w:val="20"/>
                <w:lang w:eastAsia="en-AU"/>
              </w:rPr>
              <w:t>multicenter</w:t>
            </w:r>
            <w:proofErr w:type="spellEnd"/>
            <w:r w:rsidRPr="00574D2A">
              <w:rPr>
                <w:rFonts w:ascii="Arial Narrow" w:hAnsi="Arial Narrow"/>
                <w:sz w:val="20"/>
                <w:lang w:eastAsia="en-AU"/>
              </w:rPr>
              <w:t xml:space="preserve"> open-label study of the safety, tolerability, and pharmacology of ENB-0040 in up to 10 severely affected patients with infantile </w:t>
            </w:r>
            <w:proofErr w:type="spellStart"/>
            <w:r w:rsidRPr="00574D2A">
              <w:rPr>
                <w:rFonts w:ascii="Arial Narrow" w:hAnsi="Arial Narrow"/>
                <w:sz w:val="20"/>
                <w:lang w:eastAsia="en-AU"/>
              </w:rPr>
              <w:t>hypophosphatasia</w:t>
            </w:r>
            <w:proofErr w:type="spellEnd"/>
            <w:r w:rsidRPr="00574D2A">
              <w:rPr>
                <w:rFonts w:ascii="Arial Narrow" w:hAnsi="Arial Narrow"/>
                <w:sz w:val="20"/>
                <w:lang w:eastAsia="en-AU"/>
              </w:rPr>
              <w:t xml:space="preserve"> (HPP).</w:t>
            </w:r>
          </w:p>
        </w:tc>
        <w:tc>
          <w:tcPr>
            <w:tcW w:w="1465" w:type="pct"/>
            <w:tcBorders>
              <w:top w:val="single" w:sz="4" w:space="0" w:color="auto"/>
              <w:left w:val="single" w:sz="4" w:space="0" w:color="auto"/>
              <w:bottom w:val="nil"/>
              <w:right w:val="single" w:sz="4" w:space="0" w:color="auto"/>
            </w:tcBorders>
          </w:tcPr>
          <w:p w:rsidR="000C1E22" w:rsidRPr="004A10C3" w:rsidRDefault="000C1E22" w:rsidP="005123EA">
            <w:pPr>
              <w:pStyle w:val="BodyText"/>
              <w:widowControl/>
              <w:rPr>
                <w:rFonts w:ascii="Arial Narrow" w:hAnsi="Arial Narrow"/>
                <w:i/>
                <w:sz w:val="20"/>
                <w:lang w:eastAsia="en-AU"/>
              </w:rPr>
            </w:pPr>
            <w:r w:rsidRPr="004A10C3">
              <w:rPr>
                <w:rFonts w:ascii="Arial Narrow" w:hAnsi="Arial Narrow"/>
                <w:sz w:val="20"/>
                <w:lang w:eastAsia="en-AU"/>
              </w:rPr>
              <w:t>6 April 2015</w:t>
            </w:r>
          </w:p>
          <w:p w:rsidR="000C1E22" w:rsidRPr="004A10C3" w:rsidRDefault="000C1E22" w:rsidP="005123EA">
            <w:pPr>
              <w:pStyle w:val="BodyText"/>
              <w:widowControl/>
              <w:rPr>
                <w:rFonts w:ascii="Arial Narrow" w:hAnsi="Arial Narrow"/>
                <w:sz w:val="20"/>
                <w:lang w:eastAsia="en-AU"/>
              </w:rPr>
            </w:pPr>
          </w:p>
        </w:tc>
      </w:tr>
      <w:tr w:rsidR="000C1E22" w:rsidRPr="004E2ADC" w:rsidTr="000C1E22">
        <w:trPr>
          <w:trHeight w:val="251"/>
        </w:trPr>
        <w:tc>
          <w:tcPr>
            <w:tcW w:w="420" w:type="pct"/>
            <w:vMerge/>
            <w:tcBorders>
              <w:left w:val="single" w:sz="4" w:space="0" w:color="auto"/>
              <w:bottom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p>
        </w:tc>
        <w:tc>
          <w:tcPr>
            <w:tcW w:w="3115" w:type="pct"/>
            <w:tcBorders>
              <w:top w:val="nil"/>
              <w:left w:val="single" w:sz="4" w:space="0" w:color="auto"/>
              <w:bottom w:val="single" w:sz="4" w:space="0" w:color="auto"/>
              <w:right w:val="single" w:sz="4" w:space="0" w:color="auto"/>
            </w:tcBorders>
          </w:tcPr>
          <w:p w:rsidR="000C1E22" w:rsidRDefault="000C1E22" w:rsidP="005123EA">
            <w:pPr>
              <w:widowControl/>
              <w:spacing w:before="40"/>
              <w:jc w:val="left"/>
              <w:rPr>
                <w:rFonts w:ascii="Arial Narrow" w:hAnsi="Arial Narrow"/>
                <w:sz w:val="20"/>
                <w:lang w:eastAsia="en-AU"/>
              </w:rPr>
            </w:pPr>
            <w:r w:rsidRPr="00574D2A">
              <w:rPr>
                <w:rFonts w:ascii="Arial Narrow" w:hAnsi="Arial Narrow"/>
                <w:sz w:val="20"/>
              </w:rPr>
              <w:t xml:space="preserve">Whyte MP, Greenberg CR, Salman NH, </w:t>
            </w:r>
            <w:r w:rsidRPr="00574D2A">
              <w:rPr>
                <w:rFonts w:ascii="Arial Narrow" w:hAnsi="Arial Narrow"/>
                <w:i/>
                <w:sz w:val="20"/>
                <w:lang w:eastAsia="en-AU"/>
              </w:rPr>
              <w:t>et al</w:t>
            </w:r>
            <w:r w:rsidRPr="00574D2A">
              <w:rPr>
                <w:rFonts w:ascii="Arial Narrow" w:hAnsi="Arial Narrow"/>
                <w:sz w:val="20"/>
                <w:lang w:eastAsia="en-AU"/>
              </w:rPr>
              <w:t xml:space="preserve">. Enzyme-replacement therapy in life-threatening </w:t>
            </w:r>
            <w:proofErr w:type="spellStart"/>
            <w:r w:rsidRPr="00574D2A">
              <w:rPr>
                <w:rFonts w:ascii="Arial Narrow" w:hAnsi="Arial Narrow"/>
                <w:sz w:val="20"/>
                <w:lang w:eastAsia="en-AU"/>
              </w:rPr>
              <w:t>hypophosphatasia</w:t>
            </w:r>
            <w:proofErr w:type="spellEnd"/>
            <w:r w:rsidRPr="00574D2A">
              <w:rPr>
                <w:rFonts w:ascii="Arial Narrow" w:hAnsi="Arial Narrow"/>
                <w:sz w:val="20"/>
                <w:lang w:eastAsia="en-AU"/>
              </w:rPr>
              <w:t>.</w:t>
            </w:r>
          </w:p>
        </w:tc>
        <w:tc>
          <w:tcPr>
            <w:tcW w:w="1465" w:type="pct"/>
            <w:tcBorders>
              <w:top w:val="nil"/>
              <w:left w:val="single" w:sz="4" w:space="0" w:color="auto"/>
              <w:bottom w:val="single" w:sz="4" w:space="0" w:color="auto"/>
              <w:right w:val="single" w:sz="4" w:space="0" w:color="auto"/>
            </w:tcBorders>
          </w:tcPr>
          <w:p w:rsidR="000C1E22" w:rsidRPr="004A10C3" w:rsidRDefault="000C1E22" w:rsidP="005123EA">
            <w:pPr>
              <w:pStyle w:val="BodyText"/>
              <w:widowControl/>
              <w:spacing w:before="40"/>
              <w:rPr>
                <w:rFonts w:ascii="Arial Narrow" w:hAnsi="Arial Narrow"/>
                <w:sz w:val="20"/>
                <w:lang w:eastAsia="en-AU"/>
              </w:rPr>
            </w:pPr>
            <w:r w:rsidRPr="004A10C3">
              <w:rPr>
                <w:rFonts w:ascii="Arial Narrow" w:hAnsi="Arial Narrow"/>
                <w:i/>
                <w:sz w:val="20"/>
                <w:lang w:eastAsia="en-AU"/>
              </w:rPr>
              <w:t xml:space="preserve">N </w:t>
            </w:r>
            <w:proofErr w:type="spellStart"/>
            <w:r w:rsidRPr="004A10C3">
              <w:rPr>
                <w:rFonts w:ascii="Arial Narrow" w:hAnsi="Arial Narrow"/>
                <w:i/>
                <w:sz w:val="20"/>
                <w:lang w:eastAsia="en-AU"/>
              </w:rPr>
              <w:t>Engl</w:t>
            </w:r>
            <w:proofErr w:type="spellEnd"/>
            <w:r w:rsidRPr="004A10C3">
              <w:rPr>
                <w:rFonts w:ascii="Arial Narrow" w:hAnsi="Arial Narrow"/>
                <w:i/>
                <w:sz w:val="20"/>
                <w:lang w:eastAsia="en-AU"/>
              </w:rPr>
              <w:t xml:space="preserve"> J Med</w:t>
            </w:r>
            <w:r w:rsidRPr="004A10C3">
              <w:rPr>
                <w:rFonts w:ascii="Arial Narrow" w:hAnsi="Arial Narrow"/>
                <w:sz w:val="20"/>
                <w:lang w:eastAsia="en-AU"/>
              </w:rPr>
              <w:t xml:space="preserve"> 2012;366:904-13</w:t>
            </w:r>
          </w:p>
        </w:tc>
      </w:tr>
      <w:tr w:rsidR="000C1E22" w:rsidRPr="004E2ADC" w:rsidTr="000C1E22">
        <w:trPr>
          <w:trHeight w:val="512"/>
        </w:trPr>
        <w:tc>
          <w:tcPr>
            <w:tcW w:w="420" w:type="pct"/>
            <w:vMerge w:val="restart"/>
            <w:tcBorders>
              <w:top w:val="single" w:sz="4" w:space="0" w:color="auto"/>
              <w:left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r>
              <w:rPr>
                <w:rFonts w:ascii="Arial Narrow" w:hAnsi="Arial Narrow"/>
                <w:sz w:val="20"/>
                <w:lang w:eastAsia="en-AU"/>
              </w:rPr>
              <w:t>ENB-003-08</w:t>
            </w:r>
          </w:p>
        </w:tc>
        <w:tc>
          <w:tcPr>
            <w:tcW w:w="3115" w:type="pct"/>
            <w:tcBorders>
              <w:top w:val="single" w:sz="4" w:space="0" w:color="auto"/>
              <w:left w:val="single" w:sz="4" w:space="0" w:color="auto"/>
              <w:bottom w:val="nil"/>
              <w:right w:val="single" w:sz="4" w:space="0" w:color="auto"/>
            </w:tcBorders>
          </w:tcPr>
          <w:p w:rsidR="000C1E22" w:rsidRDefault="000C1E22" w:rsidP="005123EA">
            <w:pPr>
              <w:widowControl/>
              <w:jc w:val="left"/>
              <w:rPr>
                <w:rFonts w:ascii="Arial Narrow" w:hAnsi="Arial Narrow"/>
                <w:sz w:val="20"/>
                <w:lang w:eastAsia="en-AU"/>
              </w:rPr>
            </w:pPr>
            <w:r>
              <w:rPr>
                <w:rFonts w:ascii="Arial Narrow" w:hAnsi="Arial Narrow"/>
                <w:sz w:val="20"/>
                <w:lang w:eastAsia="en-AU"/>
              </w:rPr>
              <w:t xml:space="preserve">ENB-003-08: </w:t>
            </w:r>
            <w:r w:rsidRPr="00574D2A">
              <w:rPr>
                <w:rFonts w:ascii="Arial Narrow" w:hAnsi="Arial Narrow"/>
                <w:sz w:val="20"/>
                <w:lang w:eastAsia="en-AU"/>
              </w:rPr>
              <w:t xml:space="preserve">Extension study of ENB-0040 in severely affected infants and young children with </w:t>
            </w:r>
            <w:proofErr w:type="spellStart"/>
            <w:r w:rsidRPr="00574D2A">
              <w:rPr>
                <w:rFonts w:ascii="Arial Narrow" w:hAnsi="Arial Narrow"/>
                <w:sz w:val="20"/>
                <w:lang w:eastAsia="en-AU"/>
              </w:rPr>
              <w:t>Hypophosphatasia</w:t>
            </w:r>
            <w:proofErr w:type="spellEnd"/>
            <w:r w:rsidRPr="00574D2A">
              <w:rPr>
                <w:rFonts w:ascii="Arial Narrow" w:hAnsi="Arial Narrow"/>
                <w:sz w:val="20"/>
                <w:lang w:eastAsia="en-AU"/>
              </w:rPr>
              <w:t xml:space="preserve"> (HPP).</w:t>
            </w:r>
          </w:p>
        </w:tc>
        <w:tc>
          <w:tcPr>
            <w:tcW w:w="1465" w:type="pct"/>
            <w:tcBorders>
              <w:top w:val="single" w:sz="4" w:space="0" w:color="auto"/>
              <w:left w:val="single" w:sz="4" w:space="0" w:color="auto"/>
              <w:bottom w:val="nil"/>
              <w:right w:val="single" w:sz="4" w:space="0" w:color="auto"/>
            </w:tcBorders>
          </w:tcPr>
          <w:p w:rsidR="000C1E22" w:rsidRPr="004A10C3" w:rsidRDefault="000C1E22" w:rsidP="005123EA">
            <w:pPr>
              <w:pStyle w:val="BodyText"/>
              <w:widowControl/>
              <w:rPr>
                <w:rFonts w:ascii="Arial Narrow" w:hAnsi="Arial Narrow"/>
                <w:sz w:val="20"/>
                <w:lang w:eastAsia="en-AU"/>
              </w:rPr>
            </w:pPr>
            <w:r w:rsidRPr="004A10C3">
              <w:rPr>
                <w:rFonts w:ascii="Arial Narrow" w:hAnsi="Arial Narrow"/>
                <w:sz w:val="20"/>
                <w:lang w:eastAsia="en-AU"/>
              </w:rPr>
              <w:t>6 April 2015</w:t>
            </w:r>
          </w:p>
        </w:tc>
      </w:tr>
      <w:tr w:rsidR="000C1E22" w:rsidRPr="004E2ADC" w:rsidTr="000C1E22">
        <w:trPr>
          <w:trHeight w:val="274"/>
        </w:trPr>
        <w:tc>
          <w:tcPr>
            <w:tcW w:w="420" w:type="pct"/>
            <w:vMerge/>
            <w:tcBorders>
              <w:left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p>
        </w:tc>
        <w:tc>
          <w:tcPr>
            <w:tcW w:w="3115" w:type="pct"/>
            <w:tcBorders>
              <w:top w:val="nil"/>
              <w:left w:val="single" w:sz="4" w:space="0" w:color="auto"/>
              <w:bottom w:val="nil"/>
              <w:right w:val="single" w:sz="4" w:space="0" w:color="auto"/>
            </w:tcBorders>
          </w:tcPr>
          <w:p w:rsidR="000C1E22" w:rsidRDefault="000C1E22" w:rsidP="005123EA">
            <w:pPr>
              <w:widowControl/>
              <w:spacing w:before="40"/>
              <w:jc w:val="left"/>
              <w:rPr>
                <w:rFonts w:ascii="Arial Narrow" w:hAnsi="Arial Narrow"/>
                <w:sz w:val="20"/>
                <w:lang w:eastAsia="en-AU"/>
              </w:rPr>
            </w:pPr>
            <w:r w:rsidRPr="00574D2A">
              <w:rPr>
                <w:rFonts w:ascii="Arial Narrow" w:hAnsi="Arial Narrow"/>
                <w:sz w:val="20"/>
                <w:lang w:eastAsia="en-AU"/>
              </w:rPr>
              <w:t xml:space="preserve">Simmons J, Bishop N, Fujita K, et al. </w:t>
            </w:r>
            <w:proofErr w:type="spellStart"/>
            <w:r w:rsidRPr="00574D2A">
              <w:rPr>
                <w:rFonts w:ascii="Arial Narrow" w:hAnsi="Arial Narrow"/>
                <w:sz w:val="20"/>
                <w:lang w:eastAsia="en-AU"/>
              </w:rPr>
              <w:t>Hypophosphatasia</w:t>
            </w:r>
            <w:proofErr w:type="spellEnd"/>
            <w:r w:rsidRPr="00574D2A">
              <w:rPr>
                <w:rFonts w:ascii="Arial Narrow" w:hAnsi="Arial Narrow"/>
                <w:sz w:val="20"/>
                <w:lang w:eastAsia="en-AU"/>
              </w:rPr>
              <w:t xml:space="preserve">: Functional, skeletal and growth improvements in infants and young children treated with </w:t>
            </w:r>
            <w:proofErr w:type="spellStart"/>
            <w:r w:rsidRPr="00574D2A">
              <w:rPr>
                <w:rFonts w:ascii="Arial Narrow" w:hAnsi="Arial Narrow"/>
                <w:sz w:val="20"/>
                <w:lang w:eastAsia="en-AU"/>
              </w:rPr>
              <w:t>asfotase</w:t>
            </w:r>
            <w:proofErr w:type="spellEnd"/>
            <w:r w:rsidRPr="00574D2A">
              <w:rPr>
                <w:rFonts w:ascii="Arial Narrow" w:hAnsi="Arial Narrow"/>
                <w:sz w:val="20"/>
                <w:lang w:eastAsia="en-AU"/>
              </w:rPr>
              <w:t xml:space="preserve"> alfa for 5 years. </w:t>
            </w:r>
          </w:p>
        </w:tc>
        <w:tc>
          <w:tcPr>
            <w:tcW w:w="1465" w:type="pct"/>
            <w:tcBorders>
              <w:top w:val="nil"/>
              <w:left w:val="single" w:sz="4" w:space="0" w:color="auto"/>
              <w:bottom w:val="nil"/>
              <w:right w:val="single" w:sz="4" w:space="0" w:color="auto"/>
            </w:tcBorders>
          </w:tcPr>
          <w:p w:rsidR="000C1E22" w:rsidRPr="004A10C3" w:rsidRDefault="000C1E22" w:rsidP="005123EA">
            <w:pPr>
              <w:pStyle w:val="BodyText"/>
              <w:widowControl/>
              <w:spacing w:before="40"/>
              <w:rPr>
                <w:rFonts w:ascii="Arial Narrow" w:hAnsi="Arial Narrow"/>
                <w:sz w:val="20"/>
                <w:lang w:eastAsia="en-AU"/>
              </w:rPr>
            </w:pPr>
            <w:r w:rsidRPr="004A10C3">
              <w:rPr>
                <w:rFonts w:ascii="Arial Narrow" w:hAnsi="Arial Narrow"/>
                <w:i/>
                <w:sz w:val="20"/>
                <w:lang w:eastAsia="en-AU"/>
              </w:rPr>
              <w:t>ACMG Annual Clinical Genetics Meeting</w:t>
            </w:r>
            <w:r w:rsidRPr="004A10C3">
              <w:rPr>
                <w:rFonts w:ascii="Arial Narrow" w:hAnsi="Arial Narrow"/>
                <w:sz w:val="20"/>
                <w:lang w:eastAsia="en-AU"/>
              </w:rPr>
              <w:t>; Ma</w:t>
            </w:r>
            <w:r w:rsidR="00465F17" w:rsidRPr="00465F17">
              <w:rPr>
                <w:rFonts w:ascii="Arial Narrow" w:hAnsi="Arial Narrow"/>
                <w:i/>
                <w:sz w:val="20"/>
                <w:lang w:eastAsia="en-AU"/>
              </w:rPr>
              <w:t>rch</w:t>
            </w:r>
            <w:r w:rsidRPr="004A10C3">
              <w:rPr>
                <w:rFonts w:ascii="Arial Narrow" w:hAnsi="Arial Narrow"/>
                <w:sz w:val="20"/>
                <w:lang w:eastAsia="en-AU"/>
              </w:rPr>
              <w:t xml:space="preserve"> 8-12, 2016; Tampa, FL, USA. Abstract poster# 656</w:t>
            </w:r>
          </w:p>
        </w:tc>
      </w:tr>
      <w:tr w:rsidR="000C1E22" w:rsidRPr="004E2ADC" w:rsidTr="000C1E22">
        <w:trPr>
          <w:trHeight w:val="344"/>
        </w:trPr>
        <w:tc>
          <w:tcPr>
            <w:tcW w:w="420" w:type="pct"/>
            <w:vMerge/>
            <w:tcBorders>
              <w:left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p>
        </w:tc>
        <w:tc>
          <w:tcPr>
            <w:tcW w:w="3115" w:type="pct"/>
            <w:tcBorders>
              <w:top w:val="nil"/>
              <w:left w:val="single" w:sz="4" w:space="0" w:color="auto"/>
              <w:bottom w:val="nil"/>
              <w:right w:val="single" w:sz="4" w:space="0" w:color="auto"/>
            </w:tcBorders>
          </w:tcPr>
          <w:p w:rsidR="000C1E22" w:rsidRPr="00574D2A" w:rsidRDefault="000C1E22" w:rsidP="005123EA">
            <w:pPr>
              <w:widowControl/>
              <w:spacing w:before="40"/>
              <w:jc w:val="left"/>
              <w:rPr>
                <w:rFonts w:ascii="Arial Narrow" w:hAnsi="Arial Narrow"/>
                <w:sz w:val="20"/>
                <w:lang w:eastAsia="en-AU"/>
              </w:rPr>
            </w:pPr>
            <w:r w:rsidRPr="00574D2A">
              <w:rPr>
                <w:rFonts w:ascii="Arial Narrow" w:hAnsi="Arial Narrow"/>
                <w:sz w:val="20"/>
                <w:lang w:eastAsia="en-AU"/>
              </w:rPr>
              <w:t xml:space="preserve">Whyte, MP, Simmons JH, Lutz RE, et al. </w:t>
            </w:r>
          </w:p>
          <w:p w:rsidR="000C1E22" w:rsidRPr="00574D2A" w:rsidRDefault="000C1E22" w:rsidP="005123EA">
            <w:pPr>
              <w:widowControl/>
              <w:spacing w:before="40"/>
              <w:jc w:val="left"/>
              <w:rPr>
                <w:rFonts w:ascii="Arial Narrow" w:hAnsi="Arial Narrow"/>
                <w:sz w:val="20"/>
                <w:lang w:eastAsia="en-AU"/>
              </w:rPr>
            </w:pPr>
            <w:r w:rsidRPr="00574D2A">
              <w:rPr>
                <w:rFonts w:ascii="Arial Narrow" w:hAnsi="Arial Narrow"/>
                <w:sz w:val="20"/>
                <w:lang w:eastAsia="en-AU"/>
              </w:rPr>
              <w:t xml:space="preserve">Enzyme-replacement therapy in life-threatening </w:t>
            </w:r>
            <w:proofErr w:type="spellStart"/>
            <w:r w:rsidRPr="00574D2A">
              <w:rPr>
                <w:rFonts w:ascii="Arial Narrow" w:hAnsi="Arial Narrow"/>
                <w:sz w:val="20"/>
                <w:lang w:eastAsia="en-AU"/>
              </w:rPr>
              <w:t>hypophosphatasia</w:t>
            </w:r>
            <w:proofErr w:type="spellEnd"/>
            <w:r w:rsidRPr="00574D2A">
              <w:rPr>
                <w:rFonts w:ascii="Arial Narrow" w:hAnsi="Arial Narrow"/>
                <w:sz w:val="20"/>
                <w:lang w:eastAsia="en-AU"/>
              </w:rPr>
              <w:t xml:space="preserve">: The 3-year experience with </w:t>
            </w:r>
            <w:proofErr w:type="spellStart"/>
            <w:r w:rsidRPr="00574D2A">
              <w:rPr>
                <w:rFonts w:ascii="Arial Narrow" w:hAnsi="Arial Narrow"/>
                <w:sz w:val="20"/>
                <w:lang w:eastAsia="en-AU"/>
              </w:rPr>
              <w:t>asfotase</w:t>
            </w:r>
            <w:proofErr w:type="spellEnd"/>
            <w:r w:rsidRPr="00574D2A">
              <w:rPr>
                <w:rFonts w:ascii="Arial Narrow" w:hAnsi="Arial Narrow"/>
                <w:sz w:val="20"/>
                <w:lang w:eastAsia="en-AU"/>
              </w:rPr>
              <w:t xml:space="preserve"> alfa. </w:t>
            </w:r>
          </w:p>
        </w:tc>
        <w:tc>
          <w:tcPr>
            <w:tcW w:w="1465" w:type="pct"/>
            <w:tcBorders>
              <w:top w:val="nil"/>
              <w:left w:val="single" w:sz="4" w:space="0" w:color="auto"/>
              <w:bottom w:val="nil"/>
              <w:right w:val="single" w:sz="4" w:space="0" w:color="auto"/>
            </w:tcBorders>
          </w:tcPr>
          <w:p w:rsidR="000C1E22" w:rsidRPr="004A10C3" w:rsidRDefault="000C1E22" w:rsidP="005123EA">
            <w:pPr>
              <w:pStyle w:val="BodyText"/>
              <w:widowControl/>
              <w:spacing w:before="40"/>
              <w:rPr>
                <w:rFonts w:ascii="Arial Narrow" w:hAnsi="Arial Narrow"/>
                <w:i/>
                <w:sz w:val="20"/>
                <w:lang w:eastAsia="en-AU"/>
              </w:rPr>
            </w:pPr>
            <w:r w:rsidRPr="004A10C3">
              <w:rPr>
                <w:rFonts w:ascii="Arial Narrow" w:hAnsi="Arial Narrow"/>
                <w:i/>
                <w:sz w:val="20"/>
                <w:lang w:eastAsia="en-AU"/>
              </w:rPr>
              <w:t>Journal of Bone Mineral Resea</w:t>
            </w:r>
            <w:r w:rsidR="00465F17" w:rsidRPr="00465F17">
              <w:rPr>
                <w:rFonts w:ascii="Arial Narrow" w:hAnsi="Arial Narrow"/>
                <w:i/>
                <w:sz w:val="20"/>
                <w:lang w:eastAsia="en-AU"/>
              </w:rPr>
              <w:t>rch</w:t>
            </w:r>
            <w:r w:rsidRPr="004A10C3">
              <w:rPr>
                <w:rFonts w:ascii="Arial Narrow" w:hAnsi="Arial Narrow"/>
                <w:sz w:val="20"/>
                <w:lang w:eastAsia="en-AU"/>
              </w:rPr>
              <w:t xml:space="preserve"> 2014</w:t>
            </w:r>
            <w:proofErr w:type="gramStart"/>
            <w:r w:rsidRPr="004A10C3">
              <w:rPr>
                <w:rFonts w:ascii="Arial Narrow" w:hAnsi="Arial Narrow"/>
                <w:sz w:val="20"/>
                <w:lang w:eastAsia="en-AU"/>
              </w:rPr>
              <w:t>;29</w:t>
            </w:r>
            <w:proofErr w:type="gramEnd"/>
            <w:r w:rsidRPr="004A10C3">
              <w:rPr>
                <w:rFonts w:ascii="Arial Narrow" w:hAnsi="Arial Narrow"/>
                <w:sz w:val="20"/>
                <w:lang w:eastAsia="en-AU"/>
              </w:rPr>
              <w:t>(</w:t>
            </w:r>
            <w:proofErr w:type="spellStart"/>
            <w:r w:rsidRPr="004A10C3">
              <w:rPr>
                <w:rFonts w:ascii="Arial Narrow" w:hAnsi="Arial Narrow"/>
                <w:sz w:val="20"/>
                <w:lang w:eastAsia="en-AU"/>
              </w:rPr>
              <w:t>Suppl</w:t>
            </w:r>
            <w:proofErr w:type="spellEnd"/>
            <w:r w:rsidRPr="004A10C3">
              <w:rPr>
                <w:rFonts w:ascii="Arial Narrow" w:hAnsi="Arial Narrow"/>
                <w:sz w:val="20"/>
                <w:lang w:eastAsia="en-AU"/>
              </w:rPr>
              <w:t xml:space="preserve"> 1). [Conference abstract]</w:t>
            </w:r>
          </w:p>
        </w:tc>
      </w:tr>
      <w:tr w:rsidR="000C1E22" w:rsidRPr="004E2ADC" w:rsidTr="000C1E22">
        <w:trPr>
          <w:trHeight w:val="211"/>
        </w:trPr>
        <w:tc>
          <w:tcPr>
            <w:tcW w:w="420" w:type="pct"/>
            <w:vMerge/>
            <w:tcBorders>
              <w:left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p>
        </w:tc>
        <w:tc>
          <w:tcPr>
            <w:tcW w:w="3115" w:type="pct"/>
            <w:tcBorders>
              <w:top w:val="nil"/>
              <w:left w:val="single" w:sz="4" w:space="0" w:color="auto"/>
              <w:bottom w:val="nil"/>
              <w:right w:val="single" w:sz="4" w:space="0" w:color="auto"/>
            </w:tcBorders>
          </w:tcPr>
          <w:p w:rsidR="000C1E22" w:rsidRPr="00574D2A" w:rsidRDefault="000C1E22" w:rsidP="005123EA">
            <w:pPr>
              <w:widowControl/>
              <w:spacing w:before="40"/>
              <w:jc w:val="left"/>
              <w:rPr>
                <w:rFonts w:ascii="Arial Narrow" w:hAnsi="Arial Narrow"/>
                <w:sz w:val="20"/>
                <w:lang w:eastAsia="en-AU"/>
              </w:rPr>
            </w:pPr>
            <w:r w:rsidRPr="00574D2A">
              <w:rPr>
                <w:rFonts w:ascii="Arial Narrow" w:hAnsi="Arial Narrow"/>
                <w:sz w:val="20"/>
                <w:lang w:eastAsia="en-AU"/>
              </w:rPr>
              <w:t xml:space="preserve">Whyte MP, Greenberg CR, Salman NH, </w:t>
            </w:r>
            <w:proofErr w:type="spellStart"/>
            <w:r w:rsidRPr="00574D2A">
              <w:rPr>
                <w:rFonts w:ascii="Arial Narrow" w:hAnsi="Arial Narrow"/>
                <w:sz w:val="20"/>
                <w:lang w:eastAsia="en-AU"/>
              </w:rPr>
              <w:t>Bober</w:t>
            </w:r>
            <w:proofErr w:type="spellEnd"/>
            <w:r w:rsidRPr="00574D2A">
              <w:rPr>
                <w:rFonts w:ascii="Arial Narrow" w:hAnsi="Arial Narrow"/>
                <w:sz w:val="20"/>
                <w:lang w:eastAsia="en-AU"/>
              </w:rPr>
              <w:t xml:space="preserve"> MB, et al. Enzyme-replacement therapy in life-threatening </w:t>
            </w:r>
            <w:proofErr w:type="spellStart"/>
            <w:r w:rsidRPr="00574D2A">
              <w:rPr>
                <w:rFonts w:ascii="Arial Narrow" w:hAnsi="Arial Narrow"/>
                <w:sz w:val="20"/>
                <w:lang w:eastAsia="en-AU"/>
              </w:rPr>
              <w:t>hypophosphatasia</w:t>
            </w:r>
            <w:proofErr w:type="spellEnd"/>
            <w:r w:rsidRPr="00574D2A">
              <w:rPr>
                <w:rFonts w:ascii="Arial Narrow" w:hAnsi="Arial Narrow"/>
                <w:sz w:val="20"/>
                <w:lang w:eastAsia="en-AU"/>
              </w:rPr>
              <w:t>.</w:t>
            </w:r>
          </w:p>
        </w:tc>
        <w:tc>
          <w:tcPr>
            <w:tcW w:w="1465" w:type="pct"/>
            <w:tcBorders>
              <w:top w:val="nil"/>
              <w:left w:val="single" w:sz="4" w:space="0" w:color="auto"/>
              <w:bottom w:val="nil"/>
              <w:right w:val="single" w:sz="4" w:space="0" w:color="auto"/>
            </w:tcBorders>
          </w:tcPr>
          <w:p w:rsidR="000C1E22" w:rsidRPr="004A10C3" w:rsidRDefault="000C1E22" w:rsidP="005123EA">
            <w:pPr>
              <w:pStyle w:val="BodyText"/>
              <w:widowControl/>
              <w:spacing w:before="40"/>
              <w:rPr>
                <w:rFonts w:ascii="Arial Narrow" w:hAnsi="Arial Narrow"/>
                <w:i/>
                <w:sz w:val="20"/>
                <w:lang w:eastAsia="en-AU"/>
              </w:rPr>
            </w:pPr>
            <w:r w:rsidRPr="004A10C3">
              <w:rPr>
                <w:rFonts w:ascii="Arial Narrow" w:hAnsi="Arial Narrow"/>
                <w:i/>
                <w:sz w:val="20"/>
                <w:lang w:eastAsia="en-AU"/>
              </w:rPr>
              <w:t xml:space="preserve">N </w:t>
            </w:r>
            <w:proofErr w:type="spellStart"/>
            <w:r w:rsidRPr="004A10C3">
              <w:rPr>
                <w:rFonts w:ascii="Arial Narrow" w:hAnsi="Arial Narrow"/>
                <w:i/>
                <w:sz w:val="20"/>
                <w:lang w:eastAsia="en-AU"/>
              </w:rPr>
              <w:t>Engl</w:t>
            </w:r>
            <w:proofErr w:type="spellEnd"/>
            <w:r w:rsidRPr="004A10C3">
              <w:rPr>
                <w:rFonts w:ascii="Arial Narrow" w:hAnsi="Arial Narrow"/>
                <w:i/>
                <w:sz w:val="20"/>
                <w:lang w:eastAsia="en-AU"/>
              </w:rPr>
              <w:t xml:space="preserve"> J Med</w:t>
            </w:r>
            <w:r w:rsidRPr="004A10C3">
              <w:rPr>
                <w:rFonts w:ascii="Arial Narrow" w:hAnsi="Arial Narrow"/>
                <w:sz w:val="20"/>
                <w:lang w:eastAsia="en-AU"/>
              </w:rPr>
              <w:t xml:space="preserve"> 2012;366:904-13</w:t>
            </w:r>
          </w:p>
        </w:tc>
      </w:tr>
      <w:tr w:rsidR="000C1E22" w:rsidRPr="004E2ADC" w:rsidTr="000C1E22">
        <w:trPr>
          <w:trHeight w:val="161"/>
        </w:trPr>
        <w:tc>
          <w:tcPr>
            <w:tcW w:w="420" w:type="pct"/>
            <w:vMerge/>
            <w:tcBorders>
              <w:left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p>
        </w:tc>
        <w:tc>
          <w:tcPr>
            <w:tcW w:w="3115" w:type="pct"/>
            <w:tcBorders>
              <w:top w:val="nil"/>
              <w:left w:val="single" w:sz="4" w:space="0" w:color="auto"/>
              <w:bottom w:val="nil"/>
              <w:right w:val="single" w:sz="4" w:space="0" w:color="auto"/>
            </w:tcBorders>
          </w:tcPr>
          <w:p w:rsidR="000C1E22" w:rsidRPr="00574D2A" w:rsidRDefault="000C1E22" w:rsidP="005123EA">
            <w:pPr>
              <w:widowControl/>
              <w:spacing w:before="40"/>
              <w:jc w:val="left"/>
              <w:rPr>
                <w:rFonts w:ascii="Arial Narrow" w:hAnsi="Arial Narrow"/>
                <w:sz w:val="20"/>
                <w:lang w:eastAsia="en-AU"/>
              </w:rPr>
            </w:pPr>
            <w:r w:rsidRPr="00574D2A">
              <w:rPr>
                <w:rFonts w:ascii="Arial Narrow" w:hAnsi="Arial Narrow"/>
                <w:sz w:val="20"/>
                <w:lang w:eastAsia="en-AU"/>
              </w:rPr>
              <w:t xml:space="preserve">Bishop N, Simmons J, </w:t>
            </w:r>
            <w:proofErr w:type="gramStart"/>
            <w:r w:rsidRPr="00574D2A">
              <w:rPr>
                <w:rFonts w:ascii="Arial Narrow" w:hAnsi="Arial Narrow"/>
                <w:sz w:val="20"/>
                <w:lang w:eastAsia="en-AU"/>
              </w:rPr>
              <w:t>Lutz</w:t>
            </w:r>
            <w:proofErr w:type="gramEnd"/>
            <w:r w:rsidRPr="00574D2A">
              <w:rPr>
                <w:rFonts w:ascii="Arial Narrow" w:hAnsi="Arial Narrow"/>
                <w:sz w:val="20"/>
                <w:lang w:eastAsia="en-AU"/>
              </w:rPr>
              <w:t xml:space="preserve"> R, </w:t>
            </w:r>
            <w:r w:rsidRPr="002E655F">
              <w:rPr>
                <w:rFonts w:ascii="Arial Narrow" w:hAnsi="Arial Narrow"/>
                <w:i/>
                <w:sz w:val="20"/>
                <w:lang w:eastAsia="en-AU"/>
              </w:rPr>
              <w:t>et al</w:t>
            </w:r>
            <w:r w:rsidRPr="00574D2A">
              <w:rPr>
                <w:rFonts w:ascii="Arial Narrow" w:hAnsi="Arial Narrow"/>
                <w:sz w:val="20"/>
                <w:lang w:eastAsia="en-AU"/>
              </w:rPr>
              <w:t xml:space="preserve">. </w:t>
            </w:r>
            <w:proofErr w:type="spellStart"/>
            <w:r w:rsidRPr="00574D2A">
              <w:rPr>
                <w:rFonts w:ascii="Arial Narrow" w:hAnsi="Arial Narrow"/>
                <w:sz w:val="20"/>
                <w:lang w:eastAsia="en-AU"/>
              </w:rPr>
              <w:t>Hypophosphatasia</w:t>
            </w:r>
            <w:proofErr w:type="spellEnd"/>
            <w:r w:rsidRPr="00574D2A">
              <w:rPr>
                <w:rFonts w:ascii="Arial Narrow" w:hAnsi="Arial Narrow"/>
                <w:sz w:val="20"/>
                <w:lang w:eastAsia="en-AU"/>
              </w:rPr>
              <w:t xml:space="preserve">: Gross motor function and height improvement in infants and young children treated with </w:t>
            </w:r>
            <w:proofErr w:type="spellStart"/>
            <w:r w:rsidRPr="00574D2A">
              <w:rPr>
                <w:rFonts w:ascii="Arial Narrow" w:hAnsi="Arial Narrow"/>
                <w:sz w:val="20"/>
                <w:lang w:eastAsia="en-AU"/>
              </w:rPr>
              <w:t>asfotase</w:t>
            </w:r>
            <w:proofErr w:type="spellEnd"/>
            <w:r w:rsidRPr="00574D2A">
              <w:rPr>
                <w:rFonts w:ascii="Arial Narrow" w:hAnsi="Arial Narrow"/>
                <w:sz w:val="20"/>
                <w:lang w:eastAsia="en-AU"/>
              </w:rPr>
              <w:t xml:space="preserve"> alfa for up to 3 years. </w:t>
            </w:r>
          </w:p>
        </w:tc>
        <w:tc>
          <w:tcPr>
            <w:tcW w:w="1465" w:type="pct"/>
            <w:tcBorders>
              <w:top w:val="nil"/>
              <w:left w:val="single" w:sz="4" w:space="0" w:color="auto"/>
              <w:bottom w:val="nil"/>
              <w:right w:val="single" w:sz="4" w:space="0" w:color="auto"/>
            </w:tcBorders>
          </w:tcPr>
          <w:p w:rsidR="000C1E22" w:rsidRPr="004A10C3" w:rsidRDefault="000C1E22" w:rsidP="005123EA">
            <w:pPr>
              <w:pStyle w:val="BodyText"/>
              <w:widowControl/>
              <w:spacing w:before="40"/>
              <w:rPr>
                <w:rFonts w:ascii="Arial Narrow" w:hAnsi="Arial Narrow"/>
                <w:i/>
                <w:sz w:val="20"/>
                <w:lang w:eastAsia="en-AU"/>
              </w:rPr>
            </w:pPr>
            <w:proofErr w:type="spellStart"/>
            <w:r w:rsidRPr="004A10C3">
              <w:rPr>
                <w:rFonts w:ascii="Arial Narrow" w:hAnsi="Arial Narrow"/>
                <w:i/>
                <w:sz w:val="20"/>
                <w:lang w:eastAsia="en-AU"/>
              </w:rPr>
              <w:t>Horm</w:t>
            </w:r>
            <w:proofErr w:type="spellEnd"/>
            <w:r w:rsidRPr="004A10C3">
              <w:rPr>
                <w:rFonts w:ascii="Arial Narrow" w:hAnsi="Arial Narrow"/>
                <w:i/>
                <w:sz w:val="20"/>
                <w:lang w:eastAsia="en-AU"/>
              </w:rPr>
              <w:t xml:space="preserve"> Res </w:t>
            </w:r>
            <w:proofErr w:type="spellStart"/>
            <w:r w:rsidRPr="004A10C3">
              <w:rPr>
                <w:rFonts w:ascii="Arial Narrow" w:hAnsi="Arial Narrow"/>
                <w:i/>
                <w:sz w:val="20"/>
                <w:lang w:eastAsia="en-AU"/>
              </w:rPr>
              <w:t>Paediatr</w:t>
            </w:r>
            <w:proofErr w:type="spellEnd"/>
            <w:r w:rsidRPr="004A10C3">
              <w:rPr>
                <w:rFonts w:ascii="Arial Narrow" w:hAnsi="Arial Narrow"/>
                <w:sz w:val="20"/>
                <w:lang w:eastAsia="en-AU"/>
              </w:rPr>
              <w:t xml:space="preserve"> 2014;82(</w:t>
            </w:r>
            <w:proofErr w:type="spellStart"/>
            <w:r w:rsidRPr="004A10C3">
              <w:rPr>
                <w:rFonts w:ascii="Arial Narrow" w:hAnsi="Arial Narrow"/>
                <w:sz w:val="20"/>
                <w:lang w:eastAsia="en-AU"/>
              </w:rPr>
              <w:t>suppl</w:t>
            </w:r>
            <w:proofErr w:type="spellEnd"/>
            <w:r w:rsidRPr="004A10C3">
              <w:rPr>
                <w:rFonts w:ascii="Arial Narrow" w:hAnsi="Arial Narrow"/>
                <w:sz w:val="20"/>
                <w:lang w:eastAsia="en-AU"/>
              </w:rPr>
              <w:t xml:space="preserve"> 1):29</w:t>
            </w:r>
          </w:p>
        </w:tc>
      </w:tr>
      <w:tr w:rsidR="000C1E22" w:rsidRPr="004E2ADC" w:rsidTr="000C1E22">
        <w:trPr>
          <w:trHeight w:val="64"/>
        </w:trPr>
        <w:tc>
          <w:tcPr>
            <w:tcW w:w="420" w:type="pct"/>
            <w:vMerge/>
            <w:tcBorders>
              <w:left w:val="single" w:sz="4" w:space="0" w:color="auto"/>
              <w:bottom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p>
        </w:tc>
        <w:tc>
          <w:tcPr>
            <w:tcW w:w="3115" w:type="pct"/>
            <w:tcBorders>
              <w:top w:val="nil"/>
              <w:left w:val="single" w:sz="4" w:space="0" w:color="auto"/>
              <w:bottom w:val="single" w:sz="4" w:space="0" w:color="auto"/>
              <w:right w:val="single" w:sz="4" w:space="0" w:color="auto"/>
            </w:tcBorders>
          </w:tcPr>
          <w:p w:rsidR="000C1E22" w:rsidRPr="00574D2A" w:rsidRDefault="000C1E22" w:rsidP="005123EA">
            <w:pPr>
              <w:widowControl/>
              <w:spacing w:before="40"/>
              <w:jc w:val="left"/>
              <w:rPr>
                <w:rFonts w:ascii="Arial Narrow" w:hAnsi="Arial Narrow"/>
                <w:sz w:val="20"/>
                <w:lang w:eastAsia="en-AU"/>
              </w:rPr>
            </w:pPr>
            <w:r w:rsidRPr="00574D2A">
              <w:rPr>
                <w:rFonts w:ascii="Arial Narrow" w:hAnsi="Arial Narrow"/>
                <w:sz w:val="20"/>
                <w:lang w:eastAsia="en-AU"/>
              </w:rPr>
              <w:t xml:space="preserve">Whyte MP, </w:t>
            </w:r>
            <w:proofErr w:type="spellStart"/>
            <w:r w:rsidRPr="00574D2A">
              <w:rPr>
                <w:rFonts w:ascii="Arial Narrow" w:hAnsi="Arial Narrow"/>
                <w:sz w:val="20"/>
                <w:lang w:eastAsia="en-AU"/>
              </w:rPr>
              <w:t>Rockman</w:t>
            </w:r>
            <w:proofErr w:type="spellEnd"/>
            <w:r w:rsidRPr="00574D2A">
              <w:rPr>
                <w:rFonts w:ascii="Arial Narrow" w:hAnsi="Arial Narrow"/>
                <w:sz w:val="20"/>
                <w:lang w:eastAsia="en-AU"/>
              </w:rPr>
              <w:t xml:space="preserve">-Greenberg C, </w:t>
            </w:r>
            <w:proofErr w:type="spellStart"/>
            <w:r w:rsidRPr="00574D2A">
              <w:rPr>
                <w:rFonts w:ascii="Arial Narrow" w:hAnsi="Arial Narrow"/>
                <w:sz w:val="20"/>
                <w:lang w:eastAsia="en-AU"/>
              </w:rPr>
              <w:t>Ozono</w:t>
            </w:r>
            <w:proofErr w:type="spellEnd"/>
            <w:r w:rsidRPr="00574D2A">
              <w:rPr>
                <w:rFonts w:ascii="Arial Narrow" w:hAnsi="Arial Narrow"/>
                <w:sz w:val="20"/>
                <w:lang w:eastAsia="en-AU"/>
              </w:rPr>
              <w:t xml:space="preserve"> K, </w:t>
            </w:r>
            <w:proofErr w:type="gramStart"/>
            <w:r w:rsidRPr="002E655F">
              <w:rPr>
                <w:rFonts w:ascii="Arial Narrow" w:hAnsi="Arial Narrow"/>
                <w:i/>
                <w:sz w:val="20"/>
                <w:lang w:eastAsia="en-AU"/>
              </w:rPr>
              <w:t>et</w:t>
            </w:r>
            <w:proofErr w:type="gramEnd"/>
            <w:r w:rsidRPr="002E655F">
              <w:rPr>
                <w:rFonts w:ascii="Arial Narrow" w:hAnsi="Arial Narrow"/>
                <w:i/>
                <w:sz w:val="20"/>
                <w:lang w:eastAsia="en-AU"/>
              </w:rPr>
              <w:t xml:space="preserve"> al</w:t>
            </w:r>
            <w:r w:rsidRPr="00574D2A">
              <w:rPr>
                <w:rFonts w:ascii="Arial Narrow" w:hAnsi="Arial Narrow"/>
                <w:sz w:val="20"/>
                <w:lang w:eastAsia="en-AU"/>
              </w:rPr>
              <w:t xml:space="preserve">. </w:t>
            </w:r>
            <w:proofErr w:type="spellStart"/>
            <w:r w:rsidRPr="00574D2A">
              <w:rPr>
                <w:rFonts w:ascii="Arial Narrow" w:hAnsi="Arial Narrow"/>
                <w:sz w:val="20"/>
                <w:lang w:eastAsia="en-AU"/>
              </w:rPr>
              <w:t>Asfotase</w:t>
            </w:r>
            <w:proofErr w:type="spellEnd"/>
            <w:r w:rsidRPr="00574D2A">
              <w:rPr>
                <w:rFonts w:ascii="Arial Narrow" w:hAnsi="Arial Narrow"/>
                <w:sz w:val="20"/>
                <w:lang w:eastAsia="en-AU"/>
              </w:rPr>
              <w:t xml:space="preserve"> alfa treatment improves survival for perinatal and infantile </w:t>
            </w:r>
            <w:proofErr w:type="spellStart"/>
            <w:r w:rsidRPr="00574D2A">
              <w:rPr>
                <w:rFonts w:ascii="Arial Narrow" w:hAnsi="Arial Narrow"/>
                <w:sz w:val="20"/>
                <w:lang w:eastAsia="en-AU"/>
              </w:rPr>
              <w:t>hypophosphatasia</w:t>
            </w:r>
            <w:proofErr w:type="spellEnd"/>
            <w:r w:rsidRPr="00574D2A">
              <w:rPr>
                <w:rFonts w:ascii="Arial Narrow" w:hAnsi="Arial Narrow"/>
                <w:sz w:val="20"/>
                <w:lang w:eastAsia="en-AU"/>
              </w:rPr>
              <w:t xml:space="preserve">. </w:t>
            </w:r>
          </w:p>
        </w:tc>
        <w:tc>
          <w:tcPr>
            <w:tcW w:w="1465" w:type="pct"/>
            <w:tcBorders>
              <w:top w:val="nil"/>
              <w:left w:val="single" w:sz="4" w:space="0" w:color="auto"/>
              <w:bottom w:val="single" w:sz="4" w:space="0" w:color="auto"/>
              <w:right w:val="single" w:sz="4" w:space="0" w:color="auto"/>
            </w:tcBorders>
          </w:tcPr>
          <w:p w:rsidR="000C1E22" w:rsidRPr="004A10C3" w:rsidRDefault="000C1E22" w:rsidP="005123EA">
            <w:pPr>
              <w:pStyle w:val="BodyText"/>
              <w:widowControl/>
              <w:spacing w:before="40"/>
              <w:rPr>
                <w:rFonts w:ascii="Arial Narrow" w:hAnsi="Arial Narrow"/>
                <w:i/>
                <w:sz w:val="20"/>
                <w:lang w:eastAsia="en-AU"/>
              </w:rPr>
            </w:pPr>
            <w:r w:rsidRPr="004A10C3">
              <w:rPr>
                <w:rFonts w:ascii="Arial Narrow" w:hAnsi="Arial Narrow"/>
                <w:i/>
                <w:sz w:val="20"/>
                <w:lang w:eastAsia="en-AU"/>
              </w:rPr>
              <w:t xml:space="preserve">J </w:t>
            </w:r>
            <w:proofErr w:type="spellStart"/>
            <w:r w:rsidRPr="004A10C3">
              <w:rPr>
                <w:rFonts w:ascii="Arial Narrow" w:hAnsi="Arial Narrow"/>
                <w:i/>
                <w:sz w:val="20"/>
                <w:lang w:eastAsia="en-AU"/>
              </w:rPr>
              <w:t>Clin</w:t>
            </w:r>
            <w:proofErr w:type="spellEnd"/>
            <w:r w:rsidRPr="004A10C3">
              <w:rPr>
                <w:rFonts w:ascii="Arial Narrow" w:hAnsi="Arial Narrow"/>
                <w:i/>
                <w:sz w:val="20"/>
                <w:lang w:eastAsia="en-AU"/>
              </w:rPr>
              <w:t xml:space="preserve"> </w:t>
            </w:r>
            <w:proofErr w:type="spellStart"/>
            <w:r w:rsidRPr="004A10C3">
              <w:rPr>
                <w:rFonts w:ascii="Arial Narrow" w:hAnsi="Arial Narrow"/>
                <w:i/>
                <w:sz w:val="20"/>
                <w:lang w:eastAsia="en-AU"/>
              </w:rPr>
              <w:t>Endocrinol</w:t>
            </w:r>
            <w:proofErr w:type="spellEnd"/>
            <w:r w:rsidRPr="004A10C3">
              <w:rPr>
                <w:rFonts w:ascii="Arial Narrow" w:hAnsi="Arial Narrow"/>
                <w:i/>
                <w:sz w:val="20"/>
                <w:lang w:eastAsia="en-AU"/>
              </w:rPr>
              <w:t xml:space="preserve"> </w:t>
            </w:r>
            <w:proofErr w:type="spellStart"/>
            <w:r w:rsidRPr="004A10C3">
              <w:rPr>
                <w:rFonts w:ascii="Arial Narrow" w:hAnsi="Arial Narrow"/>
                <w:i/>
                <w:sz w:val="20"/>
                <w:lang w:eastAsia="en-AU"/>
              </w:rPr>
              <w:t>Metab</w:t>
            </w:r>
            <w:proofErr w:type="spellEnd"/>
            <w:r w:rsidRPr="004A10C3">
              <w:rPr>
                <w:rFonts w:ascii="Arial Narrow" w:hAnsi="Arial Narrow"/>
                <w:i/>
                <w:sz w:val="20"/>
                <w:lang w:eastAsia="en-AU"/>
              </w:rPr>
              <w:t xml:space="preserve"> </w:t>
            </w:r>
            <w:r w:rsidRPr="004A10C3">
              <w:rPr>
                <w:rFonts w:ascii="Arial Narrow" w:hAnsi="Arial Narrow"/>
                <w:sz w:val="20"/>
                <w:lang w:eastAsia="en-AU"/>
              </w:rPr>
              <w:t>2016;101:334-42</w:t>
            </w:r>
          </w:p>
        </w:tc>
      </w:tr>
      <w:tr w:rsidR="000C1E22" w:rsidRPr="004E2ADC" w:rsidTr="000C1E22">
        <w:trPr>
          <w:trHeight w:val="465"/>
        </w:trPr>
        <w:tc>
          <w:tcPr>
            <w:tcW w:w="420" w:type="pct"/>
            <w:vMerge w:val="restart"/>
            <w:tcBorders>
              <w:top w:val="single" w:sz="4" w:space="0" w:color="auto"/>
              <w:left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r>
              <w:rPr>
                <w:rFonts w:ascii="Arial Narrow" w:hAnsi="Arial Narrow"/>
                <w:sz w:val="20"/>
                <w:lang w:eastAsia="en-AU"/>
              </w:rPr>
              <w:t>ENB-010-10</w:t>
            </w:r>
          </w:p>
        </w:tc>
        <w:tc>
          <w:tcPr>
            <w:tcW w:w="3115" w:type="pct"/>
            <w:tcBorders>
              <w:top w:val="single" w:sz="4" w:space="0" w:color="auto"/>
              <w:left w:val="single" w:sz="4" w:space="0" w:color="auto"/>
              <w:bottom w:val="nil"/>
              <w:right w:val="single" w:sz="4" w:space="0" w:color="auto"/>
            </w:tcBorders>
          </w:tcPr>
          <w:p w:rsidR="000C1E22" w:rsidRDefault="000C1E22" w:rsidP="005123EA">
            <w:pPr>
              <w:widowControl/>
              <w:spacing w:before="40"/>
              <w:jc w:val="left"/>
              <w:rPr>
                <w:rFonts w:ascii="Arial Narrow" w:hAnsi="Arial Narrow"/>
                <w:sz w:val="20"/>
                <w:lang w:eastAsia="en-AU"/>
              </w:rPr>
            </w:pPr>
            <w:r>
              <w:rPr>
                <w:rFonts w:ascii="Arial Narrow" w:hAnsi="Arial Narrow"/>
                <w:sz w:val="20"/>
                <w:lang w:eastAsia="en-AU"/>
              </w:rPr>
              <w:t xml:space="preserve">ENB-010-10: </w:t>
            </w:r>
            <w:r w:rsidRPr="009607E0">
              <w:rPr>
                <w:rFonts w:ascii="Arial Narrow" w:hAnsi="Arial Narrow"/>
                <w:sz w:val="20"/>
                <w:lang w:eastAsia="en-AU"/>
              </w:rPr>
              <w:t xml:space="preserve">An open-label, </w:t>
            </w:r>
            <w:proofErr w:type="spellStart"/>
            <w:r w:rsidRPr="009607E0">
              <w:rPr>
                <w:rFonts w:ascii="Arial Narrow" w:hAnsi="Arial Narrow"/>
                <w:sz w:val="20"/>
                <w:lang w:eastAsia="en-AU"/>
              </w:rPr>
              <w:t>multicenter</w:t>
            </w:r>
            <w:proofErr w:type="spellEnd"/>
            <w:r w:rsidRPr="009607E0">
              <w:rPr>
                <w:rFonts w:ascii="Arial Narrow" w:hAnsi="Arial Narrow"/>
                <w:sz w:val="20"/>
                <w:lang w:eastAsia="en-AU"/>
              </w:rPr>
              <w:t xml:space="preserve">, multinational study of the safety, efficacy, and pharmacokinetics of </w:t>
            </w:r>
            <w:proofErr w:type="spellStart"/>
            <w:r w:rsidRPr="009607E0">
              <w:rPr>
                <w:rFonts w:ascii="Arial Narrow" w:hAnsi="Arial Narrow"/>
                <w:sz w:val="20"/>
                <w:lang w:eastAsia="en-AU"/>
              </w:rPr>
              <w:t>asfotase</w:t>
            </w:r>
            <w:proofErr w:type="spellEnd"/>
            <w:r w:rsidRPr="009607E0">
              <w:rPr>
                <w:rFonts w:ascii="Arial Narrow" w:hAnsi="Arial Narrow"/>
                <w:sz w:val="20"/>
                <w:lang w:eastAsia="en-AU"/>
              </w:rPr>
              <w:t xml:space="preserve"> alfa in infants and children ≤ 5 years of age with </w:t>
            </w:r>
            <w:proofErr w:type="spellStart"/>
            <w:r w:rsidRPr="009607E0">
              <w:rPr>
                <w:rFonts w:ascii="Arial Narrow" w:hAnsi="Arial Narrow"/>
                <w:sz w:val="20"/>
                <w:lang w:eastAsia="en-AU"/>
              </w:rPr>
              <w:t>Hypophosphatasia</w:t>
            </w:r>
            <w:proofErr w:type="spellEnd"/>
            <w:r w:rsidRPr="009607E0">
              <w:rPr>
                <w:rFonts w:ascii="Arial Narrow" w:hAnsi="Arial Narrow"/>
                <w:sz w:val="20"/>
                <w:lang w:eastAsia="en-AU"/>
              </w:rPr>
              <w:t xml:space="preserve"> (HPP).</w:t>
            </w:r>
          </w:p>
        </w:tc>
        <w:tc>
          <w:tcPr>
            <w:tcW w:w="1465" w:type="pct"/>
            <w:tcBorders>
              <w:top w:val="single" w:sz="4" w:space="0" w:color="auto"/>
              <w:left w:val="single" w:sz="4" w:space="0" w:color="auto"/>
              <w:bottom w:val="nil"/>
              <w:right w:val="single" w:sz="4" w:space="0" w:color="auto"/>
            </w:tcBorders>
          </w:tcPr>
          <w:p w:rsidR="000C1E22" w:rsidRPr="004A10C3" w:rsidRDefault="000C1E22" w:rsidP="005123EA">
            <w:pPr>
              <w:pStyle w:val="BodyText"/>
              <w:widowControl/>
              <w:spacing w:before="40"/>
              <w:rPr>
                <w:rFonts w:ascii="Arial Narrow" w:hAnsi="Arial Narrow"/>
                <w:sz w:val="20"/>
                <w:lang w:eastAsia="en-AU"/>
              </w:rPr>
            </w:pPr>
            <w:r w:rsidRPr="004A10C3">
              <w:rPr>
                <w:rFonts w:ascii="Arial Narrow" w:hAnsi="Arial Narrow"/>
                <w:sz w:val="20"/>
                <w:lang w:eastAsia="en-AU"/>
              </w:rPr>
              <w:t>8 April 2015</w:t>
            </w:r>
          </w:p>
        </w:tc>
      </w:tr>
      <w:tr w:rsidR="000C1E22" w:rsidRPr="004E2ADC" w:rsidTr="000C1E22">
        <w:trPr>
          <w:trHeight w:val="332"/>
        </w:trPr>
        <w:tc>
          <w:tcPr>
            <w:tcW w:w="420" w:type="pct"/>
            <w:vMerge/>
            <w:tcBorders>
              <w:left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p>
        </w:tc>
        <w:tc>
          <w:tcPr>
            <w:tcW w:w="3115" w:type="pct"/>
            <w:tcBorders>
              <w:top w:val="nil"/>
              <w:left w:val="single" w:sz="4" w:space="0" w:color="auto"/>
              <w:bottom w:val="nil"/>
              <w:right w:val="single" w:sz="4" w:space="0" w:color="auto"/>
            </w:tcBorders>
          </w:tcPr>
          <w:p w:rsidR="000C1E22" w:rsidRDefault="000C1E22" w:rsidP="005123EA">
            <w:pPr>
              <w:widowControl/>
              <w:spacing w:before="40"/>
              <w:jc w:val="left"/>
              <w:rPr>
                <w:rFonts w:ascii="Arial Narrow" w:hAnsi="Arial Narrow"/>
                <w:sz w:val="20"/>
                <w:lang w:eastAsia="en-AU"/>
              </w:rPr>
            </w:pPr>
            <w:proofErr w:type="spellStart"/>
            <w:r w:rsidRPr="009607E0">
              <w:rPr>
                <w:rFonts w:ascii="Arial Narrow" w:hAnsi="Arial Narrow"/>
                <w:sz w:val="20"/>
                <w:lang w:eastAsia="en-AU"/>
              </w:rPr>
              <w:t>Liese</w:t>
            </w:r>
            <w:proofErr w:type="spellEnd"/>
            <w:r w:rsidRPr="009607E0">
              <w:rPr>
                <w:rFonts w:ascii="Arial Narrow" w:hAnsi="Arial Narrow"/>
                <w:sz w:val="20"/>
                <w:lang w:eastAsia="en-AU"/>
              </w:rPr>
              <w:t xml:space="preserve"> J, Hofmann C, </w:t>
            </w:r>
            <w:proofErr w:type="spellStart"/>
            <w:r w:rsidRPr="009607E0">
              <w:rPr>
                <w:rFonts w:ascii="Arial Narrow" w:hAnsi="Arial Narrow"/>
                <w:sz w:val="20"/>
                <w:lang w:eastAsia="en-AU"/>
              </w:rPr>
              <w:t>Harmatz</w:t>
            </w:r>
            <w:proofErr w:type="spellEnd"/>
            <w:r w:rsidRPr="009607E0">
              <w:rPr>
                <w:rFonts w:ascii="Arial Narrow" w:hAnsi="Arial Narrow"/>
                <w:sz w:val="20"/>
                <w:lang w:eastAsia="en-AU"/>
              </w:rPr>
              <w:t xml:space="preserve"> P, </w:t>
            </w:r>
            <w:r w:rsidRPr="009607E0">
              <w:rPr>
                <w:rFonts w:ascii="Arial Narrow" w:hAnsi="Arial Narrow"/>
                <w:i/>
                <w:sz w:val="20"/>
                <w:lang w:eastAsia="en-AU"/>
              </w:rPr>
              <w:t>et al</w:t>
            </w:r>
            <w:r w:rsidRPr="009607E0">
              <w:rPr>
                <w:rFonts w:ascii="Arial Narrow" w:hAnsi="Arial Narrow"/>
                <w:sz w:val="20"/>
                <w:lang w:eastAsia="en-AU"/>
              </w:rPr>
              <w:t xml:space="preserve">. Efficacy and Safety of </w:t>
            </w:r>
            <w:proofErr w:type="spellStart"/>
            <w:r w:rsidRPr="009607E0">
              <w:rPr>
                <w:rFonts w:ascii="Arial Narrow" w:hAnsi="Arial Narrow"/>
                <w:sz w:val="20"/>
                <w:lang w:eastAsia="en-AU"/>
              </w:rPr>
              <w:t>Asfotase</w:t>
            </w:r>
            <w:proofErr w:type="spellEnd"/>
            <w:r w:rsidRPr="009607E0">
              <w:rPr>
                <w:rFonts w:ascii="Arial Narrow" w:hAnsi="Arial Narrow"/>
                <w:sz w:val="20"/>
                <w:lang w:eastAsia="en-AU"/>
              </w:rPr>
              <w:t xml:space="preserve"> Alfa in Patients with Infantile </w:t>
            </w:r>
            <w:proofErr w:type="spellStart"/>
            <w:r w:rsidRPr="009607E0">
              <w:rPr>
                <w:rFonts w:ascii="Arial Narrow" w:hAnsi="Arial Narrow"/>
                <w:sz w:val="20"/>
                <w:lang w:eastAsia="en-AU"/>
              </w:rPr>
              <w:t>Hypophosphatasia</w:t>
            </w:r>
            <w:proofErr w:type="spellEnd"/>
            <w:r w:rsidRPr="009607E0">
              <w:rPr>
                <w:rFonts w:ascii="Arial Narrow" w:hAnsi="Arial Narrow"/>
                <w:sz w:val="20"/>
                <w:lang w:eastAsia="en-AU"/>
              </w:rPr>
              <w:t xml:space="preserve"> Treated for up to 3.5 Years: Results from a Phase II, Open-Label, </w:t>
            </w:r>
            <w:proofErr w:type="gramStart"/>
            <w:r w:rsidRPr="009607E0">
              <w:rPr>
                <w:rFonts w:ascii="Arial Narrow" w:hAnsi="Arial Narrow"/>
                <w:sz w:val="20"/>
                <w:lang w:eastAsia="en-AU"/>
              </w:rPr>
              <w:t>Uncontrolled</w:t>
            </w:r>
            <w:proofErr w:type="gramEnd"/>
            <w:r w:rsidRPr="009607E0">
              <w:rPr>
                <w:rFonts w:ascii="Arial Narrow" w:hAnsi="Arial Narrow"/>
                <w:sz w:val="20"/>
                <w:lang w:eastAsia="en-AU"/>
              </w:rPr>
              <w:t xml:space="preserve"> Study. </w:t>
            </w:r>
          </w:p>
        </w:tc>
        <w:tc>
          <w:tcPr>
            <w:tcW w:w="1465" w:type="pct"/>
            <w:tcBorders>
              <w:top w:val="nil"/>
              <w:left w:val="single" w:sz="4" w:space="0" w:color="auto"/>
              <w:bottom w:val="nil"/>
              <w:right w:val="single" w:sz="4" w:space="0" w:color="auto"/>
            </w:tcBorders>
          </w:tcPr>
          <w:p w:rsidR="000C1E22" w:rsidRPr="004A10C3" w:rsidRDefault="000C1E22" w:rsidP="005123EA">
            <w:pPr>
              <w:pStyle w:val="BodyText"/>
              <w:widowControl/>
              <w:spacing w:before="40"/>
              <w:rPr>
                <w:rFonts w:ascii="Arial Narrow" w:hAnsi="Arial Narrow"/>
                <w:sz w:val="20"/>
                <w:lang w:eastAsia="en-AU"/>
              </w:rPr>
            </w:pPr>
            <w:r w:rsidRPr="004A10C3">
              <w:rPr>
                <w:rFonts w:ascii="Arial Narrow" w:hAnsi="Arial Narrow"/>
                <w:sz w:val="20"/>
                <w:lang w:eastAsia="en-AU"/>
              </w:rPr>
              <w:t xml:space="preserve">Presented at: 98th Annual Meeting of the Endocrine Society (ENDO); April 1-4, 2016; Boston, MA, USA. Abstract 25983. Presentation </w:t>
            </w:r>
          </w:p>
        </w:tc>
      </w:tr>
      <w:tr w:rsidR="000C1E22" w:rsidRPr="004E2ADC" w:rsidTr="000C1E22">
        <w:trPr>
          <w:trHeight w:val="64"/>
        </w:trPr>
        <w:tc>
          <w:tcPr>
            <w:tcW w:w="420" w:type="pct"/>
            <w:vMerge/>
            <w:tcBorders>
              <w:left w:val="single" w:sz="4" w:space="0" w:color="auto"/>
              <w:bottom w:val="single" w:sz="4" w:space="0" w:color="auto"/>
              <w:right w:val="single" w:sz="4" w:space="0" w:color="auto"/>
            </w:tcBorders>
            <w:vAlign w:val="center"/>
          </w:tcPr>
          <w:p w:rsidR="000C1E22" w:rsidRDefault="000C1E22" w:rsidP="005123EA">
            <w:pPr>
              <w:widowControl/>
              <w:jc w:val="left"/>
              <w:rPr>
                <w:rFonts w:ascii="Arial Narrow" w:hAnsi="Arial Narrow"/>
                <w:sz w:val="20"/>
                <w:lang w:eastAsia="en-AU"/>
              </w:rPr>
            </w:pPr>
          </w:p>
        </w:tc>
        <w:tc>
          <w:tcPr>
            <w:tcW w:w="3115" w:type="pct"/>
            <w:tcBorders>
              <w:top w:val="nil"/>
              <w:left w:val="single" w:sz="4" w:space="0" w:color="auto"/>
              <w:bottom w:val="single" w:sz="4" w:space="0" w:color="auto"/>
              <w:right w:val="single" w:sz="4" w:space="0" w:color="auto"/>
            </w:tcBorders>
          </w:tcPr>
          <w:p w:rsidR="000C1E22" w:rsidRPr="009607E0" w:rsidRDefault="000C1E22" w:rsidP="005123EA">
            <w:pPr>
              <w:widowControl/>
              <w:spacing w:before="40"/>
              <w:jc w:val="left"/>
              <w:rPr>
                <w:rFonts w:ascii="Arial Narrow" w:hAnsi="Arial Narrow"/>
                <w:sz w:val="20"/>
                <w:lang w:eastAsia="en-AU"/>
              </w:rPr>
            </w:pPr>
            <w:r w:rsidRPr="009607E0">
              <w:rPr>
                <w:rFonts w:ascii="Arial Narrow" w:hAnsi="Arial Narrow"/>
                <w:sz w:val="20"/>
                <w:lang w:eastAsia="en-AU"/>
              </w:rPr>
              <w:t xml:space="preserve">Whyte MP, </w:t>
            </w:r>
            <w:proofErr w:type="spellStart"/>
            <w:r w:rsidRPr="009607E0">
              <w:rPr>
                <w:rFonts w:ascii="Arial Narrow" w:hAnsi="Arial Narrow"/>
                <w:sz w:val="20"/>
                <w:lang w:eastAsia="en-AU"/>
              </w:rPr>
              <w:t>Rockman</w:t>
            </w:r>
            <w:proofErr w:type="spellEnd"/>
            <w:r w:rsidRPr="009607E0">
              <w:rPr>
                <w:rFonts w:ascii="Arial Narrow" w:hAnsi="Arial Narrow"/>
                <w:sz w:val="20"/>
                <w:lang w:eastAsia="en-AU"/>
              </w:rPr>
              <w:t xml:space="preserve">-Greenberg C, </w:t>
            </w:r>
            <w:proofErr w:type="spellStart"/>
            <w:r w:rsidRPr="009607E0">
              <w:rPr>
                <w:rFonts w:ascii="Arial Narrow" w:hAnsi="Arial Narrow"/>
                <w:sz w:val="20"/>
                <w:lang w:eastAsia="en-AU"/>
              </w:rPr>
              <w:t>Ozono</w:t>
            </w:r>
            <w:proofErr w:type="spellEnd"/>
            <w:r w:rsidRPr="009607E0">
              <w:rPr>
                <w:rFonts w:ascii="Arial Narrow" w:hAnsi="Arial Narrow"/>
                <w:sz w:val="20"/>
                <w:lang w:eastAsia="en-AU"/>
              </w:rPr>
              <w:t xml:space="preserve"> K, </w:t>
            </w:r>
            <w:proofErr w:type="gramStart"/>
            <w:r w:rsidRPr="009607E0">
              <w:rPr>
                <w:rFonts w:ascii="Arial Narrow" w:hAnsi="Arial Narrow"/>
                <w:i/>
                <w:sz w:val="20"/>
                <w:lang w:eastAsia="en-AU"/>
              </w:rPr>
              <w:t>et</w:t>
            </w:r>
            <w:proofErr w:type="gramEnd"/>
            <w:r w:rsidRPr="009607E0">
              <w:rPr>
                <w:rFonts w:ascii="Arial Narrow" w:hAnsi="Arial Narrow"/>
                <w:i/>
                <w:sz w:val="20"/>
                <w:lang w:eastAsia="en-AU"/>
              </w:rPr>
              <w:t xml:space="preserve"> al</w:t>
            </w:r>
            <w:r w:rsidRPr="009607E0">
              <w:rPr>
                <w:rFonts w:ascii="Arial Narrow" w:hAnsi="Arial Narrow"/>
                <w:sz w:val="20"/>
                <w:lang w:eastAsia="en-AU"/>
              </w:rPr>
              <w:t xml:space="preserve">. </w:t>
            </w:r>
            <w:proofErr w:type="spellStart"/>
            <w:r w:rsidRPr="009607E0">
              <w:rPr>
                <w:rFonts w:ascii="Arial Narrow" w:hAnsi="Arial Narrow"/>
                <w:sz w:val="20"/>
                <w:lang w:eastAsia="en-AU"/>
              </w:rPr>
              <w:t>Asfotase</w:t>
            </w:r>
            <w:proofErr w:type="spellEnd"/>
            <w:r w:rsidRPr="009607E0">
              <w:rPr>
                <w:rFonts w:ascii="Arial Narrow" w:hAnsi="Arial Narrow"/>
                <w:sz w:val="20"/>
                <w:lang w:eastAsia="en-AU"/>
              </w:rPr>
              <w:t xml:space="preserve"> alfa treatment improves survival for perinatal and infantile </w:t>
            </w:r>
            <w:proofErr w:type="spellStart"/>
            <w:r w:rsidRPr="009607E0">
              <w:rPr>
                <w:rFonts w:ascii="Arial Narrow" w:hAnsi="Arial Narrow"/>
                <w:sz w:val="20"/>
                <w:lang w:eastAsia="en-AU"/>
              </w:rPr>
              <w:t>hypophosphatasia</w:t>
            </w:r>
            <w:proofErr w:type="spellEnd"/>
            <w:r w:rsidRPr="009607E0">
              <w:rPr>
                <w:rFonts w:ascii="Arial Narrow" w:hAnsi="Arial Narrow"/>
                <w:sz w:val="20"/>
                <w:lang w:eastAsia="en-AU"/>
              </w:rPr>
              <w:t xml:space="preserve">. </w:t>
            </w:r>
          </w:p>
        </w:tc>
        <w:tc>
          <w:tcPr>
            <w:tcW w:w="1465" w:type="pct"/>
            <w:tcBorders>
              <w:top w:val="nil"/>
              <w:left w:val="single" w:sz="4" w:space="0" w:color="auto"/>
              <w:bottom w:val="single" w:sz="4" w:space="0" w:color="auto"/>
              <w:right w:val="single" w:sz="4" w:space="0" w:color="auto"/>
            </w:tcBorders>
          </w:tcPr>
          <w:p w:rsidR="000C1E22" w:rsidRPr="004A10C3" w:rsidRDefault="000C1E22" w:rsidP="005123EA">
            <w:pPr>
              <w:pStyle w:val="BodyText"/>
              <w:widowControl/>
              <w:spacing w:before="40"/>
              <w:rPr>
                <w:rFonts w:ascii="Arial Narrow" w:hAnsi="Arial Narrow"/>
                <w:sz w:val="20"/>
                <w:lang w:eastAsia="en-AU"/>
              </w:rPr>
            </w:pPr>
            <w:r w:rsidRPr="004A10C3">
              <w:rPr>
                <w:rFonts w:ascii="Arial Narrow" w:hAnsi="Arial Narrow"/>
                <w:sz w:val="20"/>
                <w:lang w:eastAsia="en-AU"/>
              </w:rPr>
              <w:t>PP26-3</w:t>
            </w:r>
            <w:r w:rsidRPr="004A10C3">
              <w:rPr>
                <w:rFonts w:ascii="Arial Narrow" w:hAnsi="Arial Narrow"/>
                <w:i/>
                <w:sz w:val="20"/>
                <w:lang w:eastAsia="en-AU"/>
              </w:rPr>
              <w:t xml:space="preserve">J </w:t>
            </w:r>
            <w:proofErr w:type="spellStart"/>
            <w:r w:rsidRPr="004A10C3">
              <w:rPr>
                <w:rFonts w:ascii="Arial Narrow" w:hAnsi="Arial Narrow"/>
                <w:i/>
                <w:sz w:val="20"/>
                <w:lang w:eastAsia="en-AU"/>
              </w:rPr>
              <w:t>Clin</w:t>
            </w:r>
            <w:proofErr w:type="spellEnd"/>
            <w:r w:rsidRPr="004A10C3">
              <w:rPr>
                <w:rFonts w:ascii="Arial Narrow" w:hAnsi="Arial Narrow"/>
                <w:i/>
                <w:sz w:val="20"/>
                <w:lang w:eastAsia="en-AU"/>
              </w:rPr>
              <w:t xml:space="preserve"> </w:t>
            </w:r>
            <w:proofErr w:type="spellStart"/>
            <w:r w:rsidRPr="004A10C3">
              <w:rPr>
                <w:rFonts w:ascii="Arial Narrow" w:hAnsi="Arial Narrow"/>
                <w:i/>
                <w:sz w:val="20"/>
                <w:lang w:eastAsia="en-AU"/>
              </w:rPr>
              <w:t>Endocrinol</w:t>
            </w:r>
            <w:proofErr w:type="spellEnd"/>
            <w:r w:rsidRPr="004A10C3">
              <w:rPr>
                <w:rFonts w:ascii="Arial Narrow" w:hAnsi="Arial Narrow"/>
                <w:i/>
                <w:sz w:val="20"/>
                <w:lang w:eastAsia="en-AU"/>
              </w:rPr>
              <w:t xml:space="preserve"> </w:t>
            </w:r>
            <w:proofErr w:type="spellStart"/>
            <w:r w:rsidRPr="004A10C3">
              <w:rPr>
                <w:rFonts w:ascii="Arial Narrow" w:hAnsi="Arial Narrow"/>
                <w:i/>
                <w:sz w:val="20"/>
                <w:lang w:eastAsia="en-AU"/>
              </w:rPr>
              <w:t>Metab</w:t>
            </w:r>
            <w:proofErr w:type="spellEnd"/>
            <w:r w:rsidRPr="004A10C3">
              <w:rPr>
                <w:rFonts w:ascii="Arial Narrow" w:hAnsi="Arial Narrow"/>
                <w:sz w:val="20"/>
                <w:lang w:eastAsia="en-AU"/>
              </w:rPr>
              <w:t xml:space="preserve"> 2016;101:334-42</w:t>
            </w:r>
          </w:p>
        </w:tc>
      </w:tr>
      <w:tr w:rsidR="000C1E22" w:rsidRPr="004E2ADC" w:rsidTr="000C1E22">
        <w:tblPrEx>
          <w:tblLook w:val="0000" w:firstRow="0" w:lastRow="0" w:firstColumn="0" w:lastColumn="0" w:noHBand="0" w:noVBand="0"/>
        </w:tblPrEx>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0C1E22" w:rsidRPr="004A10C3" w:rsidRDefault="000C1E22" w:rsidP="005123EA">
            <w:pPr>
              <w:pStyle w:val="BodyText"/>
              <w:widowControl/>
              <w:rPr>
                <w:rFonts w:ascii="Arial Narrow" w:hAnsi="Arial Narrow"/>
                <w:bCs/>
                <w:sz w:val="20"/>
                <w:lang w:eastAsia="en-AU"/>
              </w:rPr>
            </w:pPr>
            <w:r w:rsidRPr="004A10C3">
              <w:rPr>
                <w:rFonts w:ascii="Arial Narrow" w:hAnsi="Arial Narrow"/>
                <w:bCs/>
                <w:sz w:val="20"/>
                <w:lang w:eastAsia="en-AU"/>
              </w:rPr>
              <w:t>Best supportive care</w:t>
            </w:r>
          </w:p>
        </w:tc>
      </w:tr>
      <w:tr w:rsidR="000C1E22" w:rsidRPr="009607E0" w:rsidTr="000C1E22">
        <w:tblPrEx>
          <w:tblLook w:val="0000" w:firstRow="0" w:lastRow="0" w:firstColumn="0" w:lastColumn="0" w:noHBand="0" w:noVBand="0"/>
        </w:tblPrEx>
        <w:trPr>
          <w:cantSplit/>
          <w:trHeight w:val="117"/>
        </w:trPr>
        <w:tc>
          <w:tcPr>
            <w:tcW w:w="420" w:type="pct"/>
            <w:vMerge w:val="restart"/>
            <w:tcBorders>
              <w:top w:val="single" w:sz="4" w:space="0" w:color="auto"/>
              <w:left w:val="single" w:sz="4" w:space="0" w:color="auto"/>
              <w:right w:val="single" w:sz="4" w:space="0" w:color="auto"/>
            </w:tcBorders>
            <w:vAlign w:val="center"/>
          </w:tcPr>
          <w:p w:rsidR="000C1E22" w:rsidRPr="009607E0" w:rsidRDefault="000C1E22" w:rsidP="005123EA">
            <w:pPr>
              <w:pStyle w:val="TableText0"/>
              <w:spacing w:before="0" w:after="0"/>
              <w:rPr>
                <w:rFonts w:cs="Arial"/>
                <w:bCs/>
                <w:lang w:eastAsia="en-AU"/>
              </w:rPr>
            </w:pPr>
            <w:r w:rsidRPr="009607E0">
              <w:rPr>
                <w:rFonts w:cs="Arial"/>
                <w:bCs/>
                <w:lang w:eastAsia="en-AU"/>
              </w:rPr>
              <w:t>ENB-011-10</w:t>
            </w:r>
          </w:p>
        </w:tc>
        <w:tc>
          <w:tcPr>
            <w:tcW w:w="3115" w:type="pct"/>
            <w:tcBorders>
              <w:top w:val="single" w:sz="4" w:space="0" w:color="auto"/>
              <w:left w:val="single" w:sz="4" w:space="0" w:color="auto"/>
              <w:bottom w:val="nil"/>
              <w:right w:val="single" w:sz="4" w:space="0" w:color="auto"/>
            </w:tcBorders>
          </w:tcPr>
          <w:p w:rsidR="000C1E22" w:rsidRPr="009607E0" w:rsidRDefault="000C1E22" w:rsidP="005123EA">
            <w:pPr>
              <w:pStyle w:val="TableText0"/>
              <w:spacing w:before="0" w:after="0"/>
              <w:rPr>
                <w:rFonts w:cs="Arial"/>
                <w:bCs/>
                <w:lang w:eastAsia="en-AU"/>
              </w:rPr>
            </w:pPr>
            <w:r>
              <w:rPr>
                <w:rFonts w:cs="Arial"/>
                <w:bCs/>
                <w:lang w:eastAsia="en-AU"/>
              </w:rPr>
              <w:t xml:space="preserve">ENB-011-10: </w:t>
            </w:r>
            <w:r w:rsidRPr="009607E0">
              <w:rPr>
                <w:rFonts w:cs="Arial"/>
                <w:bCs/>
                <w:lang w:eastAsia="en-AU"/>
              </w:rPr>
              <w:t xml:space="preserve">A retrospective non-interventional epidemiologic study of the natural history of patients with severe perinatal and infantile </w:t>
            </w:r>
            <w:proofErr w:type="spellStart"/>
            <w:r w:rsidRPr="009607E0">
              <w:rPr>
                <w:rFonts w:cs="Arial"/>
                <w:bCs/>
                <w:lang w:eastAsia="en-AU"/>
              </w:rPr>
              <w:t>Hypophosphatasia</w:t>
            </w:r>
            <w:proofErr w:type="spellEnd"/>
            <w:r w:rsidRPr="009607E0">
              <w:rPr>
                <w:rFonts w:cs="Arial"/>
                <w:bCs/>
                <w:lang w:eastAsia="en-AU"/>
              </w:rPr>
              <w:t xml:space="preserve"> (HPP).</w:t>
            </w:r>
          </w:p>
        </w:tc>
        <w:tc>
          <w:tcPr>
            <w:tcW w:w="1465" w:type="pct"/>
            <w:tcBorders>
              <w:top w:val="single" w:sz="4" w:space="0" w:color="auto"/>
              <w:left w:val="single" w:sz="4" w:space="0" w:color="auto"/>
              <w:bottom w:val="nil"/>
              <w:right w:val="single" w:sz="4" w:space="0" w:color="auto"/>
            </w:tcBorders>
          </w:tcPr>
          <w:p w:rsidR="000C1E22" w:rsidRPr="004A10C3" w:rsidRDefault="000C1E22" w:rsidP="005123EA">
            <w:pPr>
              <w:pStyle w:val="BodyText"/>
              <w:widowControl/>
              <w:rPr>
                <w:rFonts w:ascii="Arial Narrow" w:hAnsi="Arial Narrow"/>
                <w:bCs/>
                <w:sz w:val="20"/>
                <w:lang w:eastAsia="en-AU"/>
              </w:rPr>
            </w:pPr>
            <w:r w:rsidRPr="004A10C3">
              <w:rPr>
                <w:rFonts w:ascii="Arial Narrow" w:hAnsi="Arial Narrow"/>
                <w:bCs/>
                <w:sz w:val="20"/>
                <w:lang w:eastAsia="en-AU"/>
              </w:rPr>
              <w:t>22 January 2014</w:t>
            </w:r>
          </w:p>
        </w:tc>
      </w:tr>
      <w:tr w:rsidR="000C1E22" w:rsidRPr="009607E0" w:rsidTr="000C1E22">
        <w:tblPrEx>
          <w:tblLook w:val="0000" w:firstRow="0" w:lastRow="0" w:firstColumn="0" w:lastColumn="0" w:noHBand="0" w:noVBand="0"/>
        </w:tblPrEx>
        <w:trPr>
          <w:cantSplit/>
          <w:trHeight w:val="269"/>
        </w:trPr>
        <w:tc>
          <w:tcPr>
            <w:tcW w:w="420" w:type="pct"/>
            <w:vMerge/>
            <w:tcBorders>
              <w:left w:val="single" w:sz="4" w:space="0" w:color="auto"/>
              <w:right w:val="single" w:sz="4" w:space="0" w:color="auto"/>
            </w:tcBorders>
            <w:vAlign w:val="center"/>
          </w:tcPr>
          <w:p w:rsidR="000C1E22" w:rsidRPr="009607E0" w:rsidRDefault="000C1E22" w:rsidP="005123EA">
            <w:pPr>
              <w:pStyle w:val="TableText0"/>
              <w:spacing w:before="0" w:after="0"/>
              <w:rPr>
                <w:rFonts w:cs="Arial"/>
                <w:bCs/>
                <w:lang w:eastAsia="en-AU"/>
              </w:rPr>
            </w:pPr>
          </w:p>
        </w:tc>
        <w:tc>
          <w:tcPr>
            <w:tcW w:w="3115" w:type="pct"/>
            <w:tcBorders>
              <w:top w:val="nil"/>
              <w:left w:val="single" w:sz="4" w:space="0" w:color="auto"/>
              <w:bottom w:val="nil"/>
              <w:right w:val="single" w:sz="4" w:space="0" w:color="auto"/>
            </w:tcBorders>
          </w:tcPr>
          <w:p w:rsidR="000C1E22" w:rsidRDefault="000C1E22" w:rsidP="005123EA">
            <w:pPr>
              <w:pStyle w:val="TableText0"/>
              <w:spacing w:beforeLines="40" w:before="96"/>
              <w:rPr>
                <w:rFonts w:cs="Arial"/>
                <w:bCs/>
                <w:lang w:eastAsia="en-AU"/>
              </w:rPr>
            </w:pPr>
            <w:r w:rsidRPr="009607E0">
              <w:rPr>
                <w:rFonts w:cs="Arial"/>
                <w:bCs/>
                <w:lang w:eastAsia="en-AU"/>
              </w:rPr>
              <w:t xml:space="preserve">Whyte MP, </w:t>
            </w:r>
            <w:proofErr w:type="spellStart"/>
            <w:r w:rsidRPr="009607E0">
              <w:rPr>
                <w:rFonts w:cs="Arial"/>
                <w:bCs/>
                <w:lang w:eastAsia="en-AU"/>
              </w:rPr>
              <w:t>Rockman</w:t>
            </w:r>
            <w:proofErr w:type="spellEnd"/>
            <w:r w:rsidRPr="009607E0">
              <w:rPr>
                <w:rFonts w:cs="Arial"/>
                <w:bCs/>
                <w:lang w:eastAsia="en-AU"/>
              </w:rPr>
              <w:t xml:space="preserve">-Greenberg C, </w:t>
            </w:r>
            <w:proofErr w:type="spellStart"/>
            <w:r w:rsidRPr="009607E0">
              <w:rPr>
                <w:rFonts w:cs="Arial"/>
                <w:bCs/>
                <w:lang w:eastAsia="en-AU"/>
              </w:rPr>
              <w:t>Ozono</w:t>
            </w:r>
            <w:proofErr w:type="spellEnd"/>
            <w:r w:rsidRPr="009607E0">
              <w:rPr>
                <w:rFonts w:cs="Arial"/>
                <w:bCs/>
                <w:lang w:eastAsia="en-AU"/>
              </w:rPr>
              <w:t xml:space="preserve"> K, </w:t>
            </w:r>
            <w:proofErr w:type="gramStart"/>
            <w:r w:rsidRPr="009607E0">
              <w:rPr>
                <w:rFonts w:cs="Arial"/>
                <w:bCs/>
                <w:i/>
                <w:lang w:eastAsia="en-AU"/>
              </w:rPr>
              <w:t>et</w:t>
            </w:r>
            <w:proofErr w:type="gramEnd"/>
            <w:r w:rsidRPr="009607E0">
              <w:rPr>
                <w:rFonts w:cs="Arial"/>
                <w:bCs/>
                <w:i/>
                <w:lang w:eastAsia="en-AU"/>
              </w:rPr>
              <w:t xml:space="preserve"> al</w:t>
            </w:r>
            <w:r w:rsidRPr="009607E0">
              <w:rPr>
                <w:rFonts w:cs="Arial"/>
                <w:bCs/>
                <w:lang w:eastAsia="en-AU"/>
              </w:rPr>
              <w:t xml:space="preserve">. </w:t>
            </w:r>
            <w:proofErr w:type="spellStart"/>
            <w:r w:rsidRPr="009607E0">
              <w:rPr>
                <w:rFonts w:cs="Arial"/>
                <w:bCs/>
                <w:lang w:eastAsia="en-AU"/>
              </w:rPr>
              <w:t>Asfotase</w:t>
            </w:r>
            <w:proofErr w:type="spellEnd"/>
            <w:r w:rsidRPr="009607E0">
              <w:rPr>
                <w:rFonts w:cs="Arial"/>
                <w:bCs/>
                <w:lang w:eastAsia="en-AU"/>
              </w:rPr>
              <w:t xml:space="preserve"> alfa treatment improves survival for perinatal and infantile </w:t>
            </w:r>
            <w:proofErr w:type="spellStart"/>
            <w:r w:rsidRPr="009607E0">
              <w:rPr>
                <w:rFonts w:cs="Arial"/>
                <w:bCs/>
                <w:lang w:eastAsia="en-AU"/>
              </w:rPr>
              <w:t>hypophosphatasia</w:t>
            </w:r>
            <w:proofErr w:type="spellEnd"/>
            <w:r w:rsidRPr="009607E0">
              <w:rPr>
                <w:rFonts w:cs="Arial"/>
                <w:bCs/>
                <w:lang w:eastAsia="en-AU"/>
              </w:rPr>
              <w:t xml:space="preserve">. </w:t>
            </w:r>
          </w:p>
        </w:tc>
        <w:tc>
          <w:tcPr>
            <w:tcW w:w="1465" w:type="pct"/>
            <w:tcBorders>
              <w:top w:val="nil"/>
              <w:left w:val="single" w:sz="4" w:space="0" w:color="auto"/>
              <w:bottom w:val="nil"/>
              <w:right w:val="single" w:sz="4" w:space="0" w:color="auto"/>
            </w:tcBorders>
          </w:tcPr>
          <w:p w:rsidR="000C1E22" w:rsidRPr="004A10C3" w:rsidRDefault="000C1E22" w:rsidP="005123EA">
            <w:pPr>
              <w:pStyle w:val="BodyText"/>
              <w:widowControl/>
              <w:spacing w:beforeLines="40" w:before="96"/>
              <w:rPr>
                <w:rFonts w:ascii="Arial Narrow" w:hAnsi="Arial Narrow"/>
                <w:bCs/>
                <w:sz w:val="20"/>
                <w:lang w:eastAsia="en-AU"/>
              </w:rPr>
            </w:pPr>
            <w:r w:rsidRPr="004A10C3">
              <w:rPr>
                <w:rFonts w:ascii="Arial Narrow" w:hAnsi="Arial Narrow"/>
                <w:bCs/>
                <w:i/>
                <w:sz w:val="20"/>
                <w:lang w:eastAsia="en-AU"/>
              </w:rPr>
              <w:t xml:space="preserve">J </w:t>
            </w:r>
            <w:proofErr w:type="spellStart"/>
            <w:r w:rsidRPr="004A10C3">
              <w:rPr>
                <w:rFonts w:ascii="Arial Narrow" w:hAnsi="Arial Narrow"/>
                <w:bCs/>
                <w:i/>
                <w:sz w:val="20"/>
                <w:lang w:eastAsia="en-AU"/>
              </w:rPr>
              <w:t>Clin</w:t>
            </w:r>
            <w:proofErr w:type="spellEnd"/>
            <w:r w:rsidRPr="004A10C3">
              <w:rPr>
                <w:rFonts w:ascii="Arial Narrow" w:hAnsi="Arial Narrow"/>
                <w:bCs/>
                <w:i/>
                <w:sz w:val="20"/>
                <w:lang w:eastAsia="en-AU"/>
              </w:rPr>
              <w:t xml:space="preserve"> </w:t>
            </w:r>
            <w:proofErr w:type="spellStart"/>
            <w:r w:rsidRPr="004A10C3">
              <w:rPr>
                <w:rFonts w:ascii="Arial Narrow" w:hAnsi="Arial Narrow"/>
                <w:bCs/>
                <w:i/>
                <w:sz w:val="20"/>
                <w:lang w:eastAsia="en-AU"/>
              </w:rPr>
              <w:t>Endocrinol</w:t>
            </w:r>
            <w:proofErr w:type="spellEnd"/>
            <w:r w:rsidRPr="004A10C3">
              <w:rPr>
                <w:rFonts w:ascii="Arial Narrow" w:hAnsi="Arial Narrow"/>
                <w:bCs/>
                <w:i/>
                <w:sz w:val="20"/>
                <w:lang w:eastAsia="en-AU"/>
              </w:rPr>
              <w:t xml:space="preserve"> </w:t>
            </w:r>
            <w:proofErr w:type="spellStart"/>
            <w:r w:rsidRPr="004A10C3">
              <w:rPr>
                <w:rFonts w:ascii="Arial Narrow" w:hAnsi="Arial Narrow"/>
                <w:bCs/>
                <w:i/>
                <w:sz w:val="20"/>
                <w:lang w:eastAsia="en-AU"/>
              </w:rPr>
              <w:t>Metab</w:t>
            </w:r>
            <w:proofErr w:type="spellEnd"/>
            <w:r w:rsidRPr="004A10C3">
              <w:rPr>
                <w:rFonts w:ascii="Arial Narrow" w:hAnsi="Arial Narrow"/>
                <w:bCs/>
                <w:sz w:val="20"/>
                <w:lang w:eastAsia="en-AU"/>
              </w:rPr>
              <w:t xml:space="preserve"> 2016;101:334-42</w:t>
            </w:r>
          </w:p>
        </w:tc>
      </w:tr>
      <w:tr w:rsidR="000C1E22" w:rsidRPr="009607E0" w:rsidTr="000C1E22">
        <w:tblPrEx>
          <w:tblLook w:val="0000" w:firstRow="0" w:lastRow="0" w:firstColumn="0" w:lastColumn="0" w:noHBand="0" w:noVBand="0"/>
        </w:tblPrEx>
        <w:trPr>
          <w:cantSplit/>
          <w:trHeight w:val="64"/>
        </w:trPr>
        <w:tc>
          <w:tcPr>
            <w:tcW w:w="420" w:type="pct"/>
            <w:vMerge/>
            <w:tcBorders>
              <w:left w:val="single" w:sz="4" w:space="0" w:color="auto"/>
              <w:right w:val="single" w:sz="4" w:space="0" w:color="auto"/>
            </w:tcBorders>
            <w:vAlign w:val="center"/>
          </w:tcPr>
          <w:p w:rsidR="000C1E22" w:rsidRPr="009607E0" w:rsidRDefault="000C1E22" w:rsidP="005123EA">
            <w:pPr>
              <w:pStyle w:val="TableText0"/>
              <w:spacing w:before="0" w:after="0"/>
              <w:rPr>
                <w:rFonts w:cs="Arial"/>
                <w:bCs/>
                <w:lang w:eastAsia="en-AU"/>
              </w:rPr>
            </w:pPr>
          </w:p>
        </w:tc>
        <w:tc>
          <w:tcPr>
            <w:tcW w:w="3115" w:type="pct"/>
            <w:tcBorders>
              <w:top w:val="nil"/>
              <w:left w:val="single" w:sz="4" w:space="0" w:color="auto"/>
              <w:bottom w:val="nil"/>
              <w:right w:val="single" w:sz="4" w:space="0" w:color="auto"/>
            </w:tcBorders>
          </w:tcPr>
          <w:p w:rsidR="000C1E22" w:rsidRPr="009607E0" w:rsidRDefault="000C1E22" w:rsidP="005123EA">
            <w:pPr>
              <w:pStyle w:val="TableText0"/>
              <w:spacing w:beforeLines="40" w:before="96"/>
              <w:rPr>
                <w:rFonts w:cs="Arial"/>
                <w:bCs/>
                <w:lang w:eastAsia="en-AU"/>
              </w:rPr>
            </w:pPr>
            <w:r w:rsidRPr="009607E0">
              <w:rPr>
                <w:rFonts w:cs="Arial"/>
                <w:bCs/>
                <w:lang w:eastAsia="en-AU"/>
              </w:rPr>
              <w:t xml:space="preserve">Whyte MP, Leung E, Wilcox W, et al. Severe perinatal and infantile forms of </w:t>
            </w:r>
            <w:proofErr w:type="spellStart"/>
            <w:r w:rsidRPr="009607E0">
              <w:rPr>
                <w:rFonts w:cs="Arial"/>
                <w:bCs/>
                <w:lang w:eastAsia="en-AU"/>
              </w:rPr>
              <w:t>hypophosphatasia</w:t>
            </w:r>
            <w:proofErr w:type="spellEnd"/>
            <w:r w:rsidRPr="009607E0">
              <w:rPr>
                <w:rFonts w:cs="Arial"/>
                <w:bCs/>
                <w:lang w:eastAsia="en-AU"/>
              </w:rPr>
              <w:t xml:space="preserve">: A retrospective natural history study. </w:t>
            </w:r>
          </w:p>
        </w:tc>
        <w:tc>
          <w:tcPr>
            <w:tcW w:w="1465" w:type="pct"/>
            <w:tcBorders>
              <w:top w:val="nil"/>
              <w:left w:val="single" w:sz="4" w:space="0" w:color="auto"/>
              <w:bottom w:val="nil"/>
              <w:right w:val="single" w:sz="4" w:space="0" w:color="auto"/>
            </w:tcBorders>
          </w:tcPr>
          <w:p w:rsidR="000C1E22" w:rsidRPr="004A10C3" w:rsidRDefault="000C1E22" w:rsidP="005123EA">
            <w:pPr>
              <w:pStyle w:val="BodyText"/>
              <w:widowControl/>
              <w:spacing w:beforeLines="40" w:before="96"/>
              <w:rPr>
                <w:rFonts w:ascii="Arial Narrow" w:hAnsi="Arial Narrow"/>
                <w:bCs/>
                <w:i/>
                <w:sz w:val="20"/>
                <w:lang w:eastAsia="en-AU"/>
              </w:rPr>
            </w:pPr>
            <w:r w:rsidRPr="004A10C3">
              <w:rPr>
                <w:rFonts w:ascii="Arial Narrow" w:hAnsi="Arial Narrow"/>
                <w:bCs/>
                <w:i/>
                <w:sz w:val="20"/>
                <w:lang w:eastAsia="en-AU"/>
              </w:rPr>
              <w:t xml:space="preserve">J Inherit </w:t>
            </w:r>
            <w:proofErr w:type="spellStart"/>
            <w:r w:rsidRPr="004A10C3">
              <w:rPr>
                <w:rFonts w:ascii="Arial Narrow" w:hAnsi="Arial Narrow"/>
                <w:bCs/>
                <w:i/>
                <w:sz w:val="20"/>
                <w:lang w:eastAsia="en-AU"/>
              </w:rPr>
              <w:t>Metab</w:t>
            </w:r>
            <w:proofErr w:type="spellEnd"/>
            <w:r w:rsidRPr="004A10C3">
              <w:rPr>
                <w:rFonts w:ascii="Arial Narrow" w:hAnsi="Arial Narrow"/>
                <w:bCs/>
                <w:i/>
                <w:sz w:val="20"/>
                <w:lang w:eastAsia="en-AU"/>
              </w:rPr>
              <w:t xml:space="preserve"> Dis</w:t>
            </w:r>
            <w:r w:rsidRPr="004A10C3">
              <w:rPr>
                <w:rFonts w:ascii="Arial Narrow" w:hAnsi="Arial Narrow"/>
                <w:bCs/>
                <w:sz w:val="20"/>
                <w:lang w:eastAsia="en-AU"/>
              </w:rPr>
              <w:t xml:space="preserve"> 2014;37(</w:t>
            </w:r>
            <w:proofErr w:type="spellStart"/>
            <w:r w:rsidRPr="004A10C3">
              <w:rPr>
                <w:rFonts w:ascii="Arial Narrow" w:hAnsi="Arial Narrow"/>
                <w:bCs/>
                <w:sz w:val="20"/>
                <w:lang w:eastAsia="en-AU"/>
              </w:rPr>
              <w:t>Suppl</w:t>
            </w:r>
            <w:proofErr w:type="spellEnd"/>
            <w:r w:rsidRPr="004A10C3">
              <w:rPr>
                <w:rFonts w:ascii="Arial Narrow" w:hAnsi="Arial Narrow"/>
                <w:bCs/>
                <w:sz w:val="20"/>
                <w:lang w:eastAsia="en-AU"/>
              </w:rPr>
              <w:t xml:space="preserve"> 1):S175 [Conference abstract]</w:t>
            </w:r>
          </w:p>
        </w:tc>
      </w:tr>
      <w:tr w:rsidR="000C1E22" w:rsidRPr="009607E0" w:rsidTr="000C1E22">
        <w:tblPrEx>
          <w:tblLook w:val="0000" w:firstRow="0" w:lastRow="0" w:firstColumn="0" w:lastColumn="0" w:noHBand="0" w:noVBand="0"/>
        </w:tblPrEx>
        <w:trPr>
          <w:cantSplit/>
          <w:trHeight w:val="626"/>
        </w:trPr>
        <w:tc>
          <w:tcPr>
            <w:tcW w:w="420" w:type="pct"/>
            <w:vMerge/>
            <w:tcBorders>
              <w:left w:val="single" w:sz="4" w:space="0" w:color="auto"/>
              <w:right w:val="single" w:sz="4" w:space="0" w:color="auto"/>
            </w:tcBorders>
            <w:vAlign w:val="center"/>
          </w:tcPr>
          <w:p w:rsidR="000C1E22" w:rsidRPr="009607E0" w:rsidRDefault="000C1E22" w:rsidP="005123EA">
            <w:pPr>
              <w:pStyle w:val="TableText0"/>
              <w:spacing w:before="0" w:after="0"/>
              <w:rPr>
                <w:rFonts w:cs="Arial"/>
                <w:bCs/>
                <w:lang w:eastAsia="en-AU"/>
              </w:rPr>
            </w:pPr>
          </w:p>
        </w:tc>
        <w:tc>
          <w:tcPr>
            <w:tcW w:w="3115" w:type="pct"/>
            <w:tcBorders>
              <w:top w:val="nil"/>
              <w:left w:val="single" w:sz="4" w:space="0" w:color="auto"/>
              <w:bottom w:val="nil"/>
              <w:right w:val="single" w:sz="4" w:space="0" w:color="auto"/>
            </w:tcBorders>
          </w:tcPr>
          <w:p w:rsidR="000C1E22" w:rsidRPr="009607E0" w:rsidRDefault="000C1E22" w:rsidP="005123EA">
            <w:pPr>
              <w:pStyle w:val="TableText0"/>
              <w:spacing w:beforeLines="40" w:before="96"/>
              <w:rPr>
                <w:rFonts w:cs="Arial"/>
                <w:bCs/>
                <w:lang w:eastAsia="en-AU"/>
              </w:rPr>
            </w:pPr>
            <w:r w:rsidRPr="009607E0">
              <w:rPr>
                <w:rFonts w:cs="Arial"/>
                <w:bCs/>
                <w:lang w:eastAsia="en-AU"/>
              </w:rPr>
              <w:t xml:space="preserve">Whyte MP, Leung E, Wilcox W, et al. </w:t>
            </w:r>
            <w:proofErr w:type="spellStart"/>
            <w:r w:rsidRPr="009607E0">
              <w:rPr>
                <w:rFonts w:cs="Arial"/>
                <w:bCs/>
                <w:lang w:eastAsia="en-AU"/>
              </w:rPr>
              <w:t>Hypophosphatasia</w:t>
            </w:r>
            <w:proofErr w:type="spellEnd"/>
            <w:r w:rsidRPr="009607E0">
              <w:rPr>
                <w:rFonts w:cs="Arial"/>
                <w:bCs/>
                <w:lang w:eastAsia="en-AU"/>
              </w:rPr>
              <w:t xml:space="preserve">: A Retrospective Natural History Study of the Severe Perinatal and Infantile Forms. </w:t>
            </w:r>
          </w:p>
        </w:tc>
        <w:tc>
          <w:tcPr>
            <w:tcW w:w="1465" w:type="pct"/>
            <w:tcBorders>
              <w:top w:val="nil"/>
              <w:left w:val="single" w:sz="4" w:space="0" w:color="auto"/>
              <w:bottom w:val="nil"/>
              <w:right w:val="single" w:sz="4" w:space="0" w:color="auto"/>
            </w:tcBorders>
          </w:tcPr>
          <w:p w:rsidR="000C1E22" w:rsidRPr="004A10C3" w:rsidRDefault="000C1E22" w:rsidP="005123EA">
            <w:pPr>
              <w:pStyle w:val="BodyText"/>
              <w:widowControl/>
              <w:spacing w:beforeLines="40" w:before="96"/>
              <w:rPr>
                <w:rFonts w:ascii="Arial Narrow" w:hAnsi="Arial Narrow"/>
                <w:bCs/>
                <w:i/>
                <w:sz w:val="20"/>
                <w:lang w:eastAsia="en-AU"/>
              </w:rPr>
            </w:pPr>
            <w:r>
              <w:rPr>
                <w:rFonts w:ascii="Arial Narrow" w:hAnsi="Arial Narrow"/>
                <w:bCs/>
                <w:sz w:val="20"/>
                <w:lang w:eastAsia="en-AU"/>
              </w:rPr>
              <w:t>P</w:t>
            </w:r>
            <w:r w:rsidRPr="004A10C3">
              <w:rPr>
                <w:rFonts w:ascii="Arial Narrow" w:hAnsi="Arial Narrow"/>
                <w:bCs/>
                <w:sz w:val="20"/>
                <w:lang w:eastAsia="en-AU"/>
              </w:rPr>
              <w:t xml:space="preserve">resented at the </w:t>
            </w:r>
            <w:proofErr w:type="spellStart"/>
            <w:r w:rsidRPr="004A10C3">
              <w:rPr>
                <w:rFonts w:ascii="Arial Narrow" w:hAnsi="Arial Narrow"/>
                <w:bCs/>
                <w:sz w:val="20"/>
                <w:lang w:eastAsia="en-AU"/>
              </w:rPr>
              <w:t>Pediatric</w:t>
            </w:r>
            <w:proofErr w:type="spellEnd"/>
            <w:r w:rsidRPr="004A10C3">
              <w:rPr>
                <w:rFonts w:ascii="Arial Narrow" w:hAnsi="Arial Narrow"/>
                <w:bCs/>
                <w:sz w:val="20"/>
                <w:lang w:eastAsia="en-AU"/>
              </w:rPr>
              <w:t xml:space="preserve"> Academic Societies Annual Meeting, May 3-5, 2014, Vancouver, Canada.</w:t>
            </w:r>
          </w:p>
        </w:tc>
      </w:tr>
      <w:tr w:rsidR="000C1E22" w:rsidRPr="009607E0" w:rsidTr="000C1E22">
        <w:tblPrEx>
          <w:tblLook w:val="0000" w:firstRow="0" w:lastRow="0" w:firstColumn="0" w:lastColumn="0" w:noHBand="0" w:noVBand="0"/>
        </w:tblPrEx>
        <w:trPr>
          <w:cantSplit/>
          <w:trHeight w:val="619"/>
        </w:trPr>
        <w:tc>
          <w:tcPr>
            <w:tcW w:w="420" w:type="pct"/>
            <w:vMerge/>
            <w:tcBorders>
              <w:left w:val="single" w:sz="4" w:space="0" w:color="auto"/>
              <w:bottom w:val="single" w:sz="4" w:space="0" w:color="auto"/>
              <w:right w:val="single" w:sz="4" w:space="0" w:color="auto"/>
            </w:tcBorders>
            <w:vAlign w:val="center"/>
          </w:tcPr>
          <w:p w:rsidR="000C1E22" w:rsidRPr="009607E0" w:rsidRDefault="000C1E22" w:rsidP="005123EA">
            <w:pPr>
              <w:pStyle w:val="TableText0"/>
              <w:spacing w:before="0" w:after="0"/>
              <w:rPr>
                <w:rFonts w:cs="Arial"/>
                <w:bCs/>
                <w:lang w:eastAsia="en-AU"/>
              </w:rPr>
            </w:pPr>
          </w:p>
        </w:tc>
        <w:tc>
          <w:tcPr>
            <w:tcW w:w="3115" w:type="pct"/>
            <w:tcBorders>
              <w:top w:val="nil"/>
              <w:left w:val="single" w:sz="4" w:space="0" w:color="auto"/>
              <w:bottom w:val="single" w:sz="4" w:space="0" w:color="auto"/>
              <w:right w:val="single" w:sz="4" w:space="0" w:color="auto"/>
            </w:tcBorders>
          </w:tcPr>
          <w:p w:rsidR="000C1E22" w:rsidRPr="009607E0" w:rsidRDefault="000C1E22" w:rsidP="005123EA">
            <w:pPr>
              <w:pStyle w:val="TableText0"/>
              <w:spacing w:beforeLines="40" w:before="96" w:after="0"/>
              <w:rPr>
                <w:rFonts w:cs="Arial"/>
                <w:bCs/>
                <w:lang w:eastAsia="en-AU"/>
              </w:rPr>
            </w:pPr>
            <w:r w:rsidRPr="009607E0">
              <w:rPr>
                <w:rFonts w:cs="Arial"/>
                <w:bCs/>
                <w:lang w:eastAsia="en-AU"/>
              </w:rPr>
              <w:t xml:space="preserve">Leung ECW, </w:t>
            </w:r>
            <w:proofErr w:type="spellStart"/>
            <w:r w:rsidRPr="009607E0">
              <w:rPr>
                <w:rFonts w:cs="Arial"/>
                <w:bCs/>
                <w:lang w:eastAsia="en-AU"/>
              </w:rPr>
              <w:t>Mhanni</w:t>
            </w:r>
            <w:proofErr w:type="spellEnd"/>
            <w:r w:rsidRPr="009607E0">
              <w:rPr>
                <w:rFonts w:cs="Arial"/>
                <w:bCs/>
                <w:lang w:eastAsia="en-AU"/>
              </w:rPr>
              <w:t xml:space="preserve"> AA, Reed M, et al. Outcome of perinatal </w:t>
            </w:r>
            <w:proofErr w:type="spellStart"/>
            <w:r w:rsidRPr="009607E0">
              <w:rPr>
                <w:rFonts w:cs="Arial"/>
                <w:bCs/>
                <w:lang w:eastAsia="en-AU"/>
              </w:rPr>
              <w:t>hypophosphatasia</w:t>
            </w:r>
            <w:proofErr w:type="spellEnd"/>
            <w:r w:rsidRPr="009607E0">
              <w:rPr>
                <w:rFonts w:cs="Arial"/>
                <w:bCs/>
                <w:lang w:eastAsia="en-AU"/>
              </w:rPr>
              <w:t xml:space="preserve"> in Manitoba Mennonites: A retrospective cohort analysis</w:t>
            </w:r>
            <w:r>
              <w:rPr>
                <w:rFonts w:cs="Arial"/>
                <w:bCs/>
                <w:lang w:eastAsia="en-AU"/>
              </w:rPr>
              <w:t>.</w:t>
            </w:r>
          </w:p>
        </w:tc>
        <w:tc>
          <w:tcPr>
            <w:tcW w:w="1465" w:type="pct"/>
            <w:tcBorders>
              <w:top w:val="nil"/>
              <w:left w:val="single" w:sz="4" w:space="0" w:color="auto"/>
              <w:bottom w:val="single" w:sz="4" w:space="0" w:color="auto"/>
              <w:right w:val="single" w:sz="4" w:space="0" w:color="auto"/>
            </w:tcBorders>
          </w:tcPr>
          <w:p w:rsidR="000C1E22" w:rsidRPr="004A10C3" w:rsidRDefault="000C1E22" w:rsidP="005123EA">
            <w:pPr>
              <w:pStyle w:val="BodyText"/>
              <w:widowControl/>
              <w:spacing w:beforeLines="40" w:before="96"/>
              <w:rPr>
                <w:rFonts w:ascii="Arial Narrow" w:hAnsi="Arial Narrow"/>
                <w:bCs/>
                <w:sz w:val="20"/>
                <w:lang w:eastAsia="en-AU"/>
              </w:rPr>
            </w:pPr>
            <w:r w:rsidRPr="004A10C3">
              <w:rPr>
                <w:rFonts w:ascii="Arial Narrow" w:hAnsi="Arial Narrow"/>
                <w:bCs/>
                <w:i/>
                <w:sz w:val="20"/>
                <w:lang w:eastAsia="en-AU"/>
              </w:rPr>
              <w:t>JIMD Reports</w:t>
            </w:r>
            <w:r w:rsidRPr="004A10C3">
              <w:rPr>
                <w:rFonts w:ascii="Arial Narrow" w:hAnsi="Arial Narrow"/>
                <w:bCs/>
                <w:sz w:val="20"/>
                <w:lang w:eastAsia="en-AU"/>
              </w:rPr>
              <w:t xml:space="preserve"> 2013;11:73-78</w:t>
            </w:r>
          </w:p>
        </w:tc>
      </w:tr>
    </w:tbl>
    <w:p w:rsidR="00B10DD6" w:rsidRPr="001C5C97" w:rsidRDefault="00B10DD6" w:rsidP="005123EA">
      <w:pPr>
        <w:widowControl/>
        <w:spacing w:after="120"/>
        <w:contextualSpacing/>
        <w:rPr>
          <w:rFonts w:ascii="Arial Narrow" w:hAnsi="Arial Narrow"/>
          <w:sz w:val="18"/>
          <w:szCs w:val="18"/>
        </w:rPr>
      </w:pPr>
      <w:r w:rsidRPr="00EE2CE4">
        <w:rPr>
          <w:rFonts w:ascii="Arial Narrow" w:hAnsi="Arial Narrow"/>
          <w:sz w:val="18"/>
          <w:szCs w:val="18"/>
        </w:rPr>
        <w:t>Source: Table B.2.3 and B.2.4, pp22-27 of Section B of the submission</w:t>
      </w:r>
    </w:p>
    <w:p w:rsidR="00B10DD6" w:rsidRPr="000174AF" w:rsidRDefault="00B10DD6" w:rsidP="005123EA">
      <w:pPr>
        <w:widowControl/>
        <w:spacing w:after="120"/>
        <w:contextualSpacing/>
        <w:rPr>
          <w:rFonts w:ascii="Arial Narrow" w:hAnsi="Arial Narrow"/>
          <w:sz w:val="18"/>
          <w:szCs w:val="18"/>
        </w:rPr>
      </w:pPr>
      <w:r w:rsidRPr="000174AF">
        <w:rPr>
          <w:rFonts w:ascii="Arial Narrow" w:hAnsi="Arial Narrow"/>
          <w:sz w:val="18"/>
          <w:szCs w:val="18"/>
        </w:rPr>
        <w:t xml:space="preserve">As there were substantial differences in the characteristics of patients enrolled in the </w:t>
      </w:r>
      <w:r>
        <w:rPr>
          <w:rFonts w:ascii="Arial Narrow" w:hAnsi="Arial Narrow"/>
          <w:sz w:val="18"/>
          <w:szCs w:val="18"/>
        </w:rPr>
        <w:t xml:space="preserve">supportive </w:t>
      </w:r>
      <w:r w:rsidRPr="000174AF">
        <w:rPr>
          <w:rFonts w:ascii="Arial Narrow" w:hAnsi="Arial Narrow"/>
          <w:sz w:val="18"/>
          <w:szCs w:val="18"/>
        </w:rPr>
        <w:t xml:space="preserve">studies, based on differing inclusion and exclusion criteria, results between studies </w:t>
      </w:r>
      <w:r>
        <w:rPr>
          <w:rFonts w:ascii="Arial Narrow" w:hAnsi="Arial Narrow"/>
          <w:sz w:val="18"/>
          <w:szCs w:val="18"/>
        </w:rPr>
        <w:t>we</w:t>
      </w:r>
      <w:r w:rsidRPr="000174AF">
        <w:rPr>
          <w:rFonts w:ascii="Arial Narrow" w:hAnsi="Arial Narrow"/>
          <w:sz w:val="18"/>
          <w:szCs w:val="18"/>
        </w:rPr>
        <w:t>re not comparable.</w:t>
      </w:r>
      <w:r w:rsidR="00540116">
        <w:rPr>
          <w:rFonts w:ascii="Arial Narrow" w:hAnsi="Arial Narrow"/>
          <w:sz w:val="18"/>
          <w:szCs w:val="18"/>
        </w:rPr>
        <w:t xml:space="preserve"> </w:t>
      </w:r>
      <w:r w:rsidRPr="000174AF">
        <w:rPr>
          <w:rFonts w:ascii="Arial Narrow" w:hAnsi="Arial Narrow"/>
          <w:sz w:val="18"/>
          <w:szCs w:val="18"/>
        </w:rPr>
        <w:t xml:space="preserve"> However, the submission indicated that an overall survival analysis was undertaken for patients from ENB-002-08/ENB-003-08 and ENB-010-10 who were 5 years or less at enrolment, </w:t>
      </w:r>
      <w:r>
        <w:rPr>
          <w:rFonts w:ascii="Arial Narrow" w:hAnsi="Arial Narrow"/>
          <w:sz w:val="18"/>
          <w:szCs w:val="18"/>
        </w:rPr>
        <w:t>who had documented diagnosis of HPP, onset of signs before 6 months of age, and documentation of characteristics of perinatal/infantile onset HPP used to define ‘high-risk of premature death’.</w:t>
      </w:r>
      <w:r w:rsidR="00540116">
        <w:rPr>
          <w:rFonts w:ascii="Arial Narrow" w:hAnsi="Arial Narrow"/>
          <w:sz w:val="18"/>
          <w:szCs w:val="18"/>
        </w:rPr>
        <w:t xml:space="preserve"> </w:t>
      </w:r>
      <w:r w:rsidRPr="000174AF">
        <w:rPr>
          <w:rFonts w:ascii="Arial Narrow" w:hAnsi="Arial Narrow"/>
          <w:i/>
          <w:sz w:val="18"/>
          <w:szCs w:val="18"/>
        </w:rPr>
        <w:t xml:space="preserve">While results may be comparable across these patient groups, it </w:t>
      </w:r>
      <w:r>
        <w:rPr>
          <w:rFonts w:ascii="Arial Narrow" w:hAnsi="Arial Narrow"/>
          <w:i/>
          <w:sz w:val="18"/>
          <w:szCs w:val="18"/>
        </w:rPr>
        <w:t>wa</w:t>
      </w:r>
      <w:r w:rsidRPr="000174AF">
        <w:rPr>
          <w:rFonts w:ascii="Arial Narrow" w:hAnsi="Arial Narrow"/>
          <w:i/>
          <w:sz w:val="18"/>
          <w:szCs w:val="18"/>
        </w:rPr>
        <w:t>s not clear how or why these particular patients were selected for inclusion in an overall survival analysis while others were not.</w:t>
      </w:r>
      <w:r w:rsidR="00540116">
        <w:rPr>
          <w:rFonts w:ascii="Arial Narrow" w:hAnsi="Arial Narrow"/>
          <w:i/>
          <w:sz w:val="18"/>
          <w:szCs w:val="18"/>
        </w:rPr>
        <w:t xml:space="preserve"> </w:t>
      </w:r>
      <w:r w:rsidRPr="000174AF">
        <w:rPr>
          <w:rFonts w:ascii="Arial Narrow" w:hAnsi="Arial Narrow"/>
          <w:i/>
          <w:sz w:val="18"/>
          <w:szCs w:val="18"/>
        </w:rPr>
        <w:t xml:space="preserve"> </w:t>
      </w:r>
    </w:p>
    <w:p w:rsidR="00B10DD6" w:rsidRPr="00DD48DB" w:rsidRDefault="00B10DD6" w:rsidP="005123EA">
      <w:pPr>
        <w:pStyle w:val="ListParagraph"/>
        <w:widowControl/>
        <w:numPr>
          <w:ilvl w:val="1"/>
          <w:numId w:val="2"/>
        </w:numPr>
        <w:contextualSpacing w:val="0"/>
        <w:rPr>
          <w:rFonts w:asciiTheme="minorHAnsi" w:hAnsiTheme="minorHAnsi"/>
        </w:rPr>
      </w:pPr>
      <w:r w:rsidRPr="00DD48DB">
        <w:rPr>
          <w:rFonts w:asciiTheme="minorHAnsi" w:hAnsiTheme="minorHAnsi"/>
        </w:rPr>
        <w:t>The key features</w:t>
      </w:r>
      <w:r>
        <w:rPr>
          <w:rFonts w:asciiTheme="minorHAnsi" w:hAnsiTheme="minorHAnsi"/>
        </w:rPr>
        <w:t xml:space="preserve"> of the </w:t>
      </w:r>
      <w:r w:rsidR="00DE38E2">
        <w:rPr>
          <w:rFonts w:asciiTheme="minorHAnsi" w:hAnsiTheme="minorHAnsi"/>
        </w:rPr>
        <w:t>included trials and studies</w:t>
      </w:r>
      <w:r w:rsidRPr="00DD48DB">
        <w:rPr>
          <w:rFonts w:asciiTheme="minorHAnsi" w:hAnsiTheme="minorHAnsi"/>
        </w:rPr>
        <w:t xml:space="preserve"> are summarised in </w:t>
      </w:r>
      <w:r w:rsidR="00963601">
        <w:rPr>
          <w:rFonts w:asciiTheme="minorHAnsi" w:hAnsiTheme="minorHAnsi"/>
        </w:rPr>
        <w:t xml:space="preserve">Table </w:t>
      </w:r>
      <w:r w:rsidR="000C1E22">
        <w:rPr>
          <w:rFonts w:asciiTheme="minorHAnsi" w:hAnsiTheme="minorHAnsi"/>
        </w:rPr>
        <w:t>3</w:t>
      </w:r>
      <w:r w:rsidRPr="00DD48DB">
        <w:rPr>
          <w:rFonts w:asciiTheme="minorHAnsi" w:hAnsiTheme="minorHAnsi"/>
        </w:rPr>
        <w:t>.</w:t>
      </w:r>
      <w:r w:rsidR="00540116">
        <w:rPr>
          <w:rFonts w:asciiTheme="minorHAnsi" w:hAnsiTheme="minorHAnsi"/>
        </w:rPr>
        <w:t xml:space="preserve"> </w:t>
      </w:r>
    </w:p>
    <w:p w:rsidR="002757CE" w:rsidRDefault="002757CE" w:rsidP="002757CE">
      <w:pPr>
        <w:pStyle w:val="Caption"/>
      </w:pPr>
      <w:r>
        <w:t xml:space="preserve">Table </w:t>
      </w:r>
      <w:r>
        <w:rPr>
          <w:noProof/>
        </w:rPr>
        <w:t>3</w:t>
      </w:r>
      <w:r w:rsidRPr="00994698">
        <w:t xml:space="preserve">: Key features of the included evidence, </w:t>
      </w:r>
      <w:proofErr w:type="spellStart"/>
      <w:r w:rsidRPr="00994698">
        <w:t>asfotase</w:t>
      </w:r>
      <w:proofErr w:type="spellEnd"/>
      <w:r w:rsidRPr="00994698">
        <w:t xml:space="preserve"> alfa </w:t>
      </w:r>
      <w:proofErr w:type="spellStart"/>
      <w:r w:rsidRPr="00994698">
        <w:t>rch</w:t>
      </w:r>
      <w:proofErr w:type="spellEnd"/>
      <w:r w:rsidRPr="00994698">
        <w:t xml:space="preserve"> vs. best supportive care</w:t>
      </w:r>
    </w:p>
    <w:tbl>
      <w:tblPr>
        <w:tblStyle w:val="TableGrid"/>
        <w:tblW w:w="5000" w:type="pct"/>
        <w:tblLayout w:type="fixed"/>
        <w:tblCellMar>
          <w:left w:w="28" w:type="dxa"/>
          <w:right w:w="28" w:type="dxa"/>
        </w:tblCellMar>
        <w:tblLook w:val="04A0" w:firstRow="1" w:lastRow="0" w:firstColumn="1" w:lastColumn="0" w:noHBand="0" w:noVBand="1"/>
        <w:tblCaption w:val="Key features of the included evidence, asfotase alfa rch vs. best supportive care"/>
      </w:tblPr>
      <w:tblGrid>
        <w:gridCol w:w="1058"/>
        <w:gridCol w:w="400"/>
        <w:gridCol w:w="1322"/>
        <w:gridCol w:w="661"/>
        <w:gridCol w:w="661"/>
        <w:gridCol w:w="2650"/>
        <w:gridCol w:w="2330"/>
      </w:tblGrid>
      <w:tr w:rsidR="005813B3" w:rsidRPr="00CD0F2E" w:rsidTr="005813B3">
        <w:trPr>
          <w:tblHeader/>
        </w:trPr>
        <w:tc>
          <w:tcPr>
            <w:tcW w:w="582" w:type="pct"/>
            <w:vAlign w:val="center"/>
          </w:tcPr>
          <w:p w:rsidR="005813B3" w:rsidRPr="00CD0F2E" w:rsidRDefault="005813B3" w:rsidP="005123EA">
            <w:pPr>
              <w:keepNext/>
              <w:widowControl/>
              <w:jc w:val="left"/>
              <w:rPr>
                <w:rFonts w:ascii="Arial Narrow" w:hAnsi="Arial Narrow"/>
                <w:b/>
                <w:sz w:val="20"/>
              </w:rPr>
            </w:pPr>
            <w:r w:rsidRPr="00CD0F2E">
              <w:rPr>
                <w:rFonts w:ascii="Arial Narrow" w:hAnsi="Arial Narrow"/>
                <w:b/>
                <w:sz w:val="20"/>
              </w:rPr>
              <w:t>Trial</w:t>
            </w:r>
          </w:p>
        </w:tc>
        <w:tc>
          <w:tcPr>
            <w:tcW w:w="220" w:type="pct"/>
            <w:vAlign w:val="center"/>
          </w:tcPr>
          <w:p w:rsidR="005813B3" w:rsidRPr="00CD0F2E" w:rsidRDefault="005813B3" w:rsidP="005123EA">
            <w:pPr>
              <w:keepNext/>
              <w:widowControl/>
              <w:jc w:val="center"/>
              <w:rPr>
                <w:rFonts w:ascii="Arial Narrow" w:hAnsi="Arial Narrow"/>
                <w:b/>
                <w:sz w:val="20"/>
              </w:rPr>
            </w:pPr>
            <w:r>
              <w:rPr>
                <w:rFonts w:ascii="Arial Narrow" w:hAnsi="Arial Narrow"/>
                <w:b/>
                <w:sz w:val="20"/>
              </w:rPr>
              <w:t>N</w:t>
            </w:r>
          </w:p>
        </w:tc>
        <w:tc>
          <w:tcPr>
            <w:tcW w:w="728" w:type="pct"/>
            <w:vAlign w:val="center"/>
          </w:tcPr>
          <w:p w:rsidR="005813B3" w:rsidRPr="00CD0F2E" w:rsidRDefault="005813B3" w:rsidP="005123EA">
            <w:pPr>
              <w:keepNext/>
              <w:widowControl/>
              <w:jc w:val="center"/>
              <w:rPr>
                <w:rFonts w:ascii="Arial Narrow" w:hAnsi="Arial Narrow"/>
                <w:b/>
                <w:sz w:val="20"/>
              </w:rPr>
            </w:pPr>
            <w:r w:rsidRPr="00CD0F2E">
              <w:rPr>
                <w:rFonts w:ascii="Arial Narrow" w:hAnsi="Arial Narrow"/>
                <w:b/>
                <w:sz w:val="20"/>
              </w:rPr>
              <w:t>Treatment arms</w:t>
            </w:r>
          </w:p>
        </w:tc>
        <w:tc>
          <w:tcPr>
            <w:tcW w:w="364" w:type="pct"/>
            <w:vAlign w:val="center"/>
          </w:tcPr>
          <w:p w:rsidR="005813B3" w:rsidRDefault="005813B3" w:rsidP="005123EA">
            <w:pPr>
              <w:keepNext/>
              <w:widowControl/>
              <w:jc w:val="center"/>
              <w:rPr>
                <w:rFonts w:ascii="Arial Narrow" w:hAnsi="Arial Narrow"/>
                <w:b/>
                <w:sz w:val="20"/>
              </w:rPr>
            </w:pPr>
            <w:r>
              <w:rPr>
                <w:rFonts w:ascii="Arial Narrow" w:hAnsi="Arial Narrow"/>
                <w:b/>
                <w:sz w:val="20"/>
              </w:rPr>
              <w:t>Trial d</w:t>
            </w:r>
            <w:r w:rsidRPr="00CD0F2E">
              <w:rPr>
                <w:rFonts w:ascii="Arial Narrow" w:hAnsi="Arial Narrow"/>
                <w:b/>
                <w:sz w:val="20"/>
              </w:rPr>
              <w:t>esign</w:t>
            </w:r>
          </w:p>
        </w:tc>
        <w:tc>
          <w:tcPr>
            <w:tcW w:w="364" w:type="pct"/>
          </w:tcPr>
          <w:p w:rsidR="005813B3" w:rsidRPr="005813B3" w:rsidRDefault="005813B3" w:rsidP="005123EA">
            <w:pPr>
              <w:keepNext/>
              <w:widowControl/>
              <w:jc w:val="center"/>
              <w:rPr>
                <w:rFonts w:ascii="Arial Narrow" w:hAnsi="Arial Narrow"/>
                <w:b/>
                <w:i/>
                <w:sz w:val="20"/>
              </w:rPr>
            </w:pPr>
            <w:r w:rsidRPr="005813B3">
              <w:rPr>
                <w:rFonts w:ascii="Arial Narrow" w:hAnsi="Arial Narrow"/>
                <w:b/>
                <w:i/>
                <w:sz w:val="20"/>
              </w:rPr>
              <w:t>Risk of bias</w:t>
            </w:r>
          </w:p>
        </w:tc>
        <w:tc>
          <w:tcPr>
            <w:tcW w:w="1459" w:type="pct"/>
            <w:vAlign w:val="center"/>
          </w:tcPr>
          <w:p w:rsidR="005813B3" w:rsidRPr="00CD0F2E" w:rsidRDefault="005813B3" w:rsidP="005123EA">
            <w:pPr>
              <w:keepNext/>
              <w:widowControl/>
              <w:jc w:val="center"/>
              <w:rPr>
                <w:rFonts w:ascii="Arial Narrow" w:hAnsi="Arial Narrow"/>
                <w:b/>
                <w:sz w:val="20"/>
              </w:rPr>
            </w:pPr>
            <w:r w:rsidRPr="00CD0F2E">
              <w:rPr>
                <w:rFonts w:ascii="Arial Narrow" w:hAnsi="Arial Narrow"/>
                <w:b/>
                <w:sz w:val="20"/>
              </w:rPr>
              <w:t xml:space="preserve">Primary </w:t>
            </w:r>
            <w:r>
              <w:rPr>
                <w:rFonts w:ascii="Arial Narrow" w:hAnsi="Arial Narrow"/>
                <w:b/>
                <w:sz w:val="20"/>
              </w:rPr>
              <w:t>o</w:t>
            </w:r>
            <w:r w:rsidRPr="00CD0F2E">
              <w:rPr>
                <w:rFonts w:ascii="Arial Narrow" w:hAnsi="Arial Narrow"/>
                <w:b/>
                <w:sz w:val="20"/>
              </w:rPr>
              <w:t>utcome</w:t>
            </w:r>
          </w:p>
        </w:tc>
        <w:tc>
          <w:tcPr>
            <w:tcW w:w="1283" w:type="pct"/>
            <w:vAlign w:val="center"/>
          </w:tcPr>
          <w:p w:rsidR="005813B3" w:rsidRPr="00CD0F2E" w:rsidRDefault="005813B3" w:rsidP="005123EA">
            <w:pPr>
              <w:keepNext/>
              <w:widowControl/>
              <w:jc w:val="center"/>
              <w:rPr>
                <w:rFonts w:ascii="Arial Narrow" w:hAnsi="Arial Narrow"/>
                <w:b/>
                <w:sz w:val="20"/>
              </w:rPr>
            </w:pPr>
            <w:r>
              <w:rPr>
                <w:rFonts w:ascii="Arial Narrow" w:hAnsi="Arial Narrow"/>
                <w:b/>
                <w:sz w:val="20"/>
              </w:rPr>
              <w:t>Use in the economic evaluation</w:t>
            </w:r>
          </w:p>
        </w:tc>
      </w:tr>
      <w:tr w:rsidR="005813B3" w:rsidRPr="00D06621" w:rsidTr="005813B3">
        <w:trPr>
          <w:tblHeader/>
        </w:trPr>
        <w:tc>
          <w:tcPr>
            <w:tcW w:w="582" w:type="pct"/>
            <w:vAlign w:val="center"/>
          </w:tcPr>
          <w:p w:rsidR="005813B3" w:rsidRPr="00D06621" w:rsidRDefault="005813B3" w:rsidP="005123EA">
            <w:pPr>
              <w:keepNext/>
              <w:widowControl/>
              <w:jc w:val="left"/>
              <w:rPr>
                <w:rFonts w:ascii="Arial Narrow" w:hAnsi="Arial Narrow"/>
                <w:sz w:val="20"/>
              </w:rPr>
            </w:pPr>
            <w:r w:rsidRPr="00D06621">
              <w:rPr>
                <w:rFonts w:ascii="Arial Narrow" w:hAnsi="Arial Narrow"/>
                <w:sz w:val="20"/>
              </w:rPr>
              <w:t>ENB-009-10</w:t>
            </w:r>
          </w:p>
        </w:tc>
        <w:tc>
          <w:tcPr>
            <w:tcW w:w="220" w:type="pct"/>
            <w:vAlign w:val="center"/>
          </w:tcPr>
          <w:p w:rsidR="005813B3" w:rsidRDefault="005813B3" w:rsidP="005123EA">
            <w:pPr>
              <w:keepNext/>
              <w:widowControl/>
              <w:jc w:val="center"/>
              <w:rPr>
                <w:rFonts w:ascii="Arial Narrow" w:hAnsi="Arial Narrow"/>
                <w:sz w:val="20"/>
              </w:rPr>
            </w:pPr>
            <w:r w:rsidRPr="00D06621">
              <w:rPr>
                <w:rFonts w:ascii="Arial Narrow" w:hAnsi="Arial Narrow"/>
                <w:sz w:val="20"/>
              </w:rPr>
              <w:t>1</w:t>
            </w:r>
            <w:r>
              <w:rPr>
                <w:rFonts w:ascii="Arial Narrow" w:hAnsi="Arial Narrow"/>
                <w:sz w:val="20"/>
              </w:rPr>
              <w:t>3</w:t>
            </w:r>
          </w:p>
          <w:p w:rsidR="005813B3" w:rsidRPr="00D06621" w:rsidRDefault="005813B3" w:rsidP="005123EA">
            <w:pPr>
              <w:keepNext/>
              <w:widowControl/>
              <w:jc w:val="center"/>
              <w:rPr>
                <w:rFonts w:ascii="Arial Narrow" w:hAnsi="Arial Narrow"/>
                <w:sz w:val="20"/>
              </w:rPr>
            </w:pPr>
            <w:r>
              <w:rPr>
                <w:rFonts w:ascii="Arial Narrow" w:hAnsi="Arial Narrow"/>
                <w:sz w:val="20"/>
              </w:rPr>
              <w:t>6</w:t>
            </w:r>
          </w:p>
        </w:tc>
        <w:tc>
          <w:tcPr>
            <w:tcW w:w="728" w:type="pct"/>
            <w:vAlign w:val="center"/>
          </w:tcPr>
          <w:p w:rsidR="005813B3" w:rsidRPr="00D06621" w:rsidRDefault="005813B3" w:rsidP="005123EA">
            <w:pPr>
              <w:keepNext/>
              <w:widowControl/>
              <w:jc w:val="center"/>
              <w:rPr>
                <w:rFonts w:ascii="Arial Narrow" w:hAnsi="Arial Narrow"/>
                <w:sz w:val="20"/>
              </w:rPr>
            </w:pPr>
            <w:proofErr w:type="spellStart"/>
            <w:r w:rsidRPr="00D06621">
              <w:rPr>
                <w:rFonts w:ascii="Arial Narrow" w:hAnsi="Arial Narrow"/>
                <w:sz w:val="20"/>
              </w:rPr>
              <w:t>Asfotase</w:t>
            </w:r>
            <w:proofErr w:type="spellEnd"/>
            <w:r w:rsidRPr="00D06621">
              <w:rPr>
                <w:rFonts w:ascii="Arial Narrow" w:hAnsi="Arial Narrow"/>
                <w:sz w:val="20"/>
              </w:rPr>
              <w:t xml:space="preserve"> alfa </w:t>
            </w:r>
            <w:proofErr w:type="spellStart"/>
            <w:r w:rsidRPr="00465F17">
              <w:rPr>
                <w:rFonts w:ascii="Arial Narrow" w:hAnsi="Arial Narrow"/>
                <w:i/>
                <w:sz w:val="20"/>
              </w:rPr>
              <w:t>rch</w:t>
            </w:r>
            <w:proofErr w:type="spellEnd"/>
            <w:r>
              <w:rPr>
                <w:rFonts w:ascii="Arial Narrow" w:hAnsi="Arial Narrow"/>
                <w:i/>
                <w:sz w:val="20"/>
              </w:rPr>
              <w:t>,</w:t>
            </w:r>
          </w:p>
          <w:p w:rsidR="005813B3" w:rsidRPr="00D06621" w:rsidRDefault="005813B3" w:rsidP="005123EA">
            <w:pPr>
              <w:keepNext/>
              <w:widowControl/>
              <w:jc w:val="center"/>
              <w:rPr>
                <w:rFonts w:ascii="Arial Narrow" w:hAnsi="Arial Narrow"/>
                <w:sz w:val="20"/>
              </w:rPr>
            </w:pPr>
            <w:r w:rsidRPr="00D06621">
              <w:rPr>
                <w:rFonts w:ascii="Arial Narrow" w:hAnsi="Arial Narrow"/>
                <w:sz w:val="20"/>
              </w:rPr>
              <w:t>Concurrent control group*</w:t>
            </w:r>
          </w:p>
        </w:tc>
        <w:tc>
          <w:tcPr>
            <w:tcW w:w="364" w:type="pct"/>
            <w:vAlign w:val="center"/>
          </w:tcPr>
          <w:p w:rsidR="005813B3" w:rsidRPr="00D06621" w:rsidRDefault="005813B3" w:rsidP="005123EA">
            <w:pPr>
              <w:keepNext/>
              <w:widowControl/>
              <w:jc w:val="center"/>
              <w:rPr>
                <w:rFonts w:ascii="Arial Narrow" w:hAnsi="Arial Narrow"/>
                <w:sz w:val="20"/>
              </w:rPr>
            </w:pPr>
            <w:r w:rsidRPr="00D06621">
              <w:rPr>
                <w:rFonts w:ascii="Arial Narrow" w:hAnsi="Arial Narrow"/>
                <w:sz w:val="20"/>
              </w:rPr>
              <w:t>OL, R*</w:t>
            </w:r>
          </w:p>
        </w:tc>
        <w:tc>
          <w:tcPr>
            <w:tcW w:w="364" w:type="pct"/>
            <w:vAlign w:val="center"/>
          </w:tcPr>
          <w:p w:rsidR="005813B3" w:rsidRPr="005813B3" w:rsidRDefault="005813B3" w:rsidP="005123EA">
            <w:pPr>
              <w:keepNext/>
              <w:widowControl/>
              <w:jc w:val="center"/>
              <w:rPr>
                <w:rFonts w:ascii="Arial Narrow" w:hAnsi="Arial Narrow"/>
                <w:i/>
                <w:sz w:val="20"/>
              </w:rPr>
            </w:pPr>
            <w:r w:rsidRPr="005813B3">
              <w:rPr>
                <w:rFonts w:ascii="Arial Narrow" w:hAnsi="Arial Narrow"/>
                <w:i/>
                <w:sz w:val="20"/>
              </w:rPr>
              <w:t>Low</w:t>
            </w:r>
          </w:p>
        </w:tc>
        <w:tc>
          <w:tcPr>
            <w:tcW w:w="1459" w:type="pct"/>
          </w:tcPr>
          <w:p w:rsidR="005813B3" w:rsidRPr="009D0E3B" w:rsidRDefault="005813B3" w:rsidP="005123EA">
            <w:pPr>
              <w:pStyle w:val="ListParagraph"/>
              <w:keepNext/>
              <w:widowControl/>
              <w:numPr>
                <w:ilvl w:val="0"/>
                <w:numId w:val="9"/>
              </w:numPr>
              <w:spacing w:after="0"/>
              <w:ind w:left="113" w:hanging="113"/>
              <w:jc w:val="left"/>
              <w:rPr>
                <w:rFonts w:ascii="Arial Narrow" w:hAnsi="Arial Narrow"/>
                <w:sz w:val="20"/>
              </w:rPr>
            </w:pPr>
            <w:r w:rsidRPr="009D0E3B">
              <w:rPr>
                <w:rFonts w:ascii="Arial Narrow" w:hAnsi="Arial Narrow"/>
                <w:sz w:val="20"/>
              </w:rPr>
              <w:t xml:space="preserve">Effect of AA on reduction in plasma </w:t>
            </w:r>
            <w:proofErr w:type="spellStart"/>
            <w:r w:rsidRPr="009D0E3B">
              <w:rPr>
                <w:rFonts w:ascii="Arial Narrow" w:hAnsi="Arial Narrow"/>
                <w:sz w:val="20"/>
              </w:rPr>
              <w:t>PPi</w:t>
            </w:r>
            <w:proofErr w:type="spellEnd"/>
            <w:r w:rsidRPr="009D0E3B">
              <w:rPr>
                <w:rFonts w:ascii="Arial Narrow" w:hAnsi="Arial Narrow"/>
                <w:sz w:val="20"/>
              </w:rPr>
              <w:t xml:space="preserve"> and PLP levels</w:t>
            </w:r>
          </w:p>
          <w:p w:rsidR="005813B3" w:rsidRPr="009D0E3B" w:rsidRDefault="005813B3" w:rsidP="005123EA">
            <w:pPr>
              <w:pStyle w:val="ListParagraph"/>
              <w:keepNext/>
              <w:widowControl/>
              <w:numPr>
                <w:ilvl w:val="0"/>
                <w:numId w:val="9"/>
              </w:numPr>
              <w:spacing w:after="0"/>
              <w:ind w:left="113" w:hanging="113"/>
              <w:jc w:val="left"/>
              <w:rPr>
                <w:rFonts w:ascii="Arial Narrow" w:hAnsi="Arial Narrow"/>
                <w:sz w:val="20"/>
              </w:rPr>
            </w:pPr>
            <w:r w:rsidRPr="009D0E3B">
              <w:rPr>
                <w:rFonts w:ascii="Arial Narrow" w:hAnsi="Arial Narrow"/>
                <w:sz w:val="20"/>
              </w:rPr>
              <w:t>Tolerability of daily SC injections of AA</w:t>
            </w:r>
          </w:p>
        </w:tc>
        <w:tc>
          <w:tcPr>
            <w:tcW w:w="1283" w:type="pct"/>
            <w:vAlign w:val="center"/>
          </w:tcPr>
          <w:p w:rsidR="005813B3" w:rsidRDefault="005813B3" w:rsidP="005123EA">
            <w:pPr>
              <w:keepNext/>
              <w:widowControl/>
              <w:jc w:val="center"/>
              <w:rPr>
                <w:rFonts w:ascii="Arial Narrow" w:hAnsi="Arial Narrow"/>
                <w:sz w:val="20"/>
              </w:rPr>
            </w:pPr>
            <w:r>
              <w:rPr>
                <w:rFonts w:ascii="Arial Narrow" w:hAnsi="Arial Narrow"/>
                <w:sz w:val="20"/>
              </w:rPr>
              <w:t>Primary outcome: Not used</w:t>
            </w:r>
          </w:p>
          <w:p w:rsidR="005813B3" w:rsidRPr="00D06621" w:rsidRDefault="005813B3" w:rsidP="005123EA">
            <w:pPr>
              <w:keepNext/>
              <w:widowControl/>
              <w:jc w:val="center"/>
              <w:rPr>
                <w:rFonts w:ascii="Arial Narrow" w:hAnsi="Arial Narrow"/>
                <w:sz w:val="20"/>
              </w:rPr>
            </w:pPr>
            <w:r>
              <w:rPr>
                <w:rFonts w:ascii="Arial Narrow" w:hAnsi="Arial Narrow"/>
                <w:sz w:val="20"/>
              </w:rPr>
              <w:t>Other outcome of change in 6MWT used</w:t>
            </w:r>
          </w:p>
        </w:tc>
      </w:tr>
      <w:tr w:rsidR="006E5375" w:rsidRPr="00D06621" w:rsidTr="005813B3">
        <w:trPr>
          <w:trHeight w:val="1051"/>
          <w:tblHeader/>
        </w:trPr>
        <w:tc>
          <w:tcPr>
            <w:tcW w:w="582" w:type="pct"/>
            <w:tcBorders>
              <w:bottom w:val="dashed" w:sz="4" w:space="0" w:color="auto"/>
            </w:tcBorders>
            <w:vAlign w:val="center"/>
          </w:tcPr>
          <w:p w:rsidR="006E5375" w:rsidRPr="00D06621" w:rsidRDefault="006E5375" w:rsidP="005123EA">
            <w:pPr>
              <w:keepNext/>
              <w:widowControl/>
              <w:jc w:val="left"/>
              <w:rPr>
                <w:rFonts w:ascii="Arial Narrow" w:hAnsi="Arial Narrow"/>
                <w:sz w:val="20"/>
              </w:rPr>
            </w:pPr>
            <w:r w:rsidRPr="00D06621">
              <w:rPr>
                <w:rFonts w:ascii="Arial Narrow" w:hAnsi="Arial Narrow"/>
                <w:sz w:val="20"/>
              </w:rPr>
              <w:t>ENB-002-0</w:t>
            </w:r>
            <w:r>
              <w:rPr>
                <w:rFonts w:ascii="Arial Narrow" w:hAnsi="Arial Narrow"/>
                <w:sz w:val="20"/>
              </w:rPr>
              <w:t>8</w:t>
            </w:r>
          </w:p>
        </w:tc>
        <w:tc>
          <w:tcPr>
            <w:tcW w:w="220" w:type="pct"/>
            <w:vMerge w:val="restart"/>
            <w:vAlign w:val="center"/>
          </w:tcPr>
          <w:p w:rsidR="006E5375" w:rsidRPr="00D06621" w:rsidRDefault="006E5375" w:rsidP="005123EA">
            <w:pPr>
              <w:keepNext/>
              <w:widowControl/>
              <w:jc w:val="center"/>
              <w:rPr>
                <w:rFonts w:ascii="Arial Narrow" w:hAnsi="Arial Narrow"/>
                <w:sz w:val="20"/>
              </w:rPr>
            </w:pPr>
            <w:r w:rsidRPr="00D06621">
              <w:rPr>
                <w:rFonts w:ascii="Arial Narrow" w:hAnsi="Arial Narrow"/>
                <w:sz w:val="20"/>
              </w:rPr>
              <w:t>11</w:t>
            </w:r>
          </w:p>
        </w:tc>
        <w:tc>
          <w:tcPr>
            <w:tcW w:w="728" w:type="pct"/>
            <w:vMerge w:val="restart"/>
            <w:vAlign w:val="center"/>
          </w:tcPr>
          <w:p w:rsidR="006E5375" w:rsidRPr="00D06621" w:rsidRDefault="006E5375" w:rsidP="005123EA">
            <w:pPr>
              <w:keepNext/>
              <w:widowControl/>
              <w:jc w:val="center"/>
              <w:rPr>
                <w:rFonts w:ascii="Arial Narrow" w:hAnsi="Arial Narrow"/>
                <w:sz w:val="20"/>
              </w:rPr>
            </w:pPr>
            <w:proofErr w:type="spellStart"/>
            <w:r w:rsidRPr="00D06621">
              <w:rPr>
                <w:rFonts w:ascii="Arial Narrow" w:hAnsi="Arial Narrow"/>
                <w:sz w:val="20"/>
              </w:rPr>
              <w:t>Asfotase</w:t>
            </w:r>
            <w:proofErr w:type="spellEnd"/>
            <w:r w:rsidRPr="00D06621">
              <w:rPr>
                <w:rFonts w:ascii="Arial Narrow" w:hAnsi="Arial Narrow"/>
                <w:sz w:val="20"/>
              </w:rPr>
              <w:t xml:space="preserve"> alfa </w:t>
            </w:r>
            <w:proofErr w:type="spellStart"/>
            <w:r w:rsidRPr="00465F17">
              <w:rPr>
                <w:rFonts w:ascii="Arial Narrow" w:hAnsi="Arial Narrow"/>
                <w:i/>
                <w:sz w:val="20"/>
              </w:rPr>
              <w:t>rch</w:t>
            </w:r>
            <w:proofErr w:type="spellEnd"/>
          </w:p>
        </w:tc>
        <w:tc>
          <w:tcPr>
            <w:tcW w:w="364" w:type="pct"/>
            <w:vMerge w:val="restart"/>
            <w:vAlign w:val="center"/>
          </w:tcPr>
          <w:p w:rsidR="006E5375" w:rsidRDefault="006E5375" w:rsidP="005123EA">
            <w:pPr>
              <w:keepNext/>
              <w:widowControl/>
              <w:jc w:val="center"/>
              <w:rPr>
                <w:rFonts w:ascii="Arial Narrow" w:hAnsi="Arial Narrow"/>
                <w:sz w:val="20"/>
              </w:rPr>
            </w:pPr>
            <w:r>
              <w:rPr>
                <w:rFonts w:ascii="Arial Narrow" w:hAnsi="Arial Narrow"/>
                <w:sz w:val="20"/>
              </w:rPr>
              <w:t>OL</w:t>
            </w:r>
          </w:p>
        </w:tc>
        <w:tc>
          <w:tcPr>
            <w:tcW w:w="364" w:type="pct"/>
            <w:vMerge w:val="restart"/>
            <w:vAlign w:val="center"/>
          </w:tcPr>
          <w:p w:rsidR="006E5375" w:rsidRPr="005813B3" w:rsidRDefault="006E5375" w:rsidP="005123EA">
            <w:pPr>
              <w:keepNext/>
              <w:widowControl/>
              <w:jc w:val="center"/>
              <w:rPr>
                <w:rFonts w:ascii="Arial Narrow" w:hAnsi="Arial Narrow"/>
                <w:i/>
                <w:sz w:val="20"/>
              </w:rPr>
            </w:pPr>
            <w:r w:rsidRPr="005813B3">
              <w:rPr>
                <w:rFonts w:ascii="Arial Narrow" w:hAnsi="Arial Narrow"/>
                <w:i/>
                <w:sz w:val="20"/>
              </w:rPr>
              <w:t>High</w:t>
            </w:r>
          </w:p>
        </w:tc>
        <w:tc>
          <w:tcPr>
            <w:tcW w:w="1459" w:type="pct"/>
            <w:tcBorders>
              <w:bottom w:val="dashed" w:sz="4" w:space="0" w:color="auto"/>
            </w:tcBorders>
            <w:vAlign w:val="center"/>
          </w:tcPr>
          <w:p w:rsidR="006E5375" w:rsidRDefault="006E5375" w:rsidP="005123EA">
            <w:pPr>
              <w:pStyle w:val="ListParagraph"/>
              <w:keepNext/>
              <w:widowControl/>
              <w:numPr>
                <w:ilvl w:val="0"/>
                <w:numId w:val="9"/>
              </w:numPr>
              <w:spacing w:after="0"/>
              <w:ind w:left="113" w:hanging="113"/>
              <w:jc w:val="left"/>
              <w:rPr>
                <w:rFonts w:ascii="Arial Narrow" w:hAnsi="Arial Narrow"/>
                <w:sz w:val="20"/>
              </w:rPr>
            </w:pPr>
            <w:r w:rsidRPr="00EE6130">
              <w:rPr>
                <w:rFonts w:ascii="Arial Narrow" w:hAnsi="Arial Narrow"/>
                <w:sz w:val="20"/>
              </w:rPr>
              <w:t>Efficacy of AA in treating skeletal manifestation</w:t>
            </w:r>
            <w:r>
              <w:rPr>
                <w:rFonts w:ascii="Arial Narrow" w:hAnsi="Arial Narrow"/>
                <w:sz w:val="20"/>
              </w:rPr>
              <w:t>s</w:t>
            </w:r>
            <w:r w:rsidRPr="00EE6130">
              <w:rPr>
                <w:rFonts w:ascii="Arial Narrow" w:hAnsi="Arial Narrow"/>
                <w:sz w:val="20"/>
              </w:rPr>
              <w:t xml:space="preserve"> of </w:t>
            </w:r>
            <w:r>
              <w:rPr>
                <w:rFonts w:ascii="Arial Narrow" w:hAnsi="Arial Narrow"/>
                <w:sz w:val="20"/>
              </w:rPr>
              <w:t xml:space="preserve">infantile </w:t>
            </w:r>
            <w:r w:rsidRPr="00EE6130">
              <w:rPr>
                <w:rFonts w:ascii="Arial Narrow" w:hAnsi="Arial Narrow"/>
                <w:sz w:val="20"/>
              </w:rPr>
              <w:t>HPP</w:t>
            </w:r>
          </w:p>
          <w:p w:rsidR="006E5375" w:rsidRPr="00D06621" w:rsidRDefault="006E5375" w:rsidP="005123EA">
            <w:pPr>
              <w:pStyle w:val="ListParagraph"/>
              <w:keepNext/>
              <w:widowControl/>
              <w:numPr>
                <w:ilvl w:val="0"/>
                <w:numId w:val="9"/>
              </w:numPr>
              <w:spacing w:after="0"/>
              <w:ind w:left="113" w:hanging="113"/>
              <w:jc w:val="left"/>
              <w:rPr>
                <w:rFonts w:ascii="Arial Narrow" w:hAnsi="Arial Narrow"/>
                <w:sz w:val="20"/>
              </w:rPr>
            </w:pPr>
            <w:r w:rsidRPr="00EE6130">
              <w:rPr>
                <w:rFonts w:ascii="Arial Narrow" w:hAnsi="Arial Narrow"/>
                <w:sz w:val="20"/>
              </w:rPr>
              <w:t xml:space="preserve">Safety and tolerability of AA given IV in a single dose and by SC in repeat doses </w:t>
            </w:r>
          </w:p>
        </w:tc>
        <w:tc>
          <w:tcPr>
            <w:tcW w:w="1283" w:type="pct"/>
            <w:vMerge w:val="restart"/>
            <w:vAlign w:val="center"/>
          </w:tcPr>
          <w:p w:rsidR="006E5375" w:rsidRDefault="006E5375" w:rsidP="005123EA">
            <w:pPr>
              <w:keepNext/>
              <w:widowControl/>
              <w:jc w:val="center"/>
              <w:rPr>
                <w:rFonts w:ascii="Arial Narrow" w:hAnsi="Arial Narrow"/>
                <w:sz w:val="20"/>
              </w:rPr>
            </w:pPr>
            <w:r>
              <w:rPr>
                <w:rFonts w:ascii="Arial Narrow" w:hAnsi="Arial Narrow"/>
                <w:sz w:val="20"/>
              </w:rPr>
              <w:t>Primary outcome: Not used</w:t>
            </w:r>
          </w:p>
          <w:p w:rsidR="006E5375" w:rsidRPr="00D06621" w:rsidRDefault="006E5375" w:rsidP="005123EA">
            <w:pPr>
              <w:keepNext/>
              <w:widowControl/>
              <w:jc w:val="center"/>
              <w:rPr>
                <w:rFonts w:ascii="Arial Narrow" w:hAnsi="Arial Narrow"/>
                <w:sz w:val="20"/>
              </w:rPr>
            </w:pPr>
            <w:r>
              <w:rPr>
                <w:rFonts w:ascii="Arial Narrow" w:hAnsi="Arial Narrow"/>
                <w:sz w:val="20"/>
              </w:rPr>
              <w:t>Other outcome of overall survival and invasive ventilator-free survival used in pooled comparative analysis</w:t>
            </w:r>
          </w:p>
        </w:tc>
      </w:tr>
      <w:tr w:rsidR="006E5375" w:rsidRPr="00D06621" w:rsidTr="005813B3">
        <w:trPr>
          <w:trHeight w:val="302"/>
          <w:tblHeader/>
        </w:trPr>
        <w:tc>
          <w:tcPr>
            <w:tcW w:w="582" w:type="pct"/>
            <w:tcBorders>
              <w:top w:val="dashed" w:sz="4" w:space="0" w:color="auto"/>
            </w:tcBorders>
            <w:vAlign w:val="center"/>
          </w:tcPr>
          <w:p w:rsidR="006E5375" w:rsidRPr="00D06621" w:rsidRDefault="006E5375" w:rsidP="005123EA">
            <w:pPr>
              <w:keepNext/>
              <w:widowControl/>
              <w:jc w:val="left"/>
              <w:rPr>
                <w:rFonts w:ascii="Arial Narrow" w:hAnsi="Arial Narrow"/>
                <w:sz w:val="20"/>
              </w:rPr>
            </w:pPr>
            <w:r w:rsidRPr="00D06621">
              <w:rPr>
                <w:rFonts w:ascii="Arial Narrow" w:hAnsi="Arial Narrow"/>
                <w:sz w:val="20"/>
              </w:rPr>
              <w:t>ENB-003-08</w:t>
            </w:r>
          </w:p>
        </w:tc>
        <w:tc>
          <w:tcPr>
            <w:tcW w:w="220" w:type="pct"/>
            <w:vMerge/>
            <w:vAlign w:val="center"/>
          </w:tcPr>
          <w:p w:rsidR="006E5375" w:rsidRPr="00D06621" w:rsidRDefault="006E5375" w:rsidP="005123EA">
            <w:pPr>
              <w:keepNext/>
              <w:widowControl/>
              <w:jc w:val="center"/>
              <w:rPr>
                <w:rFonts w:ascii="Arial Narrow" w:hAnsi="Arial Narrow"/>
                <w:sz w:val="20"/>
              </w:rPr>
            </w:pPr>
          </w:p>
        </w:tc>
        <w:tc>
          <w:tcPr>
            <w:tcW w:w="728" w:type="pct"/>
            <w:vMerge/>
            <w:vAlign w:val="center"/>
          </w:tcPr>
          <w:p w:rsidR="006E5375" w:rsidRPr="00D06621" w:rsidRDefault="006E5375" w:rsidP="005123EA">
            <w:pPr>
              <w:keepNext/>
              <w:widowControl/>
              <w:jc w:val="center"/>
              <w:rPr>
                <w:rFonts w:ascii="Arial Narrow" w:hAnsi="Arial Narrow"/>
                <w:sz w:val="20"/>
              </w:rPr>
            </w:pPr>
          </w:p>
        </w:tc>
        <w:tc>
          <w:tcPr>
            <w:tcW w:w="364" w:type="pct"/>
            <w:vMerge/>
            <w:vAlign w:val="center"/>
          </w:tcPr>
          <w:p w:rsidR="006E5375" w:rsidRDefault="006E5375" w:rsidP="005123EA">
            <w:pPr>
              <w:keepNext/>
              <w:widowControl/>
              <w:jc w:val="center"/>
              <w:rPr>
                <w:rFonts w:ascii="Arial Narrow" w:hAnsi="Arial Narrow"/>
                <w:sz w:val="20"/>
              </w:rPr>
            </w:pPr>
          </w:p>
        </w:tc>
        <w:tc>
          <w:tcPr>
            <w:tcW w:w="364" w:type="pct"/>
            <w:vMerge/>
            <w:vAlign w:val="center"/>
          </w:tcPr>
          <w:p w:rsidR="006E5375" w:rsidRPr="005813B3" w:rsidRDefault="006E5375" w:rsidP="005123EA">
            <w:pPr>
              <w:keepNext/>
              <w:widowControl/>
              <w:jc w:val="center"/>
              <w:rPr>
                <w:rFonts w:ascii="Arial Narrow" w:hAnsi="Arial Narrow"/>
                <w:i/>
                <w:sz w:val="20"/>
              </w:rPr>
            </w:pPr>
          </w:p>
        </w:tc>
        <w:tc>
          <w:tcPr>
            <w:tcW w:w="1459" w:type="pct"/>
            <w:tcBorders>
              <w:top w:val="dashed" w:sz="4" w:space="0" w:color="auto"/>
            </w:tcBorders>
          </w:tcPr>
          <w:p w:rsidR="006E5375" w:rsidRPr="00EE6130" w:rsidRDefault="006E5375" w:rsidP="005123EA">
            <w:pPr>
              <w:pStyle w:val="ListParagraph"/>
              <w:keepNext/>
              <w:widowControl/>
              <w:numPr>
                <w:ilvl w:val="0"/>
                <w:numId w:val="9"/>
              </w:numPr>
              <w:spacing w:after="0"/>
              <w:ind w:left="113" w:hanging="113"/>
              <w:jc w:val="left"/>
              <w:rPr>
                <w:rFonts w:ascii="Arial Narrow" w:hAnsi="Arial Narrow"/>
                <w:sz w:val="20"/>
              </w:rPr>
            </w:pPr>
            <w:r>
              <w:rPr>
                <w:rFonts w:ascii="Arial Narrow" w:hAnsi="Arial Narrow"/>
                <w:sz w:val="20"/>
              </w:rPr>
              <w:t>L</w:t>
            </w:r>
            <w:r w:rsidRPr="00EE6130">
              <w:rPr>
                <w:rFonts w:ascii="Arial Narrow" w:hAnsi="Arial Narrow"/>
                <w:sz w:val="20"/>
              </w:rPr>
              <w:t>ong-term efficacy of AA in treating rickets in infants and young children with HPP</w:t>
            </w:r>
          </w:p>
          <w:p w:rsidR="006E5375" w:rsidRPr="00EE6130" w:rsidRDefault="006E5375" w:rsidP="005123EA">
            <w:pPr>
              <w:pStyle w:val="ListParagraph"/>
              <w:keepNext/>
              <w:widowControl/>
              <w:numPr>
                <w:ilvl w:val="0"/>
                <w:numId w:val="9"/>
              </w:numPr>
              <w:spacing w:after="0"/>
              <w:ind w:left="113" w:hanging="113"/>
              <w:jc w:val="left"/>
              <w:rPr>
                <w:rFonts w:ascii="Arial Narrow" w:hAnsi="Arial Narrow"/>
                <w:sz w:val="20"/>
              </w:rPr>
            </w:pPr>
            <w:r>
              <w:rPr>
                <w:rFonts w:ascii="Arial Narrow" w:hAnsi="Arial Narrow"/>
                <w:sz w:val="20"/>
              </w:rPr>
              <w:t>L</w:t>
            </w:r>
            <w:r w:rsidRPr="00EE6130">
              <w:rPr>
                <w:rFonts w:ascii="Arial Narrow" w:hAnsi="Arial Narrow"/>
                <w:sz w:val="20"/>
              </w:rPr>
              <w:t>ong-term tolerability of SC AA</w:t>
            </w:r>
          </w:p>
        </w:tc>
        <w:tc>
          <w:tcPr>
            <w:tcW w:w="1283" w:type="pct"/>
            <w:vMerge/>
            <w:vAlign w:val="center"/>
          </w:tcPr>
          <w:p w:rsidR="006E5375" w:rsidRDefault="006E5375" w:rsidP="005123EA">
            <w:pPr>
              <w:keepNext/>
              <w:widowControl/>
              <w:jc w:val="center"/>
              <w:rPr>
                <w:rFonts w:ascii="Arial Narrow" w:hAnsi="Arial Narrow"/>
                <w:sz w:val="20"/>
              </w:rPr>
            </w:pPr>
          </w:p>
        </w:tc>
      </w:tr>
      <w:tr w:rsidR="005813B3" w:rsidRPr="00D06621" w:rsidTr="005813B3">
        <w:trPr>
          <w:tblHeader/>
        </w:trPr>
        <w:tc>
          <w:tcPr>
            <w:tcW w:w="582" w:type="pct"/>
            <w:vAlign w:val="center"/>
          </w:tcPr>
          <w:p w:rsidR="005813B3" w:rsidRPr="00D06621" w:rsidRDefault="005813B3" w:rsidP="005123EA">
            <w:pPr>
              <w:keepNext/>
              <w:widowControl/>
              <w:jc w:val="left"/>
              <w:rPr>
                <w:rFonts w:ascii="Arial Narrow" w:hAnsi="Arial Narrow"/>
                <w:sz w:val="20"/>
              </w:rPr>
            </w:pPr>
            <w:r>
              <w:rPr>
                <w:rFonts w:ascii="Arial Narrow" w:hAnsi="Arial Narrow"/>
                <w:sz w:val="20"/>
              </w:rPr>
              <w:t>ENB-010-10</w:t>
            </w:r>
          </w:p>
        </w:tc>
        <w:tc>
          <w:tcPr>
            <w:tcW w:w="220" w:type="pct"/>
            <w:vAlign w:val="center"/>
          </w:tcPr>
          <w:p w:rsidR="005813B3" w:rsidRPr="00D06621" w:rsidRDefault="005813B3" w:rsidP="005123EA">
            <w:pPr>
              <w:keepNext/>
              <w:widowControl/>
              <w:jc w:val="center"/>
              <w:rPr>
                <w:rFonts w:ascii="Arial Narrow" w:hAnsi="Arial Narrow"/>
                <w:sz w:val="20"/>
              </w:rPr>
            </w:pPr>
            <w:r>
              <w:rPr>
                <w:rFonts w:ascii="Arial Narrow" w:hAnsi="Arial Narrow"/>
                <w:sz w:val="20"/>
              </w:rPr>
              <w:t>59</w:t>
            </w:r>
          </w:p>
        </w:tc>
        <w:tc>
          <w:tcPr>
            <w:tcW w:w="728" w:type="pct"/>
            <w:vAlign w:val="center"/>
          </w:tcPr>
          <w:p w:rsidR="005813B3" w:rsidRPr="00D06621" w:rsidRDefault="005813B3" w:rsidP="005123EA">
            <w:pPr>
              <w:keepNext/>
              <w:widowControl/>
              <w:jc w:val="center"/>
              <w:rPr>
                <w:rFonts w:ascii="Arial Narrow" w:hAnsi="Arial Narrow"/>
                <w:sz w:val="20"/>
              </w:rPr>
            </w:pPr>
            <w:proofErr w:type="spellStart"/>
            <w:r w:rsidRPr="00D06621">
              <w:rPr>
                <w:rFonts w:ascii="Arial Narrow" w:hAnsi="Arial Narrow"/>
                <w:sz w:val="20"/>
              </w:rPr>
              <w:t>Asfotase</w:t>
            </w:r>
            <w:proofErr w:type="spellEnd"/>
            <w:r w:rsidRPr="00D06621">
              <w:rPr>
                <w:rFonts w:ascii="Arial Narrow" w:hAnsi="Arial Narrow"/>
                <w:sz w:val="20"/>
              </w:rPr>
              <w:t xml:space="preserve"> alfa </w:t>
            </w:r>
            <w:proofErr w:type="spellStart"/>
            <w:r w:rsidRPr="00465F17">
              <w:rPr>
                <w:rFonts w:ascii="Arial Narrow" w:hAnsi="Arial Narrow"/>
                <w:i/>
                <w:sz w:val="20"/>
              </w:rPr>
              <w:t>rch</w:t>
            </w:r>
            <w:proofErr w:type="spellEnd"/>
          </w:p>
        </w:tc>
        <w:tc>
          <w:tcPr>
            <w:tcW w:w="364" w:type="pct"/>
            <w:vAlign w:val="center"/>
          </w:tcPr>
          <w:p w:rsidR="005813B3" w:rsidRDefault="005813B3" w:rsidP="005123EA">
            <w:pPr>
              <w:keepNext/>
              <w:widowControl/>
              <w:jc w:val="center"/>
              <w:rPr>
                <w:rFonts w:ascii="Arial Narrow" w:hAnsi="Arial Narrow"/>
                <w:sz w:val="20"/>
              </w:rPr>
            </w:pPr>
            <w:r>
              <w:rPr>
                <w:rFonts w:ascii="Arial Narrow" w:hAnsi="Arial Narrow"/>
                <w:sz w:val="20"/>
              </w:rPr>
              <w:t>OL</w:t>
            </w:r>
          </w:p>
        </w:tc>
        <w:tc>
          <w:tcPr>
            <w:tcW w:w="364" w:type="pct"/>
            <w:vAlign w:val="center"/>
          </w:tcPr>
          <w:p w:rsidR="005813B3" w:rsidRPr="005813B3" w:rsidRDefault="005813B3" w:rsidP="005123EA">
            <w:pPr>
              <w:keepNext/>
              <w:widowControl/>
              <w:jc w:val="center"/>
              <w:rPr>
                <w:rFonts w:ascii="Arial Narrow" w:hAnsi="Arial Narrow"/>
                <w:i/>
                <w:sz w:val="20"/>
              </w:rPr>
            </w:pPr>
            <w:r w:rsidRPr="005813B3">
              <w:rPr>
                <w:rFonts w:ascii="Arial Narrow" w:hAnsi="Arial Narrow"/>
                <w:i/>
                <w:sz w:val="20"/>
              </w:rPr>
              <w:t>High</w:t>
            </w:r>
          </w:p>
        </w:tc>
        <w:tc>
          <w:tcPr>
            <w:tcW w:w="1459" w:type="pct"/>
            <w:vAlign w:val="center"/>
          </w:tcPr>
          <w:p w:rsidR="005813B3" w:rsidRDefault="005813B3" w:rsidP="005123EA">
            <w:pPr>
              <w:pStyle w:val="ListParagraph"/>
              <w:keepNext/>
              <w:widowControl/>
              <w:numPr>
                <w:ilvl w:val="0"/>
                <w:numId w:val="9"/>
              </w:numPr>
              <w:spacing w:after="0"/>
              <w:ind w:left="113" w:hanging="113"/>
              <w:jc w:val="left"/>
              <w:rPr>
                <w:rFonts w:ascii="Arial Narrow" w:hAnsi="Arial Narrow"/>
                <w:sz w:val="20"/>
              </w:rPr>
            </w:pPr>
            <w:r>
              <w:rPr>
                <w:rFonts w:ascii="Arial Narrow" w:hAnsi="Arial Narrow"/>
                <w:sz w:val="20"/>
              </w:rPr>
              <w:t>Effect of AA on skeletal manifestations of HPP</w:t>
            </w:r>
          </w:p>
          <w:p w:rsidR="005813B3" w:rsidRPr="00B333D5" w:rsidRDefault="005813B3" w:rsidP="005123EA">
            <w:pPr>
              <w:pStyle w:val="ListParagraph"/>
              <w:keepNext/>
              <w:widowControl/>
              <w:numPr>
                <w:ilvl w:val="0"/>
                <w:numId w:val="9"/>
              </w:numPr>
              <w:spacing w:after="0"/>
              <w:ind w:left="113" w:hanging="113"/>
              <w:jc w:val="left"/>
              <w:rPr>
                <w:rFonts w:ascii="Arial Narrow" w:hAnsi="Arial Narrow"/>
                <w:sz w:val="20"/>
              </w:rPr>
            </w:pPr>
            <w:r>
              <w:rPr>
                <w:rFonts w:ascii="Arial Narrow" w:hAnsi="Arial Narrow"/>
                <w:sz w:val="20"/>
              </w:rPr>
              <w:t>Safety and tolerability of repeated SC injections of AA</w:t>
            </w:r>
          </w:p>
        </w:tc>
        <w:tc>
          <w:tcPr>
            <w:tcW w:w="1283" w:type="pct"/>
            <w:vAlign w:val="center"/>
          </w:tcPr>
          <w:p w:rsidR="005813B3" w:rsidRPr="009D4E8E" w:rsidRDefault="005813B3" w:rsidP="005123EA">
            <w:pPr>
              <w:keepNext/>
              <w:widowControl/>
              <w:jc w:val="center"/>
              <w:rPr>
                <w:rFonts w:ascii="Arial Narrow" w:hAnsi="Arial Narrow"/>
                <w:sz w:val="20"/>
              </w:rPr>
            </w:pPr>
            <w:r w:rsidRPr="009D4E8E">
              <w:rPr>
                <w:rFonts w:ascii="Arial Narrow" w:hAnsi="Arial Narrow"/>
                <w:sz w:val="20"/>
              </w:rPr>
              <w:t>Primary outcome: Not used</w:t>
            </w:r>
          </w:p>
          <w:p w:rsidR="005813B3" w:rsidRPr="00D06621" w:rsidRDefault="005813B3" w:rsidP="005123EA">
            <w:pPr>
              <w:keepNext/>
              <w:widowControl/>
              <w:jc w:val="center"/>
              <w:rPr>
                <w:rFonts w:ascii="Arial Narrow" w:hAnsi="Arial Narrow"/>
                <w:sz w:val="20"/>
              </w:rPr>
            </w:pPr>
            <w:r w:rsidRPr="009D4E8E">
              <w:rPr>
                <w:rFonts w:ascii="Arial Narrow" w:hAnsi="Arial Narrow"/>
                <w:sz w:val="20"/>
              </w:rPr>
              <w:t xml:space="preserve">Other outcome of overall survival </w:t>
            </w:r>
            <w:r>
              <w:rPr>
                <w:rFonts w:ascii="Arial Narrow" w:hAnsi="Arial Narrow"/>
                <w:sz w:val="20"/>
              </w:rPr>
              <w:t xml:space="preserve">and invasive ventilator-free survival </w:t>
            </w:r>
            <w:r w:rsidRPr="009D4E8E">
              <w:rPr>
                <w:rFonts w:ascii="Arial Narrow" w:hAnsi="Arial Narrow"/>
                <w:sz w:val="20"/>
              </w:rPr>
              <w:t xml:space="preserve">used in pooled comparative analysis </w:t>
            </w:r>
          </w:p>
        </w:tc>
      </w:tr>
      <w:tr w:rsidR="005813B3" w:rsidRPr="00D06621" w:rsidTr="005813B3">
        <w:trPr>
          <w:trHeight w:val="915"/>
          <w:tblHeader/>
        </w:trPr>
        <w:tc>
          <w:tcPr>
            <w:tcW w:w="582" w:type="pct"/>
            <w:tcBorders>
              <w:bottom w:val="dashed" w:sz="4" w:space="0" w:color="auto"/>
            </w:tcBorders>
            <w:vAlign w:val="center"/>
          </w:tcPr>
          <w:p w:rsidR="005813B3" w:rsidRPr="00A71057" w:rsidRDefault="005813B3" w:rsidP="005123EA">
            <w:pPr>
              <w:keepNext/>
              <w:widowControl/>
              <w:jc w:val="left"/>
              <w:rPr>
                <w:rFonts w:ascii="Arial Narrow" w:hAnsi="Arial Narrow"/>
                <w:sz w:val="20"/>
              </w:rPr>
            </w:pPr>
            <w:r w:rsidRPr="00A71057">
              <w:rPr>
                <w:rFonts w:ascii="Arial Narrow" w:hAnsi="Arial Narrow"/>
                <w:sz w:val="20"/>
              </w:rPr>
              <w:t>ENB-006-09</w:t>
            </w:r>
          </w:p>
        </w:tc>
        <w:tc>
          <w:tcPr>
            <w:tcW w:w="220" w:type="pct"/>
            <w:vMerge w:val="restart"/>
            <w:vAlign w:val="center"/>
          </w:tcPr>
          <w:p w:rsidR="005813B3" w:rsidRPr="00D06621" w:rsidRDefault="005813B3" w:rsidP="005123EA">
            <w:pPr>
              <w:keepNext/>
              <w:widowControl/>
              <w:jc w:val="center"/>
              <w:rPr>
                <w:rFonts w:ascii="Arial Narrow" w:hAnsi="Arial Narrow"/>
                <w:sz w:val="20"/>
              </w:rPr>
            </w:pPr>
            <w:r>
              <w:rPr>
                <w:rFonts w:ascii="Arial Narrow" w:hAnsi="Arial Narrow"/>
                <w:sz w:val="20"/>
              </w:rPr>
              <w:t>13</w:t>
            </w:r>
          </w:p>
          <w:p w:rsidR="005813B3" w:rsidRPr="00D06621" w:rsidRDefault="005813B3" w:rsidP="005123EA">
            <w:pPr>
              <w:keepNext/>
              <w:widowControl/>
              <w:jc w:val="center"/>
              <w:rPr>
                <w:rFonts w:ascii="Arial Narrow" w:hAnsi="Arial Narrow"/>
                <w:sz w:val="20"/>
              </w:rPr>
            </w:pPr>
            <w:r>
              <w:rPr>
                <w:rFonts w:ascii="Arial Narrow" w:hAnsi="Arial Narrow"/>
                <w:sz w:val="20"/>
              </w:rPr>
              <w:t>16</w:t>
            </w:r>
          </w:p>
        </w:tc>
        <w:tc>
          <w:tcPr>
            <w:tcW w:w="728" w:type="pct"/>
            <w:vMerge w:val="restart"/>
            <w:vAlign w:val="center"/>
          </w:tcPr>
          <w:p w:rsidR="005813B3" w:rsidRPr="00D06621" w:rsidRDefault="005813B3" w:rsidP="005123EA">
            <w:pPr>
              <w:keepNext/>
              <w:widowControl/>
              <w:jc w:val="center"/>
              <w:rPr>
                <w:rFonts w:ascii="Arial Narrow" w:hAnsi="Arial Narrow"/>
                <w:sz w:val="20"/>
              </w:rPr>
            </w:pPr>
            <w:proofErr w:type="spellStart"/>
            <w:r w:rsidRPr="00D06621">
              <w:rPr>
                <w:rFonts w:ascii="Arial Narrow" w:hAnsi="Arial Narrow"/>
                <w:sz w:val="20"/>
              </w:rPr>
              <w:t>Asfotase</w:t>
            </w:r>
            <w:proofErr w:type="spellEnd"/>
            <w:r w:rsidRPr="00D06621">
              <w:rPr>
                <w:rFonts w:ascii="Arial Narrow" w:hAnsi="Arial Narrow"/>
                <w:sz w:val="20"/>
              </w:rPr>
              <w:t xml:space="preserve"> alfa </w:t>
            </w:r>
            <w:proofErr w:type="spellStart"/>
            <w:r w:rsidRPr="00465F17">
              <w:rPr>
                <w:rFonts w:ascii="Arial Narrow" w:hAnsi="Arial Narrow"/>
                <w:i/>
                <w:sz w:val="20"/>
              </w:rPr>
              <w:t>rch</w:t>
            </w:r>
            <w:proofErr w:type="spellEnd"/>
          </w:p>
          <w:p w:rsidR="005813B3" w:rsidRPr="00D06621" w:rsidRDefault="005813B3" w:rsidP="005123EA">
            <w:pPr>
              <w:keepNext/>
              <w:widowControl/>
              <w:jc w:val="center"/>
              <w:rPr>
                <w:rFonts w:ascii="Arial Narrow" w:hAnsi="Arial Narrow"/>
                <w:sz w:val="20"/>
              </w:rPr>
            </w:pPr>
            <w:r>
              <w:rPr>
                <w:rFonts w:ascii="Arial Narrow" w:hAnsi="Arial Narrow"/>
                <w:sz w:val="20"/>
              </w:rPr>
              <w:t>Historical</w:t>
            </w:r>
            <w:r w:rsidRPr="00D06621">
              <w:rPr>
                <w:rFonts w:ascii="Arial Narrow" w:hAnsi="Arial Narrow"/>
                <w:sz w:val="20"/>
              </w:rPr>
              <w:t xml:space="preserve"> control group</w:t>
            </w:r>
          </w:p>
        </w:tc>
        <w:tc>
          <w:tcPr>
            <w:tcW w:w="364" w:type="pct"/>
            <w:vMerge w:val="restart"/>
            <w:vAlign w:val="center"/>
          </w:tcPr>
          <w:p w:rsidR="005813B3" w:rsidRDefault="005813B3" w:rsidP="005123EA">
            <w:pPr>
              <w:keepNext/>
              <w:widowControl/>
              <w:jc w:val="center"/>
              <w:rPr>
                <w:rFonts w:ascii="Arial Narrow" w:hAnsi="Arial Narrow"/>
                <w:sz w:val="20"/>
              </w:rPr>
            </w:pPr>
            <w:r>
              <w:rPr>
                <w:rFonts w:ascii="Arial Narrow" w:hAnsi="Arial Narrow"/>
                <w:sz w:val="20"/>
              </w:rPr>
              <w:t>OL</w:t>
            </w:r>
          </w:p>
        </w:tc>
        <w:tc>
          <w:tcPr>
            <w:tcW w:w="364" w:type="pct"/>
            <w:vMerge w:val="restart"/>
            <w:vAlign w:val="center"/>
          </w:tcPr>
          <w:p w:rsidR="005813B3" w:rsidRPr="005813B3" w:rsidRDefault="005813B3" w:rsidP="005123EA">
            <w:pPr>
              <w:keepNext/>
              <w:widowControl/>
              <w:jc w:val="center"/>
              <w:rPr>
                <w:rFonts w:ascii="Arial Narrow" w:hAnsi="Arial Narrow"/>
                <w:i/>
                <w:sz w:val="20"/>
              </w:rPr>
            </w:pPr>
            <w:r w:rsidRPr="005813B3">
              <w:rPr>
                <w:rFonts w:ascii="Arial Narrow" w:hAnsi="Arial Narrow"/>
                <w:i/>
                <w:sz w:val="20"/>
              </w:rPr>
              <w:t>High</w:t>
            </w:r>
          </w:p>
        </w:tc>
        <w:tc>
          <w:tcPr>
            <w:tcW w:w="1459" w:type="pct"/>
            <w:tcBorders>
              <w:bottom w:val="dashed" w:sz="4" w:space="0" w:color="auto"/>
            </w:tcBorders>
          </w:tcPr>
          <w:p w:rsidR="005813B3" w:rsidRDefault="005813B3" w:rsidP="005123EA">
            <w:pPr>
              <w:pStyle w:val="ListParagraph"/>
              <w:keepNext/>
              <w:widowControl/>
              <w:numPr>
                <w:ilvl w:val="0"/>
                <w:numId w:val="9"/>
              </w:numPr>
              <w:spacing w:after="0"/>
              <w:ind w:left="113" w:hanging="113"/>
              <w:jc w:val="left"/>
              <w:rPr>
                <w:rFonts w:ascii="Arial Narrow" w:hAnsi="Arial Narrow"/>
                <w:sz w:val="20"/>
              </w:rPr>
            </w:pPr>
            <w:r>
              <w:rPr>
                <w:rFonts w:ascii="Arial Narrow" w:hAnsi="Arial Narrow"/>
                <w:sz w:val="20"/>
              </w:rPr>
              <w:t xml:space="preserve">Effect of AA in treating HPP-related rickets as compared to historical controls </w:t>
            </w:r>
          </w:p>
          <w:p w:rsidR="005813B3" w:rsidRPr="00D06621" w:rsidRDefault="005813B3" w:rsidP="005123EA">
            <w:pPr>
              <w:pStyle w:val="ListParagraph"/>
              <w:keepNext/>
              <w:widowControl/>
              <w:numPr>
                <w:ilvl w:val="0"/>
                <w:numId w:val="9"/>
              </w:numPr>
              <w:spacing w:after="0"/>
              <w:ind w:left="113" w:hanging="113"/>
              <w:jc w:val="left"/>
              <w:rPr>
                <w:rFonts w:ascii="Arial Narrow" w:hAnsi="Arial Narrow"/>
                <w:sz w:val="20"/>
              </w:rPr>
            </w:pPr>
            <w:r>
              <w:rPr>
                <w:rFonts w:ascii="Arial Narrow" w:hAnsi="Arial Narrow"/>
                <w:sz w:val="20"/>
              </w:rPr>
              <w:t xml:space="preserve">Safety and tolerability of AA </w:t>
            </w:r>
          </w:p>
        </w:tc>
        <w:tc>
          <w:tcPr>
            <w:tcW w:w="1283" w:type="pct"/>
            <w:vMerge w:val="restart"/>
            <w:vAlign w:val="center"/>
          </w:tcPr>
          <w:p w:rsidR="005813B3" w:rsidRDefault="005813B3" w:rsidP="005123EA">
            <w:pPr>
              <w:keepNext/>
              <w:widowControl/>
              <w:jc w:val="center"/>
              <w:rPr>
                <w:rFonts w:ascii="Arial Narrow" w:hAnsi="Arial Narrow"/>
                <w:sz w:val="20"/>
              </w:rPr>
            </w:pPr>
            <w:r>
              <w:rPr>
                <w:rFonts w:ascii="Arial Narrow" w:hAnsi="Arial Narrow"/>
                <w:sz w:val="20"/>
              </w:rPr>
              <w:t>Primary outcome: Not used</w:t>
            </w:r>
          </w:p>
          <w:p w:rsidR="005813B3" w:rsidRPr="00D06621" w:rsidRDefault="005813B3" w:rsidP="005123EA">
            <w:pPr>
              <w:keepNext/>
              <w:widowControl/>
              <w:jc w:val="center"/>
              <w:rPr>
                <w:rFonts w:ascii="Arial Narrow" w:hAnsi="Arial Narrow"/>
                <w:sz w:val="20"/>
              </w:rPr>
            </w:pPr>
            <w:r>
              <w:rPr>
                <w:rFonts w:ascii="Arial Narrow" w:hAnsi="Arial Narrow"/>
                <w:sz w:val="20"/>
              </w:rPr>
              <w:t>Other outcome of change in 6MWT used for AA patients</w:t>
            </w:r>
          </w:p>
        </w:tc>
      </w:tr>
      <w:tr w:rsidR="005813B3" w:rsidRPr="00D06621" w:rsidTr="005813B3">
        <w:trPr>
          <w:trHeight w:val="1198"/>
          <w:tblHeader/>
        </w:trPr>
        <w:tc>
          <w:tcPr>
            <w:tcW w:w="582" w:type="pct"/>
            <w:tcBorders>
              <w:top w:val="dashed" w:sz="4" w:space="0" w:color="auto"/>
            </w:tcBorders>
            <w:vAlign w:val="center"/>
          </w:tcPr>
          <w:p w:rsidR="005813B3" w:rsidRPr="00A71057" w:rsidRDefault="005813B3" w:rsidP="005123EA">
            <w:pPr>
              <w:keepNext/>
              <w:widowControl/>
              <w:jc w:val="left"/>
              <w:rPr>
                <w:rFonts w:ascii="Arial Narrow" w:hAnsi="Arial Narrow"/>
                <w:sz w:val="20"/>
              </w:rPr>
            </w:pPr>
            <w:r w:rsidRPr="00A71057">
              <w:rPr>
                <w:rFonts w:ascii="Arial Narrow" w:hAnsi="Arial Narrow"/>
                <w:sz w:val="20"/>
              </w:rPr>
              <w:t>ENB-008-10</w:t>
            </w:r>
          </w:p>
        </w:tc>
        <w:tc>
          <w:tcPr>
            <w:tcW w:w="220" w:type="pct"/>
            <w:vMerge/>
            <w:vAlign w:val="center"/>
          </w:tcPr>
          <w:p w:rsidR="005813B3" w:rsidRDefault="005813B3" w:rsidP="005123EA">
            <w:pPr>
              <w:keepNext/>
              <w:widowControl/>
              <w:jc w:val="center"/>
              <w:rPr>
                <w:rFonts w:ascii="Arial Narrow" w:hAnsi="Arial Narrow"/>
                <w:sz w:val="20"/>
              </w:rPr>
            </w:pPr>
          </w:p>
        </w:tc>
        <w:tc>
          <w:tcPr>
            <w:tcW w:w="728" w:type="pct"/>
            <w:vMerge/>
            <w:vAlign w:val="center"/>
          </w:tcPr>
          <w:p w:rsidR="005813B3" w:rsidRPr="00D06621" w:rsidRDefault="005813B3" w:rsidP="005123EA">
            <w:pPr>
              <w:keepNext/>
              <w:widowControl/>
              <w:jc w:val="center"/>
              <w:rPr>
                <w:rFonts w:ascii="Arial Narrow" w:hAnsi="Arial Narrow"/>
                <w:sz w:val="20"/>
              </w:rPr>
            </w:pPr>
          </w:p>
        </w:tc>
        <w:tc>
          <w:tcPr>
            <w:tcW w:w="364" w:type="pct"/>
            <w:vMerge/>
            <w:vAlign w:val="center"/>
          </w:tcPr>
          <w:p w:rsidR="005813B3" w:rsidRDefault="005813B3" w:rsidP="005123EA">
            <w:pPr>
              <w:keepNext/>
              <w:widowControl/>
              <w:jc w:val="center"/>
              <w:rPr>
                <w:rFonts w:ascii="Arial Narrow" w:hAnsi="Arial Narrow"/>
                <w:sz w:val="20"/>
              </w:rPr>
            </w:pPr>
          </w:p>
        </w:tc>
        <w:tc>
          <w:tcPr>
            <w:tcW w:w="364" w:type="pct"/>
            <w:vMerge/>
            <w:vAlign w:val="center"/>
          </w:tcPr>
          <w:p w:rsidR="005813B3" w:rsidRPr="005813B3" w:rsidRDefault="005813B3" w:rsidP="005123EA">
            <w:pPr>
              <w:keepNext/>
              <w:widowControl/>
              <w:jc w:val="center"/>
              <w:rPr>
                <w:rFonts w:ascii="Arial Narrow" w:hAnsi="Arial Narrow"/>
                <w:i/>
                <w:sz w:val="20"/>
              </w:rPr>
            </w:pPr>
          </w:p>
        </w:tc>
        <w:tc>
          <w:tcPr>
            <w:tcW w:w="1459" w:type="pct"/>
            <w:tcBorders>
              <w:top w:val="dashed" w:sz="4" w:space="0" w:color="auto"/>
            </w:tcBorders>
          </w:tcPr>
          <w:p w:rsidR="005813B3" w:rsidRDefault="005813B3" w:rsidP="005123EA">
            <w:pPr>
              <w:pStyle w:val="ListParagraph"/>
              <w:keepNext/>
              <w:widowControl/>
              <w:numPr>
                <w:ilvl w:val="0"/>
                <w:numId w:val="9"/>
              </w:numPr>
              <w:spacing w:after="0"/>
              <w:ind w:left="113" w:hanging="113"/>
              <w:jc w:val="left"/>
              <w:rPr>
                <w:rFonts w:ascii="Arial Narrow" w:hAnsi="Arial Narrow"/>
                <w:sz w:val="20"/>
              </w:rPr>
            </w:pPr>
            <w:r>
              <w:rPr>
                <w:rFonts w:ascii="Arial Narrow" w:hAnsi="Arial Narrow"/>
                <w:sz w:val="20"/>
              </w:rPr>
              <w:t>Long-term tolerability of SC AA</w:t>
            </w:r>
          </w:p>
          <w:p w:rsidR="005813B3" w:rsidRDefault="005813B3" w:rsidP="005123EA">
            <w:pPr>
              <w:pStyle w:val="ListParagraph"/>
              <w:keepNext/>
              <w:widowControl/>
              <w:numPr>
                <w:ilvl w:val="0"/>
                <w:numId w:val="9"/>
              </w:numPr>
              <w:spacing w:after="0"/>
              <w:ind w:left="113" w:hanging="113"/>
              <w:jc w:val="left"/>
              <w:rPr>
                <w:rFonts w:ascii="Arial Narrow" w:hAnsi="Arial Narrow"/>
                <w:sz w:val="20"/>
              </w:rPr>
            </w:pPr>
            <w:r>
              <w:rPr>
                <w:rFonts w:ascii="Arial Narrow" w:hAnsi="Arial Narrow"/>
                <w:sz w:val="20"/>
              </w:rPr>
              <w:t xml:space="preserve">Proportion of AA-treated patients showing radiographic change in rickets severity from the Baseline of ENB-006-09 relative to the end of study visit </w:t>
            </w:r>
          </w:p>
        </w:tc>
        <w:tc>
          <w:tcPr>
            <w:tcW w:w="1283" w:type="pct"/>
            <w:vMerge/>
            <w:vAlign w:val="center"/>
          </w:tcPr>
          <w:p w:rsidR="005813B3" w:rsidRDefault="005813B3" w:rsidP="005123EA">
            <w:pPr>
              <w:keepNext/>
              <w:widowControl/>
              <w:jc w:val="center"/>
              <w:rPr>
                <w:rFonts w:ascii="Arial Narrow" w:hAnsi="Arial Narrow"/>
                <w:sz w:val="20"/>
              </w:rPr>
            </w:pPr>
          </w:p>
        </w:tc>
      </w:tr>
      <w:tr w:rsidR="005813B3" w:rsidRPr="00D06621" w:rsidTr="005813B3">
        <w:trPr>
          <w:tblHeader/>
        </w:trPr>
        <w:tc>
          <w:tcPr>
            <w:tcW w:w="582" w:type="pct"/>
            <w:vAlign w:val="center"/>
          </w:tcPr>
          <w:p w:rsidR="005813B3" w:rsidRPr="00D06621" w:rsidRDefault="005813B3" w:rsidP="005123EA">
            <w:pPr>
              <w:keepNext/>
              <w:widowControl/>
              <w:jc w:val="left"/>
              <w:rPr>
                <w:rFonts w:ascii="Arial Narrow" w:hAnsi="Arial Narrow"/>
                <w:sz w:val="20"/>
              </w:rPr>
            </w:pPr>
            <w:r>
              <w:rPr>
                <w:rFonts w:ascii="Arial Narrow" w:hAnsi="Arial Narrow"/>
                <w:sz w:val="20"/>
              </w:rPr>
              <w:t>ENB-011-10</w:t>
            </w:r>
          </w:p>
        </w:tc>
        <w:tc>
          <w:tcPr>
            <w:tcW w:w="220" w:type="pct"/>
            <w:vAlign w:val="center"/>
          </w:tcPr>
          <w:p w:rsidR="005813B3" w:rsidRPr="00D06621" w:rsidRDefault="005813B3" w:rsidP="005123EA">
            <w:pPr>
              <w:keepNext/>
              <w:widowControl/>
              <w:jc w:val="center"/>
              <w:rPr>
                <w:rFonts w:ascii="Arial Narrow" w:hAnsi="Arial Narrow"/>
                <w:sz w:val="20"/>
              </w:rPr>
            </w:pPr>
            <w:r>
              <w:rPr>
                <w:rFonts w:ascii="Arial Narrow" w:hAnsi="Arial Narrow"/>
                <w:sz w:val="20"/>
              </w:rPr>
              <w:t>48</w:t>
            </w:r>
          </w:p>
        </w:tc>
        <w:tc>
          <w:tcPr>
            <w:tcW w:w="728" w:type="pct"/>
            <w:vAlign w:val="center"/>
          </w:tcPr>
          <w:p w:rsidR="005813B3" w:rsidRPr="00D06621" w:rsidRDefault="005813B3" w:rsidP="005123EA">
            <w:pPr>
              <w:keepNext/>
              <w:widowControl/>
              <w:jc w:val="center"/>
              <w:rPr>
                <w:rFonts w:ascii="Arial Narrow" w:hAnsi="Arial Narrow"/>
                <w:sz w:val="20"/>
              </w:rPr>
            </w:pPr>
            <w:r>
              <w:rPr>
                <w:rFonts w:ascii="Arial Narrow" w:hAnsi="Arial Narrow"/>
                <w:sz w:val="20"/>
              </w:rPr>
              <w:t>Best supportive care</w:t>
            </w:r>
          </w:p>
        </w:tc>
        <w:tc>
          <w:tcPr>
            <w:tcW w:w="364" w:type="pct"/>
            <w:vAlign w:val="center"/>
          </w:tcPr>
          <w:p w:rsidR="005813B3" w:rsidRDefault="005813B3" w:rsidP="005123EA">
            <w:pPr>
              <w:keepNext/>
              <w:widowControl/>
              <w:jc w:val="center"/>
              <w:rPr>
                <w:rFonts w:ascii="Arial Narrow" w:hAnsi="Arial Narrow"/>
                <w:sz w:val="20"/>
              </w:rPr>
            </w:pPr>
            <w:r>
              <w:rPr>
                <w:rFonts w:ascii="Arial Narrow" w:hAnsi="Arial Narrow"/>
                <w:sz w:val="20"/>
              </w:rPr>
              <w:t>RR</w:t>
            </w:r>
          </w:p>
        </w:tc>
        <w:tc>
          <w:tcPr>
            <w:tcW w:w="364" w:type="pct"/>
            <w:vAlign w:val="center"/>
          </w:tcPr>
          <w:p w:rsidR="005813B3" w:rsidRPr="005813B3" w:rsidRDefault="005813B3" w:rsidP="005123EA">
            <w:pPr>
              <w:keepNext/>
              <w:widowControl/>
              <w:jc w:val="center"/>
              <w:rPr>
                <w:rFonts w:ascii="Arial Narrow" w:hAnsi="Arial Narrow"/>
                <w:i/>
                <w:sz w:val="20"/>
              </w:rPr>
            </w:pPr>
            <w:r>
              <w:rPr>
                <w:rFonts w:ascii="Arial Narrow" w:hAnsi="Arial Narrow"/>
                <w:i/>
                <w:sz w:val="20"/>
              </w:rPr>
              <w:t>High</w:t>
            </w:r>
          </w:p>
        </w:tc>
        <w:tc>
          <w:tcPr>
            <w:tcW w:w="1459" w:type="pct"/>
            <w:vAlign w:val="center"/>
          </w:tcPr>
          <w:p w:rsidR="005813B3" w:rsidRPr="001E1635" w:rsidRDefault="005813B3" w:rsidP="005123EA">
            <w:pPr>
              <w:pStyle w:val="ListParagraph"/>
              <w:keepNext/>
              <w:widowControl/>
              <w:numPr>
                <w:ilvl w:val="0"/>
                <w:numId w:val="9"/>
              </w:numPr>
              <w:spacing w:after="0"/>
              <w:ind w:left="113" w:hanging="113"/>
              <w:jc w:val="left"/>
              <w:rPr>
                <w:rFonts w:ascii="Arial Narrow" w:hAnsi="Arial Narrow"/>
                <w:sz w:val="20"/>
              </w:rPr>
            </w:pPr>
            <w:r w:rsidRPr="001E1635">
              <w:rPr>
                <w:rFonts w:ascii="Arial Narrow" w:hAnsi="Arial Narrow"/>
                <w:sz w:val="20"/>
              </w:rPr>
              <w:t>Overall survival</w:t>
            </w:r>
          </w:p>
        </w:tc>
        <w:tc>
          <w:tcPr>
            <w:tcW w:w="1283" w:type="pct"/>
            <w:vAlign w:val="center"/>
          </w:tcPr>
          <w:p w:rsidR="005813B3" w:rsidRPr="00D06621" w:rsidRDefault="005813B3" w:rsidP="005123EA">
            <w:pPr>
              <w:keepNext/>
              <w:widowControl/>
              <w:jc w:val="center"/>
              <w:rPr>
                <w:rFonts w:ascii="Arial Narrow" w:hAnsi="Arial Narrow"/>
                <w:sz w:val="20"/>
              </w:rPr>
            </w:pPr>
            <w:r>
              <w:rPr>
                <w:rFonts w:ascii="Arial Narrow" w:hAnsi="Arial Narrow"/>
                <w:sz w:val="20"/>
              </w:rPr>
              <w:t>Used in comparative analysis of overall survival and invasive ventilator-free survival</w:t>
            </w:r>
          </w:p>
        </w:tc>
      </w:tr>
      <w:tr w:rsidR="005813B3" w:rsidRPr="00D06621" w:rsidTr="005813B3">
        <w:trPr>
          <w:tblHeader/>
        </w:trPr>
        <w:tc>
          <w:tcPr>
            <w:tcW w:w="582" w:type="pct"/>
            <w:vAlign w:val="center"/>
          </w:tcPr>
          <w:p w:rsidR="005813B3" w:rsidRPr="00D06621" w:rsidRDefault="005813B3" w:rsidP="005123EA">
            <w:pPr>
              <w:keepNext/>
              <w:widowControl/>
              <w:jc w:val="left"/>
              <w:rPr>
                <w:rFonts w:ascii="Arial Narrow" w:hAnsi="Arial Narrow"/>
                <w:sz w:val="20"/>
              </w:rPr>
            </w:pPr>
            <w:r>
              <w:rPr>
                <w:rFonts w:ascii="Arial Narrow" w:hAnsi="Arial Narrow"/>
                <w:sz w:val="20"/>
              </w:rPr>
              <w:t xml:space="preserve">ALX-HPP-502 </w:t>
            </w:r>
          </w:p>
        </w:tc>
        <w:tc>
          <w:tcPr>
            <w:tcW w:w="220" w:type="pct"/>
            <w:vAlign w:val="center"/>
          </w:tcPr>
          <w:p w:rsidR="005813B3" w:rsidRPr="00D06621" w:rsidRDefault="005813B3" w:rsidP="005123EA">
            <w:pPr>
              <w:keepNext/>
              <w:widowControl/>
              <w:jc w:val="center"/>
              <w:rPr>
                <w:rFonts w:ascii="Arial Narrow" w:hAnsi="Arial Narrow"/>
                <w:sz w:val="20"/>
              </w:rPr>
            </w:pPr>
            <w:r>
              <w:rPr>
                <w:rFonts w:ascii="Arial Narrow" w:hAnsi="Arial Narrow"/>
                <w:sz w:val="20"/>
              </w:rPr>
              <w:t>32</w:t>
            </w:r>
          </w:p>
        </w:tc>
        <w:tc>
          <w:tcPr>
            <w:tcW w:w="728" w:type="pct"/>
            <w:vAlign w:val="center"/>
          </w:tcPr>
          <w:p w:rsidR="005813B3" w:rsidRPr="00D06621" w:rsidRDefault="005813B3" w:rsidP="005123EA">
            <w:pPr>
              <w:keepNext/>
              <w:widowControl/>
              <w:jc w:val="center"/>
              <w:rPr>
                <w:rFonts w:ascii="Arial Narrow" w:hAnsi="Arial Narrow"/>
                <w:sz w:val="20"/>
              </w:rPr>
            </w:pPr>
            <w:r>
              <w:rPr>
                <w:rFonts w:ascii="Arial Narrow" w:hAnsi="Arial Narrow"/>
                <w:sz w:val="20"/>
              </w:rPr>
              <w:t>Best supportive care</w:t>
            </w:r>
          </w:p>
        </w:tc>
        <w:tc>
          <w:tcPr>
            <w:tcW w:w="364" w:type="pct"/>
            <w:vAlign w:val="center"/>
          </w:tcPr>
          <w:p w:rsidR="005813B3" w:rsidRDefault="005813B3" w:rsidP="005123EA">
            <w:pPr>
              <w:keepNext/>
              <w:widowControl/>
              <w:jc w:val="center"/>
              <w:rPr>
                <w:rFonts w:ascii="Arial Narrow" w:hAnsi="Arial Narrow"/>
                <w:sz w:val="20"/>
              </w:rPr>
            </w:pPr>
            <w:r>
              <w:rPr>
                <w:rFonts w:ascii="Arial Narrow" w:hAnsi="Arial Narrow"/>
                <w:sz w:val="20"/>
              </w:rPr>
              <w:t>RR</w:t>
            </w:r>
          </w:p>
        </w:tc>
        <w:tc>
          <w:tcPr>
            <w:tcW w:w="364" w:type="pct"/>
            <w:vAlign w:val="center"/>
          </w:tcPr>
          <w:p w:rsidR="005813B3" w:rsidRPr="005813B3" w:rsidRDefault="005813B3" w:rsidP="005123EA">
            <w:pPr>
              <w:keepNext/>
              <w:widowControl/>
              <w:jc w:val="center"/>
              <w:rPr>
                <w:rFonts w:ascii="Arial Narrow" w:hAnsi="Arial Narrow"/>
                <w:i/>
                <w:sz w:val="20"/>
              </w:rPr>
            </w:pPr>
            <w:r>
              <w:rPr>
                <w:rFonts w:ascii="Arial Narrow" w:hAnsi="Arial Narrow"/>
                <w:i/>
                <w:sz w:val="20"/>
              </w:rPr>
              <w:t>High</w:t>
            </w:r>
          </w:p>
        </w:tc>
        <w:tc>
          <w:tcPr>
            <w:tcW w:w="1459" w:type="pct"/>
            <w:vAlign w:val="center"/>
          </w:tcPr>
          <w:p w:rsidR="005813B3" w:rsidRDefault="005813B3" w:rsidP="005123EA">
            <w:pPr>
              <w:pStyle w:val="ListParagraph"/>
              <w:keepNext/>
              <w:widowControl/>
              <w:numPr>
                <w:ilvl w:val="0"/>
                <w:numId w:val="9"/>
              </w:numPr>
              <w:spacing w:after="0"/>
              <w:ind w:left="113" w:hanging="113"/>
              <w:jc w:val="left"/>
              <w:rPr>
                <w:rFonts w:ascii="Arial Narrow" w:hAnsi="Arial Narrow"/>
                <w:sz w:val="20"/>
              </w:rPr>
            </w:pPr>
            <w:r>
              <w:rPr>
                <w:rFonts w:ascii="Arial Narrow" w:hAnsi="Arial Narrow"/>
                <w:sz w:val="20"/>
              </w:rPr>
              <w:t>Skeletal manifestations of HPP measured by using the RGI-C score</w:t>
            </w:r>
          </w:p>
          <w:p w:rsidR="005813B3" w:rsidRPr="001E1635" w:rsidRDefault="005813B3" w:rsidP="005123EA">
            <w:pPr>
              <w:pStyle w:val="ListParagraph"/>
              <w:keepNext/>
              <w:widowControl/>
              <w:numPr>
                <w:ilvl w:val="0"/>
                <w:numId w:val="9"/>
              </w:numPr>
              <w:spacing w:after="0"/>
              <w:ind w:left="113" w:hanging="113"/>
              <w:jc w:val="left"/>
              <w:rPr>
                <w:rFonts w:ascii="Arial Narrow" w:hAnsi="Arial Narrow"/>
                <w:sz w:val="20"/>
              </w:rPr>
            </w:pPr>
            <w:r>
              <w:rPr>
                <w:rFonts w:ascii="Arial Narrow" w:hAnsi="Arial Narrow"/>
                <w:sz w:val="20"/>
              </w:rPr>
              <w:t>Growth measured by change in height Z scores</w:t>
            </w:r>
          </w:p>
        </w:tc>
        <w:tc>
          <w:tcPr>
            <w:tcW w:w="1283" w:type="pct"/>
            <w:vAlign w:val="center"/>
          </w:tcPr>
          <w:p w:rsidR="005813B3" w:rsidRPr="00D06621" w:rsidRDefault="005813B3" w:rsidP="005123EA">
            <w:pPr>
              <w:keepNext/>
              <w:widowControl/>
              <w:jc w:val="center"/>
              <w:rPr>
                <w:rFonts w:ascii="Arial Narrow" w:hAnsi="Arial Narrow"/>
                <w:sz w:val="20"/>
              </w:rPr>
            </w:pPr>
            <w:r>
              <w:rPr>
                <w:rFonts w:ascii="Arial Narrow" w:hAnsi="Arial Narrow"/>
                <w:sz w:val="20"/>
              </w:rPr>
              <w:t>Not used</w:t>
            </w:r>
          </w:p>
        </w:tc>
      </w:tr>
      <w:tr w:rsidR="005813B3" w:rsidRPr="00D06621" w:rsidTr="005813B3">
        <w:trPr>
          <w:tblHeader/>
        </w:trPr>
        <w:tc>
          <w:tcPr>
            <w:tcW w:w="582" w:type="pct"/>
            <w:vAlign w:val="center"/>
          </w:tcPr>
          <w:p w:rsidR="005813B3" w:rsidRDefault="005813B3" w:rsidP="005123EA">
            <w:pPr>
              <w:keepNext/>
              <w:widowControl/>
              <w:jc w:val="left"/>
              <w:rPr>
                <w:rFonts w:ascii="Arial Narrow" w:hAnsi="Arial Narrow"/>
                <w:sz w:val="20"/>
              </w:rPr>
            </w:pPr>
            <w:r>
              <w:rPr>
                <w:rFonts w:ascii="Arial Narrow" w:hAnsi="Arial Narrow"/>
                <w:sz w:val="20"/>
              </w:rPr>
              <w:t xml:space="preserve">ALX-HPP-502 </w:t>
            </w:r>
            <w:proofErr w:type="spellStart"/>
            <w:r>
              <w:rPr>
                <w:rFonts w:ascii="Arial Narrow" w:hAnsi="Arial Narrow"/>
                <w:sz w:val="20"/>
              </w:rPr>
              <w:t>substudy</w:t>
            </w:r>
            <w:proofErr w:type="spellEnd"/>
          </w:p>
        </w:tc>
        <w:tc>
          <w:tcPr>
            <w:tcW w:w="220" w:type="pct"/>
            <w:vAlign w:val="center"/>
          </w:tcPr>
          <w:p w:rsidR="005813B3" w:rsidRPr="00D06621" w:rsidRDefault="005813B3" w:rsidP="005123EA">
            <w:pPr>
              <w:keepNext/>
              <w:widowControl/>
              <w:jc w:val="center"/>
              <w:rPr>
                <w:rFonts w:ascii="Arial Narrow" w:hAnsi="Arial Narrow"/>
                <w:sz w:val="20"/>
              </w:rPr>
            </w:pPr>
            <w:r>
              <w:rPr>
                <w:rFonts w:ascii="Arial Narrow" w:hAnsi="Arial Narrow"/>
                <w:sz w:val="20"/>
              </w:rPr>
              <w:t>6</w:t>
            </w:r>
          </w:p>
        </w:tc>
        <w:tc>
          <w:tcPr>
            <w:tcW w:w="728" w:type="pct"/>
            <w:vAlign w:val="center"/>
          </w:tcPr>
          <w:p w:rsidR="005813B3" w:rsidRDefault="005813B3" w:rsidP="005123EA">
            <w:pPr>
              <w:keepNext/>
              <w:widowControl/>
              <w:jc w:val="center"/>
              <w:rPr>
                <w:rFonts w:ascii="Arial Narrow" w:hAnsi="Arial Narrow"/>
                <w:sz w:val="20"/>
              </w:rPr>
            </w:pPr>
            <w:r>
              <w:rPr>
                <w:rFonts w:ascii="Arial Narrow" w:hAnsi="Arial Narrow"/>
                <w:sz w:val="20"/>
              </w:rPr>
              <w:t>Best supportive care</w:t>
            </w:r>
          </w:p>
        </w:tc>
        <w:tc>
          <w:tcPr>
            <w:tcW w:w="364" w:type="pct"/>
            <w:vAlign w:val="center"/>
          </w:tcPr>
          <w:p w:rsidR="005813B3" w:rsidRDefault="005813B3" w:rsidP="005123EA">
            <w:pPr>
              <w:keepNext/>
              <w:widowControl/>
              <w:jc w:val="center"/>
              <w:rPr>
                <w:rFonts w:ascii="Arial Narrow" w:hAnsi="Arial Narrow"/>
                <w:sz w:val="20"/>
              </w:rPr>
            </w:pPr>
            <w:r>
              <w:rPr>
                <w:rFonts w:ascii="Arial Narrow" w:hAnsi="Arial Narrow"/>
                <w:sz w:val="20"/>
              </w:rPr>
              <w:t>RR</w:t>
            </w:r>
          </w:p>
        </w:tc>
        <w:tc>
          <w:tcPr>
            <w:tcW w:w="364" w:type="pct"/>
            <w:vAlign w:val="center"/>
          </w:tcPr>
          <w:p w:rsidR="005813B3" w:rsidRPr="005813B3" w:rsidRDefault="005813B3" w:rsidP="005123EA">
            <w:pPr>
              <w:keepNext/>
              <w:widowControl/>
              <w:jc w:val="center"/>
              <w:rPr>
                <w:rFonts w:ascii="Arial Narrow" w:hAnsi="Arial Narrow"/>
                <w:i/>
                <w:sz w:val="20"/>
              </w:rPr>
            </w:pPr>
            <w:r>
              <w:rPr>
                <w:rFonts w:ascii="Arial Narrow" w:hAnsi="Arial Narrow"/>
                <w:i/>
                <w:sz w:val="20"/>
              </w:rPr>
              <w:t>High</w:t>
            </w:r>
          </w:p>
        </w:tc>
        <w:tc>
          <w:tcPr>
            <w:tcW w:w="1459" w:type="pct"/>
            <w:vAlign w:val="center"/>
          </w:tcPr>
          <w:p w:rsidR="005813B3" w:rsidRPr="001E1635" w:rsidRDefault="005813B3" w:rsidP="005123EA">
            <w:pPr>
              <w:pStyle w:val="ListParagraph"/>
              <w:keepNext/>
              <w:widowControl/>
              <w:numPr>
                <w:ilvl w:val="0"/>
                <w:numId w:val="9"/>
              </w:numPr>
              <w:spacing w:after="0"/>
              <w:ind w:left="113" w:hanging="113"/>
              <w:jc w:val="left"/>
              <w:rPr>
                <w:rFonts w:ascii="Arial Narrow" w:hAnsi="Arial Narrow"/>
                <w:sz w:val="20"/>
              </w:rPr>
            </w:pPr>
            <w:r>
              <w:rPr>
                <w:rFonts w:ascii="Arial Narrow" w:hAnsi="Arial Narrow"/>
                <w:sz w:val="20"/>
              </w:rPr>
              <w:t>Gait performance evaluated from recorded video measured by the MPOMA-G</w:t>
            </w:r>
          </w:p>
        </w:tc>
        <w:tc>
          <w:tcPr>
            <w:tcW w:w="1283" w:type="pct"/>
            <w:vAlign w:val="center"/>
          </w:tcPr>
          <w:p w:rsidR="005813B3" w:rsidRPr="00D06621" w:rsidRDefault="005813B3" w:rsidP="005123EA">
            <w:pPr>
              <w:keepNext/>
              <w:widowControl/>
              <w:jc w:val="center"/>
              <w:rPr>
                <w:rFonts w:ascii="Arial Narrow" w:hAnsi="Arial Narrow"/>
                <w:sz w:val="20"/>
              </w:rPr>
            </w:pPr>
            <w:r>
              <w:rPr>
                <w:rFonts w:ascii="Arial Narrow" w:hAnsi="Arial Narrow"/>
                <w:sz w:val="20"/>
              </w:rPr>
              <w:t>Not used</w:t>
            </w:r>
          </w:p>
        </w:tc>
      </w:tr>
    </w:tbl>
    <w:p w:rsidR="00B10DD6" w:rsidRPr="00B85F9A" w:rsidRDefault="000C1E22" w:rsidP="005123EA">
      <w:pPr>
        <w:widowControl/>
        <w:tabs>
          <w:tab w:val="left" w:pos="284"/>
        </w:tabs>
        <w:rPr>
          <w:rFonts w:ascii="Arial Narrow" w:hAnsi="Arial Narrow"/>
          <w:sz w:val="18"/>
          <w:szCs w:val="18"/>
        </w:rPr>
      </w:pPr>
      <w:r>
        <w:rPr>
          <w:rFonts w:ascii="Arial Narrow" w:hAnsi="Arial Narrow"/>
          <w:sz w:val="18"/>
          <w:szCs w:val="18"/>
        </w:rPr>
        <w:t>*</w:t>
      </w:r>
      <w:r>
        <w:rPr>
          <w:rFonts w:ascii="Arial Narrow" w:hAnsi="Arial Narrow"/>
          <w:sz w:val="18"/>
          <w:szCs w:val="18"/>
        </w:rPr>
        <w:tab/>
      </w:r>
      <w:r w:rsidR="00B10DD6" w:rsidRPr="00B85F9A">
        <w:rPr>
          <w:rFonts w:ascii="Arial Narrow" w:hAnsi="Arial Narrow"/>
          <w:sz w:val="18"/>
          <w:szCs w:val="18"/>
        </w:rPr>
        <w:t>Concurrent control group for the first 24 weeks of the trial</w:t>
      </w:r>
    </w:p>
    <w:p w:rsidR="00B10DD6" w:rsidRPr="002C1B8C" w:rsidRDefault="00B10DD6" w:rsidP="005123EA">
      <w:pPr>
        <w:widowControl/>
        <w:rPr>
          <w:rFonts w:ascii="Arial Narrow" w:hAnsi="Arial Narrow"/>
          <w:i/>
          <w:sz w:val="18"/>
          <w:szCs w:val="18"/>
        </w:rPr>
      </w:pPr>
      <w:r>
        <w:rPr>
          <w:rFonts w:ascii="Arial Narrow" w:hAnsi="Arial Narrow"/>
          <w:sz w:val="18"/>
          <w:szCs w:val="18"/>
        </w:rPr>
        <w:t xml:space="preserve">OL=open-label; R=randomised; RR=retrospective review; RGI-C = radiographic global impression of change; MPOMA-G = modified performance-oriented mobility assessment; 6MWT = six-minute walk test; PLP = pyridoxal 5’-phosphate; </w:t>
      </w:r>
      <w:proofErr w:type="spellStart"/>
      <w:r>
        <w:rPr>
          <w:rFonts w:ascii="Arial Narrow" w:hAnsi="Arial Narrow"/>
          <w:sz w:val="18"/>
          <w:szCs w:val="18"/>
        </w:rPr>
        <w:t>PPi</w:t>
      </w:r>
      <w:proofErr w:type="spellEnd"/>
      <w:r>
        <w:rPr>
          <w:rFonts w:ascii="Arial Narrow" w:hAnsi="Arial Narrow"/>
          <w:sz w:val="18"/>
          <w:szCs w:val="18"/>
        </w:rPr>
        <w:t xml:space="preserve"> = inorganic pyrophosphate; AA = </w:t>
      </w:r>
      <w:proofErr w:type="spellStart"/>
      <w:r>
        <w:rPr>
          <w:rFonts w:ascii="Arial Narrow" w:hAnsi="Arial Narrow"/>
          <w:sz w:val="18"/>
          <w:szCs w:val="18"/>
        </w:rPr>
        <w:t>asfotase</w:t>
      </w:r>
      <w:proofErr w:type="spellEnd"/>
      <w:r>
        <w:rPr>
          <w:rFonts w:ascii="Arial Narrow" w:hAnsi="Arial Narrow"/>
          <w:sz w:val="18"/>
          <w:szCs w:val="18"/>
        </w:rPr>
        <w:t xml:space="preserve"> alfa </w:t>
      </w:r>
      <w:proofErr w:type="spellStart"/>
      <w:r w:rsidR="00465F17" w:rsidRPr="00465F17">
        <w:rPr>
          <w:rFonts w:ascii="Arial Narrow" w:hAnsi="Arial Narrow"/>
          <w:i/>
          <w:sz w:val="18"/>
          <w:szCs w:val="18"/>
        </w:rPr>
        <w:t>rch</w:t>
      </w:r>
      <w:proofErr w:type="spellEnd"/>
      <w:r>
        <w:rPr>
          <w:rFonts w:ascii="Arial Narrow" w:hAnsi="Arial Narrow"/>
          <w:i/>
          <w:sz w:val="18"/>
          <w:szCs w:val="18"/>
        </w:rPr>
        <w:t xml:space="preserve">; </w:t>
      </w:r>
      <w:r w:rsidRPr="002C1B8C">
        <w:rPr>
          <w:rFonts w:ascii="Arial Narrow" w:hAnsi="Arial Narrow"/>
          <w:sz w:val="18"/>
          <w:szCs w:val="18"/>
        </w:rPr>
        <w:t xml:space="preserve">HPP = </w:t>
      </w:r>
      <w:proofErr w:type="spellStart"/>
      <w:r w:rsidRPr="002C1B8C">
        <w:rPr>
          <w:rFonts w:ascii="Arial Narrow" w:hAnsi="Arial Narrow"/>
          <w:sz w:val="18"/>
          <w:szCs w:val="18"/>
        </w:rPr>
        <w:t>hypophosphatasia</w:t>
      </w:r>
      <w:proofErr w:type="spellEnd"/>
      <w:r w:rsidRPr="002C1B8C">
        <w:rPr>
          <w:rFonts w:ascii="Arial Narrow" w:hAnsi="Arial Narrow"/>
          <w:sz w:val="18"/>
          <w:szCs w:val="18"/>
        </w:rPr>
        <w:t>; SC =subcutaneous; IV = intravenous</w:t>
      </w:r>
    </w:p>
    <w:p w:rsidR="00B10DD6" w:rsidRDefault="00B10DD6" w:rsidP="005123EA">
      <w:pPr>
        <w:widowControl/>
        <w:rPr>
          <w:rFonts w:ascii="Arial Narrow" w:hAnsi="Arial Narrow"/>
          <w:sz w:val="18"/>
          <w:szCs w:val="18"/>
        </w:rPr>
      </w:pPr>
      <w:r w:rsidRPr="00D06621">
        <w:rPr>
          <w:rFonts w:ascii="Arial Narrow" w:hAnsi="Arial Narrow"/>
          <w:sz w:val="18"/>
          <w:szCs w:val="18"/>
        </w:rPr>
        <w:t xml:space="preserve">Source: </w:t>
      </w:r>
      <w:r>
        <w:rPr>
          <w:rFonts w:ascii="Arial Narrow" w:hAnsi="Arial Narrow"/>
          <w:sz w:val="18"/>
          <w:szCs w:val="18"/>
        </w:rPr>
        <w:t>c</w:t>
      </w:r>
      <w:r w:rsidRPr="00D06621">
        <w:rPr>
          <w:rFonts w:ascii="Arial Narrow" w:hAnsi="Arial Narrow"/>
          <w:sz w:val="18"/>
          <w:szCs w:val="18"/>
        </w:rPr>
        <w:t>ompiled during the evaluation</w:t>
      </w:r>
    </w:p>
    <w:p w:rsidR="00B10DD6" w:rsidRPr="00D06621" w:rsidRDefault="00B10DD6" w:rsidP="005123EA">
      <w:pPr>
        <w:widowControl/>
        <w:rPr>
          <w:rFonts w:ascii="Arial Narrow" w:hAnsi="Arial Narrow"/>
          <w:sz w:val="18"/>
          <w:szCs w:val="18"/>
        </w:rPr>
      </w:pPr>
    </w:p>
    <w:p w:rsidR="007B78A5" w:rsidRPr="007B78A5" w:rsidRDefault="007B78A5" w:rsidP="005123EA">
      <w:pPr>
        <w:pStyle w:val="ListParagraph"/>
        <w:widowControl/>
        <w:numPr>
          <w:ilvl w:val="1"/>
          <w:numId w:val="2"/>
        </w:numPr>
        <w:contextualSpacing w:val="0"/>
        <w:rPr>
          <w:rFonts w:asciiTheme="minorHAnsi" w:hAnsiTheme="minorHAnsi"/>
          <w:i/>
        </w:rPr>
      </w:pPr>
      <w:r w:rsidRPr="00F471D7">
        <w:rPr>
          <w:rFonts w:asciiTheme="minorHAnsi" w:hAnsiTheme="minorHAnsi"/>
        </w:rPr>
        <w:t xml:space="preserve">While the </w:t>
      </w:r>
      <w:r>
        <w:rPr>
          <w:rFonts w:asciiTheme="minorHAnsi" w:hAnsiTheme="minorHAnsi"/>
        </w:rPr>
        <w:t xml:space="preserve">pivotal </w:t>
      </w:r>
      <w:r w:rsidRPr="00F471D7">
        <w:rPr>
          <w:rFonts w:asciiTheme="minorHAnsi" w:hAnsiTheme="minorHAnsi"/>
        </w:rPr>
        <w:t>trial</w:t>
      </w:r>
      <w:r>
        <w:rPr>
          <w:rFonts w:asciiTheme="minorHAnsi" w:hAnsiTheme="minorHAnsi"/>
        </w:rPr>
        <w:t xml:space="preserve">, </w:t>
      </w:r>
      <w:r w:rsidRPr="007B78A5">
        <w:rPr>
          <w:rFonts w:asciiTheme="minorHAnsi" w:hAnsiTheme="minorHAnsi"/>
        </w:rPr>
        <w:t>ENB-009-10</w:t>
      </w:r>
      <w:r>
        <w:rPr>
          <w:rFonts w:asciiTheme="minorHAnsi" w:hAnsiTheme="minorHAnsi"/>
        </w:rPr>
        <w:t>,</w:t>
      </w:r>
      <w:r w:rsidRPr="00F471D7">
        <w:rPr>
          <w:rFonts w:asciiTheme="minorHAnsi" w:hAnsiTheme="minorHAnsi"/>
        </w:rPr>
        <w:t xml:space="preserve"> was open-label, the</w:t>
      </w:r>
      <w:r w:rsidR="00B0493F">
        <w:rPr>
          <w:rFonts w:asciiTheme="minorHAnsi" w:hAnsiTheme="minorHAnsi"/>
        </w:rPr>
        <w:t xml:space="preserve"> objective</w:t>
      </w:r>
      <w:r w:rsidRPr="00F471D7">
        <w:rPr>
          <w:rFonts w:asciiTheme="minorHAnsi" w:hAnsiTheme="minorHAnsi"/>
        </w:rPr>
        <w:t xml:space="preserve"> outcomes </w:t>
      </w:r>
      <w:r>
        <w:rPr>
          <w:rFonts w:asciiTheme="minorHAnsi" w:hAnsiTheme="minorHAnsi"/>
        </w:rPr>
        <w:t xml:space="preserve">of </w:t>
      </w:r>
      <w:r w:rsidRPr="007B78A5">
        <w:rPr>
          <w:rFonts w:asciiTheme="minorHAnsi" w:hAnsiTheme="minorHAnsi"/>
        </w:rPr>
        <w:t xml:space="preserve">reduction in plasma </w:t>
      </w:r>
      <w:r w:rsidRPr="00D378F5">
        <w:rPr>
          <w:rFonts w:asciiTheme="minorHAnsi" w:hAnsiTheme="minorHAnsi"/>
        </w:rPr>
        <w:t>pyridoxal 5’-phosphate</w:t>
      </w:r>
      <w:r>
        <w:rPr>
          <w:rFonts w:asciiTheme="minorHAnsi" w:hAnsiTheme="minorHAnsi"/>
        </w:rPr>
        <w:t xml:space="preserve"> (PLP) and</w:t>
      </w:r>
      <w:r w:rsidRPr="00D378F5">
        <w:rPr>
          <w:rFonts w:asciiTheme="minorHAnsi" w:hAnsiTheme="minorHAnsi"/>
        </w:rPr>
        <w:t xml:space="preserve"> inorganic pyrophosphate</w:t>
      </w:r>
      <w:r>
        <w:rPr>
          <w:rFonts w:asciiTheme="minorHAnsi" w:hAnsiTheme="minorHAnsi"/>
        </w:rPr>
        <w:t xml:space="preserve"> (</w:t>
      </w:r>
      <w:proofErr w:type="spellStart"/>
      <w:r>
        <w:rPr>
          <w:rFonts w:asciiTheme="minorHAnsi" w:hAnsiTheme="minorHAnsi"/>
        </w:rPr>
        <w:t>PPi</w:t>
      </w:r>
      <w:proofErr w:type="spellEnd"/>
      <w:r>
        <w:rPr>
          <w:rFonts w:asciiTheme="minorHAnsi" w:hAnsiTheme="minorHAnsi"/>
        </w:rPr>
        <w:t>) levels</w:t>
      </w:r>
      <w:r w:rsidRPr="007B78A5">
        <w:rPr>
          <w:rFonts w:asciiTheme="minorHAnsi" w:hAnsiTheme="minorHAnsi"/>
        </w:rPr>
        <w:t xml:space="preserve"> </w:t>
      </w:r>
      <w:r w:rsidRPr="00F471D7">
        <w:rPr>
          <w:rFonts w:asciiTheme="minorHAnsi" w:hAnsiTheme="minorHAnsi"/>
        </w:rPr>
        <w:t xml:space="preserve">were not likely to have been influenced by any bias associated with knowledge of treatment allocation. </w:t>
      </w:r>
    </w:p>
    <w:p w:rsidR="00B10DD6" w:rsidRPr="000E7B17" w:rsidRDefault="00B10DD6" w:rsidP="005123EA">
      <w:pPr>
        <w:pStyle w:val="ListParagraph"/>
        <w:widowControl/>
        <w:numPr>
          <w:ilvl w:val="1"/>
          <w:numId w:val="2"/>
        </w:numPr>
        <w:contextualSpacing w:val="0"/>
        <w:rPr>
          <w:rFonts w:asciiTheme="minorHAnsi" w:hAnsiTheme="minorHAnsi"/>
        </w:rPr>
      </w:pPr>
      <w:r w:rsidRPr="000E7B17">
        <w:rPr>
          <w:rFonts w:asciiTheme="minorHAnsi" w:hAnsiTheme="minorHAnsi"/>
        </w:rPr>
        <w:t>The economic model was based on the outcome of changes in the six-minute walk test (6MWT), overall survival and invasive ventilator-free</w:t>
      </w:r>
      <w:r w:rsidR="00C4198B" w:rsidRPr="000E7B17">
        <w:rPr>
          <w:rFonts w:asciiTheme="minorHAnsi" w:hAnsiTheme="minorHAnsi"/>
        </w:rPr>
        <w:t xml:space="preserve"> survival, as detailed in Table </w:t>
      </w:r>
      <w:r w:rsidR="000C1E22" w:rsidRPr="000E7B17">
        <w:rPr>
          <w:rFonts w:asciiTheme="minorHAnsi" w:hAnsiTheme="minorHAnsi"/>
        </w:rPr>
        <w:t>3</w:t>
      </w:r>
      <w:r w:rsidRPr="000E7B17">
        <w:rPr>
          <w:rFonts w:asciiTheme="minorHAnsi" w:hAnsiTheme="minorHAnsi"/>
        </w:rPr>
        <w:t>.</w:t>
      </w:r>
      <w:r w:rsidR="00A2380C" w:rsidRPr="000E7B17">
        <w:rPr>
          <w:rFonts w:asciiTheme="minorHAnsi" w:hAnsiTheme="minorHAnsi"/>
        </w:rPr>
        <w:t xml:space="preserve"> The ESC noted that none of the clinical trials presented used the 6MWT as a primary </w:t>
      </w:r>
      <w:proofErr w:type="gramStart"/>
      <w:r w:rsidR="00A2380C" w:rsidRPr="000E7B17">
        <w:rPr>
          <w:rFonts w:asciiTheme="minorHAnsi" w:hAnsiTheme="minorHAnsi"/>
        </w:rPr>
        <w:t>outcome,</w:t>
      </w:r>
      <w:proofErr w:type="gramEnd"/>
      <w:r w:rsidR="00A2380C" w:rsidRPr="000E7B17">
        <w:rPr>
          <w:rFonts w:asciiTheme="minorHAnsi" w:hAnsiTheme="minorHAnsi"/>
        </w:rPr>
        <w:t xml:space="preserve"> therefore, the economic model </w:t>
      </w:r>
      <w:r w:rsidR="000F591B">
        <w:rPr>
          <w:rFonts w:asciiTheme="minorHAnsi" w:hAnsiTheme="minorHAnsi"/>
        </w:rPr>
        <w:t>wa</w:t>
      </w:r>
      <w:r w:rsidR="00A131F1" w:rsidRPr="000E7B17">
        <w:rPr>
          <w:rFonts w:asciiTheme="minorHAnsi" w:hAnsiTheme="minorHAnsi"/>
        </w:rPr>
        <w:t>s reliant</w:t>
      </w:r>
      <w:r w:rsidR="00A2380C" w:rsidRPr="000E7B17">
        <w:rPr>
          <w:rFonts w:asciiTheme="minorHAnsi" w:hAnsiTheme="minorHAnsi"/>
        </w:rPr>
        <w:t xml:space="preserve"> on secondary outcomes or post-hoc analyses.</w:t>
      </w:r>
    </w:p>
    <w:p w:rsidR="00B10DD6" w:rsidRPr="000E7B17" w:rsidRDefault="00B10DD6" w:rsidP="005123EA">
      <w:pPr>
        <w:pStyle w:val="ListParagraph"/>
        <w:widowControl/>
        <w:numPr>
          <w:ilvl w:val="1"/>
          <w:numId w:val="2"/>
        </w:numPr>
        <w:contextualSpacing w:val="0"/>
        <w:rPr>
          <w:rFonts w:asciiTheme="minorHAnsi" w:hAnsiTheme="minorHAnsi"/>
        </w:rPr>
      </w:pPr>
      <w:r>
        <w:rPr>
          <w:rFonts w:asciiTheme="minorHAnsi" w:hAnsiTheme="minorHAnsi"/>
        </w:rPr>
        <w:t>The direct randomised trial ENB-009-10 did not include overall survival or invasive ventilator-free survival as an outcome, and the primary outcome from this trial of the e</w:t>
      </w:r>
      <w:r w:rsidRPr="002C1B8C">
        <w:rPr>
          <w:rFonts w:asciiTheme="minorHAnsi" w:hAnsiTheme="minorHAnsi"/>
        </w:rPr>
        <w:t xml:space="preserve">ffect of </w:t>
      </w:r>
      <w:proofErr w:type="spellStart"/>
      <w:r>
        <w:rPr>
          <w:rFonts w:asciiTheme="minorHAnsi" w:hAnsiTheme="minorHAnsi"/>
        </w:rPr>
        <w:t>asfotase</w:t>
      </w:r>
      <w:proofErr w:type="spellEnd"/>
      <w:r>
        <w:rPr>
          <w:rFonts w:asciiTheme="minorHAnsi" w:hAnsiTheme="minorHAnsi"/>
        </w:rPr>
        <w:t xml:space="preserve"> alfa </w:t>
      </w:r>
      <w:proofErr w:type="spellStart"/>
      <w:r w:rsidR="00465F17" w:rsidRPr="00465F17">
        <w:rPr>
          <w:rFonts w:asciiTheme="minorHAnsi" w:hAnsiTheme="minorHAnsi"/>
          <w:i/>
        </w:rPr>
        <w:t>rch</w:t>
      </w:r>
      <w:proofErr w:type="spellEnd"/>
      <w:r>
        <w:rPr>
          <w:rFonts w:asciiTheme="minorHAnsi" w:hAnsiTheme="minorHAnsi"/>
        </w:rPr>
        <w:t xml:space="preserve"> </w:t>
      </w:r>
      <w:r w:rsidRPr="002C1B8C">
        <w:rPr>
          <w:rFonts w:asciiTheme="minorHAnsi" w:hAnsiTheme="minorHAnsi"/>
        </w:rPr>
        <w:t>on reduc</w:t>
      </w:r>
      <w:r>
        <w:rPr>
          <w:rFonts w:asciiTheme="minorHAnsi" w:hAnsiTheme="minorHAnsi"/>
        </w:rPr>
        <w:t>ing</w:t>
      </w:r>
      <w:r w:rsidRPr="002C1B8C">
        <w:rPr>
          <w:rFonts w:asciiTheme="minorHAnsi" w:hAnsiTheme="minorHAnsi"/>
        </w:rPr>
        <w:t xml:space="preserve"> plasma </w:t>
      </w:r>
      <w:r w:rsidRPr="00D378F5">
        <w:rPr>
          <w:rFonts w:asciiTheme="minorHAnsi" w:hAnsiTheme="minorHAnsi"/>
        </w:rPr>
        <w:t>pyridoxal 5’-phosphate</w:t>
      </w:r>
      <w:r>
        <w:rPr>
          <w:rFonts w:asciiTheme="minorHAnsi" w:hAnsiTheme="minorHAnsi"/>
        </w:rPr>
        <w:t xml:space="preserve"> (PLP) and</w:t>
      </w:r>
      <w:r w:rsidRPr="00D378F5">
        <w:rPr>
          <w:rFonts w:asciiTheme="minorHAnsi" w:hAnsiTheme="minorHAnsi"/>
        </w:rPr>
        <w:t xml:space="preserve"> inorganic pyrophosphate</w:t>
      </w:r>
      <w:r>
        <w:rPr>
          <w:rFonts w:asciiTheme="minorHAnsi" w:hAnsiTheme="minorHAnsi"/>
        </w:rPr>
        <w:t xml:space="preserve"> (</w:t>
      </w:r>
      <w:proofErr w:type="spellStart"/>
      <w:r>
        <w:rPr>
          <w:rFonts w:asciiTheme="minorHAnsi" w:hAnsiTheme="minorHAnsi"/>
        </w:rPr>
        <w:t>PPi</w:t>
      </w:r>
      <w:proofErr w:type="spellEnd"/>
      <w:r>
        <w:rPr>
          <w:rFonts w:asciiTheme="minorHAnsi" w:hAnsiTheme="minorHAnsi"/>
        </w:rPr>
        <w:t xml:space="preserve">) levels was </w:t>
      </w:r>
      <w:r w:rsidR="001A1B03">
        <w:rPr>
          <w:rFonts w:asciiTheme="minorHAnsi" w:hAnsiTheme="minorHAnsi"/>
        </w:rPr>
        <w:t>not used in the economic model.</w:t>
      </w:r>
      <w:r>
        <w:rPr>
          <w:rFonts w:asciiTheme="minorHAnsi" w:hAnsiTheme="minorHAnsi"/>
        </w:rPr>
        <w:t xml:space="preserve"> </w:t>
      </w:r>
      <w:r w:rsidRPr="000450EC">
        <w:rPr>
          <w:rFonts w:asciiTheme="minorHAnsi" w:hAnsiTheme="minorHAnsi"/>
        </w:rPr>
        <w:t xml:space="preserve">Results of change in 6MWT distance from Trial ENB-009-10 were used in the economic model in conjunction with results for this outcome from Trial ENB-006-09/ENB-008-10 (after </w:t>
      </w:r>
      <w:r w:rsidRPr="00F471D7">
        <w:rPr>
          <w:rFonts w:asciiTheme="minorHAnsi" w:hAnsiTheme="minorHAnsi"/>
        </w:rPr>
        <w:t xml:space="preserve">transformation by the submission), however it was not clear in the submission where the results for change in 6MWT distance for the BSC treatment group </w:t>
      </w:r>
      <w:r w:rsidR="00DE38E2" w:rsidRPr="00F471D7">
        <w:rPr>
          <w:rFonts w:asciiTheme="minorHAnsi" w:hAnsiTheme="minorHAnsi"/>
        </w:rPr>
        <w:t>were derived</w:t>
      </w:r>
      <w:r w:rsidRPr="00F471D7">
        <w:rPr>
          <w:rFonts w:asciiTheme="minorHAnsi" w:hAnsiTheme="minorHAnsi"/>
        </w:rPr>
        <w:t>.</w:t>
      </w:r>
      <w:r w:rsidR="00540116" w:rsidRPr="00F471D7">
        <w:rPr>
          <w:rFonts w:asciiTheme="minorHAnsi" w:hAnsiTheme="minorHAnsi"/>
        </w:rPr>
        <w:t xml:space="preserve"> </w:t>
      </w:r>
      <w:r w:rsidRPr="000E7B17">
        <w:rPr>
          <w:rFonts w:asciiTheme="minorHAnsi" w:hAnsiTheme="minorHAnsi"/>
        </w:rPr>
        <w:t xml:space="preserve">The submission’s use of change in 6MWT distance as a proxy for disease state severity for patients with HPP </w:t>
      </w:r>
      <w:r w:rsidR="000450EC" w:rsidRPr="000E7B17">
        <w:rPr>
          <w:rFonts w:asciiTheme="minorHAnsi" w:hAnsiTheme="minorHAnsi"/>
        </w:rPr>
        <w:t xml:space="preserve">may </w:t>
      </w:r>
      <w:r w:rsidR="00963601" w:rsidRPr="000E7B17">
        <w:rPr>
          <w:rFonts w:asciiTheme="minorHAnsi" w:hAnsiTheme="minorHAnsi"/>
        </w:rPr>
        <w:t xml:space="preserve">not </w:t>
      </w:r>
      <w:r w:rsidRPr="000E7B17">
        <w:rPr>
          <w:rFonts w:asciiTheme="minorHAnsi" w:hAnsiTheme="minorHAnsi"/>
        </w:rPr>
        <w:t>capture other important aspects of HPP such as skeleton and joint deformity and renal and neurological complications.</w:t>
      </w:r>
      <w:r w:rsidR="0085121A" w:rsidRPr="000E7B17">
        <w:rPr>
          <w:rFonts w:asciiTheme="minorHAnsi" w:hAnsiTheme="minorHAnsi"/>
          <w:szCs w:val="24"/>
        </w:rPr>
        <w:t xml:space="preserve"> The PSCR</w:t>
      </w:r>
      <w:r w:rsidR="006E5375" w:rsidRPr="000E7B17">
        <w:rPr>
          <w:rFonts w:asciiTheme="minorHAnsi" w:hAnsiTheme="minorHAnsi"/>
          <w:szCs w:val="24"/>
        </w:rPr>
        <w:t xml:space="preserve"> (p2)</w:t>
      </w:r>
      <w:r w:rsidR="00C67D65" w:rsidRPr="000E7B17">
        <w:rPr>
          <w:rFonts w:asciiTheme="minorHAnsi" w:hAnsiTheme="minorHAnsi"/>
          <w:szCs w:val="24"/>
        </w:rPr>
        <w:t xml:space="preserve"> </w:t>
      </w:r>
      <w:r w:rsidR="0085121A" w:rsidRPr="000E7B17">
        <w:rPr>
          <w:rFonts w:asciiTheme="minorHAnsi" w:hAnsiTheme="minorHAnsi"/>
          <w:szCs w:val="24"/>
        </w:rPr>
        <w:t xml:space="preserve">argued that the 6MWT is a clinical measure of disease severity and treatment response in HPP. The PSCR also cites the 6MWT has been used </w:t>
      </w:r>
      <w:r w:rsidR="0088774A" w:rsidRPr="000E7B17">
        <w:rPr>
          <w:rFonts w:asciiTheme="minorHAnsi" w:hAnsiTheme="minorHAnsi"/>
          <w:szCs w:val="24"/>
        </w:rPr>
        <w:t xml:space="preserve">to </w:t>
      </w:r>
      <w:r w:rsidR="0085121A" w:rsidRPr="000E7B17">
        <w:rPr>
          <w:rFonts w:asciiTheme="minorHAnsi" w:hAnsiTheme="minorHAnsi"/>
          <w:szCs w:val="24"/>
        </w:rPr>
        <w:t xml:space="preserve">support regulatory </w:t>
      </w:r>
      <w:r w:rsidR="0088774A" w:rsidRPr="000E7B17">
        <w:rPr>
          <w:rFonts w:asciiTheme="minorHAnsi" w:hAnsiTheme="minorHAnsi"/>
          <w:szCs w:val="24"/>
        </w:rPr>
        <w:t xml:space="preserve">approval </w:t>
      </w:r>
      <w:r w:rsidR="0085121A" w:rsidRPr="000E7B17">
        <w:rPr>
          <w:rFonts w:asciiTheme="minorHAnsi" w:hAnsiTheme="minorHAnsi"/>
          <w:szCs w:val="24"/>
        </w:rPr>
        <w:t xml:space="preserve">and reimbursement of enzyme replacement therapies such as </w:t>
      </w:r>
      <w:proofErr w:type="spellStart"/>
      <w:r w:rsidR="0085121A" w:rsidRPr="000E7B17">
        <w:rPr>
          <w:rFonts w:asciiTheme="minorHAnsi" w:hAnsiTheme="minorHAnsi"/>
          <w:szCs w:val="24"/>
        </w:rPr>
        <w:t>laronidse</w:t>
      </w:r>
      <w:proofErr w:type="spellEnd"/>
      <w:r w:rsidR="0085121A" w:rsidRPr="000E7B17">
        <w:rPr>
          <w:rFonts w:asciiTheme="minorHAnsi" w:hAnsiTheme="minorHAnsi"/>
          <w:szCs w:val="24"/>
        </w:rPr>
        <w:t xml:space="preserve"> and </w:t>
      </w:r>
      <w:proofErr w:type="spellStart"/>
      <w:r w:rsidR="0085121A" w:rsidRPr="000E7B17">
        <w:rPr>
          <w:rFonts w:asciiTheme="minorHAnsi" w:hAnsiTheme="minorHAnsi"/>
          <w:szCs w:val="24"/>
        </w:rPr>
        <w:t>idursulfase</w:t>
      </w:r>
      <w:proofErr w:type="spellEnd"/>
      <w:r w:rsidR="0085121A" w:rsidRPr="000E7B17">
        <w:rPr>
          <w:rFonts w:asciiTheme="minorHAnsi" w:hAnsiTheme="minorHAnsi"/>
          <w:szCs w:val="24"/>
        </w:rPr>
        <w:t xml:space="preserve"> in MPS I and MPS II. The ESC </w:t>
      </w:r>
      <w:r w:rsidR="006E5375" w:rsidRPr="000E7B17">
        <w:rPr>
          <w:rFonts w:asciiTheme="minorHAnsi" w:hAnsiTheme="minorHAnsi"/>
          <w:szCs w:val="24"/>
        </w:rPr>
        <w:t xml:space="preserve">considered </w:t>
      </w:r>
      <w:r w:rsidR="00C67D65" w:rsidRPr="000E7B17">
        <w:rPr>
          <w:rFonts w:asciiTheme="minorHAnsi" w:hAnsiTheme="minorHAnsi"/>
          <w:szCs w:val="24"/>
        </w:rPr>
        <w:t xml:space="preserve">that </w:t>
      </w:r>
      <w:r w:rsidR="0085121A" w:rsidRPr="000E7B17">
        <w:rPr>
          <w:rFonts w:asciiTheme="minorHAnsi" w:hAnsiTheme="minorHAnsi"/>
          <w:szCs w:val="24"/>
        </w:rPr>
        <w:t xml:space="preserve">the use of the 6MWT </w:t>
      </w:r>
      <w:r w:rsidR="006E5375" w:rsidRPr="000E7B17">
        <w:rPr>
          <w:rFonts w:asciiTheme="minorHAnsi" w:hAnsiTheme="minorHAnsi"/>
          <w:szCs w:val="24"/>
        </w:rPr>
        <w:t>as a surrogate outcome was inadequately supported for this condition</w:t>
      </w:r>
      <w:r w:rsidR="00252D84" w:rsidRPr="000E7B17">
        <w:rPr>
          <w:rFonts w:asciiTheme="minorHAnsi" w:hAnsiTheme="minorHAnsi"/>
          <w:szCs w:val="24"/>
        </w:rPr>
        <w:t>.</w:t>
      </w:r>
      <w:r w:rsidR="0085121A" w:rsidRPr="000E7B17">
        <w:rPr>
          <w:rFonts w:asciiTheme="minorHAnsi" w:hAnsiTheme="minorHAnsi"/>
          <w:szCs w:val="24"/>
        </w:rPr>
        <w:t xml:space="preserve"> </w:t>
      </w:r>
    </w:p>
    <w:p w:rsidR="00B10DD6" w:rsidRPr="000E7B17" w:rsidRDefault="00B10DD6" w:rsidP="005123EA">
      <w:pPr>
        <w:pStyle w:val="ListParagraph"/>
        <w:widowControl/>
        <w:numPr>
          <w:ilvl w:val="1"/>
          <w:numId w:val="2"/>
        </w:numPr>
        <w:contextualSpacing w:val="0"/>
        <w:rPr>
          <w:rFonts w:asciiTheme="minorHAnsi" w:hAnsiTheme="minorHAnsi"/>
        </w:rPr>
      </w:pPr>
      <w:r w:rsidRPr="000E7B17">
        <w:rPr>
          <w:rFonts w:asciiTheme="minorHAnsi" w:hAnsiTheme="minorHAnsi"/>
        </w:rPr>
        <w:t xml:space="preserve">Given the small patient numbers available in the direct randomised trial and the short 24 week time frame for the randomised component of the trial, it was appropriate for the submission to also present data on non-randomised studies of </w:t>
      </w:r>
      <w:proofErr w:type="spellStart"/>
      <w:r w:rsidRPr="000E7B17">
        <w:rPr>
          <w:rFonts w:asciiTheme="minorHAnsi" w:hAnsiTheme="minorHAnsi"/>
        </w:rPr>
        <w:t>asfotase</w:t>
      </w:r>
      <w:proofErr w:type="spellEnd"/>
      <w:r w:rsidRPr="000E7B17">
        <w:rPr>
          <w:rFonts w:asciiTheme="minorHAnsi" w:hAnsiTheme="minorHAnsi"/>
        </w:rPr>
        <w:t xml:space="preserve"> alfa </w:t>
      </w:r>
      <w:proofErr w:type="spellStart"/>
      <w:r w:rsidR="00465F17" w:rsidRPr="000E7B17">
        <w:rPr>
          <w:rFonts w:asciiTheme="minorHAnsi" w:hAnsiTheme="minorHAnsi"/>
        </w:rPr>
        <w:t>rch</w:t>
      </w:r>
      <w:proofErr w:type="spellEnd"/>
      <w:r w:rsidRPr="000E7B17">
        <w:rPr>
          <w:rFonts w:asciiTheme="minorHAnsi" w:hAnsiTheme="minorHAnsi"/>
        </w:rPr>
        <w:t xml:space="preserve"> and BSC. However, </w:t>
      </w:r>
      <w:r w:rsidR="00624EFC" w:rsidRPr="000E7B17">
        <w:rPr>
          <w:rFonts w:asciiTheme="minorHAnsi" w:hAnsiTheme="minorHAnsi"/>
        </w:rPr>
        <w:t>differences in the eligibility criteria and baseline characteristics</w:t>
      </w:r>
      <w:r w:rsidR="00540116" w:rsidRPr="000E7B17">
        <w:rPr>
          <w:rFonts w:asciiTheme="minorHAnsi" w:hAnsiTheme="minorHAnsi"/>
        </w:rPr>
        <w:t xml:space="preserve"> </w:t>
      </w:r>
      <w:r w:rsidR="00624EFC" w:rsidRPr="000E7B17">
        <w:rPr>
          <w:rFonts w:asciiTheme="minorHAnsi" w:hAnsiTheme="minorHAnsi"/>
        </w:rPr>
        <w:t xml:space="preserve">in these studies (including </w:t>
      </w:r>
      <w:r w:rsidRPr="000E7B17">
        <w:rPr>
          <w:rFonts w:asciiTheme="minorHAnsi" w:hAnsiTheme="minorHAnsi"/>
        </w:rPr>
        <w:t>age, age of onset of symptoms, disease severity and clinical manifestations</w:t>
      </w:r>
      <w:r w:rsidR="00624EFC" w:rsidRPr="000E7B17">
        <w:rPr>
          <w:rFonts w:asciiTheme="minorHAnsi" w:hAnsiTheme="minorHAnsi"/>
        </w:rPr>
        <w:t>)</w:t>
      </w:r>
      <w:r w:rsidRPr="000E7B17">
        <w:rPr>
          <w:rFonts w:asciiTheme="minorHAnsi" w:hAnsiTheme="minorHAnsi"/>
        </w:rPr>
        <w:t xml:space="preserve"> meant that the results from the studies were not comparable.</w:t>
      </w:r>
      <w:r w:rsidR="00540116" w:rsidRPr="000E7B17">
        <w:rPr>
          <w:rFonts w:asciiTheme="minorHAnsi" w:hAnsiTheme="minorHAnsi"/>
        </w:rPr>
        <w:t xml:space="preserve"> </w:t>
      </w:r>
    </w:p>
    <w:p w:rsidR="00216702" w:rsidRPr="000E7B17" w:rsidRDefault="00216702" w:rsidP="005123EA">
      <w:pPr>
        <w:pStyle w:val="ListParagraph"/>
        <w:widowControl/>
        <w:numPr>
          <w:ilvl w:val="1"/>
          <w:numId w:val="2"/>
        </w:numPr>
        <w:contextualSpacing w:val="0"/>
        <w:rPr>
          <w:rFonts w:asciiTheme="minorHAnsi" w:hAnsiTheme="minorHAnsi"/>
        </w:rPr>
      </w:pPr>
      <w:r w:rsidRPr="000E7B17">
        <w:rPr>
          <w:rFonts w:asciiTheme="minorHAnsi" w:hAnsiTheme="minorHAnsi"/>
        </w:rPr>
        <w:t xml:space="preserve">The ESC </w:t>
      </w:r>
      <w:r w:rsidR="00D12E40" w:rsidRPr="000E7B17">
        <w:rPr>
          <w:rFonts w:asciiTheme="minorHAnsi" w:hAnsiTheme="minorHAnsi"/>
        </w:rPr>
        <w:t>considered</w:t>
      </w:r>
      <w:r w:rsidRPr="000E7B17">
        <w:rPr>
          <w:rFonts w:asciiTheme="minorHAnsi" w:hAnsiTheme="minorHAnsi"/>
        </w:rPr>
        <w:t xml:space="preserve"> the da</w:t>
      </w:r>
      <w:r w:rsidR="0088774A" w:rsidRPr="000E7B17">
        <w:rPr>
          <w:rFonts w:asciiTheme="minorHAnsi" w:hAnsiTheme="minorHAnsi"/>
        </w:rPr>
        <w:t>ta supporting clinical benefit wa</w:t>
      </w:r>
      <w:r w:rsidRPr="000E7B17">
        <w:rPr>
          <w:rFonts w:asciiTheme="minorHAnsi" w:hAnsiTheme="minorHAnsi"/>
        </w:rPr>
        <w:t xml:space="preserve">s </w:t>
      </w:r>
      <w:r w:rsidR="00043E37" w:rsidRPr="000E7B17">
        <w:rPr>
          <w:rFonts w:asciiTheme="minorHAnsi" w:hAnsiTheme="minorHAnsi"/>
        </w:rPr>
        <w:t xml:space="preserve">deficient </w:t>
      </w:r>
      <w:r w:rsidRPr="000E7B17">
        <w:rPr>
          <w:rFonts w:asciiTheme="minorHAnsi" w:hAnsiTheme="minorHAnsi"/>
        </w:rPr>
        <w:t>and little justification was provided to correlate biochemical measurement improvements with clinically relevant outcomes or clinically meaningful improvement.</w:t>
      </w:r>
    </w:p>
    <w:p w:rsidR="00B10DD6" w:rsidRPr="00DD48DB" w:rsidRDefault="00B10DD6" w:rsidP="005123EA">
      <w:pPr>
        <w:pStyle w:val="Heading2"/>
        <w:widowControl/>
      </w:pPr>
      <w:bookmarkStart w:id="28" w:name="_Toc413139278"/>
      <w:bookmarkStart w:id="29" w:name="_Toc476306888"/>
      <w:bookmarkStart w:id="30" w:name="_Toc481339864"/>
      <w:bookmarkStart w:id="31" w:name="_Toc481410709"/>
      <w:r w:rsidRPr="00DD48DB">
        <w:t xml:space="preserve">Comparative </w:t>
      </w:r>
      <w:r w:rsidRPr="00A83916">
        <w:t>effectiveness</w:t>
      </w:r>
      <w:bookmarkEnd w:id="28"/>
      <w:bookmarkEnd w:id="29"/>
      <w:bookmarkEnd w:id="30"/>
      <w:bookmarkEnd w:id="31"/>
    </w:p>
    <w:p w:rsidR="00DE38E2" w:rsidRDefault="00DE38E2" w:rsidP="005123EA">
      <w:pPr>
        <w:pStyle w:val="ListParagraph"/>
        <w:widowControl/>
        <w:numPr>
          <w:ilvl w:val="1"/>
          <w:numId w:val="2"/>
        </w:numPr>
        <w:contextualSpacing w:val="0"/>
        <w:rPr>
          <w:rFonts w:asciiTheme="minorHAnsi" w:hAnsiTheme="minorHAnsi"/>
        </w:rPr>
      </w:pPr>
      <w:r>
        <w:rPr>
          <w:rFonts w:asciiTheme="minorHAnsi" w:hAnsiTheme="minorHAnsi"/>
        </w:rPr>
        <w:t xml:space="preserve">The primary outcome of trial ENB-009-10 was change from baseline to 24 weeks in </w:t>
      </w:r>
      <w:r w:rsidR="000C1259">
        <w:rPr>
          <w:rFonts w:asciiTheme="minorHAnsi" w:hAnsiTheme="minorHAnsi"/>
        </w:rPr>
        <w:t>PLP and</w:t>
      </w:r>
      <w:r w:rsidR="000C1259" w:rsidRPr="00D378F5">
        <w:rPr>
          <w:rFonts w:asciiTheme="minorHAnsi" w:hAnsiTheme="minorHAnsi"/>
        </w:rPr>
        <w:t xml:space="preserve"> </w:t>
      </w:r>
      <w:proofErr w:type="spellStart"/>
      <w:r w:rsidR="000C1259">
        <w:rPr>
          <w:rFonts w:asciiTheme="minorHAnsi" w:hAnsiTheme="minorHAnsi"/>
        </w:rPr>
        <w:t>PPi</w:t>
      </w:r>
      <w:proofErr w:type="spellEnd"/>
      <w:r>
        <w:rPr>
          <w:rFonts w:asciiTheme="minorHAnsi" w:hAnsiTheme="minorHAnsi"/>
        </w:rPr>
        <w:t xml:space="preserve">. </w:t>
      </w:r>
      <w:r w:rsidR="00AA4DFB">
        <w:rPr>
          <w:rFonts w:asciiTheme="minorHAnsi" w:hAnsiTheme="minorHAnsi"/>
        </w:rPr>
        <w:t xml:space="preserve">At Week 24, there was a statistically significant difference between </w:t>
      </w:r>
      <w:proofErr w:type="spellStart"/>
      <w:r w:rsidR="00AA4DFB">
        <w:rPr>
          <w:rFonts w:asciiTheme="minorHAnsi" w:hAnsiTheme="minorHAnsi"/>
        </w:rPr>
        <w:t>asfotase</w:t>
      </w:r>
      <w:proofErr w:type="spellEnd"/>
      <w:r w:rsidR="00AA4DFB">
        <w:rPr>
          <w:rFonts w:asciiTheme="minorHAnsi" w:hAnsiTheme="minorHAnsi"/>
        </w:rPr>
        <w:t xml:space="preserve"> alfa </w:t>
      </w:r>
      <w:proofErr w:type="spellStart"/>
      <w:r w:rsidR="00465F17" w:rsidRPr="00465F17">
        <w:rPr>
          <w:rFonts w:asciiTheme="minorHAnsi" w:hAnsiTheme="minorHAnsi"/>
          <w:i/>
        </w:rPr>
        <w:t>rch</w:t>
      </w:r>
      <w:proofErr w:type="spellEnd"/>
      <w:r w:rsidR="00AA4DFB">
        <w:rPr>
          <w:rFonts w:asciiTheme="minorHAnsi" w:hAnsiTheme="minorHAnsi"/>
        </w:rPr>
        <w:t xml:space="preserve"> and BSC in the primary outcome of</w:t>
      </w:r>
      <w:r w:rsidR="00AA4DFB" w:rsidRPr="0020377C">
        <w:rPr>
          <w:rFonts w:asciiTheme="minorHAnsi" w:hAnsiTheme="minorHAnsi"/>
        </w:rPr>
        <w:t xml:space="preserve"> </w:t>
      </w:r>
      <w:r w:rsidR="00AA4DFB">
        <w:rPr>
          <w:rFonts w:asciiTheme="minorHAnsi" w:hAnsiTheme="minorHAnsi"/>
        </w:rPr>
        <w:t xml:space="preserve">reducing PLP (p=0.0285). Excluding a control patient who received a high dose of vitamin D and who had a high baseline </w:t>
      </w:r>
      <w:proofErr w:type="spellStart"/>
      <w:r w:rsidR="00AA4DFB">
        <w:rPr>
          <w:rFonts w:asciiTheme="minorHAnsi" w:hAnsiTheme="minorHAnsi"/>
        </w:rPr>
        <w:t>PPi</w:t>
      </w:r>
      <w:proofErr w:type="spellEnd"/>
      <w:r w:rsidR="00AA4DFB">
        <w:rPr>
          <w:rFonts w:asciiTheme="minorHAnsi" w:hAnsiTheme="minorHAnsi"/>
        </w:rPr>
        <w:t xml:space="preserve"> level, there was also a statistically significantly greater reduction in </w:t>
      </w:r>
      <w:proofErr w:type="spellStart"/>
      <w:r w:rsidR="00AA4DFB">
        <w:rPr>
          <w:rFonts w:asciiTheme="minorHAnsi" w:hAnsiTheme="minorHAnsi"/>
        </w:rPr>
        <w:t>PPi</w:t>
      </w:r>
      <w:proofErr w:type="spellEnd"/>
      <w:r w:rsidR="00AA4DFB">
        <w:rPr>
          <w:rFonts w:asciiTheme="minorHAnsi" w:hAnsiTheme="minorHAnsi"/>
        </w:rPr>
        <w:t xml:space="preserve"> levels for patients treated with </w:t>
      </w:r>
      <w:proofErr w:type="spellStart"/>
      <w:r w:rsidR="00AA4DFB">
        <w:rPr>
          <w:rFonts w:asciiTheme="minorHAnsi" w:hAnsiTheme="minorHAnsi"/>
        </w:rPr>
        <w:t>asfotase</w:t>
      </w:r>
      <w:proofErr w:type="spellEnd"/>
      <w:r w:rsidR="00AA4DFB">
        <w:rPr>
          <w:rFonts w:asciiTheme="minorHAnsi" w:hAnsiTheme="minorHAnsi"/>
        </w:rPr>
        <w:t xml:space="preserve"> alfa </w:t>
      </w:r>
      <w:proofErr w:type="spellStart"/>
      <w:r w:rsidR="00465F17" w:rsidRPr="00465F17">
        <w:rPr>
          <w:rFonts w:asciiTheme="minorHAnsi" w:hAnsiTheme="minorHAnsi"/>
          <w:i/>
        </w:rPr>
        <w:t>rch</w:t>
      </w:r>
      <w:proofErr w:type="spellEnd"/>
      <w:r w:rsidR="00AA4DFB">
        <w:rPr>
          <w:rFonts w:asciiTheme="minorHAnsi" w:hAnsiTheme="minorHAnsi"/>
        </w:rPr>
        <w:t xml:space="preserve"> compared to BSC at Week 24 (p=0.0044).</w:t>
      </w:r>
      <w:r w:rsidR="00392614">
        <w:rPr>
          <w:rFonts w:asciiTheme="minorHAnsi" w:hAnsiTheme="minorHAnsi"/>
        </w:rPr>
        <w:t xml:space="preserve"> The decreases in PLP and </w:t>
      </w:r>
      <w:proofErr w:type="spellStart"/>
      <w:r w:rsidR="00392614">
        <w:rPr>
          <w:rFonts w:asciiTheme="minorHAnsi" w:hAnsiTheme="minorHAnsi"/>
        </w:rPr>
        <w:t>PPi</w:t>
      </w:r>
      <w:proofErr w:type="spellEnd"/>
      <w:r w:rsidR="00392614">
        <w:rPr>
          <w:rFonts w:asciiTheme="minorHAnsi" w:hAnsiTheme="minorHAnsi"/>
        </w:rPr>
        <w:t xml:space="preserve"> were maintained in </w:t>
      </w:r>
      <w:proofErr w:type="spellStart"/>
      <w:r w:rsidR="00392614">
        <w:rPr>
          <w:rFonts w:asciiTheme="minorHAnsi" w:hAnsiTheme="minorHAnsi"/>
        </w:rPr>
        <w:t>asfotase</w:t>
      </w:r>
      <w:proofErr w:type="spellEnd"/>
      <w:r w:rsidR="00392614">
        <w:rPr>
          <w:rFonts w:asciiTheme="minorHAnsi" w:hAnsiTheme="minorHAnsi"/>
        </w:rPr>
        <w:t xml:space="preserve"> alfa </w:t>
      </w:r>
      <w:proofErr w:type="spellStart"/>
      <w:r w:rsidR="00465F17" w:rsidRPr="00465F17">
        <w:rPr>
          <w:rFonts w:asciiTheme="minorHAnsi" w:hAnsiTheme="minorHAnsi"/>
          <w:i/>
        </w:rPr>
        <w:t>rch</w:t>
      </w:r>
      <w:proofErr w:type="spellEnd"/>
      <w:r w:rsidR="00392614">
        <w:rPr>
          <w:rFonts w:asciiTheme="minorHAnsi" w:hAnsiTheme="minorHAnsi"/>
        </w:rPr>
        <w:t xml:space="preserve"> treated patients after Week 48 and 96 of exposure.</w:t>
      </w:r>
    </w:p>
    <w:p w:rsidR="00B10DD6" w:rsidRPr="0020377C" w:rsidRDefault="00963601" w:rsidP="005123EA">
      <w:pPr>
        <w:pStyle w:val="ListParagraph"/>
        <w:widowControl/>
        <w:numPr>
          <w:ilvl w:val="1"/>
          <w:numId w:val="2"/>
        </w:numPr>
        <w:contextualSpacing w:val="0"/>
        <w:rPr>
          <w:rFonts w:asciiTheme="minorHAnsi" w:hAnsiTheme="minorHAnsi"/>
        </w:rPr>
      </w:pPr>
      <w:r>
        <w:rPr>
          <w:rFonts w:asciiTheme="minorHAnsi" w:hAnsiTheme="minorHAnsi"/>
        </w:rPr>
        <w:t>The r</w:t>
      </w:r>
      <w:r w:rsidR="00B10DD6" w:rsidRPr="0020377C">
        <w:rPr>
          <w:rFonts w:asciiTheme="minorHAnsi" w:hAnsiTheme="minorHAnsi"/>
        </w:rPr>
        <w:t xml:space="preserve">esults of the </w:t>
      </w:r>
      <w:r w:rsidR="000C1259">
        <w:rPr>
          <w:rFonts w:asciiTheme="minorHAnsi" w:hAnsiTheme="minorHAnsi"/>
        </w:rPr>
        <w:t>6MWT</w:t>
      </w:r>
      <w:r w:rsidR="00B10DD6">
        <w:rPr>
          <w:rFonts w:asciiTheme="minorHAnsi" w:hAnsiTheme="minorHAnsi"/>
        </w:rPr>
        <w:t xml:space="preserve"> from the direct randomised trial and supportive studies</w:t>
      </w:r>
      <w:r w:rsidR="00B10DD6" w:rsidRPr="0020377C">
        <w:rPr>
          <w:rFonts w:asciiTheme="minorHAnsi" w:hAnsiTheme="minorHAnsi"/>
        </w:rPr>
        <w:t xml:space="preserve"> are summarised in </w:t>
      </w:r>
      <w:r>
        <w:rPr>
          <w:rFonts w:asciiTheme="minorHAnsi" w:hAnsiTheme="minorHAnsi"/>
        </w:rPr>
        <w:t xml:space="preserve">Table </w:t>
      </w:r>
      <w:r w:rsidR="000C1E22">
        <w:rPr>
          <w:rFonts w:asciiTheme="minorHAnsi" w:hAnsiTheme="minorHAnsi"/>
        </w:rPr>
        <w:t>4</w:t>
      </w:r>
      <w:r w:rsidR="00B10DD6" w:rsidRPr="0020377C">
        <w:rPr>
          <w:rFonts w:asciiTheme="minorHAnsi" w:hAnsiTheme="minorHAnsi"/>
        </w:rPr>
        <w:t xml:space="preserve">. </w:t>
      </w:r>
    </w:p>
    <w:p w:rsidR="002757CE" w:rsidRDefault="002757CE" w:rsidP="002757CE">
      <w:pPr>
        <w:pStyle w:val="Caption"/>
      </w:pPr>
      <w:r>
        <w:t xml:space="preserve">Table </w:t>
      </w:r>
      <w:r>
        <w:rPr>
          <w:noProof/>
        </w:rPr>
        <w:t>4</w:t>
      </w:r>
      <w:r w:rsidRPr="00134871">
        <w:t>: Change in 6MWT results from the direct randomised trial and supportive studies</w:t>
      </w:r>
    </w:p>
    <w:tbl>
      <w:tblPr>
        <w:tblStyle w:val="TableGrid"/>
        <w:tblW w:w="9067" w:type="dxa"/>
        <w:tblCellMar>
          <w:left w:w="28" w:type="dxa"/>
          <w:right w:w="28" w:type="dxa"/>
        </w:tblCellMar>
        <w:tblLook w:val="04A0" w:firstRow="1" w:lastRow="0" w:firstColumn="1" w:lastColumn="0" w:noHBand="0" w:noVBand="1"/>
        <w:tblCaption w:val="Change in 6MWT results from the direct randomised trial and supportive studies"/>
      </w:tblPr>
      <w:tblGrid>
        <w:gridCol w:w="1555"/>
        <w:gridCol w:w="992"/>
        <w:gridCol w:w="1630"/>
        <w:gridCol w:w="1630"/>
        <w:gridCol w:w="1630"/>
        <w:gridCol w:w="1630"/>
      </w:tblGrid>
      <w:tr w:rsidR="009125A8" w:rsidTr="00FE3BBF">
        <w:trPr>
          <w:tblHeader/>
        </w:trPr>
        <w:tc>
          <w:tcPr>
            <w:tcW w:w="2547" w:type="dxa"/>
            <w:gridSpan w:val="2"/>
            <w:tcBorders>
              <w:bottom w:val="nil"/>
            </w:tcBorders>
          </w:tcPr>
          <w:p w:rsidR="009125A8" w:rsidRDefault="009125A8" w:rsidP="005123EA">
            <w:pPr>
              <w:keepNext/>
              <w:widowControl/>
              <w:rPr>
                <w:rFonts w:ascii="Arial Narrow" w:hAnsi="Arial Narrow"/>
                <w:sz w:val="20"/>
              </w:rPr>
            </w:pPr>
          </w:p>
        </w:tc>
        <w:tc>
          <w:tcPr>
            <w:tcW w:w="3260" w:type="dxa"/>
            <w:gridSpan w:val="2"/>
            <w:vAlign w:val="center"/>
          </w:tcPr>
          <w:p w:rsidR="009125A8" w:rsidRPr="009B654D" w:rsidRDefault="009125A8" w:rsidP="005123EA">
            <w:pPr>
              <w:keepNext/>
              <w:widowControl/>
              <w:jc w:val="center"/>
              <w:rPr>
                <w:rFonts w:ascii="Arial Narrow" w:hAnsi="Arial Narrow"/>
                <w:b/>
                <w:sz w:val="20"/>
              </w:rPr>
            </w:pPr>
            <w:r w:rsidRPr="009B654D">
              <w:rPr>
                <w:rFonts w:ascii="Arial Narrow" w:hAnsi="Arial Narrow"/>
                <w:b/>
                <w:sz w:val="20"/>
              </w:rPr>
              <w:t>ENB-009-10</w:t>
            </w:r>
          </w:p>
        </w:tc>
        <w:tc>
          <w:tcPr>
            <w:tcW w:w="3260" w:type="dxa"/>
            <w:gridSpan w:val="2"/>
            <w:vAlign w:val="center"/>
          </w:tcPr>
          <w:p w:rsidR="009125A8" w:rsidRPr="009B654D" w:rsidRDefault="009125A8" w:rsidP="005123EA">
            <w:pPr>
              <w:keepNext/>
              <w:widowControl/>
              <w:jc w:val="center"/>
              <w:rPr>
                <w:rFonts w:ascii="Arial Narrow" w:hAnsi="Arial Narrow"/>
                <w:b/>
                <w:sz w:val="20"/>
              </w:rPr>
            </w:pPr>
            <w:r w:rsidRPr="009B654D">
              <w:rPr>
                <w:rFonts w:ascii="Arial Narrow" w:hAnsi="Arial Narrow"/>
                <w:b/>
                <w:sz w:val="20"/>
              </w:rPr>
              <w:t>ENB-006-09/</w:t>
            </w:r>
            <w:r>
              <w:rPr>
                <w:rFonts w:ascii="Arial Narrow" w:hAnsi="Arial Narrow"/>
                <w:b/>
                <w:sz w:val="20"/>
              </w:rPr>
              <w:t xml:space="preserve"> </w:t>
            </w:r>
            <w:r w:rsidRPr="009B654D">
              <w:rPr>
                <w:rFonts w:ascii="Arial Narrow" w:hAnsi="Arial Narrow"/>
                <w:b/>
                <w:sz w:val="20"/>
              </w:rPr>
              <w:t>ENB-00</w:t>
            </w:r>
            <w:r>
              <w:rPr>
                <w:rFonts w:ascii="Arial Narrow" w:hAnsi="Arial Narrow"/>
                <w:b/>
                <w:sz w:val="20"/>
              </w:rPr>
              <w:t>8</w:t>
            </w:r>
            <w:r w:rsidRPr="009B654D">
              <w:rPr>
                <w:rFonts w:ascii="Arial Narrow" w:hAnsi="Arial Narrow"/>
                <w:b/>
                <w:sz w:val="20"/>
              </w:rPr>
              <w:t>-10</w:t>
            </w:r>
          </w:p>
        </w:tc>
      </w:tr>
      <w:tr w:rsidR="009125A8" w:rsidTr="00207AA0">
        <w:tc>
          <w:tcPr>
            <w:tcW w:w="2547" w:type="dxa"/>
            <w:gridSpan w:val="2"/>
            <w:tcBorders>
              <w:top w:val="nil"/>
            </w:tcBorders>
          </w:tcPr>
          <w:p w:rsidR="009125A8" w:rsidRDefault="009125A8" w:rsidP="005123EA">
            <w:pPr>
              <w:keepNext/>
              <w:widowControl/>
              <w:rPr>
                <w:rFonts w:ascii="Arial Narrow" w:hAnsi="Arial Narrow"/>
                <w:sz w:val="20"/>
              </w:rPr>
            </w:pPr>
          </w:p>
        </w:tc>
        <w:tc>
          <w:tcPr>
            <w:tcW w:w="1630" w:type="dxa"/>
            <w:vAlign w:val="center"/>
          </w:tcPr>
          <w:p w:rsidR="009125A8" w:rsidRPr="009B654D" w:rsidRDefault="00207AA0" w:rsidP="005123EA">
            <w:pPr>
              <w:keepNext/>
              <w:widowControl/>
              <w:jc w:val="center"/>
              <w:rPr>
                <w:rFonts w:ascii="Arial Narrow" w:hAnsi="Arial Narrow"/>
                <w:b/>
                <w:sz w:val="20"/>
              </w:rPr>
            </w:pPr>
            <w:proofErr w:type="spellStart"/>
            <w:r>
              <w:rPr>
                <w:rFonts w:ascii="Arial Narrow" w:hAnsi="Arial Narrow"/>
                <w:b/>
                <w:sz w:val="20"/>
              </w:rPr>
              <w:t>Asfotase</w:t>
            </w:r>
            <w:proofErr w:type="spellEnd"/>
            <w:r>
              <w:rPr>
                <w:rFonts w:ascii="Arial Narrow" w:hAnsi="Arial Narrow"/>
                <w:b/>
                <w:sz w:val="20"/>
              </w:rPr>
              <w:t xml:space="preserve"> alfa </w:t>
            </w:r>
            <w:proofErr w:type="spellStart"/>
            <w:r w:rsidR="00465F17" w:rsidRPr="00465F17">
              <w:rPr>
                <w:rFonts w:ascii="Arial Narrow" w:hAnsi="Arial Narrow"/>
                <w:b/>
                <w:i/>
                <w:sz w:val="20"/>
              </w:rPr>
              <w:t>rch</w:t>
            </w:r>
            <w:proofErr w:type="spellEnd"/>
          </w:p>
        </w:tc>
        <w:tc>
          <w:tcPr>
            <w:tcW w:w="1630" w:type="dxa"/>
            <w:vAlign w:val="center"/>
          </w:tcPr>
          <w:p w:rsidR="009125A8" w:rsidRPr="009B654D" w:rsidRDefault="009125A8" w:rsidP="005123EA">
            <w:pPr>
              <w:keepNext/>
              <w:widowControl/>
              <w:jc w:val="center"/>
              <w:rPr>
                <w:rFonts w:ascii="Arial Narrow" w:hAnsi="Arial Narrow"/>
                <w:b/>
                <w:sz w:val="20"/>
                <w:vertAlign w:val="superscript"/>
              </w:rPr>
            </w:pPr>
            <w:proofErr w:type="spellStart"/>
            <w:r>
              <w:rPr>
                <w:rFonts w:ascii="Arial Narrow" w:hAnsi="Arial Narrow"/>
                <w:b/>
                <w:sz w:val="20"/>
              </w:rPr>
              <w:t>BSC</w:t>
            </w:r>
            <w:r w:rsidR="007F03A7">
              <w:rPr>
                <w:rFonts w:ascii="Arial Narrow" w:hAnsi="Arial Narrow"/>
                <w:b/>
                <w:sz w:val="20"/>
                <w:vertAlign w:val="superscript"/>
              </w:rPr>
              <w:t>a</w:t>
            </w:r>
            <w:proofErr w:type="spellEnd"/>
          </w:p>
        </w:tc>
        <w:tc>
          <w:tcPr>
            <w:tcW w:w="1630" w:type="dxa"/>
            <w:vAlign w:val="center"/>
          </w:tcPr>
          <w:p w:rsidR="009125A8" w:rsidRPr="009B654D" w:rsidRDefault="00207AA0" w:rsidP="005123EA">
            <w:pPr>
              <w:keepNext/>
              <w:widowControl/>
              <w:jc w:val="center"/>
              <w:rPr>
                <w:rFonts w:ascii="Arial Narrow" w:hAnsi="Arial Narrow"/>
                <w:b/>
                <w:sz w:val="20"/>
              </w:rPr>
            </w:pPr>
            <w:proofErr w:type="spellStart"/>
            <w:r>
              <w:rPr>
                <w:rFonts w:ascii="Arial Narrow" w:hAnsi="Arial Narrow"/>
                <w:b/>
                <w:sz w:val="20"/>
              </w:rPr>
              <w:t>Asfotase</w:t>
            </w:r>
            <w:proofErr w:type="spellEnd"/>
            <w:r>
              <w:rPr>
                <w:rFonts w:ascii="Arial Narrow" w:hAnsi="Arial Narrow"/>
                <w:b/>
                <w:sz w:val="20"/>
              </w:rPr>
              <w:t xml:space="preserve"> alfa </w:t>
            </w:r>
            <w:proofErr w:type="spellStart"/>
            <w:r w:rsidR="00465F17" w:rsidRPr="00465F17">
              <w:rPr>
                <w:rFonts w:ascii="Arial Narrow" w:hAnsi="Arial Narrow"/>
                <w:b/>
                <w:i/>
                <w:sz w:val="20"/>
              </w:rPr>
              <w:t>rch</w:t>
            </w:r>
            <w:proofErr w:type="spellEnd"/>
          </w:p>
        </w:tc>
        <w:tc>
          <w:tcPr>
            <w:tcW w:w="1630" w:type="dxa"/>
            <w:vAlign w:val="center"/>
          </w:tcPr>
          <w:p w:rsidR="009125A8" w:rsidRPr="001F6743" w:rsidRDefault="00207AA0" w:rsidP="005123EA">
            <w:pPr>
              <w:keepNext/>
              <w:widowControl/>
              <w:jc w:val="center"/>
              <w:rPr>
                <w:rFonts w:ascii="Arial Narrow" w:hAnsi="Arial Narrow"/>
                <w:b/>
                <w:sz w:val="20"/>
                <w:vertAlign w:val="superscript"/>
              </w:rPr>
            </w:pPr>
            <w:r>
              <w:rPr>
                <w:rFonts w:ascii="Arial Narrow" w:hAnsi="Arial Narrow"/>
                <w:b/>
                <w:sz w:val="20"/>
              </w:rPr>
              <w:t>Historical control</w:t>
            </w:r>
          </w:p>
        </w:tc>
      </w:tr>
      <w:tr w:rsidR="009125A8" w:rsidTr="007F03A7">
        <w:tc>
          <w:tcPr>
            <w:tcW w:w="2547" w:type="dxa"/>
            <w:gridSpan w:val="2"/>
            <w:vAlign w:val="center"/>
          </w:tcPr>
          <w:p w:rsidR="009125A8" w:rsidRDefault="009125A8" w:rsidP="005123EA">
            <w:pPr>
              <w:keepNext/>
              <w:widowControl/>
              <w:jc w:val="right"/>
              <w:rPr>
                <w:rFonts w:ascii="Arial Narrow" w:hAnsi="Arial Narrow"/>
                <w:sz w:val="20"/>
              </w:rPr>
            </w:pPr>
            <w:r>
              <w:rPr>
                <w:rFonts w:ascii="Arial Narrow" w:hAnsi="Arial Narrow"/>
                <w:sz w:val="20"/>
              </w:rPr>
              <w:t>N</w:t>
            </w:r>
          </w:p>
        </w:tc>
        <w:tc>
          <w:tcPr>
            <w:tcW w:w="1630" w:type="dxa"/>
            <w:vAlign w:val="center"/>
          </w:tcPr>
          <w:p w:rsidR="009125A8" w:rsidRPr="00196410" w:rsidRDefault="009125A8" w:rsidP="005123EA">
            <w:pPr>
              <w:keepNext/>
              <w:widowControl/>
              <w:jc w:val="center"/>
              <w:rPr>
                <w:rFonts w:ascii="Arial Narrow" w:hAnsi="Arial Narrow"/>
                <w:sz w:val="20"/>
                <w:vertAlign w:val="superscript"/>
              </w:rPr>
            </w:pPr>
            <w:r w:rsidRPr="009B654D">
              <w:rPr>
                <w:rFonts w:ascii="Arial Narrow" w:hAnsi="Arial Narrow"/>
                <w:sz w:val="20"/>
              </w:rPr>
              <w:t>13/19</w:t>
            </w:r>
            <w:r w:rsidR="00196410">
              <w:rPr>
                <w:rFonts w:ascii="Arial Narrow" w:hAnsi="Arial Narrow"/>
                <w:sz w:val="20"/>
                <w:vertAlign w:val="superscript"/>
              </w:rPr>
              <w:t>b</w:t>
            </w:r>
          </w:p>
        </w:tc>
        <w:tc>
          <w:tcPr>
            <w:tcW w:w="1630" w:type="dxa"/>
            <w:vAlign w:val="center"/>
          </w:tcPr>
          <w:p w:rsidR="009125A8" w:rsidRPr="009B654D" w:rsidRDefault="009125A8" w:rsidP="005123EA">
            <w:pPr>
              <w:keepNext/>
              <w:widowControl/>
              <w:jc w:val="center"/>
              <w:rPr>
                <w:rFonts w:ascii="Arial Narrow" w:hAnsi="Arial Narrow"/>
                <w:sz w:val="20"/>
              </w:rPr>
            </w:pPr>
            <w:r>
              <w:rPr>
                <w:rFonts w:ascii="Arial Narrow" w:hAnsi="Arial Narrow"/>
                <w:sz w:val="20"/>
              </w:rPr>
              <w:t>6</w:t>
            </w:r>
          </w:p>
        </w:tc>
        <w:tc>
          <w:tcPr>
            <w:tcW w:w="1630" w:type="dxa"/>
            <w:vAlign w:val="center"/>
          </w:tcPr>
          <w:p w:rsidR="009125A8" w:rsidRPr="009B654D" w:rsidRDefault="009125A8" w:rsidP="005123EA">
            <w:pPr>
              <w:keepNext/>
              <w:widowControl/>
              <w:jc w:val="center"/>
              <w:rPr>
                <w:rFonts w:ascii="Arial Narrow" w:hAnsi="Arial Narrow"/>
                <w:sz w:val="20"/>
              </w:rPr>
            </w:pPr>
            <w:r>
              <w:rPr>
                <w:rFonts w:ascii="Arial Narrow" w:hAnsi="Arial Narrow"/>
                <w:sz w:val="20"/>
              </w:rPr>
              <w:t>13</w:t>
            </w:r>
          </w:p>
        </w:tc>
        <w:tc>
          <w:tcPr>
            <w:tcW w:w="1630" w:type="dxa"/>
            <w:vAlign w:val="center"/>
          </w:tcPr>
          <w:p w:rsidR="009125A8" w:rsidRPr="009B654D" w:rsidRDefault="009125A8" w:rsidP="005123EA">
            <w:pPr>
              <w:keepNext/>
              <w:widowControl/>
              <w:jc w:val="center"/>
              <w:rPr>
                <w:rFonts w:ascii="Arial Narrow" w:hAnsi="Arial Narrow"/>
                <w:sz w:val="20"/>
              </w:rPr>
            </w:pPr>
            <w:r>
              <w:rPr>
                <w:rFonts w:ascii="Arial Narrow" w:hAnsi="Arial Narrow"/>
                <w:sz w:val="20"/>
              </w:rPr>
              <w:t>16</w:t>
            </w:r>
          </w:p>
        </w:tc>
      </w:tr>
      <w:tr w:rsidR="009125A8" w:rsidTr="007F03A7">
        <w:tc>
          <w:tcPr>
            <w:tcW w:w="1555" w:type="dxa"/>
            <w:vMerge w:val="restart"/>
            <w:vAlign w:val="center"/>
          </w:tcPr>
          <w:p w:rsidR="009125A8" w:rsidRDefault="009125A8" w:rsidP="005123EA">
            <w:pPr>
              <w:keepNext/>
              <w:widowControl/>
              <w:jc w:val="left"/>
              <w:rPr>
                <w:rFonts w:ascii="Arial Narrow" w:hAnsi="Arial Narrow"/>
                <w:sz w:val="20"/>
              </w:rPr>
            </w:pPr>
            <w:r>
              <w:rPr>
                <w:rFonts w:ascii="Arial Narrow" w:hAnsi="Arial Narrow"/>
                <w:sz w:val="20"/>
              </w:rPr>
              <w:t>Change from baseline in 6MWT distance, mean metres (SD)</w:t>
            </w: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Baseline</w:t>
            </w:r>
          </w:p>
        </w:tc>
        <w:tc>
          <w:tcPr>
            <w:tcW w:w="1630" w:type="dxa"/>
            <w:vAlign w:val="center"/>
          </w:tcPr>
          <w:p w:rsidR="009125A8" w:rsidRDefault="009125A8" w:rsidP="005123EA">
            <w:pPr>
              <w:keepNext/>
              <w:widowControl/>
              <w:jc w:val="center"/>
              <w:rPr>
                <w:rFonts w:ascii="Arial Narrow" w:hAnsi="Arial Narrow"/>
                <w:sz w:val="20"/>
              </w:rPr>
            </w:pPr>
            <w:r>
              <w:rPr>
                <w:rFonts w:ascii="Arial Narrow" w:hAnsi="Arial Narrow"/>
                <w:sz w:val="20"/>
              </w:rPr>
              <w:t>409.9 (139.5)</w:t>
            </w:r>
          </w:p>
        </w:tc>
        <w:tc>
          <w:tcPr>
            <w:tcW w:w="1630" w:type="dxa"/>
            <w:vAlign w:val="center"/>
          </w:tcPr>
          <w:p w:rsidR="009125A8" w:rsidRDefault="009125A8" w:rsidP="005123EA">
            <w:pPr>
              <w:keepNext/>
              <w:widowControl/>
              <w:jc w:val="center"/>
              <w:rPr>
                <w:rFonts w:ascii="Arial Narrow" w:hAnsi="Arial Narrow"/>
                <w:sz w:val="20"/>
              </w:rPr>
            </w:pPr>
            <w:r>
              <w:rPr>
                <w:rFonts w:ascii="Arial Narrow" w:hAnsi="Arial Narrow"/>
                <w:sz w:val="20"/>
              </w:rPr>
              <w:t>217.8 (218.9)</w:t>
            </w:r>
          </w:p>
        </w:tc>
        <w:tc>
          <w:tcPr>
            <w:tcW w:w="3260" w:type="dxa"/>
            <w:gridSpan w:val="2"/>
            <w:vAlign w:val="center"/>
          </w:tcPr>
          <w:p w:rsidR="009125A8" w:rsidRDefault="009125A8" w:rsidP="005123EA">
            <w:pPr>
              <w:keepNext/>
              <w:widowControl/>
              <w:jc w:val="center"/>
              <w:rPr>
                <w:rFonts w:ascii="Arial Narrow" w:hAnsi="Arial Narrow"/>
                <w:sz w:val="20"/>
              </w:rPr>
            </w:pPr>
            <w:r>
              <w:rPr>
                <w:rFonts w:ascii="Arial Narrow" w:hAnsi="Arial Narrow"/>
                <w:sz w:val="20"/>
              </w:rPr>
              <w:t>345 (90.5)</w:t>
            </w:r>
          </w:p>
        </w:tc>
      </w:tr>
      <w:tr w:rsidR="009125A8" w:rsidTr="007F03A7">
        <w:tc>
          <w:tcPr>
            <w:tcW w:w="1555" w:type="dxa"/>
            <w:vMerge/>
            <w:vAlign w:val="center"/>
          </w:tcPr>
          <w:p w:rsidR="009125A8" w:rsidRDefault="009125A8" w:rsidP="005123EA">
            <w:pPr>
              <w:keepNext/>
              <w:widowControl/>
              <w:jc w:val="left"/>
              <w:rPr>
                <w:rFonts w:ascii="Arial Narrow" w:hAnsi="Arial Narrow"/>
                <w:sz w:val="20"/>
              </w:rPr>
            </w:pPr>
          </w:p>
        </w:tc>
        <w:tc>
          <w:tcPr>
            <w:tcW w:w="992" w:type="dxa"/>
            <w:vMerge w:val="restart"/>
            <w:vAlign w:val="center"/>
          </w:tcPr>
          <w:p w:rsidR="009125A8" w:rsidRDefault="009125A8" w:rsidP="005123EA">
            <w:pPr>
              <w:keepNext/>
              <w:widowControl/>
              <w:jc w:val="right"/>
              <w:rPr>
                <w:rFonts w:ascii="Arial Narrow" w:hAnsi="Arial Narrow"/>
                <w:sz w:val="20"/>
              </w:rPr>
            </w:pPr>
            <w:r>
              <w:rPr>
                <w:rFonts w:ascii="Arial Narrow" w:hAnsi="Arial Narrow"/>
                <w:sz w:val="20"/>
              </w:rPr>
              <w:t>Week 24</w:t>
            </w:r>
          </w:p>
        </w:tc>
        <w:tc>
          <w:tcPr>
            <w:tcW w:w="1630" w:type="dxa"/>
            <w:vAlign w:val="center"/>
          </w:tcPr>
          <w:p w:rsidR="009125A8" w:rsidRDefault="009125A8" w:rsidP="005123EA">
            <w:pPr>
              <w:keepNext/>
              <w:widowControl/>
              <w:jc w:val="center"/>
              <w:rPr>
                <w:rFonts w:ascii="Arial Narrow" w:hAnsi="Arial Narrow"/>
                <w:sz w:val="20"/>
              </w:rPr>
            </w:pPr>
            <w:r>
              <w:rPr>
                <w:rFonts w:ascii="Arial Narrow" w:hAnsi="Arial Narrow"/>
                <w:sz w:val="20"/>
              </w:rPr>
              <w:t>54.9 (59.7)</w:t>
            </w:r>
          </w:p>
        </w:tc>
        <w:tc>
          <w:tcPr>
            <w:tcW w:w="1630" w:type="dxa"/>
            <w:vAlign w:val="center"/>
          </w:tcPr>
          <w:p w:rsidR="009125A8" w:rsidRDefault="009125A8" w:rsidP="005123EA">
            <w:pPr>
              <w:keepNext/>
              <w:widowControl/>
              <w:jc w:val="center"/>
              <w:rPr>
                <w:rFonts w:ascii="Arial Narrow" w:hAnsi="Arial Narrow"/>
                <w:sz w:val="20"/>
              </w:rPr>
            </w:pPr>
            <w:r>
              <w:rPr>
                <w:rFonts w:ascii="Arial Narrow" w:hAnsi="Arial Narrow"/>
                <w:sz w:val="20"/>
              </w:rPr>
              <w:t>13.5 (70.0)</w:t>
            </w:r>
          </w:p>
        </w:tc>
        <w:tc>
          <w:tcPr>
            <w:tcW w:w="3260" w:type="dxa"/>
            <w:gridSpan w:val="2"/>
            <w:vMerge w:val="restart"/>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9125A8" w:rsidTr="007F03A7">
        <w:tc>
          <w:tcPr>
            <w:tcW w:w="1555" w:type="dxa"/>
            <w:vMerge/>
            <w:vAlign w:val="center"/>
          </w:tcPr>
          <w:p w:rsidR="009125A8" w:rsidRDefault="009125A8" w:rsidP="005123EA">
            <w:pPr>
              <w:keepNext/>
              <w:widowControl/>
              <w:jc w:val="left"/>
              <w:rPr>
                <w:rFonts w:ascii="Arial Narrow" w:hAnsi="Arial Narrow"/>
                <w:sz w:val="20"/>
              </w:rPr>
            </w:pPr>
          </w:p>
        </w:tc>
        <w:tc>
          <w:tcPr>
            <w:tcW w:w="992" w:type="dxa"/>
            <w:vMerge/>
            <w:vAlign w:val="center"/>
          </w:tcPr>
          <w:p w:rsidR="009125A8" w:rsidRDefault="009125A8" w:rsidP="005123EA">
            <w:pPr>
              <w:keepNext/>
              <w:widowControl/>
              <w:jc w:val="right"/>
              <w:rPr>
                <w:rFonts w:ascii="Arial Narrow" w:hAnsi="Arial Narrow"/>
                <w:sz w:val="20"/>
              </w:rPr>
            </w:pPr>
          </w:p>
        </w:tc>
        <w:tc>
          <w:tcPr>
            <w:tcW w:w="3260" w:type="dxa"/>
            <w:gridSpan w:val="2"/>
            <w:vAlign w:val="center"/>
          </w:tcPr>
          <w:p w:rsidR="009125A8" w:rsidRDefault="009125A8" w:rsidP="005123EA">
            <w:pPr>
              <w:keepNext/>
              <w:widowControl/>
              <w:jc w:val="center"/>
              <w:rPr>
                <w:rFonts w:ascii="Arial Narrow" w:hAnsi="Arial Narrow"/>
                <w:sz w:val="20"/>
              </w:rPr>
            </w:pPr>
            <w:r>
              <w:rPr>
                <w:rFonts w:ascii="Arial Narrow" w:hAnsi="Arial Narrow"/>
                <w:sz w:val="20"/>
              </w:rPr>
              <w:t>p=0.1303</w:t>
            </w:r>
          </w:p>
        </w:tc>
        <w:tc>
          <w:tcPr>
            <w:tcW w:w="3260" w:type="dxa"/>
            <w:gridSpan w:val="2"/>
            <w:vMerge/>
            <w:vAlign w:val="center"/>
          </w:tcPr>
          <w:p w:rsidR="009125A8" w:rsidRPr="000768BA" w:rsidRDefault="009125A8" w:rsidP="005123EA">
            <w:pPr>
              <w:keepNext/>
              <w:widowControl/>
              <w:jc w:val="center"/>
              <w:rPr>
                <w:rFonts w:ascii="Arial Narrow" w:hAnsi="Arial Narrow"/>
                <w:sz w:val="20"/>
              </w:rPr>
            </w:pPr>
          </w:p>
        </w:tc>
      </w:tr>
      <w:tr w:rsidR="009125A8" w:rsidTr="007F03A7">
        <w:tc>
          <w:tcPr>
            <w:tcW w:w="1555" w:type="dxa"/>
            <w:vMerge/>
            <w:vAlign w:val="center"/>
          </w:tcPr>
          <w:p w:rsidR="009125A8" w:rsidRDefault="009125A8" w:rsidP="005123EA">
            <w:pPr>
              <w:keepNext/>
              <w:widowControl/>
              <w:jc w:val="left"/>
              <w:rPr>
                <w:rFonts w:ascii="Arial Narrow" w:hAnsi="Arial Narrow"/>
                <w:sz w:val="20"/>
              </w:rPr>
            </w:pP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Week 48</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3260" w:type="dxa"/>
            <w:gridSpan w:val="2"/>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9125A8" w:rsidTr="007F03A7">
        <w:tc>
          <w:tcPr>
            <w:tcW w:w="1555" w:type="dxa"/>
            <w:vMerge/>
            <w:vAlign w:val="center"/>
          </w:tcPr>
          <w:p w:rsidR="009125A8" w:rsidRDefault="009125A8" w:rsidP="005123EA">
            <w:pPr>
              <w:keepNext/>
              <w:widowControl/>
              <w:jc w:val="left"/>
              <w:rPr>
                <w:rFonts w:ascii="Arial Narrow" w:hAnsi="Arial Narrow"/>
                <w:sz w:val="20"/>
              </w:rPr>
            </w:pP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Week 96</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3260" w:type="dxa"/>
            <w:gridSpan w:val="2"/>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9125A8" w:rsidTr="007F03A7">
        <w:tc>
          <w:tcPr>
            <w:tcW w:w="1555" w:type="dxa"/>
            <w:vMerge/>
            <w:vAlign w:val="center"/>
          </w:tcPr>
          <w:p w:rsidR="009125A8" w:rsidRDefault="009125A8" w:rsidP="005123EA">
            <w:pPr>
              <w:keepNext/>
              <w:widowControl/>
              <w:jc w:val="left"/>
              <w:rPr>
                <w:rFonts w:ascii="Arial Narrow" w:hAnsi="Arial Narrow"/>
                <w:sz w:val="20"/>
              </w:rPr>
            </w:pP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Week 144</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3260" w:type="dxa"/>
            <w:gridSpan w:val="2"/>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9125A8" w:rsidTr="007F03A7">
        <w:tc>
          <w:tcPr>
            <w:tcW w:w="1555" w:type="dxa"/>
            <w:vMerge/>
            <w:vAlign w:val="center"/>
          </w:tcPr>
          <w:p w:rsidR="009125A8" w:rsidRDefault="009125A8" w:rsidP="005123EA">
            <w:pPr>
              <w:keepNext/>
              <w:widowControl/>
              <w:jc w:val="left"/>
              <w:rPr>
                <w:rFonts w:ascii="Arial Narrow" w:hAnsi="Arial Narrow"/>
                <w:sz w:val="20"/>
              </w:rPr>
            </w:pP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Week 192</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3260" w:type="dxa"/>
            <w:gridSpan w:val="2"/>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9125A8" w:rsidTr="007F03A7">
        <w:tc>
          <w:tcPr>
            <w:tcW w:w="1555" w:type="dxa"/>
            <w:vMerge/>
            <w:vAlign w:val="center"/>
          </w:tcPr>
          <w:p w:rsidR="009125A8" w:rsidRDefault="009125A8" w:rsidP="005123EA">
            <w:pPr>
              <w:keepNext/>
              <w:widowControl/>
              <w:jc w:val="left"/>
              <w:rPr>
                <w:rFonts w:ascii="Arial Narrow" w:hAnsi="Arial Narrow"/>
                <w:sz w:val="20"/>
              </w:rPr>
            </w:pP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Week 240</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3260" w:type="dxa"/>
            <w:gridSpan w:val="2"/>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r>
      <w:tr w:rsidR="009125A8" w:rsidTr="007F03A7">
        <w:tc>
          <w:tcPr>
            <w:tcW w:w="1555" w:type="dxa"/>
            <w:vMerge w:val="restart"/>
            <w:vAlign w:val="center"/>
          </w:tcPr>
          <w:p w:rsidR="009125A8" w:rsidRDefault="009125A8" w:rsidP="005123EA">
            <w:pPr>
              <w:keepNext/>
              <w:widowControl/>
              <w:jc w:val="left"/>
              <w:rPr>
                <w:rFonts w:ascii="Arial Narrow" w:hAnsi="Arial Narrow"/>
                <w:sz w:val="20"/>
              </w:rPr>
            </w:pPr>
            <w:r>
              <w:rPr>
                <w:rFonts w:ascii="Arial Narrow" w:hAnsi="Arial Narrow"/>
                <w:sz w:val="20"/>
              </w:rPr>
              <w:t xml:space="preserve">Change from baseline in 6MWT distance, </w:t>
            </w:r>
            <w:r w:rsidRPr="007F03A7">
              <w:rPr>
                <w:rFonts w:ascii="Arial Narrow" w:hAnsi="Arial Narrow"/>
                <w:sz w:val="20"/>
                <w:u w:val="single"/>
              </w:rPr>
              <w:t>per</w:t>
            </w:r>
            <w:r w:rsidR="00697339">
              <w:rPr>
                <w:rFonts w:ascii="Arial Narrow" w:hAnsi="Arial Narrow"/>
                <w:sz w:val="20"/>
                <w:u w:val="single"/>
              </w:rPr>
              <w:t xml:space="preserve"> </w:t>
            </w:r>
            <w:r w:rsidRPr="007F03A7">
              <w:rPr>
                <w:rFonts w:ascii="Arial Narrow" w:hAnsi="Arial Narrow"/>
                <w:sz w:val="20"/>
                <w:u w:val="single"/>
              </w:rPr>
              <w:t>cent of predicted</w:t>
            </w:r>
            <w:r>
              <w:rPr>
                <w:rFonts w:ascii="Arial Narrow" w:hAnsi="Arial Narrow"/>
                <w:sz w:val="20"/>
              </w:rPr>
              <w:t>, mean metres (SD)</w:t>
            </w: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Baseline</w:t>
            </w:r>
          </w:p>
        </w:tc>
        <w:tc>
          <w:tcPr>
            <w:tcW w:w="1630" w:type="dxa"/>
            <w:vAlign w:val="center"/>
          </w:tcPr>
          <w:p w:rsidR="009125A8" w:rsidRDefault="009125A8" w:rsidP="005123EA">
            <w:pPr>
              <w:keepNext/>
              <w:widowControl/>
              <w:jc w:val="center"/>
              <w:rPr>
                <w:rFonts w:ascii="Arial Narrow" w:hAnsi="Arial Narrow"/>
                <w:sz w:val="20"/>
              </w:rPr>
            </w:pPr>
            <w:r>
              <w:rPr>
                <w:rFonts w:ascii="Arial Narrow" w:hAnsi="Arial Narrow"/>
                <w:sz w:val="20"/>
              </w:rPr>
              <w:t>73.33 (19.86)</w:t>
            </w:r>
          </w:p>
        </w:tc>
        <w:tc>
          <w:tcPr>
            <w:tcW w:w="1630" w:type="dxa"/>
            <w:vAlign w:val="center"/>
          </w:tcPr>
          <w:p w:rsidR="009125A8" w:rsidRDefault="009125A8" w:rsidP="005123EA">
            <w:pPr>
              <w:keepNext/>
              <w:widowControl/>
              <w:jc w:val="center"/>
              <w:rPr>
                <w:rFonts w:ascii="Arial Narrow" w:hAnsi="Arial Narrow"/>
                <w:sz w:val="20"/>
              </w:rPr>
            </w:pPr>
            <w:r>
              <w:rPr>
                <w:rFonts w:ascii="Arial Narrow" w:hAnsi="Arial Narrow"/>
                <w:sz w:val="20"/>
              </w:rPr>
              <w:t>76.93 (16.66)</w:t>
            </w:r>
          </w:p>
        </w:tc>
        <w:tc>
          <w:tcPr>
            <w:tcW w:w="3260" w:type="dxa"/>
            <w:gridSpan w:val="2"/>
            <w:vAlign w:val="center"/>
          </w:tcPr>
          <w:p w:rsidR="009125A8" w:rsidRDefault="009125A8" w:rsidP="005123EA">
            <w:pPr>
              <w:keepNext/>
              <w:widowControl/>
              <w:jc w:val="center"/>
              <w:rPr>
                <w:rFonts w:ascii="Arial Narrow" w:hAnsi="Arial Narrow"/>
                <w:sz w:val="20"/>
              </w:rPr>
            </w:pPr>
            <w:r>
              <w:rPr>
                <w:rFonts w:ascii="Arial Narrow" w:hAnsi="Arial Narrow"/>
                <w:sz w:val="20"/>
              </w:rPr>
              <w:t>59.06 (14.96)</w:t>
            </w:r>
          </w:p>
        </w:tc>
      </w:tr>
      <w:tr w:rsidR="009125A8" w:rsidTr="007F03A7">
        <w:tc>
          <w:tcPr>
            <w:tcW w:w="1555" w:type="dxa"/>
            <w:vMerge/>
          </w:tcPr>
          <w:p w:rsidR="009125A8" w:rsidRDefault="009125A8" w:rsidP="005123EA">
            <w:pPr>
              <w:keepNext/>
              <w:widowControl/>
              <w:rPr>
                <w:rFonts w:ascii="Arial Narrow" w:hAnsi="Arial Narrow"/>
                <w:sz w:val="20"/>
              </w:rPr>
            </w:pPr>
          </w:p>
        </w:tc>
        <w:tc>
          <w:tcPr>
            <w:tcW w:w="992" w:type="dxa"/>
            <w:vMerge w:val="restart"/>
            <w:vAlign w:val="center"/>
          </w:tcPr>
          <w:p w:rsidR="009125A8" w:rsidRDefault="009125A8" w:rsidP="005123EA">
            <w:pPr>
              <w:keepNext/>
              <w:widowControl/>
              <w:jc w:val="right"/>
              <w:rPr>
                <w:rFonts w:ascii="Arial Narrow" w:hAnsi="Arial Narrow"/>
                <w:sz w:val="20"/>
              </w:rPr>
            </w:pPr>
            <w:r>
              <w:rPr>
                <w:rFonts w:ascii="Arial Narrow" w:hAnsi="Arial Narrow"/>
                <w:sz w:val="20"/>
              </w:rPr>
              <w:t>Week 24</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3260" w:type="dxa"/>
            <w:gridSpan w:val="2"/>
            <w:vMerge w:val="restart"/>
            <w:vAlign w:val="center"/>
          </w:tcPr>
          <w:p w:rsidR="009125A8" w:rsidRPr="0071404E" w:rsidRDefault="009125A8" w:rsidP="005123EA">
            <w:pPr>
              <w:keepNext/>
              <w:widowControl/>
              <w:jc w:val="center"/>
              <w:rPr>
                <w:rFonts w:ascii="Arial Narrow" w:hAnsi="Arial Narrow"/>
                <w:sz w:val="20"/>
              </w:rPr>
            </w:pPr>
            <w:r w:rsidRPr="0071404E">
              <w:rPr>
                <w:rFonts w:ascii="Arial Narrow" w:hAnsi="Arial Narrow"/>
                <w:sz w:val="20"/>
              </w:rPr>
              <w:t>19.38 (10.5)</w:t>
            </w:r>
          </w:p>
        </w:tc>
      </w:tr>
      <w:tr w:rsidR="009125A8" w:rsidTr="007F03A7">
        <w:tc>
          <w:tcPr>
            <w:tcW w:w="1555" w:type="dxa"/>
            <w:vMerge/>
          </w:tcPr>
          <w:p w:rsidR="009125A8" w:rsidRDefault="009125A8" w:rsidP="005123EA">
            <w:pPr>
              <w:keepNext/>
              <w:widowControl/>
              <w:rPr>
                <w:rFonts w:ascii="Arial Narrow" w:hAnsi="Arial Narrow"/>
                <w:sz w:val="20"/>
              </w:rPr>
            </w:pPr>
          </w:p>
        </w:tc>
        <w:tc>
          <w:tcPr>
            <w:tcW w:w="992" w:type="dxa"/>
            <w:vMerge/>
            <w:vAlign w:val="center"/>
          </w:tcPr>
          <w:p w:rsidR="009125A8" w:rsidRDefault="009125A8" w:rsidP="005123EA">
            <w:pPr>
              <w:keepNext/>
              <w:widowControl/>
              <w:jc w:val="right"/>
              <w:rPr>
                <w:rFonts w:ascii="Arial Narrow" w:hAnsi="Arial Narrow"/>
                <w:sz w:val="20"/>
              </w:rPr>
            </w:pPr>
          </w:p>
        </w:tc>
        <w:tc>
          <w:tcPr>
            <w:tcW w:w="3260" w:type="dxa"/>
            <w:gridSpan w:val="2"/>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3260" w:type="dxa"/>
            <w:gridSpan w:val="2"/>
            <w:vMerge/>
            <w:vAlign w:val="center"/>
          </w:tcPr>
          <w:p w:rsidR="009125A8" w:rsidRPr="0071404E" w:rsidRDefault="009125A8" w:rsidP="005123EA">
            <w:pPr>
              <w:keepNext/>
              <w:widowControl/>
              <w:jc w:val="center"/>
              <w:rPr>
                <w:rFonts w:ascii="Arial Narrow" w:hAnsi="Arial Narrow"/>
                <w:sz w:val="20"/>
              </w:rPr>
            </w:pPr>
          </w:p>
        </w:tc>
      </w:tr>
      <w:tr w:rsidR="009125A8" w:rsidTr="007F03A7">
        <w:tc>
          <w:tcPr>
            <w:tcW w:w="1555" w:type="dxa"/>
            <w:vMerge/>
          </w:tcPr>
          <w:p w:rsidR="009125A8" w:rsidRDefault="009125A8" w:rsidP="005123EA">
            <w:pPr>
              <w:keepNext/>
              <w:widowControl/>
              <w:rPr>
                <w:rFonts w:ascii="Arial Narrow" w:hAnsi="Arial Narrow"/>
                <w:sz w:val="20"/>
              </w:rPr>
            </w:pP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Week 48</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3260" w:type="dxa"/>
            <w:gridSpan w:val="2"/>
            <w:vAlign w:val="center"/>
          </w:tcPr>
          <w:p w:rsidR="009125A8" w:rsidRPr="0071404E" w:rsidRDefault="009125A8" w:rsidP="005123EA">
            <w:pPr>
              <w:keepNext/>
              <w:widowControl/>
              <w:jc w:val="center"/>
              <w:rPr>
                <w:rFonts w:ascii="Arial Narrow" w:hAnsi="Arial Narrow"/>
                <w:sz w:val="20"/>
              </w:rPr>
            </w:pPr>
            <w:r w:rsidRPr="0071404E">
              <w:rPr>
                <w:rFonts w:ascii="Arial Narrow" w:hAnsi="Arial Narrow"/>
                <w:sz w:val="20"/>
              </w:rPr>
              <w:t>22.20 (9.1)</w:t>
            </w:r>
          </w:p>
        </w:tc>
      </w:tr>
      <w:tr w:rsidR="009125A8" w:rsidTr="007F03A7">
        <w:tc>
          <w:tcPr>
            <w:tcW w:w="1555" w:type="dxa"/>
            <w:vMerge/>
          </w:tcPr>
          <w:p w:rsidR="009125A8" w:rsidRDefault="009125A8" w:rsidP="005123EA">
            <w:pPr>
              <w:keepNext/>
              <w:widowControl/>
              <w:rPr>
                <w:rFonts w:ascii="Arial Narrow" w:hAnsi="Arial Narrow"/>
                <w:sz w:val="20"/>
              </w:rPr>
            </w:pP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Week 96</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3260" w:type="dxa"/>
            <w:gridSpan w:val="2"/>
            <w:vAlign w:val="center"/>
          </w:tcPr>
          <w:p w:rsidR="009125A8" w:rsidRPr="0071404E" w:rsidRDefault="009125A8" w:rsidP="005123EA">
            <w:pPr>
              <w:keepNext/>
              <w:widowControl/>
              <w:jc w:val="center"/>
              <w:rPr>
                <w:rFonts w:ascii="Arial Narrow" w:hAnsi="Arial Narrow"/>
                <w:sz w:val="20"/>
              </w:rPr>
            </w:pPr>
            <w:r w:rsidRPr="0071404E">
              <w:rPr>
                <w:rFonts w:ascii="Arial Narrow" w:hAnsi="Arial Narrow"/>
                <w:sz w:val="20"/>
              </w:rPr>
              <w:t>20.80 (10.5)</w:t>
            </w:r>
          </w:p>
        </w:tc>
      </w:tr>
      <w:tr w:rsidR="009125A8" w:rsidTr="007F03A7">
        <w:tc>
          <w:tcPr>
            <w:tcW w:w="1555" w:type="dxa"/>
            <w:vMerge/>
          </w:tcPr>
          <w:p w:rsidR="009125A8" w:rsidRDefault="009125A8" w:rsidP="005123EA">
            <w:pPr>
              <w:keepNext/>
              <w:widowControl/>
              <w:rPr>
                <w:rFonts w:ascii="Arial Narrow" w:hAnsi="Arial Narrow"/>
                <w:sz w:val="20"/>
              </w:rPr>
            </w:pP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Week 144</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3260" w:type="dxa"/>
            <w:gridSpan w:val="2"/>
            <w:vAlign w:val="center"/>
          </w:tcPr>
          <w:p w:rsidR="009125A8" w:rsidRPr="0071404E" w:rsidRDefault="009125A8" w:rsidP="005123EA">
            <w:pPr>
              <w:keepNext/>
              <w:widowControl/>
              <w:jc w:val="center"/>
              <w:rPr>
                <w:rFonts w:ascii="Arial Narrow" w:hAnsi="Arial Narrow"/>
                <w:sz w:val="20"/>
              </w:rPr>
            </w:pPr>
            <w:r w:rsidRPr="0071404E">
              <w:rPr>
                <w:rFonts w:ascii="Arial Narrow" w:hAnsi="Arial Narrow"/>
                <w:sz w:val="20"/>
              </w:rPr>
              <w:t>30.60 (10.8)</w:t>
            </w:r>
          </w:p>
        </w:tc>
      </w:tr>
      <w:tr w:rsidR="009125A8" w:rsidTr="007F03A7">
        <w:tc>
          <w:tcPr>
            <w:tcW w:w="1555" w:type="dxa"/>
            <w:vMerge/>
          </w:tcPr>
          <w:p w:rsidR="009125A8" w:rsidRDefault="009125A8" w:rsidP="005123EA">
            <w:pPr>
              <w:keepNext/>
              <w:widowControl/>
              <w:rPr>
                <w:rFonts w:ascii="Arial Narrow" w:hAnsi="Arial Narrow"/>
                <w:sz w:val="20"/>
              </w:rPr>
            </w:pP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Week 192</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 ''''''''''''''</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3260" w:type="dxa"/>
            <w:gridSpan w:val="2"/>
            <w:vAlign w:val="center"/>
          </w:tcPr>
          <w:p w:rsidR="009125A8" w:rsidRPr="0071404E" w:rsidRDefault="009125A8" w:rsidP="005123EA">
            <w:pPr>
              <w:keepNext/>
              <w:widowControl/>
              <w:jc w:val="center"/>
              <w:rPr>
                <w:rFonts w:ascii="Arial Narrow" w:hAnsi="Arial Narrow"/>
                <w:sz w:val="20"/>
              </w:rPr>
            </w:pPr>
            <w:r w:rsidRPr="0071404E">
              <w:rPr>
                <w:rFonts w:ascii="Arial Narrow" w:hAnsi="Arial Narrow"/>
                <w:sz w:val="20"/>
              </w:rPr>
              <w:t>25.28 (15.1)</w:t>
            </w:r>
          </w:p>
        </w:tc>
      </w:tr>
      <w:tr w:rsidR="009125A8" w:rsidTr="007F03A7">
        <w:tc>
          <w:tcPr>
            <w:tcW w:w="1555" w:type="dxa"/>
            <w:vMerge/>
          </w:tcPr>
          <w:p w:rsidR="009125A8" w:rsidRDefault="009125A8" w:rsidP="005123EA">
            <w:pPr>
              <w:keepNext/>
              <w:widowControl/>
              <w:rPr>
                <w:rFonts w:ascii="Arial Narrow" w:hAnsi="Arial Narrow"/>
                <w:sz w:val="20"/>
              </w:rPr>
            </w:pPr>
          </w:p>
        </w:tc>
        <w:tc>
          <w:tcPr>
            <w:tcW w:w="992" w:type="dxa"/>
            <w:vAlign w:val="center"/>
          </w:tcPr>
          <w:p w:rsidR="009125A8" w:rsidRDefault="009125A8" w:rsidP="005123EA">
            <w:pPr>
              <w:keepNext/>
              <w:widowControl/>
              <w:jc w:val="right"/>
              <w:rPr>
                <w:rFonts w:ascii="Arial Narrow" w:hAnsi="Arial Narrow"/>
                <w:sz w:val="20"/>
              </w:rPr>
            </w:pPr>
            <w:r>
              <w:rPr>
                <w:rFonts w:ascii="Arial Narrow" w:hAnsi="Arial Narrow"/>
                <w:sz w:val="20"/>
              </w:rPr>
              <w:t>Week 240</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630" w:type="dxa"/>
            <w:vAlign w:val="center"/>
          </w:tcPr>
          <w:p w:rsidR="009125A8" w:rsidRPr="00551B2E" w:rsidRDefault="00551B2E" w:rsidP="005123EA">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3260" w:type="dxa"/>
            <w:gridSpan w:val="2"/>
            <w:vAlign w:val="center"/>
          </w:tcPr>
          <w:p w:rsidR="009125A8" w:rsidRPr="0071404E" w:rsidRDefault="009125A8" w:rsidP="005123EA">
            <w:pPr>
              <w:keepNext/>
              <w:widowControl/>
              <w:jc w:val="center"/>
              <w:rPr>
                <w:rFonts w:ascii="Arial Narrow" w:hAnsi="Arial Narrow"/>
                <w:sz w:val="20"/>
              </w:rPr>
            </w:pPr>
            <w:r w:rsidRPr="0071404E">
              <w:rPr>
                <w:rFonts w:ascii="Arial Narrow" w:hAnsi="Arial Narrow"/>
                <w:sz w:val="20"/>
              </w:rPr>
              <w:t>23.24 (13.7)</w:t>
            </w:r>
          </w:p>
        </w:tc>
      </w:tr>
    </w:tbl>
    <w:p w:rsidR="009125A8" w:rsidRDefault="007F03A7" w:rsidP="005123EA">
      <w:pPr>
        <w:keepNext/>
        <w:widowControl/>
        <w:tabs>
          <w:tab w:val="left" w:pos="284"/>
        </w:tabs>
        <w:rPr>
          <w:rFonts w:ascii="Arial Narrow" w:hAnsi="Arial Narrow"/>
          <w:sz w:val="18"/>
          <w:szCs w:val="18"/>
        </w:rPr>
      </w:pPr>
      <w:proofErr w:type="gramStart"/>
      <w:r>
        <w:rPr>
          <w:rFonts w:ascii="Arial Narrow" w:hAnsi="Arial Narrow"/>
          <w:sz w:val="18"/>
          <w:szCs w:val="18"/>
          <w:vertAlign w:val="superscript"/>
        </w:rPr>
        <w:t>a</w:t>
      </w:r>
      <w:proofErr w:type="gramEnd"/>
      <w:r w:rsidRPr="008E39BC">
        <w:rPr>
          <w:rFonts w:ascii="Arial Narrow" w:hAnsi="Arial Narrow"/>
          <w:sz w:val="18"/>
          <w:szCs w:val="18"/>
          <w:vertAlign w:val="superscript"/>
        </w:rPr>
        <w:tab/>
      </w:r>
      <w:r w:rsidRPr="008E39BC">
        <w:rPr>
          <w:rFonts w:ascii="Arial Narrow" w:hAnsi="Arial Narrow"/>
          <w:sz w:val="18"/>
          <w:szCs w:val="18"/>
        </w:rPr>
        <w:t>Placebo group crossed-over to AA at week 24</w:t>
      </w:r>
    </w:p>
    <w:p w:rsidR="00196410" w:rsidRPr="00196410" w:rsidRDefault="00196410" w:rsidP="005123EA">
      <w:pPr>
        <w:keepNext/>
        <w:widowControl/>
        <w:tabs>
          <w:tab w:val="left" w:pos="284"/>
        </w:tabs>
        <w:ind w:left="284" w:hanging="284"/>
        <w:rPr>
          <w:rFonts w:ascii="Arial Narrow" w:hAnsi="Arial Narrow"/>
          <w:sz w:val="18"/>
          <w:szCs w:val="18"/>
        </w:rPr>
      </w:pPr>
      <w:proofErr w:type="gramStart"/>
      <w:r>
        <w:rPr>
          <w:rFonts w:ascii="Arial Narrow" w:hAnsi="Arial Narrow"/>
          <w:sz w:val="18"/>
          <w:szCs w:val="18"/>
          <w:vertAlign w:val="superscript"/>
        </w:rPr>
        <w:t>b</w:t>
      </w:r>
      <w:proofErr w:type="gramEnd"/>
      <w:r>
        <w:rPr>
          <w:rFonts w:ascii="Arial Narrow" w:hAnsi="Arial Narrow"/>
          <w:sz w:val="18"/>
          <w:szCs w:val="18"/>
        </w:rPr>
        <w:tab/>
        <w:t xml:space="preserve">13/19: Results at week 192 are for 13 patients, results reported for 19 patients at all other time points (due to BSC patients crossing-over to </w:t>
      </w:r>
      <w:proofErr w:type="spellStart"/>
      <w:r>
        <w:rPr>
          <w:rFonts w:ascii="Arial Narrow" w:hAnsi="Arial Narrow"/>
          <w:sz w:val="18"/>
          <w:szCs w:val="18"/>
        </w:rPr>
        <w:t>asfotase</w:t>
      </w:r>
      <w:proofErr w:type="spellEnd"/>
      <w:r>
        <w:rPr>
          <w:rFonts w:ascii="Arial Narrow" w:hAnsi="Arial Narrow"/>
          <w:sz w:val="18"/>
          <w:szCs w:val="18"/>
        </w:rPr>
        <w:t xml:space="preserve"> alfa </w:t>
      </w:r>
      <w:proofErr w:type="spellStart"/>
      <w:r w:rsidR="00465F17" w:rsidRPr="00465F17">
        <w:rPr>
          <w:rFonts w:ascii="Arial Narrow" w:hAnsi="Arial Narrow"/>
          <w:i/>
          <w:sz w:val="18"/>
          <w:szCs w:val="18"/>
        </w:rPr>
        <w:t>rch</w:t>
      </w:r>
      <w:proofErr w:type="spellEnd"/>
      <w:r>
        <w:rPr>
          <w:rFonts w:ascii="Arial Narrow" w:hAnsi="Arial Narrow"/>
          <w:i/>
          <w:sz w:val="18"/>
          <w:szCs w:val="18"/>
        </w:rPr>
        <w:t xml:space="preserve"> </w:t>
      </w:r>
      <w:r>
        <w:rPr>
          <w:rFonts w:ascii="Arial Narrow" w:hAnsi="Arial Narrow"/>
          <w:sz w:val="18"/>
          <w:szCs w:val="18"/>
        </w:rPr>
        <w:t>at Week 24)</w:t>
      </w:r>
    </w:p>
    <w:p w:rsidR="00E4374E" w:rsidRDefault="00E4374E" w:rsidP="005123EA">
      <w:pPr>
        <w:widowControl/>
        <w:spacing w:after="120"/>
        <w:contextualSpacing/>
        <w:rPr>
          <w:rFonts w:ascii="Arial Narrow" w:hAnsi="Arial Narrow"/>
          <w:sz w:val="18"/>
          <w:szCs w:val="18"/>
        </w:rPr>
      </w:pPr>
      <w:r w:rsidRPr="008E39BC">
        <w:rPr>
          <w:rFonts w:ascii="Arial Narrow" w:hAnsi="Arial Narrow"/>
          <w:sz w:val="18"/>
          <w:szCs w:val="18"/>
        </w:rPr>
        <w:t>BSC = best supportive care</w:t>
      </w:r>
      <w:r w:rsidRPr="008E39BC">
        <w:rPr>
          <w:rFonts w:ascii="Arial Narrow" w:hAnsi="Arial Narrow"/>
          <w:i/>
          <w:sz w:val="18"/>
          <w:szCs w:val="18"/>
        </w:rPr>
        <w:t>;</w:t>
      </w:r>
      <w:r w:rsidR="00207AA0">
        <w:rPr>
          <w:rFonts w:ascii="Arial Narrow" w:hAnsi="Arial Narrow"/>
          <w:i/>
          <w:sz w:val="18"/>
          <w:szCs w:val="18"/>
        </w:rPr>
        <w:t xml:space="preserve"> </w:t>
      </w:r>
      <w:r w:rsidRPr="008E39BC">
        <w:rPr>
          <w:rFonts w:ascii="Arial Narrow" w:hAnsi="Arial Narrow"/>
          <w:sz w:val="18"/>
          <w:szCs w:val="18"/>
        </w:rPr>
        <w:t xml:space="preserve">SD = standard deviation; </w:t>
      </w:r>
      <w:proofErr w:type="spellStart"/>
      <w:r>
        <w:rPr>
          <w:rFonts w:ascii="Arial Narrow" w:hAnsi="Arial Narrow"/>
          <w:sz w:val="18"/>
          <w:szCs w:val="18"/>
        </w:rPr>
        <w:t>nr</w:t>
      </w:r>
      <w:proofErr w:type="spellEnd"/>
      <w:r>
        <w:rPr>
          <w:rFonts w:ascii="Arial Narrow" w:hAnsi="Arial Narrow"/>
          <w:sz w:val="18"/>
          <w:szCs w:val="18"/>
        </w:rPr>
        <w:t xml:space="preserve"> = not reported</w:t>
      </w:r>
    </w:p>
    <w:p w:rsidR="007F03A7" w:rsidRPr="008E39BC" w:rsidRDefault="007F03A7" w:rsidP="005123EA">
      <w:pPr>
        <w:widowControl/>
        <w:spacing w:after="120"/>
        <w:contextualSpacing/>
        <w:rPr>
          <w:rFonts w:ascii="Arial Narrow" w:hAnsi="Arial Narrow"/>
          <w:sz w:val="18"/>
          <w:szCs w:val="18"/>
        </w:rPr>
      </w:pPr>
      <w:r w:rsidRPr="00EE2CE4">
        <w:rPr>
          <w:rFonts w:ascii="Arial Narrow" w:hAnsi="Arial Narrow"/>
          <w:sz w:val="18"/>
          <w:szCs w:val="18"/>
        </w:rPr>
        <w:t>Source: compiled during the evaluation from Tables B.6.2-B.6.17, pp102-207 of Section B of the submission</w:t>
      </w:r>
    </w:p>
    <w:p w:rsidR="00AC74D6" w:rsidRPr="00F471D7" w:rsidRDefault="00AC74D6" w:rsidP="005123EA">
      <w:pPr>
        <w:pStyle w:val="ListParagraph"/>
        <w:widowControl/>
        <w:numPr>
          <w:ilvl w:val="1"/>
          <w:numId w:val="2"/>
        </w:numPr>
        <w:contextualSpacing w:val="0"/>
      </w:pPr>
      <w:r w:rsidRPr="00946860">
        <w:rPr>
          <w:szCs w:val="22"/>
        </w:rPr>
        <w:t xml:space="preserve">The submission </w:t>
      </w:r>
      <w:r>
        <w:rPr>
          <w:szCs w:val="22"/>
        </w:rPr>
        <w:t>estimated the minimal clinically important difference (</w:t>
      </w:r>
      <w:r w:rsidRPr="00946860">
        <w:rPr>
          <w:szCs w:val="22"/>
        </w:rPr>
        <w:t>MCID</w:t>
      </w:r>
      <w:r>
        <w:rPr>
          <w:szCs w:val="22"/>
        </w:rPr>
        <w:t>)</w:t>
      </w:r>
      <w:r w:rsidRPr="00946860">
        <w:rPr>
          <w:szCs w:val="22"/>
        </w:rPr>
        <w:t xml:space="preserve"> for the </w:t>
      </w:r>
      <w:r w:rsidRPr="00F471D7">
        <w:rPr>
          <w:szCs w:val="22"/>
        </w:rPr>
        <w:t>change in 6MWT in children with HPP aged 5-12 years to be 30.2 metres (based on using the one-third standard deviation (SD) distribution-based approach, which was said to represent 8.8% of the mean baseline distance walked). The same methodology was previously reported in the literature for estimating a MCID for the 6MWT in boys with Duchenne muscular dystrophy (</w:t>
      </w:r>
      <w:r w:rsidRPr="00F471D7">
        <w:t>28.5 to 31.7 metres, or 8.9%</w:t>
      </w:r>
      <w:r w:rsidRPr="00F471D7">
        <w:rPr>
          <w:szCs w:val="22"/>
        </w:rPr>
        <w:t>)</w:t>
      </w:r>
      <w:r w:rsidR="00AC7D51" w:rsidRPr="00F471D7">
        <w:rPr>
          <w:szCs w:val="22"/>
        </w:rPr>
        <w:t>.</w:t>
      </w:r>
      <w:r w:rsidRPr="00F471D7">
        <w:rPr>
          <w:szCs w:val="22"/>
        </w:rPr>
        <w:t xml:space="preserve"> </w:t>
      </w:r>
    </w:p>
    <w:p w:rsidR="007F03A7" w:rsidRPr="00F471D7" w:rsidRDefault="007F03A7" w:rsidP="005123EA">
      <w:pPr>
        <w:pStyle w:val="ListParagraph"/>
        <w:widowControl/>
        <w:numPr>
          <w:ilvl w:val="1"/>
          <w:numId w:val="2"/>
        </w:numPr>
        <w:contextualSpacing w:val="0"/>
      </w:pPr>
      <w:r w:rsidRPr="00F471D7">
        <w:rPr>
          <w:szCs w:val="22"/>
        </w:rPr>
        <w:t>The difference in mean 6MWT distance as per</w:t>
      </w:r>
      <w:r w:rsidR="00697339">
        <w:rPr>
          <w:szCs w:val="22"/>
        </w:rPr>
        <w:t xml:space="preserve"> </w:t>
      </w:r>
      <w:r w:rsidRPr="00F471D7">
        <w:rPr>
          <w:szCs w:val="22"/>
        </w:rPr>
        <w:t>cent predicted from Baseline to Week</w:t>
      </w:r>
      <w:r w:rsidR="00F55931" w:rsidRPr="00F471D7">
        <w:rPr>
          <w:szCs w:val="22"/>
        </w:rPr>
        <w:t> </w:t>
      </w:r>
      <w:r w:rsidRPr="00F471D7">
        <w:rPr>
          <w:szCs w:val="22"/>
        </w:rPr>
        <w:t xml:space="preserve">24 for patients treated with </w:t>
      </w:r>
      <w:proofErr w:type="spellStart"/>
      <w:r w:rsidRPr="00F471D7">
        <w:rPr>
          <w:szCs w:val="22"/>
        </w:rPr>
        <w:t>asfotase</w:t>
      </w:r>
      <w:proofErr w:type="spellEnd"/>
      <w:r w:rsidRPr="00F471D7">
        <w:rPr>
          <w:szCs w:val="22"/>
        </w:rPr>
        <w:t xml:space="preserve"> alfa </w:t>
      </w:r>
      <w:proofErr w:type="spellStart"/>
      <w:r w:rsidR="00465F17" w:rsidRPr="00465F17">
        <w:rPr>
          <w:i/>
          <w:szCs w:val="22"/>
        </w:rPr>
        <w:t>rch</w:t>
      </w:r>
      <w:proofErr w:type="spellEnd"/>
      <w:r w:rsidRPr="00F471D7">
        <w:rPr>
          <w:szCs w:val="22"/>
        </w:rPr>
        <w:t xml:space="preserve"> treated compared with BSC was not statistically significant (p=</w:t>
      </w:r>
      <w:r w:rsidR="00551B2E">
        <w:rPr>
          <w:noProof/>
          <w:color w:val="000000"/>
          <w:szCs w:val="22"/>
          <w:highlight w:val="black"/>
        </w:rPr>
        <w:t>'''''''''''''</w:t>
      </w:r>
      <w:r w:rsidRPr="00F471D7">
        <w:rPr>
          <w:szCs w:val="22"/>
        </w:rPr>
        <w:t>). In terms of the overall mean change in 6MWT distance from Baseline to Week 24 (without conversion to per</w:t>
      </w:r>
      <w:r w:rsidR="00697339">
        <w:rPr>
          <w:szCs w:val="22"/>
        </w:rPr>
        <w:t xml:space="preserve"> </w:t>
      </w:r>
      <w:r w:rsidRPr="00F471D7">
        <w:rPr>
          <w:szCs w:val="22"/>
        </w:rPr>
        <w:t xml:space="preserve">cent predicted), there was a difference of </w:t>
      </w:r>
      <w:r w:rsidR="00551B2E">
        <w:rPr>
          <w:noProof/>
          <w:color w:val="000000"/>
          <w:szCs w:val="22"/>
          <w:highlight w:val="black"/>
        </w:rPr>
        <w:t>'''''''''</w:t>
      </w:r>
      <w:r w:rsidRPr="00F471D7">
        <w:rPr>
          <w:szCs w:val="22"/>
        </w:rPr>
        <w:t xml:space="preserve"> metres. While Trial ENB-009-10 showed that </w:t>
      </w:r>
      <w:proofErr w:type="spellStart"/>
      <w:r w:rsidRPr="00F471D7">
        <w:rPr>
          <w:szCs w:val="22"/>
        </w:rPr>
        <w:t>asfotase</w:t>
      </w:r>
      <w:proofErr w:type="spellEnd"/>
      <w:r w:rsidRPr="00F471D7">
        <w:rPr>
          <w:szCs w:val="22"/>
        </w:rPr>
        <w:t xml:space="preserve"> alfa </w:t>
      </w:r>
      <w:proofErr w:type="spellStart"/>
      <w:r w:rsidR="00465F17" w:rsidRPr="00465F17">
        <w:rPr>
          <w:i/>
          <w:szCs w:val="22"/>
        </w:rPr>
        <w:t>rch</w:t>
      </w:r>
      <w:proofErr w:type="spellEnd"/>
      <w:r w:rsidRPr="00F471D7">
        <w:rPr>
          <w:szCs w:val="22"/>
        </w:rPr>
        <w:t xml:space="preserve"> improved mean 6MWT distance by more than </w:t>
      </w:r>
      <w:r w:rsidR="00043E37" w:rsidRPr="00543981">
        <w:rPr>
          <w:szCs w:val="22"/>
        </w:rPr>
        <w:t xml:space="preserve">the </w:t>
      </w:r>
      <w:r w:rsidR="004F4B7A">
        <w:rPr>
          <w:szCs w:val="22"/>
        </w:rPr>
        <w:t xml:space="preserve">proposed </w:t>
      </w:r>
      <w:r w:rsidR="00043E37" w:rsidRPr="00543981">
        <w:rPr>
          <w:szCs w:val="22"/>
        </w:rPr>
        <w:t xml:space="preserve">MCID of </w:t>
      </w:r>
      <w:r w:rsidRPr="00F471D7">
        <w:rPr>
          <w:szCs w:val="22"/>
        </w:rPr>
        <w:t xml:space="preserve">30.2 metres compared with BSC, this difference was also not statistically significant (p=0.1303). </w:t>
      </w:r>
      <w:r w:rsidR="000C18E1" w:rsidRPr="0000053C">
        <w:rPr>
          <w:szCs w:val="22"/>
        </w:rPr>
        <w:t>In Trial ENB</w:t>
      </w:r>
      <w:r w:rsidR="000C18E1" w:rsidRPr="0000053C">
        <w:rPr>
          <w:szCs w:val="22"/>
        </w:rPr>
        <w:noBreakHyphen/>
      </w:r>
      <w:r w:rsidR="00043E37" w:rsidRPr="0000053C">
        <w:rPr>
          <w:szCs w:val="22"/>
        </w:rPr>
        <w:t xml:space="preserve">009-10, the difference in 6MWT at Week 144 (the last reported 6MWT in the BSC arm) was </w:t>
      </w:r>
      <w:r w:rsidR="00551B2E">
        <w:rPr>
          <w:noProof/>
          <w:color w:val="000000"/>
          <w:szCs w:val="22"/>
          <w:highlight w:val="black"/>
        </w:rPr>
        <w:t>'''''''''</w:t>
      </w:r>
      <w:r w:rsidR="00043E37" w:rsidRPr="0000053C">
        <w:rPr>
          <w:szCs w:val="22"/>
        </w:rPr>
        <w:t xml:space="preserve"> metres, which was also</w:t>
      </w:r>
      <w:r w:rsidR="00FC316C" w:rsidRPr="0000053C">
        <w:rPr>
          <w:szCs w:val="22"/>
        </w:rPr>
        <w:t xml:space="preserve"> not statistically significant</w:t>
      </w:r>
      <w:r w:rsidR="00FC316C">
        <w:rPr>
          <w:i/>
          <w:szCs w:val="22"/>
        </w:rPr>
        <w:t>.</w:t>
      </w:r>
      <w:r w:rsidR="00043E37" w:rsidRPr="00043E37">
        <w:rPr>
          <w:i/>
          <w:szCs w:val="22"/>
        </w:rPr>
        <w:t xml:space="preserve"> </w:t>
      </w:r>
      <w:r w:rsidRPr="00F471D7">
        <w:t xml:space="preserve">The submission attributed the lack of statistical significance to significant heterogeneity in baseline values and treatment responses, as well as the small sample sizes, with the submission stating that the trial wasn’t powered to detect specific changes in the 6MWT. </w:t>
      </w:r>
      <w:r w:rsidRPr="00F471D7">
        <w:rPr>
          <w:szCs w:val="22"/>
        </w:rPr>
        <w:t xml:space="preserve">Overall, there was insufficient evidence to demonstrate that </w:t>
      </w:r>
      <w:proofErr w:type="spellStart"/>
      <w:r w:rsidRPr="00F471D7">
        <w:rPr>
          <w:szCs w:val="22"/>
        </w:rPr>
        <w:t>asfotase</w:t>
      </w:r>
      <w:proofErr w:type="spellEnd"/>
      <w:r w:rsidRPr="00F471D7">
        <w:rPr>
          <w:szCs w:val="22"/>
        </w:rPr>
        <w:t xml:space="preserve"> alfa </w:t>
      </w:r>
      <w:proofErr w:type="spellStart"/>
      <w:r w:rsidR="00465F17" w:rsidRPr="00465F17">
        <w:rPr>
          <w:i/>
          <w:szCs w:val="22"/>
        </w:rPr>
        <w:t>rch</w:t>
      </w:r>
      <w:proofErr w:type="spellEnd"/>
      <w:r w:rsidRPr="00F471D7">
        <w:rPr>
          <w:szCs w:val="22"/>
        </w:rPr>
        <w:t xml:space="preserve"> improved 6MWT distance</w:t>
      </w:r>
      <w:r w:rsidR="0006635E">
        <w:rPr>
          <w:szCs w:val="22"/>
        </w:rPr>
        <w:t>,</w:t>
      </w:r>
      <w:r w:rsidRPr="00F471D7">
        <w:rPr>
          <w:szCs w:val="22"/>
        </w:rPr>
        <w:t xml:space="preserve"> compared with patients treated with BSC</w:t>
      </w:r>
      <w:r w:rsidR="0006635E">
        <w:rPr>
          <w:szCs w:val="22"/>
        </w:rPr>
        <w:t>,</w:t>
      </w:r>
      <w:r w:rsidRPr="00F471D7">
        <w:rPr>
          <w:szCs w:val="22"/>
        </w:rPr>
        <w:t xml:space="preserve"> from this trial.</w:t>
      </w:r>
    </w:p>
    <w:p w:rsidR="000C1259" w:rsidRPr="00F471D7" w:rsidRDefault="00E4374E" w:rsidP="005123EA">
      <w:pPr>
        <w:pStyle w:val="ListParagraph"/>
        <w:widowControl/>
        <w:numPr>
          <w:ilvl w:val="1"/>
          <w:numId w:val="2"/>
        </w:numPr>
        <w:contextualSpacing w:val="0"/>
      </w:pPr>
      <w:r w:rsidRPr="00F471D7">
        <w:rPr>
          <w:szCs w:val="22"/>
        </w:rPr>
        <w:t>The submission presented a pre-specified analysis of overall survival from trials ENB</w:t>
      </w:r>
      <w:r w:rsidR="00140507">
        <w:rPr>
          <w:szCs w:val="22"/>
        </w:rPr>
        <w:noBreakHyphen/>
      </w:r>
      <w:r w:rsidRPr="00F471D7">
        <w:rPr>
          <w:szCs w:val="22"/>
        </w:rPr>
        <w:t>002-08/ENB-003-08 and ENB-010-10 in patients with perinatal-/infantile-onset HPP (defined as onset of symptoms prior to 6 months) who were at high risk of premature death (as defined by the presence of respiratory compromise, vitamin B</w:t>
      </w:r>
      <w:r w:rsidRPr="00FE3855">
        <w:rPr>
          <w:szCs w:val="22"/>
        </w:rPr>
        <w:t>6</w:t>
      </w:r>
      <w:r w:rsidRPr="00F471D7">
        <w:rPr>
          <w:szCs w:val="22"/>
        </w:rPr>
        <w:t xml:space="preserve"> responsive seizures a</w:t>
      </w:r>
      <w:r w:rsidR="00D852BE" w:rsidRPr="00F471D7">
        <w:rPr>
          <w:szCs w:val="22"/>
        </w:rPr>
        <w:t>nd/or rachitic chest deformity). This was</w:t>
      </w:r>
      <w:r w:rsidRPr="00F471D7">
        <w:rPr>
          <w:szCs w:val="22"/>
        </w:rPr>
        <w:t xml:space="preserve"> compared with </w:t>
      </w:r>
      <w:r w:rsidR="00D852BE" w:rsidRPr="00F471D7">
        <w:rPr>
          <w:szCs w:val="22"/>
        </w:rPr>
        <w:t xml:space="preserve">overall survival among </w:t>
      </w:r>
      <w:r w:rsidRPr="00F471D7">
        <w:rPr>
          <w:szCs w:val="22"/>
        </w:rPr>
        <w:t>a matched, non</w:t>
      </w:r>
      <w:r w:rsidRPr="00F471D7">
        <w:rPr>
          <w:szCs w:val="22"/>
        </w:rPr>
        <w:noBreakHyphen/>
        <w:t xml:space="preserve">concurrent untreated historical control group from Trial ENB-011-10. Results for overall survival are detailed in Table 5 for the full survival analysis (which enrolled 68 </w:t>
      </w:r>
      <w:proofErr w:type="spellStart"/>
      <w:r w:rsidRPr="00F471D7">
        <w:rPr>
          <w:szCs w:val="22"/>
        </w:rPr>
        <w:t>asfotase</w:t>
      </w:r>
      <w:proofErr w:type="spellEnd"/>
      <w:r w:rsidRPr="00F471D7">
        <w:rPr>
          <w:szCs w:val="22"/>
        </w:rPr>
        <w:t xml:space="preserve"> alfa </w:t>
      </w:r>
      <w:proofErr w:type="spellStart"/>
      <w:r w:rsidR="00465F17" w:rsidRPr="00465F17">
        <w:rPr>
          <w:i/>
          <w:szCs w:val="22"/>
        </w:rPr>
        <w:t>rch</w:t>
      </w:r>
      <w:proofErr w:type="spellEnd"/>
      <w:r w:rsidRPr="00F471D7">
        <w:rPr>
          <w:szCs w:val="22"/>
        </w:rPr>
        <w:t xml:space="preserve"> patients</w:t>
      </w:r>
      <w:r w:rsidR="000C18E1">
        <w:rPr>
          <w:szCs w:val="22"/>
        </w:rPr>
        <w:t>). Figure 1 presents the Kaplan</w:t>
      </w:r>
      <w:r w:rsidR="000C18E1">
        <w:rPr>
          <w:szCs w:val="22"/>
        </w:rPr>
        <w:noBreakHyphen/>
      </w:r>
      <w:r w:rsidRPr="00F471D7">
        <w:rPr>
          <w:szCs w:val="22"/>
        </w:rPr>
        <w:t>Meier survival curve for this analysis.</w:t>
      </w:r>
    </w:p>
    <w:p w:rsidR="007F03A7" w:rsidRPr="00F471D7" w:rsidRDefault="007F03A7" w:rsidP="005123EA">
      <w:pPr>
        <w:pStyle w:val="ListParagraph"/>
        <w:widowControl/>
        <w:numPr>
          <w:ilvl w:val="1"/>
          <w:numId w:val="2"/>
        </w:numPr>
        <w:contextualSpacing w:val="0"/>
      </w:pPr>
      <w:r w:rsidRPr="00F471D7">
        <w:rPr>
          <w:szCs w:val="22"/>
        </w:rPr>
        <w:t>The submission also presented two sensitivity analyses for the death rate (summarised in Table 5) given that the analysis was subject to the following two sources of bias (</w:t>
      </w:r>
      <w:proofErr w:type="spellStart"/>
      <w:r w:rsidRPr="00F471D7">
        <w:rPr>
          <w:szCs w:val="22"/>
        </w:rPr>
        <w:t>i</w:t>
      </w:r>
      <w:proofErr w:type="spellEnd"/>
      <w:r w:rsidRPr="00F471D7">
        <w:rPr>
          <w:szCs w:val="22"/>
        </w:rPr>
        <w:t xml:space="preserve">) differences in the dates of the studies </w:t>
      </w:r>
      <w:r w:rsidR="00BD5563" w:rsidRPr="00F471D7">
        <w:rPr>
          <w:szCs w:val="22"/>
        </w:rPr>
        <w:t>and year of diagnosis; and (ii) </w:t>
      </w:r>
      <w:r w:rsidRPr="00F471D7">
        <w:rPr>
          <w:szCs w:val="22"/>
        </w:rPr>
        <w:t>the historical control patients in the analysis included all patients from the time of their diagnosis</w:t>
      </w:r>
      <w:r w:rsidR="00140507">
        <w:rPr>
          <w:szCs w:val="22"/>
        </w:rPr>
        <w:t>,</w:t>
      </w:r>
      <w:r w:rsidRPr="00F471D7">
        <w:rPr>
          <w:szCs w:val="22"/>
        </w:rPr>
        <w:t xml:space="preserve"> whereas the </w:t>
      </w:r>
      <w:proofErr w:type="spellStart"/>
      <w:r w:rsidRPr="00F471D7">
        <w:rPr>
          <w:szCs w:val="22"/>
        </w:rPr>
        <w:t>asfotase</w:t>
      </w:r>
      <w:proofErr w:type="spellEnd"/>
      <w:r w:rsidRPr="00F471D7">
        <w:rPr>
          <w:szCs w:val="22"/>
        </w:rPr>
        <w:t xml:space="preserve"> alfa </w:t>
      </w:r>
      <w:proofErr w:type="spellStart"/>
      <w:r w:rsidR="00465F17" w:rsidRPr="00465F17">
        <w:rPr>
          <w:i/>
          <w:szCs w:val="22"/>
        </w:rPr>
        <w:t>rch</w:t>
      </w:r>
      <w:proofErr w:type="spellEnd"/>
      <w:r w:rsidRPr="00F471D7">
        <w:rPr>
          <w:szCs w:val="22"/>
        </w:rPr>
        <w:t xml:space="preserve"> treated patients only included patients who survived to enrolment in the trial.</w:t>
      </w:r>
    </w:p>
    <w:p w:rsidR="002757CE" w:rsidRDefault="002757CE" w:rsidP="002757CE">
      <w:pPr>
        <w:pStyle w:val="Caption"/>
      </w:pPr>
      <w:r>
        <w:t xml:space="preserve">Table </w:t>
      </w:r>
      <w:r>
        <w:rPr>
          <w:noProof/>
        </w:rPr>
        <w:t>5</w:t>
      </w:r>
      <w:r w:rsidRPr="0028112B">
        <w:t>: Overall survival</w:t>
      </w:r>
    </w:p>
    <w:tbl>
      <w:tblPr>
        <w:tblStyle w:val="TableGrid"/>
        <w:tblW w:w="0" w:type="auto"/>
        <w:tblCellMar>
          <w:left w:w="28" w:type="dxa"/>
          <w:right w:w="28" w:type="dxa"/>
        </w:tblCellMar>
        <w:tblLook w:val="04A0" w:firstRow="1" w:lastRow="0" w:firstColumn="1" w:lastColumn="0" w:noHBand="0" w:noVBand="1"/>
        <w:tblCaption w:val="Overall survival"/>
      </w:tblPr>
      <w:tblGrid>
        <w:gridCol w:w="5098"/>
        <w:gridCol w:w="1560"/>
        <w:gridCol w:w="1559"/>
        <w:gridCol w:w="799"/>
      </w:tblGrid>
      <w:tr w:rsidR="009125A8" w:rsidRPr="009125A8" w:rsidTr="00FE3BBF">
        <w:trPr>
          <w:tblHeader/>
        </w:trPr>
        <w:tc>
          <w:tcPr>
            <w:tcW w:w="5098" w:type="dxa"/>
          </w:tcPr>
          <w:p w:rsidR="009125A8" w:rsidRPr="009125A8" w:rsidRDefault="009125A8" w:rsidP="005123EA">
            <w:pPr>
              <w:pStyle w:val="TableHeading"/>
              <w:spacing w:before="40" w:after="40"/>
              <w:jc w:val="both"/>
              <w:rPr>
                <w:b w:val="0"/>
              </w:rPr>
            </w:pPr>
          </w:p>
        </w:tc>
        <w:tc>
          <w:tcPr>
            <w:tcW w:w="1560" w:type="dxa"/>
            <w:vAlign w:val="center"/>
          </w:tcPr>
          <w:p w:rsidR="009125A8" w:rsidRPr="009125A8" w:rsidRDefault="00BD5563" w:rsidP="005123EA">
            <w:pPr>
              <w:pStyle w:val="TableHeading"/>
              <w:spacing w:before="40" w:after="40"/>
              <w:jc w:val="center"/>
            </w:pPr>
            <w:proofErr w:type="spellStart"/>
            <w:r w:rsidRPr="00BD5563">
              <w:rPr>
                <w:szCs w:val="20"/>
              </w:rPr>
              <w:t>Asfotase</w:t>
            </w:r>
            <w:proofErr w:type="spellEnd"/>
            <w:r w:rsidRPr="00BD5563">
              <w:rPr>
                <w:szCs w:val="20"/>
              </w:rPr>
              <w:t xml:space="preserve"> alfa </w:t>
            </w:r>
            <w:proofErr w:type="spellStart"/>
            <w:r w:rsidR="00465F17" w:rsidRPr="00465F17">
              <w:rPr>
                <w:i/>
                <w:szCs w:val="20"/>
              </w:rPr>
              <w:t>rch</w:t>
            </w:r>
            <w:proofErr w:type="spellEnd"/>
            <w:r w:rsidR="009125A8" w:rsidRPr="00BD5563">
              <w:rPr>
                <w:szCs w:val="20"/>
              </w:rPr>
              <w:t xml:space="preserve"> </w:t>
            </w:r>
            <w:r w:rsidR="009125A8" w:rsidRPr="009125A8">
              <w:t xml:space="preserve">pooled </w:t>
            </w:r>
            <w:proofErr w:type="spellStart"/>
            <w:r w:rsidR="009125A8" w:rsidRPr="009125A8">
              <w:t>result</w:t>
            </w:r>
            <w:r w:rsidR="00CC3A99">
              <w:rPr>
                <w:vertAlign w:val="superscript"/>
              </w:rPr>
              <w:t>a</w:t>
            </w:r>
            <w:proofErr w:type="spellEnd"/>
            <w:r w:rsidR="009125A8" w:rsidRPr="009125A8">
              <w:t xml:space="preserve"> </w:t>
            </w:r>
            <w:r w:rsidR="00E833CC">
              <w:br/>
            </w:r>
            <w:r w:rsidR="009125A8" w:rsidRPr="009125A8">
              <w:t>(n=68)</w:t>
            </w:r>
          </w:p>
        </w:tc>
        <w:tc>
          <w:tcPr>
            <w:tcW w:w="1559" w:type="dxa"/>
            <w:vAlign w:val="center"/>
          </w:tcPr>
          <w:p w:rsidR="009125A8" w:rsidRPr="009125A8" w:rsidRDefault="009125A8" w:rsidP="005123EA">
            <w:pPr>
              <w:pStyle w:val="TableHeading"/>
              <w:spacing w:before="40" w:after="40"/>
              <w:jc w:val="center"/>
            </w:pPr>
            <w:r w:rsidRPr="009125A8">
              <w:t xml:space="preserve">Historical controls </w:t>
            </w:r>
            <w:r>
              <w:br/>
            </w:r>
            <w:r w:rsidRPr="009125A8">
              <w:t>ENB-011-10 (n=48)</w:t>
            </w:r>
          </w:p>
        </w:tc>
        <w:tc>
          <w:tcPr>
            <w:tcW w:w="799" w:type="dxa"/>
            <w:vAlign w:val="center"/>
          </w:tcPr>
          <w:p w:rsidR="009125A8" w:rsidRPr="009125A8" w:rsidRDefault="009125A8" w:rsidP="005123EA">
            <w:pPr>
              <w:pStyle w:val="TableHeading"/>
              <w:spacing w:before="40" w:after="40"/>
              <w:jc w:val="center"/>
            </w:pPr>
            <w:r w:rsidRPr="009125A8">
              <w:t>p-value</w:t>
            </w:r>
          </w:p>
        </w:tc>
      </w:tr>
      <w:tr w:rsidR="009125A8" w:rsidRPr="009125A8" w:rsidTr="00E833CC">
        <w:tc>
          <w:tcPr>
            <w:tcW w:w="5098" w:type="dxa"/>
          </w:tcPr>
          <w:p w:rsidR="009125A8" w:rsidRPr="009125A8" w:rsidRDefault="009125A8" w:rsidP="005123EA">
            <w:pPr>
              <w:pStyle w:val="TableHeading"/>
              <w:spacing w:before="40" w:after="40"/>
              <w:jc w:val="both"/>
              <w:rPr>
                <w:b w:val="0"/>
              </w:rPr>
            </w:pPr>
            <w:r w:rsidRPr="009125A8">
              <w:rPr>
                <w:b w:val="0"/>
              </w:rPr>
              <w:t>OS: Median survival time from birth (days); 95% CI</w:t>
            </w:r>
          </w:p>
        </w:tc>
        <w:tc>
          <w:tcPr>
            <w:tcW w:w="1560" w:type="dxa"/>
            <w:vAlign w:val="center"/>
          </w:tcPr>
          <w:p w:rsidR="009125A8" w:rsidRPr="009125A8" w:rsidRDefault="009125A8" w:rsidP="005123EA">
            <w:pPr>
              <w:pStyle w:val="TableHeading"/>
              <w:spacing w:before="40" w:after="40"/>
              <w:jc w:val="center"/>
              <w:rPr>
                <w:b w:val="0"/>
              </w:rPr>
            </w:pPr>
            <w:r w:rsidRPr="009125A8">
              <w:rPr>
                <w:b w:val="0"/>
              </w:rPr>
              <w:t>7211; (N/A)</w:t>
            </w:r>
          </w:p>
        </w:tc>
        <w:tc>
          <w:tcPr>
            <w:tcW w:w="1559" w:type="dxa"/>
            <w:vAlign w:val="center"/>
          </w:tcPr>
          <w:p w:rsidR="009125A8" w:rsidRPr="009125A8" w:rsidRDefault="009125A8" w:rsidP="005123EA">
            <w:pPr>
              <w:pStyle w:val="TableHeading"/>
              <w:spacing w:before="40" w:after="40"/>
              <w:jc w:val="center"/>
              <w:rPr>
                <w:b w:val="0"/>
              </w:rPr>
            </w:pPr>
            <w:r w:rsidRPr="009125A8">
              <w:rPr>
                <w:b w:val="0"/>
              </w:rPr>
              <w:t>270.5; (155, 428)</w:t>
            </w:r>
          </w:p>
        </w:tc>
        <w:tc>
          <w:tcPr>
            <w:tcW w:w="799" w:type="dxa"/>
            <w:vAlign w:val="center"/>
          </w:tcPr>
          <w:p w:rsidR="009125A8" w:rsidRPr="009125A8" w:rsidRDefault="009125A8" w:rsidP="005123EA">
            <w:pPr>
              <w:pStyle w:val="TableHeading"/>
              <w:spacing w:before="40" w:after="40"/>
              <w:jc w:val="center"/>
            </w:pPr>
            <w:r w:rsidRPr="009125A8">
              <w:t>≤0.0001</w:t>
            </w:r>
          </w:p>
        </w:tc>
      </w:tr>
      <w:tr w:rsidR="009125A8" w:rsidRPr="009125A8" w:rsidTr="00E833CC">
        <w:tc>
          <w:tcPr>
            <w:tcW w:w="5098" w:type="dxa"/>
          </w:tcPr>
          <w:p w:rsidR="009125A8" w:rsidRPr="009125A8" w:rsidRDefault="009125A8" w:rsidP="005123EA">
            <w:pPr>
              <w:pStyle w:val="TableHeading"/>
              <w:spacing w:before="40" w:after="40"/>
              <w:jc w:val="both"/>
              <w:rPr>
                <w:b w:val="0"/>
              </w:rPr>
            </w:pPr>
            <w:r w:rsidRPr="009125A8">
              <w:rPr>
                <w:b w:val="0"/>
              </w:rPr>
              <w:t xml:space="preserve">OS: proportion of patients </w:t>
            </w:r>
            <w:proofErr w:type="spellStart"/>
            <w:r w:rsidRPr="009125A8">
              <w:rPr>
                <w:b w:val="0"/>
              </w:rPr>
              <w:t>dying</w:t>
            </w:r>
            <w:r w:rsidR="00225F02">
              <w:rPr>
                <w:b w:val="0"/>
                <w:vertAlign w:val="superscript"/>
              </w:rPr>
              <w:t>b</w:t>
            </w:r>
            <w:proofErr w:type="spellEnd"/>
          </w:p>
        </w:tc>
        <w:tc>
          <w:tcPr>
            <w:tcW w:w="1560" w:type="dxa"/>
            <w:vAlign w:val="center"/>
          </w:tcPr>
          <w:p w:rsidR="009125A8" w:rsidRPr="00551B2E" w:rsidRDefault="00551B2E" w:rsidP="005123EA">
            <w:pPr>
              <w:pStyle w:val="TableHeading"/>
              <w:spacing w:before="40" w:after="40"/>
              <w:jc w:val="center"/>
              <w:rPr>
                <w:b w:val="0"/>
                <w:highlight w:val="black"/>
              </w:rPr>
            </w:pPr>
            <w:r>
              <w:rPr>
                <w:b w:val="0"/>
                <w:noProof/>
                <w:color w:val="000000"/>
                <w:highlight w:val="black"/>
              </w:rPr>
              <w:t>''' '''''''''''''''''</w:t>
            </w:r>
          </w:p>
        </w:tc>
        <w:tc>
          <w:tcPr>
            <w:tcW w:w="1559" w:type="dxa"/>
            <w:vAlign w:val="center"/>
          </w:tcPr>
          <w:p w:rsidR="009125A8" w:rsidRPr="009125A8" w:rsidRDefault="009125A8" w:rsidP="005123EA">
            <w:pPr>
              <w:pStyle w:val="TableHeading"/>
              <w:spacing w:before="40" w:after="40"/>
              <w:jc w:val="center"/>
              <w:rPr>
                <w:b w:val="0"/>
              </w:rPr>
            </w:pPr>
            <w:r w:rsidRPr="009125A8">
              <w:rPr>
                <w:b w:val="0"/>
              </w:rPr>
              <w:t>35 (72.9%)</w:t>
            </w:r>
          </w:p>
        </w:tc>
        <w:tc>
          <w:tcPr>
            <w:tcW w:w="799" w:type="dxa"/>
            <w:vAlign w:val="center"/>
          </w:tcPr>
          <w:p w:rsidR="009125A8" w:rsidRPr="009125A8" w:rsidRDefault="009125A8" w:rsidP="005123EA">
            <w:pPr>
              <w:pStyle w:val="TableHeading"/>
              <w:spacing w:before="40" w:after="40"/>
              <w:jc w:val="center"/>
            </w:pPr>
            <w:r w:rsidRPr="009125A8">
              <w:t>≤0.0001</w:t>
            </w:r>
          </w:p>
        </w:tc>
      </w:tr>
      <w:tr w:rsidR="009125A8" w:rsidRPr="009125A8" w:rsidTr="00CC3A99">
        <w:trPr>
          <w:trHeight w:val="61"/>
        </w:trPr>
        <w:tc>
          <w:tcPr>
            <w:tcW w:w="9016" w:type="dxa"/>
            <w:gridSpan w:val="4"/>
          </w:tcPr>
          <w:p w:rsidR="009125A8" w:rsidRPr="00140507" w:rsidRDefault="009125A8" w:rsidP="005123EA">
            <w:pPr>
              <w:pStyle w:val="TableHeading"/>
              <w:spacing w:before="40" w:after="40"/>
              <w:rPr>
                <w:i/>
              </w:rPr>
            </w:pPr>
            <w:r w:rsidRPr="00140507">
              <w:rPr>
                <w:i/>
              </w:rPr>
              <w:t>Sensitivity analyses</w:t>
            </w:r>
          </w:p>
        </w:tc>
      </w:tr>
      <w:tr w:rsidR="009125A8" w:rsidRPr="009125A8" w:rsidTr="00E833CC">
        <w:tc>
          <w:tcPr>
            <w:tcW w:w="5098" w:type="dxa"/>
          </w:tcPr>
          <w:p w:rsidR="009125A8" w:rsidRPr="009125A8" w:rsidRDefault="00E833CC" w:rsidP="005123EA">
            <w:pPr>
              <w:pStyle w:val="TableHeading"/>
              <w:spacing w:before="40" w:after="40"/>
              <w:jc w:val="both"/>
              <w:rPr>
                <w:b w:val="0"/>
              </w:rPr>
            </w:pPr>
            <w:r w:rsidRPr="009125A8">
              <w:rPr>
                <w:b w:val="0"/>
              </w:rPr>
              <w:t>OS: proportion of patients dying</w:t>
            </w:r>
            <w:r>
              <w:rPr>
                <w:b w:val="0"/>
              </w:rPr>
              <w:t>, BSC patients diagnosed after 2000</w:t>
            </w:r>
          </w:p>
        </w:tc>
        <w:tc>
          <w:tcPr>
            <w:tcW w:w="1560" w:type="dxa"/>
            <w:vAlign w:val="center"/>
          </w:tcPr>
          <w:p w:rsidR="009125A8" w:rsidRPr="00551B2E" w:rsidRDefault="00551B2E" w:rsidP="005123EA">
            <w:pPr>
              <w:pStyle w:val="TableHeading"/>
              <w:spacing w:before="40" w:after="40"/>
              <w:jc w:val="center"/>
              <w:rPr>
                <w:b w:val="0"/>
                <w:highlight w:val="black"/>
              </w:rPr>
            </w:pPr>
            <w:r>
              <w:rPr>
                <w:b w:val="0"/>
                <w:noProof/>
                <w:color w:val="000000"/>
                <w:highlight w:val="black"/>
              </w:rPr>
              <w:t>'''' '''''''''''''''''</w:t>
            </w:r>
          </w:p>
        </w:tc>
        <w:tc>
          <w:tcPr>
            <w:tcW w:w="1559" w:type="dxa"/>
            <w:vAlign w:val="center"/>
          </w:tcPr>
          <w:p w:rsidR="009125A8" w:rsidRPr="00551B2E" w:rsidRDefault="00551B2E" w:rsidP="005123EA">
            <w:pPr>
              <w:pStyle w:val="TableHeading"/>
              <w:spacing w:before="40" w:after="40"/>
              <w:jc w:val="center"/>
              <w:rPr>
                <w:b w:val="0"/>
                <w:highlight w:val="black"/>
              </w:rPr>
            </w:pPr>
            <w:r>
              <w:rPr>
                <w:b w:val="0"/>
                <w:noProof/>
                <w:color w:val="000000"/>
                <w:highlight w:val="black"/>
              </w:rPr>
              <w:t>'''''''''''' ''''''''''''''''''</w:t>
            </w:r>
          </w:p>
        </w:tc>
        <w:tc>
          <w:tcPr>
            <w:tcW w:w="799" w:type="dxa"/>
            <w:vAlign w:val="center"/>
          </w:tcPr>
          <w:p w:rsidR="009125A8" w:rsidRPr="00551B2E" w:rsidRDefault="00551B2E" w:rsidP="005123EA">
            <w:pPr>
              <w:pStyle w:val="TableHeading"/>
              <w:spacing w:before="40" w:after="40"/>
              <w:jc w:val="center"/>
              <w:rPr>
                <w:highlight w:val="black"/>
              </w:rPr>
            </w:pPr>
            <w:r>
              <w:rPr>
                <w:noProof/>
                <w:color w:val="000000"/>
                <w:highlight w:val="black"/>
              </w:rPr>
              <w:t>'''''''''''''</w:t>
            </w:r>
          </w:p>
        </w:tc>
      </w:tr>
      <w:tr w:rsidR="00E833CC" w:rsidRPr="009125A8" w:rsidTr="00E833CC">
        <w:tc>
          <w:tcPr>
            <w:tcW w:w="5098" w:type="dxa"/>
          </w:tcPr>
          <w:p w:rsidR="00E833CC" w:rsidRPr="009125A8" w:rsidRDefault="00E833CC" w:rsidP="005123EA">
            <w:pPr>
              <w:pStyle w:val="TableHeading"/>
              <w:spacing w:before="40" w:after="40"/>
              <w:jc w:val="both"/>
              <w:rPr>
                <w:b w:val="0"/>
              </w:rPr>
            </w:pPr>
            <w:r w:rsidRPr="009125A8">
              <w:rPr>
                <w:b w:val="0"/>
              </w:rPr>
              <w:t>OS: proportion of patients dying</w:t>
            </w:r>
            <w:r>
              <w:rPr>
                <w:b w:val="0"/>
              </w:rPr>
              <w:t xml:space="preserve">, BSC patients surviving to week </w:t>
            </w:r>
            <w:r w:rsidR="00551B2E">
              <w:rPr>
                <w:b w:val="0"/>
                <w:noProof/>
                <w:color w:val="000000"/>
                <w:highlight w:val="black"/>
              </w:rPr>
              <w:t>''''''</w:t>
            </w:r>
          </w:p>
        </w:tc>
        <w:tc>
          <w:tcPr>
            <w:tcW w:w="1560" w:type="dxa"/>
            <w:vAlign w:val="center"/>
          </w:tcPr>
          <w:p w:rsidR="00E833CC" w:rsidRPr="00551B2E" w:rsidRDefault="00551B2E" w:rsidP="005123EA">
            <w:pPr>
              <w:pStyle w:val="TableHeading"/>
              <w:spacing w:before="40" w:after="40"/>
              <w:jc w:val="center"/>
              <w:rPr>
                <w:b w:val="0"/>
                <w:highlight w:val="black"/>
              </w:rPr>
            </w:pPr>
            <w:r>
              <w:rPr>
                <w:b w:val="0"/>
                <w:noProof/>
                <w:color w:val="000000"/>
                <w:highlight w:val="black"/>
              </w:rPr>
              <w:t>''' ''''''''''''''''</w:t>
            </w:r>
          </w:p>
        </w:tc>
        <w:tc>
          <w:tcPr>
            <w:tcW w:w="1559" w:type="dxa"/>
            <w:vAlign w:val="center"/>
          </w:tcPr>
          <w:p w:rsidR="00E833CC" w:rsidRPr="009125A8" w:rsidRDefault="00551B2E" w:rsidP="005123EA">
            <w:pPr>
              <w:pStyle w:val="TableHeading"/>
              <w:spacing w:before="40" w:after="40"/>
              <w:jc w:val="center"/>
              <w:rPr>
                <w:b w:val="0"/>
              </w:rPr>
            </w:pPr>
            <w:r>
              <w:rPr>
                <w:b w:val="0"/>
                <w:noProof/>
                <w:color w:val="000000"/>
                <w:highlight w:val="black"/>
              </w:rPr>
              <w:t>'''''''''''''''</w:t>
            </w:r>
            <w:r w:rsidR="00E833CC">
              <w:rPr>
                <w:b w:val="0"/>
              </w:rPr>
              <w:t xml:space="preserve"> (</w:t>
            </w:r>
            <w:r>
              <w:rPr>
                <w:b w:val="0"/>
                <w:noProof/>
                <w:color w:val="000000"/>
                <w:highlight w:val="black"/>
              </w:rPr>
              <w:t>'''''''</w:t>
            </w:r>
            <w:r w:rsidR="00E833CC">
              <w:rPr>
                <w:b w:val="0"/>
              </w:rPr>
              <w:t>%)</w:t>
            </w:r>
          </w:p>
        </w:tc>
        <w:tc>
          <w:tcPr>
            <w:tcW w:w="799" w:type="dxa"/>
            <w:vAlign w:val="center"/>
          </w:tcPr>
          <w:p w:rsidR="00E833CC" w:rsidRPr="00551B2E" w:rsidRDefault="00551B2E" w:rsidP="005123EA">
            <w:pPr>
              <w:pStyle w:val="TableHeading"/>
              <w:spacing w:before="40" w:after="40"/>
              <w:jc w:val="center"/>
              <w:rPr>
                <w:highlight w:val="black"/>
              </w:rPr>
            </w:pPr>
            <w:r>
              <w:rPr>
                <w:noProof/>
                <w:color w:val="000000"/>
                <w:highlight w:val="black"/>
              </w:rPr>
              <w:t>'''''''''''''</w:t>
            </w:r>
          </w:p>
        </w:tc>
      </w:tr>
    </w:tbl>
    <w:p w:rsidR="00225F02" w:rsidRPr="00C1652F" w:rsidRDefault="00225F02" w:rsidP="005123EA">
      <w:pPr>
        <w:pStyle w:val="TableFooter"/>
        <w:widowControl/>
        <w:tabs>
          <w:tab w:val="left" w:pos="284"/>
        </w:tabs>
        <w:rPr>
          <w:vertAlign w:val="superscript"/>
        </w:rPr>
      </w:pPr>
      <w:proofErr w:type="gramStart"/>
      <w:r w:rsidRPr="00C1652F">
        <w:rPr>
          <w:vertAlign w:val="superscript"/>
        </w:rPr>
        <w:t>a</w:t>
      </w:r>
      <w:proofErr w:type="gramEnd"/>
      <w:r w:rsidRPr="00C1652F">
        <w:rPr>
          <w:vertAlign w:val="superscript"/>
        </w:rPr>
        <w:tab/>
      </w:r>
      <w:r w:rsidRPr="00C1652F">
        <w:t>Combined results of ENB-002-08/ENB-003-08 and ENB-010-10</w:t>
      </w:r>
    </w:p>
    <w:p w:rsidR="00225F02" w:rsidRDefault="00225F02" w:rsidP="005123EA">
      <w:pPr>
        <w:pStyle w:val="TableFooter"/>
        <w:widowControl/>
        <w:tabs>
          <w:tab w:val="left" w:pos="284"/>
        </w:tabs>
      </w:pPr>
      <w:proofErr w:type="gramStart"/>
      <w:r w:rsidRPr="00C1652F">
        <w:rPr>
          <w:vertAlign w:val="superscript"/>
        </w:rPr>
        <w:t>b</w:t>
      </w:r>
      <w:proofErr w:type="gramEnd"/>
      <w:r w:rsidRPr="00C1652F">
        <w:tab/>
        <w:t>Patients with perinatal/-infantile-onset HPP only</w:t>
      </w:r>
    </w:p>
    <w:p w:rsidR="00E4374E" w:rsidRDefault="00E4374E" w:rsidP="005123EA">
      <w:pPr>
        <w:widowControl/>
        <w:contextualSpacing/>
      </w:pPr>
      <w:r w:rsidRPr="008E39BC">
        <w:rPr>
          <w:rFonts w:ascii="Arial Narrow" w:hAnsi="Arial Narrow"/>
          <w:sz w:val="18"/>
          <w:szCs w:val="18"/>
        </w:rPr>
        <w:t>BSC = best supportive care</w:t>
      </w:r>
      <w:r w:rsidRPr="008E39BC">
        <w:rPr>
          <w:rFonts w:ascii="Arial Narrow" w:hAnsi="Arial Narrow"/>
          <w:i/>
          <w:sz w:val="18"/>
          <w:szCs w:val="18"/>
        </w:rPr>
        <w:t xml:space="preserve">; </w:t>
      </w:r>
      <w:r>
        <w:rPr>
          <w:rFonts w:ascii="Arial Narrow" w:hAnsi="Arial Narrow"/>
          <w:sz w:val="18"/>
          <w:szCs w:val="18"/>
        </w:rPr>
        <w:t>N/A = not applicable; OS = overall survival</w:t>
      </w:r>
    </w:p>
    <w:p w:rsidR="00CC3A99" w:rsidRPr="00C1652F" w:rsidRDefault="00E4374E" w:rsidP="005123EA">
      <w:pPr>
        <w:pStyle w:val="TableFooter"/>
        <w:widowControl/>
        <w:tabs>
          <w:tab w:val="left" w:pos="284"/>
        </w:tabs>
        <w:spacing w:after="120"/>
      </w:pPr>
      <w:r w:rsidRPr="00EE2CE4">
        <w:rPr>
          <w:szCs w:val="18"/>
        </w:rPr>
        <w:t>Source: compiled during the evaluation from Tables B.6.2-B.6.17, pp102-207 of Section B of the submission</w:t>
      </w:r>
    </w:p>
    <w:p w:rsidR="002757CE" w:rsidRDefault="002757CE" w:rsidP="002757CE">
      <w:pPr>
        <w:pStyle w:val="Caption"/>
        <w:jc w:val="both"/>
      </w:pPr>
      <w:r>
        <w:t xml:space="preserve">Figure </w:t>
      </w:r>
      <w:r>
        <w:rPr>
          <w:noProof/>
        </w:rPr>
        <w:t>1</w:t>
      </w:r>
      <w:r w:rsidRPr="00CB5378">
        <w:t xml:space="preserve">: Kaplan-Meier plot of overall survival in </w:t>
      </w:r>
      <w:proofErr w:type="spellStart"/>
      <w:r w:rsidRPr="00CB5378">
        <w:t>asfotase</w:t>
      </w:r>
      <w:proofErr w:type="spellEnd"/>
      <w:r w:rsidRPr="00CB5378">
        <w:t xml:space="preserve"> alfa </w:t>
      </w:r>
      <w:proofErr w:type="spellStart"/>
      <w:r w:rsidRPr="00CB5378">
        <w:t>rch</w:t>
      </w:r>
      <w:proofErr w:type="spellEnd"/>
      <w:r w:rsidRPr="00CB5378">
        <w:t xml:space="preserve"> treated patients from ENB-002-08/ENB-003-08 and ENB-010-10) versus untreated historical control patients from ENB-011-10 at high risk of mortality from perinatal-/infantile-onset HPP</w:t>
      </w:r>
    </w:p>
    <w:p w:rsidR="007F03A7" w:rsidRPr="00551B2E" w:rsidRDefault="00551B2E" w:rsidP="005123EA">
      <w:pPr>
        <w:keepNext/>
        <w:widowControl/>
        <w:rPr>
          <w:szCs w:val="22"/>
        </w:rPr>
      </w:pPr>
      <w:r>
        <w:rPr>
          <w:noProof/>
          <w:snapToGrid/>
          <w:szCs w:val="22"/>
          <w:lang w:eastAsia="en-AU"/>
        </w:rPr>
        <w:drawing>
          <wp:inline distT="0" distB="0" distL="0" distR="0" wp14:anchorId="1BEE788B" wp14:editId="269326F1">
            <wp:extent cx="5706110" cy="2871470"/>
            <wp:effectExtent l="0" t="0" r="889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06110" cy="2871470"/>
                    </a:xfrm>
                    <a:prstGeom prst="rect">
                      <a:avLst/>
                    </a:prstGeom>
                  </pic:spPr>
                </pic:pic>
              </a:graphicData>
            </a:graphic>
          </wp:inline>
        </w:drawing>
      </w:r>
    </w:p>
    <w:p w:rsidR="007F03A7" w:rsidRPr="00551B2E" w:rsidRDefault="00551B2E" w:rsidP="005123EA">
      <w:pPr>
        <w:widowControl/>
        <w:spacing w:after="120"/>
        <w:rPr>
          <w:rFonts w:ascii="Arial Narrow" w:hAnsi="Arial Narrow"/>
          <w:sz w:val="18"/>
          <w:szCs w:val="18"/>
          <w:highlight w:val="black"/>
        </w:rPr>
      </w:pPr>
      <w:r>
        <w:rPr>
          <w:rFonts w:ascii="Arial Narrow" w:hAnsi="Arial Narrow"/>
          <w:noProof/>
          <w:color w:val="000000"/>
          <w:sz w:val="18"/>
          <w:szCs w:val="18"/>
          <w:highlight w:val="black"/>
        </w:rPr>
        <w:t>'''''''''''''''''' ''''''''''''''''' ''''''''''''''' ''''''''''' ''''' ''''''''''''''''''' '''' ''''' '''''''' ''''''''''''''''''''''''''</w:t>
      </w:r>
    </w:p>
    <w:p w:rsidR="00A16591" w:rsidRPr="00F471D7" w:rsidRDefault="00CC3A99" w:rsidP="005123EA">
      <w:pPr>
        <w:pStyle w:val="ListParagraph"/>
        <w:widowControl/>
        <w:numPr>
          <w:ilvl w:val="1"/>
          <w:numId w:val="2"/>
        </w:numPr>
        <w:contextualSpacing w:val="0"/>
        <w:rPr>
          <w:rFonts w:asciiTheme="minorHAnsi" w:hAnsiTheme="minorHAnsi"/>
        </w:rPr>
      </w:pPr>
      <w:r w:rsidRPr="00F471D7">
        <w:rPr>
          <w:szCs w:val="22"/>
        </w:rPr>
        <w:t xml:space="preserve">All survival analyses presented by the submission indicated that treatment with </w:t>
      </w:r>
      <w:proofErr w:type="spellStart"/>
      <w:r w:rsidRPr="00F471D7">
        <w:rPr>
          <w:szCs w:val="22"/>
        </w:rPr>
        <w:t>asfotase</w:t>
      </w:r>
      <w:proofErr w:type="spellEnd"/>
      <w:r w:rsidRPr="00F471D7">
        <w:rPr>
          <w:szCs w:val="22"/>
        </w:rPr>
        <w:t xml:space="preserve"> alfa </w:t>
      </w:r>
      <w:proofErr w:type="spellStart"/>
      <w:r w:rsidR="00465F17" w:rsidRPr="00465F17">
        <w:rPr>
          <w:i/>
          <w:szCs w:val="22"/>
        </w:rPr>
        <w:t>rch</w:t>
      </w:r>
      <w:proofErr w:type="spellEnd"/>
      <w:r w:rsidRPr="00F471D7">
        <w:rPr>
          <w:szCs w:val="22"/>
        </w:rPr>
        <w:t xml:space="preserve"> resulted in improved survival. </w:t>
      </w:r>
      <w:r w:rsidRPr="00F471D7">
        <w:rPr>
          <w:rFonts w:asciiTheme="minorHAnsi" w:hAnsiTheme="minorHAnsi"/>
          <w:szCs w:val="24"/>
        </w:rPr>
        <w:t xml:space="preserve">Overall, while it appeared that </w:t>
      </w:r>
      <w:r w:rsidR="00027386" w:rsidRPr="00F471D7">
        <w:rPr>
          <w:rFonts w:asciiTheme="minorHAnsi" w:hAnsiTheme="minorHAnsi"/>
          <w:szCs w:val="24"/>
        </w:rPr>
        <w:t xml:space="preserve">treatment with </w:t>
      </w:r>
      <w:proofErr w:type="spellStart"/>
      <w:r w:rsidR="00027386" w:rsidRPr="00F471D7">
        <w:rPr>
          <w:rFonts w:asciiTheme="minorHAnsi" w:hAnsiTheme="minorHAnsi"/>
          <w:szCs w:val="24"/>
        </w:rPr>
        <w:t>asfotase</w:t>
      </w:r>
      <w:proofErr w:type="spellEnd"/>
      <w:r w:rsidR="00027386" w:rsidRPr="00F471D7">
        <w:rPr>
          <w:rFonts w:asciiTheme="minorHAnsi" w:hAnsiTheme="minorHAnsi"/>
          <w:szCs w:val="24"/>
        </w:rPr>
        <w:t xml:space="preserve"> alfa </w:t>
      </w:r>
      <w:proofErr w:type="spellStart"/>
      <w:r w:rsidR="00465F17" w:rsidRPr="00465F17">
        <w:rPr>
          <w:rFonts w:asciiTheme="minorHAnsi" w:hAnsiTheme="minorHAnsi"/>
          <w:i/>
          <w:szCs w:val="24"/>
        </w:rPr>
        <w:t>rch</w:t>
      </w:r>
      <w:proofErr w:type="spellEnd"/>
      <w:r w:rsidR="00027386" w:rsidRPr="00F471D7">
        <w:rPr>
          <w:rFonts w:asciiTheme="minorHAnsi" w:hAnsiTheme="minorHAnsi"/>
          <w:szCs w:val="24"/>
        </w:rPr>
        <w:t xml:space="preserve"> may have improved overall survival </w:t>
      </w:r>
      <w:r w:rsidRPr="00F471D7">
        <w:rPr>
          <w:rFonts w:asciiTheme="minorHAnsi" w:hAnsiTheme="minorHAnsi"/>
          <w:szCs w:val="24"/>
        </w:rPr>
        <w:t xml:space="preserve">in patients with perinatal/infantile-onset HPP at high risk of death compared </w:t>
      </w:r>
      <w:r w:rsidR="00FE3855">
        <w:rPr>
          <w:rFonts w:asciiTheme="minorHAnsi" w:hAnsiTheme="minorHAnsi"/>
          <w:szCs w:val="24"/>
        </w:rPr>
        <w:t>with</w:t>
      </w:r>
      <w:r w:rsidR="00FE3855" w:rsidRPr="00F471D7">
        <w:rPr>
          <w:rFonts w:asciiTheme="minorHAnsi" w:hAnsiTheme="minorHAnsi"/>
          <w:szCs w:val="24"/>
        </w:rPr>
        <w:t xml:space="preserve"> </w:t>
      </w:r>
      <w:r w:rsidRPr="00F471D7">
        <w:rPr>
          <w:rFonts w:asciiTheme="minorHAnsi" w:hAnsiTheme="minorHAnsi"/>
          <w:szCs w:val="24"/>
        </w:rPr>
        <w:t>matched historical control patients, the analysis was considered to be subject to considerable bias. Of further consequence to the reliability of the estimates was that as it was not clear what the data sources were, as the submission cited Whyte et al 2015 and Leung et al 2013, and neither of these sources reported these results</w:t>
      </w:r>
      <w:r w:rsidR="00135431" w:rsidRPr="00F471D7">
        <w:rPr>
          <w:rFonts w:asciiTheme="minorHAnsi" w:hAnsiTheme="minorHAnsi"/>
          <w:szCs w:val="24"/>
        </w:rPr>
        <w:t>. T</w:t>
      </w:r>
      <w:r w:rsidRPr="00F471D7">
        <w:rPr>
          <w:rFonts w:asciiTheme="minorHAnsi" w:hAnsiTheme="minorHAnsi"/>
          <w:szCs w:val="24"/>
        </w:rPr>
        <w:t>herefore</w:t>
      </w:r>
      <w:r w:rsidR="00135431" w:rsidRPr="00F471D7">
        <w:rPr>
          <w:rFonts w:asciiTheme="minorHAnsi" w:hAnsiTheme="minorHAnsi"/>
          <w:szCs w:val="24"/>
        </w:rPr>
        <w:t>,</w:t>
      </w:r>
      <w:r w:rsidRPr="00F471D7">
        <w:rPr>
          <w:rFonts w:asciiTheme="minorHAnsi" w:hAnsiTheme="minorHAnsi"/>
          <w:szCs w:val="24"/>
        </w:rPr>
        <w:t xml:space="preserve"> it was not possible to have confidence in the extent of the overall survival benefit as calculated by the submission. </w:t>
      </w:r>
    </w:p>
    <w:p w:rsidR="00CC3A99" w:rsidRPr="00F471D7" w:rsidRDefault="00771911" w:rsidP="005123EA">
      <w:pPr>
        <w:pStyle w:val="ListParagraph"/>
        <w:widowControl/>
        <w:numPr>
          <w:ilvl w:val="1"/>
          <w:numId w:val="2"/>
        </w:numPr>
        <w:contextualSpacing w:val="0"/>
        <w:rPr>
          <w:szCs w:val="22"/>
        </w:rPr>
      </w:pPr>
      <w:r w:rsidRPr="00F471D7">
        <w:rPr>
          <w:szCs w:val="22"/>
        </w:rPr>
        <w:t xml:space="preserve">No overall survival data was reported for </w:t>
      </w:r>
      <w:r w:rsidR="00E57EA6" w:rsidRPr="00F471D7">
        <w:rPr>
          <w:szCs w:val="22"/>
        </w:rPr>
        <w:t>juvenile</w:t>
      </w:r>
      <w:r w:rsidRPr="00F471D7">
        <w:rPr>
          <w:szCs w:val="22"/>
        </w:rPr>
        <w:t>-onset HPP.</w:t>
      </w:r>
      <w:r w:rsidR="00FE3855">
        <w:rPr>
          <w:szCs w:val="22"/>
        </w:rPr>
        <w:t xml:space="preserve"> The pre-PBAC response clarified that the sponsor did not evaluate a survival benefit for </w:t>
      </w:r>
      <w:proofErr w:type="spellStart"/>
      <w:r w:rsidR="00784ABF">
        <w:rPr>
          <w:szCs w:val="22"/>
        </w:rPr>
        <w:t>asfotase</w:t>
      </w:r>
      <w:proofErr w:type="spellEnd"/>
      <w:r w:rsidR="00FE3855">
        <w:rPr>
          <w:szCs w:val="22"/>
        </w:rPr>
        <w:t xml:space="preserve"> alfa </w:t>
      </w:r>
      <w:proofErr w:type="spellStart"/>
      <w:r w:rsidR="00FE3855" w:rsidRPr="00FE3855">
        <w:rPr>
          <w:i/>
          <w:szCs w:val="22"/>
        </w:rPr>
        <w:t>rch</w:t>
      </w:r>
      <w:proofErr w:type="spellEnd"/>
      <w:r w:rsidR="00FE3855">
        <w:rPr>
          <w:szCs w:val="22"/>
        </w:rPr>
        <w:t xml:space="preserve"> in patients with juvenile-onset HPP as the clinical manifestations in this cohort do not cause short-term mortality.</w:t>
      </w:r>
    </w:p>
    <w:p w:rsidR="00E4374E" w:rsidRPr="0013583D" w:rsidRDefault="00E4374E" w:rsidP="005123EA">
      <w:pPr>
        <w:pStyle w:val="ListParagraph"/>
        <w:widowControl/>
        <w:numPr>
          <w:ilvl w:val="1"/>
          <w:numId w:val="2"/>
        </w:numPr>
        <w:contextualSpacing w:val="0"/>
        <w:rPr>
          <w:rFonts w:asciiTheme="minorHAnsi" w:hAnsiTheme="minorHAnsi"/>
        </w:rPr>
      </w:pPr>
      <w:r>
        <w:rPr>
          <w:szCs w:val="22"/>
        </w:rPr>
        <w:t xml:space="preserve">Quality of life was measured in </w:t>
      </w:r>
      <w:r w:rsidR="00AC7D51">
        <w:rPr>
          <w:szCs w:val="22"/>
        </w:rPr>
        <w:t>some of the trials</w:t>
      </w:r>
      <w:r w:rsidR="00A16591">
        <w:rPr>
          <w:szCs w:val="22"/>
        </w:rPr>
        <w:t xml:space="preserve"> and studies</w:t>
      </w:r>
      <w:r w:rsidR="00AC7D51">
        <w:rPr>
          <w:szCs w:val="22"/>
        </w:rPr>
        <w:t>, using different questionnaires, as summarised in Table 6.</w:t>
      </w:r>
    </w:p>
    <w:p w:rsidR="002757CE" w:rsidRDefault="002757CE" w:rsidP="002757CE">
      <w:pPr>
        <w:pStyle w:val="Caption"/>
      </w:pPr>
      <w:r>
        <w:t xml:space="preserve">Table </w:t>
      </w:r>
      <w:r>
        <w:rPr>
          <w:noProof/>
        </w:rPr>
        <w:t>6</w:t>
      </w:r>
      <w:r w:rsidRPr="000F47B9">
        <w:t>: Quality of life results from the direct randomised trial and supportive studies</w:t>
      </w:r>
    </w:p>
    <w:tbl>
      <w:tblPr>
        <w:tblStyle w:val="TableGrid"/>
        <w:tblW w:w="9070" w:type="dxa"/>
        <w:tblCellMar>
          <w:left w:w="28" w:type="dxa"/>
          <w:right w:w="28" w:type="dxa"/>
        </w:tblCellMar>
        <w:tblLook w:val="04A0" w:firstRow="1" w:lastRow="0" w:firstColumn="1" w:lastColumn="0" w:noHBand="0" w:noVBand="1"/>
        <w:tblCaption w:val="Quality of life results from the direct randomised trial and supportive studies"/>
      </w:tblPr>
      <w:tblGrid>
        <w:gridCol w:w="984"/>
        <w:gridCol w:w="2163"/>
        <w:gridCol w:w="1559"/>
        <w:gridCol w:w="1418"/>
        <w:gridCol w:w="1563"/>
        <w:gridCol w:w="1383"/>
      </w:tblGrid>
      <w:tr w:rsidR="00155DF4" w:rsidRPr="009B654D" w:rsidTr="00FE3BBF">
        <w:trPr>
          <w:tblHeader/>
        </w:trPr>
        <w:tc>
          <w:tcPr>
            <w:tcW w:w="3147" w:type="dxa"/>
            <w:gridSpan w:val="2"/>
            <w:tcBorders>
              <w:bottom w:val="nil"/>
            </w:tcBorders>
          </w:tcPr>
          <w:p w:rsidR="00155DF4" w:rsidRDefault="00155DF4" w:rsidP="005123EA">
            <w:pPr>
              <w:widowControl/>
              <w:spacing w:before="40" w:after="40"/>
              <w:rPr>
                <w:rFonts w:ascii="Arial Narrow" w:hAnsi="Arial Narrow"/>
                <w:sz w:val="20"/>
              </w:rPr>
            </w:pPr>
          </w:p>
        </w:tc>
        <w:tc>
          <w:tcPr>
            <w:tcW w:w="2977" w:type="dxa"/>
            <w:gridSpan w:val="2"/>
            <w:vAlign w:val="center"/>
          </w:tcPr>
          <w:p w:rsidR="00155DF4" w:rsidRPr="009B654D" w:rsidRDefault="00155DF4" w:rsidP="005123EA">
            <w:pPr>
              <w:widowControl/>
              <w:spacing w:before="40" w:after="40"/>
              <w:jc w:val="center"/>
              <w:rPr>
                <w:rFonts w:ascii="Arial Narrow" w:hAnsi="Arial Narrow"/>
                <w:b/>
                <w:sz w:val="20"/>
              </w:rPr>
            </w:pPr>
            <w:r w:rsidRPr="009B654D">
              <w:rPr>
                <w:rFonts w:ascii="Arial Narrow" w:hAnsi="Arial Narrow"/>
                <w:b/>
                <w:sz w:val="20"/>
              </w:rPr>
              <w:t>ENB-009-10</w:t>
            </w:r>
          </w:p>
        </w:tc>
        <w:tc>
          <w:tcPr>
            <w:tcW w:w="2946" w:type="dxa"/>
            <w:gridSpan w:val="2"/>
            <w:vAlign w:val="center"/>
          </w:tcPr>
          <w:p w:rsidR="00155DF4" w:rsidRPr="009B654D" w:rsidRDefault="00155DF4" w:rsidP="005123EA">
            <w:pPr>
              <w:widowControl/>
              <w:spacing w:before="40" w:after="40"/>
              <w:jc w:val="center"/>
              <w:rPr>
                <w:rFonts w:ascii="Arial Narrow" w:hAnsi="Arial Narrow"/>
                <w:b/>
                <w:sz w:val="20"/>
              </w:rPr>
            </w:pPr>
            <w:r w:rsidRPr="009B654D">
              <w:rPr>
                <w:rFonts w:ascii="Arial Narrow" w:hAnsi="Arial Narrow"/>
                <w:b/>
                <w:sz w:val="20"/>
              </w:rPr>
              <w:t>ENB-006-09/ENB-00</w:t>
            </w:r>
            <w:r>
              <w:rPr>
                <w:rFonts w:ascii="Arial Narrow" w:hAnsi="Arial Narrow"/>
                <w:b/>
                <w:sz w:val="20"/>
              </w:rPr>
              <w:t>8</w:t>
            </w:r>
            <w:r w:rsidRPr="009B654D">
              <w:rPr>
                <w:rFonts w:ascii="Arial Narrow" w:hAnsi="Arial Narrow"/>
                <w:b/>
                <w:sz w:val="20"/>
              </w:rPr>
              <w:t>-10</w:t>
            </w:r>
          </w:p>
        </w:tc>
      </w:tr>
      <w:tr w:rsidR="00BD5563" w:rsidRPr="001F6743" w:rsidTr="00BD5563">
        <w:tc>
          <w:tcPr>
            <w:tcW w:w="3147" w:type="dxa"/>
            <w:gridSpan w:val="2"/>
            <w:tcBorders>
              <w:top w:val="nil"/>
            </w:tcBorders>
          </w:tcPr>
          <w:p w:rsidR="00BD5563" w:rsidRDefault="00BD5563" w:rsidP="005123EA">
            <w:pPr>
              <w:widowControl/>
              <w:spacing w:before="40" w:after="40"/>
              <w:rPr>
                <w:rFonts w:ascii="Arial Narrow" w:hAnsi="Arial Narrow"/>
                <w:sz w:val="20"/>
              </w:rPr>
            </w:pPr>
          </w:p>
        </w:tc>
        <w:tc>
          <w:tcPr>
            <w:tcW w:w="1559" w:type="dxa"/>
            <w:vAlign w:val="center"/>
          </w:tcPr>
          <w:p w:rsidR="00BD5563" w:rsidRPr="009B654D" w:rsidRDefault="00BD5563" w:rsidP="005123EA">
            <w:pPr>
              <w:widowControl/>
              <w:spacing w:before="40" w:after="40"/>
              <w:jc w:val="center"/>
              <w:rPr>
                <w:rFonts w:ascii="Arial Narrow" w:hAnsi="Arial Narrow"/>
                <w:b/>
                <w:sz w:val="20"/>
              </w:rPr>
            </w:pPr>
            <w:proofErr w:type="spellStart"/>
            <w:r>
              <w:rPr>
                <w:rFonts w:ascii="Arial Narrow" w:hAnsi="Arial Narrow"/>
                <w:b/>
                <w:sz w:val="20"/>
              </w:rPr>
              <w:t>Asfotase</w:t>
            </w:r>
            <w:proofErr w:type="spellEnd"/>
            <w:r>
              <w:rPr>
                <w:rFonts w:ascii="Arial Narrow" w:hAnsi="Arial Narrow"/>
                <w:b/>
                <w:sz w:val="20"/>
              </w:rPr>
              <w:t xml:space="preserve"> alfa </w:t>
            </w:r>
            <w:proofErr w:type="spellStart"/>
            <w:r w:rsidR="00465F17" w:rsidRPr="00465F17">
              <w:rPr>
                <w:rFonts w:ascii="Arial Narrow" w:hAnsi="Arial Narrow"/>
                <w:b/>
                <w:i/>
                <w:sz w:val="20"/>
              </w:rPr>
              <w:t>rch</w:t>
            </w:r>
            <w:proofErr w:type="spellEnd"/>
          </w:p>
        </w:tc>
        <w:tc>
          <w:tcPr>
            <w:tcW w:w="1418" w:type="dxa"/>
            <w:vAlign w:val="center"/>
          </w:tcPr>
          <w:p w:rsidR="00BD5563" w:rsidRPr="009B654D" w:rsidRDefault="00BD5563" w:rsidP="005123EA">
            <w:pPr>
              <w:widowControl/>
              <w:spacing w:before="40" w:after="40"/>
              <w:jc w:val="center"/>
              <w:rPr>
                <w:rFonts w:ascii="Arial Narrow" w:hAnsi="Arial Narrow"/>
                <w:b/>
                <w:sz w:val="20"/>
                <w:vertAlign w:val="superscript"/>
              </w:rPr>
            </w:pPr>
            <w:proofErr w:type="spellStart"/>
            <w:r>
              <w:rPr>
                <w:rFonts w:ascii="Arial Narrow" w:hAnsi="Arial Narrow"/>
                <w:b/>
                <w:sz w:val="20"/>
              </w:rPr>
              <w:t>BSC</w:t>
            </w:r>
            <w:r w:rsidRPr="00BD5563">
              <w:rPr>
                <w:rFonts w:ascii="Arial Narrow" w:hAnsi="Arial Narrow"/>
                <w:b/>
                <w:sz w:val="20"/>
                <w:vertAlign w:val="superscript"/>
              </w:rPr>
              <w:t>a</w:t>
            </w:r>
            <w:proofErr w:type="spellEnd"/>
          </w:p>
        </w:tc>
        <w:tc>
          <w:tcPr>
            <w:tcW w:w="1563" w:type="dxa"/>
            <w:vAlign w:val="center"/>
          </w:tcPr>
          <w:p w:rsidR="00BD5563" w:rsidRPr="009B654D" w:rsidRDefault="00BD5563" w:rsidP="005123EA">
            <w:pPr>
              <w:widowControl/>
              <w:spacing w:before="40" w:after="40"/>
              <w:jc w:val="center"/>
              <w:rPr>
                <w:rFonts w:ascii="Arial Narrow" w:hAnsi="Arial Narrow"/>
                <w:b/>
                <w:sz w:val="20"/>
              </w:rPr>
            </w:pPr>
            <w:proofErr w:type="spellStart"/>
            <w:r>
              <w:rPr>
                <w:rFonts w:ascii="Arial Narrow" w:hAnsi="Arial Narrow"/>
                <w:b/>
                <w:sz w:val="20"/>
              </w:rPr>
              <w:t>Asfotase</w:t>
            </w:r>
            <w:proofErr w:type="spellEnd"/>
            <w:r>
              <w:rPr>
                <w:rFonts w:ascii="Arial Narrow" w:hAnsi="Arial Narrow"/>
                <w:b/>
                <w:sz w:val="20"/>
              </w:rPr>
              <w:t xml:space="preserve"> alfa </w:t>
            </w:r>
            <w:proofErr w:type="spellStart"/>
            <w:r w:rsidR="00465F17" w:rsidRPr="00465F17">
              <w:rPr>
                <w:rFonts w:ascii="Arial Narrow" w:hAnsi="Arial Narrow"/>
                <w:b/>
                <w:i/>
                <w:sz w:val="20"/>
              </w:rPr>
              <w:t>rch</w:t>
            </w:r>
            <w:proofErr w:type="spellEnd"/>
          </w:p>
        </w:tc>
        <w:tc>
          <w:tcPr>
            <w:tcW w:w="1383" w:type="dxa"/>
            <w:vAlign w:val="center"/>
          </w:tcPr>
          <w:p w:rsidR="00BD5563" w:rsidRPr="001F6743" w:rsidRDefault="00BD5563" w:rsidP="005123EA">
            <w:pPr>
              <w:widowControl/>
              <w:spacing w:before="40" w:after="40"/>
              <w:jc w:val="center"/>
              <w:rPr>
                <w:rFonts w:ascii="Arial Narrow" w:hAnsi="Arial Narrow"/>
                <w:b/>
                <w:sz w:val="20"/>
                <w:vertAlign w:val="superscript"/>
              </w:rPr>
            </w:pPr>
            <w:r>
              <w:rPr>
                <w:rFonts w:ascii="Arial Narrow" w:hAnsi="Arial Narrow"/>
                <w:b/>
                <w:sz w:val="20"/>
              </w:rPr>
              <w:t>Historical control</w:t>
            </w:r>
          </w:p>
        </w:tc>
      </w:tr>
      <w:tr w:rsidR="00155DF4" w:rsidRPr="009B654D" w:rsidTr="00BD5563">
        <w:tc>
          <w:tcPr>
            <w:tcW w:w="3147" w:type="dxa"/>
            <w:gridSpan w:val="2"/>
            <w:vAlign w:val="center"/>
          </w:tcPr>
          <w:p w:rsidR="00155DF4" w:rsidRDefault="00155DF4" w:rsidP="005123EA">
            <w:pPr>
              <w:widowControl/>
              <w:spacing w:before="40" w:after="40"/>
              <w:jc w:val="right"/>
              <w:rPr>
                <w:rFonts w:ascii="Arial Narrow" w:hAnsi="Arial Narrow"/>
                <w:sz w:val="20"/>
              </w:rPr>
            </w:pPr>
            <w:r>
              <w:rPr>
                <w:rFonts w:ascii="Arial Narrow" w:hAnsi="Arial Narrow"/>
                <w:sz w:val="20"/>
              </w:rPr>
              <w:t>N</w:t>
            </w:r>
          </w:p>
        </w:tc>
        <w:tc>
          <w:tcPr>
            <w:tcW w:w="1559" w:type="dxa"/>
            <w:vAlign w:val="center"/>
          </w:tcPr>
          <w:p w:rsidR="00155DF4" w:rsidRPr="009B654D" w:rsidRDefault="00155DF4" w:rsidP="005123EA">
            <w:pPr>
              <w:widowControl/>
              <w:spacing w:before="40" w:after="40"/>
              <w:jc w:val="center"/>
              <w:rPr>
                <w:rFonts w:ascii="Arial Narrow" w:hAnsi="Arial Narrow"/>
                <w:sz w:val="20"/>
              </w:rPr>
            </w:pPr>
            <w:r w:rsidRPr="005E3AD9">
              <w:rPr>
                <w:rFonts w:ascii="Arial Narrow" w:hAnsi="Arial Narrow"/>
                <w:sz w:val="20"/>
              </w:rPr>
              <w:t>13</w:t>
            </w:r>
          </w:p>
        </w:tc>
        <w:tc>
          <w:tcPr>
            <w:tcW w:w="1418" w:type="dxa"/>
            <w:vAlign w:val="center"/>
          </w:tcPr>
          <w:p w:rsidR="00155DF4" w:rsidRPr="009B654D" w:rsidRDefault="00155DF4" w:rsidP="005123EA">
            <w:pPr>
              <w:widowControl/>
              <w:spacing w:before="40" w:after="40"/>
              <w:jc w:val="center"/>
              <w:rPr>
                <w:rFonts w:ascii="Arial Narrow" w:hAnsi="Arial Narrow"/>
                <w:sz w:val="20"/>
              </w:rPr>
            </w:pPr>
            <w:r>
              <w:rPr>
                <w:rFonts w:ascii="Arial Narrow" w:hAnsi="Arial Narrow"/>
                <w:sz w:val="20"/>
              </w:rPr>
              <w:t>6</w:t>
            </w:r>
          </w:p>
        </w:tc>
        <w:tc>
          <w:tcPr>
            <w:tcW w:w="1563" w:type="dxa"/>
            <w:vAlign w:val="center"/>
          </w:tcPr>
          <w:p w:rsidR="00155DF4" w:rsidRPr="009B654D" w:rsidRDefault="00155DF4" w:rsidP="005123EA">
            <w:pPr>
              <w:widowControl/>
              <w:spacing w:before="40" w:after="40"/>
              <w:jc w:val="center"/>
              <w:rPr>
                <w:rFonts w:ascii="Arial Narrow" w:hAnsi="Arial Narrow"/>
                <w:sz w:val="20"/>
              </w:rPr>
            </w:pPr>
            <w:r>
              <w:rPr>
                <w:rFonts w:ascii="Arial Narrow" w:hAnsi="Arial Narrow"/>
                <w:sz w:val="20"/>
              </w:rPr>
              <w:t>13</w:t>
            </w:r>
          </w:p>
        </w:tc>
        <w:tc>
          <w:tcPr>
            <w:tcW w:w="1383" w:type="dxa"/>
            <w:vAlign w:val="center"/>
          </w:tcPr>
          <w:p w:rsidR="00155DF4" w:rsidRPr="009B654D" w:rsidRDefault="00155DF4" w:rsidP="005123EA">
            <w:pPr>
              <w:widowControl/>
              <w:spacing w:before="40" w:after="40"/>
              <w:jc w:val="center"/>
              <w:rPr>
                <w:rFonts w:ascii="Arial Narrow" w:hAnsi="Arial Narrow"/>
                <w:sz w:val="20"/>
              </w:rPr>
            </w:pPr>
            <w:r>
              <w:rPr>
                <w:rFonts w:ascii="Arial Narrow" w:hAnsi="Arial Narrow"/>
                <w:sz w:val="20"/>
              </w:rPr>
              <w:t>16</w:t>
            </w:r>
          </w:p>
        </w:tc>
      </w:tr>
      <w:tr w:rsidR="00155DF4" w:rsidTr="00BD5563">
        <w:tc>
          <w:tcPr>
            <w:tcW w:w="984" w:type="dxa"/>
            <w:vMerge w:val="restart"/>
            <w:vAlign w:val="center"/>
          </w:tcPr>
          <w:p w:rsidR="00155DF4" w:rsidRDefault="00155DF4" w:rsidP="005123EA">
            <w:pPr>
              <w:widowControl/>
              <w:spacing w:before="40" w:after="40"/>
              <w:jc w:val="left"/>
              <w:rPr>
                <w:rFonts w:ascii="Arial Narrow" w:hAnsi="Arial Narrow"/>
                <w:sz w:val="20"/>
              </w:rPr>
            </w:pPr>
            <w:r>
              <w:rPr>
                <w:rFonts w:ascii="Arial Narrow" w:hAnsi="Arial Narrow"/>
                <w:sz w:val="20"/>
              </w:rPr>
              <w:t>Quality of life; change from baseline to Week 24; mean (SD)</w:t>
            </w:r>
          </w:p>
        </w:tc>
        <w:tc>
          <w:tcPr>
            <w:tcW w:w="2163" w:type="dxa"/>
            <w:vMerge w:val="restart"/>
            <w:vAlign w:val="center"/>
          </w:tcPr>
          <w:p w:rsidR="00155DF4" w:rsidRDefault="00155DF4" w:rsidP="005123EA">
            <w:pPr>
              <w:widowControl/>
              <w:spacing w:before="40" w:after="40"/>
              <w:jc w:val="center"/>
              <w:rPr>
                <w:rFonts w:ascii="Arial Narrow" w:hAnsi="Arial Narrow"/>
                <w:sz w:val="20"/>
              </w:rPr>
            </w:pPr>
            <w:r>
              <w:rPr>
                <w:rFonts w:ascii="Arial Narrow" w:hAnsi="Arial Narrow"/>
                <w:sz w:val="20"/>
              </w:rPr>
              <w:t>LEFS</w:t>
            </w:r>
          </w:p>
        </w:tc>
        <w:tc>
          <w:tcPr>
            <w:tcW w:w="1559" w:type="dxa"/>
            <w:vAlign w:val="center"/>
          </w:tcPr>
          <w:p w:rsidR="00155DF4" w:rsidRPr="00551B2E" w:rsidRDefault="00551B2E" w:rsidP="005123EA">
            <w:pPr>
              <w:widowControl/>
              <w:spacing w:before="40" w:after="40"/>
              <w:jc w:val="center"/>
              <w:rPr>
                <w:rFonts w:ascii="Arial Narrow" w:hAnsi="Arial Narrow"/>
                <w:sz w:val="20"/>
                <w:highlight w:val="black"/>
              </w:rPr>
            </w:pPr>
            <w:r>
              <w:rPr>
                <w:rFonts w:ascii="Arial Narrow" w:hAnsi="Arial Narrow"/>
                <w:noProof/>
                <w:color w:val="000000"/>
                <w:sz w:val="20"/>
                <w:highlight w:val="black"/>
              </w:rPr>
              <w:t>'''''''' ''''''''''''''''</w:t>
            </w:r>
            <w:r w:rsidR="00155DF4" w:rsidRPr="00551B2E">
              <w:rPr>
                <w:rFonts w:ascii="Arial Narrow" w:hAnsi="Arial Narrow"/>
                <w:sz w:val="20"/>
                <w:highlight w:val="black"/>
              </w:rPr>
              <w:t xml:space="preserve"> </w:t>
            </w:r>
          </w:p>
        </w:tc>
        <w:tc>
          <w:tcPr>
            <w:tcW w:w="1418" w:type="dxa"/>
            <w:vAlign w:val="center"/>
          </w:tcPr>
          <w:p w:rsidR="00155DF4" w:rsidRPr="00551B2E" w:rsidRDefault="00551B2E" w:rsidP="005123EA">
            <w:pPr>
              <w:widowControl/>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2946" w:type="dxa"/>
            <w:gridSpan w:val="2"/>
            <w:vMerge w:val="restart"/>
            <w:vAlign w:val="center"/>
          </w:tcPr>
          <w:p w:rsidR="00155DF4" w:rsidRDefault="00813F4F" w:rsidP="005123EA">
            <w:pPr>
              <w:widowControl/>
              <w:spacing w:before="40" w:after="40"/>
              <w:jc w:val="center"/>
              <w:rPr>
                <w:rFonts w:ascii="Arial Narrow" w:hAnsi="Arial Narrow"/>
                <w:sz w:val="20"/>
              </w:rPr>
            </w:pPr>
            <w:proofErr w:type="spellStart"/>
            <w:r>
              <w:rPr>
                <w:rFonts w:ascii="Arial Narrow" w:hAnsi="Arial Narrow"/>
                <w:sz w:val="20"/>
              </w:rPr>
              <w:t>N</w:t>
            </w:r>
            <w:r w:rsidR="00155DF4">
              <w:rPr>
                <w:rFonts w:ascii="Arial Narrow" w:hAnsi="Arial Narrow"/>
                <w:sz w:val="20"/>
              </w:rPr>
              <w:t>r</w:t>
            </w:r>
            <w:proofErr w:type="spellEnd"/>
          </w:p>
        </w:tc>
      </w:tr>
      <w:tr w:rsidR="00155DF4" w:rsidTr="00BD5563">
        <w:tc>
          <w:tcPr>
            <w:tcW w:w="984" w:type="dxa"/>
            <w:vMerge/>
          </w:tcPr>
          <w:p w:rsidR="00155DF4" w:rsidRDefault="00155DF4" w:rsidP="005123EA">
            <w:pPr>
              <w:widowControl/>
              <w:spacing w:before="40" w:after="40"/>
              <w:rPr>
                <w:rFonts w:ascii="Arial Narrow" w:hAnsi="Arial Narrow"/>
                <w:sz w:val="20"/>
              </w:rPr>
            </w:pPr>
          </w:p>
        </w:tc>
        <w:tc>
          <w:tcPr>
            <w:tcW w:w="2163" w:type="dxa"/>
            <w:vMerge/>
            <w:vAlign w:val="center"/>
          </w:tcPr>
          <w:p w:rsidR="00155DF4" w:rsidRDefault="00155DF4" w:rsidP="005123EA">
            <w:pPr>
              <w:widowControl/>
              <w:spacing w:before="40" w:after="40"/>
              <w:jc w:val="center"/>
              <w:rPr>
                <w:rFonts w:ascii="Arial Narrow" w:hAnsi="Arial Narrow"/>
                <w:sz w:val="20"/>
              </w:rPr>
            </w:pPr>
          </w:p>
        </w:tc>
        <w:tc>
          <w:tcPr>
            <w:tcW w:w="2977" w:type="dxa"/>
            <w:gridSpan w:val="2"/>
            <w:vAlign w:val="center"/>
          </w:tcPr>
          <w:p w:rsidR="00155DF4" w:rsidRPr="00551B2E" w:rsidRDefault="00551B2E" w:rsidP="005123EA">
            <w:pPr>
              <w:widowControl/>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2946" w:type="dxa"/>
            <w:gridSpan w:val="2"/>
            <w:vMerge/>
            <w:vAlign w:val="center"/>
          </w:tcPr>
          <w:p w:rsidR="00155DF4" w:rsidRDefault="00155DF4" w:rsidP="005123EA">
            <w:pPr>
              <w:widowControl/>
              <w:spacing w:before="40" w:after="40"/>
              <w:jc w:val="center"/>
              <w:rPr>
                <w:rFonts w:ascii="Arial Narrow" w:hAnsi="Arial Narrow"/>
                <w:sz w:val="20"/>
              </w:rPr>
            </w:pPr>
          </w:p>
        </w:tc>
      </w:tr>
      <w:tr w:rsidR="00155DF4" w:rsidTr="00BD5563">
        <w:tc>
          <w:tcPr>
            <w:tcW w:w="984" w:type="dxa"/>
            <w:vMerge/>
          </w:tcPr>
          <w:p w:rsidR="00155DF4" w:rsidRDefault="00155DF4" w:rsidP="005123EA">
            <w:pPr>
              <w:widowControl/>
              <w:spacing w:before="40" w:after="40"/>
              <w:jc w:val="left"/>
              <w:rPr>
                <w:rFonts w:ascii="Arial Narrow" w:hAnsi="Arial Narrow"/>
                <w:sz w:val="20"/>
              </w:rPr>
            </w:pPr>
          </w:p>
        </w:tc>
        <w:tc>
          <w:tcPr>
            <w:tcW w:w="2163" w:type="dxa"/>
            <w:vMerge w:val="restart"/>
            <w:vAlign w:val="center"/>
          </w:tcPr>
          <w:p w:rsidR="00155DF4" w:rsidRDefault="00155DF4" w:rsidP="005123EA">
            <w:pPr>
              <w:widowControl/>
              <w:spacing w:before="40" w:after="40"/>
              <w:jc w:val="center"/>
              <w:rPr>
                <w:rFonts w:ascii="Arial Narrow" w:hAnsi="Arial Narrow"/>
                <w:sz w:val="20"/>
              </w:rPr>
            </w:pPr>
            <w:r>
              <w:rPr>
                <w:rFonts w:ascii="Arial Narrow" w:hAnsi="Arial Narrow"/>
                <w:sz w:val="20"/>
              </w:rPr>
              <w:t xml:space="preserve">BPI-SF </w:t>
            </w:r>
          </w:p>
        </w:tc>
        <w:tc>
          <w:tcPr>
            <w:tcW w:w="1559" w:type="dxa"/>
            <w:vAlign w:val="center"/>
          </w:tcPr>
          <w:p w:rsidR="00155DF4" w:rsidRPr="00551B2E" w:rsidRDefault="00551B2E" w:rsidP="005123EA">
            <w:pPr>
              <w:widowControl/>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1418" w:type="dxa"/>
            <w:vAlign w:val="center"/>
          </w:tcPr>
          <w:p w:rsidR="00155DF4" w:rsidRPr="00551B2E" w:rsidRDefault="00551B2E" w:rsidP="005123EA">
            <w:pPr>
              <w:widowControl/>
              <w:spacing w:before="40" w:after="40"/>
              <w:jc w:val="center"/>
              <w:rPr>
                <w:rFonts w:ascii="Arial Narrow" w:hAnsi="Arial Narrow"/>
                <w:sz w:val="20"/>
                <w:highlight w:val="black"/>
              </w:rPr>
            </w:pPr>
            <w:r>
              <w:rPr>
                <w:rFonts w:ascii="Arial Narrow" w:hAnsi="Arial Narrow"/>
                <w:noProof/>
                <w:color w:val="000000"/>
                <w:sz w:val="20"/>
                <w:highlight w:val="black"/>
              </w:rPr>
              <w:t>'''''''''' ''''''''''''''</w:t>
            </w:r>
          </w:p>
        </w:tc>
        <w:tc>
          <w:tcPr>
            <w:tcW w:w="2946" w:type="dxa"/>
            <w:gridSpan w:val="2"/>
            <w:vMerge w:val="restart"/>
            <w:vAlign w:val="center"/>
          </w:tcPr>
          <w:p w:rsidR="00155DF4" w:rsidRDefault="00813F4F" w:rsidP="005123EA">
            <w:pPr>
              <w:widowControl/>
              <w:spacing w:before="40" w:after="40"/>
              <w:jc w:val="center"/>
              <w:rPr>
                <w:rFonts w:ascii="Arial Narrow" w:hAnsi="Arial Narrow"/>
                <w:sz w:val="20"/>
              </w:rPr>
            </w:pPr>
            <w:proofErr w:type="spellStart"/>
            <w:r>
              <w:rPr>
                <w:rFonts w:ascii="Arial Narrow" w:hAnsi="Arial Narrow"/>
                <w:sz w:val="20"/>
              </w:rPr>
              <w:t>N</w:t>
            </w:r>
            <w:r w:rsidR="00155DF4">
              <w:rPr>
                <w:rFonts w:ascii="Arial Narrow" w:hAnsi="Arial Narrow"/>
                <w:sz w:val="20"/>
              </w:rPr>
              <w:t>r</w:t>
            </w:r>
            <w:proofErr w:type="spellEnd"/>
          </w:p>
        </w:tc>
      </w:tr>
      <w:tr w:rsidR="00155DF4" w:rsidTr="00BD5563">
        <w:tc>
          <w:tcPr>
            <w:tcW w:w="984" w:type="dxa"/>
            <w:vMerge/>
          </w:tcPr>
          <w:p w:rsidR="00155DF4" w:rsidRDefault="00155DF4" w:rsidP="005123EA">
            <w:pPr>
              <w:widowControl/>
              <w:spacing w:before="40" w:after="40"/>
              <w:rPr>
                <w:rFonts w:ascii="Arial Narrow" w:hAnsi="Arial Narrow"/>
                <w:sz w:val="20"/>
              </w:rPr>
            </w:pPr>
          </w:p>
        </w:tc>
        <w:tc>
          <w:tcPr>
            <w:tcW w:w="2163" w:type="dxa"/>
            <w:vMerge/>
            <w:vAlign w:val="center"/>
          </w:tcPr>
          <w:p w:rsidR="00155DF4" w:rsidRDefault="00155DF4" w:rsidP="005123EA">
            <w:pPr>
              <w:widowControl/>
              <w:spacing w:before="40" w:after="40"/>
              <w:jc w:val="center"/>
              <w:rPr>
                <w:rFonts w:ascii="Arial Narrow" w:hAnsi="Arial Narrow"/>
                <w:sz w:val="20"/>
              </w:rPr>
            </w:pPr>
          </w:p>
        </w:tc>
        <w:tc>
          <w:tcPr>
            <w:tcW w:w="2977" w:type="dxa"/>
            <w:gridSpan w:val="2"/>
            <w:vAlign w:val="center"/>
          </w:tcPr>
          <w:p w:rsidR="00155DF4" w:rsidRPr="00551B2E" w:rsidRDefault="00551B2E" w:rsidP="005123EA">
            <w:pPr>
              <w:widowControl/>
              <w:spacing w:before="40" w:after="40"/>
              <w:jc w:val="center"/>
              <w:rPr>
                <w:rFonts w:ascii="Arial Narrow" w:hAnsi="Arial Narrow"/>
                <w:sz w:val="20"/>
                <w:highlight w:val="black"/>
              </w:rPr>
            </w:pPr>
            <w:r>
              <w:rPr>
                <w:rFonts w:ascii="Arial Narrow" w:hAnsi="Arial Narrow"/>
                <w:noProof/>
                <w:color w:val="000000"/>
                <w:sz w:val="20"/>
                <w:highlight w:val="black"/>
              </w:rPr>
              <w:t>'''''''''''''''''''''''</w:t>
            </w:r>
          </w:p>
        </w:tc>
        <w:tc>
          <w:tcPr>
            <w:tcW w:w="2946" w:type="dxa"/>
            <w:gridSpan w:val="2"/>
            <w:vMerge/>
            <w:vAlign w:val="center"/>
          </w:tcPr>
          <w:p w:rsidR="00155DF4" w:rsidRDefault="00155DF4" w:rsidP="005123EA">
            <w:pPr>
              <w:widowControl/>
              <w:spacing w:before="40" w:after="40"/>
              <w:jc w:val="center"/>
              <w:rPr>
                <w:rFonts w:ascii="Arial Narrow" w:hAnsi="Arial Narrow"/>
                <w:sz w:val="20"/>
              </w:rPr>
            </w:pPr>
          </w:p>
        </w:tc>
      </w:tr>
      <w:tr w:rsidR="00155DF4" w:rsidTr="00BD5563">
        <w:trPr>
          <w:trHeight w:val="61"/>
        </w:trPr>
        <w:tc>
          <w:tcPr>
            <w:tcW w:w="984" w:type="dxa"/>
            <w:vMerge/>
          </w:tcPr>
          <w:p w:rsidR="00155DF4" w:rsidRDefault="00155DF4" w:rsidP="005123EA">
            <w:pPr>
              <w:widowControl/>
              <w:spacing w:before="40" w:after="40"/>
              <w:rPr>
                <w:rFonts w:ascii="Arial Narrow" w:hAnsi="Arial Narrow"/>
                <w:sz w:val="20"/>
              </w:rPr>
            </w:pPr>
          </w:p>
        </w:tc>
        <w:tc>
          <w:tcPr>
            <w:tcW w:w="2163" w:type="dxa"/>
            <w:vAlign w:val="center"/>
          </w:tcPr>
          <w:p w:rsidR="00155DF4" w:rsidRDefault="00155DF4" w:rsidP="005123EA">
            <w:pPr>
              <w:widowControl/>
              <w:spacing w:before="40" w:after="40"/>
              <w:jc w:val="center"/>
              <w:rPr>
                <w:rFonts w:ascii="Arial Narrow" w:hAnsi="Arial Narrow"/>
                <w:sz w:val="20"/>
              </w:rPr>
            </w:pPr>
            <w:r>
              <w:rPr>
                <w:rFonts w:ascii="Arial Narrow" w:hAnsi="Arial Narrow"/>
                <w:sz w:val="20"/>
              </w:rPr>
              <w:t>CHAQ; mean disability score</w:t>
            </w:r>
          </w:p>
        </w:tc>
        <w:tc>
          <w:tcPr>
            <w:tcW w:w="1559" w:type="dxa"/>
            <w:vAlign w:val="center"/>
          </w:tcPr>
          <w:p w:rsidR="00155DF4" w:rsidRDefault="00155DF4" w:rsidP="005123EA">
            <w:pPr>
              <w:widowControl/>
              <w:spacing w:before="40" w:after="40"/>
              <w:jc w:val="center"/>
              <w:rPr>
                <w:rFonts w:ascii="Arial Narrow" w:hAnsi="Arial Narrow"/>
                <w:sz w:val="20"/>
              </w:rPr>
            </w:pPr>
            <w:proofErr w:type="spellStart"/>
            <w:r>
              <w:rPr>
                <w:rFonts w:ascii="Arial Narrow" w:hAnsi="Arial Narrow"/>
                <w:sz w:val="20"/>
              </w:rPr>
              <w:t>nr</w:t>
            </w:r>
            <w:proofErr w:type="spellEnd"/>
          </w:p>
        </w:tc>
        <w:tc>
          <w:tcPr>
            <w:tcW w:w="1418" w:type="dxa"/>
            <w:vAlign w:val="center"/>
          </w:tcPr>
          <w:p w:rsidR="00155DF4" w:rsidRDefault="002258C5" w:rsidP="005123EA">
            <w:pPr>
              <w:widowControl/>
              <w:spacing w:before="40" w:after="40"/>
              <w:jc w:val="center"/>
              <w:rPr>
                <w:rFonts w:ascii="Arial Narrow" w:hAnsi="Arial Narrow"/>
                <w:sz w:val="20"/>
              </w:rPr>
            </w:pPr>
            <w:proofErr w:type="spellStart"/>
            <w:r>
              <w:rPr>
                <w:rFonts w:ascii="Arial Narrow" w:hAnsi="Arial Narrow"/>
                <w:sz w:val="20"/>
              </w:rPr>
              <w:t>N</w:t>
            </w:r>
            <w:r w:rsidR="00155DF4">
              <w:rPr>
                <w:rFonts w:ascii="Arial Narrow" w:hAnsi="Arial Narrow"/>
                <w:sz w:val="20"/>
              </w:rPr>
              <w:t>r</w:t>
            </w:r>
            <w:proofErr w:type="spellEnd"/>
          </w:p>
        </w:tc>
        <w:tc>
          <w:tcPr>
            <w:tcW w:w="2946" w:type="dxa"/>
            <w:gridSpan w:val="2"/>
            <w:vAlign w:val="center"/>
          </w:tcPr>
          <w:p w:rsidR="00155DF4" w:rsidRDefault="00155DF4" w:rsidP="005123EA">
            <w:pPr>
              <w:widowControl/>
              <w:spacing w:before="40" w:after="40"/>
              <w:jc w:val="center"/>
              <w:rPr>
                <w:rFonts w:ascii="Arial Narrow" w:hAnsi="Arial Narrow"/>
                <w:sz w:val="20"/>
              </w:rPr>
            </w:pPr>
            <w:r>
              <w:rPr>
                <w:rFonts w:ascii="Arial Narrow" w:hAnsi="Arial Narrow"/>
                <w:sz w:val="20"/>
              </w:rPr>
              <w:t xml:space="preserve">-0.6364 (0.62); </w:t>
            </w:r>
            <w:r w:rsidRPr="00362AA3">
              <w:rPr>
                <w:rFonts w:ascii="Arial Narrow" w:hAnsi="Arial Narrow"/>
                <w:b/>
                <w:sz w:val="20"/>
              </w:rPr>
              <w:t>p=0.0068</w:t>
            </w:r>
          </w:p>
        </w:tc>
      </w:tr>
      <w:tr w:rsidR="00155DF4" w:rsidTr="00BD5563">
        <w:tc>
          <w:tcPr>
            <w:tcW w:w="984" w:type="dxa"/>
            <w:vMerge/>
          </w:tcPr>
          <w:p w:rsidR="00155DF4" w:rsidRDefault="00155DF4" w:rsidP="005123EA">
            <w:pPr>
              <w:widowControl/>
              <w:spacing w:before="40" w:after="40"/>
              <w:rPr>
                <w:rFonts w:ascii="Arial Narrow" w:hAnsi="Arial Narrow"/>
                <w:sz w:val="20"/>
              </w:rPr>
            </w:pPr>
          </w:p>
        </w:tc>
        <w:tc>
          <w:tcPr>
            <w:tcW w:w="2163" w:type="dxa"/>
            <w:vAlign w:val="center"/>
          </w:tcPr>
          <w:p w:rsidR="00155DF4" w:rsidRPr="00AF6ECA" w:rsidRDefault="00155DF4" w:rsidP="005123EA">
            <w:pPr>
              <w:widowControl/>
              <w:spacing w:before="40" w:after="40"/>
              <w:jc w:val="center"/>
              <w:rPr>
                <w:rFonts w:ascii="Arial Narrow" w:hAnsi="Arial Narrow"/>
                <w:sz w:val="20"/>
              </w:rPr>
            </w:pPr>
            <w:r>
              <w:rPr>
                <w:rFonts w:ascii="Arial Narrow" w:hAnsi="Arial Narrow"/>
                <w:sz w:val="20"/>
              </w:rPr>
              <w:t>PODCI; parent assessed</w:t>
            </w:r>
          </w:p>
        </w:tc>
        <w:tc>
          <w:tcPr>
            <w:tcW w:w="1559" w:type="dxa"/>
            <w:vAlign w:val="center"/>
          </w:tcPr>
          <w:p w:rsidR="00155DF4" w:rsidRDefault="00155DF4" w:rsidP="005123EA">
            <w:pPr>
              <w:widowControl/>
              <w:spacing w:before="40" w:after="40"/>
              <w:jc w:val="center"/>
              <w:rPr>
                <w:rFonts w:ascii="Arial Narrow" w:hAnsi="Arial Narrow"/>
                <w:sz w:val="20"/>
              </w:rPr>
            </w:pPr>
            <w:proofErr w:type="spellStart"/>
            <w:r>
              <w:rPr>
                <w:rFonts w:ascii="Arial Narrow" w:hAnsi="Arial Narrow"/>
                <w:sz w:val="20"/>
              </w:rPr>
              <w:t>nr</w:t>
            </w:r>
            <w:proofErr w:type="spellEnd"/>
          </w:p>
        </w:tc>
        <w:tc>
          <w:tcPr>
            <w:tcW w:w="1418" w:type="dxa"/>
            <w:vAlign w:val="center"/>
          </w:tcPr>
          <w:p w:rsidR="00155DF4" w:rsidRDefault="002258C5" w:rsidP="005123EA">
            <w:pPr>
              <w:widowControl/>
              <w:spacing w:before="40" w:after="40"/>
              <w:jc w:val="center"/>
              <w:rPr>
                <w:rFonts w:ascii="Arial Narrow" w:hAnsi="Arial Narrow"/>
                <w:sz w:val="20"/>
              </w:rPr>
            </w:pPr>
            <w:proofErr w:type="spellStart"/>
            <w:r>
              <w:rPr>
                <w:rFonts w:ascii="Arial Narrow" w:hAnsi="Arial Narrow"/>
                <w:sz w:val="20"/>
              </w:rPr>
              <w:t>N</w:t>
            </w:r>
            <w:r w:rsidR="00155DF4">
              <w:rPr>
                <w:rFonts w:ascii="Arial Narrow" w:hAnsi="Arial Narrow"/>
                <w:sz w:val="20"/>
              </w:rPr>
              <w:t>r</w:t>
            </w:r>
            <w:proofErr w:type="spellEnd"/>
          </w:p>
        </w:tc>
        <w:tc>
          <w:tcPr>
            <w:tcW w:w="2946" w:type="dxa"/>
            <w:gridSpan w:val="2"/>
            <w:vAlign w:val="center"/>
          </w:tcPr>
          <w:p w:rsidR="00155DF4" w:rsidRDefault="00551B2E" w:rsidP="005123EA">
            <w:pPr>
              <w:widowControl/>
              <w:spacing w:before="40" w:after="40"/>
              <w:jc w:val="center"/>
              <w:rPr>
                <w:rFonts w:ascii="Arial Narrow" w:hAnsi="Arial Narrow"/>
                <w:sz w:val="20"/>
              </w:rPr>
            </w:pPr>
            <w:r>
              <w:rPr>
                <w:rFonts w:ascii="Arial Narrow" w:hAnsi="Arial Narrow"/>
                <w:noProof/>
                <w:color w:val="000000"/>
                <w:sz w:val="20"/>
                <w:highlight w:val="black"/>
              </w:rPr>
              <w:t xml:space="preserve">''''''''''' ''''''''''''''' </w:t>
            </w:r>
            <w:r>
              <w:rPr>
                <w:rFonts w:ascii="Arial Narrow" w:hAnsi="Arial Narrow"/>
                <w:b/>
                <w:noProof/>
                <w:color w:val="000000"/>
                <w:sz w:val="20"/>
                <w:highlight w:val="black"/>
              </w:rPr>
              <w:t>''' '''''''''''''''</w:t>
            </w:r>
          </w:p>
        </w:tc>
      </w:tr>
    </w:tbl>
    <w:p w:rsidR="00B10DD6" w:rsidRPr="008E39BC" w:rsidRDefault="00B10DD6" w:rsidP="005123EA">
      <w:pPr>
        <w:widowControl/>
        <w:tabs>
          <w:tab w:val="left" w:pos="284"/>
        </w:tabs>
        <w:spacing w:after="120"/>
        <w:contextualSpacing/>
        <w:rPr>
          <w:rFonts w:ascii="Arial Narrow" w:hAnsi="Arial Narrow"/>
          <w:sz w:val="18"/>
          <w:szCs w:val="18"/>
        </w:rPr>
      </w:pPr>
      <w:bookmarkStart w:id="32" w:name="_Toc413139279"/>
      <w:bookmarkStart w:id="33" w:name="_Toc476306889"/>
      <w:proofErr w:type="gramStart"/>
      <w:r w:rsidRPr="008E39BC">
        <w:rPr>
          <w:rFonts w:ascii="Arial Narrow" w:hAnsi="Arial Narrow"/>
          <w:sz w:val="18"/>
          <w:szCs w:val="18"/>
          <w:vertAlign w:val="superscript"/>
        </w:rPr>
        <w:t>a</w:t>
      </w:r>
      <w:proofErr w:type="gramEnd"/>
      <w:r w:rsidRPr="008E39BC">
        <w:rPr>
          <w:rFonts w:ascii="Arial Narrow" w:hAnsi="Arial Narrow"/>
          <w:sz w:val="18"/>
          <w:szCs w:val="18"/>
          <w:vertAlign w:val="superscript"/>
        </w:rPr>
        <w:tab/>
      </w:r>
      <w:r w:rsidRPr="008E39BC">
        <w:rPr>
          <w:rFonts w:ascii="Arial Narrow" w:hAnsi="Arial Narrow"/>
          <w:sz w:val="18"/>
          <w:szCs w:val="18"/>
        </w:rPr>
        <w:t>Placebo group crossed-over to AA at week 24</w:t>
      </w:r>
    </w:p>
    <w:p w:rsidR="00B10DD6" w:rsidRPr="008E39BC" w:rsidRDefault="00B10DD6" w:rsidP="005123EA">
      <w:pPr>
        <w:widowControl/>
        <w:spacing w:after="120"/>
        <w:contextualSpacing/>
        <w:rPr>
          <w:rFonts w:ascii="Arial Narrow" w:hAnsi="Arial Narrow"/>
          <w:sz w:val="18"/>
          <w:szCs w:val="18"/>
        </w:rPr>
      </w:pPr>
      <w:r w:rsidRPr="008E39BC">
        <w:rPr>
          <w:rFonts w:ascii="Arial Narrow" w:hAnsi="Arial Narrow"/>
          <w:sz w:val="18"/>
          <w:szCs w:val="18"/>
        </w:rPr>
        <w:t>BSC = best supportive care</w:t>
      </w:r>
      <w:r w:rsidRPr="008E39BC">
        <w:rPr>
          <w:rFonts w:ascii="Arial Narrow" w:hAnsi="Arial Narrow"/>
          <w:i/>
          <w:sz w:val="18"/>
          <w:szCs w:val="18"/>
        </w:rPr>
        <w:t xml:space="preserve">; </w:t>
      </w:r>
      <w:r w:rsidRPr="008E39BC">
        <w:rPr>
          <w:rFonts w:ascii="Arial Narrow" w:hAnsi="Arial Narrow"/>
          <w:sz w:val="18"/>
          <w:szCs w:val="18"/>
        </w:rPr>
        <w:t xml:space="preserve">SD = standard deviation; PODCI = paediatric outcomes data collection instrument; CHAQ = childhood health assessment questionnaire; </w:t>
      </w:r>
      <w:proofErr w:type="spellStart"/>
      <w:r w:rsidRPr="008E39BC">
        <w:rPr>
          <w:rFonts w:ascii="Arial Narrow" w:hAnsi="Arial Narrow"/>
          <w:sz w:val="18"/>
          <w:szCs w:val="18"/>
        </w:rPr>
        <w:t>nr</w:t>
      </w:r>
      <w:proofErr w:type="spellEnd"/>
      <w:r w:rsidRPr="008E39BC">
        <w:rPr>
          <w:rFonts w:ascii="Arial Narrow" w:hAnsi="Arial Narrow"/>
          <w:sz w:val="18"/>
          <w:szCs w:val="18"/>
        </w:rPr>
        <w:t xml:space="preserve"> = not reported; LEFS = lower extremity functional scale; BPI-SF = brief pain inventory – short form; </w:t>
      </w:r>
    </w:p>
    <w:p w:rsidR="00B10DD6" w:rsidRPr="008E39BC" w:rsidRDefault="00B10DD6" w:rsidP="005123EA">
      <w:pPr>
        <w:widowControl/>
        <w:spacing w:after="120"/>
        <w:contextualSpacing/>
        <w:rPr>
          <w:rFonts w:ascii="Arial Narrow" w:hAnsi="Arial Narrow"/>
          <w:sz w:val="18"/>
          <w:szCs w:val="18"/>
        </w:rPr>
      </w:pPr>
      <w:r w:rsidRPr="00EE2CE4">
        <w:rPr>
          <w:rFonts w:ascii="Arial Narrow" w:hAnsi="Arial Narrow"/>
          <w:sz w:val="18"/>
          <w:szCs w:val="18"/>
        </w:rPr>
        <w:t>Source: compiled during the evaluation from Tables B.6.2-B.6.17, pp102-207 of Section B of the submission</w:t>
      </w:r>
    </w:p>
    <w:p w:rsidR="00B10DD6" w:rsidRPr="004E62FD" w:rsidRDefault="00B10DD6" w:rsidP="005123EA">
      <w:pPr>
        <w:pStyle w:val="ListParagraph"/>
        <w:widowControl/>
        <w:numPr>
          <w:ilvl w:val="1"/>
          <w:numId w:val="2"/>
        </w:numPr>
        <w:contextualSpacing w:val="0"/>
        <w:rPr>
          <w:rFonts w:asciiTheme="minorHAnsi" w:hAnsiTheme="minorHAnsi"/>
        </w:rPr>
      </w:pPr>
      <w:r>
        <w:rPr>
          <w:szCs w:val="22"/>
        </w:rPr>
        <w:t xml:space="preserve">There was no statistically significant difference in mean change in quality of life from Baseline to Week 24, as measured by the Lower Extremity Functional Scale (LEFS) or the Brief Pain Inventory-Short Form, for patients treated with </w:t>
      </w:r>
      <w:proofErr w:type="spellStart"/>
      <w:r>
        <w:rPr>
          <w:szCs w:val="22"/>
        </w:rPr>
        <w:t>asfotase</w:t>
      </w:r>
      <w:proofErr w:type="spellEnd"/>
      <w:r>
        <w:rPr>
          <w:szCs w:val="22"/>
        </w:rPr>
        <w:t xml:space="preserve"> alfa </w:t>
      </w:r>
      <w:proofErr w:type="spellStart"/>
      <w:r w:rsidR="00465F17" w:rsidRPr="00465F17">
        <w:rPr>
          <w:i/>
          <w:szCs w:val="22"/>
        </w:rPr>
        <w:t>rch</w:t>
      </w:r>
      <w:proofErr w:type="spellEnd"/>
      <w:r>
        <w:rPr>
          <w:szCs w:val="22"/>
        </w:rPr>
        <w:t xml:space="preserve"> compared </w:t>
      </w:r>
      <w:r w:rsidR="001A3D36">
        <w:rPr>
          <w:szCs w:val="22"/>
        </w:rPr>
        <w:t xml:space="preserve">with </w:t>
      </w:r>
      <w:r>
        <w:rPr>
          <w:szCs w:val="22"/>
        </w:rPr>
        <w:t>BSC in Trial ENB-009-10.</w:t>
      </w:r>
    </w:p>
    <w:p w:rsidR="00B10DD6" w:rsidRPr="008D1772" w:rsidRDefault="00B10DD6" w:rsidP="005123EA">
      <w:pPr>
        <w:pStyle w:val="ListParagraph"/>
        <w:widowControl/>
        <w:numPr>
          <w:ilvl w:val="1"/>
          <w:numId w:val="2"/>
        </w:numPr>
        <w:contextualSpacing w:val="0"/>
        <w:rPr>
          <w:rFonts w:asciiTheme="minorHAnsi" w:hAnsiTheme="minorHAnsi"/>
          <w:i/>
        </w:rPr>
      </w:pPr>
      <w:r w:rsidRPr="00F471D7">
        <w:rPr>
          <w:rFonts w:asciiTheme="minorHAnsi" w:hAnsiTheme="minorHAnsi"/>
        </w:rPr>
        <w:t>Quality of life was also assessed using the Paediatric Outcomes Data Collection Instrument (PODCI) and the Childhood Health Assessment Questionnaire (CHAQ) in Trial ENB-006-09/ENB-008-10.</w:t>
      </w:r>
      <w:r w:rsidR="00540116" w:rsidRPr="00F471D7">
        <w:rPr>
          <w:rFonts w:asciiTheme="minorHAnsi" w:hAnsiTheme="minorHAnsi"/>
        </w:rPr>
        <w:t xml:space="preserve"> </w:t>
      </w:r>
      <w:r w:rsidRPr="00F471D7">
        <w:rPr>
          <w:rFonts w:asciiTheme="minorHAnsi" w:hAnsiTheme="minorHAnsi"/>
        </w:rPr>
        <w:t xml:space="preserve">Based on an in-group comparison of the change from Baseline for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Pr="00F471D7">
        <w:rPr>
          <w:rFonts w:asciiTheme="minorHAnsi" w:hAnsiTheme="minorHAnsi"/>
        </w:rPr>
        <w:t xml:space="preserve"> treated patients at Week 24, there was an improvement in the mean CHAQ disability score of -0.6364, and an improvement in the PODCI, as assessed by parents, of </w:t>
      </w:r>
      <w:r w:rsidR="00551B2E">
        <w:rPr>
          <w:rFonts w:asciiTheme="minorHAnsi" w:hAnsiTheme="minorHAnsi"/>
          <w:noProof/>
          <w:color w:val="000000"/>
          <w:highlight w:val="black"/>
        </w:rPr>
        <w:t>'''''''''</w:t>
      </w:r>
      <w:r w:rsidRPr="00F471D7">
        <w:rPr>
          <w:rFonts w:asciiTheme="minorHAnsi" w:hAnsiTheme="minorHAnsi"/>
        </w:rPr>
        <w:t>.</w:t>
      </w:r>
      <w:r w:rsidR="00540116" w:rsidRPr="00F471D7">
        <w:rPr>
          <w:rFonts w:asciiTheme="minorHAnsi" w:hAnsiTheme="minorHAnsi"/>
        </w:rPr>
        <w:t xml:space="preserve"> </w:t>
      </w:r>
      <w:r w:rsidRPr="00F471D7">
        <w:rPr>
          <w:rFonts w:asciiTheme="minorHAnsi" w:hAnsiTheme="minorHAnsi"/>
        </w:rPr>
        <w:t>The difference from Baseline to Week 24 was statistically significant.</w:t>
      </w:r>
      <w:r w:rsidR="005637A3" w:rsidRPr="00F471D7">
        <w:rPr>
          <w:rFonts w:asciiTheme="minorHAnsi" w:hAnsiTheme="minorHAnsi"/>
        </w:rPr>
        <w:t xml:space="preserve"> T</w:t>
      </w:r>
      <w:r w:rsidRPr="00F471D7">
        <w:rPr>
          <w:rFonts w:asciiTheme="minorHAnsi" w:hAnsiTheme="minorHAnsi"/>
        </w:rPr>
        <w:t xml:space="preserve">he results </w:t>
      </w:r>
      <w:r w:rsidR="00043E37" w:rsidRPr="00043E37">
        <w:rPr>
          <w:rFonts w:asciiTheme="minorHAnsi" w:hAnsiTheme="minorHAnsi"/>
        </w:rPr>
        <w:t>suggest</w:t>
      </w:r>
      <w:r w:rsidR="00FC316C">
        <w:rPr>
          <w:rFonts w:asciiTheme="minorHAnsi" w:hAnsiTheme="minorHAnsi"/>
        </w:rPr>
        <w:t>ed</w:t>
      </w:r>
      <w:r w:rsidR="00043E37">
        <w:rPr>
          <w:rFonts w:asciiTheme="minorHAnsi" w:hAnsiTheme="minorHAnsi"/>
        </w:rPr>
        <w:t xml:space="preserve"> </w:t>
      </w:r>
      <w:r w:rsidRPr="00F471D7">
        <w:rPr>
          <w:rFonts w:asciiTheme="minorHAnsi" w:hAnsiTheme="minorHAnsi"/>
        </w:rPr>
        <w:t xml:space="preserve">that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Pr="00F471D7">
        <w:rPr>
          <w:rFonts w:asciiTheme="minorHAnsi" w:hAnsiTheme="minorHAnsi"/>
        </w:rPr>
        <w:t xml:space="preserve"> may improve quality of life</w:t>
      </w:r>
      <w:r w:rsidR="005637A3" w:rsidRPr="00F471D7">
        <w:rPr>
          <w:rFonts w:asciiTheme="minorHAnsi" w:hAnsiTheme="minorHAnsi"/>
        </w:rPr>
        <w:t>. However,</w:t>
      </w:r>
      <w:r w:rsidRPr="00F471D7">
        <w:rPr>
          <w:rFonts w:asciiTheme="minorHAnsi" w:hAnsiTheme="minorHAnsi"/>
        </w:rPr>
        <w:t xml:space="preserve"> the results </w:t>
      </w:r>
      <w:r w:rsidR="00FC316C">
        <w:rPr>
          <w:rFonts w:asciiTheme="minorHAnsi" w:hAnsiTheme="minorHAnsi"/>
        </w:rPr>
        <w:t>were</w:t>
      </w:r>
      <w:r w:rsidR="00043E37">
        <w:rPr>
          <w:rFonts w:asciiTheme="minorHAnsi" w:hAnsiTheme="minorHAnsi"/>
        </w:rPr>
        <w:t xml:space="preserve"> insufficient to </w:t>
      </w:r>
      <w:r w:rsidRPr="00F471D7">
        <w:rPr>
          <w:rFonts w:asciiTheme="minorHAnsi" w:hAnsiTheme="minorHAnsi"/>
        </w:rPr>
        <w:t xml:space="preserve">support a claim that treatment with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Pr="00F471D7">
        <w:rPr>
          <w:rFonts w:asciiTheme="minorHAnsi" w:hAnsiTheme="minorHAnsi"/>
        </w:rPr>
        <w:t xml:space="preserve"> improves quality of life compared </w:t>
      </w:r>
      <w:r w:rsidR="00BE2008" w:rsidRPr="00F471D7">
        <w:rPr>
          <w:rFonts w:asciiTheme="minorHAnsi" w:hAnsiTheme="minorHAnsi"/>
        </w:rPr>
        <w:t xml:space="preserve">with </w:t>
      </w:r>
      <w:r w:rsidRPr="00F471D7">
        <w:rPr>
          <w:rFonts w:asciiTheme="minorHAnsi" w:hAnsiTheme="minorHAnsi"/>
        </w:rPr>
        <w:t>BSC.</w:t>
      </w:r>
    </w:p>
    <w:p w:rsidR="00F178DB" w:rsidRDefault="00F178DB" w:rsidP="005123EA">
      <w:pPr>
        <w:pStyle w:val="Heading2"/>
        <w:widowControl/>
      </w:pPr>
      <w:bookmarkStart w:id="34" w:name="_Toc481339865"/>
      <w:bookmarkStart w:id="35" w:name="_Toc481410710"/>
    </w:p>
    <w:p w:rsidR="00B10DD6" w:rsidRPr="00023CAE" w:rsidRDefault="00B10DD6" w:rsidP="005123EA">
      <w:pPr>
        <w:pStyle w:val="Heading2"/>
        <w:widowControl/>
      </w:pPr>
      <w:r w:rsidRPr="00023CAE">
        <w:t xml:space="preserve">Comparative </w:t>
      </w:r>
      <w:r w:rsidRPr="00A83916">
        <w:t>harms</w:t>
      </w:r>
      <w:bookmarkEnd w:id="32"/>
      <w:bookmarkEnd w:id="33"/>
      <w:bookmarkEnd w:id="34"/>
      <w:bookmarkEnd w:id="35"/>
    </w:p>
    <w:p w:rsidR="00CA54D1" w:rsidRDefault="00B10DD6" w:rsidP="005123EA">
      <w:pPr>
        <w:pStyle w:val="ListParagraph"/>
        <w:widowControl/>
        <w:numPr>
          <w:ilvl w:val="1"/>
          <w:numId w:val="2"/>
        </w:numPr>
        <w:contextualSpacing w:val="0"/>
        <w:rPr>
          <w:rFonts w:asciiTheme="minorHAnsi" w:hAnsiTheme="minorHAnsi"/>
        </w:rPr>
      </w:pPr>
      <w:r w:rsidRPr="00F471D7">
        <w:rPr>
          <w:rFonts w:asciiTheme="minorHAnsi" w:hAnsiTheme="minorHAnsi"/>
        </w:rPr>
        <w:t>The submission did not provide statistical analys</w:t>
      </w:r>
      <w:r w:rsidR="00AC7D51" w:rsidRPr="00F471D7">
        <w:rPr>
          <w:rFonts w:asciiTheme="minorHAnsi" w:hAnsiTheme="minorHAnsi"/>
        </w:rPr>
        <w:t>e</w:t>
      </w:r>
      <w:r w:rsidRPr="00F471D7">
        <w:rPr>
          <w:rFonts w:asciiTheme="minorHAnsi" w:hAnsiTheme="minorHAnsi"/>
        </w:rPr>
        <w:t>s for the adverse events reported in Trial ENB-009-10.</w:t>
      </w:r>
      <w:r w:rsidR="00540116" w:rsidRPr="00F471D7">
        <w:rPr>
          <w:rFonts w:asciiTheme="minorHAnsi" w:hAnsiTheme="minorHAnsi"/>
        </w:rPr>
        <w:t xml:space="preserve"> </w:t>
      </w:r>
      <w:r w:rsidRPr="00F471D7">
        <w:rPr>
          <w:rFonts w:asciiTheme="minorHAnsi" w:hAnsiTheme="minorHAnsi"/>
        </w:rPr>
        <w:t xml:space="preserve">From the statistical analysis undertaken during the evaluation, there was a statistically significant difference between patients treated with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Pr="00F471D7">
        <w:rPr>
          <w:rFonts w:asciiTheme="minorHAnsi" w:hAnsiTheme="minorHAnsi"/>
        </w:rPr>
        <w:t xml:space="preserve"> compared </w:t>
      </w:r>
      <w:r w:rsidR="002A5B11" w:rsidRPr="00F471D7">
        <w:rPr>
          <w:rFonts w:asciiTheme="minorHAnsi" w:hAnsiTheme="minorHAnsi"/>
        </w:rPr>
        <w:t xml:space="preserve">with </w:t>
      </w:r>
      <w:r w:rsidRPr="00F471D7">
        <w:rPr>
          <w:rFonts w:asciiTheme="minorHAnsi" w:hAnsiTheme="minorHAnsi"/>
        </w:rPr>
        <w:t xml:space="preserve">BSC in relation to </w:t>
      </w:r>
      <w:r w:rsidR="00A50F5A" w:rsidRPr="00F471D7">
        <w:rPr>
          <w:rFonts w:asciiTheme="minorHAnsi" w:hAnsiTheme="minorHAnsi"/>
        </w:rPr>
        <w:t>“G</w:t>
      </w:r>
      <w:r w:rsidRPr="00F471D7">
        <w:rPr>
          <w:rFonts w:asciiTheme="minorHAnsi" w:hAnsiTheme="minorHAnsi"/>
        </w:rPr>
        <w:t xml:space="preserve">eneral disorders </w:t>
      </w:r>
      <w:r w:rsidR="00A50F5A" w:rsidRPr="00F471D7">
        <w:rPr>
          <w:rFonts w:asciiTheme="minorHAnsi" w:hAnsiTheme="minorHAnsi"/>
        </w:rPr>
        <w:t xml:space="preserve">&amp; </w:t>
      </w:r>
      <w:r w:rsidRPr="00F471D7">
        <w:rPr>
          <w:rFonts w:asciiTheme="minorHAnsi" w:hAnsiTheme="minorHAnsi"/>
        </w:rPr>
        <w:t>administration site conditions</w:t>
      </w:r>
      <w:r w:rsidR="00A50F5A" w:rsidRPr="00F471D7">
        <w:rPr>
          <w:rFonts w:asciiTheme="minorHAnsi" w:hAnsiTheme="minorHAnsi"/>
        </w:rPr>
        <w:t>” (with preferred terms inclusive of injection site reactions, including injection site erythema, injection site haematoma, injection site pain, injection site pruritus, injection site discolouration, and injection site swelling)</w:t>
      </w:r>
      <w:r w:rsidRPr="00F471D7">
        <w:rPr>
          <w:rFonts w:asciiTheme="minorHAnsi" w:hAnsiTheme="minorHAnsi"/>
        </w:rPr>
        <w:t xml:space="preserve"> with </w:t>
      </w:r>
      <w:r w:rsidR="000B3336">
        <w:rPr>
          <w:rFonts w:asciiTheme="minorHAnsi" w:hAnsiTheme="minorHAnsi"/>
        </w:rPr>
        <w:t xml:space="preserve">the majority </w:t>
      </w:r>
      <w:r w:rsidR="00551B2E">
        <w:rPr>
          <w:rFonts w:asciiTheme="minorHAnsi" w:hAnsiTheme="minorHAnsi"/>
          <w:noProof/>
          <w:color w:val="000000"/>
          <w:highlight w:val="black"/>
        </w:rPr>
        <w:t>''''''''</w:t>
      </w:r>
      <w:r w:rsidRPr="000768BA">
        <w:rPr>
          <w:rFonts w:asciiTheme="minorHAnsi" w:hAnsiTheme="minorHAnsi"/>
        </w:rPr>
        <w:t xml:space="preserve">% of patients treated with </w:t>
      </w:r>
      <w:proofErr w:type="spellStart"/>
      <w:r w:rsidRPr="000768BA">
        <w:rPr>
          <w:rFonts w:asciiTheme="minorHAnsi" w:hAnsiTheme="minorHAnsi"/>
        </w:rPr>
        <w:t>asfotase</w:t>
      </w:r>
      <w:proofErr w:type="spellEnd"/>
      <w:r w:rsidRPr="000768BA">
        <w:rPr>
          <w:rFonts w:asciiTheme="minorHAnsi" w:hAnsiTheme="minorHAnsi"/>
        </w:rPr>
        <w:t xml:space="preserve"> alfa </w:t>
      </w:r>
      <w:proofErr w:type="spellStart"/>
      <w:r w:rsidR="00465F17" w:rsidRPr="000768BA">
        <w:rPr>
          <w:rFonts w:asciiTheme="minorHAnsi" w:hAnsiTheme="minorHAnsi"/>
          <w:i/>
        </w:rPr>
        <w:t>rch</w:t>
      </w:r>
      <w:proofErr w:type="spellEnd"/>
      <w:r w:rsidRPr="000768BA">
        <w:rPr>
          <w:rFonts w:asciiTheme="minorHAnsi" w:hAnsiTheme="minorHAnsi"/>
        </w:rPr>
        <w:t xml:space="preserve"> reporting this (</w:t>
      </w:r>
      <w:r w:rsidR="00551B2E">
        <w:rPr>
          <w:rFonts w:asciiTheme="minorHAnsi" w:hAnsiTheme="minorHAnsi"/>
          <w:noProof/>
          <w:color w:val="000000"/>
          <w:highlight w:val="black"/>
        </w:rPr>
        <w:t>'''''''''''</w:t>
      </w:r>
      <w:r w:rsidRPr="000768BA">
        <w:rPr>
          <w:rFonts w:asciiTheme="minorHAnsi" w:hAnsiTheme="minorHAnsi"/>
        </w:rPr>
        <w:t xml:space="preserve">) compared </w:t>
      </w:r>
      <w:r w:rsidR="00AC2472" w:rsidRPr="000768BA">
        <w:rPr>
          <w:rFonts w:asciiTheme="minorHAnsi" w:hAnsiTheme="minorHAnsi"/>
        </w:rPr>
        <w:t xml:space="preserve">with </w:t>
      </w:r>
      <w:r w:rsidR="00551B2E">
        <w:rPr>
          <w:rFonts w:asciiTheme="minorHAnsi" w:hAnsiTheme="minorHAnsi"/>
          <w:noProof/>
          <w:color w:val="000000"/>
          <w:highlight w:val="black"/>
        </w:rPr>
        <w:t>''''''''</w:t>
      </w:r>
      <w:r w:rsidRPr="000768BA">
        <w:rPr>
          <w:rFonts w:asciiTheme="minorHAnsi" w:hAnsiTheme="minorHAnsi"/>
        </w:rPr>
        <w:t>% of patients treated with BSC (</w:t>
      </w:r>
      <w:r w:rsidR="00551B2E">
        <w:rPr>
          <w:rFonts w:asciiTheme="minorHAnsi" w:hAnsiTheme="minorHAnsi"/>
          <w:noProof/>
          <w:color w:val="000000"/>
          <w:highlight w:val="black"/>
        </w:rPr>
        <w:t>''''''''</w:t>
      </w:r>
      <w:r w:rsidRPr="000768BA">
        <w:rPr>
          <w:rFonts w:asciiTheme="minorHAnsi" w:hAnsiTheme="minorHAnsi"/>
        </w:rPr>
        <w:t xml:space="preserve"> (risk difference 60.3% [95%CI: 11%, 85%]).</w:t>
      </w:r>
      <w:r w:rsidR="00A16591" w:rsidRPr="000768BA">
        <w:rPr>
          <w:rFonts w:asciiTheme="minorHAnsi" w:hAnsiTheme="minorHAnsi"/>
        </w:rPr>
        <w:t xml:space="preserve"> There were</w:t>
      </w:r>
      <w:r w:rsidR="00A16591" w:rsidRPr="00F471D7">
        <w:rPr>
          <w:rFonts w:asciiTheme="minorHAnsi" w:hAnsiTheme="minorHAnsi"/>
        </w:rPr>
        <w:t xml:space="preserve"> no statistically significant differences observed between the treatment groups for any other reported adverse events.</w:t>
      </w:r>
      <w:r w:rsidR="00EE2CE4">
        <w:rPr>
          <w:rFonts w:asciiTheme="minorHAnsi" w:hAnsiTheme="minorHAnsi"/>
        </w:rPr>
        <w:t xml:space="preserve"> </w:t>
      </w:r>
    </w:p>
    <w:p w:rsidR="00B10DD6" w:rsidRPr="00A83916" w:rsidRDefault="00B10DD6" w:rsidP="005123EA">
      <w:pPr>
        <w:pStyle w:val="Heading2"/>
        <w:widowControl/>
      </w:pPr>
      <w:bookmarkStart w:id="36" w:name="_Toc476306890"/>
      <w:bookmarkStart w:id="37" w:name="_Toc481339866"/>
      <w:bookmarkStart w:id="38" w:name="_Toc481410711"/>
      <w:bookmarkStart w:id="39" w:name="_Toc413139281"/>
      <w:r w:rsidRPr="00A83916">
        <w:t>Benefits and harms</w:t>
      </w:r>
      <w:bookmarkEnd w:id="36"/>
      <w:bookmarkEnd w:id="37"/>
      <w:bookmarkEnd w:id="38"/>
    </w:p>
    <w:p w:rsidR="00B10DD6" w:rsidRPr="00DD48DB" w:rsidRDefault="00B10DD6" w:rsidP="005123EA">
      <w:pPr>
        <w:pStyle w:val="ListParagraph"/>
        <w:widowControl/>
        <w:numPr>
          <w:ilvl w:val="1"/>
          <w:numId w:val="2"/>
        </w:numPr>
        <w:contextualSpacing w:val="0"/>
        <w:rPr>
          <w:rFonts w:asciiTheme="minorHAnsi" w:hAnsiTheme="minorHAnsi"/>
        </w:rPr>
      </w:pPr>
      <w:r w:rsidRPr="00DD48DB">
        <w:rPr>
          <w:rFonts w:asciiTheme="minorHAnsi" w:hAnsiTheme="minorHAnsi"/>
        </w:rPr>
        <w:t xml:space="preserve">A summary of the comparative benefits and harms for </w:t>
      </w:r>
      <w:proofErr w:type="spellStart"/>
      <w:r>
        <w:rPr>
          <w:rFonts w:asciiTheme="minorHAnsi" w:hAnsiTheme="minorHAnsi"/>
        </w:rPr>
        <w:t>asfotase</w:t>
      </w:r>
      <w:proofErr w:type="spellEnd"/>
      <w:r>
        <w:rPr>
          <w:rFonts w:asciiTheme="minorHAnsi" w:hAnsiTheme="minorHAnsi"/>
        </w:rPr>
        <w:t xml:space="preserve"> alfa </w:t>
      </w:r>
      <w:proofErr w:type="spellStart"/>
      <w:r w:rsidR="00465F17" w:rsidRPr="00465F17">
        <w:rPr>
          <w:rFonts w:asciiTheme="minorHAnsi" w:hAnsiTheme="minorHAnsi"/>
          <w:i/>
        </w:rPr>
        <w:t>rch</w:t>
      </w:r>
      <w:proofErr w:type="spellEnd"/>
      <w:r w:rsidRPr="00DD48DB">
        <w:rPr>
          <w:rFonts w:asciiTheme="minorHAnsi" w:hAnsiTheme="minorHAnsi"/>
        </w:rPr>
        <w:t xml:space="preserve"> versus </w:t>
      </w:r>
      <w:r>
        <w:rPr>
          <w:rFonts w:asciiTheme="minorHAnsi" w:hAnsiTheme="minorHAnsi"/>
        </w:rPr>
        <w:t>BSC</w:t>
      </w:r>
      <w:r w:rsidRPr="00DD48DB">
        <w:rPr>
          <w:rFonts w:asciiTheme="minorHAnsi" w:hAnsiTheme="minorHAnsi"/>
        </w:rPr>
        <w:t xml:space="preserve"> </w:t>
      </w:r>
      <w:r w:rsidR="00A50F5A">
        <w:rPr>
          <w:rFonts w:asciiTheme="minorHAnsi" w:hAnsiTheme="minorHAnsi"/>
        </w:rPr>
        <w:t xml:space="preserve">from Trial ENB-009-10 </w:t>
      </w:r>
      <w:r w:rsidRPr="00DD48DB">
        <w:rPr>
          <w:rFonts w:asciiTheme="minorHAnsi" w:hAnsiTheme="minorHAnsi"/>
        </w:rPr>
        <w:t xml:space="preserve">is presented in </w:t>
      </w:r>
      <w:r>
        <w:rPr>
          <w:rFonts w:asciiTheme="minorHAnsi" w:hAnsiTheme="minorHAnsi"/>
        </w:rPr>
        <w:t xml:space="preserve">Table </w:t>
      </w:r>
      <w:r w:rsidR="00A50F5A">
        <w:rPr>
          <w:rFonts w:asciiTheme="minorHAnsi" w:hAnsiTheme="minorHAnsi"/>
        </w:rPr>
        <w:t>7</w:t>
      </w:r>
      <w:r>
        <w:rPr>
          <w:rFonts w:asciiTheme="minorHAnsi" w:hAnsiTheme="minorHAnsi"/>
        </w:rPr>
        <w:t>.</w:t>
      </w:r>
      <w:r w:rsidRPr="00DD48DB">
        <w:rPr>
          <w:rFonts w:asciiTheme="minorHAnsi" w:hAnsiTheme="minorHAnsi"/>
        </w:rPr>
        <w:t xml:space="preserve"> </w:t>
      </w:r>
    </w:p>
    <w:p w:rsidR="002757CE" w:rsidRDefault="002757CE" w:rsidP="002757CE">
      <w:pPr>
        <w:pStyle w:val="Caption"/>
      </w:pPr>
      <w:r>
        <w:t xml:space="preserve">Table </w:t>
      </w:r>
      <w:r>
        <w:rPr>
          <w:noProof/>
        </w:rPr>
        <w:t>7</w:t>
      </w:r>
      <w:r w:rsidRPr="00E75D73">
        <w:t xml:space="preserve">: Summary of comparative benefits and harms for </w:t>
      </w:r>
      <w:proofErr w:type="spellStart"/>
      <w:r w:rsidRPr="00E75D73">
        <w:t>asfotase</w:t>
      </w:r>
      <w:proofErr w:type="spellEnd"/>
      <w:r w:rsidRPr="00E75D73">
        <w:t xml:space="preserve"> alfa </w:t>
      </w:r>
      <w:proofErr w:type="spellStart"/>
      <w:r w:rsidRPr="00E75D73">
        <w:t>rch</w:t>
      </w:r>
      <w:proofErr w:type="spellEnd"/>
      <w:r w:rsidRPr="00E75D73">
        <w:t xml:space="preserve"> and best supportive care</w:t>
      </w:r>
    </w:p>
    <w:tbl>
      <w:tblPr>
        <w:tblStyle w:val="TableGrid"/>
        <w:tblW w:w="4995" w:type="pct"/>
        <w:tblInd w:w="28" w:type="dxa"/>
        <w:tblLayout w:type="fixed"/>
        <w:tblCellMar>
          <w:left w:w="28" w:type="dxa"/>
          <w:right w:w="28" w:type="dxa"/>
        </w:tblCellMar>
        <w:tblLook w:val="04A0" w:firstRow="1" w:lastRow="0" w:firstColumn="1" w:lastColumn="0" w:noHBand="0" w:noVBand="1"/>
        <w:tblCaption w:val="Summary of comparative benefits and harms for asfotase alfa rch and best supportive care"/>
      </w:tblPr>
      <w:tblGrid>
        <w:gridCol w:w="1110"/>
        <w:gridCol w:w="855"/>
        <w:gridCol w:w="289"/>
        <w:gridCol w:w="1428"/>
        <w:gridCol w:w="426"/>
        <w:gridCol w:w="430"/>
        <w:gridCol w:w="1428"/>
        <w:gridCol w:w="858"/>
        <w:gridCol w:w="436"/>
        <w:gridCol w:w="421"/>
        <w:gridCol w:w="1392"/>
      </w:tblGrid>
      <w:tr w:rsidR="00B10DD6" w:rsidRPr="00A83916" w:rsidTr="00FE3BBF">
        <w:trPr>
          <w:trHeight w:val="150"/>
          <w:tblHeader/>
        </w:trPr>
        <w:tc>
          <w:tcPr>
            <w:tcW w:w="5000" w:type="pct"/>
            <w:gridSpan w:val="11"/>
            <w:shd w:val="clear" w:color="auto" w:fill="auto"/>
            <w:vAlign w:val="center"/>
          </w:tcPr>
          <w:p w:rsidR="00B10DD6" w:rsidRPr="00A50F5A" w:rsidRDefault="00B10DD6" w:rsidP="005123EA">
            <w:pPr>
              <w:pStyle w:val="TableText1"/>
              <w:rPr>
                <w:b/>
                <w:u w:val="single"/>
              </w:rPr>
            </w:pPr>
            <w:r w:rsidRPr="00A50F5A">
              <w:rPr>
                <w:b/>
                <w:u w:val="single"/>
              </w:rPr>
              <w:t>Benefits</w:t>
            </w:r>
          </w:p>
        </w:tc>
      </w:tr>
      <w:tr w:rsidR="00B10DD6" w:rsidRPr="00A83916" w:rsidTr="003B76C9">
        <w:tc>
          <w:tcPr>
            <w:tcW w:w="5000" w:type="pct"/>
            <w:gridSpan w:val="11"/>
            <w:shd w:val="clear" w:color="auto" w:fill="auto"/>
            <w:vAlign w:val="center"/>
          </w:tcPr>
          <w:p w:rsidR="00B10DD6" w:rsidRPr="00A83916" w:rsidRDefault="00B10DD6" w:rsidP="005123EA">
            <w:pPr>
              <w:pStyle w:val="TableText1"/>
              <w:rPr>
                <w:b/>
              </w:rPr>
            </w:pPr>
            <w:r>
              <w:rPr>
                <w:b/>
              </w:rPr>
              <w:t>C</w:t>
            </w:r>
            <w:r w:rsidRPr="00A83916">
              <w:rPr>
                <w:b/>
              </w:rPr>
              <w:t xml:space="preserve">hange from baseline </w:t>
            </w:r>
            <w:r>
              <w:rPr>
                <w:b/>
              </w:rPr>
              <w:t xml:space="preserve">in </w:t>
            </w:r>
            <w:proofErr w:type="spellStart"/>
            <w:r>
              <w:rPr>
                <w:b/>
              </w:rPr>
              <w:t>PPi</w:t>
            </w:r>
            <w:proofErr w:type="spellEnd"/>
          </w:p>
        </w:tc>
      </w:tr>
      <w:tr w:rsidR="00B10DD6" w:rsidRPr="00A83916" w:rsidTr="002757CE">
        <w:trPr>
          <w:trHeight w:val="225"/>
        </w:trPr>
        <w:tc>
          <w:tcPr>
            <w:tcW w:w="612" w:type="pct"/>
            <w:vMerge w:val="restart"/>
            <w:shd w:val="clear" w:color="auto" w:fill="auto"/>
            <w:vAlign w:val="center"/>
          </w:tcPr>
          <w:p w:rsidR="00B10DD6" w:rsidRPr="00A83916" w:rsidRDefault="00B10DD6" w:rsidP="005123EA">
            <w:pPr>
              <w:pStyle w:val="TableText1"/>
              <w:rPr>
                <w:b/>
              </w:rPr>
            </w:pPr>
            <w:r w:rsidRPr="00A83916">
              <w:rPr>
                <w:b/>
              </w:rPr>
              <w:t>Trial</w:t>
            </w:r>
          </w:p>
        </w:tc>
        <w:tc>
          <w:tcPr>
            <w:tcW w:w="1652" w:type="pct"/>
            <w:gridSpan w:val="4"/>
            <w:shd w:val="clear" w:color="auto" w:fill="auto"/>
          </w:tcPr>
          <w:p w:rsidR="00B10DD6" w:rsidRPr="005D6E95" w:rsidRDefault="00B10DD6" w:rsidP="005123EA">
            <w:pPr>
              <w:pStyle w:val="TableText1"/>
              <w:jc w:val="center"/>
              <w:rPr>
                <w:b/>
              </w:rPr>
            </w:pPr>
            <w:proofErr w:type="spellStart"/>
            <w:r w:rsidRPr="005D6E95">
              <w:rPr>
                <w:b/>
              </w:rPr>
              <w:t>Asfotase</w:t>
            </w:r>
            <w:proofErr w:type="spellEnd"/>
            <w:r w:rsidRPr="005D6E95">
              <w:rPr>
                <w:b/>
              </w:rPr>
              <w:t xml:space="preserve"> alfa </w:t>
            </w:r>
            <w:proofErr w:type="spellStart"/>
            <w:r w:rsidR="00465F17" w:rsidRPr="00465F17">
              <w:rPr>
                <w:b/>
                <w:i/>
              </w:rPr>
              <w:t>rch</w:t>
            </w:r>
            <w:proofErr w:type="spellEnd"/>
          </w:p>
        </w:tc>
        <w:tc>
          <w:tcPr>
            <w:tcW w:w="1737" w:type="pct"/>
            <w:gridSpan w:val="4"/>
            <w:shd w:val="clear" w:color="auto" w:fill="auto"/>
          </w:tcPr>
          <w:p w:rsidR="00B10DD6" w:rsidRPr="005D6E95" w:rsidRDefault="00B10DD6" w:rsidP="005123EA">
            <w:pPr>
              <w:pStyle w:val="TableText1"/>
              <w:jc w:val="center"/>
              <w:rPr>
                <w:b/>
              </w:rPr>
            </w:pPr>
            <w:r w:rsidRPr="005D6E95">
              <w:rPr>
                <w:b/>
              </w:rPr>
              <w:t>Best supportive care</w:t>
            </w:r>
          </w:p>
        </w:tc>
        <w:tc>
          <w:tcPr>
            <w:tcW w:w="999" w:type="pct"/>
            <w:gridSpan w:val="2"/>
            <w:vMerge w:val="restart"/>
            <w:shd w:val="clear" w:color="auto" w:fill="auto"/>
            <w:vAlign w:val="center"/>
          </w:tcPr>
          <w:p w:rsidR="00B10DD6" w:rsidRPr="00A83916" w:rsidRDefault="00B10DD6" w:rsidP="005123EA">
            <w:pPr>
              <w:pStyle w:val="TableText1"/>
              <w:jc w:val="center"/>
              <w:rPr>
                <w:b/>
              </w:rPr>
            </w:pPr>
            <w:r w:rsidRPr="00A83916">
              <w:rPr>
                <w:b/>
              </w:rPr>
              <w:t>Mean difference:</w:t>
            </w:r>
          </w:p>
          <w:p w:rsidR="00B10DD6" w:rsidRPr="00A83916" w:rsidRDefault="00B10DD6" w:rsidP="005123EA">
            <w:pPr>
              <w:pStyle w:val="TableText1"/>
              <w:jc w:val="center"/>
            </w:pPr>
            <w:proofErr w:type="spellStart"/>
            <w:r>
              <w:rPr>
                <w:b/>
              </w:rPr>
              <w:t>Asfotase</w:t>
            </w:r>
            <w:proofErr w:type="spellEnd"/>
            <w:r>
              <w:rPr>
                <w:b/>
              </w:rPr>
              <w:t xml:space="preserve"> alfa </w:t>
            </w:r>
            <w:proofErr w:type="spellStart"/>
            <w:r w:rsidR="00465F17" w:rsidRPr="00465F17">
              <w:rPr>
                <w:b/>
                <w:i/>
              </w:rPr>
              <w:t>rch</w:t>
            </w:r>
            <w:proofErr w:type="spellEnd"/>
            <w:r w:rsidRPr="00A83916">
              <w:rPr>
                <w:b/>
              </w:rPr>
              <w:t xml:space="preserve"> vs. </w:t>
            </w:r>
            <w:r>
              <w:rPr>
                <w:b/>
              </w:rPr>
              <w:t>best supportive care</w:t>
            </w:r>
          </w:p>
        </w:tc>
      </w:tr>
      <w:tr w:rsidR="00B10DD6" w:rsidRPr="00A83916" w:rsidTr="003B76C9">
        <w:trPr>
          <w:trHeight w:val="225"/>
        </w:trPr>
        <w:tc>
          <w:tcPr>
            <w:tcW w:w="612" w:type="pct"/>
            <w:vMerge/>
            <w:shd w:val="clear" w:color="auto" w:fill="auto"/>
            <w:vAlign w:val="center"/>
          </w:tcPr>
          <w:p w:rsidR="00B10DD6" w:rsidRPr="00A83916" w:rsidRDefault="00B10DD6" w:rsidP="005123EA">
            <w:pPr>
              <w:pStyle w:val="TableText1"/>
            </w:pPr>
          </w:p>
        </w:tc>
        <w:tc>
          <w:tcPr>
            <w:tcW w:w="471" w:type="pct"/>
            <w:shd w:val="clear" w:color="auto" w:fill="auto"/>
            <w:vAlign w:val="center"/>
          </w:tcPr>
          <w:p w:rsidR="00B10DD6" w:rsidRPr="00A83916" w:rsidRDefault="002258C5" w:rsidP="005123EA">
            <w:pPr>
              <w:pStyle w:val="TableText1"/>
              <w:jc w:val="center"/>
              <w:rPr>
                <w:b/>
              </w:rPr>
            </w:pPr>
            <w:r w:rsidRPr="00A83916">
              <w:rPr>
                <w:b/>
              </w:rPr>
              <w:t>N</w:t>
            </w:r>
          </w:p>
        </w:tc>
        <w:tc>
          <w:tcPr>
            <w:tcW w:w="946" w:type="pct"/>
            <w:gridSpan w:val="2"/>
            <w:shd w:val="clear" w:color="auto" w:fill="auto"/>
            <w:vAlign w:val="center"/>
          </w:tcPr>
          <w:p w:rsidR="00B10DD6" w:rsidRPr="00A83916" w:rsidRDefault="00B10DD6" w:rsidP="005123EA">
            <w:pPr>
              <w:pStyle w:val="TableText1"/>
              <w:jc w:val="center"/>
              <w:rPr>
                <w:b/>
              </w:rPr>
            </w:pPr>
            <w:r>
              <w:rPr>
                <w:b/>
              </w:rPr>
              <w:t xml:space="preserve">Mean ∆ baseline </w:t>
            </w:r>
            <w:proofErr w:type="spellStart"/>
            <w:r>
              <w:rPr>
                <w:b/>
              </w:rPr>
              <w:t>PPi</w:t>
            </w:r>
            <w:proofErr w:type="spellEnd"/>
            <w:r>
              <w:rPr>
                <w:b/>
              </w:rPr>
              <w:t xml:space="preserve"> at Week 24 (µM)</w:t>
            </w:r>
          </w:p>
        </w:tc>
        <w:tc>
          <w:tcPr>
            <w:tcW w:w="235" w:type="pct"/>
            <w:shd w:val="clear" w:color="auto" w:fill="auto"/>
            <w:vAlign w:val="center"/>
          </w:tcPr>
          <w:p w:rsidR="00B10DD6" w:rsidRPr="00A83916" w:rsidRDefault="00B10DD6" w:rsidP="005123EA">
            <w:pPr>
              <w:pStyle w:val="TableText1"/>
              <w:jc w:val="center"/>
              <w:rPr>
                <w:b/>
              </w:rPr>
            </w:pPr>
            <w:r w:rsidRPr="00A83916">
              <w:rPr>
                <w:b/>
              </w:rPr>
              <w:t>SD</w:t>
            </w:r>
          </w:p>
        </w:tc>
        <w:tc>
          <w:tcPr>
            <w:tcW w:w="237" w:type="pct"/>
            <w:shd w:val="clear" w:color="auto" w:fill="auto"/>
            <w:vAlign w:val="center"/>
          </w:tcPr>
          <w:p w:rsidR="00B10DD6" w:rsidRPr="00A83916" w:rsidRDefault="00B10DD6" w:rsidP="005123EA">
            <w:pPr>
              <w:pStyle w:val="TableText1"/>
              <w:jc w:val="center"/>
              <w:rPr>
                <w:b/>
              </w:rPr>
            </w:pPr>
            <w:r w:rsidRPr="00A83916">
              <w:rPr>
                <w:b/>
              </w:rPr>
              <w:t>n</w:t>
            </w:r>
          </w:p>
        </w:tc>
        <w:tc>
          <w:tcPr>
            <w:tcW w:w="1260" w:type="pct"/>
            <w:gridSpan w:val="2"/>
            <w:shd w:val="clear" w:color="auto" w:fill="auto"/>
            <w:vAlign w:val="center"/>
          </w:tcPr>
          <w:p w:rsidR="00B10DD6" w:rsidRPr="00A83916" w:rsidRDefault="00B10DD6" w:rsidP="005123EA">
            <w:pPr>
              <w:pStyle w:val="TableText1"/>
              <w:jc w:val="center"/>
              <w:rPr>
                <w:b/>
              </w:rPr>
            </w:pPr>
            <w:r w:rsidRPr="00A83916">
              <w:rPr>
                <w:b/>
              </w:rPr>
              <w:t xml:space="preserve">Mean ∆ baseline </w:t>
            </w:r>
            <w:proofErr w:type="spellStart"/>
            <w:r>
              <w:rPr>
                <w:b/>
              </w:rPr>
              <w:t>PPi</w:t>
            </w:r>
            <w:proofErr w:type="spellEnd"/>
            <w:r>
              <w:rPr>
                <w:b/>
              </w:rPr>
              <w:t xml:space="preserve"> at Week 24 </w:t>
            </w:r>
            <w:r w:rsidRPr="005D6E95">
              <w:rPr>
                <w:b/>
              </w:rPr>
              <w:t>(µM)</w:t>
            </w:r>
          </w:p>
        </w:tc>
        <w:tc>
          <w:tcPr>
            <w:tcW w:w="240" w:type="pct"/>
            <w:shd w:val="clear" w:color="auto" w:fill="auto"/>
            <w:vAlign w:val="center"/>
          </w:tcPr>
          <w:p w:rsidR="00B10DD6" w:rsidRPr="00A83916" w:rsidRDefault="00B10DD6" w:rsidP="005123EA">
            <w:pPr>
              <w:pStyle w:val="TableText1"/>
              <w:jc w:val="center"/>
              <w:rPr>
                <w:b/>
              </w:rPr>
            </w:pPr>
            <w:r w:rsidRPr="00A83916">
              <w:rPr>
                <w:b/>
              </w:rPr>
              <w:t>SD</w:t>
            </w:r>
          </w:p>
        </w:tc>
        <w:tc>
          <w:tcPr>
            <w:tcW w:w="999" w:type="pct"/>
            <w:gridSpan w:val="2"/>
            <w:vMerge/>
            <w:shd w:val="clear" w:color="auto" w:fill="auto"/>
            <w:vAlign w:val="center"/>
          </w:tcPr>
          <w:p w:rsidR="00B10DD6" w:rsidRPr="00A83916" w:rsidRDefault="00B10DD6" w:rsidP="005123EA">
            <w:pPr>
              <w:pStyle w:val="TableText1"/>
              <w:jc w:val="center"/>
            </w:pPr>
          </w:p>
        </w:tc>
      </w:tr>
      <w:tr w:rsidR="00B10DD6" w:rsidRPr="00A83916" w:rsidTr="003B76C9">
        <w:tc>
          <w:tcPr>
            <w:tcW w:w="612" w:type="pct"/>
            <w:shd w:val="clear" w:color="auto" w:fill="auto"/>
            <w:vAlign w:val="center"/>
          </w:tcPr>
          <w:p w:rsidR="00B10DD6" w:rsidRPr="00A83916" w:rsidRDefault="00B10DD6" w:rsidP="005123EA">
            <w:pPr>
              <w:pStyle w:val="TableText1"/>
            </w:pPr>
            <w:r>
              <w:t>ENB-009-10</w:t>
            </w:r>
          </w:p>
        </w:tc>
        <w:tc>
          <w:tcPr>
            <w:tcW w:w="471" w:type="pct"/>
            <w:shd w:val="clear" w:color="auto" w:fill="auto"/>
            <w:vAlign w:val="center"/>
          </w:tcPr>
          <w:p w:rsidR="00B10DD6" w:rsidRPr="00A83916" w:rsidRDefault="00B10DD6" w:rsidP="005123EA">
            <w:pPr>
              <w:pStyle w:val="TableText1"/>
              <w:jc w:val="center"/>
            </w:pPr>
            <w:r>
              <w:t>13</w:t>
            </w:r>
          </w:p>
        </w:tc>
        <w:tc>
          <w:tcPr>
            <w:tcW w:w="946" w:type="pct"/>
            <w:gridSpan w:val="2"/>
            <w:shd w:val="clear" w:color="auto" w:fill="auto"/>
            <w:vAlign w:val="center"/>
          </w:tcPr>
          <w:p w:rsidR="00B10DD6" w:rsidRPr="00A83916" w:rsidRDefault="00B10DD6" w:rsidP="005123EA">
            <w:pPr>
              <w:pStyle w:val="TableText1"/>
              <w:jc w:val="center"/>
            </w:pPr>
            <w:r w:rsidRPr="00A83916">
              <w:t>-</w:t>
            </w:r>
            <w:r>
              <w:t>2.10</w:t>
            </w:r>
          </w:p>
        </w:tc>
        <w:tc>
          <w:tcPr>
            <w:tcW w:w="235" w:type="pct"/>
            <w:shd w:val="clear" w:color="auto" w:fill="auto"/>
            <w:vAlign w:val="center"/>
          </w:tcPr>
          <w:p w:rsidR="00B10DD6" w:rsidRPr="00A83916" w:rsidRDefault="00B10DD6" w:rsidP="005123EA">
            <w:pPr>
              <w:pStyle w:val="TableText1"/>
              <w:jc w:val="center"/>
            </w:pPr>
            <w:r>
              <w:t>1.33</w:t>
            </w:r>
          </w:p>
        </w:tc>
        <w:tc>
          <w:tcPr>
            <w:tcW w:w="237" w:type="pct"/>
            <w:shd w:val="clear" w:color="auto" w:fill="auto"/>
            <w:vAlign w:val="center"/>
          </w:tcPr>
          <w:p w:rsidR="00B10DD6" w:rsidRPr="00A83916" w:rsidRDefault="00B10DD6" w:rsidP="005123EA">
            <w:pPr>
              <w:pStyle w:val="TableText1"/>
              <w:jc w:val="center"/>
            </w:pPr>
            <w:r>
              <w:t>6</w:t>
            </w:r>
          </w:p>
        </w:tc>
        <w:tc>
          <w:tcPr>
            <w:tcW w:w="1260" w:type="pct"/>
            <w:gridSpan w:val="2"/>
            <w:shd w:val="clear" w:color="auto" w:fill="auto"/>
            <w:vAlign w:val="center"/>
          </w:tcPr>
          <w:p w:rsidR="00B10DD6" w:rsidRPr="00A83916" w:rsidRDefault="00B10DD6" w:rsidP="005123EA">
            <w:pPr>
              <w:pStyle w:val="TableText1"/>
              <w:jc w:val="center"/>
            </w:pPr>
            <w:r>
              <w:t>-1.05</w:t>
            </w:r>
          </w:p>
        </w:tc>
        <w:tc>
          <w:tcPr>
            <w:tcW w:w="240" w:type="pct"/>
            <w:shd w:val="clear" w:color="auto" w:fill="auto"/>
            <w:vAlign w:val="center"/>
          </w:tcPr>
          <w:p w:rsidR="00B10DD6" w:rsidRPr="00A83916" w:rsidRDefault="00B10DD6" w:rsidP="005123EA">
            <w:pPr>
              <w:pStyle w:val="TableText1"/>
              <w:jc w:val="center"/>
            </w:pPr>
            <w:r>
              <w:t>2.92</w:t>
            </w:r>
          </w:p>
        </w:tc>
        <w:tc>
          <w:tcPr>
            <w:tcW w:w="999" w:type="pct"/>
            <w:gridSpan w:val="2"/>
            <w:shd w:val="clear" w:color="auto" w:fill="auto"/>
            <w:vAlign w:val="center"/>
          </w:tcPr>
          <w:p w:rsidR="00B10DD6" w:rsidRPr="00A83916" w:rsidRDefault="00B10DD6" w:rsidP="005123EA">
            <w:pPr>
              <w:pStyle w:val="TableText1"/>
              <w:jc w:val="center"/>
            </w:pPr>
            <w:r w:rsidRPr="00A83916">
              <w:t>-</w:t>
            </w:r>
            <w:r>
              <w:t>1.05</w:t>
            </w:r>
            <w:r w:rsidRPr="00A83916">
              <w:t xml:space="preserve"> </w:t>
            </w:r>
            <w:r>
              <w:t>(p=0.0715</w:t>
            </w:r>
            <w:r w:rsidRPr="005D6E95">
              <w:rPr>
                <w:vertAlign w:val="superscript"/>
              </w:rPr>
              <w:t>a</w:t>
            </w:r>
            <w:r>
              <w:t>)</w:t>
            </w:r>
          </w:p>
        </w:tc>
      </w:tr>
      <w:tr w:rsidR="00B10DD6" w:rsidRPr="00A83916" w:rsidTr="003B76C9">
        <w:tc>
          <w:tcPr>
            <w:tcW w:w="5000" w:type="pct"/>
            <w:gridSpan w:val="11"/>
            <w:shd w:val="clear" w:color="auto" w:fill="auto"/>
            <w:vAlign w:val="center"/>
          </w:tcPr>
          <w:p w:rsidR="00B10DD6" w:rsidRPr="00A83916" w:rsidRDefault="00B10DD6" w:rsidP="005123EA">
            <w:pPr>
              <w:pStyle w:val="TableText1"/>
              <w:rPr>
                <w:b/>
              </w:rPr>
            </w:pPr>
            <w:r>
              <w:rPr>
                <w:b/>
              </w:rPr>
              <w:t>C</w:t>
            </w:r>
            <w:r w:rsidRPr="00A83916">
              <w:rPr>
                <w:b/>
              </w:rPr>
              <w:t xml:space="preserve">hange from baseline </w:t>
            </w:r>
            <w:r>
              <w:rPr>
                <w:b/>
              </w:rPr>
              <w:t>in PLP</w:t>
            </w:r>
          </w:p>
        </w:tc>
      </w:tr>
      <w:tr w:rsidR="00B10DD6" w:rsidRPr="00A83916" w:rsidTr="002757CE">
        <w:trPr>
          <w:trHeight w:val="225"/>
        </w:trPr>
        <w:tc>
          <w:tcPr>
            <w:tcW w:w="612" w:type="pct"/>
            <w:vMerge w:val="restart"/>
            <w:shd w:val="clear" w:color="auto" w:fill="auto"/>
            <w:vAlign w:val="center"/>
          </w:tcPr>
          <w:p w:rsidR="00B10DD6" w:rsidRPr="00A83916" w:rsidRDefault="00B10DD6" w:rsidP="005123EA">
            <w:pPr>
              <w:pStyle w:val="TableText1"/>
              <w:rPr>
                <w:b/>
              </w:rPr>
            </w:pPr>
            <w:r w:rsidRPr="00A83916">
              <w:rPr>
                <w:b/>
              </w:rPr>
              <w:t>Trial</w:t>
            </w:r>
          </w:p>
        </w:tc>
        <w:tc>
          <w:tcPr>
            <w:tcW w:w="1652" w:type="pct"/>
            <w:gridSpan w:val="4"/>
            <w:shd w:val="clear" w:color="auto" w:fill="auto"/>
          </w:tcPr>
          <w:p w:rsidR="00B10DD6" w:rsidRPr="005D6E95" w:rsidRDefault="00B10DD6" w:rsidP="005123EA">
            <w:pPr>
              <w:pStyle w:val="TableText1"/>
              <w:jc w:val="center"/>
              <w:rPr>
                <w:b/>
              </w:rPr>
            </w:pPr>
            <w:proofErr w:type="spellStart"/>
            <w:r w:rsidRPr="005D6E95">
              <w:rPr>
                <w:b/>
              </w:rPr>
              <w:t>Asfotase</w:t>
            </w:r>
            <w:proofErr w:type="spellEnd"/>
            <w:r w:rsidRPr="005D6E95">
              <w:rPr>
                <w:b/>
              </w:rPr>
              <w:t xml:space="preserve"> alfa </w:t>
            </w:r>
            <w:proofErr w:type="spellStart"/>
            <w:r w:rsidR="00465F17" w:rsidRPr="00465F17">
              <w:rPr>
                <w:b/>
                <w:i/>
              </w:rPr>
              <w:t>rch</w:t>
            </w:r>
            <w:proofErr w:type="spellEnd"/>
          </w:p>
        </w:tc>
        <w:tc>
          <w:tcPr>
            <w:tcW w:w="1737" w:type="pct"/>
            <w:gridSpan w:val="4"/>
            <w:shd w:val="clear" w:color="auto" w:fill="auto"/>
          </w:tcPr>
          <w:p w:rsidR="00B10DD6" w:rsidRPr="005D6E95" w:rsidRDefault="00B10DD6" w:rsidP="005123EA">
            <w:pPr>
              <w:pStyle w:val="TableText1"/>
              <w:jc w:val="center"/>
              <w:rPr>
                <w:b/>
              </w:rPr>
            </w:pPr>
            <w:r w:rsidRPr="005D6E95">
              <w:rPr>
                <w:b/>
              </w:rPr>
              <w:t>Best supportive care</w:t>
            </w:r>
          </w:p>
        </w:tc>
        <w:tc>
          <w:tcPr>
            <w:tcW w:w="999" w:type="pct"/>
            <w:gridSpan w:val="2"/>
            <w:vMerge w:val="restart"/>
            <w:shd w:val="clear" w:color="auto" w:fill="auto"/>
            <w:vAlign w:val="center"/>
          </w:tcPr>
          <w:p w:rsidR="00B10DD6" w:rsidRPr="00A83916" w:rsidRDefault="00B10DD6" w:rsidP="005123EA">
            <w:pPr>
              <w:pStyle w:val="TableText1"/>
              <w:jc w:val="center"/>
              <w:rPr>
                <w:b/>
              </w:rPr>
            </w:pPr>
            <w:r w:rsidRPr="00A83916">
              <w:rPr>
                <w:b/>
              </w:rPr>
              <w:t>Mean difference:</w:t>
            </w:r>
          </w:p>
          <w:p w:rsidR="00B10DD6" w:rsidRPr="00A83916" w:rsidRDefault="00B10DD6" w:rsidP="005123EA">
            <w:pPr>
              <w:pStyle w:val="TableText1"/>
              <w:jc w:val="center"/>
            </w:pPr>
            <w:proofErr w:type="spellStart"/>
            <w:r>
              <w:rPr>
                <w:b/>
              </w:rPr>
              <w:t>Asfotase</w:t>
            </w:r>
            <w:proofErr w:type="spellEnd"/>
            <w:r>
              <w:rPr>
                <w:b/>
              </w:rPr>
              <w:t xml:space="preserve"> alfa </w:t>
            </w:r>
            <w:proofErr w:type="spellStart"/>
            <w:r w:rsidR="00465F17" w:rsidRPr="00465F17">
              <w:rPr>
                <w:b/>
                <w:i/>
              </w:rPr>
              <w:t>rch</w:t>
            </w:r>
            <w:proofErr w:type="spellEnd"/>
            <w:r w:rsidRPr="00A83916">
              <w:rPr>
                <w:b/>
              </w:rPr>
              <w:t xml:space="preserve"> vs. </w:t>
            </w:r>
            <w:r>
              <w:rPr>
                <w:b/>
              </w:rPr>
              <w:t>best supportive care (ng/mL)</w:t>
            </w:r>
          </w:p>
        </w:tc>
      </w:tr>
      <w:tr w:rsidR="00B10DD6" w:rsidRPr="00A83916" w:rsidTr="003B76C9">
        <w:trPr>
          <w:trHeight w:val="225"/>
        </w:trPr>
        <w:tc>
          <w:tcPr>
            <w:tcW w:w="612" w:type="pct"/>
            <w:vMerge/>
            <w:shd w:val="clear" w:color="auto" w:fill="auto"/>
            <w:vAlign w:val="center"/>
          </w:tcPr>
          <w:p w:rsidR="00B10DD6" w:rsidRPr="00A83916" w:rsidRDefault="00B10DD6" w:rsidP="005123EA">
            <w:pPr>
              <w:pStyle w:val="TableText1"/>
            </w:pPr>
          </w:p>
        </w:tc>
        <w:tc>
          <w:tcPr>
            <w:tcW w:w="471" w:type="pct"/>
            <w:shd w:val="clear" w:color="auto" w:fill="auto"/>
            <w:vAlign w:val="center"/>
          </w:tcPr>
          <w:p w:rsidR="00B10DD6" w:rsidRPr="00A83916" w:rsidRDefault="002258C5" w:rsidP="005123EA">
            <w:pPr>
              <w:pStyle w:val="TableText1"/>
              <w:jc w:val="center"/>
              <w:rPr>
                <w:b/>
              </w:rPr>
            </w:pPr>
            <w:r w:rsidRPr="00A83916">
              <w:rPr>
                <w:b/>
              </w:rPr>
              <w:t>N</w:t>
            </w:r>
          </w:p>
        </w:tc>
        <w:tc>
          <w:tcPr>
            <w:tcW w:w="946" w:type="pct"/>
            <w:gridSpan w:val="2"/>
            <w:shd w:val="clear" w:color="auto" w:fill="auto"/>
            <w:vAlign w:val="center"/>
          </w:tcPr>
          <w:p w:rsidR="00B10DD6" w:rsidRPr="00A83916" w:rsidRDefault="00B10DD6" w:rsidP="005123EA">
            <w:pPr>
              <w:pStyle w:val="TableText1"/>
              <w:jc w:val="center"/>
              <w:rPr>
                <w:b/>
              </w:rPr>
            </w:pPr>
            <w:r>
              <w:rPr>
                <w:b/>
              </w:rPr>
              <w:t>Mean ∆ baseline PLP at Week 24 (ng/mL)</w:t>
            </w:r>
          </w:p>
        </w:tc>
        <w:tc>
          <w:tcPr>
            <w:tcW w:w="235" w:type="pct"/>
            <w:shd w:val="clear" w:color="auto" w:fill="auto"/>
            <w:vAlign w:val="center"/>
          </w:tcPr>
          <w:p w:rsidR="00B10DD6" w:rsidRPr="00A83916" w:rsidRDefault="00B10DD6" w:rsidP="005123EA">
            <w:pPr>
              <w:pStyle w:val="TableText1"/>
              <w:jc w:val="center"/>
              <w:rPr>
                <w:b/>
              </w:rPr>
            </w:pPr>
            <w:r w:rsidRPr="00A83916">
              <w:rPr>
                <w:b/>
              </w:rPr>
              <w:t>SD</w:t>
            </w:r>
          </w:p>
        </w:tc>
        <w:tc>
          <w:tcPr>
            <w:tcW w:w="237" w:type="pct"/>
            <w:shd w:val="clear" w:color="auto" w:fill="auto"/>
            <w:vAlign w:val="center"/>
          </w:tcPr>
          <w:p w:rsidR="00B10DD6" w:rsidRPr="00A83916" w:rsidRDefault="00B10DD6" w:rsidP="005123EA">
            <w:pPr>
              <w:pStyle w:val="TableText1"/>
              <w:jc w:val="center"/>
              <w:rPr>
                <w:b/>
              </w:rPr>
            </w:pPr>
            <w:r w:rsidRPr="00A83916">
              <w:rPr>
                <w:b/>
              </w:rPr>
              <w:t>n</w:t>
            </w:r>
          </w:p>
        </w:tc>
        <w:tc>
          <w:tcPr>
            <w:tcW w:w="1260" w:type="pct"/>
            <w:gridSpan w:val="2"/>
            <w:shd w:val="clear" w:color="auto" w:fill="auto"/>
            <w:vAlign w:val="center"/>
          </w:tcPr>
          <w:p w:rsidR="00B10DD6" w:rsidRPr="00A83916" w:rsidRDefault="00B10DD6" w:rsidP="005123EA">
            <w:pPr>
              <w:pStyle w:val="TableText1"/>
              <w:jc w:val="center"/>
              <w:rPr>
                <w:b/>
              </w:rPr>
            </w:pPr>
            <w:r w:rsidRPr="00A83916">
              <w:rPr>
                <w:b/>
              </w:rPr>
              <w:t xml:space="preserve">Mean ∆ baseline </w:t>
            </w:r>
            <w:r>
              <w:rPr>
                <w:b/>
              </w:rPr>
              <w:t xml:space="preserve">PLP at Week 24 </w:t>
            </w:r>
            <w:r w:rsidRPr="005D6E95">
              <w:rPr>
                <w:b/>
              </w:rPr>
              <w:t>(</w:t>
            </w:r>
            <w:r>
              <w:rPr>
                <w:b/>
              </w:rPr>
              <w:t>ng/mL)</w:t>
            </w:r>
          </w:p>
        </w:tc>
        <w:tc>
          <w:tcPr>
            <w:tcW w:w="240" w:type="pct"/>
            <w:shd w:val="clear" w:color="auto" w:fill="auto"/>
            <w:vAlign w:val="center"/>
          </w:tcPr>
          <w:p w:rsidR="00B10DD6" w:rsidRPr="00A83916" w:rsidRDefault="00B10DD6" w:rsidP="005123EA">
            <w:pPr>
              <w:pStyle w:val="TableText1"/>
              <w:jc w:val="center"/>
              <w:rPr>
                <w:b/>
              </w:rPr>
            </w:pPr>
            <w:r w:rsidRPr="00A83916">
              <w:rPr>
                <w:b/>
              </w:rPr>
              <w:t>SD</w:t>
            </w:r>
          </w:p>
        </w:tc>
        <w:tc>
          <w:tcPr>
            <w:tcW w:w="999" w:type="pct"/>
            <w:gridSpan w:val="2"/>
            <w:vMerge/>
            <w:shd w:val="clear" w:color="auto" w:fill="auto"/>
            <w:vAlign w:val="center"/>
          </w:tcPr>
          <w:p w:rsidR="00B10DD6" w:rsidRPr="00A83916" w:rsidRDefault="00B10DD6" w:rsidP="005123EA">
            <w:pPr>
              <w:pStyle w:val="TableText1"/>
              <w:jc w:val="center"/>
            </w:pPr>
          </w:p>
        </w:tc>
      </w:tr>
      <w:tr w:rsidR="00B10DD6" w:rsidRPr="00A83916" w:rsidTr="003B76C9">
        <w:tc>
          <w:tcPr>
            <w:tcW w:w="612" w:type="pct"/>
            <w:shd w:val="clear" w:color="auto" w:fill="auto"/>
            <w:vAlign w:val="center"/>
          </w:tcPr>
          <w:p w:rsidR="00B10DD6" w:rsidRPr="00A83916" w:rsidRDefault="00B10DD6" w:rsidP="005123EA">
            <w:pPr>
              <w:pStyle w:val="TableText1"/>
            </w:pPr>
            <w:r>
              <w:t>ENB-009-10</w:t>
            </w:r>
          </w:p>
        </w:tc>
        <w:tc>
          <w:tcPr>
            <w:tcW w:w="471" w:type="pct"/>
            <w:shd w:val="clear" w:color="auto" w:fill="auto"/>
            <w:vAlign w:val="center"/>
          </w:tcPr>
          <w:p w:rsidR="00B10DD6" w:rsidRPr="00A83916" w:rsidRDefault="00B10DD6" w:rsidP="005123EA">
            <w:pPr>
              <w:pStyle w:val="TableText1"/>
              <w:jc w:val="center"/>
            </w:pPr>
            <w:r>
              <w:t>13</w:t>
            </w:r>
          </w:p>
        </w:tc>
        <w:tc>
          <w:tcPr>
            <w:tcW w:w="946" w:type="pct"/>
            <w:gridSpan w:val="2"/>
            <w:shd w:val="clear" w:color="auto" w:fill="auto"/>
            <w:vAlign w:val="center"/>
          </w:tcPr>
          <w:p w:rsidR="00B10DD6" w:rsidRPr="00A83916" w:rsidRDefault="00B10DD6" w:rsidP="005123EA">
            <w:pPr>
              <w:pStyle w:val="TableText1"/>
              <w:jc w:val="center"/>
            </w:pPr>
            <w:r>
              <w:t>-397.72</w:t>
            </w:r>
          </w:p>
        </w:tc>
        <w:tc>
          <w:tcPr>
            <w:tcW w:w="235" w:type="pct"/>
            <w:shd w:val="clear" w:color="auto" w:fill="auto"/>
            <w:vAlign w:val="center"/>
          </w:tcPr>
          <w:p w:rsidR="00B10DD6" w:rsidRPr="00A83916" w:rsidRDefault="00B10DD6" w:rsidP="005123EA">
            <w:pPr>
              <w:pStyle w:val="TableText1"/>
              <w:jc w:val="center"/>
            </w:pPr>
            <w:r>
              <w:t>455</w:t>
            </w:r>
          </w:p>
        </w:tc>
        <w:tc>
          <w:tcPr>
            <w:tcW w:w="237" w:type="pct"/>
            <w:shd w:val="clear" w:color="auto" w:fill="auto"/>
            <w:vAlign w:val="center"/>
          </w:tcPr>
          <w:p w:rsidR="00B10DD6" w:rsidRPr="00A83916" w:rsidRDefault="00B10DD6" w:rsidP="005123EA">
            <w:pPr>
              <w:pStyle w:val="TableText1"/>
              <w:jc w:val="center"/>
            </w:pPr>
            <w:r>
              <w:t>6</w:t>
            </w:r>
          </w:p>
        </w:tc>
        <w:tc>
          <w:tcPr>
            <w:tcW w:w="1260" w:type="pct"/>
            <w:gridSpan w:val="2"/>
            <w:shd w:val="clear" w:color="auto" w:fill="auto"/>
            <w:vAlign w:val="center"/>
          </w:tcPr>
          <w:p w:rsidR="00B10DD6" w:rsidRPr="00A83916" w:rsidRDefault="00B10DD6" w:rsidP="005123EA">
            <w:pPr>
              <w:pStyle w:val="TableText1"/>
              <w:jc w:val="center"/>
            </w:pPr>
            <w:r>
              <w:t>26.80</w:t>
            </w:r>
          </w:p>
        </w:tc>
        <w:tc>
          <w:tcPr>
            <w:tcW w:w="240" w:type="pct"/>
            <w:shd w:val="clear" w:color="auto" w:fill="auto"/>
            <w:vAlign w:val="center"/>
          </w:tcPr>
          <w:p w:rsidR="00B10DD6" w:rsidRPr="00A83916" w:rsidRDefault="00B10DD6" w:rsidP="005123EA">
            <w:pPr>
              <w:pStyle w:val="TableText1"/>
              <w:jc w:val="center"/>
            </w:pPr>
            <w:r>
              <w:t>264</w:t>
            </w:r>
          </w:p>
        </w:tc>
        <w:tc>
          <w:tcPr>
            <w:tcW w:w="999" w:type="pct"/>
            <w:gridSpan w:val="2"/>
            <w:shd w:val="clear" w:color="auto" w:fill="auto"/>
            <w:vAlign w:val="center"/>
          </w:tcPr>
          <w:p w:rsidR="00B10DD6" w:rsidRPr="00A83916" w:rsidRDefault="00B10DD6" w:rsidP="005123EA">
            <w:pPr>
              <w:pStyle w:val="TableText1"/>
              <w:jc w:val="center"/>
            </w:pPr>
            <w:r>
              <w:t>-370.92 (p=0.0285)</w:t>
            </w:r>
          </w:p>
        </w:tc>
      </w:tr>
      <w:tr w:rsidR="00B10DD6" w:rsidRPr="00A83916" w:rsidTr="003B76C9">
        <w:tc>
          <w:tcPr>
            <w:tcW w:w="5000" w:type="pct"/>
            <w:gridSpan w:val="11"/>
            <w:tcBorders>
              <w:top w:val="double" w:sz="4" w:space="0" w:color="auto"/>
            </w:tcBorders>
            <w:shd w:val="clear" w:color="auto" w:fill="auto"/>
            <w:vAlign w:val="center"/>
          </w:tcPr>
          <w:p w:rsidR="00B10DD6" w:rsidRPr="00A83916" w:rsidRDefault="00B10DD6" w:rsidP="005123EA">
            <w:pPr>
              <w:pStyle w:val="TableText1"/>
              <w:rPr>
                <w:b/>
                <w:u w:val="single"/>
              </w:rPr>
            </w:pPr>
            <w:r w:rsidRPr="00A83916">
              <w:rPr>
                <w:b/>
                <w:u w:val="single"/>
              </w:rPr>
              <w:t>Harms</w:t>
            </w:r>
          </w:p>
        </w:tc>
      </w:tr>
      <w:tr w:rsidR="00B10DD6" w:rsidRPr="00A83916" w:rsidTr="003B76C9">
        <w:trPr>
          <w:trHeight w:val="70"/>
        </w:trPr>
        <w:tc>
          <w:tcPr>
            <w:tcW w:w="612" w:type="pct"/>
            <w:vMerge w:val="restart"/>
            <w:shd w:val="clear" w:color="auto" w:fill="auto"/>
            <w:vAlign w:val="center"/>
          </w:tcPr>
          <w:p w:rsidR="00B10DD6" w:rsidRPr="00A83916" w:rsidRDefault="00B10DD6" w:rsidP="005123EA">
            <w:pPr>
              <w:pStyle w:val="TableText1"/>
            </w:pPr>
          </w:p>
        </w:tc>
        <w:tc>
          <w:tcPr>
            <w:tcW w:w="630" w:type="pct"/>
            <w:gridSpan w:val="2"/>
            <w:vMerge w:val="restart"/>
            <w:shd w:val="clear" w:color="auto" w:fill="auto"/>
            <w:vAlign w:val="center"/>
          </w:tcPr>
          <w:p w:rsidR="00B10DD6" w:rsidRPr="00A83916" w:rsidRDefault="00B10DD6" w:rsidP="005123EA">
            <w:pPr>
              <w:pStyle w:val="TableText1"/>
              <w:jc w:val="center"/>
              <w:rPr>
                <w:b/>
              </w:rPr>
            </w:pPr>
            <w:proofErr w:type="spellStart"/>
            <w:r w:rsidRPr="005D6E95">
              <w:rPr>
                <w:b/>
              </w:rPr>
              <w:t>Asfotase</w:t>
            </w:r>
            <w:proofErr w:type="spellEnd"/>
            <w:r w:rsidRPr="005D6E95">
              <w:rPr>
                <w:b/>
              </w:rPr>
              <w:t xml:space="preserve"> alfa </w:t>
            </w:r>
            <w:proofErr w:type="spellStart"/>
            <w:r w:rsidR="00465F17" w:rsidRPr="00465F17">
              <w:rPr>
                <w:b/>
                <w:i/>
              </w:rPr>
              <w:t>rch</w:t>
            </w:r>
            <w:proofErr w:type="spellEnd"/>
          </w:p>
        </w:tc>
        <w:tc>
          <w:tcPr>
            <w:tcW w:w="787" w:type="pct"/>
            <w:vMerge w:val="restart"/>
            <w:shd w:val="clear" w:color="auto" w:fill="auto"/>
            <w:vAlign w:val="center"/>
          </w:tcPr>
          <w:p w:rsidR="00B10DD6" w:rsidRPr="00A83916" w:rsidRDefault="00B10DD6" w:rsidP="005123EA">
            <w:pPr>
              <w:pStyle w:val="TableText1"/>
              <w:jc w:val="center"/>
              <w:rPr>
                <w:b/>
              </w:rPr>
            </w:pPr>
            <w:r w:rsidRPr="005D6E95">
              <w:rPr>
                <w:b/>
              </w:rPr>
              <w:t>Best supportive care</w:t>
            </w:r>
          </w:p>
        </w:tc>
        <w:tc>
          <w:tcPr>
            <w:tcW w:w="472" w:type="pct"/>
            <w:gridSpan w:val="2"/>
            <w:vMerge w:val="restart"/>
            <w:shd w:val="clear" w:color="auto" w:fill="auto"/>
            <w:vAlign w:val="center"/>
          </w:tcPr>
          <w:p w:rsidR="00B10DD6" w:rsidRPr="00A83916" w:rsidRDefault="00B10DD6" w:rsidP="005123EA">
            <w:pPr>
              <w:pStyle w:val="TableText1"/>
              <w:jc w:val="center"/>
              <w:rPr>
                <w:b/>
              </w:rPr>
            </w:pPr>
            <w:r w:rsidRPr="00A83916">
              <w:rPr>
                <w:b/>
              </w:rPr>
              <w:t>RR</w:t>
            </w:r>
          </w:p>
          <w:p w:rsidR="00B10DD6" w:rsidRPr="00A83916" w:rsidRDefault="00B10DD6" w:rsidP="005123EA">
            <w:pPr>
              <w:pStyle w:val="TableText1"/>
              <w:jc w:val="center"/>
              <w:rPr>
                <w:b/>
              </w:rPr>
            </w:pPr>
            <w:r w:rsidRPr="00A83916">
              <w:rPr>
                <w:b/>
              </w:rPr>
              <w:t>(95% CI)</w:t>
            </w:r>
          </w:p>
        </w:tc>
        <w:tc>
          <w:tcPr>
            <w:tcW w:w="1732" w:type="pct"/>
            <w:gridSpan w:val="4"/>
            <w:shd w:val="clear" w:color="auto" w:fill="auto"/>
            <w:vAlign w:val="center"/>
          </w:tcPr>
          <w:p w:rsidR="00B10DD6" w:rsidRPr="00A83916" w:rsidRDefault="00B10DD6" w:rsidP="005123EA">
            <w:pPr>
              <w:pStyle w:val="TableText1"/>
              <w:jc w:val="center"/>
              <w:rPr>
                <w:b/>
              </w:rPr>
            </w:pPr>
            <w:r w:rsidRPr="00A83916">
              <w:rPr>
                <w:b/>
              </w:rPr>
              <w:t>Events/100 patients</w:t>
            </w:r>
            <w:r>
              <w:rPr>
                <w:b/>
              </w:rPr>
              <w:t xml:space="preserve"> over 24 weeks</w:t>
            </w:r>
          </w:p>
        </w:tc>
        <w:tc>
          <w:tcPr>
            <w:tcW w:w="767" w:type="pct"/>
            <w:vMerge w:val="restart"/>
            <w:shd w:val="clear" w:color="auto" w:fill="auto"/>
            <w:vAlign w:val="center"/>
          </w:tcPr>
          <w:p w:rsidR="00B10DD6" w:rsidRPr="00A83916" w:rsidRDefault="00B10DD6" w:rsidP="005123EA">
            <w:pPr>
              <w:pStyle w:val="TableText1"/>
              <w:jc w:val="center"/>
              <w:rPr>
                <w:b/>
              </w:rPr>
            </w:pPr>
            <w:r w:rsidRPr="00A83916">
              <w:rPr>
                <w:b/>
              </w:rPr>
              <w:t>RD</w:t>
            </w:r>
          </w:p>
          <w:p w:rsidR="00B10DD6" w:rsidRPr="00A83916" w:rsidRDefault="00B10DD6" w:rsidP="005123EA">
            <w:pPr>
              <w:pStyle w:val="TableText1"/>
              <w:jc w:val="center"/>
              <w:rPr>
                <w:b/>
              </w:rPr>
            </w:pPr>
            <w:r w:rsidRPr="00A83916">
              <w:rPr>
                <w:b/>
              </w:rPr>
              <w:t>(95% CI)</w:t>
            </w:r>
          </w:p>
        </w:tc>
      </w:tr>
      <w:tr w:rsidR="00B10DD6" w:rsidRPr="00A83916" w:rsidTr="003B76C9">
        <w:trPr>
          <w:trHeight w:val="390"/>
        </w:trPr>
        <w:tc>
          <w:tcPr>
            <w:tcW w:w="612" w:type="pct"/>
            <w:vMerge/>
            <w:shd w:val="clear" w:color="auto" w:fill="auto"/>
            <w:vAlign w:val="center"/>
          </w:tcPr>
          <w:p w:rsidR="00B10DD6" w:rsidRPr="00A83916" w:rsidRDefault="00B10DD6" w:rsidP="005123EA">
            <w:pPr>
              <w:pStyle w:val="TableText1"/>
            </w:pPr>
          </w:p>
        </w:tc>
        <w:tc>
          <w:tcPr>
            <w:tcW w:w="630" w:type="pct"/>
            <w:gridSpan w:val="2"/>
            <w:vMerge/>
            <w:shd w:val="clear" w:color="auto" w:fill="auto"/>
            <w:vAlign w:val="center"/>
          </w:tcPr>
          <w:p w:rsidR="00B10DD6" w:rsidRPr="00A83916" w:rsidRDefault="00B10DD6" w:rsidP="005123EA">
            <w:pPr>
              <w:pStyle w:val="TableText1"/>
              <w:jc w:val="center"/>
            </w:pPr>
          </w:p>
        </w:tc>
        <w:tc>
          <w:tcPr>
            <w:tcW w:w="787" w:type="pct"/>
            <w:vMerge/>
            <w:shd w:val="clear" w:color="auto" w:fill="auto"/>
            <w:vAlign w:val="center"/>
          </w:tcPr>
          <w:p w:rsidR="00B10DD6" w:rsidRPr="00A83916" w:rsidRDefault="00B10DD6" w:rsidP="005123EA">
            <w:pPr>
              <w:pStyle w:val="TableText1"/>
              <w:jc w:val="center"/>
            </w:pPr>
          </w:p>
        </w:tc>
        <w:tc>
          <w:tcPr>
            <w:tcW w:w="472" w:type="pct"/>
            <w:gridSpan w:val="2"/>
            <w:vMerge/>
            <w:shd w:val="clear" w:color="auto" w:fill="auto"/>
            <w:vAlign w:val="center"/>
          </w:tcPr>
          <w:p w:rsidR="00B10DD6" w:rsidRPr="00A83916" w:rsidRDefault="00B10DD6" w:rsidP="005123EA">
            <w:pPr>
              <w:pStyle w:val="TableText1"/>
              <w:jc w:val="center"/>
            </w:pPr>
          </w:p>
        </w:tc>
        <w:tc>
          <w:tcPr>
            <w:tcW w:w="787" w:type="pct"/>
            <w:shd w:val="clear" w:color="auto" w:fill="auto"/>
            <w:vAlign w:val="center"/>
          </w:tcPr>
          <w:p w:rsidR="00B10DD6" w:rsidRPr="00A83916" w:rsidRDefault="00B10DD6" w:rsidP="005123EA">
            <w:pPr>
              <w:pStyle w:val="TableText1"/>
              <w:jc w:val="center"/>
              <w:rPr>
                <w:b/>
              </w:rPr>
            </w:pPr>
            <w:proofErr w:type="spellStart"/>
            <w:r w:rsidRPr="005D6E95">
              <w:rPr>
                <w:b/>
              </w:rPr>
              <w:t>Asfotase</w:t>
            </w:r>
            <w:proofErr w:type="spellEnd"/>
            <w:r w:rsidRPr="005D6E95">
              <w:rPr>
                <w:b/>
              </w:rPr>
              <w:t xml:space="preserve"> alfa </w:t>
            </w:r>
            <w:proofErr w:type="spellStart"/>
            <w:r w:rsidR="00465F17" w:rsidRPr="00465F17">
              <w:rPr>
                <w:b/>
                <w:i/>
              </w:rPr>
              <w:t>rch</w:t>
            </w:r>
            <w:proofErr w:type="spellEnd"/>
          </w:p>
        </w:tc>
        <w:tc>
          <w:tcPr>
            <w:tcW w:w="945" w:type="pct"/>
            <w:gridSpan w:val="3"/>
            <w:shd w:val="clear" w:color="auto" w:fill="auto"/>
            <w:vAlign w:val="center"/>
          </w:tcPr>
          <w:p w:rsidR="00B10DD6" w:rsidRPr="00A83916" w:rsidRDefault="00B10DD6" w:rsidP="005123EA">
            <w:pPr>
              <w:pStyle w:val="TableText1"/>
              <w:jc w:val="center"/>
              <w:rPr>
                <w:b/>
              </w:rPr>
            </w:pPr>
            <w:r w:rsidRPr="005D6E95">
              <w:rPr>
                <w:b/>
              </w:rPr>
              <w:t>Best supportive care</w:t>
            </w:r>
          </w:p>
        </w:tc>
        <w:tc>
          <w:tcPr>
            <w:tcW w:w="767" w:type="pct"/>
            <w:vMerge/>
            <w:shd w:val="clear" w:color="auto" w:fill="auto"/>
            <w:vAlign w:val="center"/>
          </w:tcPr>
          <w:p w:rsidR="00B10DD6" w:rsidRPr="00A83916" w:rsidRDefault="00B10DD6" w:rsidP="005123EA">
            <w:pPr>
              <w:pStyle w:val="TableText1"/>
              <w:jc w:val="center"/>
            </w:pPr>
          </w:p>
        </w:tc>
      </w:tr>
      <w:tr w:rsidR="00B10DD6" w:rsidRPr="00A83916" w:rsidTr="003B76C9">
        <w:tc>
          <w:tcPr>
            <w:tcW w:w="5000" w:type="pct"/>
            <w:gridSpan w:val="11"/>
            <w:shd w:val="clear" w:color="auto" w:fill="auto"/>
            <w:vAlign w:val="center"/>
          </w:tcPr>
          <w:p w:rsidR="00B10DD6" w:rsidRPr="00A83916" w:rsidRDefault="00B10DD6" w:rsidP="005123EA">
            <w:pPr>
              <w:pStyle w:val="TableText1"/>
              <w:rPr>
                <w:b/>
              </w:rPr>
            </w:pPr>
            <w:r>
              <w:rPr>
                <w:b/>
              </w:rPr>
              <w:t>General disorders and administration reactions</w:t>
            </w:r>
          </w:p>
        </w:tc>
      </w:tr>
      <w:tr w:rsidR="00B10DD6" w:rsidRPr="00A83916" w:rsidTr="003B76C9">
        <w:tc>
          <w:tcPr>
            <w:tcW w:w="612" w:type="pct"/>
            <w:shd w:val="clear" w:color="auto" w:fill="auto"/>
            <w:vAlign w:val="center"/>
          </w:tcPr>
          <w:p w:rsidR="00B10DD6" w:rsidRPr="00A83916" w:rsidRDefault="00B10DD6" w:rsidP="005123EA">
            <w:pPr>
              <w:pStyle w:val="TableText1"/>
            </w:pPr>
            <w:r>
              <w:t>ENB-009-10</w:t>
            </w:r>
          </w:p>
        </w:tc>
        <w:tc>
          <w:tcPr>
            <w:tcW w:w="630" w:type="pct"/>
            <w:gridSpan w:val="2"/>
            <w:shd w:val="clear" w:color="auto" w:fill="auto"/>
            <w:vAlign w:val="center"/>
          </w:tcPr>
          <w:p w:rsidR="00B10DD6" w:rsidRPr="00551B2E" w:rsidRDefault="00551B2E" w:rsidP="005123EA">
            <w:pPr>
              <w:pStyle w:val="TableText1"/>
              <w:jc w:val="center"/>
              <w:rPr>
                <w:highlight w:val="black"/>
              </w:rPr>
            </w:pPr>
            <w:r>
              <w:rPr>
                <w:noProof/>
                <w:color w:val="000000"/>
                <w:highlight w:val="black"/>
              </w:rPr>
              <w:t>'''''''''''''</w:t>
            </w:r>
          </w:p>
        </w:tc>
        <w:tc>
          <w:tcPr>
            <w:tcW w:w="787" w:type="pct"/>
            <w:shd w:val="clear" w:color="auto" w:fill="auto"/>
            <w:vAlign w:val="center"/>
          </w:tcPr>
          <w:p w:rsidR="00B10DD6" w:rsidRPr="00551B2E" w:rsidRDefault="00551B2E" w:rsidP="005123EA">
            <w:pPr>
              <w:pStyle w:val="TableText1"/>
              <w:jc w:val="center"/>
              <w:rPr>
                <w:highlight w:val="black"/>
              </w:rPr>
            </w:pPr>
            <w:r>
              <w:rPr>
                <w:noProof/>
                <w:color w:val="000000"/>
                <w:highlight w:val="black"/>
              </w:rPr>
              <w:t>''''''''</w:t>
            </w:r>
          </w:p>
        </w:tc>
        <w:tc>
          <w:tcPr>
            <w:tcW w:w="472" w:type="pct"/>
            <w:gridSpan w:val="2"/>
            <w:shd w:val="clear" w:color="auto" w:fill="auto"/>
            <w:vAlign w:val="center"/>
          </w:tcPr>
          <w:p w:rsidR="00B10DD6" w:rsidRPr="00551B2E" w:rsidRDefault="00551B2E" w:rsidP="005123EA">
            <w:pPr>
              <w:pStyle w:val="TableText1"/>
              <w:jc w:val="center"/>
              <w:rPr>
                <w:highlight w:val="black"/>
              </w:rPr>
            </w:pPr>
            <w:r>
              <w:rPr>
                <w:noProof/>
                <w:color w:val="000000"/>
                <w:highlight w:val="black"/>
              </w:rPr>
              <w:t>'''''</w:t>
            </w:r>
          </w:p>
        </w:tc>
        <w:tc>
          <w:tcPr>
            <w:tcW w:w="787" w:type="pct"/>
            <w:shd w:val="clear" w:color="auto" w:fill="auto"/>
            <w:vAlign w:val="center"/>
          </w:tcPr>
          <w:p w:rsidR="00B10DD6" w:rsidRPr="00551B2E" w:rsidRDefault="00551B2E" w:rsidP="005123EA">
            <w:pPr>
              <w:pStyle w:val="TableText1"/>
              <w:jc w:val="center"/>
              <w:rPr>
                <w:highlight w:val="black"/>
              </w:rPr>
            </w:pPr>
            <w:r>
              <w:rPr>
                <w:noProof/>
                <w:color w:val="000000"/>
                <w:highlight w:val="black"/>
              </w:rPr>
              <w:t>''''''''''</w:t>
            </w:r>
          </w:p>
        </w:tc>
        <w:tc>
          <w:tcPr>
            <w:tcW w:w="945" w:type="pct"/>
            <w:gridSpan w:val="3"/>
            <w:shd w:val="clear" w:color="auto" w:fill="auto"/>
            <w:vAlign w:val="center"/>
          </w:tcPr>
          <w:p w:rsidR="00B10DD6" w:rsidRPr="00551B2E" w:rsidRDefault="00551B2E" w:rsidP="005123EA">
            <w:pPr>
              <w:pStyle w:val="TableText1"/>
              <w:jc w:val="center"/>
              <w:rPr>
                <w:highlight w:val="black"/>
              </w:rPr>
            </w:pPr>
            <w:r>
              <w:rPr>
                <w:noProof/>
                <w:color w:val="000000"/>
                <w:highlight w:val="black"/>
              </w:rPr>
              <w:t>'''''''''''</w:t>
            </w:r>
          </w:p>
        </w:tc>
        <w:tc>
          <w:tcPr>
            <w:tcW w:w="767" w:type="pct"/>
            <w:shd w:val="clear" w:color="auto" w:fill="auto"/>
            <w:vAlign w:val="center"/>
          </w:tcPr>
          <w:p w:rsidR="00B10DD6" w:rsidRPr="008810DD" w:rsidRDefault="00B10DD6" w:rsidP="005123EA">
            <w:pPr>
              <w:pStyle w:val="TableText1"/>
              <w:jc w:val="center"/>
            </w:pPr>
            <w:r w:rsidRPr="002129A5">
              <w:rPr>
                <w:i/>
              </w:rPr>
              <w:t>0.60</w:t>
            </w:r>
            <w:r>
              <w:rPr>
                <w:i/>
              </w:rPr>
              <w:t xml:space="preserve"> </w:t>
            </w:r>
            <w:r w:rsidRPr="002129A5">
              <w:rPr>
                <w:i/>
              </w:rPr>
              <w:t>(0.11, 0.85)</w:t>
            </w:r>
          </w:p>
        </w:tc>
      </w:tr>
    </w:tbl>
    <w:p w:rsidR="00B10DD6" w:rsidRDefault="00B10DD6" w:rsidP="005123EA">
      <w:pPr>
        <w:pStyle w:val="TableFooter"/>
        <w:widowControl/>
        <w:tabs>
          <w:tab w:val="left" w:pos="284"/>
        </w:tabs>
      </w:pPr>
      <w:proofErr w:type="spellStart"/>
      <w:proofErr w:type="gramStart"/>
      <w:r w:rsidRPr="006E2619">
        <w:rPr>
          <w:vertAlign w:val="superscript"/>
        </w:rPr>
        <w:t>a</w:t>
      </w:r>
      <w:proofErr w:type="spellEnd"/>
      <w:proofErr w:type="gramEnd"/>
      <w:r>
        <w:tab/>
      </w:r>
      <w:r w:rsidRPr="006E2619">
        <w:t>Excluded patient who ingested a high dose of Vitamin D (25,000 IU) 23 days prior to sampling; p= 0.0044</w:t>
      </w:r>
    </w:p>
    <w:p w:rsidR="00B10DD6" w:rsidRPr="00A83916" w:rsidRDefault="00B10DD6" w:rsidP="005123EA">
      <w:pPr>
        <w:pStyle w:val="TableFooter"/>
        <w:widowControl/>
      </w:pPr>
      <w:r>
        <w:t xml:space="preserve">SD = standard deviation; RR = relative risk; RD = risk difference; </w:t>
      </w:r>
      <w:r w:rsidRPr="006E2619">
        <w:t xml:space="preserve">PLP = pyridoxal 5’-phosphate; </w:t>
      </w:r>
      <w:proofErr w:type="spellStart"/>
      <w:r w:rsidRPr="006E2619">
        <w:t>PPi</w:t>
      </w:r>
      <w:proofErr w:type="spellEnd"/>
      <w:r w:rsidRPr="006E2619">
        <w:t xml:space="preserve"> = inorganic pyrophosphate</w:t>
      </w:r>
      <w:r>
        <w:t xml:space="preserve">; </w:t>
      </w:r>
      <w:proofErr w:type="spellStart"/>
      <w:r>
        <w:t>nr</w:t>
      </w:r>
      <w:proofErr w:type="spellEnd"/>
      <w:r>
        <w:t xml:space="preserve"> = not reported</w:t>
      </w:r>
    </w:p>
    <w:p w:rsidR="00B10DD6" w:rsidRPr="00A83916" w:rsidRDefault="00B10DD6" w:rsidP="005123EA">
      <w:pPr>
        <w:pStyle w:val="TableFooter"/>
        <w:widowControl/>
        <w:spacing w:after="120"/>
      </w:pPr>
      <w:r w:rsidRPr="00A83916">
        <w:t xml:space="preserve">Source: </w:t>
      </w:r>
      <w:r>
        <w:t>compiled during the evaluation</w:t>
      </w:r>
    </w:p>
    <w:p w:rsidR="00B10DD6" w:rsidRPr="00F471D7" w:rsidRDefault="00B10DD6" w:rsidP="005123EA">
      <w:pPr>
        <w:pStyle w:val="ListParagraph"/>
        <w:widowControl/>
        <w:numPr>
          <w:ilvl w:val="1"/>
          <w:numId w:val="2"/>
        </w:numPr>
        <w:contextualSpacing w:val="0"/>
      </w:pPr>
      <w:r w:rsidRPr="00DD48DB">
        <w:rPr>
          <w:rFonts w:asciiTheme="minorHAnsi" w:hAnsiTheme="minorHAnsi"/>
        </w:rPr>
        <w:t>On the basis of direct evidence presented by the submission,</w:t>
      </w:r>
      <w:r w:rsidR="002C3C4A">
        <w:rPr>
          <w:rFonts w:asciiTheme="minorHAnsi" w:hAnsiTheme="minorHAnsi"/>
        </w:rPr>
        <w:t xml:space="preserve"> </w:t>
      </w:r>
      <w:r w:rsidR="002C3C4A" w:rsidRPr="002C3C4A">
        <w:rPr>
          <w:rFonts w:asciiTheme="minorHAnsi" w:hAnsiTheme="minorHAnsi"/>
        </w:rPr>
        <w:t>the comparison of</w:t>
      </w:r>
      <w:r w:rsidRPr="00DD48DB">
        <w:rPr>
          <w:rFonts w:asciiTheme="minorHAnsi" w:hAnsiTheme="minorHAnsi"/>
        </w:rPr>
        <w:t xml:space="preserve"> </w:t>
      </w:r>
      <w:proofErr w:type="spellStart"/>
      <w:r>
        <w:rPr>
          <w:rFonts w:asciiTheme="minorHAnsi" w:hAnsiTheme="minorHAnsi"/>
        </w:rPr>
        <w:t>asfotase</w:t>
      </w:r>
      <w:proofErr w:type="spellEnd"/>
      <w:r>
        <w:rPr>
          <w:rFonts w:asciiTheme="minorHAnsi" w:hAnsiTheme="minorHAnsi"/>
        </w:rPr>
        <w:t xml:space="preserve"> alfa </w:t>
      </w:r>
      <w:proofErr w:type="spellStart"/>
      <w:r w:rsidR="00465F17" w:rsidRPr="00465F17">
        <w:rPr>
          <w:rFonts w:asciiTheme="minorHAnsi" w:hAnsiTheme="minorHAnsi"/>
          <w:i/>
        </w:rPr>
        <w:t>rch</w:t>
      </w:r>
      <w:proofErr w:type="spellEnd"/>
      <w:r>
        <w:rPr>
          <w:rFonts w:asciiTheme="minorHAnsi" w:hAnsiTheme="minorHAnsi"/>
        </w:rPr>
        <w:t xml:space="preserve"> </w:t>
      </w:r>
      <w:r w:rsidR="002C3C4A">
        <w:rPr>
          <w:rFonts w:asciiTheme="minorHAnsi" w:hAnsiTheme="minorHAnsi"/>
        </w:rPr>
        <w:t xml:space="preserve">and </w:t>
      </w:r>
      <w:r>
        <w:rPr>
          <w:rFonts w:asciiTheme="minorHAnsi" w:hAnsiTheme="minorHAnsi"/>
        </w:rPr>
        <w:t>best supportive care</w:t>
      </w:r>
      <w:r w:rsidR="002C3C4A">
        <w:rPr>
          <w:rFonts w:asciiTheme="minorHAnsi" w:hAnsiTheme="minorHAnsi"/>
        </w:rPr>
        <w:t xml:space="preserve"> resulted in a</w:t>
      </w:r>
      <w:r w:rsidRPr="002C3C4A">
        <w:rPr>
          <w:rFonts w:asciiTheme="minorHAnsi" w:hAnsiTheme="minorHAnsi"/>
        </w:rPr>
        <w:t xml:space="preserve">pproximately a 1.05 µm reduction in </w:t>
      </w:r>
      <w:proofErr w:type="spellStart"/>
      <w:r w:rsidRPr="002C3C4A">
        <w:rPr>
          <w:rFonts w:asciiTheme="minorHAnsi" w:hAnsiTheme="minorHAnsi"/>
        </w:rPr>
        <w:t>PPi</w:t>
      </w:r>
      <w:proofErr w:type="spellEnd"/>
      <w:r w:rsidRPr="002C3C4A">
        <w:rPr>
          <w:rFonts w:asciiTheme="minorHAnsi" w:hAnsiTheme="minorHAnsi"/>
        </w:rPr>
        <w:t xml:space="preserve"> and a 371 ng/mL reduction in PLP over a mean duration of exposure of 24 weeks.</w:t>
      </w:r>
      <w:r w:rsidR="00540116" w:rsidRPr="002C3C4A">
        <w:rPr>
          <w:rFonts w:asciiTheme="minorHAnsi" w:hAnsiTheme="minorHAnsi"/>
        </w:rPr>
        <w:t xml:space="preserve"> </w:t>
      </w:r>
      <w:r w:rsidR="00DA544B" w:rsidRPr="002C3C4A">
        <w:rPr>
          <w:rFonts w:asciiTheme="minorHAnsi" w:hAnsiTheme="minorHAnsi"/>
        </w:rPr>
        <w:t>However, t</w:t>
      </w:r>
      <w:r w:rsidRPr="002C3C4A">
        <w:rPr>
          <w:rFonts w:asciiTheme="minorHAnsi" w:hAnsiTheme="minorHAnsi"/>
        </w:rPr>
        <w:t>he submission did not indicate</w:t>
      </w:r>
      <w:r w:rsidR="002C3C4A">
        <w:rPr>
          <w:rFonts w:asciiTheme="minorHAnsi" w:hAnsiTheme="minorHAnsi"/>
        </w:rPr>
        <w:t xml:space="preserve"> </w:t>
      </w:r>
      <w:r w:rsidRPr="00DA544B">
        <w:t>what</w:t>
      </w:r>
      <w:r w:rsidR="003B5B50" w:rsidRPr="00DA544B">
        <w:t xml:space="preserve"> change in </w:t>
      </w:r>
      <w:proofErr w:type="spellStart"/>
      <w:r w:rsidR="003B5B50" w:rsidRPr="00DA544B">
        <w:t>PPi</w:t>
      </w:r>
      <w:proofErr w:type="spellEnd"/>
      <w:r w:rsidR="003B5B50" w:rsidRPr="00DA544B">
        <w:t xml:space="preserve"> and PLP would </w:t>
      </w:r>
      <w:r w:rsidR="00DA544B" w:rsidRPr="004F4B7A">
        <w:t>be</w:t>
      </w:r>
      <w:r w:rsidR="00DA544B" w:rsidRPr="002C3C4A">
        <w:rPr>
          <w:i/>
        </w:rPr>
        <w:t xml:space="preserve"> </w:t>
      </w:r>
      <w:r w:rsidR="00DA544B" w:rsidRPr="000E7B17">
        <w:t>clinically meaningful</w:t>
      </w:r>
      <w:r w:rsidR="00DA544B" w:rsidRPr="00DA544B">
        <w:t xml:space="preserve"> </w:t>
      </w:r>
      <w:r w:rsidR="003B5B50" w:rsidRPr="00DA544B">
        <w:t xml:space="preserve">to the patient (although the submission stated that the results implied that </w:t>
      </w:r>
      <w:proofErr w:type="spellStart"/>
      <w:r w:rsidR="003B5B50" w:rsidRPr="00DA544B">
        <w:t>asfotase</w:t>
      </w:r>
      <w:proofErr w:type="spellEnd"/>
      <w:r w:rsidR="003B5B50" w:rsidRPr="00DA544B">
        <w:t xml:space="preserve"> alfa </w:t>
      </w:r>
      <w:proofErr w:type="spellStart"/>
      <w:r w:rsidR="00465F17" w:rsidRPr="00DA544B">
        <w:t>rch</w:t>
      </w:r>
      <w:proofErr w:type="spellEnd"/>
      <w:r w:rsidR="003B5B50" w:rsidRPr="00DA544B">
        <w:t xml:space="preserve"> has a direct effect on the underlying disease pathophysiology of HPP, and that it should be expected to have a positive effect on bone mineralisation and skeletal structure)</w:t>
      </w:r>
      <w:r w:rsidR="003111F8">
        <w:t>.</w:t>
      </w:r>
    </w:p>
    <w:p w:rsidR="00B10DD6" w:rsidRDefault="002C3C4A" w:rsidP="005123EA">
      <w:pPr>
        <w:pStyle w:val="ListParagraph"/>
        <w:widowControl/>
        <w:numPr>
          <w:ilvl w:val="1"/>
          <w:numId w:val="2"/>
        </w:numPr>
        <w:contextualSpacing w:val="0"/>
        <w:rPr>
          <w:rFonts w:asciiTheme="minorHAnsi" w:hAnsiTheme="minorHAnsi"/>
        </w:rPr>
      </w:pPr>
      <w:r w:rsidRPr="002C3C4A">
        <w:rPr>
          <w:rFonts w:asciiTheme="minorHAnsi" w:hAnsiTheme="minorHAnsi"/>
        </w:rPr>
        <w:t xml:space="preserve">On the basis of direct evidence presented by the submission, for every 100 patients treated with </w:t>
      </w:r>
      <w:proofErr w:type="spellStart"/>
      <w:r w:rsidRPr="002C3C4A">
        <w:rPr>
          <w:rFonts w:asciiTheme="minorHAnsi" w:hAnsiTheme="minorHAnsi"/>
        </w:rPr>
        <w:t>asfotase</w:t>
      </w:r>
      <w:proofErr w:type="spellEnd"/>
      <w:r w:rsidRPr="002C3C4A">
        <w:rPr>
          <w:rFonts w:asciiTheme="minorHAnsi" w:hAnsiTheme="minorHAnsi"/>
        </w:rPr>
        <w:t xml:space="preserve"> alfa </w:t>
      </w:r>
      <w:proofErr w:type="spellStart"/>
      <w:r w:rsidRPr="002C3C4A">
        <w:rPr>
          <w:rFonts w:asciiTheme="minorHAnsi" w:hAnsiTheme="minorHAnsi"/>
        </w:rPr>
        <w:t>rch</w:t>
      </w:r>
      <w:proofErr w:type="spellEnd"/>
      <w:r w:rsidRPr="002C3C4A">
        <w:rPr>
          <w:rFonts w:asciiTheme="minorHAnsi" w:hAnsiTheme="minorHAnsi"/>
        </w:rPr>
        <w:t xml:space="preserve"> in comparison to best supportive care, </w:t>
      </w:r>
      <w:r>
        <w:rPr>
          <w:rFonts w:asciiTheme="minorHAnsi" w:hAnsiTheme="minorHAnsi"/>
        </w:rPr>
        <w:t>a</w:t>
      </w:r>
      <w:r w:rsidR="00B10DD6" w:rsidRPr="00DD48DB">
        <w:rPr>
          <w:rFonts w:asciiTheme="minorHAnsi" w:hAnsiTheme="minorHAnsi"/>
        </w:rPr>
        <w:t xml:space="preserve">pproximately </w:t>
      </w:r>
      <w:r w:rsidR="00B10DD6">
        <w:rPr>
          <w:rFonts w:asciiTheme="minorHAnsi" w:hAnsiTheme="minorHAnsi"/>
        </w:rPr>
        <w:t>60</w:t>
      </w:r>
      <w:r w:rsidR="00B10DD6" w:rsidRPr="00DD48DB">
        <w:rPr>
          <w:rFonts w:asciiTheme="minorHAnsi" w:hAnsiTheme="minorHAnsi"/>
        </w:rPr>
        <w:t xml:space="preserve"> additional </w:t>
      </w:r>
      <w:r w:rsidR="00A50F5A">
        <w:rPr>
          <w:rFonts w:asciiTheme="minorHAnsi" w:hAnsiTheme="minorHAnsi"/>
        </w:rPr>
        <w:t>patients would experience “G</w:t>
      </w:r>
      <w:r w:rsidR="00B10DD6">
        <w:rPr>
          <w:rFonts w:asciiTheme="minorHAnsi" w:hAnsiTheme="minorHAnsi"/>
        </w:rPr>
        <w:t xml:space="preserve">eneral disorder </w:t>
      </w:r>
      <w:r w:rsidR="00A50F5A">
        <w:rPr>
          <w:rFonts w:asciiTheme="minorHAnsi" w:hAnsiTheme="minorHAnsi"/>
        </w:rPr>
        <w:t xml:space="preserve">&amp; </w:t>
      </w:r>
      <w:r w:rsidR="00B10DD6">
        <w:rPr>
          <w:rFonts w:asciiTheme="minorHAnsi" w:hAnsiTheme="minorHAnsi"/>
        </w:rPr>
        <w:t xml:space="preserve">administration site </w:t>
      </w:r>
      <w:r w:rsidR="00A50F5A">
        <w:rPr>
          <w:rFonts w:asciiTheme="minorHAnsi" w:hAnsiTheme="minorHAnsi"/>
        </w:rPr>
        <w:t>conditions”</w:t>
      </w:r>
      <w:r w:rsidR="00B10DD6">
        <w:rPr>
          <w:rFonts w:asciiTheme="minorHAnsi" w:hAnsiTheme="minorHAnsi"/>
        </w:rPr>
        <w:t xml:space="preserve"> over a mean duration of </w:t>
      </w:r>
      <w:r w:rsidR="00B10DD6" w:rsidRPr="00DD48DB">
        <w:rPr>
          <w:rFonts w:asciiTheme="minorHAnsi" w:hAnsiTheme="minorHAnsi"/>
        </w:rPr>
        <w:t xml:space="preserve">exposure of </w:t>
      </w:r>
      <w:r w:rsidR="00B10DD6">
        <w:rPr>
          <w:rFonts w:asciiTheme="minorHAnsi" w:hAnsiTheme="minorHAnsi"/>
        </w:rPr>
        <w:t>24 weeks.</w:t>
      </w:r>
    </w:p>
    <w:p w:rsidR="00A1400F" w:rsidRDefault="001C7D40" w:rsidP="005123EA">
      <w:pPr>
        <w:pStyle w:val="ListParagraph"/>
        <w:widowControl/>
        <w:numPr>
          <w:ilvl w:val="1"/>
          <w:numId w:val="2"/>
        </w:numPr>
        <w:contextualSpacing w:val="0"/>
        <w:rPr>
          <w:rFonts w:asciiTheme="minorHAnsi" w:hAnsiTheme="minorHAnsi"/>
        </w:rPr>
      </w:pPr>
      <w:r w:rsidRPr="003B5B50">
        <w:rPr>
          <w:rFonts w:asciiTheme="minorHAnsi" w:hAnsiTheme="minorHAnsi"/>
        </w:rPr>
        <w:t xml:space="preserve">No statistically significant differences in the 6MWT were observed in Trial ENB-009-10 between </w:t>
      </w:r>
      <w:proofErr w:type="spellStart"/>
      <w:r w:rsidRPr="003B5B50">
        <w:rPr>
          <w:rFonts w:asciiTheme="minorHAnsi" w:hAnsiTheme="minorHAnsi"/>
        </w:rPr>
        <w:t>asfotase</w:t>
      </w:r>
      <w:proofErr w:type="spellEnd"/>
      <w:r w:rsidRPr="003B5B50">
        <w:rPr>
          <w:rFonts w:asciiTheme="minorHAnsi" w:hAnsiTheme="minorHAnsi"/>
        </w:rPr>
        <w:t xml:space="preserve"> alfa </w:t>
      </w:r>
      <w:proofErr w:type="spellStart"/>
      <w:r w:rsidR="00465F17" w:rsidRPr="00465F17">
        <w:rPr>
          <w:rFonts w:asciiTheme="minorHAnsi" w:hAnsiTheme="minorHAnsi"/>
          <w:i/>
        </w:rPr>
        <w:t>rch</w:t>
      </w:r>
      <w:proofErr w:type="spellEnd"/>
      <w:r w:rsidRPr="003B5B50">
        <w:rPr>
          <w:rFonts w:asciiTheme="minorHAnsi" w:hAnsiTheme="minorHAnsi"/>
        </w:rPr>
        <w:t xml:space="preserve"> and BSC over a mean duration of exposure of 24 weeks.</w:t>
      </w:r>
      <w:bookmarkStart w:id="40" w:name="_Toc476306891"/>
      <w:bookmarkStart w:id="41" w:name="_Toc481339867"/>
      <w:bookmarkStart w:id="42" w:name="_Toc481410712"/>
    </w:p>
    <w:p w:rsidR="00B10DD6" w:rsidRPr="00305930" w:rsidRDefault="00B10DD6" w:rsidP="005123EA">
      <w:pPr>
        <w:pStyle w:val="Heading2"/>
        <w:keepNext/>
        <w:widowControl/>
        <w:rPr>
          <w:rFonts w:asciiTheme="minorHAnsi" w:hAnsiTheme="minorHAnsi"/>
        </w:rPr>
      </w:pPr>
      <w:r w:rsidRPr="00DD48DB">
        <w:rPr>
          <w:rFonts w:asciiTheme="minorHAnsi" w:hAnsiTheme="minorHAnsi"/>
        </w:rPr>
        <w:t>Cli</w:t>
      </w:r>
      <w:r w:rsidRPr="00305930">
        <w:rPr>
          <w:rFonts w:asciiTheme="minorHAnsi" w:hAnsiTheme="minorHAnsi"/>
        </w:rPr>
        <w:t>nical claim</w:t>
      </w:r>
      <w:bookmarkEnd w:id="39"/>
      <w:bookmarkEnd w:id="40"/>
      <w:bookmarkEnd w:id="41"/>
      <w:bookmarkEnd w:id="42"/>
    </w:p>
    <w:p w:rsidR="00B10DD6" w:rsidRPr="00963601" w:rsidRDefault="00B10DD6" w:rsidP="005123EA">
      <w:pPr>
        <w:pStyle w:val="ListParagraph"/>
        <w:widowControl/>
        <w:numPr>
          <w:ilvl w:val="1"/>
          <w:numId w:val="2"/>
        </w:numPr>
        <w:contextualSpacing w:val="0"/>
        <w:rPr>
          <w:rFonts w:asciiTheme="minorHAnsi" w:hAnsiTheme="minorHAnsi"/>
          <w:i/>
        </w:rPr>
      </w:pPr>
      <w:r w:rsidRPr="000C43A7">
        <w:rPr>
          <w:rFonts w:asciiTheme="minorHAnsi" w:hAnsiTheme="minorHAnsi"/>
        </w:rPr>
        <w:t xml:space="preserve">The submission described </w:t>
      </w:r>
      <w:proofErr w:type="spellStart"/>
      <w:r w:rsidRPr="000C43A7">
        <w:rPr>
          <w:rFonts w:asciiTheme="minorHAnsi" w:hAnsiTheme="minorHAnsi"/>
        </w:rPr>
        <w:t>asfotase</w:t>
      </w:r>
      <w:proofErr w:type="spellEnd"/>
      <w:r w:rsidRPr="000C43A7">
        <w:rPr>
          <w:rFonts w:asciiTheme="minorHAnsi" w:hAnsiTheme="minorHAnsi"/>
        </w:rPr>
        <w:t xml:space="preserve"> alfa </w:t>
      </w:r>
      <w:proofErr w:type="spellStart"/>
      <w:r w:rsidR="00465F17" w:rsidRPr="00465F17">
        <w:rPr>
          <w:rFonts w:asciiTheme="minorHAnsi" w:hAnsiTheme="minorHAnsi"/>
          <w:i/>
        </w:rPr>
        <w:t>rch</w:t>
      </w:r>
      <w:proofErr w:type="spellEnd"/>
      <w:r w:rsidRPr="000C43A7">
        <w:rPr>
          <w:rFonts w:asciiTheme="minorHAnsi" w:hAnsiTheme="minorHAnsi"/>
        </w:rPr>
        <w:t xml:space="preserve"> in paediatric-onset HPP as superior in terms of comparative effectiveness and non-inferior in terms of comparative safety over best supportive care.</w:t>
      </w:r>
      <w:r w:rsidR="00540116">
        <w:rPr>
          <w:rFonts w:asciiTheme="minorHAnsi" w:hAnsiTheme="minorHAnsi"/>
        </w:rPr>
        <w:t xml:space="preserve"> </w:t>
      </w:r>
    </w:p>
    <w:p w:rsidR="00B073CD" w:rsidRPr="00F471D7" w:rsidRDefault="00B10DD6" w:rsidP="005123EA">
      <w:pPr>
        <w:pStyle w:val="ListParagraph"/>
        <w:widowControl/>
        <w:numPr>
          <w:ilvl w:val="1"/>
          <w:numId w:val="2"/>
        </w:numPr>
        <w:contextualSpacing w:val="0"/>
        <w:rPr>
          <w:rFonts w:asciiTheme="minorHAnsi" w:hAnsiTheme="minorHAnsi"/>
        </w:rPr>
      </w:pPr>
      <w:r w:rsidRPr="00F471D7">
        <w:rPr>
          <w:rFonts w:asciiTheme="minorHAnsi" w:hAnsiTheme="minorHAnsi"/>
        </w:rPr>
        <w:t>Th</w:t>
      </w:r>
      <w:r w:rsidR="00B073CD" w:rsidRPr="00F471D7">
        <w:rPr>
          <w:rFonts w:asciiTheme="minorHAnsi" w:hAnsiTheme="minorHAnsi"/>
        </w:rPr>
        <w:t>e</w:t>
      </w:r>
      <w:r w:rsidRPr="00F471D7">
        <w:rPr>
          <w:rFonts w:asciiTheme="minorHAnsi" w:hAnsiTheme="minorHAnsi"/>
        </w:rPr>
        <w:t xml:space="preserve"> </w:t>
      </w:r>
      <w:r w:rsidR="00ED2A49">
        <w:rPr>
          <w:rFonts w:asciiTheme="minorHAnsi" w:hAnsiTheme="minorHAnsi"/>
        </w:rPr>
        <w:t xml:space="preserve">submission demonstrated a significant difference in </w:t>
      </w:r>
      <w:r w:rsidRPr="00F471D7">
        <w:rPr>
          <w:rFonts w:asciiTheme="minorHAnsi" w:hAnsiTheme="minorHAnsi"/>
        </w:rPr>
        <w:t xml:space="preserve">relation to the primary outcome of </w:t>
      </w:r>
      <w:r w:rsidR="00B96627">
        <w:rPr>
          <w:rFonts w:asciiTheme="minorHAnsi" w:hAnsiTheme="minorHAnsi"/>
        </w:rPr>
        <w:t>reduction</w:t>
      </w:r>
      <w:r w:rsidR="00B96627" w:rsidRPr="00F471D7">
        <w:rPr>
          <w:rFonts w:asciiTheme="minorHAnsi" w:hAnsiTheme="minorHAnsi"/>
        </w:rPr>
        <w:t xml:space="preserve"> </w:t>
      </w:r>
      <w:r w:rsidRPr="00F471D7">
        <w:rPr>
          <w:rFonts w:asciiTheme="minorHAnsi" w:hAnsiTheme="minorHAnsi"/>
        </w:rPr>
        <w:t xml:space="preserve">in </w:t>
      </w:r>
      <w:proofErr w:type="spellStart"/>
      <w:r w:rsidRPr="00F471D7">
        <w:rPr>
          <w:rFonts w:asciiTheme="minorHAnsi" w:hAnsiTheme="minorHAnsi"/>
        </w:rPr>
        <w:t>PPi</w:t>
      </w:r>
      <w:proofErr w:type="spellEnd"/>
      <w:r w:rsidRPr="00F471D7">
        <w:rPr>
          <w:rFonts w:asciiTheme="minorHAnsi" w:hAnsiTheme="minorHAnsi"/>
        </w:rPr>
        <w:t xml:space="preserve"> and PLP levels in the randomised comparat</w:t>
      </w:r>
      <w:r w:rsidR="00ED2A49">
        <w:rPr>
          <w:rFonts w:asciiTheme="minorHAnsi" w:hAnsiTheme="minorHAnsi"/>
        </w:rPr>
        <w:t>ive trial ENB</w:t>
      </w:r>
      <w:r w:rsidR="00ED2A49">
        <w:rPr>
          <w:rFonts w:asciiTheme="minorHAnsi" w:hAnsiTheme="minorHAnsi"/>
        </w:rPr>
        <w:noBreakHyphen/>
      </w:r>
      <w:r w:rsidR="00DA544B">
        <w:rPr>
          <w:rFonts w:asciiTheme="minorHAnsi" w:hAnsiTheme="minorHAnsi"/>
        </w:rPr>
        <w:t>009-10 at the pre</w:t>
      </w:r>
      <w:r w:rsidR="00DA544B">
        <w:rPr>
          <w:rFonts w:asciiTheme="minorHAnsi" w:hAnsiTheme="minorHAnsi"/>
        </w:rPr>
        <w:noBreakHyphen/>
      </w:r>
      <w:r w:rsidRPr="00F471D7">
        <w:rPr>
          <w:rFonts w:asciiTheme="minorHAnsi" w:hAnsiTheme="minorHAnsi"/>
        </w:rPr>
        <w:t>s</w:t>
      </w:r>
      <w:r w:rsidR="00963601" w:rsidRPr="00F471D7">
        <w:rPr>
          <w:rFonts w:asciiTheme="minorHAnsi" w:hAnsiTheme="minorHAnsi"/>
        </w:rPr>
        <w:t>pecified endpoint of Week 24</w:t>
      </w:r>
      <w:r w:rsidR="00ED2A49">
        <w:rPr>
          <w:rFonts w:asciiTheme="minorHAnsi" w:hAnsiTheme="minorHAnsi"/>
        </w:rPr>
        <w:t>. T</w:t>
      </w:r>
      <w:r w:rsidR="003B5B50" w:rsidRPr="00F471D7">
        <w:rPr>
          <w:rFonts w:asciiTheme="minorHAnsi" w:hAnsiTheme="minorHAnsi"/>
        </w:rPr>
        <w:t xml:space="preserve">he submission </w:t>
      </w:r>
      <w:r w:rsidR="00ED2A49">
        <w:rPr>
          <w:rFonts w:asciiTheme="minorHAnsi" w:hAnsiTheme="minorHAnsi"/>
        </w:rPr>
        <w:t xml:space="preserve">stated </w:t>
      </w:r>
      <w:r w:rsidR="003B5B50" w:rsidRPr="00F471D7">
        <w:rPr>
          <w:rFonts w:asciiTheme="minorHAnsi" w:hAnsiTheme="minorHAnsi"/>
        </w:rPr>
        <w:t>that the</w:t>
      </w:r>
      <w:r w:rsidR="00ED2A49">
        <w:rPr>
          <w:rFonts w:asciiTheme="minorHAnsi" w:hAnsiTheme="minorHAnsi"/>
        </w:rPr>
        <w:t>se</w:t>
      </w:r>
      <w:r w:rsidR="003B5B50" w:rsidRPr="00F471D7">
        <w:rPr>
          <w:rFonts w:asciiTheme="minorHAnsi" w:hAnsiTheme="minorHAnsi"/>
        </w:rPr>
        <w:t xml:space="preserve"> results implied that </w:t>
      </w:r>
      <w:proofErr w:type="spellStart"/>
      <w:r w:rsidR="003B5B50" w:rsidRPr="00F471D7">
        <w:rPr>
          <w:rFonts w:asciiTheme="minorHAnsi" w:hAnsiTheme="minorHAnsi"/>
        </w:rPr>
        <w:t>asfotase</w:t>
      </w:r>
      <w:proofErr w:type="spellEnd"/>
      <w:r w:rsidR="003B5B50"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003B5B50" w:rsidRPr="00F471D7">
        <w:rPr>
          <w:rFonts w:asciiTheme="minorHAnsi" w:hAnsiTheme="minorHAnsi"/>
        </w:rPr>
        <w:t xml:space="preserve"> has a direct effect on the underlying</w:t>
      </w:r>
      <w:r w:rsidR="00ED2A49">
        <w:rPr>
          <w:rFonts w:asciiTheme="minorHAnsi" w:hAnsiTheme="minorHAnsi"/>
        </w:rPr>
        <w:t xml:space="preserve"> disease pathophysiology of HPP</w:t>
      </w:r>
      <w:r w:rsidR="003B5B50" w:rsidRPr="00F471D7">
        <w:rPr>
          <w:rFonts w:asciiTheme="minorHAnsi" w:hAnsiTheme="minorHAnsi"/>
        </w:rPr>
        <w:t xml:space="preserve"> and that it should be expected to have a positive effect on bone mineralisation and skeletal structure</w:t>
      </w:r>
      <w:r w:rsidR="00963601" w:rsidRPr="00F471D7">
        <w:rPr>
          <w:rFonts w:asciiTheme="minorHAnsi" w:hAnsiTheme="minorHAnsi"/>
        </w:rPr>
        <w:t>.</w:t>
      </w:r>
      <w:r w:rsidR="00540116" w:rsidRPr="00F471D7">
        <w:rPr>
          <w:rFonts w:asciiTheme="minorHAnsi" w:hAnsiTheme="minorHAnsi"/>
        </w:rPr>
        <w:t xml:space="preserve"> </w:t>
      </w:r>
      <w:r w:rsidR="00B073CD" w:rsidRPr="00F471D7">
        <w:rPr>
          <w:rFonts w:asciiTheme="minorHAnsi" w:hAnsiTheme="minorHAnsi"/>
        </w:rPr>
        <w:t xml:space="preserve">However, the submission did not indicate what difference in </w:t>
      </w:r>
      <w:proofErr w:type="spellStart"/>
      <w:r w:rsidR="00B073CD" w:rsidRPr="00F471D7">
        <w:rPr>
          <w:rFonts w:asciiTheme="minorHAnsi" w:hAnsiTheme="minorHAnsi"/>
        </w:rPr>
        <w:t>PPi</w:t>
      </w:r>
      <w:proofErr w:type="spellEnd"/>
      <w:r w:rsidR="00B073CD" w:rsidRPr="00F471D7">
        <w:rPr>
          <w:rFonts w:asciiTheme="minorHAnsi" w:hAnsiTheme="minorHAnsi"/>
        </w:rPr>
        <w:t xml:space="preserve"> and PLP would be clinically meaningful for patients.</w:t>
      </w:r>
      <w:r w:rsidR="00540116" w:rsidRPr="00F471D7">
        <w:rPr>
          <w:rFonts w:asciiTheme="minorHAnsi" w:hAnsiTheme="minorHAnsi"/>
        </w:rPr>
        <w:t xml:space="preserve"> </w:t>
      </w:r>
    </w:p>
    <w:p w:rsidR="00B10DD6" w:rsidRPr="00F471D7" w:rsidRDefault="00963601" w:rsidP="005123EA">
      <w:pPr>
        <w:pStyle w:val="ListParagraph"/>
        <w:widowControl/>
        <w:numPr>
          <w:ilvl w:val="1"/>
          <w:numId w:val="2"/>
        </w:numPr>
        <w:contextualSpacing w:val="0"/>
        <w:rPr>
          <w:rFonts w:asciiTheme="minorHAnsi" w:hAnsiTheme="minorHAnsi"/>
        </w:rPr>
      </w:pPr>
      <w:r w:rsidRPr="000E7B17">
        <w:rPr>
          <w:rFonts w:asciiTheme="minorHAnsi" w:hAnsiTheme="minorHAnsi"/>
        </w:rPr>
        <w:t>In considering</w:t>
      </w:r>
      <w:r w:rsidR="00B10DD6" w:rsidRPr="000E7B17">
        <w:rPr>
          <w:rFonts w:asciiTheme="minorHAnsi" w:hAnsiTheme="minorHAnsi"/>
        </w:rPr>
        <w:t xml:space="preserve"> overall survival and improvement in the 6MWT distance per</w:t>
      </w:r>
      <w:r w:rsidR="005044DF" w:rsidRPr="000E7B17">
        <w:rPr>
          <w:rFonts w:asciiTheme="minorHAnsi" w:hAnsiTheme="minorHAnsi"/>
        </w:rPr>
        <w:t xml:space="preserve"> </w:t>
      </w:r>
      <w:r w:rsidR="00B10DD6" w:rsidRPr="000E7B17">
        <w:rPr>
          <w:rFonts w:asciiTheme="minorHAnsi" w:hAnsiTheme="minorHAnsi"/>
        </w:rPr>
        <w:t xml:space="preserve">cent predicted, the </w:t>
      </w:r>
      <w:r w:rsidR="002E03C3" w:rsidRPr="000E7B17">
        <w:rPr>
          <w:rFonts w:asciiTheme="minorHAnsi" w:hAnsiTheme="minorHAnsi"/>
        </w:rPr>
        <w:t xml:space="preserve">ESC considered that the </w:t>
      </w:r>
      <w:r w:rsidR="00B10DD6" w:rsidRPr="000E7B17">
        <w:rPr>
          <w:rFonts w:asciiTheme="minorHAnsi" w:hAnsiTheme="minorHAnsi"/>
        </w:rPr>
        <w:t>submission’s</w:t>
      </w:r>
      <w:r w:rsidR="00B10DD6" w:rsidRPr="00F471D7">
        <w:rPr>
          <w:rFonts w:asciiTheme="minorHAnsi" w:hAnsiTheme="minorHAnsi"/>
        </w:rPr>
        <w:t xml:space="preserve"> claim </w:t>
      </w:r>
      <w:r w:rsidR="00B073CD" w:rsidRPr="00F471D7">
        <w:rPr>
          <w:rFonts w:asciiTheme="minorHAnsi" w:hAnsiTheme="minorHAnsi"/>
        </w:rPr>
        <w:t xml:space="preserve">of superiority in comparative effectiveness </w:t>
      </w:r>
      <w:r w:rsidR="005044DF" w:rsidRPr="00F471D7">
        <w:rPr>
          <w:rFonts w:asciiTheme="minorHAnsi" w:hAnsiTheme="minorHAnsi"/>
        </w:rPr>
        <w:t xml:space="preserve">was not adequately supported </w:t>
      </w:r>
      <w:r w:rsidR="00B10DD6" w:rsidRPr="00F471D7">
        <w:rPr>
          <w:rFonts w:asciiTheme="minorHAnsi" w:hAnsiTheme="minorHAnsi"/>
        </w:rPr>
        <w:t>for the entire population of patients with paediatric-onset HPP for the following reasons:</w:t>
      </w:r>
    </w:p>
    <w:p w:rsidR="00B10DD6" w:rsidRPr="00F471D7" w:rsidRDefault="00B10DD6" w:rsidP="005123EA">
      <w:pPr>
        <w:pStyle w:val="ListParagraph"/>
        <w:widowControl/>
        <w:numPr>
          <w:ilvl w:val="1"/>
          <w:numId w:val="11"/>
        </w:numPr>
        <w:ind w:left="851" w:hanging="284"/>
        <w:contextualSpacing w:val="0"/>
        <w:rPr>
          <w:rFonts w:asciiTheme="minorHAnsi" w:hAnsiTheme="minorHAnsi"/>
        </w:rPr>
      </w:pPr>
      <w:r w:rsidRPr="00F471D7">
        <w:rPr>
          <w:rFonts w:asciiTheme="minorHAnsi" w:hAnsiTheme="minorHAnsi"/>
        </w:rPr>
        <w:t xml:space="preserve">In the absence of concurrent control groups in all but one of the prospective trials, a comparison to historical controls was subject to </w:t>
      </w:r>
      <w:r w:rsidR="00043E37">
        <w:rPr>
          <w:rFonts w:asciiTheme="minorHAnsi" w:hAnsiTheme="minorHAnsi"/>
        </w:rPr>
        <w:t xml:space="preserve">potential </w:t>
      </w:r>
      <w:r w:rsidRPr="00F471D7">
        <w:rPr>
          <w:rFonts w:asciiTheme="minorHAnsi" w:hAnsiTheme="minorHAnsi"/>
        </w:rPr>
        <w:t>bias and considerable uncertainty;</w:t>
      </w:r>
    </w:p>
    <w:p w:rsidR="00B10DD6" w:rsidRPr="00F471D7" w:rsidRDefault="00B10DD6" w:rsidP="005123EA">
      <w:pPr>
        <w:pStyle w:val="ListParagraph"/>
        <w:widowControl/>
        <w:numPr>
          <w:ilvl w:val="1"/>
          <w:numId w:val="11"/>
        </w:numPr>
        <w:ind w:left="851" w:hanging="284"/>
        <w:contextualSpacing w:val="0"/>
        <w:rPr>
          <w:rFonts w:asciiTheme="minorHAnsi" w:hAnsiTheme="minorHAnsi"/>
        </w:rPr>
      </w:pPr>
      <w:r w:rsidRPr="00F471D7">
        <w:rPr>
          <w:rFonts w:asciiTheme="minorHAnsi" w:hAnsiTheme="minorHAnsi"/>
        </w:rPr>
        <w:t>Baseline characteristics were not available for some of the historical control patients</w:t>
      </w:r>
      <w:r w:rsidR="00E67425">
        <w:rPr>
          <w:rFonts w:asciiTheme="minorHAnsi" w:hAnsiTheme="minorHAnsi"/>
        </w:rPr>
        <w:t>,</w:t>
      </w:r>
      <w:r w:rsidRPr="00F471D7">
        <w:rPr>
          <w:rFonts w:asciiTheme="minorHAnsi" w:hAnsiTheme="minorHAnsi"/>
        </w:rPr>
        <w:t xml:space="preserve"> making a meaningful comparison difficult;</w:t>
      </w:r>
      <w:r w:rsidR="00540116" w:rsidRPr="00F471D7">
        <w:rPr>
          <w:rFonts w:asciiTheme="minorHAnsi" w:hAnsiTheme="minorHAnsi"/>
        </w:rPr>
        <w:t xml:space="preserve"> </w:t>
      </w:r>
    </w:p>
    <w:p w:rsidR="00B10DD6" w:rsidRPr="00F471D7" w:rsidRDefault="00B10DD6" w:rsidP="005123EA">
      <w:pPr>
        <w:pStyle w:val="ListParagraph"/>
        <w:widowControl/>
        <w:numPr>
          <w:ilvl w:val="1"/>
          <w:numId w:val="11"/>
        </w:numPr>
        <w:ind w:left="851" w:hanging="284"/>
        <w:contextualSpacing w:val="0"/>
        <w:rPr>
          <w:rFonts w:asciiTheme="minorHAnsi" w:hAnsiTheme="minorHAnsi"/>
        </w:rPr>
      </w:pPr>
      <w:r w:rsidRPr="00F471D7">
        <w:rPr>
          <w:rFonts w:asciiTheme="minorHAnsi" w:hAnsiTheme="minorHAnsi"/>
        </w:rPr>
        <w:t xml:space="preserve">The submission did not demonstrate statistically significant differences in terms of observed/predicted 6MWT distance for patients treated with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Pr="00F471D7">
        <w:rPr>
          <w:rFonts w:asciiTheme="minorHAnsi" w:hAnsiTheme="minorHAnsi"/>
        </w:rPr>
        <w:t xml:space="preserve"> compared </w:t>
      </w:r>
      <w:r w:rsidR="007D191F">
        <w:rPr>
          <w:rFonts w:asciiTheme="minorHAnsi" w:hAnsiTheme="minorHAnsi"/>
        </w:rPr>
        <w:t>with</w:t>
      </w:r>
      <w:r w:rsidR="007D191F" w:rsidRPr="00F471D7">
        <w:rPr>
          <w:rFonts w:asciiTheme="minorHAnsi" w:hAnsiTheme="minorHAnsi"/>
        </w:rPr>
        <w:t xml:space="preserve"> </w:t>
      </w:r>
      <w:r w:rsidRPr="00F471D7">
        <w:rPr>
          <w:rFonts w:asciiTheme="minorHAnsi" w:hAnsiTheme="minorHAnsi"/>
        </w:rPr>
        <w:t>BSC;</w:t>
      </w:r>
    </w:p>
    <w:p w:rsidR="00745EFB" w:rsidRPr="00F471D7" w:rsidRDefault="004A7646" w:rsidP="005123EA">
      <w:pPr>
        <w:pStyle w:val="ListParagraph"/>
        <w:widowControl/>
        <w:numPr>
          <w:ilvl w:val="1"/>
          <w:numId w:val="11"/>
        </w:numPr>
        <w:ind w:left="851" w:hanging="284"/>
        <w:contextualSpacing w:val="0"/>
        <w:rPr>
          <w:rFonts w:asciiTheme="minorHAnsi" w:hAnsiTheme="minorHAnsi"/>
        </w:rPr>
      </w:pPr>
      <w:r w:rsidRPr="00F471D7">
        <w:rPr>
          <w:rFonts w:asciiTheme="minorHAnsi" w:hAnsiTheme="minorHAnsi"/>
        </w:rPr>
        <w:t>O</w:t>
      </w:r>
      <w:r w:rsidR="00745EFB" w:rsidRPr="00F471D7">
        <w:rPr>
          <w:rFonts w:asciiTheme="minorHAnsi" w:hAnsiTheme="minorHAnsi"/>
        </w:rPr>
        <w:t xml:space="preserve">verall survival data was </w:t>
      </w:r>
      <w:r w:rsidRPr="00F471D7">
        <w:rPr>
          <w:rFonts w:asciiTheme="minorHAnsi" w:hAnsiTheme="minorHAnsi"/>
        </w:rPr>
        <w:t xml:space="preserve">only </w:t>
      </w:r>
      <w:r w:rsidR="00745EFB" w:rsidRPr="00F471D7">
        <w:rPr>
          <w:rFonts w:asciiTheme="minorHAnsi" w:hAnsiTheme="minorHAnsi"/>
        </w:rPr>
        <w:t xml:space="preserve">reported for </w:t>
      </w:r>
      <w:r w:rsidRPr="00F471D7">
        <w:rPr>
          <w:rFonts w:asciiTheme="minorHAnsi" w:hAnsiTheme="minorHAnsi"/>
        </w:rPr>
        <w:t>perinatal</w:t>
      </w:r>
      <w:r w:rsidR="00824118" w:rsidRPr="00F471D7">
        <w:rPr>
          <w:rFonts w:asciiTheme="minorHAnsi" w:hAnsiTheme="minorHAnsi"/>
        </w:rPr>
        <w:t>-</w:t>
      </w:r>
      <w:r w:rsidRPr="00F471D7">
        <w:rPr>
          <w:rFonts w:asciiTheme="minorHAnsi" w:hAnsiTheme="minorHAnsi"/>
        </w:rPr>
        <w:t xml:space="preserve"> and infantile</w:t>
      </w:r>
      <w:r w:rsidR="00824118" w:rsidRPr="00F471D7">
        <w:rPr>
          <w:rFonts w:asciiTheme="minorHAnsi" w:hAnsiTheme="minorHAnsi"/>
        </w:rPr>
        <w:t>-</w:t>
      </w:r>
      <w:r w:rsidRPr="00F471D7">
        <w:rPr>
          <w:rFonts w:asciiTheme="minorHAnsi" w:hAnsiTheme="minorHAnsi"/>
        </w:rPr>
        <w:t xml:space="preserve">onset HPP (onset before or at birth, to 6 months of age). No overall survival data was reported for </w:t>
      </w:r>
      <w:r w:rsidR="00745EFB" w:rsidRPr="00F471D7">
        <w:rPr>
          <w:rFonts w:asciiTheme="minorHAnsi" w:hAnsiTheme="minorHAnsi"/>
        </w:rPr>
        <w:t>juvenile</w:t>
      </w:r>
      <w:r w:rsidRPr="00F471D7">
        <w:rPr>
          <w:rFonts w:asciiTheme="minorHAnsi" w:hAnsiTheme="minorHAnsi"/>
        </w:rPr>
        <w:t>-onset HPP (6 months - 17 years);</w:t>
      </w:r>
    </w:p>
    <w:p w:rsidR="00B10DD6" w:rsidRPr="00F471D7" w:rsidRDefault="00B10DD6" w:rsidP="005123EA">
      <w:pPr>
        <w:pStyle w:val="ListParagraph"/>
        <w:widowControl/>
        <w:numPr>
          <w:ilvl w:val="1"/>
          <w:numId w:val="11"/>
        </w:numPr>
        <w:ind w:left="851" w:hanging="284"/>
        <w:contextualSpacing w:val="0"/>
        <w:rPr>
          <w:rFonts w:asciiTheme="minorHAnsi" w:hAnsiTheme="minorHAnsi"/>
        </w:rPr>
      </w:pPr>
      <w:r w:rsidRPr="00F471D7">
        <w:rPr>
          <w:rFonts w:asciiTheme="minorHAnsi" w:hAnsiTheme="minorHAnsi"/>
        </w:rPr>
        <w:t>The submission did not address the validity of using a surrogate (6MWT) to final</w:t>
      </w:r>
      <w:r w:rsidR="007D191F">
        <w:rPr>
          <w:rFonts w:asciiTheme="minorHAnsi" w:hAnsiTheme="minorHAnsi"/>
        </w:rPr>
        <w:t>,</w:t>
      </w:r>
      <w:r w:rsidRPr="00F471D7">
        <w:rPr>
          <w:rFonts w:asciiTheme="minorHAnsi" w:hAnsiTheme="minorHAnsi"/>
        </w:rPr>
        <w:t xml:space="preserve"> patient relevant</w:t>
      </w:r>
      <w:r w:rsidR="007D191F">
        <w:rPr>
          <w:rFonts w:asciiTheme="minorHAnsi" w:hAnsiTheme="minorHAnsi"/>
        </w:rPr>
        <w:t>,</w:t>
      </w:r>
      <w:r w:rsidRPr="00F471D7">
        <w:rPr>
          <w:rFonts w:asciiTheme="minorHAnsi" w:hAnsiTheme="minorHAnsi"/>
        </w:rPr>
        <w:t xml:space="preserve"> outcomes </w:t>
      </w:r>
      <w:r w:rsidR="007D191F">
        <w:rPr>
          <w:rFonts w:asciiTheme="minorHAnsi" w:hAnsiTheme="minorHAnsi"/>
        </w:rPr>
        <w:t>in line with the PBAC Guidelines V5.0</w:t>
      </w:r>
      <w:r w:rsidRPr="00F471D7">
        <w:rPr>
          <w:rFonts w:asciiTheme="minorHAnsi" w:hAnsiTheme="minorHAnsi"/>
        </w:rPr>
        <w:t xml:space="preserve">; and </w:t>
      </w:r>
    </w:p>
    <w:p w:rsidR="00B10DD6" w:rsidRDefault="00B10DD6" w:rsidP="005123EA">
      <w:pPr>
        <w:pStyle w:val="ListParagraph"/>
        <w:widowControl/>
        <w:numPr>
          <w:ilvl w:val="1"/>
          <w:numId w:val="11"/>
        </w:numPr>
        <w:ind w:left="851" w:hanging="284"/>
        <w:contextualSpacing w:val="0"/>
        <w:rPr>
          <w:rFonts w:asciiTheme="minorHAnsi" w:hAnsiTheme="minorHAnsi"/>
        </w:rPr>
      </w:pPr>
      <w:r w:rsidRPr="00F471D7">
        <w:rPr>
          <w:rFonts w:asciiTheme="minorHAnsi" w:hAnsiTheme="minorHAnsi"/>
        </w:rPr>
        <w:t>Overall, the clinical evidence presented did not provide a strong estimate of the size of the benefit or a good indication of the likely variation in the effect of treatment.</w:t>
      </w:r>
      <w:r w:rsidR="00540116" w:rsidRPr="00F471D7">
        <w:rPr>
          <w:rFonts w:asciiTheme="minorHAnsi" w:hAnsiTheme="minorHAnsi"/>
        </w:rPr>
        <w:t xml:space="preserve"> </w:t>
      </w:r>
    </w:p>
    <w:p w:rsidR="00ED2A49" w:rsidRDefault="00ED2A49" w:rsidP="005123EA">
      <w:pPr>
        <w:pStyle w:val="ListParagraph"/>
        <w:widowControl/>
        <w:numPr>
          <w:ilvl w:val="1"/>
          <w:numId w:val="2"/>
        </w:numPr>
        <w:contextualSpacing w:val="0"/>
        <w:rPr>
          <w:rFonts w:asciiTheme="minorHAnsi" w:hAnsiTheme="minorHAnsi"/>
        </w:rPr>
      </w:pPr>
      <w:r w:rsidRPr="00F471D7">
        <w:rPr>
          <w:rFonts w:asciiTheme="minorHAnsi" w:hAnsiTheme="minorHAnsi"/>
        </w:rPr>
        <w:t xml:space="preserve">The submission did not show non-inferiority in terms of comparative safety as there was a greater number of “General disorders &amp; administration site conditions” for patients treated with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Pr="00ED2A49">
        <w:rPr>
          <w:rFonts w:asciiTheme="minorHAnsi" w:hAnsiTheme="minorHAnsi"/>
        </w:rPr>
        <w:t>rch</w:t>
      </w:r>
      <w:proofErr w:type="spellEnd"/>
      <w:r w:rsidRPr="00F471D7">
        <w:rPr>
          <w:rFonts w:asciiTheme="minorHAnsi" w:hAnsiTheme="minorHAnsi"/>
        </w:rPr>
        <w:t xml:space="preserve"> compared to best supportive care in Trial ENB</w:t>
      </w:r>
      <w:r w:rsidRPr="00F471D7">
        <w:rPr>
          <w:rFonts w:asciiTheme="minorHAnsi" w:hAnsiTheme="minorHAnsi"/>
        </w:rPr>
        <w:noBreakHyphen/>
        <w:t xml:space="preserve">009-10. Additionally, there </w:t>
      </w:r>
      <w:proofErr w:type="gramStart"/>
      <w:r w:rsidRPr="000E7B17">
        <w:rPr>
          <w:rFonts w:asciiTheme="minorHAnsi" w:hAnsiTheme="minorHAnsi"/>
        </w:rPr>
        <w:t>are limited long-term efficacy</w:t>
      </w:r>
      <w:proofErr w:type="gramEnd"/>
      <w:r w:rsidRPr="00F471D7">
        <w:rPr>
          <w:rFonts w:asciiTheme="minorHAnsi" w:hAnsiTheme="minorHAnsi"/>
        </w:rPr>
        <w:t xml:space="preserve"> or safety data for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Pr="00ED2A49">
        <w:rPr>
          <w:rFonts w:asciiTheme="minorHAnsi" w:hAnsiTheme="minorHAnsi"/>
          <w:i/>
        </w:rPr>
        <w:t>rch</w:t>
      </w:r>
      <w:proofErr w:type="spellEnd"/>
      <w:r w:rsidRPr="00F471D7">
        <w:rPr>
          <w:rFonts w:asciiTheme="minorHAnsi" w:hAnsiTheme="minorHAnsi"/>
        </w:rPr>
        <w:t>.</w:t>
      </w:r>
      <w:r>
        <w:rPr>
          <w:rFonts w:asciiTheme="minorHAnsi" w:hAnsiTheme="minorHAnsi"/>
        </w:rPr>
        <w:t xml:space="preserve"> </w:t>
      </w:r>
    </w:p>
    <w:p w:rsidR="004B2F16" w:rsidRDefault="007E2A83" w:rsidP="00C91975">
      <w:pPr>
        <w:pStyle w:val="ListParagraph"/>
        <w:widowControl/>
        <w:numPr>
          <w:ilvl w:val="1"/>
          <w:numId w:val="2"/>
        </w:numPr>
        <w:contextualSpacing w:val="0"/>
        <w:rPr>
          <w:rFonts w:asciiTheme="minorHAnsi" w:hAnsiTheme="minorHAnsi"/>
        </w:rPr>
      </w:pPr>
      <w:r>
        <w:rPr>
          <w:rFonts w:asciiTheme="minorHAnsi" w:hAnsiTheme="minorHAnsi"/>
        </w:rPr>
        <w:t>The PBAC considered that the claim of superior comparative effectiveness</w:t>
      </w:r>
      <w:r w:rsidR="004B2F16">
        <w:rPr>
          <w:rFonts w:asciiTheme="minorHAnsi" w:hAnsiTheme="minorHAnsi"/>
        </w:rPr>
        <w:t>,</w:t>
      </w:r>
      <w:r>
        <w:rPr>
          <w:rFonts w:asciiTheme="minorHAnsi" w:hAnsiTheme="minorHAnsi"/>
        </w:rPr>
        <w:t xml:space="preserve"> in terms of improved</w:t>
      </w:r>
      <w:r w:rsidR="00543981">
        <w:rPr>
          <w:rFonts w:asciiTheme="minorHAnsi" w:hAnsiTheme="minorHAnsi"/>
        </w:rPr>
        <w:t xml:space="preserve"> overall</w:t>
      </w:r>
      <w:r>
        <w:rPr>
          <w:rFonts w:asciiTheme="minorHAnsi" w:hAnsiTheme="minorHAnsi"/>
        </w:rPr>
        <w:t xml:space="preserve"> survival for </w:t>
      </w:r>
      <w:r w:rsidR="00CE438C">
        <w:rPr>
          <w:rFonts w:asciiTheme="minorHAnsi" w:hAnsiTheme="minorHAnsi"/>
        </w:rPr>
        <w:t xml:space="preserve">patients with </w:t>
      </w:r>
      <w:r>
        <w:rPr>
          <w:rFonts w:asciiTheme="minorHAnsi" w:hAnsiTheme="minorHAnsi"/>
        </w:rPr>
        <w:t xml:space="preserve">perinatal- and infantile-onset </w:t>
      </w:r>
      <w:r w:rsidR="00CE438C">
        <w:rPr>
          <w:rFonts w:asciiTheme="minorHAnsi" w:hAnsiTheme="minorHAnsi"/>
        </w:rPr>
        <w:t xml:space="preserve">who were at high risk of premature death </w:t>
      </w:r>
      <w:r w:rsidR="00CE438C" w:rsidRPr="00F471D7">
        <w:rPr>
          <w:szCs w:val="22"/>
        </w:rPr>
        <w:t>(as defined by the presence of respiratory compromise, vitamin B</w:t>
      </w:r>
      <w:r w:rsidR="00CE438C" w:rsidRPr="00FE3855">
        <w:rPr>
          <w:szCs w:val="22"/>
        </w:rPr>
        <w:t>6</w:t>
      </w:r>
      <w:r w:rsidR="00CE438C" w:rsidRPr="00F471D7">
        <w:rPr>
          <w:szCs w:val="22"/>
        </w:rPr>
        <w:t xml:space="preserve"> responsive seizures and/or rachitic chest deformity)</w:t>
      </w:r>
      <w:r>
        <w:rPr>
          <w:rFonts w:asciiTheme="minorHAnsi" w:hAnsiTheme="minorHAnsi"/>
        </w:rPr>
        <w:t xml:space="preserve"> was reasonable</w:t>
      </w:r>
      <w:r w:rsidR="00CE438C">
        <w:rPr>
          <w:rFonts w:asciiTheme="minorHAnsi" w:hAnsiTheme="minorHAnsi"/>
        </w:rPr>
        <w:t xml:space="preserve">. However, </w:t>
      </w:r>
      <w:r>
        <w:rPr>
          <w:rFonts w:asciiTheme="minorHAnsi" w:hAnsiTheme="minorHAnsi"/>
        </w:rPr>
        <w:t xml:space="preserve">the magnitude of the survival benefit was unclear given the </w:t>
      </w:r>
      <w:r w:rsidR="00C91975" w:rsidRPr="00C91975">
        <w:rPr>
          <w:rFonts w:asciiTheme="minorHAnsi" w:hAnsiTheme="minorHAnsi"/>
        </w:rPr>
        <w:t>study design</w:t>
      </w:r>
      <w:r>
        <w:rPr>
          <w:rFonts w:asciiTheme="minorHAnsi" w:hAnsiTheme="minorHAnsi"/>
        </w:rPr>
        <w:t xml:space="preserve"> </w:t>
      </w:r>
      <w:r w:rsidR="00543981">
        <w:rPr>
          <w:rFonts w:asciiTheme="minorHAnsi" w:hAnsiTheme="minorHAnsi"/>
        </w:rPr>
        <w:t xml:space="preserve">was </w:t>
      </w:r>
      <w:r>
        <w:rPr>
          <w:rFonts w:asciiTheme="minorHAnsi" w:hAnsiTheme="minorHAnsi"/>
        </w:rPr>
        <w:t xml:space="preserve">associated with a high risk of bias. </w:t>
      </w:r>
    </w:p>
    <w:p w:rsidR="008D1772" w:rsidRPr="00AC2472" w:rsidRDefault="004B2F16" w:rsidP="005123EA">
      <w:pPr>
        <w:pStyle w:val="ListParagraph"/>
        <w:widowControl/>
        <w:numPr>
          <w:ilvl w:val="1"/>
          <w:numId w:val="2"/>
        </w:numPr>
        <w:ind w:left="578"/>
        <w:contextualSpacing w:val="0"/>
        <w:rPr>
          <w:rFonts w:asciiTheme="minorHAnsi" w:hAnsiTheme="minorHAnsi"/>
        </w:rPr>
      </w:pPr>
      <w:r w:rsidRPr="00AC2472">
        <w:rPr>
          <w:rFonts w:asciiTheme="minorHAnsi" w:hAnsiTheme="minorHAnsi"/>
        </w:rPr>
        <w:t xml:space="preserve">The PBAC acknowledged that </w:t>
      </w:r>
      <w:proofErr w:type="spellStart"/>
      <w:r w:rsidRPr="00AC2472">
        <w:rPr>
          <w:rFonts w:asciiTheme="minorHAnsi" w:hAnsiTheme="minorHAnsi"/>
        </w:rPr>
        <w:t>asfotase</w:t>
      </w:r>
      <w:proofErr w:type="spellEnd"/>
      <w:r w:rsidRPr="00AC2472">
        <w:rPr>
          <w:rFonts w:asciiTheme="minorHAnsi" w:hAnsiTheme="minorHAnsi"/>
        </w:rPr>
        <w:t xml:space="preserve"> alfa appears to </w:t>
      </w:r>
      <w:r>
        <w:rPr>
          <w:rFonts w:asciiTheme="minorHAnsi" w:hAnsiTheme="minorHAnsi"/>
        </w:rPr>
        <w:t xml:space="preserve">reduce </w:t>
      </w:r>
      <w:proofErr w:type="spellStart"/>
      <w:r w:rsidRPr="00F471D7">
        <w:rPr>
          <w:rFonts w:asciiTheme="minorHAnsi" w:hAnsiTheme="minorHAnsi"/>
        </w:rPr>
        <w:t>PPi</w:t>
      </w:r>
      <w:proofErr w:type="spellEnd"/>
      <w:r w:rsidRPr="00F471D7">
        <w:rPr>
          <w:rFonts w:asciiTheme="minorHAnsi" w:hAnsiTheme="minorHAnsi"/>
        </w:rPr>
        <w:t xml:space="preserve"> and PLP levels</w:t>
      </w:r>
      <w:r>
        <w:rPr>
          <w:rFonts w:asciiTheme="minorHAnsi" w:hAnsiTheme="minorHAnsi"/>
        </w:rPr>
        <w:t>;</w:t>
      </w:r>
      <w:r w:rsidRPr="00AC2472">
        <w:rPr>
          <w:rFonts w:asciiTheme="minorHAnsi" w:hAnsiTheme="minorHAnsi"/>
        </w:rPr>
        <w:t xml:space="preserve"> however</w:t>
      </w:r>
      <w:r>
        <w:rPr>
          <w:rFonts w:asciiTheme="minorHAnsi" w:hAnsiTheme="minorHAnsi"/>
        </w:rPr>
        <w:t>, it was unclear what magnitude of changes would be clinically meaningful</w:t>
      </w:r>
      <w:r w:rsidRPr="00AC2472">
        <w:rPr>
          <w:rFonts w:asciiTheme="minorHAnsi" w:hAnsiTheme="minorHAnsi"/>
        </w:rPr>
        <w:t xml:space="preserve"> </w:t>
      </w:r>
      <w:r>
        <w:rPr>
          <w:rFonts w:asciiTheme="minorHAnsi" w:hAnsiTheme="minorHAnsi"/>
        </w:rPr>
        <w:t>for patients.</w:t>
      </w:r>
      <w:r w:rsidRPr="00AC2472" w:rsidDel="004B2F16">
        <w:rPr>
          <w:rFonts w:asciiTheme="minorHAnsi" w:hAnsiTheme="minorHAnsi"/>
        </w:rPr>
        <w:t xml:space="preserve"> </w:t>
      </w:r>
      <w:r>
        <w:rPr>
          <w:rFonts w:asciiTheme="minorHAnsi" w:hAnsiTheme="minorHAnsi"/>
        </w:rPr>
        <w:t xml:space="preserve">In addition, the </w:t>
      </w:r>
      <w:r w:rsidRPr="00F471D7">
        <w:rPr>
          <w:rFonts w:asciiTheme="minorHAnsi" w:hAnsiTheme="minorHAnsi"/>
        </w:rPr>
        <w:t xml:space="preserve">submission did not demonstrate statistically significant differences in terms of observed/predicted 6MWT distance for patients treated with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Pr="00465F17">
        <w:rPr>
          <w:rFonts w:asciiTheme="minorHAnsi" w:hAnsiTheme="minorHAnsi"/>
          <w:i/>
        </w:rPr>
        <w:t>rch</w:t>
      </w:r>
      <w:proofErr w:type="spellEnd"/>
      <w:r w:rsidRPr="00F471D7">
        <w:rPr>
          <w:rFonts w:asciiTheme="minorHAnsi" w:hAnsiTheme="minorHAnsi"/>
        </w:rPr>
        <w:t xml:space="preserve"> compared </w:t>
      </w:r>
      <w:r>
        <w:rPr>
          <w:rFonts w:asciiTheme="minorHAnsi" w:hAnsiTheme="minorHAnsi"/>
        </w:rPr>
        <w:t>with</w:t>
      </w:r>
      <w:r w:rsidRPr="00F471D7">
        <w:rPr>
          <w:rFonts w:asciiTheme="minorHAnsi" w:hAnsiTheme="minorHAnsi"/>
        </w:rPr>
        <w:t xml:space="preserve"> BSC</w:t>
      </w:r>
      <w:r>
        <w:rPr>
          <w:rFonts w:asciiTheme="minorHAnsi" w:hAnsiTheme="minorHAnsi"/>
        </w:rPr>
        <w:t xml:space="preserve">. Accordingly, the PBAC considered that the claim of superior comparative effectiveness, in terms of an improvement in morbidity for juvenile-onset HPP, was not adequately supported by the submission. </w:t>
      </w:r>
    </w:p>
    <w:p w:rsidR="008D1772" w:rsidRPr="00AC2472" w:rsidRDefault="008D1772" w:rsidP="005123EA">
      <w:pPr>
        <w:pStyle w:val="ListParagraph"/>
        <w:widowControl/>
        <w:numPr>
          <w:ilvl w:val="1"/>
          <w:numId w:val="2"/>
        </w:numPr>
        <w:ind w:left="578"/>
        <w:contextualSpacing w:val="0"/>
        <w:rPr>
          <w:rFonts w:asciiTheme="minorHAnsi" w:hAnsiTheme="minorHAnsi"/>
        </w:rPr>
      </w:pPr>
      <w:r w:rsidRPr="00AC2472">
        <w:rPr>
          <w:rFonts w:asciiTheme="minorHAnsi" w:hAnsiTheme="minorHAnsi"/>
        </w:rPr>
        <w:t xml:space="preserve">The PBAC </w:t>
      </w:r>
      <w:r w:rsidR="008F3145" w:rsidRPr="00AC2472">
        <w:rPr>
          <w:rFonts w:asciiTheme="minorHAnsi" w:hAnsiTheme="minorHAnsi"/>
        </w:rPr>
        <w:t xml:space="preserve">noted that there was a significant increase in </w:t>
      </w:r>
      <w:r w:rsidR="001072CD">
        <w:rPr>
          <w:rFonts w:asciiTheme="minorHAnsi" w:hAnsiTheme="minorHAnsi"/>
        </w:rPr>
        <w:t>“</w:t>
      </w:r>
      <w:r w:rsidR="008F3145" w:rsidRPr="00AC2472">
        <w:rPr>
          <w:rFonts w:asciiTheme="minorHAnsi" w:hAnsiTheme="minorHAnsi"/>
        </w:rPr>
        <w:t>general disorder and administration site conditions</w:t>
      </w:r>
      <w:r w:rsidR="001072CD">
        <w:rPr>
          <w:rFonts w:asciiTheme="minorHAnsi" w:hAnsiTheme="minorHAnsi"/>
        </w:rPr>
        <w:t>”</w:t>
      </w:r>
      <w:r w:rsidR="00C10C97" w:rsidRPr="00AC2472">
        <w:rPr>
          <w:rFonts w:asciiTheme="minorHAnsi" w:hAnsiTheme="minorHAnsi"/>
        </w:rPr>
        <w:t xml:space="preserve"> for patients treated with </w:t>
      </w:r>
      <w:proofErr w:type="spellStart"/>
      <w:r w:rsidR="00C10C97" w:rsidRPr="00AC2472">
        <w:rPr>
          <w:rFonts w:asciiTheme="minorHAnsi" w:hAnsiTheme="minorHAnsi"/>
        </w:rPr>
        <w:t>asfotase</w:t>
      </w:r>
      <w:proofErr w:type="spellEnd"/>
      <w:r w:rsidR="00C10C97" w:rsidRPr="00AC2472">
        <w:rPr>
          <w:rFonts w:asciiTheme="minorHAnsi" w:hAnsiTheme="minorHAnsi"/>
        </w:rPr>
        <w:t xml:space="preserve"> alfa </w:t>
      </w:r>
      <w:proofErr w:type="spellStart"/>
      <w:r w:rsidR="001072CD" w:rsidRPr="001072CD">
        <w:rPr>
          <w:rFonts w:asciiTheme="minorHAnsi" w:hAnsiTheme="minorHAnsi"/>
          <w:i/>
        </w:rPr>
        <w:t>rch</w:t>
      </w:r>
      <w:proofErr w:type="spellEnd"/>
      <w:r w:rsidR="001072CD">
        <w:rPr>
          <w:rFonts w:asciiTheme="minorHAnsi" w:hAnsiTheme="minorHAnsi"/>
        </w:rPr>
        <w:t xml:space="preserve">, </w:t>
      </w:r>
      <w:r w:rsidR="00C10C97" w:rsidRPr="00AC2472">
        <w:rPr>
          <w:rFonts w:asciiTheme="minorHAnsi" w:hAnsiTheme="minorHAnsi"/>
        </w:rPr>
        <w:t>compared with BSC</w:t>
      </w:r>
      <w:r w:rsidR="001072CD">
        <w:rPr>
          <w:rFonts w:asciiTheme="minorHAnsi" w:hAnsiTheme="minorHAnsi"/>
        </w:rPr>
        <w:t>, and</w:t>
      </w:r>
      <w:r w:rsidR="00C10C97" w:rsidRPr="00AC2472">
        <w:rPr>
          <w:rFonts w:asciiTheme="minorHAnsi" w:hAnsiTheme="minorHAnsi"/>
        </w:rPr>
        <w:t xml:space="preserve"> therefore </w:t>
      </w:r>
      <w:r w:rsidRPr="00AC2472">
        <w:rPr>
          <w:rFonts w:asciiTheme="minorHAnsi" w:hAnsiTheme="minorHAnsi"/>
        </w:rPr>
        <w:t xml:space="preserve">considered that the claim of non-inferior comparative safety was </w:t>
      </w:r>
      <w:r w:rsidR="00A87941" w:rsidRPr="00AC2472">
        <w:rPr>
          <w:rFonts w:asciiTheme="minorHAnsi" w:hAnsiTheme="minorHAnsi"/>
        </w:rPr>
        <w:t xml:space="preserve">not </w:t>
      </w:r>
      <w:r w:rsidRPr="00AC2472">
        <w:rPr>
          <w:rFonts w:asciiTheme="minorHAnsi" w:hAnsiTheme="minorHAnsi"/>
        </w:rPr>
        <w:t>supported by the data.</w:t>
      </w:r>
      <w:r w:rsidR="008F3145" w:rsidRPr="00AC2472">
        <w:rPr>
          <w:rFonts w:asciiTheme="minorHAnsi" w:hAnsiTheme="minorHAnsi"/>
        </w:rPr>
        <w:t xml:space="preserve"> </w:t>
      </w:r>
    </w:p>
    <w:p w:rsidR="00B10DD6" w:rsidRPr="00DD48DB" w:rsidRDefault="00B10DD6" w:rsidP="005123EA">
      <w:pPr>
        <w:pStyle w:val="Heading2"/>
        <w:keepNext/>
        <w:widowControl/>
      </w:pPr>
      <w:bookmarkStart w:id="43" w:name="_Toc413139282"/>
      <w:bookmarkStart w:id="44" w:name="_Toc476306892"/>
      <w:bookmarkStart w:id="45" w:name="_Toc481339868"/>
      <w:bookmarkStart w:id="46" w:name="_Toc481410713"/>
      <w:r w:rsidRPr="00D366BE">
        <w:t>Economic</w:t>
      </w:r>
      <w:r w:rsidRPr="00DD48DB">
        <w:t xml:space="preserve"> analysis</w:t>
      </w:r>
      <w:bookmarkEnd w:id="43"/>
      <w:bookmarkEnd w:id="44"/>
      <w:bookmarkEnd w:id="45"/>
      <w:bookmarkEnd w:id="46"/>
    </w:p>
    <w:p w:rsidR="00B10DD6" w:rsidRPr="003C2281" w:rsidRDefault="00B10DD6" w:rsidP="005123EA">
      <w:pPr>
        <w:pStyle w:val="ListParagraph"/>
        <w:widowControl/>
        <w:numPr>
          <w:ilvl w:val="1"/>
          <w:numId w:val="2"/>
        </w:numPr>
        <w:spacing w:before="120" w:after="160"/>
        <w:contextualSpacing w:val="0"/>
        <w:rPr>
          <w:rFonts w:asciiTheme="minorHAnsi" w:hAnsiTheme="minorHAnsi"/>
        </w:rPr>
      </w:pPr>
      <w:r w:rsidRPr="003C2281">
        <w:rPr>
          <w:rFonts w:asciiTheme="minorHAnsi" w:hAnsiTheme="minorHAnsi"/>
        </w:rPr>
        <w:t xml:space="preserve">The submission presented a </w:t>
      </w:r>
      <w:r>
        <w:rPr>
          <w:rFonts w:asciiTheme="minorHAnsi" w:hAnsiTheme="minorHAnsi"/>
        </w:rPr>
        <w:t xml:space="preserve">stepped economic evaluation that included a </w:t>
      </w:r>
      <w:r w:rsidRPr="001A5D16">
        <w:rPr>
          <w:rFonts w:asciiTheme="minorHAnsi" w:hAnsiTheme="minorHAnsi"/>
        </w:rPr>
        <w:t xml:space="preserve">cost-effectiveness analysis </w:t>
      </w:r>
      <w:r>
        <w:rPr>
          <w:rFonts w:asciiTheme="minorHAnsi" w:hAnsiTheme="minorHAnsi"/>
        </w:rPr>
        <w:t>(</w:t>
      </w:r>
      <w:r w:rsidRPr="001A5D16">
        <w:rPr>
          <w:rFonts w:asciiTheme="minorHAnsi" w:hAnsiTheme="minorHAnsi"/>
        </w:rPr>
        <w:t>incremental cost per additional metre walked in the 6MWT in the ENB-009-10 trial from Baseline to 24 weeks</w:t>
      </w:r>
      <w:r>
        <w:rPr>
          <w:rFonts w:asciiTheme="minorHAnsi" w:hAnsiTheme="minorHAnsi"/>
        </w:rPr>
        <w:t>), and</w:t>
      </w:r>
      <w:r w:rsidRPr="001A5D16">
        <w:rPr>
          <w:rFonts w:asciiTheme="minorHAnsi" w:hAnsiTheme="minorHAnsi"/>
        </w:rPr>
        <w:t xml:space="preserve"> </w:t>
      </w:r>
      <w:r>
        <w:rPr>
          <w:rFonts w:asciiTheme="minorHAnsi" w:hAnsiTheme="minorHAnsi"/>
        </w:rPr>
        <w:t>modelled cost-utility analysis.</w:t>
      </w:r>
      <w:r w:rsidR="00540116">
        <w:rPr>
          <w:rFonts w:asciiTheme="minorHAnsi" w:hAnsiTheme="minorHAnsi"/>
        </w:rPr>
        <w:t xml:space="preserve"> </w:t>
      </w:r>
      <w:r>
        <w:rPr>
          <w:rFonts w:asciiTheme="minorHAnsi" w:hAnsiTheme="minorHAnsi"/>
        </w:rPr>
        <w:t xml:space="preserve">A summary of the structure and rationale for the modelled cost-utility analysis is presented in Table </w:t>
      </w:r>
      <w:r w:rsidR="003B5B50">
        <w:rPr>
          <w:rFonts w:asciiTheme="minorHAnsi" w:hAnsiTheme="minorHAnsi"/>
        </w:rPr>
        <w:t>8</w:t>
      </w:r>
      <w:r>
        <w:rPr>
          <w:rFonts w:asciiTheme="minorHAnsi" w:hAnsiTheme="minorHAnsi"/>
        </w:rPr>
        <w:t>.</w:t>
      </w:r>
    </w:p>
    <w:p w:rsidR="002757CE" w:rsidRDefault="002757CE" w:rsidP="002757CE">
      <w:pPr>
        <w:pStyle w:val="Caption"/>
      </w:pPr>
      <w:r>
        <w:t xml:space="preserve">Table </w:t>
      </w:r>
      <w:r>
        <w:rPr>
          <w:noProof/>
        </w:rPr>
        <w:t>8</w:t>
      </w:r>
      <w:r w:rsidRPr="00C4111B">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24"/>
        <w:gridCol w:w="7658"/>
      </w:tblGrid>
      <w:tr w:rsidR="00D628F6" w:rsidRPr="00FE4046" w:rsidTr="00EF0C0F">
        <w:tc>
          <w:tcPr>
            <w:tcW w:w="784" w:type="pct"/>
            <w:shd w:val="clear" w:color="auto" w:fill="auto"/>
          </w:tcPr>
          <w:p w:rsidR="00D628F6" w:rsidRPr="00D628F6" w:rsidRDefault="00D628F6" w:rsidP="005123EA">
            <w:pPr>
              <w:pStyle w:val="TableText1"/>
              <w:keepNext w:val="0"/>
              <w:spacing w:before="0" w:after="0"/>
              <w:rPr>
                <w:b/>
              </w:rPr>
            </w:pPr>
            <w:r w:rsidRPr="00D628F6">
              <w:rPr>
                <w:b/>
              </w:rPr>
              <w:t>Component</w:t>
            </w:r>
          </w:p>
        </w:tc>
        <w:tc>
          <w:tcPr>
            <w:tcW w:w="4216" w:type="pct"/>
            <w:shd w:val="clear" w:color="auto" w:fill="auto"/>
          </w:tcPr>
          <w:p w:rsidR="00D628F6" w:rsidRPr="00D628F6" w:rsidRDefault="00D628F6" w:rsidP="005123EA">
            <w:pPr>
              <w:pStyle w:val="TableText1"/>
              <w:keepNext w:val="0"/>
              <w:spacing w:before="0" w:after="0"/>
              <w:rPr>
                <w:b/>
              </w:rPr>
            </w:pPr>
            <w:r w:rsidRPr="00D628F6">
              <w:rPr>
                <w:b/>
              </w:rPr>
              <w:t>Summary</w:t>
            </w:r>
          </w:p>
        </w:tc>
      </w:tr>
      <w:tr w:rsidR="00B10DD6" w:rsidRPr="00FE4046" w:rsidTr="00EF0C0F">
        <w:tc>
          <w:tcPr>
            <w:tcW w:w="784" w:type="pct"/>
            <w:shd w:val="clear" w:color="auto" w:fill="auto"/>
          </w:tcPr>
          <w:p w:rsidR="00B10DD6" w:rsidRPr="00FE4046" w:rsidRDefault="00B10DD6" w:rsidP="005123EA">
            <w:pPr>
              <w:pStyle w:val="TableText1"/>
              <w:keepNext w:val="0"/>
              <w:spacing w:before="0" w:after="0"/>
            </w:pPr>
            <w:r w:rsidRPr="004E2ADC">
              <w:t>Time horizon</w:t>
            </w:r>
          </w:p>
        </w:tc>
        <w:tc>
          <w:tcPr>
            <w:tcW w:w="4216" w:type="pct"/>
            <w:shd w:val="clear" w:color="auto" w:fill="auto"/>
          </w:tcPr>
          <w:p w:rsidR="00B10DD6" w:rsidRPr="00FE4046" w:rsidRDefault="00B10DD6" w:rsidP="005123EA">
            <w:pPr>
              <w:pStyle w:val="TableText1"/>
              <w:keepNext w:val="0"/>
              <w:spacing w:before="0" w:after="0"/>
            </w:pPr>
            <w:r w:rsidRPr="00BB732E">
              <w:t xml:space="preserve">101 years in the model base case versus up to 54 months for </w:t>
            </w:r>
            <w:proofErr w:type="spellStart"/>
            <w:r w:rsidRPr="00BB732E">
              <w:t>asfotase</w:t>
            </w:r>
            <w:proofErr w:type="spellEnd"/>
            <w:r w:rsidRPr="00BB732E">
              <w:t xml:space="preserve"> alfa </w:t>
            </w:r>
            <w:proofErr w:type="spellStart"/>
            <w:r w:rsidR="00465F17" w:rsidRPr="00465F17">
              <w:rPr>
                <w:i/>
              </w:rPr>
              <w:t>rch</w:t>
            </w:r>
            <w:proofErr w:type="spellEnd"/>
            <w:r w:rsidRPr="00BB732E">
              <w:t xml:space="preserve"> in the trials, and up to 15 years for best supportive care in the natural history studies</w:t>
            </w:r>
          </w:p>
        </w:tc>
      </w:tr>
      <w:tr w:rsidR="00B10DD6" w:rsidRPr="00FE4046" w:rsidTr="00EF0C0F">
        <w:tc>
          <w:tcPr>
            <w:tcW w:w="784" w:type="pct"/>
            <w:shd w:val="clear" w:color="auto" w:fill="auto"/>
          </w:tcPr>
          <w:p w:rsidR="00B10DD6" w:rsidRPr="00FE4046" w:rsidRDefault="00B10DD6" w:rsidP="005123EA">
            <w:pPr>
              <w:pStyle w:val="TableText1"/>
              <w:keepNext w:val="0"/>
              <w:spacing w:before="0" w:after="0"/>
            </w:pPr>
            <w:r w:rsidRPr="004E2ADC">
              <w:t>Outcomes</w:t>
            </w:r>
          </w:p>
        </w:tc>
        <w:tc>
          <w:tcPr>
            <w:tcW w:w="4216" w:type="pct"/>
            <w:shd w:val="clear" w:color="auto" w:fill="auto"/>
          </w:tcPr>
          <w:p w:rsidR="00B10DD6" w:rsidRPr="00FE4046" w:rsidRDefault="00B10DD6" w:rsidP="005123EA">
            <w:pPr>
              <w:pStyle w:val="TableText1"/>
              <w:keepNext w:val="0"/>
              <w:spacing w:before="0" w:after="0"/>
            </w:pPr>
            <w:r w:rsidRPr="00BB732E">
              <w:t xml:space="preserve">Mean change in 6MWT distance from </w:t>
            </w:r>
            <w:r>
              <w:t>B</w:t>
            </w:r>
            <w:r w:rsidRPr="00BB732E">
              <w:t>aseline</w:t>
            </w:r>
            <w:r w:rsidR="00122B5F">
              <w:t>,</w:t>
            </w:r>
            <w:r w:rsidRPr="00BB732E">
              <w:t xml:space="preserve"> as per</w:t>
            </w:r>
            <w:r w:rsidR="00697339">
              <w:t xml:space="preserve"> </w:t>
            </w:r>
            <w:r w:rsidRPr="00BB732E">
              <w:t xml:space="preserve">cent of predicted </w:t>
            </w:r>
            <w:r>
              <w:t xml:space="preserve">distance </w:t>
            </w:r>
            <w:r w:rsidRPr="00BB732E">
              <w:t>at 240 weeks</w:t>
            </w:r>
            <w:r>
              <w:t xml:space="preserve"> and </w:t>
            </w:r>
            <w:r w:rsidRPr="00BB732E">
              <w:t>QALYs</w:t>
            </w:r>
          </w:p>
        </w:tc>
      </w:tr>
      <w:tr w:rsidR="00B10DD6" w:rsidRPr="00FE4046" w:rsidTr="00EF0C0F">
        <w:tc>
          <w:tcPr>
            <w:tcW w:w="784" w:type="pct"/>
            <w:shd w:val="clear" w:color="auto" w:fill="auto"/>
          </w:tcPr>
          <w:p w:rsidR="00B10DD6" w:rsidRPr="00FE4046" w:rsidRDefault="00B10DD6" w:rsidP="005123EA">
            <w:pPr>
              <w:pStyle w:val="TableText1"/>
              <w:keepNext w:val="0"/>
              <w:spacing w:before="0" w:after="0"/>
            </w:pPr>
            <w:r w:rsidRPr="004E2ADC">
              <w:t>Methods used to generate results</w:t>
            </w:r>
          </w:p>
        </w:tc>
        <w:tc>
          <w:tcPr>
            <w:tcW w:w="4216" w:type="pct"/>
            <w:shd w:val="clear" w:color="auto" w:fill="auto"/>
            <w:vAlign w:val="center"/>
          </w:tcPr>
          <w:p w:rsidR="00B10DD6" w:rsidRPr="00FE4046" w:rsidRDefault="00B10DD6" w:rsidP="005123EA">
            <w:pPr>
              <w:pStyle w:val="TableText1"/>
              <w:keepNext w:val="0"/>
              <w:spacing w:before="0" w:after="0"/>
            </w:pPr>
            <w:r w:rsidRPr="00215CF4">
              <w:t>Markov transition model</w:t>
            </w:r>
          </w:p>
        </w:tc>
      </w:tr>
      <w:tr w:rsidR="00892ED2" w:rsidRPr="00FE4046" w:rsidTr="00EF0C0F">
        <w:tc>
          <w:tcPr>
            <w:tcW w:w="784" w:type="pct"/>
            <w:shd w:val="clear" w:color="auto" w:fill="auto"/>
          </w:tcPr>
          <w:p w:rsidR="00892ED2" w:rsidRPr="001E48E8" w:rsidRDefault="00892ED2" w:rsidP="005123EA">
            <w:pPr>
              <w:pStyle w:val="TableText1"/>
              <w:keepNext w:val="0"/>
              <w:spacing w:before="0" w:after="0"/>
            </w:pPr>
            <w:r w:rsidRPr="001E48E8">
              <w:t>Health states</w:t>
            </w:r>
          </w:p>
        </w:tc>
        <w:tc>
          <w:tcPr>
            <w:tcW w:w="4216" w:type="pct"/>
            <w:shd w:val="clear" w:color="auto" w:fill="auto"/>
          </w:tcPr>
          <w:p w:rsidR="003B5B50" w:rsidRPr="001E48E8" w:rsidRDefault="003B5B50" w:rsidP="005123EA">
            <w:pPr>
              <w:pStyle w:val="TableText1"/>
              <w:keepNext w:val="0"/>
              <w:spacing w:before="0"/>
              <w:rPr>
                <w:rFonts w:cs="Times New Roman"/>
              </w:rPr>
            </w:pPr>
            <w:r w:rsidRPr="001E48E8">
              <w:t>The model included four alive health states (Severity levels I, II, III and IV) and two dead states (HPP death</w:t>
            </w:r>
            <w:r w:rsidR="002128CA" w:rsidRPr="001E48E8">
              <w:t>,</w:t>
            </w:r>
            <w:r w:rsidRPr="001E48E8">
              <w:t xml:space="preserve"> which was only relevant in the analyses including those aged ≤4 years</w:t>
            </w:r>
            <w:r w:rsidR="002128CA" w:rsidRPr="001E48E8">
              <w:t>,</w:t>
            </w:r>
            <w:r w:rsidRPr="001E48E8">
              <w:t xml:space="preserve"> and overall death)</w:t>
            </w:r>
            <w:r w:rsidR="008F4278" w:rsidRPr="001E48E8">
              <w:t xml:space="preserve">. The </w:t>
            </w:r>
            <w:r w:rsidR="00C909C8">
              <w:t xml:space="preserve">alive </w:t>
            </w:r>
            <w:r w:rsidR="008F4278" w:rsidRPr="001E48E8">
              <w:t xml:space="preserve">health states </w:t>
            </w:r>
            <w:r w:rsidR="00C909C8">
              <w:t xml:space="preserve">for severity levels I-IV </w:t>
            </w:r>
            <w:r w:rsidR="008F4278" w:rsidRPr="001E48E8">
              <w:t>were defined based on two times the estimated MCID calculated for the per</w:t>
            </w:r>
            <w:r w:rsidR="00697339">
              <w:t xml:space="preserve"> </w:t>
            </w:r>
            <w:r w:rsidR="008F4278" w:rsidRPr="001E48E8">
              <w:t xml:space="preserve">cent predicted distance on the 6MWT derived for </w:t>
            </w:r>
            <w:r w:rsidR="008F4278" w:rsidRPr="001E48E8">
              <w:rPr>
                <w:rFonts w:cs="Times New Roman"/>
              </w:rPr>
              <w:t>Duchenne muscular dystrophy (DMD) of 8.9% (see below).</w:t>
            </w:r>
          </w:p>
          <w:tbl>
            <w:tblPr>
              <w:tblStyle w:val="TableGrid"/>
              <w:tblW w:w="0" w:type="auto"/>
              <w:tblCellMar>
                <w:left w:w="28" w:type="dxa"/>
                <w:right w:w="28" w:type="dxa"/>
              </w:tblCellMar>
              <w:tblLook w:val="04A0" w:firstRow="1" w:lastRow="0" w:firstColumn="1" w:lastColumn="0" w:noHBand="0" w:noVBand="1"/>
              <w:tblCaption w:val="6MWT model states"/>
            </w:tblPr>
            <w:tblGrid>
              <w:gridCol w:w="2661"/>
              <w:gridCol w:w="4818"/>
            </w:tblGrid>
            <w:tr w:rsidR="008F4278" w:rsidRPr="001E48E8" w:rsidTr="00FE3BBF">
              <w:trPr>
                <w:tblHeader/>
              </w:trPr>
              <w:tc>
                <w:tcPr>
                  <w:tcW w:w="2661" w:type="dxa"/>
                </w:tcPr>
                <w:p w:rsidR="008F4278" w:rsidRPr="001E48E8" w:rsidRDefault="008F4278" w:rsidP="005123EA">
                  <w:pPr>
                    <w:pStyle w:val="TableText1"/>
                    <w:keepNext w:val="0"/>
                    <w:spacing w:before="0" w:after="0"/>
                    <w:rPr>
                      <w:b/>
                    </w:rPr>
                  </w:pPr>
                  <w:r w:rsidRPr="001E48E8">
                    <w:rPr>
                      <w:b/>
                    </w:rPr>
                    <w:t>Alive health states</w:t>
                  </w:r>
                </w:p>
              </w:tc>
              <w:tc>
                <w:tcPr>
                  <w:tcW w:w="4818" w:type="dxa"/>
                </w:tcPr>
                <w:p w:rsidR="008F4278" w:rsidRPr="001E48E8" w:rsidRDefault="008F4278" w:rsidP="005123EA">
                  <w:pPr>
                    <w:pStyle w:val="TableText1"/>
                    <w:keepNext w:val="0"/>
                    <w:spacing w:before="0" w:after="0"/>
                    <w:jc w:val="center"/>
                    <w:rPr>
                      <w:b/>
                    </w:rPr>
                  </w:pPr>
                  <w:r w:rsidRPr="001E48E8">
                    <w:rPr>
                      <w:b/>
                    </w:rPr>
                    <w:t>Definition</w:t>
                  </w:r>
                </w:p>
              </w:tc>
            </w:tr>
            <w:tr w:rsidR="008F4278" w:rsidRPr="001E48E8" w:rsidTr="00EF0C0F">
              <w:tc>
                <w:tcPr>
                  <w:tcW w:w="2661" w:type="dxa"/>
                </w:tcPr>
                <w:p w:rsidR="008F4278" w:rsidRPr="001E48E8" w:rsidRDefault="008F4278" w:rsidP="005123EA">
                  <w:pPr>
                    <w:pStyle w:val="TableText1"/>
                    <w:keepNext w:val="0"/>
                    <w:spacing w:before="0" w:after="0"/>
                  </w:pPr>
                  <w:r w:rsidRPr="001E48E8">
                    <w:t>Severity level I</w:t>
                  </w:r>
                </w:p>
              </w:tc>
              <w:tc>
                <w:tcPr>
                  <w:tcW w:w="4818" w:type="dxa"/>
                </w:tcPr>
                <w:p w:rsidR="008F4278" w:rsidRPr="001E48E8" w:rsidRDefault="008F4278" w:rsidP="005123EA">
                  <w:pPr>
                    <w:pStyle w:val="TableText1"/>
                    <w:keepNext w:val="0"/>
                    <w:spacing w:before="0" w:after="0"/>
                  </w:pPr>
                  <w:r w:rsidRPr="001E48E8">
                    <w:t>6MWT score &gt;82.2% of predicted value</w:t>
                  </w:r>
                </w:p>
              </w:tc>
            </w:tr>
            <w:tr w:rsidR="008F4278" w:rsidRPr="001E48E8" w:rsidTr="00EF0C0F">
              <w:tc>
                <w:tcPr>
                  <w:tcW w:w="2661" w:type="dxa"/>
                </w:tcPr>
                <w:p w:rsidR="008F4278" w:rsidRPr="001E48E8" w:rsidRDefault="008F4278" w:rsidP="005123EA">
                  <w:pPr>
                    <w:pStyle w:val="TableText1"/>
                    <w:keepNext w:val="0"/>
                    <w:spacing w:before="0" w:after="0"/>
                  </w:pPr>
                  <w:r w:rsidRPr="001E48E8">
                    <w:t>Severity level II</w:t>
                  </w:r>
                </w:p>
              </w:tc>
              <w:tc>
                <w:tcPr>
                  <w:tcW w:w="4818" w:type="dxa"/>
                </w:tcPr>
                <w:p w:rsidR="008F4278" w:rsidRPr="001E48E8" w:rsidRDefault="008F4278" w:rsidP="005123EA">
                  <w:pPr>
                    <w:pStyle w:val="TableText1"/>
                    <w:keepNext w:val="0"/>
                    <w:spacing w:before="0" w:after="0"/>
                  </w:pPr>
                  <w:r w:rsidRPr="001E48E8">
                    <w:t>82.2%≥ 6MWT score &gt;64.4% of predicted value</w:t>
                  </w:r>
                </w:p>
              </w:tc>
            </w:tr>
            <w:tr w:rsidR="008F4278" w:rsidRPr="001E48E8" w:rsidTr="00EF0C0F">
              <w:tc>
                <w:tcPr>
                  <w:tcW w:w="2661" w:type="dxa"/>
                </w:tcPr>
                <w:p w:rsidR="008F4278" w:rsidRPr="001E48E8" w:rsidRDefault="008F4278" w:rsidP="005123EA">
                  <w:pPr>
                    <w:pStyle w:val="TableText1"/>
                    <w:keepNext w:val="0"/>
                    <w:spacing w:before="0" w:after="0"/>
                  </w:pPr>
                  <w:r w:rsidRPr="001E48E8">
                    <w:t>Severity level III</w:t>
                  </w:r>
                </w:p>
              </w:tc>
              <w:tc>
                <w:tcPr>
                  <w:tcW w:w="4818" w:type="dxa"/>
                </w:tcPr>
                <w:p w:rsidR="008F4278" w:rsidRPr="001E48E8" w:rsidRDefault="008F4278" w:rsidP="005123EA">
                  <w:pPr>
                    <w:pStyle w:val="TableText1"/>
                    <w:keepNext w:val="0"/>
                    <w:spacing w:before="0" w:after="0"/>
                  </w:pPr>
                  <w:r w:rsidRPr="001E48E8">
                    <w:t>64.4%≥ 6MWT score &gt;46.6% of predicted value</w:t>
                  </w:r>
                </w:p>
              </w:tc>
            </w:tr>
            <w:tr w:rsidR="008F4278" w:rsidRPr="001E48E8" w:rsidTr="00EF0C0F">
              <w:tc>
                <w:tcPr>
                  <w:tcW w:w="2661" w:type="dxa"/>
                </w:tcPr>
                <w:p w:rsidR="008F4278" w:rsidRPr="001E48E8" w:rsidRDefault="008F4278" w:rsidP="005123EA">
                  <w:pPr>
                    <w:pStyle w:val="TableText1"/>
                    <w:keepNext w:val="0"/>
                    <w:spacing w:before="0" w:after="0"/>
                  </w:pPr>
                  <w:r w:rsidRPr="001E48E8">
                    <w:t>Severity level IV</w:t>
                  </w:r>
                </w:p>
              </w:tc>
              <w:tc>
                <w:tcPr>
                  <w:tcW w:w="4818" w:type="dxa"/>
                </w:tcPr>
                <w:p w:rsidR="008F4278" w:rsidRPr="001E48E8" w:rsidRDefault="008F4278" w:rsidP="005123EA">
                  <w:pPr>
                    <w:pStyle w:val="TableText1"/>
                    <w:keepNext w:val="0"/>
                    <w:spacing w:before="0" w:after="0"/>
                  </w:pPr>
                  <w:r w:rsidRPr="001E48E8">
                    <w:t>6MWT score ≤46.6% of predicted value</w:t>
                  </w:r>
                </w:p>
              </w:tc>
            </w:tr>
          </w:tbl>
          <w:p w:rsidR="008F4278" w:rsidRPr="001E48E8" w:rsidRDefault="008F4278" w:rsidP="005123EA">
            <w:pPr>
              <w:pStyle w:val="TableText1"/>
              <w:keepNext w:val="0"/>
              <w:spacing w:before="0" w:after="0"/>
              <w:rPr>
                <w:sz w:val="18"/>
              </w:rPr>
            </w:pPr>
            <w:r w:rsidRPr="001E48E8">
              <w:rPr>
                <w:sz w:val="18"/>
              </w:rPr>
              <w:t>6MWT = six-minute walk test</w:t>
            </w:r>
          </w:p>
          <w:p w:rsidR="008F4278" w:rsidRPr="001E48E8" w:rsidRDefault="008F4278" w:rsidP="005123EA">
            <w:pPr>
              <w:pStyle w:val="TableText1"/>
              <w:keepNext w:val="0"/>
              <w:spacing w:before="0"/>
              <w:rPr>
                <w:sz w:val="18"/>
              </w:rPr>
            </w:pPr>
            <w:r w:rsidRPr="00EE2CE4">
              <w:rPr>
                <w:sz w:val="18"/>
              </w:rPr>
              <w:t>Source: Table C.4.1, p16 of Sections C to F of the submission</w:t>
            </w:r>
          </w:p>
          <w:p w:rsidR="00387BD0" w:rsidRPr="00C909C8" w:rsidRDefault="008F4278" w:rsidP="005123EA">
            <w:pPr>
              <w:pStyle w:val="TableText1"/>
              <w:keepNext w:val="0"/>
              <w:spacing w:before="0"/>
              <w:rPr>
                <w:rFonts w:cs="Times New Roman"/>
              </w:rPr>
            </w:pPr>
            <w:r w:rsidRPr="00C909C8">
              <w:rPr>
                <w:rFonts w:cs="Times New Roman"/>
              </w:rPr>
              <w:t xml:space="preserve">It was not apparent that the submission’s </w:t>
            </w:r>
            <w:r w:rsidR="00387BD0" w:rsidRPr="00C909C8">
              <w:rPr>
                <w:rFonts w:cs="Times New Roman"/>
              </w:rPr>
              <w:t xml:space="preserve">use of the 6MWT was reliable for defining the severity health states as the 6MWT would not capture additional clinical features of HPP such </w:t>
            </w:r>
            <w:r w:rsidR="00BA6053" w:rsidRPr="00C909C8">
              <w:rPr>
                <w:rFonts w:cs="Times New Roman"/>
              </w:rPr>
              <w:t>skeleton and joint deformity and renal and neurological complications</w:t>
            </w:r>
            <w:r w:rsidR="00387BD0" w:rsidRPr="00C909C8">
              <w:rPr>
                <w:rFonts w:cs="Times New Roman"/>
              </w:rPr>
              <w:t xml:space="preserve">. </w:t>
            </w:r>
          </w:p>
          <w:p w:rsidR="00892ED2" w:rsidRPr="00215CF4" w:rsidRDefault="00387BD0" w:rsidP="005123EA">
            <w:pPr>
              <w:pStyle w:val="TableText1"/>
              <w:keepNext w:val="0"/>
              <w:spacing w:before="0" w:after="0"/>
            </w:pPr>
            <w:r w:rsidRPr="00C909C8">
              <w:rPr>
                <w:rFonts w:cs="Times New Roman"/>
              </w:rPr>
              <w:t xml:space="preserve">Further, the reliability of the use of an MCID that was </w:t>
            </w:r>
            <w:r w:rsidR="008F4278" w:rsidRPr="00C909C8">
              <w:rPr>
                <w:rFonts w:cs="Times New Roman"/>
              </w:rPr>
              <w:t>based on patients with DMD rather than for patients with paediatric-onset HPP</w:t>
            </w:r>
            <w:r w:rsidRPr="00C909C8">
              <w:rPr>
                <w:rFonts w:cs="Times New Roman"/>
              </w:rPr>
              <w:t xml:space="preserve"> was uncertain,</w:t>
            </w:r>
            <w:r w:rsidR="008F4278" w:rsidRPr="00C909C8">
              <w:rPr>
                <w:rFonts w:cs="Times New Roman"/>
              </w:rPr>
              <w:t xml:space="preserve"> given that DMD is a progressive disease with a short life-expectancy and HPP survival beyond childhood appears to be normal. There was little reason to assume that the MCID thresholds would be the same for both conditions, however it is noted that the MCID estimated for HPP was only slightly different, at 8.8%. </w:t>
            </w:r>
          </w:p>
        </w:tc>
      </w:tr>
      <w:tr w:rsidR="00D14E85" w:rsidRPr="00FE4046" w:rsidTr="00EF0C0F">
        <w:tc>
          <w:tcPr>
            <w:tcW w:w="784" w:type="pct"/>
            <w:shd w:val="clear" w:color="auto" w:fill="auto"/>
          </w:tcPr>
          <w:p w:rsidR="00D14E85" w:rsidRDefault="00D14E85" w:rsidP="005123EA">
            <w:pPr>
              <w:pStyle w:val="TableText1"/>
              <w:keepNext w:val="0"/>
              <w:spacing w:before="0" w:after="0"/>
            </w:pPr>
            <w:r>
              <w:t>Utilities</w:t>
            </w:r>
          </w:p>
        </w:tc>
        <w:tc>
          <w:tcPr>
            <w:tcW w:w="4216" w:type="pct"/>
            <w:shd w:val="clear" w:color="auto" w:fill="auto"/>
          </w:tcPr>
          <w:p w:rsidR="00D14E85" w:rsidRPr="00C909C8" w:rsidRDefault="00387BD0" w:rsidP="005123EA">
            <w:pPr>
              <w:pStyle w:val="TableText1"/>
              <w:keepNext w:val="0"/>
              <w:spacing w:before="0"/>
            </w:pPr>
            <w:r w:rsidRPr="00C909C8">
              <w:t xml:space="preserve">The utilities applied to the </w:t>
            </w:r>
            <w:proofErr w:type="gramStart"/>
            <w:r w:rsidR="00C909C8">
              <w:t>alive</w:t>
            </w:r>
            <w:proofErr w:type="gramEnd"/>
            <w:r w:rsidR="00C909C8">
              <w:t xml:space="preserve"> </w:t>
            </w:r>
            <w:r w:rsidRPr="00C909C8">
              <w:t>health states are summarised below.</w:t>
            </w:r>
          </w:p>
          <w:tbl>
            <w:tblPr>
              <w:tblStyle w:val="TableGrid"/>
              <w:tblW w:w="0" w:type="auto"/>
              <w:tblCellMar>
                <w:left w:w="28" w:type="dxa"/>
                <w:right w:w="28" w:type="dxa"/>
              </w:tblCellMar>
              <w:tblLook w:val="04A0" w:firstRow="1" w:lastRow="0" w:firstColumn="1" w:lastColumn="0" w:noHBand="0" w:noVBand="1"/>
              <w:tblCaption w:val="Disease severity utilities used in the model"/>
            </w:tblPr>
            <w:tblGrid>
              <w:gridCol w:w="2659"/>
              <w:gridCol w:w="4820"/>
            </w:tblGrid>
            <w:tr w:rsidR="00387BD0" w:rsidRPr="00C909C8" w:rsidTr="00FE3BBF">
              <w:trPr>
                <w:tblHeader/>
              </w:trPr>
              <w:tc>
                <w:tcPr>
                  <w:tcW w:w="2659" w:type="dxa"/>
                </w:tcPr>
                <w:p w:rsidR="00387BD0" w:rsidRPr="00C909C8" w:rsidRDefault="00387BD0" w:rsidP="005123EA">
                  <w:pPr>
                    <w:pStyle w:val="TableText1"/>
                    <w:keepNext w:val="0"/>
                    <w:spacing w:before="0" w:after="0"/>
                    <w:rPr>
                      <w:b/>
                    </w:rPr>
                  </w:pPr>
                  <w:r w:rsidRPr="00C909C8">
                    <w:rPr>
                      <w:b/>
                    </w:rPr>
                    <w:t>Alive health states</w:t>
                  </w:r>
                </w:p>
              </w:tc>
              <w:tc>
                <w:tcPr>
                  <w:tcW w:w="4820" w:type="dxa"/>
                  <w:vAlign w:val="center"/>
                </w:tcPr>
                <w:p w:rsidR="00387BD0" w:rsidRPr="00C909C8" w:rsidRDefault="00387BD0" w:rsidP="005123EA">
                  <w:pPr>
                    <w:pStyle w:val="TableText1"/>
                    <w:keepNext w:val="0"/>
                    <w:spacing w:before="0" w:after="0"/>
                    <w:jc w:val="center"/>
                    <w:rPr>
                      <w:b/>
                    </w:rPr>
                  </w:pPr>
                  <w:r w:rsidRPr="00C909C8">
                    <w:rPr>
                      <w:b/>
                    </w:rPr>
                    <w:t>Utility</w:t>
                  </w:r>
                </w:p>
              </w:tc>
            </w:tr>
            <w:tr w:rsidR="00387BD0" w:rsidRPr="00C909C8" w:rsidTr="00EF0C0F">
              <w:tc>
                <w:tcPr>
                  <w:tcW w:w="2659" w:type="dxa"/>
                </w:tcPr>
                <w:p w:rsidR="00387BD0" w:rsidRPr="00C909C8" w:rsidRDefault="00387BD0" w:rsidP="005123EA">
                  <w:pPr>
                    <w:pStyle w:val="TableText1"/>
                    <w:keepNext w:val="0"/>
                    <w:spacing w:before="0" w:after="0"/>
                  </w:pPr>
                  <w:r w:rsidRPr="00C909C8">
                    <w:t>Severity level I</w:t>
                  </w:r>
                </w:p>
              </w:tc>
              <w:tc>
                <w:tcPr>
                  <w:tcW w:w="4820" w:type="dxa"/>
                  <w:vAlign w:val="center"/>
                </w:tcPr>
                <w:p w:rsidR="00387BD0" w:rsidRPr="00C909C8" w:rsidRDefault="00387BD0" w:rsidP="005123EA">
                  <w:pPr>
                    <w:pStyle w:val="TableText1"/>
                    <w:keepNext w:val="0"/>
                    <w:spacing w:before="0" w:after="0"/>
                    <w:jc w:val="center"/>
                  </w:pPr>
                  <w:r w:rsidRPr="00C909C8">
                    <w:t xml:space="preserve">0.86 </w:t>
                  </w:r>
                </w:p>
              </w:tc>
            </w:tr>
            <w:tr w:rsidR="00387BD0" w:rsidRPr="00C909C8" w:rsidTr="00EF0C0F">
              <w:tc>
                <w:tcPr>
                  <w:tcW w:w="2659" w:type="dxa"/>
                </w:tcPr>
                <w:p w:rsidR="00387BD0" w:rsidRPr="00C909C8" w:rsidRDefault="00387BD0" w:rsidP="005123EA">
                  <w:pPr>
                    <w:pStyle w:val="TableText1"/>
                    <w:keepNext w:val="0"/>
                    <w:spacing w:before="0" w:after="0"/>
                  </w:pPr>
                  <w:r w:rsidRPr="00C909C8">
                    <w:t>Severity level II</w:t>
                  </w:r>
                </w:p>
              </w:tc>
              <w:tc>
                <w:tcPr>
                  <w:tcW w:w="4820" w:type="dxa"/>
                  <w:vAlign w:val="center"/>
                </w:tcPr>
                <w:p w:rsidR="00387BD0" w:rsidRPr="00C909C8" w:rsidRDefault="00387BD0" w:rsidP="005123EA">
                  <w:pPr>
                    <w:pStyle w:val="TableText1"/>
                    <w:keepNext w:val="0"/>
                    <w:spacing w:before="0" w:after="0"/>
                    <w:jc w:val="center"/>
                  </w:pPr>
                  <w:r w:rsidRPr="00C909C8">
                    <w:t xml:space="preserve">0.67 </w:t>
                  </w:r>
                </w:p>
              </w:tc>
            </w:tr>
            <w:tr w:rsidR="00387BD0" w:rsidRPr="00C909C8" w:rsidTr="00EF0C0F">
              <w:tc>
                <w:tcPr>
                  <w:tcW w:w="2659" w:type="dxa"/>
                </w:tcPr>
                <w:p w:rsidR="00387BD0" w:rsidRPr="00C909C8" w:rsidRDefault="00387BD0" w:rsidP="005123EA">
                  <w:pPr>
                    <w:pStyle w:val="TableText1"/>
                    <w:keepNext w:val="0"/>
                    <w:spacing w:before="0" w:after="0"/>
                  </w:pPr>
                  <w:r w:rsidRPr="00C909C8">
                    <w:t>Severity level III</w:t>
                  </w:r>
                </w:p>
              </w:tc>
              <w:tc>
                <w:tcPr>
                  <w:tcW w:w="4820" w:type="dxa"/>
                  <w:vAlign w:val="center"/>
                </w:tcPr>
                <w:p w:rsidR="00387BD0" w:rsidRPr="00C909C8" w:rsidRDefault="00387BD0" w:rsidP="005123EA">
                  <w:pPr>
                    <w:pStyle w:val="TableText1"/>
                    <w:keepNext w:val="0"/>
                    <w:spacing w:before="0" w:after="0"/>
                    <w:jc w:val="center"/>
                  </w:pPr>
                  <w:r w:rsidRPr="00C909C8">
                    <w:t>0.54</w:t>
                  </w:r>
                </w:p>
              </w:tc>
            </w:tr>
            <w:tr w:rsidR="00387BD0" w:rsidRPr="00C909C8" w:rsidTr="00EF0C0F">
              <w:tc>
                <w:tcPr>
                  <w:tcW w:w="2659" w:type="dxa"/>
                </w:tcPr>
                <w:p w:rsidR="00387BD0" w:rsidRPr="00C909C8" w:rsidRDefault="00387BD0" w:rsidP="005123EA">
                  <w:pPr>
                    <w:pStyle w:val="TableText1"/>
                    <w:keepNext w:val="0"/>
                    <w:spacing w:before="0" w:after="0"/>
                  </w:pPr>
                  <w:r w:rsidRPr="00C909C8">
                    <w:t>Severity level IV</w:t>
                  </w:r>
                </w:p>
              </w:tc>
              <w:tc>
                <w:tcPr>
                  <w:tcW w:w="4820" w:type="dxa"/>
                  <w:vAlign w:val="center"/>
                </w:tcPr>
                <w:p w:rsidR="00387BD0" w:rsidRPr="00C909C8" w:rsidRDefault="00387BD0" w:rsidP="005123EA">
                  <w:pPr>
                    <w:pStyle w:val="TableText1"/>
                    <w:keepNext w:val="0"/>
                    <w:spacing w:before="0" w:after="0"/>
                    <w:jc w:val="center"/>
                  </w:pPr>
                  <w:r w:rsidRPr="00C909C8">
                    <w:t xml:space="preserve">0.23 </w:t>
                  </w:r>
                </w:p>
              </w:tc>
            </w:tr>
          </w:tbl>
          <w:p w:rsidR="00387BD0" w:rsidRPr="00C909C8" w:rsidRDefault="00387BD0" w:rsidP="005123EA">
            <w:pPr>
              <w:pStyle w:val="TableText1"/>
              <w:keepNext w:val="0"/>
              <w:spacing w:before="0"/>
            </w:pPr>
            <w:r w:rsidRPr="00C909C8">
              <w:rPr>
                <w:sz w:val="18"/>
                <w:szCs w:val="18"/>
              </w:rPr>
              <w:t>Source: Table C.5.1, pp30-31 and Table C.5.5, p32 of Sections C to F of the submission</w:t>
            </w:r>
          </w:p>
          <w:p w:rsidR="00387BD0" w:rsidRPr="00C909C8" w:rsidRDefault="00387BD0" w:rsidP="005123EA">
            <w:pPr>
              <w:pStyle w:val="TableText1"/>
              <w:keepNext w:val="0"/>
              <w:spacing w:before="0"/>
              <w:rPr>
                <w:rFonts w:cs="Times New Roman"/>
              </w:rPr>
            </w:pPr>
            <w:r w:rsidRPr="00C909C8">
              <w:t xml:space="preserve">Utilities were elicited from nine clinicians in the UK/Canada/Germany based on a description of the various health states. </w:t>
            </w:r>
            <w:r w:rsidR="00EF0C0F" w:rsidRPr="00C909C8">
              <w:rPr>
                <w:rFonts w:cs="Times New Roman"/>
              </w:rPr>
              <w:t xml:space="preserve">In contrast to the submission’s approach of building the economic model on </w:t>
            </w:r>
            <w:proofErr w:type="gramStart"/>
            <w:r w:rsidR="00EF0C0F" w:rsidRPr="00C909C8">
              <w:rPr>
                <w:rFonts w:cs="Times New Roman"/>
              </w:rPr>
              <w:t>alive</w:t>
            </w:r>
            <w:proofErr w:type="gramEnd"/>
            <w:r w:rsidR="00EF0C0F" w:rsidRPr="00C909C8">
              <w:rPr>
                <w:rFonts w:cs="Times New Roman"/>
              </w:rPr>
              <w:t xml:space="preserve"> health states based on changes in 6MWT distance, the submission indicated that for the derivation of utility values that utility scores based on the 6MWT would not adequately capture all the HPP symptoms/complication</w:t>
            </w:r>
            <w:r w:rsidR="00C909C8">
              <w:rPr>
                <w:rFonts w:cs="Times New Roman"/>
              </w:rPr>
              <w:t>s impacting on quality of life.</w:t>
            </w:r>
            <w:r w:rsidR="00EF0C0F" w:rsidRPr="00C909C8">
              <w:rPr>
                <w:rFonts w:cs="Times New Roman"/>
              </w:rPr>
              <w:t xml:space="preserve"> While this was considered to be true, the submission’s approach lacked consistency and coherence: on the one hand the submission argued that it was acceptable to build an economic model with transitions between alive health states based on changes in 6MWT distance, and then on the other hand the submission argued that utility values for those health states should not be based on changes in 6MWT distance but on a broader description of the health state.</w:t>
            </w:r>
          </w:p>
          <w:p w:rsidR="00EF0C0F" w:rsidRPr="00C909C8" w:rsidRDefault="00EF0C0F" w:rsidP="005123EA">
            <w:pPr>
              <w:pStyle w:val="TableText1"/>
              <w:keepNext w:val="0"/>
              <w:spacing w:before="0" w:after="0"/>
            </w:pPr>
            <w:r w:rsidRPr="00C909C8">
              <w:t xml:space="preserve">The case descriptions presented to clinicians did not correlate well with the characteristics of patients assigned to each </w:t>
            </w:r>
            <w:proofErr w:type="gramStart"/>
            <w:r w:rsidRPr="00C909C8">
              <w:t>alive</w:t>
            </w:r>
            <w:proofErr w:type="gramEnd"/>
            <w:r w:rsidRPr="00C909C8">
              <w:t xml:space="preserve"> health state. </w:t>
            </w:r>
            <w:r w:rsidR="00600D6A" w:rsidRPr="00C909C8">
              <w:t>For example, w</w:t>
            </w:r>
            <w:r w:rsidRPr="00C909C8">
              <w:rPr>
                <w:rFonts w:cs="Times New Roman"/>
              </w:rPr>
              <w:t>hile case description 3 indicated that a patient in Severity level III would have ‘occasional respiratory problems’ and case description 4 indicated that a patient in Severity level IV would have ‘prolonged respiratory infections’, the prevalence of these conditions was 59% for respiratory compromise versus 50% for patients in Severity level III versus IV, respectively.</w:t>
            </w:r>
          </w:p>
        </w:tc>
      </w:tr>
      <w:tr w:rsidR="00B10DD6" w:rsidRPr="00FE4046" w:rsidTr="00EF0C0F">
        <w:tc>
          <w:tcPr>
            <w:tcW w:w="784" w:type="pct"/>
            <w:shd w:val="clear" w:color="auto" w:fill="auto"/>
          </w:tcPr>
          <w:p w:rsidR="00B10DD6" w:rsidRPr="00FE4046" w:rsidRDefault="00B10DD6" w:rsidP="005123EA">
            <w:pPr>
              <w:pStyle w:val="TableText1"/>
              <w:keepNext w:val="0"/>
              <w:spacing w:before="0" w:after="0"/>
            </w:pPr>
            <w:r w:rsidRPr="004E2ADC">
              <w:t>Cycle length</w:t>
            </w:r>
          </w:p>
        </w:tc>
        <w:tc>
          <w:tcPr>
            <w:tcW w:w="4216" w:type="pct"/>
            <w:shd w:val="clear" w:color="auto" w:fill="auto"/>
          </w:tcPr>
          <w:p w:rsidR="00B10DD6" w:rsidRPr="00C909C8" w:rsidRDefault="00B10DD6" w:rsidP="005123EA">
            <w:pPr>
              <w:pStyle w:val="TableText1"/>
              <w:keepNext w:val="0"/>
              <w:spacing w:before="0" w:after="0"/>
            </w:pPr>
            <w:r w:rsidRPr="00C909C8">
              <w:t>12 weeks; a half-cycle correction was applied for the first and last cycle</w:t>
            </w:r>
          </w:p>
        </w:tc>
      </w:tr>
      <w:tr w:rsidR="00B10DD6" w:rsidRPr="00FE4046" w:rsidTr="00EF0C0F">
        <w:tc>
          <w:tcPr>
            <w:tcW w:w="784" w:type="pct"/>
            <w:shd w:val="clear" w:color="auto" w:fill="auto"/>
            <w:vAlign w:val="center"/>
          </w:tcPr>
          <w:p w:rsidR="00B10DD6" w:rsidRPr="00FE4046" w:rsidRDefault="00B10DD6" w:rsidP="005123EA">
            <w:pPr>
              <w:pStyle w:val="TableText1"/>
              <w:keepNext w:val="0"/>
              <w:spacing w:before="0" w:after="0"/>
            </w:pPr>
            <w:r w:rsidRPr="004E2ADC">
              <w:t>Transition probabilities</w:t>
            </w:r>
          </w:p>
        </w:tc>
        <w:tc>
          <w:tcPr>
            <w:tcW w:w="4216" w:type="pct"/>
            <w:shd w:val="clear" w:color="auto" w:fill="auto"/>
            <w:vAlign w:val="center"/>
          </w:tcPr>
          <w:p w:rsidR="00B10DD6" w:rsidRPr="00C909C8" w:rsidRDefault="00B10DD6" w:rsidP="005123EA">
            <w:pPr>
              <w:pStyle w:val="TableText1"/>
              <w:keepNext w:val="0"/>
              <w:spacing w:before="0" w:after="0"/>
            </w:pPr>
            <w:r w:rsidRPr="00C909C8">
              <w:t xml:space="preserve">Derived from the regression function in the multivariate ordered </w:t>
            </w:r>
            <w:proofErr w:type="spellStart"/>
            <w:r w:rsidRPr="00C909C8">
              <w:t>probit</w:t>
            </w:r>
            <w:proofErr w:type="spellEnd"/>
            <w:r w:rsidRPr="00C909C8">
              <w:t xml:space="preserve"> model</w:t>
            </w:r>
            <w:r w:rsidR="007C762B" w:rsidRPr="00C909C8">
              <w:t xml:space="preserve"> including </w:t>
            </w:r>
            <w:r w:rsidR="007C762B" w:rsidRPr="00C909C8">
              <w:rPr>
                <w:rFonts w:eastAsia="MS Mincho"/>
              </w:rPr>
              <w:t>covariates for patient age (years) at the time of the current visit, and the interactions of age and prior severity level</w:t>
            </w:r>
            <w:r w:rsidR="00EF0C0F" w:rsidRPr="00C909C8">
              <w:t>.</w:t>
            </w:r>
            <w:r w:rsidR="0023153E" w:rsidRPr="00C909C8" w:rsidDel="0023153E">
              <w:rPr>
                <w:rStyle w:val="CommentReference"/>
                <w:rFonts w:eastAsia="Times New Roman" w:cs="Times New Roman"/>
                <w:snapToGrid w:val="0"/>
              </w:rPr>
              <w:t xml:space="preserve"> </w:t>
            </w:r>
            <w:r w:rsidR="00EF0C0F" w:rsidRPr="00C909C8">
              <w:t xml:space="preserve">The transition probabilities were derived from very few observed </w:t>
            </w:r>
            <w:r w:rsidR="0023153E" w:rsidRPr="00C909C8">
              <w:t xml:space="preserve">6MWT </w:t>
            </w:r>
            <w:r w:rsidR="00EF0C0F" w:rsidRPr="00C909C8">
              <w:t>transitions in the studies (i</w:t>
            </w:r>
            <w:r w:rsidR="003D50D7" w:rsidRPr="00C909C8">
              <w:t>.</w:t>
            </w:r>
            <w:r w:rsidR="00EF0C0F" w:rsidRPr="00C909C8">
              <w:t>e</w:t>
            </w:r>
            <w:r w:rsidR="003D50D7" w:rsidRPr="00C909C8">
              <w:t>.</w:t>
            </w:r>
            <w:r w:rsidR="00EF0C0F" w:rsidRPr="00C909C8">
              <w:t xml:space="preserve">, n=34 for BSC and n=250 for </w:t>
            </w:r>
            <w:proofErr w:type="spellStart"/>
            <w:r w:rsidR="00EF0C0F" w:rsidRPr="00C909C8">
              <w:t>asfotase</w:t>
            </w:r>
            <w:proofErr w:type="spellEnd"/>
            <w:r w:rsidR="00EF0C0F" w:rsidRPr="00C909C8">
              <w:t xml:space="preserve"> alfa </w:t>
            </w:r>
            <w:proofErr w:type="spellStart"/>
            <w:r w:rsidR="00465F17" w:rsidRPr="00C909C8">
              <w:rPr>
                <w:i/>
              </w:rPr>
              <w:t>rch</w:t>
            </w:r>
            <w:proofErr w:type="spellEnd"/>
            <w:r w:rsidR="00EF0C0F" w:rsidRPr="00C909C8">
              <w:t>) and were applied consistently in the model over a time horizon of 101 years.</w:t>
            </w:r>
          </w:p>
        </w:tc>
      </w:tr>
    </w:tbl>
    <w:p w:rsidR="00B10DD6" w:rsidRDefault="00B10DD6" w:rsidP="005123EA">
      <w:pPr>
        <w:pStyle w:val="TableFooter"/>
        <w:widowControl/>
      </w:pPr>
      <w:r>
        <w:t>6MWT = six-minute walk test; QALYs = quality adjusted life years saved</w:t>
      </w:r>
    </w:p>
    <w:p w:rsidR="00B10DD6" w:rsidRDefault="00B10DD6" w:rsidP="005123EA">
      <w:pPr>
        <w:pStyle w:val="TableFooter"/>
        <w:widowControl/>
      </w:pPr>
      <w:r>
        <w:t>Source: constructed during the evaluation</w:t>
      </w:r>
    </w:p>
    <w:p w:rsidR="00E22521" w:rsidRDefault="00E22521" w:rsidP="005123EA">
      <w:pPr>
        <w:pStyle w:val="TableFooter"/>
        <w:widowControl/>
      </w:pPr>
    </w:p>
    <w:p w:rsidR="00F178DB" w:rsidRDefault="00F178DB">
      <w:pPr>
        <w:widowControl/>
        <w:jc w:val="left"/>
        <w:rPr>
          <w:rFonts w:asciiTheme="minorHAnsi" w:hAnsiTheme="minorHAnsi"/>
          <w:sz w:val="24"/>
        </w:rPr>
      </w:pPr>
      <w:r>
        <w:rPr>
          <w:rFonts w:asciiTheme="minorHAnsi" w:hAnsiTheme="minorHAnsi"/>
        </w:rPr>
        <w:br w:type="page"/>
      </w:r>
    </w:p>
    <w:p w:rsidR="00B10DD6" w:rsidRPr="00A31D84" w:rsidRDefault="00B10DD6" w:rsidP="005123EA">
      <w:pPr>
        <w:pStyle w:val="ListParagraph"/>
        <w:widowControl/>
        <w:numPr>
          <w:ilvl w:val="1"/>
          <w:numId w:val="2"/>
        </w:numPr>
        <w:spacing w:before="120" w:after="160"/>
        <w:contextualSpacing w:val="0"/>
        <w:rPr>
          <w:rFonts w:asciiTheme="minorHAnsi" w:hAnsiTheme="minorHAnsi"/>
        </w:rPr>
      </w:pPr>
      <w:r w:rsidRPr="00A31D84">
        <w:rPr>
          <w:rFonts w:asciiTheme="minorHAnsi" w:hAnsiTheme="minorHAnsi"/>
        </w:rPr>
        <w:t xml:space="preserve">Key drivers of the economic evaluation are summarised in Table </w:t>
      </w:r>
      <w:r w:rsidR="007C762B">
        <w:rPr>
          <w:rFonts w:asciiTheme="minorHAnsi" w:hAnsiTheme="minorHAnsi"/>
        </w:rPr>
        <w:t>9</w:t>
      </w:r>
      <w:r w:rsidRPr="00A31D84">
        <w:rPr>
          <w:rFonts w:asciiTheme="minorHAnsi" w:hAnsiTheme="minorHAnsi"/>
        </w:rPr>
        <w:t>.</w:t>
      </w:r>
    </w:p>
    <w:p w:rsidR="002757CE" w:rsidRDefault="002757CE" w:rsidP="002757CE">
      <w:pPr>
        <w:pStyle w:val="Caption"/>
      </w:pPr>
      <w:r>
        <w:t xml:space="preserve">Table </w:t>
      </w:r>
      <w:r>
        <w:rPr>
          <w:noProof/>
        </w:rPr>
        <w:t>9</w:t>
      </w:r>
      <w:r w:rsidRPr="00D80F59">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7"/>
        <w:gridCol w:w="6570"/>
        <w:gridCol w:w="1375"/>
      </w:tblGrid>
      <w:tr w:rsidR="00B10DD6" w:rsidRPr="00F85725" w:rsidTr="002757CE">
        <w:trPr>
          <w:cantSplit/>
        </w:trPr>
        <w:tc>
          <w:tcPr>
            <w:tcW w:w="626" w:type="pct"/>
            <w:shd w:val="clear" w:color="auto" w:fill="auto"/>
            <w:vAlign w:val="center"/>
          </w:tcPr>
          <w:p w:rsidR="00B10DD6" w:rsidRPr="00F85725" w:rsidRDefault="00B10DD6" w:rsidP="005123EA">
            <w:pPr>
              <w:pStyle w:val="TableText1"/>
              <w:keepNext w:val="0"/>
              <w:rPr>
                <w:b/>
                <w:sz w:val="19"/>
                <w:szCs w:val="19"/>
              </w:rPr>
            </w:pPr>
            <w:r w:rsidRPr="00F85725">
              <w:rPr>
                <w:b/>
                <w:sz w:val="19"/>
                <w:szCs w:val="19"/>
              </w:rPr>
              <w:t>Description</w:t>
            </w:r>
          </w:p>
        </w:tc>
        <w:tc>
          <w:tcPr>
            <w:tcW w:w="3617" w:type="pct"/>
            <w:shd w:val="clear" w:color="auto" w:fill="auto"/>
            <w:vAlign w:val="center"/>
          </w:tcPr>
          <w:p w:rsidR="00B10DD6" w:rsidRPr="00F85725" w:rsidRDefault="00B10DD6" w:rsidP="005123EA">
            <w:pPr>
              <w:pStyle w:val="TableText1"/>
              <w:keepNext w:val="0"/>
              <w:jc w:val="center"/>
              <w:rPr>
                <w:b/>
                <w:sz w:val="19"/>
                <w:szCs w:val="19"/>
              </w:rPr>
            </w:pPr>
            <w:r w:rsidRPr="00F85725">
              <w:rPr>
                <w:b/>
                <w:sz w:val="19"/>
                <w:szCs w:val="19"/>
              </w:rPr>
              <w:t>Method/Value</w:t>
            </w:r>
          </w:p>
        </w:tc>
        <w:tc>
          <w:tcPr>
            <w:tcW w:w="757" w:type="pct"/>
            <w:shd w:val="clear" w:color="auto" w:fill="auto"/>
            <w:vAlign w:val="center"/>
          </w:tcPr>
          <w:p w:rsidR="00B10DD6" w:rsidRPr="00F85725" w:rsidRDefault="00B10DD6" w:rsidP="005123EA">
            <w:pPr>
              <w:pStyle w:val="TableText1"/>
              <w:keepNext w:val="0"/>
              <w:jc w:val="center"/>
              <w:rPr>
                <w:b/>
                <w:sz w:val="19"/>
                <w:szCs w:val="19"/>
              </w:rPr>
            </w:pPr>
            <w:r w:rsidRPr="00F85725">
              <w:rPr>
                <w:b/>
                <w:sz w:val="19"/>
                <w:szCs w:val="19"/>
              </w:rPr>
              <w:t>Impact</w:t>
            </w:r>
          </w:p>
        </w:tc>
      </w:tr>
      <w:tr w:rsidR="00B10DD6" w:rsidRPr="00F85725" w:rsidTr="002757CE">
        <w:trPr>
          <w:cantSplit/>
        </w:trPr>
        <w:tc>
          <w:tcPr>
            <w:tcW w:w="626" w:type="pct"/>
            <w:vMerge w:val="restart"/>
            <w:shd w:val="clear" w:color="auto" w:fill="auto"/>
            <w:vAlign w:val="center"/>
          </w:tcPr>
          <w:p w:rsidR="00B10DD6" w:rsidRPr="00F85725" w:rsidRDefault="00B10DD6" w:rsidP="005123EA">
            <w:pPr>
              <w:pStyle w:val="TableText1"/>
              <w:keepNext w:val="0"/>
              <w:rPr>
                <w:sz w:val="19"/>
                <w:szCs w:val="19"/>
              </w:rPr>
            </w:pPr>
            <w:r w:rsidRPr="00F85725">
              <w:rPr>
                <w:sz w:val="19"/>
                <w:szCs w:val="19"/>
              </w:rPr>
              <w:t>Extrapolation</w:t>
            </w:r>
          </w:p>
        </w:tc>
        <w:tc>
          <w:tcPr>
            <w:tcW w:w="3617" w:type="pct"/>
            <w:shd w:val="clear" w:color="auto" w:fill="auto"/>
            <w:vAlign w:val="center"/>
          </w:tcPr>
          <w:p w:rsidR="00B10DD6" w:rsidRPr="00C909C8" w:rsidRDefault="00B10DD6" w:rsidP="005123EA">
            <w:pPr>
              <w:pStyle w:val="TableText1"/>
              <w:keepNext w:val="0"/>
              <w:rPr>
                <w:sz w:val="19"/>
                <w:szCs w:val="19"/>
              </w:rPr>
            </w:pPr>
            <w:r w:rsidRPr="00C909C8">
              <w:rPr>
                <w:sz w:val="19"/>
                <w:szCs w:val="19"/>
              </w:rPr>
              <w:t xml:space="preserve">Changes in </w:t>
            </w:r>
            <w:r w:rsidRPr="00C909C8">
              <w:rPr>
                <w:b/>
                <w:sz w:val="19"/>
                <w:szCs w:val="19"/>
              </w:rPr>
              <w:t>6MWT distance</w:t>
            </w:r>
            <w:r w:rsidRPr="00C909C8">
              <w:rPr>
                <w:sz w:val="19"/>
                <w:szCs w:val="19"/>
              </w:rPr>
              <w:t xml:space="preserve"> assumed from trial data and extrapolated out to a lifetime model with treatment effect (not shown to be significant in Trial ENB-009-10) assumed to continue out beyond the 54 month duration of the trial to 101 years</w:t>
            </w:r>
            <w:r w:rsidR="007562CF" w:rsidRPr="00C909C8">
              <w:rPr>
                <w:sz w:val="19"/>
                <w:szCs w:val="19"/>
              </w:rPr>
              <w:t>.</w:t>
            </w:r>
          </w:p>
        </w:tc>
        <w:tc>
          <w:tcPr>
            <w:tcW w:w="757" w:type="pct"/>
            <w:shd w:val="clear" w:color="auto" w:fill="auto"/>
            <w:vAlign w:val="center"/>
          </w:tcPr>
          <w:p w:rsidR="00B10DD6" w:rsidRPr="00F85725" w:rsidRDefault="00B10DD6" w:rsidP="005123EA">
            <w:pPr>
              <w:pStyle w:val="TableText1"/>
              <w:keepNext w:val="0"/>
              <w:rPr>
                <w:sz w:val="19"/>
                <w:szCs w:val="19"/>
              </w:rPr>
            </w:pPr>
            <w:r w:rsidRPr="00F85725">
              <w:rPr>
                <w:sz w:val="19"/>
                <w:szCs w:val="19"/>
              </w:rPr>
              <w:t xml:space="preserve">High, favours </w:t>
            </w:r>
            <w:proofErr w:type="spellStart"/>
            <w:r w:rsidRPr="00F85725">
              <w:rPr>
                <w:sz w:val="19"/>
                <w:szCs w:val="19"/>
              </w:rPr>
              <w:t>asfotase</w:t>
            </w:r>
            <w:proofErr w:type="spellEnd"/>
            <w:r w:rsidRPr="00F85725">
              <w:rPr>
                <w:sz w:val="19"/>
                <w:szCs w:val="19"/>
              </w:rPr>
              <w:t xml:space="preserve"> alfa </w:t>
            </w:r>
            <w:proofErr w:type="spellStart"/>
            <w:r w:rsidR="00465F17" w:rsidRPr="00465F17">
              <w:rPr>
                <w:i/>
                <w:sz w:val="19"/>
                <w:szCs w:val="19"/>
              </w:rPr>
              <w:t>rch</w:t>
            </w:r>
            <w:proofErr w:type="spellEnd"/>
          </w:p>
        </w:tc>
      </w:tr>
      <w:tr w:rsidR="00B10DD6" w:rsidRPr="00F85725" w:rsidTr="002757CE">
        <w:trPr>
          <w:cantSplit/>
        </w:trPr>
        <w:tc>
          <w:tcPr>
            <w:tcW w:w="626" w:type="pct"/>
            <w:vMerge/>
            <w:shd w:val="clear" w:color="auto" w:fill="auto"/>
            <w:vAlign w:val="center"/>
          </w:tcPr>
          <w:p w:rsidR="00B10DD6" w:rsidRPr="00F85725" w:rsidRDefault="00B10DD6" w:rsidP="005123EA">
            <w:pPr>
              <w:pStyle w:val="TableText1"/>
              <w:keepNext w:val="0"/>
              <w:rPr>
                <w:sz w:val="19"/>
                <w:szCs w:val="19"/>
              </w:rPr>
            </w:pPr>
          </w:p>
        </w:tc>
        <w:tc>
          <w:tcPr>
            <w:tcW w:w="3617" w:type="pct"/>
            <w:shd w:val="clear" w:color="auto" w:fill="auto"/>
            <w:vAlign w:val="center"/>
          </w:tcPr>
          <w:p w:rsidR="00B10DD6" w:rsidRPr="00C909C8" w:rsidRDefault="00B10DD6" w:rsidP="005123EA">
            <w:pPr>
              <w:pStyle w:val="TableText1"/>
              <w:keepNext w:val="0"/>
              <w:rPr>
                <w:sz w:val="19"/>
                <w:szCs w:val="19"/>
              </w:rPr>
            </w:pPr>
            <w:r w:rsidRPr="00C909C8">
              <w:rPr>
                <w:sz w:val="19"/>
                <w:szCs w:val="19"/>
              </w:rPr>
              <w:t xml:space="preserve">A Weibull curve was fitted to the </w:t>
            </w:r>
            <w:r w:rsidRPr="00C909C8">
              <w:rPr>
                <w:b/>
                <w:sz w:val="19"/>
                <w:szCs w:val="19"/>
              </w:rPr>
              <w:t>overall survival</w:t>
            </w:r>
            <w:r w:rsidRPr="00C909C8">
              <w:rPr>
                <w:sz w:val="19"/>
                <w:szCs w:val="19"/>
              </w:rPr>
              <w:t xml:space="preserve"> data for patients with perinatal/infantile-onset HPP from trials ENB-002-08/ENB-003-08 and ENB-010-10, while the submission stated that overall survival wasn’t extrapolated.</w:t>
            </w:r>
            <w:r w:rsidR="00540116" w:rsidRPr="00C909C8">
              <w:rPr>
                <w:sz w:val="19"/>
                <w:szCs w:val="19"/>
              </w:rPr>
              <w:t xml:space="preserve"> </w:t>
            </w:r>
            <w:r w:rsidRPr="00C909C8">
              <w:rPr>
                <w:sz w:val="19"/>
                <w:szCs w:val="19"/>
              </w:rPr>
              <w:t xml:space="preserve">The submission assumed that the increased overall survival seen in patients with symptoms prior to 6 months of age compared </w:t>
            </w:r>
            <w:r w:rsidR="00AC75D2" w:rsidRPr="00C909C8">
              <w:rPr>
                <w:sz w:val="19"/>
                <w:szCs w:val="19"/>
              </w:rPr>
              <w:t xml:space="preserve">with </w:t>
            </w:r>
            <w:r w:rsidRPr="00C909C8">
              <w:rPr>
                <w:sz w:val="19"/>
                <w:szCs w:val="19"/>
              </w:rPr>
              <w:t xml:space="preserve">historical controls from Trial ENB-011-10 would continue, with no increased risk of mortality compared </w:t>
            </w:r>
            <w:r w:rsidR="009C432D" w:rsidRPr="00C909C8">
              <w:rPr>
                <w:sz w:val="19"/>
                <w:szCs w:val="19"/>
              </w:rPr>
              <w:t xml:space="preserve">with </w:t>
            </w:r>
            <w:r w:rsidRPr="00C909C8">
              <w:rPr>
                <w:sz w:val="19"/>
                <w:szCs w:val="19"/>
              </w:rPr>
              <w:t xml:space="preserve">BSC </w:t>
            </w:r>
            <w:proofErr w:type="gramStart"/>
            <w:r w:rsidRPr="00C909C8">
              <w:rPr>
                <w:sz w:val="19"/>
                <w:szCs w:val="19"/>
              </w:rPr>
              <w:t>as a patient ages</w:t>
            </w:r>
            <w:proofErr w:type="gramEnd"/>
            <w:r w:rsidRPr="00C909C8">
              <w:rPr>
                <w:sz w:val="19"/>
                <w:szCs w:val="19"/>
              </w:rPr>
              <w:t>.</w:t>
            </w:r>
          </w:p>
        </w:tc>
        <w:tc>
          <w:tcPr>
            <w:tcW w:w="757" w:type="pct"/>
            <w:shd w:val="clear" w:color="auto" w:fill="auto"/>
            <w:vAlign w:val="center"/>
          </w:tcPr>
          <w:p w:rsidR="00B10DD6" w:rsidRPr="00F85725" w:rsidRDefault="00B10DD6" w:rsidP="005123EA">
            <w:pPr>
              <w:pStyle w:val="TableText1"/>
              <w:keepNext w:val="0"/>
              <w:rPr>
                <w:sz w:val="19"/>
                <w:szCs w:val="19"/>
              </w:rPr>
            </w:pPr>
            <w:r w:rsidRPr="00F85725">
              <w:rPr>
                <w:sz w:val="19"/>
                <w:szCs w:val="19"/>
              </w:rPr>
              <w:t xml:space="preserve">Moderate, favours </w:t>
            </w:r>
            <w:proofErr w:type="spellStart"/>
            <w:r w:rsidRPr="00F85725">
              <w:rPr>
                <w:sz w:val="19"/>
                <w:szCs w:val="19"/>
              </w:rPr>
              <w:t>asfotase</w:t>
            </w:r>
            <w:proofErr w:type="spellEnd"/>
            <w:r w:rsidRPr="00F85725">
              <w:rPr>
                <w:sz w:val="19"/>
                <w:szCs w:val="19"/>
              </w:rPr>
              <w:t xml:space="preserve"> alfa </w:t>
            </w:r>
            <w:proofErr w:type="spellStart"/>
            <w:r w:rsidR="00465F17" w:rsidRPr="00465F17">
              <w:rPr>
                <w:i/>
                <w:sz w:val="19"/>
                <w:szCs w:val="19"/>
              </w:rPr>
              <w:t>rch</w:t>
            </w:r>
            <w:proofErr w:type="spellEnd"/>
          </w:p>
        </w:tc>
      </w:tr>
      <w:tr w:rsidR="00B10DD6" w:rsidRPr="00F85725" w:rsidTr="002757CE">
        <w:trPr>
          <w:cantSplit/>
        </w:trPr>
        <w:tc>
          <w:tcPr>
            <w:tcW w:w="626" w:type="pct"/>
            <w:vMerge/>
            <w:shd w:val="clear" w:color="auto" w:fill="auto"/>
            <w:vAlign w:val="center"/>
          </w:tcPr>
          <w:p w:rsidR="00B10DD6" w:rsidRPr="00F85725" w:rsidRDefault="00B10DD6" w:rsidP="005123EA">
            <w:pPr>
              <w:pStyle w:val="TableText1"/>
              <w:keepNext w:val="0"/>
              <w:rPr>
                <w:sz w:val="19"/>
                <w:szCs w:val="19"/>
              </w:rPr>
            </w:pPr>
          </w:p>
        </w:tc>
        <w:tc>
          <w:tcPr>
            <w:tcW w:w="3617" w:type="pct"/>
            <w:shd w:val="clear" w:color="auto" w:fill="auto"/>
            <w:vAlign w:val="center"/>
          </w:tcPr>
          <w:p w:rsidR="00B10DD6" w:rsidRPr="00C909C8" w:rsidRDefault="00B10DD6" w:rsidP="005123EA">
            <w:pPr>
              <w:pStyle w:val="TableText1"/>
              <w:keepNext w:val="0"/>
              <w:rPr>
                <w:sz w:val="19"/>
                <w:szCs w:val="19"/>
              </w:rPr>
            </w:pPr>
            <w:r w:rsidRPr="00C909C8">
              <w:rPr>
                <w:b/>
                <w:sz w:val="19"/>
                <w:szCs w:val="19"/>
              </w:rPr>
              <w:t>Progression in disease severity</w:t>
            </w:r>
            <w:r w:rsidRPr="00C909C8">
              <w:rPr>
                <w:sz w:val="19"/>
                <w:szCs w:val="19"/>
              </w:rPr>
              <w:t>, as observed by changes in 6MWT for patients aged ≥5 years, could be extrapolated to characterise the severity of the disease for patients aged &lt;5 years.</w:t>
            </w:r>
            <w:r w:rsidR="00540116" w:rsidRPr="00C909C8">
              <w:rPr>
                <w:sz w:val="19"/>
                <w:szCs w:val="19"/>
              </w:rPr>
              <w:t xml:space="preserve"> </w:t>
            </w:r>
            <w:r w:rsidRPr="00C909C8">
              <w:rPr>
                <w:sz w:val="19"/>
                <w:szCs w:val="19"/>
              </w:rPr>
              <w:t>Changes in 6MWT distance may not reflect changes in disease state severity, especially for patients aged less than 5 years.</w:t>
            </w:r>
            <w:r w:rsidR="00540116" w:rsidRPr="00C909C8">
              <w:rPr>
                <w:sz w:val="19"/>
                <w:szCs w:val="19"/>
              </w:rPr>
              <w:t xml:space="preserve"> </w:t>
            </w:r>
          </w:p>
        </w:tc>
        <w:tc>
          <w:tcPr>
            <w:tcW w:w="757" w:type="pct"/>
            <w:shd w:val="clear" w:color="auto" w:fill="auto"/>
            <w:vAlign w:val="center"/>
          </w:tcPr>
          <w:p w:rsidR="00B10DD6" w:rsidRPr="00F85725" w:rsidRDefault="00B10DD6" w:rsidP="005123EA">
            <w:pPr>
              <w:pStyle w:val="TableText1"/>
              <w:keepNext w:val="0"/>
              <w:rPr>
                <w:sz w:val="19"/>
                <w:szCs w:val="19"/>
              </w:rPr>
            </w:pPr>
            <w:r w:rsidRPr="00F85725">
              <w:rPr>
                <w:sz w:val="19"/>
                <w:szCs w:val="19"/>
              </w:rPr>
              <w:t xml:space="preserve">Moderate, favours </w:t>
            </w:r>
            <w:proofErr w:type="spellStart"/>
            <w:r w:rsidRPr="00F85725">
              <w:rPr>
                <w:sz w:val="19"/>
                <w:szCs w:val="19"/>
              </w:rPr>
              <w:t>asfotase</w:t>
            </w:r>
            <w:proofErr w:type="spellEnd"/>
            <w:r w:rsidRPr="00F85725">
              <w:rPr>
                <w:sz w:val="19"/>
                <w:szCs w:val="19"/>
              </w:rPr>
              <w:t xml:space="preserve"> alfa </w:t>
            </w:r>
            <w:proofErr w:type="spellStart"/>
            <w:r w:rsidR="00465F17" w:rsidRPr="00465F17">
              <w:rPr>
                <w:i/>
                <w:sz w:val="19"/>
                <w:szCs w:val="19"/>
              </w:rPr>
              <w:t>rch</w:t>
            </w:r>
            <w:proofErr w:type="spellEnd"/>
          </w:p>
        </w:tc>
      </w:tr>
      <w:tr w:rsidR="00B10DD6" w:rsidRPr="00F85725" w:rsidTr="002757CE">
        <w:trPr>
          <w:cantSplit/>
        </w:trPr>
        <w:tc>
          <w:tcPr>
            <w:tcW w:w="626" w:type="pct"/>
            <w:shd w:val="clear" w:color="auto" w:fill="auto"/>
            <w:vAlign w:val="center"/>
          </w:tcPr>
          <w:p w:rsidR="00B10DD6" w:rsidRPr="00F85725" w:rsidRDefault="00B10DD6" w:rsidP="005123EA">
            <w:pPr>
              <w:pStyle w:val="TableText1"/>
              <w:keepNext w:val="0"/>
              <w:rPr>
                <w:sz w:val="19"/>
                <w:szCs w:val="19"/>
              </w:rPr>
            </w:pPr>
            <w:r w:rsidRPr="00F85725">
              <w:rPr>
                <w:sz w:val="19"/>
                <w:szCs w:val="19"/>
              </w:rPr>
              <w:t>Alive health states</w:t>
            </w:r>
          </w:p>
        </w:tc>
        <w:tc>
          <w:tcPr>
            <w:tcW w:w="3617" w:type="pct"/>
            <w:shd w:val="clear" w:color="auto" w:fill="auto"/>
            <w:vAlign w:val="center"/>
          </w:tcPr>
          <w:p w:rsidR="00B10DD6" w:rsidRPr="00C909C8" w:rsidRDefault="00B10DD6" w:rsidP="005123EA">
            <w:pPr>
              <w:pStyle w:val="TableText1"/>
              <w:keepNext w:val="0"/>
              <w:rPr>
                <w:sz w:val="19"/>
                <w:szCs w:val="19"/>
              </w:rPr>
            </w:pPr>
            <w:r w:rsidRPr="00C909C8">
              <w:rPr>
                <w:sz w:val="19"/>
                <w:szCs w:val="19"/>
              </w:rPr>
              <w:t xml:space="preserve">It was not apparent that health states </w:t>
            </w:r>
            <w:r w:rsidR="007C762B" w:rsidRPr="00C909C8">
              <w:rPr>
                <w:sz w:val="19"/>
                <w:szCs w:val="19"/>
              </w:rPr>
              <w:t>defined by per</w:t>
            </w:r>
            <w:r w:rsidR="00697339">
              <w:rPr>
                <w:sz w:val="19"/>
                <w:szCs w:val="19"/>
              </w:rPr>
              <w:t xml:space="preserve"> </w:t>
            </w:r>
            <w:r w:rsidR="007C762B" w:rsidRPr="00C909C8">
              <w:rPr>
                <w:sz w:val="19"/>
                <w:szCs w:val="19"/>
              </w:rPr>
              <w:t>cent predicted 6MWT</w:t>
            </w:r>
            <w:r w:rsidRPr="00C909C8">
              <w:rPr>
                <w:sz w:val="19"/>
                <w:szCs w:val="19"/>
              </w:rPr>
              <w:t xml:space="preserve"> adequately represented all </w:t>
            </w:r>
            <w:proofErr w:type="gramStart"/>
            <w:r w:rsidRPr="00C909C8">
              <w:rPr>
                <w:sz w:val="19"/>
                <w:szCs w:val="19"/>
              </w:rPr>
              <w:t>alive</w:t>
            </w:r>
            <w:proofErr w:type="gramEnd"/>
            <w:r w:rsidRPr="00C909C8">
              <w:rPr>
                <w:sz w:val="19"/>
                <w:szCs w:val="19"/>
              </w:rPr>
              <w:t xml:space="preserve"> patients with paediatric-onset HPP</w:t>
            </w:r>
            <w:r w:rsidR="007C762B" w:rsidRPr="00C909C8">
              <w:rPr>
                <w:sz w:val="19"/>
                <w:szCs w:val="19"/>
              </w:rPr>
              <w:t xml:space="preserve"> given other symptoms associated with the condition may not be captured by this measure</w:t>
            </w:r>
            <w:r w:rsidRPr="00C909C8">
              <w:rPr>
                <w:sz w:val="19"/>
                <w:szCs w:val="19"/>
              </w:rPr>
              <w:t>.</w:t>
            </w:r>
            <w:r w:rsidR="00540116" w:rsidRPr="00C909C8">
              <w:rPr>
                <w:sz w:val="19"/>
                <w:szCs w:val="19"/>
              </w:rPr>
              <w:t xml:space="preserve"> </w:t>
            </w:r>
          </w:p>
        </w:tc>
        <w:tc>
          <w:tcPr>
            <w:tcW w:w="757" w:type="pct"/>
            <w:shd w:val="clear" w:color="auto" w:fill="auto"/>
            <w:vAlign w:val="center"/>
          </w:tcPr>
          <w:p w:rsidR="00B10DD6" w:rsidRPr="00F85725" w:rsidRDefault="00B10DD6" w:rsidP="005123EA">
            <w:pPr>
              <w:pStyle w:val="TableText1"/>
              <w:keepNext w:val="0"/>
              <w:rPr>
                <w:sz w:val="19"/>
                <w:szCs w:val="19"/>
              </w:rPr>
            </w:pPr>
            <w:r w:rsidRPr="00F85725">
              <w:rPr>
                <w:sz w:val="19"/>
                <w:szCs w:val="19"/>
              </w:rPr>
              <w:t xml:space="preserve">Moderate, favours </w:t>
            </w:r>
            <w:proofErr w:type="spellStart"/>
            <w:r w:rsidRPr="00F85725">
              <w:rPr>
                <w:sz w:val="19"/>
                <w:szCs w:val="19"/>
              </w:rPr>
              <w:t>asfotase</w:t>
            </w:r>
            <w:proofErr w:type="spellEnd"/>
            <w:r w:rsidRPr="00F85725">
              <w:rPr>
                <w:sz w:val="19"/>
                <w:szCs w:val="19"/>
              </w:rPr>
              <w:t xml:space="preserve"> alfa </w:t>
            </w:r>
            <w:proofErr w:type="spellStart"/>
            <w:r w:rsidR="00465F17" w:rsidRPr="00465F17">
              <w:rPr>
                <w:i/>
                <w:sz w:val="19"/>
                <w:szCs w:val="19"/>
              </w:rPr>
              <w:t>rch</w:t>
            </w:r>
            <w:proofErr w:type="spellEnd"/>
          </w:p>
        </w:tc>
      </w:tr>
      <w:tr w:rsidR="00B10DD6" w:rsidRPr="00F85725" w:rsidTr="002757CE">
        <w:trPr>
          <w:cantSplit/>
        </w:trPr>
        <w:tc>
          <w:tcPr>
            <w:tcW w:w="626" w:type="pct"/>
            <w:shd w:val="clear" w:color="auto" w:fill="auto"/>
            <w:vAlign w:val="center"/>
          </w:tcPr>
          <w:p w:rsidR="00B10DD6" w:rsidRPr="00F85725" w:rsidRDefault="00B10DD6" w:rsidP="005123EA">
            <w:pPr>
              <w:pStyle w:val="TableText1"/>
              <w:keepNext w:val="0"/>
              <w:rPr>
                <w:sz w:val="19"/>
                <w:szCs w:val="19"/>
              </w:rPr>
            </w:pPr>
            <w:r w:rsidRPr="00F85725">
              <w:rPr>
                <w:sz w:val="19"/>
                <w:szCs w:val="19"/>
              </w:rPr>
              <w:t>Utility gained from the change in 6MWT from baseline</w:t>
            </w:r>
          </w:p>
        </w:tc>
        <w:tc>
          <w:tcPr>
            <w:tcW w:w="3617" w:type="pct"/>
            <w:shd w:val="clear" w:color="auto" w:fill="auto"/>
            <w:vAlign w:val="center"/>
          </w:tcPr>
          <w:p w:rsidR="00B10DD6" w:rsidRPr="00C909C8" w:rsidRDefault="00B10DD6" w:rsidP="005123EA">
            <w:pPr>
              <w:pStyle w:val="TableText1"/>
              <w:keepNext w:val="0"/>
              <w:rPr>
                <w:sz w:val="19"/>
                <w:szCs w:val="19"/>
              </w:rPr>
            </w:pPr>
            <w:r w:rsidRPr="00C909C8">
              <w:rPr>
                <w:sz w:val="19"/>
                <w:szCs w:val="19"/>
              </w:rPr>
              <w:t xml:space="preserve">The utility values </w:t>
            </w:r>
            <w:r w:rsidR="005E3AD9" w:rsidRPr="00C909C8">
              <w:rPr>
                <w:sz w:val="19"/>
                <w:szCs w:val="19"/>
              </w:rPr>
              <w:t xml:space="preserve">applied to </w:t>
            </w:r>
            <w:r w:rsidRPr="00C909C8">
              <w:rPr>
                <w:sz w:val="19"/>
                <w:szCs w:val="19"/>
              </w:rPr>
              <w:t>Severity levels I-IV</w:t>
            </w:r>
            <w:r w:rsidR="005E3AD9" w:rsidRPr="00C909C8">
              <w:rPr>
                <w:sz w:val="19"/>
                <w:szCs w:val="19"/>
              </w:rPr>
              <w:t xml:space="preserve"> and their </w:t>
            </w:r>
            <w:proofErr w:type="gramStart"/>
            <w:r w:rsidR="005E3AD9" w:rsidRPr="00C909C8">
              <w:rPr>
                <w:sz w:val="19"/>
                <w:szCs w:val="19"/>
              </w:rPr>
              <w:t>method of derivation are</w:t>
            </w:r>
            <w:proofErr w:type="gramEnd"/>
            <w:r w:rsidR="005E3AD9" w:rsidRPr="00C909C8">
              <w:rPr>
                <w:sz w:val="19"/>
                <w:szCs w:val="19"/>
              </w:rPr>
              <w:t xml:space="preserve"> presented in Table 8</w:t>
            </w:r>
            <w:r w:rsidRPr="00C909C8">
              <w:rPr>
                <w:sz w:val="19"/>
                <w:szCs w:val="19"/>
              </w:rPr>
              <w:t>, respectively.</w:t>
            </w:r>
            <w:r w:rsidR="00540116" w:rsidRPr="00C909C8">
              <w:rPr>
                <w:sz w:val="19"/>
                <w:szCs w:val="19"/>
              </w:rPr>
              <w:t xml:space="preserve"> </w:t>
            </w:r>
            <w:r w:rsidRPr="00C909C8">
              <w:rPr>
                <w:sz w:val="19"/>
                <w:szCs w:val="19"/>
              </w:rPr>
              <w:t>While a disutility for invasive ventilation of -0.33 was also applied, the submission did not use the derived values of 0.24 for all children aged 5 years or less not on invasive ventilation or -0.09 for children aged 5 years or less on invasive ventilation (choosing to test a value of 0.24 in a sensitivity analysis for this age group).</w:t>
            </w:r>
            <w:r w:rsidR="00540116" w:rsidRPr="00C909C8">
              <w:rPr>
                <w:sz w:val="19"/>
                <w:szCs w:val="19"/>
              </w:rPr>
              <w:t xml:space="preserve"> </w:t>
            </w:r>
            <w:r w:rsidRPr="00C909C8">
              <w:rPr>
                <w:sz w:val="19"/>
                <w:szCs w:val="19"/>
              </w:rPr>
              <w:t xml:space="preserve">It was not apparent that there would be an improvement in utility values for patients treated with </w:t>
            </w:r>
            <w:proofErr w:type="spellStart"/>
            <w:r w:rsidRPr="00C909C8">
              <w:rPr>
                <w:sz w:val="19"/>
                <w:szCs w:val="19"/>
              </w:rPr>
              <w:t>asfotase</w:t>
            </w:r>
            <w:proofErr w:type="spellEnd"/>
            <w:r w:rsidRPr="00C909C8">
              <w:rPr>
                <w:sz w:val="19"/>
                <w:szCs w:val="19"/>
              </w:rPr>
              <w:t xml:space="preserve"> alfa </w:t>
            </w:r>
            <w:proofErr w:type="spellStart"/>
            <w:r w:rsidR="00465F17" w:rsidRPr="00C909C8">
              <w:rPr>
                <w:sz w:val="19"/>
                <w:szCs w:val="19"/>
              </w:rPr>
              <w:t>rch</w:t>
            </w:r>
            <w:proofErr w:type="spellEnd"/>
            <w:r w:rsidRPr="00C909C8">
              <w:rPr>
                <w:sz w:val="19"/>
                <w:szCs w:val="19"/>
              </w:rPr>
              <w:t>, as there wasn’t a significant difference in quality of life compared to BSC shown in the direct randomised trial ENB-009-10.</w:t>
            </w:r>
            <w:r w:rsidR="00540116" w:rsidRPr="00C909C8">
              <w:rPr>
                <w:sz w:val="19"/>
                <w:szCs w:val="19"/>
              </w:rPr>
              <w:t xml:space="preserve"> </w:t>
            </w:r>
            <w:r w:rsidRPr="00C909C8">
              <w:rPr>
                <w:sz w:val="19"/>
                <w:szCs w:val="19"/>
              </w:rPr>
              <w:t>It was also not apparent that utility values for newborns would be the same as those obtained through the scoring of the case descriptions provided to the clinical experts.</w:t>
            </w:r>
          </w:p>
        </w:tc>
        <w:tc>
          <w:tcPr>
            <w:tcW w:w="757" w:type="pct"/>
            <w:shd w:val="clear" w:color="auto" w:fill="auto"/>
            <w:vAlign w:val="center"/>
          </w:tcPr>
          <w:p w:rsidR="00B10DD6" w:rsidRPr="00F85725" w:rsidRDefault="00B10DD6" w:rsidP="005123EA">
            <w:pPr>
              <w:pStyle w:val="TableText1"/>
              <w:keepNext w:val="0"/>
              <w:rPr>
                <w:sz w:val="19"/>
                <w:szCs w:val="19"/>
              </w:rPr>
            </w:pPr>
            <w:r w:rsidRPr="00F85725">
              <w:rPr>
                <w:sz w:val="19"/>
                <w:szCs w:val="19"/>
              </w:rPr>
              <w:t xml:space="preserve">High, favours </w:t>
            </w:r>
            <w:proofErr w:type="spellStart"/>
            <w:r w:rsidRPr="00F85725">
              <w:rPr>
                <w:sz w:val="19"/>
                <w:szCs w:val="19"/>
              </w:rPr>
              <w:t>asfotase</w:t>
            </w:r>
            <w:proofErr w:type="spellEnd"/>
            <w:r w:rsidRPr="00F85725">
              <w:rPr>
                <w:sz w:val="19"/>
                <w:szCs w:val="19"/>
              </w:rPr>
              <w:t xml:space="preserve"> alfa </w:t>
            </w:r>
            <w:proofErr w:type="spellStart"/>
            <w:r w:rsidR="00465F17" w:rsidRPr="00465F17">
              <w:rPr>
                <w:i/>
                <w:sz w:val="19"/>
                <w:szCs w:val="19"/>
              </w:rPr>
              <w:t>rch</w:t>
            </w:r>
            <w:proofErr w:type="spellEnd"/>
          </w:p>
        </w:tc>
      </w:tr>
      <w:tr w:rsidR="00B10DD6" w:rsidRPr="00F85725" w:rsidTr="002757CE">
        <w:trPr>
          <w:cantSplit/>
        </w:trPr>
        <w:tc>
          <w:tcPr>
            <w:tcW w:w="626" w:type="pct"/>
            <w:shd w:val="clear" w:color="auto" w:fill="auto"/>
            <w:vAlign w:val="center"/>
          </w:tcPr>
          <w:p w:rsidR="00B10DD6" w:rsidRPr="00F85725" w:rsidRDefault="00B10DD6" w:rsidP="005123EA">
            <w:pPr>
              <w:pStyle w:val="TableText1"/>
              <w:keepNext w:val="0"/>
              <w:rPr>
                <w:sz w:val="19"/>
                <w:szCs w:val="19"/>
              </w:rPr>
            </w:pPr>
            <w:r w:rsidRPr="00F85725">
              <w:rPr>
                <w:sz w:val="19"/>
                <w:szCs w:val="19"/>
              </w:rPr>
              <w:t>Patient age</w:t>
            </w:r>
          </w:p>
        </w:tc>
        <w:tc>
          <w:tcPr>
            <w:tcW w:w="3617" w:type="pct"/>
            <w:shd w:val="clear" w:color="auto" w:fill="auto"/>
            <w:vAlign w:val="center"/>
          </w:tcPr>
          <w:p w:rsidR="00B10DD6" w:rsidRPr="00C909C8" w:rsidRDefault="00B10DD6" w:rsidP="005123EA">
            <w:pPr>
              <w:pStyle w:val="TableText1"/>
              <w:keepNext w:val="0"/>
              <w:rPr>
                <w:sz w:val="19"/>
                <w:szCs w:val="19"/>
              </w:rPr>
            </w:pPr>
            <w:r w:rsidRPr="00C909C8">
              <w:rPr>
                <w:sz w:val="19"/>
                <w:szCs w:val="19"/>
              </w:rPr>
              <w:t xml:space="preserve">The model was highly dependent on the age that a patient starts treatment, with variations in the ICER of less than $1 million per QALY gained for newborns and over $3 million per QALY gained for </w:t>
            </w:r>
            <w:r w:rsidR="007C762B" w:rsidRPr="00C909C8">
              <w:rPr>
                <w:sz w:val="19"/>
                <w:szCs w:val="19"/>
              </w:rPr>
              <w:t xml:space="preserve">paediatric onset HPP patients who initiate therapy as </w:t>
            </w:r>
            <w:r w:rsidRPr="00C909C8">
              <w:rPr>
                <w:sz w:val="19"/>
                <w:szCs w:val="19"/>
              </w:rPr>
              <w:t>adults.</w:t>
            </w:r>
            <w:r w:rsidR="00540116" w:rsidRPr="00C909C8">
              <w:rPr>
                <w:sz w:val="19"/>
                <w:szCs w:val="19"/>
              </w:rPr>
              <w:t xml:space="preserve"> </w:t>
            </w:r>
            <w:r w:rsidRPr="00C909C8">
              <w:rPr>
                <w:sz w:val="19"/>
                <w:szCs w:val="19"/>
              </w:rPr>
              <w:t>The base case assumed that a patient would start treatment at the age of 5.8 years.</w:t>
            </w:r>
            <w:r w:rsidR="00540116" w:rsidRPr="00C909C8">
              <w:rPr>
                <w:sz w:val="19"/>
                <w:szCs w:val="19"/>
              </w:rPr>
              <w:t xml:space="preserve"> </w:t>
            </w:r>
            <w:r w:rsidR="00F85725" w:rsidRPr="00C909C8">
              <w:rPr>
                <w:sz w:val="19"/>
                <w:szCs w:val="19"/>
              </w:rPr>
              <w:t>The ICERs cannot be interpreted as a single cohort of patients where only the age of commencing treatment differs.</w:t>
            </w:r>
            <w:r w:rsidR="00540116" w:rsidRPr="00C909C8">
              <w:rPr>
                <w:sz w:val="19"/>
                <w:szCs w:val="19"/>
              </w:rPr>
              <w:t xml:space="preserve"> </w:t>
            </w:r>
            <w:r w:rsidR="00F85725" w:rsidRPr="00C909C8">
              <w:rPr>
                <w:sz w:val="19"/>
                <w:szCs w:val="19"/>
              </w:rPr>
              <w:t>The groups being modelled in each are distinct as the distribution of patients in each health state differs at “equivalent” ages across the analyses.</w:t>
            </w:r>
          </w:p>
        </w:tc>
        <w:tc>
          <w:tcPr>
            <w:tcW w:w="757" w:type="pct"/>
            <w:shd w:val="clear" w:color="auto" w:fill="auto"/>
            <w:vAlign w:val="center"/>
          </w:tcPr>
          <w:p w:rsidR="00B10DD6" w:rsidRPr="00F85725" w:rsidRDefault="00B10DD6" w:rsidP="005123EA">
            <w:pPr>
              <w:pStyle w:val="TableText1"/>
              <w:keepNext w:val="0"/>
              <w:rPr>
                <w:sz w:val="19"/>
                <w:szCs w:val="19"/>
              </w:rPr>
            </w:pPr>
            <w:r w:rsidRPr="00F85725">
              <w:rPr>
                <w:sz w:val="19"/>
                <w:szCs w:val="19"/>
              </w:rPr>
              <w:t xml:space="preserve">Uncertain as the proportion of patients likely to use </w:t>
            </w:r>
            <w:proofErr w:type="spellStart"/>
            <w:r w:rsidRPr="00F85725">
              <w:rPr>
                <w:sz w:val="19"/>
                <w:szCs w:val="19"/>
              </w:rPr>
              <w:t>asfotase</w:t>
            </w:r>
            <w:proofErr w:type="spellEnd"/>
            <w:r w:rsidRPr="00F85725">
              <w:rPr>
                <w:sz w:val="19"/>
                <w:szCs w:val="19"/>
              </w:rPr>
              <w:t xml:space="preserve"> alfa </w:t>
            </w:r>
            <w:proofErr w:type="spellStart"/>
            <w:r w:rsidR="00465F17" w:rsidRPr="00465F17">
              <w:rPr>
                <w:i/>
                <w:sz w:val="19"/>
                <w:szCs w:val="19"/>
              </w:rPr>
              <w:t>rch</w:t>
            </w:r>
            <w:proofErr w:type="spellEnd"/>
            <w:r w:rsidRPr="00F85725">
              <w:rPr>
                <w:sz w:val="19"/>
                <w:szCs w:val="19"/>
              </w:rPr>
              <w:t xml:space="preserve"> in different age groups is uncertain</w:t>
            </w:r>
          </w:p>
        </w:tc>
      </w:tr>
      <w:tr w:rsidR="00B10DD6" w:rsidRPr="00F85725" w:rsidTr="002757CE">
        <w:trPr>
          <w:cantSplit/>
        </w:trPr>
        <w:tc>
          <w:tcPr>
            <w:tcW w:w="626" w:type="pct"/>
            <w:shd w:val="clear" w:color="auto" w:fill="auto"/>
            <w:vAlign w:val="center"/>
          </w:tcPr>
          <w:p w:rsidR="00B10DD6" w:rsidRPr="00F85725" w:rsidRDefault="00B10DD6" w:rsidP="005123EA">
            <w:pPr>
              <w:pStyle w:val="TableText1"/>
              <w:keepNext w:val="0"/>
              <w:rPr>
                <w:sz w:val="19"/>
                <w:szCs w:val="19"/>
              </w:rPr>
            </w:pPr>
            <w:r w:rsidRPr="00F85725">
              <w:rPr>
                <w:sz w:val="19"/>
                <w:szCs w:val="19"/>
              </w:rPr>
              <w:t>Costs</w:t>
            </w:r>
          </w:p>
        </w:tc>
        <w:tc>
          <w:tcPr>
            <w:tcW w:w="3617" w:type="pct"/>
            <w:shd w:val="clear" w:color="auto" w:fill="auto"/>
            <w:vAlign w:val="center"/>
          </w:tcPr>
          <w:p w:rsidR="00B10DD6" w:rsidRPr="00C909C8" w:rsidRDefault="00B10DD6" w:rsidP="005123EA">
            <w:pPr>
              <w:pStyle w:val="TableText1"/>
              <w:keepNext w:val="0"/>
              <w:rPr>
                <w:sz w:val="19"/>
                <w:szCs w:val="19"/>
              </w:rPr>
            </w:pPr>
            <w:r w:rsidRPr="00C909C8">
              <w:rPr>
                <w:sz w:val="19"/>
                <w:szCs w:val="19"/>
              </w:rPr>
              <w:t xml:space="preserve">The submission assumed that </w:t>
            </w:r>
            <w:proofErr w:type="spellStart"/>
            <w:r w:rsidRPr="00C909C8">
              <w:rPr>
                <w:sz w:val="19"/>
                <w:szCs w:val="19"/>
              </w:rPr>
              <w:t>asfotase</w:t>
            </w:r>
            <w:proofErr w:type="spellEnd"/>
            <w:r w:rsidRPr="00C909C8">
              <w:rPr>
                <w:sz w:val="19"/>
                <w:szCs w:val="19"/>
              </w:rPr>
              <w:t xml:space="preserve"> alfa </w:t>
            </w:r>
            <w:proofErr w:type="spellStart"/>
            <w:r w:rsidR="00465F17" w:rsidRPr="00C909C8">
              <w:rPr>
                <w:sz w:val="19"/>
                <w:szCs w:val="19"/>
              </w:rPr>
              <w:t>rch</w:t>
            </w:r>
            <w:proofErr w:type="spellEnd"/>
            <w:r w:rsidRPr="00C909C8">
              <w:rPr>
                <w:sz w:val="19"/>
                <w:szCs w:val="19"/>
              </w:rPr>
              <w:t xml:space="preserve"> would be self-administered.</w:t>
            </w:r>
            <w:r w:rsidR="00540116" w:rsidRPr="00C909C8">
              <w:rPr>
                <w:sz w:val="19"/>
                <w:szCs w:val="19"/>
              </w:rPr>
              <w:t xml:space="preserve"> </w:t>
            </w:r>
            <w:r w:rsidRPr="00C909C8">
              <w:rPr>
                <w:sz w:val="19"/>
                <w:szCs w:val="19"/>
              </w:rPr>
              <w:t xml:space="preserve">This may not be the case, due to the high cost of the medication and the need for medical supervision due to the potential for </w:t>
            </w:r>
            <w:proofErr w:type="spellStart"/>
            <w:r w:rsidRPr="00C909C8">
              <w:rPr>
                <w:sz w:val="19"/>
                <w:szCs w:val="19"/>
              </w:rPr>
              <w:t>anaphylactoid</w:t>
            </w:r>
            <w:proofErr w:type="spellEnd"/>
            <w:r w:rsidRPr="00C909C8">
              <w:rPr>
                <w:sz w:val="19"/>
                <w:szCs w:val="19"/>
              </w:rPr>
              <w:t>/anaphylactic reactions.</w:t>
            </w:r>
            <w:r w:rsidR="00540116" w:rsidRPr="00C909C8">
              <w:rPr>
                <w:sz w:val="19"/>
                <w:szCs w:val="19"/>
              </w:rPr>
              <w:t xml:space="preserve"> </w:t>
            </w:r>
            <w:r w:rsidRPr="00C909C8">
              <w:rPr>
                <w:sz w:val="19"/>
                <w:szCs w:val="19"/>
              </w:rPr>
              <w:t>The submission did not include a cost for management of injection site reactions.</w:t>
            </w:r>
            <w:r w:rsidR="00540116" w:rsidRPr="00C909C8">
              <w:rPr>
                <w:sz w:val="19"/>
                <w:szCs w:val="19"/>
              </w:rPr>
              <w:t xml:space="preserve"> </w:t>
            </w:r>
            <w:r w:rsidRPr="00C909C8">
              <w:rPr>
                <w:sz w:val="19"/>
                <w:szCs w:val="19"/>
              </w:rPr>
              <w:t xml:space="preserve">The submission used ex-manufacturer costs rather than dispensed prices for </w:t>
            </w:r>
            <w:proofErr w:type="spellStart"/>
            <w:r w:rsidRPr="00C909C8">
              <w:rPr>
                <w:sz w:val="19"/>
                <w:szCs w:val="19"/>
              </w:rPr>
              <w:t>asfotase</w:t>
            </w:r>
            <w:proofErr w:type="spellEnd"/>
            <w:r w:rsidRPr="00C909C8">
              <w:rPr>
                <w:sz w:val="19"/>
                <w:szCs w:val="19"/>
              </w:rPr>
              <w:t xml:space="preserve"> alfa </w:t>
            </w:r>
            <w:proofErr w:type="spellStart"/>
            <w:r w:rsidR="00465F17" w:rsidRPr="00C909C8">
              <w:rPr>
                <w:sz w:val="19"/>
                <w:szCs w:val="19"/>
              </w:rPr>
              <w:t>rch</w:t>
            </w:r>
            <w:proofErr w:type="spellEnd"/>
            <w:r w:rsidRPr="00C909C8">
              <w:rPr>
                <w:sz w:val="19"/>
                <w:szCs w:val="19"/>
              </w:rPr>
              <w:t>, which underestimated the overall cost.</w:t>
            </w:r>
            <w:r w:rsidR="00540116" w:rsidRPr="00C909C8">
              <w:rPr>
                <w:sz w:val="19"/>
                <w:szCs w:val="19"/>
              </w:rPr>
              <w:t xml:space="preserve"> </w:t>
            </w:r>
            <w:r w:rsidRPr="00C909C8">
              <w:rPr>
                <w:sz w:val="19"/>
                <w:szCs w:val="19"/>
              </w:rPr>
              <w:t xml:space="preserve">The submission also calculated the average annual </w:t>
            </w:r>
            <w:r w:rsidR="001B593A" w:rsidRPr="00C909C8">
              <w:rPr>
                <w:sz w:val="19"/>
                <w:szCs w:val="19"/>
              </w:rPr>
              <w:t>direct medical [</w:t>
            </w:r>
            <w:r w:rsidR="00BB7E09" w:rsidRPr="00C909C8">
              <w:rPr>
                <w:sz w:val="19"/>
                <w:szCs w:val="19"/>
              </w:rPr>
              <w:t>non-drug</w:t>
            </w:r>
            <w:r w:rsidR="001B593A" w:rsidRPr="00C909C8">
              <w:rPr>
                <w:sz w:val="19"/>
                <w:szCs w:val="19"/>
              </w:rPr>
              <w:t>]</w:t>
            </w:r>
            <w:r w:rsidR="00BB7E09" w:rsidRPr="00C909C8">
              <w:rPr>
                <w:sz w:val="19"/>
                <w:szCs w:val="19"/>
              </w:rPr>
              <w:t xml:space="preserve"> </w:t>
            </w:r>
            <w:r w:rsidRPr="00C909C8">
              <w:rPr>
                <w:sz w:val="19"/>
                <w:szCs w:val="19"/>
              </w:rPr>
              <w:t xml:space="preserve">cost for a patient aged 5 years or more to be $1,124 for Severity level </w:t>
            </w:r>
            <w:r w:rsidR="00BA6053" w:rsidRPr="00C909C8">
              <w:rPr>
                <w:sz w:val="19"/>
                <w:szCs w:val="19"/>
              </w:rPr>
              <w:t>I</w:t>
            </w:r>
            <w:r w:rsidRPr="00C909C8">
              <w:rPr>
                <w:sz w:val="19"/>
                <w:szCs w:val="19"/>
              </w:rPr>
              <w:t xml:space="preserve"> versus $90,963 for patients aged less than 5 years.</w:t>
            </w:r>
            <w:r w:rsidR="00540116" w:rsidRPr="00C909C8">
              <w:rPr>
                <w:sz w:val="19"/>
                <w:szCs w:val="19"/>
              </w:rPr>
              <w:t xml:space="preserve"> </w:t>
            </w:r>
            <w:r w:rsidRPr="00C909C8">
              <w:rPr>
                <w:sz w:val="19"/>
                <w:szCs w:val="19"/>
              </w:rPr>
              <w:t>It was not clear why there was such a big difference in the cost based on age group, especially considering that these costs did not include a cost for invasive ventilation.</w:t>
            </w:r>
          </w:p>
        </w:tc>
        <w:tc>
          <w:tcPr>
            <w:tcW w:w="757" w:type="pct"/>
            <w:shd w:val="clear" w:color="auto" w:fill="auto"/>
            <w:vAlign w:val="center"/>
          </w:tcPr>
          <w:p w:rsidR="00B10DD6" w:rsidRPr="00F85725" w:rsidRDefault="00B10DD6" w:rsidP="005123EA">
            <w:pPr>
              <w:pStyle w:val="TableText1"/>
              <w:keepNext w:val="0"/>
              <w:rPr>
                <w:sz w:val="19"/>
                <w:szCs w:val="19"/>
              </w:rPr>
            </w:pPr>
            <w:r w:rsidRPr="00F85725">
              <w:rPr>
                <w:sz w:val="19"/>
                <w:szCs w:val="19"/>
              </w:rPr>
              <w:t xml:space="preserve">Moderate, favours </w:t>
            </w:r>
            <w:proofErr w:type="spellStart"/>
            <w:r w:rsidRPr="00F85725">
              <w:rPr>
                <w:sz w:val="19"/>
                <w:szCs w:val="19"/>
              </w:rPr>
              <w:t>asfotase</w:t>
            </w:r>
            <w:proofErr w:type="spellEnd"/>
            <w:r w:rsidRPr="00F85725">
              <w:rPr>
                <w:sz w:val="19"/>
                <w:szCs w:val="19"/>
              </w:rPr>
              <w:t xml:space="preserve"> alfa </w:t>
            </w:r>
            <w:proofErr w:type="spellStart"/>
            <w:r w:rsidR="00465F17" w:rsidRPr="00465F17">
              <w:rPr>
                <w:i/>
                <w:sz w:val="19"/>
                <w:szCs w:val="19"/>
              </w:rPr>
              <w:t>rch</w:t>
            </w:r>
            <w:proofErr w:type="spellEnd"/>
          </w:p>
        </w:tc>
      </w:tr>
    </w:tbl>
    <w:p w:rsidR="00B10DD6" w:rsidRDefault="00B10DD6" w:rsidP="005123EA">
      <w:pPr>
        <w:pStyle w:val="TableFooter"/>
        <w:widowControl/>
      </w:pPr>
      <w:r>
        <w:t xml:space="preserve">6MWT = six-minute walk test; BSC = best supportive care; AA = </w:t>
      </w:r>
      <w:proofErr w:type="spellStart"/>
      <w:r>
        <w:t>asfotase</w:t>
      </w:r>
      <w:proofErr w:type="spellEnd"/>
      <w:r>
        <w:t xml:space="preserve"> alfa </w:t>
      </w:r>
      <w:proofErr w:type="spellStart"/>
      <w:r w:rsidR="00465F17" w:rsidRPr="00465F17">
        <w:rPr>
          <w:i/>
        </w:rPr>
        <w:t>rch</w:t>
      </w:r>
      <w:proofErr w:type="spellEnd"/>
    </w:p>
    <w:p w:rsidR="00B10DD6" w:rsidRDefault="00B10DD6" w:rsidP="005123EA">
      <w:pPr>
        <w:pStyle w:val="TableFooter"/>
        <w:widowControl/>
      </w:pPr>
      <w:r w:rsidRPr="00FE4046">
        <w:t>Source: comp</w:t>
      </w:r>
      <w:r>
        <w:t xml:space="preserve">iled during the evaluation </w:t>
      </w:r>
    </w:p>
    <w:p w:rsidR="00E22521" w:rsidRDefault="00E22521" w:rsidP="005123EA">
      <w:pPr>
        <w:pStyle w:val="TableFooter"/>
        <w:widowControl/>
      </w:pPr>
    </w:p>
    <w:p w:rsidR="00F178DB" w:rsidRDefault="00F178DB">
      <w:pPr>
        <w:widowControl/>
        <w:jc w:val="left"/>
        <w:rPr>
          <w:rFonts w:asciiTheme="minorHAnsi" w:hAnsiTheme="minorHAnsi"/>
          <w:sz w:val="24"/>
        </w:rPr>
      </w:pPr>
      <w:r>
        <w:rPr>
          <w:rFonts w:asciiTheme="minorHAnsi" w:hAnsiTheme="minorHAnsi"/>
        </w:rPr>
        <w:br w:type="page"/>
      </w:r>
    </w:p>
    <w:p w:rsidR="00B10DD6" w:rsidRPr="00FE0A20" w:rsidRDefault="00B10DD6" w:rsidP="005123EA">
      <w:pPr>
        <w:pStyle w:val="ListParagraph"/>
        <w:widowControl/>
        <w:numPr>
          <w:ilvl w:val="1"/>
          <w:numId w:val="2"/>
        </w:numPr>
        <w:spacing w:before="120" w:after="160"/>
        <w:contextualSpacing w:val="0"/>
        <w:rPr>
          <w:rFonts w:asciiTheme="minorHAnsi" w:hAnsiTheme="minorHAnsi"/>
        </w:rPr>
      </w:pPr>
      <w:r w:rsidRPr="00FE0A20">
        <w:rPr>
          <w:rFonts w:asciiTheme="minorHAnsi" w:hAnsiTheme="minorHAnsi"/>
        </w:rPr>
        <w:t xml:space="preserve">Results of the stepped economic evaluation are provided in Table </w:t>
      </w:r>
      <w:r w:rsidR="00BB7E09">
        <w:rPr>
          <w:rFonts w:asciiTheme="minorHAnsi" w:hAnsiTheme="minorHAnsi"/>
        </w:rPr>
        <w:t>10</w:t>
      </w:r>
      <w:r w:rsidR="00F85725">
        <w:rPr>
          <w:rFonts w:asciiTheme="minorHAnsi" w:hAnsiTheme="minorHAnsi"/>
        </w:rPr>
        <w:t>.</w:t>
      </w:r>
    </w:p>
    <w:p w:rsidR="002757CE" w:rsidRDefault="002757CE" w:rsidP="002757CE">
      <w:pPr>
        <w:pStyle w:val="Caption"/>
      </w:pPr>
      <w:r>
        <w:t xml:space="preserve">Table </w:t>
      </w:r>
      <w:r>
        <w:rPr>
          <w:noProof/>
        </w:rPr>
        <w:t>10</w:t>
      </w:r>
      <w:r w:rsidRPr="000B6B23">
        <w:t xml:space="preserve">: Results of the stepped economic evaluation, assuming age of initiation of treatment with </w:t>
      </w:r>
      <w:proofErr w:type="spellStart"/>
      <w:r w:rsidRPr="000B6B23">
        <w:t>asfotase</w:t>
      </w:r>
      <w:proofErr w:type="spellEnd"/>
      <w:r w:rsidRPr="000B6B23">
        <w:t xml:space="preserve"> alfa </w:t>
      </w:r>
      <w:proofErr w:type="spellStart"/>
      <w:r w:rsidRPr="000B6B23">
        <w:t>rch</w:t>
      </w:r>
      <w:proofErr w:type="spellEnd"/>
      <w:r w:rsidRPr="000B6B23">
        <w:t xml:space="preserve"> is 5.8 years</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4"/>
        <w:gridCol w:w="1507"/>
        <w:gridCol w:w="1507"/>
        <w:gridCol w:w="1511"/>
      </w:tblGrid>
      <w:tr w:rsidR="00B10DD6" w:rsidRPr="000E2694" w:rsidTr="00D67D09">
        <w:trPr>
          <w:cantSplit/>
        </w:trPr>
        <w:tc>
          <w:tcPr>
            <w:tcW w:w="2511" w:type="pct"/>
            <w:shd w:val="clear" w:color="auto" w:fill="auto"/>
            <w:vAlign w:val="center"/>
          </w:tcPr>
          <w:p w:rsidR="00B10DD6" w:rsidRPr="00B22EFB" w:rsidRDefault="00B10DD6" w:rsidP="005123EA">
            <w:pPr>
              <w:pStyle w:val="Tabletext"/>
              <w:keepNext/>
              <w:spacing w:after="0"/>
              <w:rPr>
                <w:rFonts w:ascii="Arial Narrow" w:hAnsi="Arial Narrow"/>
                <w:b/>
              </w:rPr>
            </w:pPr>
            <w:r w:rsidRPr="000E2694">
              <w:rPr>
                <w:rFonts w:ascii="Arial Narrow" w:hAnsi="Arial Narrow"/>
                <w:b/>
              </w:rPr>
              <w:t>Step and component</w:t>
            </w:r>
          </w:p>
        </w:tc>
        <w:tc>
          <w:tcPr>
            <w:tcW w:w="829" w:type="pct"/>
            <w:shd w:val="clear" w:color="auto" w:fill="auto"/>
            <w:vAlign w:val="center"/>
          </w:tcPr>
          <w:p w:rsidR="00B10DD6" w:rsidRPr="00B22EFB" w:rsidRDefault="00B10DD6" w:rsidP="005123EA">
            <w:pPr>
              <w:pStyle w:val="Tabletext"/>
              <w:keepNext/>
              <w:spacing w:after="0"/>
              <w:jc w:val="center"/>
              <w:rPr>
                <w:rFonts w:ascii="Arial Narrow" w:hAnsi="Arial Narrow"/>
                <w:b/>
              </w:rPr>
            </w:pPr>
            <w:proofErr w:type="spellStart"/>
            <w:r w:rsidRPr="000E2694">
              <w:rPr>
                <w:rFonts w:ascii="Arial Narrow" w:hAnsi="Arial Narrow"/>
                <w:b/>
              </w:rPr>
              <w:t>Asfotase</w:t>
            </w:r>
            <w:proofErr w:type="spellEnd"/>
            <w:r w:rsidRPr="000E2694">
              <w:rPr>
                <w:rFonts w:ascii="Arial Narrow" w:hAnsi="Arial Narrow"/>
                <w:b/>
              </w:rPr>
              <w:t xml:space="preserve"> alfa </w:t>
            </w:r>
            <w:proofErr w:type="spellStart"/>
            <w:r w:rsidR="00465F17" w:rsidRPr="00465F17">
              <w:rPr>
                <w:rFonts w:ascii="Arial Narrow" w:hAnsi="Arial Narrow"/>
                <w:b/>
                <w:i/>
              </w:rPr>
              <w:t>rch</w:t>
            </w:r>
            <w:proofErr w:type="spellEnd"/>
          </w:p>
        </w:tc>
        <w:tc>
          <w:tcPr>
            <w:tcW w:w="829" w:type="pct"/>
            <w:shd w:val="clear" w:color="auto" w:fill="auto"/>
            <w:vAlign w:val="center"/>
          </w:tcPr>
          <w:p w:rsidR="00B10DD6" w:rsidRPr="00B22EFB" w:rsidRDefault="00B10DD6" w:rsidP="005123EA">
            <w:pPr>
              <w:pStyle w:val="Tabletext"/>
              <w:keepNext/>
              <w:spacing w:after="0"/>
              <w:jc w:val="center"/>
              <w:rPr>
                <w:rFonts w:ascii="Arial Narrow" w:hAnsi="Arial Narrow"/>
                <w:b/>
              </w:rPr>
            </w:pPr>
            <w:r>
              <w:rPr>
                <w:rFonts w:ascii="Arial Narrow" w:hAnsi="Arial Narrow"/>
                <w:b/>
              </w:rPr>
              <w:t>BSC</w:t>
            </w:r>
          </w:p>
        </w:tc>
        <w:tc>
          <w:tcPr>
            <w:tcW w:w="831" w:type="pct"/>
            <w:shd w:val="clear" w:color="auto" w:fill="auto"/>
            <w:vAlign w:val="center"/>
          </w:tcPr>
          <w:p w:rsidR="00B10DD6" w:rsidRPr="00B22EFB" w:rsidRDefault="00B10DD6" w:rsidP="005123EA">
            <w:pPr>
              <w:pStyle w:val="Tabletext"/>
              <w:keepNext/>
              <w:spacing w:after="0"/>
              <w:jc w:val="center"/>
              <w:rPr>
                <w:rFonts w:ascii="Arial Narrow" w:hAnsi="Arial Narrow"/>
                <w:b/>
              </w:rPr>
            </w:pPr>
            <w:r w:rsidRPr="000E2694">
              <w:rPr>
                <w:rFonts w:ascii="Arial Narrow" w:hAnsi="Arial Narrow"/>
                <w:b/>
              </w:rPr>
              <w:t>Increment</w:t>
            </w:r>
          </w:p>
        </w:tc>
      </w:tr>
      <w:tr w:rsidR="00B10DD6" w:rsidRPr="000E2694" w:rsidTr="00D67D09">
        <w:trPr>
          <w:cantSplit/>
        </w:trPr>
        <w:tc>
          <w:tcPr>
            <w:tcW w:w="5000" w:type="pct"/>
            <w:gridSpan w:val="4"/>
            <w:shd w:val="clear" w:color="auto" w:fill="auto"/>
          </w:tcPr>
          <w:p w:rsidR="00B10DD6" w:rsidRPr="00B22EFB" w:rsidRDefault="00B10DD6" w:rsidP="005123EA">
            <w:pPr>
              <w:pStyle w:val="Tabletext"/>
              <w:keepNext/>
              <w:spacing w:after="0"/>
              <w:rPr>
                <w:rFonts w:ascii="Arial Narrow" w:hAnsi="Arial Narrow"/>
                <w:b/>
              </w:rPr>
            </w:pPr>
            <w:r w:rsidRPr="00B22EFB">
              <w:rPr>
                <w:rFonts w:ascii="Arial Narrow" w:hAnsi="Arial Narrow"/>
                <w:b/>
              </w:rPr>
              <w:t xml:space="preserve">Step 1a (240-week data from </w:t>
            </w:r>
            <w:r>
              <w:rPr>
                <w:rFonts w:ascii="Arial Narrow" w:hAnsi="Arial Narrow"/>
                <w:b/>
              </w:rPr>
              <w:t>S</w:t>
            </w:r>
            <w:r w:rsidRPr="00B22EFB">
              <w:rPr>
                <w:rFonts w:ascii="Arial Narrow" w:hAnsi="Arial Narrow"/>
                <w:b/>
              </w:rPr>
              <w:t>tudy ENB-006-09)</w:t>
            </w:r>
          </w:p>
        </w:tc>
      </w:tr>
      <w:tr w:rsidR="00B10DD6" w:rsidRPr="000E2694" w:rsidTr="00D67D09">
        <w:trPr>
          <w:cantSplit/>
        </w:trPr>
        <w:tc>
          <w:tcPr>
            <w:tcW w:w="2511" w:type="pct"/>
            <w:shd w:val="clear" w:color="auto" w:fill="auto"/>
          </w:tcPr>
          <w:p w:rsidR="00B10DD6" w:rsidRPr="000E2694" w:rsidRDefault="00B10DD6" w:rsidP="005123EA">
            <w:pPr>
              <w:pStyle w:val="Tabletext"/>
              <w:keepNext/>
              <w:spacing w:after="0"/>
              <w:rPr>
                <w:rFonts w:ascii="Arial Narrow" w:hAnsi="Arial Narrow"/>
              </w:rPr>
            </w:pPr>
            <w:r w:rsidRPr="000E2694">
              <w:rPr>
                <w:rFonts w:ascii="Arial Narrow" w:hAnsi="Arial Narrow"/>
              </w:rPr>
              <w:t>Discounted drug cost</w:t>
            </w:r>
          </w:p>
        </w:tc>
        <w:tc>
          <w:tcPr>
            <w:tcW w:w="829"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c>
          <w:tcPr>
            <w:tcW w:w="829"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$0</w:t>
            </w:r>
          </w:p>
        </w:tc>
        <w:tc>
          <w:tcPr>
            <w:tcW w:w="831"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r w:rsidR="00B10DD6" w:rsidRPr="000E2694" w:rsidTr="00D67D09">
        <w:trPr>
          <w:cantSplit/>
        </w:trPr>
        <w:tc>
          <w:tcPr>
            <w:tcW w:w="2511" w:type="pct"/>
            <w:shd w:val="clear" w:color="auto" w:fill="auto"/>
          </w:tcPr>
          <w:p w:rsidR="00B10DD6" w:rsidRPr="000E2694" w:rsidRDefault="00B10DD6" w:rsidP="005123EA">
            <w:pPr>
              <w:pStyle w:val="Tabletext"/>
              <w:keepNext/>
              <w:spacing w:after="0"/>
              <w:rPr>
                <w:rFonts w:ascii="Arial Narrow" w:hAnsi="Arial Narrow"/>
              </w:rPr>
            </w:pPr>
            <w:r w:rsidRPr="000E2694">
              <w:rPr>
                <w:rFonts w:ascii="Arial Narrow" w:hAnsi="Arial Narrow"/>
              </w:rPr>
              <w:t>Mean change in 6MWT distance from baseline at 240 weeks (metres)</w:t>
            </w:r>
          </w:p>
        </w:tc>
        <w:tc>
          <w:tcPr>
            <w:tcW w:w="829" w:type="pct"/>
            <w:shd w:val="clear" w:color="auto" w:fill="auto"/>
            <w:vAlign w:val="center"/>
          </w:tcPr>
          <w:p w:rsidR="00B10DD6" w:rsidRPr="00F461DD" w:rsidRDefault="006B5E3B" w:rsidP="005123EA">
            <w:pPr>
              <w:pStyle w:val="Tabletext"/>
              <w:keepNext/>
              <w:spacing w:after="0"/>
              <w:jc w:val="center"/>
              <w:rPr>
                <w:rFonts w:ascii="Arial Narrow" w:hAnsi="Arial Narrow"/>
              </w:rPr>
            </w:pPr>
            <w:r w:rsidRPr="00F461DD">
              <w:rPr>
                <w:rFonts w:ascii="Arial Narrow" w:hAnsi="Arial Narrow"/>
              </w:rPr>
              <w:t>Not reported</w:t>
            </w:r>
          </w:p>
        </w:tc>
        <w:tc>
          <w:tcPr>
            <w:tcW w:w="829" w:type="pct"/>
            <w:shd w:val="clear" w:color="auto" w:fill="auto"/>
            <w:vAlign w:val="center"/>
          </w:tcPr>
          <w:p w:rsidR="00B10DD6" w:rsidRPr="00F461DD" w:rsidRDefault="006B5E3B" w:rsidP="005123EA">
            <w:pPr>
              <w:pStyle w:val="Tabletext"/>
              <w:keepNext/>
              <w:spacing w:after="0"/>
              <w:jc w:val="center"/>
              <w:rPr>
                <w:rFonts w:ascii="Arial Narrow" w:hAnsi="Arial Narrow"/>
              </w:rPr>
            </w:pPr>
            <w:r w:rsidRPr="00F461DD">
              <w:rPr>
                <w:rFonts w:ascii="Arial Narrow" w:hAnsi="Arial Narrow"/>
              </w:rPr>
              <w:t>Not reported</w:t>
            </w:r>
          </w:p>
        </w:tc>
        <w:tc>
          <w:tcPr>
            <w:tcW w:w="831"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207.64</w:t>
            </w:r>
          </w:p>
        </w:tc>
      </w:tr>
      <w:tr w:rsidR="00B10DD6" w:rsidRPr="000E2694" w:rsidTr="00D67D09">
        <w:trPr>
          <w:cantSplit/>
        </w:trPr>
        <w:tc>
          <w:tcPr>
            <w:tcW w:w="4169" w:type="pct"/>
            <w:gridSpan w:val="3"/>
            <w:shd w:val="clear" w:color="auto" w:fill="auto"/>
            <w:vAlign w:val="center"/>
          </w:tcPr>
          <w:p w:rsidR="00B10DD6" w:rsidRPr="00F461DD" w:rsidRDefault="00B10DD6" w:rsidP="005123EA">
            <w:pPr>
              <w:pStyle w:val="Tabletext"/>
              <w:keepNext/>
              <w:spacing w:after="0"/>
              <w:jc w:val="right"/>
              <w:rPr>
                <w:rFonts w:ascii="Arial Narrow" w:hAnsi="Arial Narrow"/>
              </w:rPr>
            </w:pPr>
            <w:r w:rsidRPr="00F461DD">
              <w:rPr>
                <w:rFonts w:ascii="Arial Narrow" w:hAnsi="Arial Narrow"/>
              </w:rPr>
              <w:t>ICER: cost per additional metre walked</w:t>
            </w:r>
          </w:p>
        </w:tc>
        <w:tc>
          <w:tcPr>
            <w:tcW w:w="831"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r w:rsidR="006B5E3B" w:rsidRPr="000E2694" w:rsidTr="00D67D09">
        <w:trPr>
          <w:cantSplit/>
        </w:trPr>
        <w:tc>
          <w:tcPr>
            <w:tcW w:w="2511" w:type="pct"/>
            <w:shd w:val="clear" w:color="auto" w:fill="auto"/>
          </w:tcPr>
          <w:p w:rsidR="006B5E3B" w:rsidRPr="000E2694" w:rsidRDefault="006B5E3B" w:rsidP="005123EA">
            <w:pPr>
              <w:pStyle w:val="Tabletext"/>
              <w:keepNext/>
              <w:spacing w:after="0"/>
              <w:rPr>
                <w:rFonts w:ascii="Arial Narrow" w:hAnsi="Arial Narrow"/>
              </w:rPr>
            </w:pPr>
            <w:r w:rsidRPr="000E2694">
              <w:rPr>
                <w:rFonts w:ascii="Arial Narrow" w:hAnsi="Arial Narrow"/>
              </w:rPr>
              <w:t>Mean change in 6MWT distance from baseline as per</w:t>
            </w:r>
            <w:r w:rsidR="00697339">
              <w:rPr>
                <w:rFonts w:ascii="Arial Narrow" w:hAnsi="Arial Narrow"/>
              </w:rPr>
              <w:t xml:space="preserve"> </w:t>
            </w:r>
            <w:r w:rsidRPr="000E2694">
              <w:rPr>
                <w:rFonts w:ascii="Arial Narrow" w:hAnsi="Arial Narrow"/>
              </w:rPr>
              <w:t>cent of predicted, at 240 weeks (metres)</w:t>
            </w:r>
          </w:p>
        </w:tc>
        <w:tc>
          <w:tcPr>
            <w:tcW w:w="829" w:type="pct"/>
            <w:shd w:val="clear" w:color="auto" w:fill="auto"/>
            <w:vAlign w:val="center"/>
          </w:tcPr>
          <w:p w:rsidR="006B5E3B" w:rsidRPr="00F461DD" w:rsidRDefault="006B5E3B" w:rsidP="005123EA">
            <w:pPr>
              <w:pStyle w:val="Tabletext"/>
              <w:keepNext/>
              <w:spacing w:after="0"/>
              <w:jc w:val="center"/>
              <w:rPr>
                <w:rFonts w:ascii="Arial Narrow" w:hAnsi="Arial Narrow"/>
              </w:rPr>
            </w:pPr>
            <w:r w:rsidRPr="00F461DD">
              <w:rPr>
                <w:rFonts w:ascii="Arial Narrow" w:hAnsi="Arial Narrow"/>
              </w:rPr>
              <w:t>Not reported</w:t>
            </w:r>
          </w:p>
        </w:tc>
        <w:tc>
          <w:tcPr>
            <w:tcW w:w="829" w:type="pct"/>
            <w:shd w:val="clear" w:color="auto" w:fill="auto"/>
            <w:vAlign w:val="center"/>
          </w:tcPr>
          <w:p w:rsidR="006B5E3B" w:rsidRPr="00F461DD" w:rsidRDefault="006B5E3B" w:rsidP="005123EA">
            <w:pPr>
              <w:pStyle w:val="Tabletext"/>
              <w:keepNext/>
              <w:spacing w:after="0"/>
              <w:jc w:val="center"/>
              <w:rPr>
                <w:rFonts w:ascii="Arial Narrow" w:hAnsi="Arial Narrow"/>
              </w:rPr>
            </w:pPr>
            <w:r w:rsidRPr="00F461DD">
              <w:rPr>
                <w:rFonts w:ascii="Arial Narrow" w:hAnsi="Arial Narrow"/>
              </w:rPr>
              <w:t>Not reported</w:t>
            </w:r>
          </w:p>
        </w:tc>
        <w:tc>
          <w:tcPr>
            <w:tcW w:w="831" w:type="pct"/>
            <w:shd w:val="clear" w:color="auto" w:fill="auto"/>
            <w:vAlign w:val="center"/>
          </w:tcPr>
          <w:p w:rsidR="006B5E3B" w:rsidRPr="000E2694" w:rsidRDefault="006B5E3B" w:rsidP="005123EA">
            <w:pPr>
              <w:pStyle w:val="Tabletext"/>
              <w:keepNext/>
              <w:spacing w:after="0"/>
              <w:jc w:val="center"/>
              <w:rPr>
                <w:rFonts w:ascii="Arial Narrow" w:hAnsi="Arial Narrow"/>
              </w:rPr>
            </w:pPr>
            <w:r w:rsidRPr="000E2694">
              <w:rPr>
                <w:rFonts w:ascii="Arial Narrow" w:hAnsi="Arial Narrow"/>
              </w:rPr>
              <w:t>23.24</w:t>
            </w:r>
          </w:p>
        </w:tc>
      </w:tr>
      <w:tr w:rsidR="00B10DD6" w:rsidRPr="000E2694" w:rsidTr="00D67D09">
        <w:trPr>
          <w:cantSplit/>
        </w:trPr>
        <w:tc>
          <w:tcPr>
            <w:tcW w:w="4169" w:type="pct"/>
            <w:gridSpan w:val="3"/>
            <w:shd w:val="clear" w:color="auto" w:fill="auto"/>
            <w:vAlign w:val="center"/>
          </w:tcPr>
          <w:p w:rsidR="00B10DD6" w:rsidRPr="000E2694" w:rsidRDefault="00B10DD6" w:rsidP="005123EA">
            <w:pPr>
              <w:pStyle w:val="Tabletext"/>
              <w:keepNext/>
              <w:spacing w:after="0"/>
              <w:jc w:val="right"/>
              <w:rPr>
                <w:rFonts w:ascii="Arial Narrow" w:hAnsi="Arial Narrow"/>
              </w:rPr>
            </w:pPr>
            <w:r w:rsidRPr="000E2694">
              <w:rPr>
                <w:rFonts w:ascii="Arial Narrow" w:hAnsi="Arial Narrow"/>
              </w:rPr>
              <w:t>ICER: cost per additional metre walked</w:t>
            </w:r>
            <w:r w:rsidR="007C2431">
              <w:rPr>
                <w:rFonts w:ascii="Arial Narrow" w:hAnsi="Arial Narrow"/>
              </w:rPr>
              <w:t xml:space="preserve"> as per</w:t>
            </w:r>
            <w:r w:rsidR="00697339">
              <w:rPr>
                <w:rFonts w:ascii="Arial Narrow" w:hAnsi="Arial Narrow"/>
              </w:rPr>
              <w:t xml:space="preserve"> </w:t>
            </w:r>
            <w:r w:rsidR="007C2431">
              <w:rPr>
                <w:rFonts w:ascii="Arial Narrow" w:hAnsi="Arial Narrow"/>
              </w:rPr>
              <w:t>cent of predicted</w:t>
            </w:r>
          </w:p>
        </w:tc>
        <w:tc>
          <w:tcPr>
            <w:tcW w:w="831"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r w:rsidR="00B10DD6" w:rsidRPr="000E2694" w:rsidTr="00D67D09">
        <w:trPr>
          <w:cantSplit/>
        </w:trPr>
        <w:tc>
          <w:tcPr>
            <w:tcW w:w="5000" w:type="pct"/>
            <w:gridSpan w:val="4"/>
            <w:shd w:val="clear" w:color="auto" w:fill="auto"/>
          </w:tcPr>
          <w:p w:rsidR="00B10DD6" w:rsidRPr="00B22EFB" w:rsidRDefault="00B10DD6" w:rsidP="005123EA">
            <w:pPr>
              <w:pStyle w:val="Tabletext"/>
              <w:keepNext/>
              <w:spacing w:after="0"/>
              <w:rPr>
                <w:rFonts w:ascii="Arial Narrow" w:hAnsi="Arial Narrow"/>
                <w:b/>
              </w:rPr>
            </w:pPr>
            <w:r w:rsidRPr="00B22EFB">
              <w:rPr>
                <w:rFonts w:ascii="Arial Narrow" w:hAnsi="Arial Narrow"/>
                <w:b/>
              </w:rPr>
              <w:t xml:space="preserve">Step 1b (192-week data from </w:t>
            </w:r>
            <w:r>
              <w:rPr>
                <w:rFonts w:ascii="Arial Narrow" w:hAnsi="Arial Narrow"/>
                <w:b/>
              </w:rPr>
              <w:t>T</w:t>
            </w:r>
            <w:r w:rsidRPr="00B22EFB">
              <w:rPr>
                <w:rFonts w:ascii="Arial Narrow" w:hAnsi="Arial Narrow"/>
                <w:b/>
              </w:rPr>
              <w:t>rial ENB-009-10)</w:t>
            </w:r>
          </w:p>
        </w:tc>
      </w:tr>
      <w:tr w:rsidR="00B10DD6" w:rsidRPr="000E2694" w:rsidTr="00D67D09">
        <w:trPr>
          <w:cantSplit/>
        </w:trPr>
        <w:tc>
          <w:tcPr>
            <w:tcW w:w="2511" w:type="pct"/>
            <w:shd w:val="clear" w:color="auto" w:fill="auto"/>
          </w:tcPr>
          <w:p w:rsidR="00B10DD6" w:rsidRPr="000E2694" w:rsidRDefault="00B10DD6" w:rsidP="005123EA">
            <w:pPr>
              <w:pStyle w:val="Tabletext"/>
              <w:keepNext/>
              <w:spacing w:after="0"/>
              <w:rPr>
                <w:rFonts w:ascii="Arial Narrow" w:hAnsi="Arial Narrow"/>
              </w:rPr>
            </w:pPr>
            <w:r w:rsidRPr="000E2694">
              <w:rPr>
                <w:rFonts w:ascii="Arial Narrow" w:hAnsi="Arial Narrow"/>
              </w:rPr>
              <w:t>Discounted drug cost</w:t>
            </w:r>
          </w:p>
        </w:tc>
        <w:tc>
          <w:tcPr>
            <w:tcW w:w="829"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c>
          <w:tcPr>
            <w:tcW w:w="829"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$0</w:t>
            </w:r>
          </w:p>
        </w:tc>
        <w:tc>
          <w:tcPr>
            <w:tcW w:w="831"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r w:rsidR="00547CFA" w:rsidRPr="000E2694" w:rsidTr="00D67D09">
        <w:trPr>
          <w:cantSplit/>
        </w:trPr>
        <w:tc>
          <w:tcPr>
            <w:tcW w:w="2511" w:type="pct"/>
            <w:shd w:val="clear" w:color="auto" w:fill="auto"/>
          </w:tcPr>
          <w:p w:rsidR="00547CFA" w:rsidRPr="000E2694" w:rsidRDefault="00547CFA" w:rsidP="005123EA">
            <w:pPr>
              <w:pStyle w:val="Tabletext"/>
              <w:keepNext/>
              <w:spacing w:after="0"/>
              <w:rPr>
                <w:rFonts w:ascii="Arial Narrow" w:hAnsi="Arial Narrow"/>
              </w:rPr>
            </w:pPr>
            <w:r w:rsidRPr="000E2694">
              <w:rPr>
                <w:rFonts w:ascii="Arial Narrow" w:hAnsi="Arial Narrow"/>
              </w:rPr>
              <w:t>Mean change in 6MWT distance from baseline at 192 weeks (metres)</w:t>
            </w:r>
          </w:p>
        </w:tc>
        <w:tc>
          <w:tcPr>
            <w:tcW w:w="829" w:type="pct"/>
            <w:shd w:val="clear" w:color="auto" w:fill="auto"/>
            <w:vAlign w:val="center"/>
          </w:tcPr>
          <w:p w:rsidR="00547CFA" w:rsidRPr="00F461DD" w:rsidRDefault="00547CFA" w:rsidP="005123EA">
            <w:pPr>
              <w:pStyle w:val="Tabletext"/>
              <w:keepNext/>
              <w:spacing w:after="0"/>
              <w:jc w:val="center"/>
              <w:rPr>
                <w:rFonts w:ascii="Arial Narrow" w:hAnsi="Arial Narrow"/>
              </w:rPr>
            </w:pPr>
            <w:r w:rsidRPr="00F461DD">
              <w:rPr>
                <w:rFonts w:ascii="Arial Narrow" w:hAnsi="Arial Narrow"/>
              </w:rPr>
              <w:t>Not reported</w:t>
            </w:r>
          </w:p>
        </w:tc>
        <w:tc>
          <w:tcPr>
            <w:tcW w:w="829" w:type="pct"/>
            <w:shd w:val="clear" w:color="auto" w:fill="auto"/>
            <w:vAlign w:val="center"/>
          </w:tcPr>
          <w:p w:rsidR="00547CFA" w:rsidRPr="00F461DD" w:rsidRDefault="00547CFA" w:rsidP="005123EA">
            <w:pPr>
              <w:pStyle w:val="Tabletext"/>
              <w:keepNext/>
              <w:spacing w:after="0"/>
              <w:jc w:val="center"/>
              <w:rPr>
                <w:rFonts w:ascii="Arial Narrow" w:hAnsi="Arial Narrow"/>
              </w:rPr>
            </w:pPr>
            <w:r w:rsidRPr="00F461DD">
              <w:rPr>
                <w:rFonts w:ascii="Arial Narrow" w:hAnsi="Arial Narrow"/>
              </w:rPr>
              <w:t>Not reported</w:t>
            </w:r>
          </w:p>
        </w:tc>
        <w:tc>
          <w:tcPr>
            <w:tcW w:w="831" w:type="pct"/>
            <w:shd w:val="clear" w:color="auto" w:fill="auto"/>
            <w:vAlign w:val="center"/>
          </w:tcPr>
          <w:p w:rsidR="00547CFA" w:rsidRPr="000E2694" w:rsidRDefault="00547CFA" w:rsidP="005123EA">
            <w:pPr>
              <w:pStyle w:val="Tabletext"/>
              <w:keepNext/>
              <w:spacing w:after="0"/>
              <w:jc w:val="center"/>
              <w:rPr>
                <w:rFonts w:ascii="Arial Narrow" w:hAnsi="Arial Narrow"/>
              </w:rPr>
            </w:pPr>
            <w:r w:rsidRPr="000E2694">
              <w:rPr>
                <w:rFonts w:ascii="Arial Narrow" w:hAnsi="Arial Narrow"/>
              </w:rPr>
              <w:t>67.1</w:t>
            </w:r>
          </w:p>
        </w:tc>
      </w:tr>
      <w:tr w:rsidR="00B10DD6" w:rsidRPr="000E2694" w:rsidTr="00D67D09">
        <w:trPr>
          <w:cantSplit/>
        </w:trPr>
        <w:tc>
          <w:tcPr>
            <w:tcW w:w="4169" w:type="pct"/>
            <w:gridSpan w:val="3"/>
            <w:shd w:val="clear" w:color="auto" w:fill="auto"/>
            <w:vAlign w:val="center"/>
          </w:tcPr>
          <w:p w:rsidR="00B10DD6" w:rsidRPr="00F461DD" w:rsidRDefault="00B10DD6" w:rsidP="005123EA">
            <w:pPr>
              <w:pStyle w:val="Tabletext"/>
              <w:keepNext/>
              <w:spacing w:after="0"/>
              <w:jc w:val="right"/>
              <w:rPr>
                <w:rFonts w:ascii="Arial Narrow" w:hAnsi="Arial Narrow"/>
              </w:rPr>
            </w:pPr>
            <w:r w:rsidRPr="00F461DD">
              <w:rPr>
                <w:rFonts w:ascii="Arial Narrow" w:hAnsi="Arial Narrow"/>
              </w:rPr>
              <w:t>ICER: cost per additional metre walked</w:t>
            </w:r>
          </w:p>
        </w:tc>
        <w:tc>
          <w:tcPr>
            <w:tcW w:w="831"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r w:rsidR="00547CFA" w:rsidRPr="000E2694" w:rsidTr="00D67D09">
        <w:trPr>
          <w:cantSplit/>
        </w:trPr>
        <w:tc>
          <w:tcPr>
            <w:tcW w:w="2511" w:type="pct"/>
            <w:shd w:val="clear" w:color="auto" w:fill="auto"/>
          </w:tcPr>
          <w:p w:rsidR="00547CFA" w:rsidRPr="000E2694" w:rsidRDefault="00547CFA" w:rsidP="005123EA">
            <w:pPr>
              <w:pStyle w:val="Tabletext"/>
              <w:keepNext/>
              <w:spacing w:after="0"/>
              <w:rPr>
                <w:rFonts w:ascii="Arial Narrow" w:hAnsi="Arial Narrow"/>
              </w:rPr>
            </w:pPr>
            <w:r w:rsidRPr="000E2694">
              <w:rPr>
                <w:rFonts w:ascii="Arial Narrow" w:hAnsi="Arial Narrow"/>
              </w:rPr>
              <w:t>Mean change in 6MWT distance from baseline as per</w:t>
            </w:r>
            <w:r w:rsidR="00697339">
              <w:rPr>
                <w:rFonts w:ascii="Arial Narrow" w:hAnsi="Arial Narrow"/>
              </w:rPr>
              <w:t xml:space="preserve"> </w:t>
            </w:r>
            <w:r w:rsidRPr="000E2694">
              <w:rPr>
                <w:rFonts w:ascii="Arial Narrow" w:hAnsi="Arial Narrow"/>
              </w:rPr>
              <w:t>cent of predicted, at 192 weeks (metres)</w:t>
            </w:r>
          </w:p>
        </w:tc>
        <w:tc>
          <w:tcPr>
            <w:tcW w:w="829" w:type="pct"/>
            <w:shd w:val="clear" w:color="auto" w:fill="auto"/>
            <w:vAlign w:val="center"/>
          </w:tcPr>
          <w:p w:rsidR="00547CFA" w:rsidRPr="00F461DD" w:rsidRDefault="00547CFA" w:rsidP="005123EA">
            <w:pPr>
              <w:pStyle w:val="Tabletext"/>
              <w:keepNext/>
              <w:spacing w:after="0"/>
              <w:jc w:val="center"/>
              <w:rPr>
                <w:rFonts w:ascii="Arial Narrow" w:hAnsi="Arial Narrow"/>
              </w:rPr>
            </w:pPr>
            <w:r w:rsidRPr="00F461DD">
              <w:rPr>
                <w:rFonts w:ascii="Arial Narrow" w:hAnsi="Arial Narrow"/>
              </w:rPr>
              <w:t>Not reported</w:t>
            </w:r>
          </w:p>
        </w:tc>
        <w:tc>
          <w:tcPr>
            <w:tcW w:w="829" w:type="pct"/>
            <w:shd w:val="clear" w:color="auto" w:fill="auto"/>
            <w:vAlign w:val="center"/>
          </w:tcPr>
          <w:p w:rsidR="00547CFA" w:rsidRPr="00F461DD" w:rsidRDefault="00547CFA" w:rsidP="005123EA">
            <w:pPr>
              <w:pStyle w:val="Tabletext"/>
              <w:keepNext/>
              <w:spacing w:after="0"/>
              <w:jc w:val="center"/>
              <w:rPr>
                <w:rFonts w:ascii="Arial Narrow" w:hAnsi="Arial Narrow"/>
              </w:rPr>
            </w:pPr>
            <w:r w:rsidRPr="00F461DD">
              <w:rPr>
                <w:rFonts w:ascii="Arial Narrow" w:hAnsi="Arial Narrow"/>
              </w:rPr>
              <w:t>Not reported</w:t>
            </w:r>
          </w:p>
        </w:tc>
        <w:tc>
          <w:tcPr>
            <w:tcW w:w="831" w:type="pct"/>
            <w:shd w:val="clear" w:color="auto" w:fill="auto"/>
            <w:vAlign w:val="center"/>
          </w:tcPr>
          <w:p w:rsidR="00547CFA" w:rsidRPr="000E2694" w:rsidRDefault="00547CFA" w:rsidP="005123EA">
            <w:pPr>
              <w:pStyle w:val="Tabletext"/>
              <w:keepNext/>
              <w:spacing w:after="0"/>
              <w:jc w:val="center"/>
              <w:rPr>
                <w:rFonts w:ascii="Arial Narrow" w:hAnsi="Arial Narrow"/>
              </w:rPr>
            </w:pPr>
            <w:r w:rsidRPr="000E2694">
              <w:rPr>
                <w:rFonts w:ascii="Arial Narrow" w:hAnsi="Arial Narrow"/>
              </w:rPr>
              <w:t>16.38</w:t>
            </w:r>
          </w:p>
        </w:tc>
      </w:tr>
      <w:tr w:rsidR="00B10DD6" w:rsidRPr="000E2694" w:rsidTr="00D67D09">
        <w:trPr>
          <w:cantSplit/>
        </w:trPr>
        <w:tc>
          <w:tcPr>
            <w:tcW w:w="4169" w:type="pct"/>
            <w:gridSpan w:val="3"/>
            <w:shd w:val="clear" w:color="auto" w:fill="auto"/>
            <w:vAlign w:val="center"/>
          </w:tcPr>
          <w:p w:rsidR="00B10DD6" w:rsidRPr="000E2694" w:rsidRDefault="00B10DD6" w:rsidP="005123EA">
            <w:pPr>
              <w:pStyle w:val="Tabletext"/>
              <w:keepNext/>
              <w:spacing w:after="0"/>
              <w:jc w:val="right"/>
              <w:rPr>
                <w:rFonts w:ascii="Arial Narrow" w:hAnsi="Arial Narrow"/>
              </w:rPr>
            </w:pPr>
            <w:r w:rsidRPr="000E2694">
              <w:rPr>
                <w:rFonts w:ascii="Arial Narrow" w:hAnsi="Arial Narrow"/>
              </w:rPr>
              <w:t>ICER: cost per additional metre walked</w:t>
            </w:r>
            <w:r w:rsidR="007C2431">
              <w:rPr>
                <w:rFonts w:ascii="Arial Narrow" w:hAnsi="Arial Narrow"/>
              </w:rPr>
              <w:t xml:space="preserve"> as per</w:t>
            </w:r>
            <w:r w:rsidR="00697339">
              <w:rPr>
                <w:rFonts w:ascii="Arial Narrow" w:hAnsi="Arial Narrow"/>
              </w:rPr>
              <w:t xml:space="preserve"> </w:t>
            </w:r>
            <w:r w:rsidR="007C2431">
              <w:rPr>
                <w:rFonts w:ascii="Arial Narrow" w:hAnsi="Arial Narrow"/>
              </w:rPr>
              <w:t xml:space="preserve">cent </w:t>
            </w:r>
            <w:r w:rsidR="00B919B9">
              <w:rPr>
                <w:rFonts w:ascii="Arial Narrow" w:hAnsi="Arial Narrow"/>
              </w:rPr>
              <w:t xml:space="preserve">of </w:t>
            </w:r>
            <w:r w:rsidR="007C2431">
              <w:rPr>
                <w:rFonts w:ascii="Arial Narrow" w:hAnsi="Arial Narrow"/>
              </w:rPr>
              <w:t>predicted</w:t>
            </w:r>
          </w:p>
        </w:tc>
        <w:tc>
          <w:tcPr>
            <w:tcW w:w="831"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r w:rsidR="00B10DD6" w:rsidRPr="000E2694" w:rsidTr="00D67D09">
        <w:trPr>
          <w:cantSplit/>
        </w:trPr>
        <w:tc>
          <w:tcPr>
            <w:tcW w:w="5000" w:type="pct"/>
            <w:gridSpan w:val="4"/>
            <w:shd w:val="clear" w:color="auto" w:fill="auto"/>
          </w:tcPr>
          <w:p w:rsidR="00B10DD6" w:rsidRPr="00B22EFB" w:rsidRDefault="00B10DD6" w:rsidP="005123EA">
            <w:pPr>
              <w:pStyle w:val="Tabletext"/>
              <w:keepNext/>
              <w:spacing w:after="0"/>
              <w:rPr>
                <w:rFonts w:ascii="Arial Narrow" w:hAnsi="Arial Narrow"/>
                <w:b/>
              </w:rPr>
            </w:pPr>
            <w:r w:rsidRPr="00B22EFB">
              <w:rPr>
                <w:rFonts w:ascii="Arial Narrow" w:hAnsi="Arial Narrow"/>
                <w:b/>
              </w:rPr>
              <w:t>Step 2 (drug cost only</w:t>
            </w:r>
            <w:r w:rsidR="00DC4556">
              <w:rPr>
                <w:rFonts w:ascii="Arial Narrow" w:hAnsi="Arial Narrow"/>
                <w:b/>
              </w:rPr>
              <w:t>,</w:t>
            </w:r>
            <w:r w:rsidRPr="00B22EFB">
              <w:rPr>
                <w:rFonts w:ascii="Arial Narrow" w:hAnsi="Arial Narrow"/>
                <w:b/>
              </w:rPr>
              <w:t xml:space="preserve"> CUA at 240 weeks)</w:t>
            </w:r>
            <w:r w:rsidR="00DC4556">
              <w:rPr>
                <w:rFonts w:ascii="Arial Narrow" w:hAnsi="Arial Narrow"/>
                <w:b/>
              </w:rPr>
              <w:t>*</w:t>
            </w:r>
          </w:p>
        </w:tc>
      </w:tr>
      <w:tr w:rsidR="00B10DD6" w:rsidRPr="000E2694" w:rsidTr="00D67D09">
        <w:trPr>
          <w:cantSplit/>
        </w:trPr>
        <w:tc>
          <w:tcPr>
            <w:tcW w:w="2511" w:type="pct"/>
            <w:shd w:val="clear" w:color="auto" w:fill="auto"/>
          </w:tcPr>
          <w:p w:rsidR="00B10DD6" w:rsidRPr="000E2694" w:rsidRDefault="00B10DD6" w:rsidP="005123EA">
            <w:pPr>
              <w:pStyle w:val="Tabletext"/>
              <w:keepNext/>
              <w:spacing w:after="0"/>
              <w:rPr>
                <w:rFonts w:ascii="Arial Narrow" w:hAnsi="Arial Narrow"/>
              </w:rPr>
            </w:pPr>
            <w:r w:rsidRPr="000E2694">
              <w:rPr>
                <w:rFonts w:ascii="Arial Narrow" w:hAnsi="Arial Narrow"/>
              </w:rPr>
              <w:t>Discounted drug cost</w:t>
            </w:r>
          </w:p>
        </w:tc>
        <w:tc>
          <w:tcPr>
            <w:tcW w:w="829"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c>
          <w:tcPr>
            <w:tcW w:w="829"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$0</w:t>
            </w:r>
          </w:p>
        </w:tc>
        <w:tc>
          <w:tcPr>
            <w:tcW w:w="831"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r w:rsidR="00B10DD6" w:rsidRPr="000E2694" w:rsidTr="00D67D09">
        <w:trPr>
          <w:cantSplit/>
        </w:trPr>
        <w:tc>
          <w:tcPr>
            <w:tcW w:w="2511" w:type="pct"/>
            <w:shd w:val="clear" w:color="auto" w:fill="auto"/>
          </w:tcPr>
          <w:p w:rsidR="00B10DD6" w:rsidRPr="000E2694" w:rsidRDefault="00B10DD6" w:rsidP="005123EA">
            <w:pPr>
              <w:pStyle w:val="Tabletext"/>
              <w:keepNext/>
              <w:spacing w:after="0"/>
              <w:rPr>
                <w:rFonts w:ascii="Arial Narrow" w:hAnsi="Arial Narrow"/>
              </w:rPr>
            </w:pPr>
            <w:r w:rsidRPr="000E2694">
              <w:rPr>
                <w:rFonts w:ascii="Arial Narrow" w:hAnsi="Arial Narrow"/>
              </w:rPr>
              <w:t>Discounted QALYs</w:t>
            </w:r>
          </w:p>
        </w:tc>
        <w:tc>
          <w:tcPr>
            <w:tcW w:w="829"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3.02</w:t>
            </w:r>
          </w:p>
        </w:tc>
        <w:tc>
          <w:tcPr>
            <w:tcW w:w="829"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1.82</w:t>
            </w:r>
          </w:p>
        </w:tc>
        <w:tc>
          <w:tcPr>
            <w:tcW w:w="831"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1.20</w:t>
            </w:r>
          </w:p>
        </w:tc>
      </w:tr>
      <w:tr w:rsidR="00B10DD6" w:rsidRPr="000E2694" w:rsidTr="00D67D09">
        <w:trPr>
          <w:cantSplit/>
        </w:trPr>
        <w:tc>
          <w:tcPr>
            <w:tcW w:w="4169" w:type="pct"/>
            <w:gridSpan w:val="3"/>
            <w:shd w:val="clear" w:color="auto" w:fill="auto"/>
            <w:vAlign w:val="center"/>
          </w:tcPr>
          <w:p w:rsidR="00B10DD6" w:rsidRPr="000E2694" w:rsidRDefault="00B10DD6" w:rsidP="005123EA">
            <w:pPr>
              <w:pStyle w:val="Tabletext"/>
              <w:keepNext/>
              <w:spacing w:after="0"/>
              <w:jc w:val="right"/>
              <w:rPr>
                <w:rFonts w:ascii="Arial Narrow" w:hAnsi="Arial Narrow"/>
              </w:rPr>
            </w:pPr>
            <w:r w:rsidRPr="00F03F6B">
              <w:rPr>
                <w:rFonts w:ascii="Arial Narrow" w:hAnsi="Arial Narrow"/>
              </w:rPr>
              <w:t>ICER: cost per QALY gained</w:t>
            </w:r>
          </w:p>
        </w:tc>
        <w:tc>
          <w:tcPr>
            <w:tcW w:w="831"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r w:rsidR="00B10DD6" w:rsidRPr="000E2694" w:rsidTr="00D67D09">
        <w:trPr>
          <w:cantSplit/>
        </w:trPr>
        <w:tc>
          <w:tcPr>
            <w:tcW w:w="5000" w:type="pct"/>
            <w:gridSpan w:val="4"/>
            <w:shd w:val="clear" w:color="auto" w:fill="auto"/>
          </w:tcPr>
          <w:p w:rsidR="00B10DD6" w:rsidRPr="00F03F6B" w:rsidRDefault="00B10DD6" w:rsidP="005123EA">
            <w:pPr>
              <w:pStyle w:val="Tabletext"/>
              <w:keepNext/>
              <w:spacing w:after="0"/>
              <w:rPr>
                <w:rFonts w:ascii="Arial Narrow" w:hAnsi="Arial Narrow"/>
                <w:b/>
              </w:rPr>
            </w:pPr>
            <w:r w:rsidRPr="00F03F6B">
              <w:rPr>
                <w:rFonts w:ascii="Arial Narrow" w:hAnsi="Arial Narrow"/>
                <w:b/>
              </w:rPr>
              <w:t>Step 3 (drug cost only</w:t>
            </w:r>
            <w:r w:rsidR="00DC4556">
              <w:rPr>
                <w:rFonts w:ascii="Arial Narrow" w:hAnsi="Arial Narrow"/>
                <w:b/>
              </w:rPr>
              <w:t>,</w:t>
            </w:r>
            <w:r w:rsidRPr="00F03F6B">
              <w:rPr>
                <w:rFonts w:ascii="Arial Narrow" w:hAnsi="Arial Narrow"/>
                <w:b/>
              </w:rPr>
              <w:t xml:space="preserve"> CUA over a lifetime horizon</w:t>
            </w:r>
            <w:r w:rsidR="00855052">
              <w:rPr>
                <w:rFonts w:ascii="Arial Narrow" w:hAnsi="Arial Narrow"/>
                <w:b/>
              </w:rPr>
              <w:t xml:space="preserve"> for a patient starting treatment at 5.8 years</w:t>
            </w:r>
            <w:r w:rsidRPr="00F03F6B">
              <w:rPr>
                <w:rFonts w:ascii="Arial Narrow" w:hAnsi="Arial Narrow"/>
                <w:b/>
              </w:rPr>
              <w:t>)</w:t>
            </w:r>
          </w:p>
        </w:tc>
      </w:tr>
      <w:tr w:rsidR="00B10DD6" w:rsidRPr="000E2694" w:rsidTr="00D67D09">
        <w:trPr>
          <w:cantSplit/>
        </w:trPr>
        <w:tc>
          <w:tcPr>
            <w:tcW w:w="2511" w:type="pct"/>
            <w:shd w:val="clear" w:color="auto" w:fill="auto"/>
          </w:tcPr>
          <w:p w:rsidR="00B10DD6" w:rsidRPr="000E2694" w:rsidRDefault="00B10DD6" w:rsidP="005123EA">
            <w:pPr>
              <w:pStyle w:val="Tabletext"/>
              <w:keepNext/>
              <w:spacing w:after="0"/>
              <w:rPr>
                <w:rFonts w:ascii="Arial Narrow" w:hAnsi="Arial Narrow"/>
              </w:rPr>
            </w:pPr>
            <w:r w:rsidRPr="000E2694">
              <w:rPr>
                <w:rFonts w:ascii="Arial Narrow" w:hAnsi="Arial Narrow"/>
              </w:rPr>
              <w:t>Discounted drug cost</w:t>
            </w:r>
          </w:p>
        </w:tc>
        <w:tc>
          <w:tcPr>
            <w:tcW w:w="829"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c>
          <w:tcPr>
            <w:tcW w:w="829"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$0</w:t>
            </w:r>
          </w:p>
        </w:tc>
        <w:tc>
          <w:tcPr>
            <w:tcW w:w="831"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r w:rsidR="00B10DD6" w:rsidRPr="000E2694" w:rsidTr="00D67D09">
        <w:trPr>
          <w:cantSplit/>
        </w:trPr>
        <w:tc>
          <w:tcPr>
            <w:tcW w:w="2511" w:type="pct"/>
            <w:shd w:val="clear" w:color="auto" w:fill="auto"/>
          </w:tcPr>
          <w:p w:rsidR="00B10DD6" w:rsidRPr="000E2694" w:rsidRDefault="00B10DD6" w:rsidP="005123EA">
            <w:pPr>
              <w:pStyle w:val="Tabletext"/>
              <w:keepNext/>
              <w:spacing w:after="0"/>
              <w:rPr>
                <w:rFonts w:ascii="Arial Narrow" w:hAnsi="Arial Narrow"/>
              </w:rPr>
            </w:pPr>
            <w:r w:rsidRPr="000E2694">
              <w:rPr>
                <w:rFonts w:ascii="Arial Narrow" w:hAnsi="Arial Narrow"/>
              </w:rPr>
              <w:t>Discounted QALYs</w:t>
            </w:r>
          </w:p>
        </w:tc>
        <w:tc>
          <w:tcPr>
            <w:tcW w:w="829"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16.56</w:t>
            </w:r>
          </w:p>
        </w:tc>
        <w:tc>
          <w:tcPr>
            <w:tcW w:w="829"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6.26</w:t>
            </w:r>
          </w:p>
        </w:tc>
        <w:tc>
          <w:tcPr>
            <w:tcW w:w="831"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10.29</w:t>
            </w:r>
          </w:p>
        </w:tc>
      </w:tr>
      <w:tr w:rsidR="00B10DD6" w:rsidRPr="000E2694" w:rsidTr="00D67D09">
        <w:trPr>
          <w:cantSplit/>
        </w:trPr>
        <w:tc>
          <w:tcPr>
            <w:tcW w:w="4169" w:type="pct"/>
            <w:gridSpan w:val="3"/>
            <w:shd w:val="clear" w:color="auto" w:fill="auto"/>
            <w:vAlign w:val="center"/>
          </w:tcPr>
          <w:p w:rsidR="00B10DD6" w:rsidRPr="000E2694" w:rsidRDefault="00B10DD6" w:rsidP="005123EA">
            <w:pPr>
              <w:pStyle w:val="Tabletext"/>
              <w:keepNext/>
              <w:spacing w:after="0"/>
              <w:jc w:val="right"/>
              <w:rPr>
                <w:rFonts w:ascii="Arial Narrow" w:hAnsi="Arial Narrow"/>
              </w:rPr>
            </w:pPr>
            <w:r w:rsidRPr="000E2694">
              <w:rPr>
                <w:rFonts w:ascii="Arial Narrow" w:hAnsi="Arial Narrow"/>
              </w:rPr>
              <w:t>ICER: cost per QALY gained</w:t>
            </w:r>
          </w:p>
        </w:tc>
        <w:tc>
          <w:tcPr>
            <w:tcW w:w="831"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r w:rsidR="00B10DD6" w:rsidRPr="000E2694" w:rsidTr="00D67D09">
        <w:trPr>
          <w:cantSplit/>
        </w:trPr>
        <w:tc>
          <w:tcPr>
            <w:tcW w:w="5000" w:type="pct"/>
            <w:gridSpan w:val="4"/>
            <w:shd w:val="clear" w:color="auto" w:fill="auto"/>
          </w:tcPr>
          <w:p w:rsidR="00B10DD6" w:rsidRPr="00B22EFB" w:rsidRDefault="00B10DD6" w:rsidP="005123EA">
            <w:pPr>
              <w:pStyle w:val="Tabletext"/>
              <w:keepNext/>
              <w:spacing w:after="0"/>
              <w:rPr>
                <w:rFonts w:ascii="Arial Narrow" w:hAnsi="Arial Narrow"/>
                <w:b/>
              </w:rPr>
            </w:pPr>
            <w:r w:rsidRPr="00B22EFB">
              <w:rPr>
                <w:rFonts w:ascii="Arial Narrow" w:hAnsi="Arial Narrow"/>
                <w:b/>
              </w:rPr>
              <w:t>Step 4 (</w:t>
            </w:r>
            <w:r w:rsidR="00855052">
              <w:rPr>
                <w:rFonts w:ascii="Arial Narrow" w:hAnsi="Arial Narrow"/>
                <w:b/>
              </w:rPr>
              <w:t xml:space="preserve">all costs, </w:t>
            </w:r>
            <w:r w:rsidRPr="00B22EFB">
              <w:rPr>
                <w:rFonts w:ascii="Arial Narrow" w:hAnsi="Arial Narrow"/>
                <w:b/>
              </w:rPr>
              <w:t>CUA over a lifetime horizon</w:t>
            </w:r>
            <w:r w:rsidR="00174A2D">
              <w:rPr>
                <w:rFonts w:ascii="Arial Narrow" w:hAnsi="Arial Narrow"/>
                <w:b/>
              </w:rPr>
              <w:t xml:space="preserve"> for a patient starting treatment at 5.8 years</w:t>
            </w:r>
            <w:r w:rsidRPr="00B22EFB">
              <w:rPr>
                <w:rFonts w:ascii="Arial Narrow" w:hAnsi="Arial Narrow"/>
                <w:b/>
              </w:rPr>
              <w:t>)</w:t>
            </w:r>
            <w:r w:rsidR="00DC4556">
              <w:rPr>
                <w:rFonts w:ascii="Arial Narrow" w:hAnsi="Arial Narrow"/>
                <w:b/>
              </w:rPr>
              <w:t xml:space="preserve"> – submission base case</w:t>
            </w:r>
          </w:p>
        </w:tc>
      </w:tr>
      <w:tr w:rsidR="00B10DD6" w:rsidRPr="000E2694" w:rsidTr="00D67D09">
        <w:trPr>
          <w:cantSplit/>
        </w:trPr>
        <w:tc>
          <w:tcPr>
            <w:tcW w:w="2511" w:type="pct"/>
            <w:shd w:val="clear" w:color="auto" w:fill="auto"/>
          </w:tcPr>
          <w:p w:rsidR="00B10DD6" w:rsidRPr="000E2694" w:rsidRDefault="00B10DD6" w:rsidP="005123EA">
            <w:pPr>
              <w:pStyle w:val="Tabletext"/>
              <w:keepNext/>
              <w:spacing w:after="0"/>
              <w:rPr>
                <w:rFonts w:ascii="Arial Narrow" w:hAnsi="Arial Narrow"/>
              </w:rPr>
            </w:pPr>
            <w:r w:rsidRPr="000E2694">
              <w:rPr>
                <w:rFonts w:ascii="Arial Narrow" w:hAnsi="Arial Narrow"/>
              </w:rPr>
              <w:t>Discounted drug cost</w:t>
            </w:r>
          </w:p>
        </w:tc>
        <w:tc>
          <w:tcPr>
            <w:tcW w:w="829"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c>
          <w:tcPr>
            <w:tcW w:w="829"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$162,818</w:t>
            </w:r>
          </w:p>
        </w:tc>
        <w:tc>
          <w:tcPr>
            <w:tcW w:w="831"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r w:rsidR="00B10DD6" w:rsidRPr="000E2694" w:rsidTr="00D67D09">
        <w:trPr>
          <w:cantSplit/>
        </w:trPr>
        <w:tc>
          <w:tcPr>
            <w:tcW w:w="2511" w:type="pct"/>
            <w:shd w:val="clear" w:color="auto" w:fill="auto"/>
          </w:tcPr>
          <w:p w:rsidR="00B10DD6" w:rsidRPr="000E2694" w:rsidRDefault="00B10DD6" w:rsidP="005123EA">
            <w:pPr>
              <w:pStyle w:val="Tabletext"/>
              <w:keepNext/>
              <w:spacing w:after="0"/>
              <w:rPr>
                <w:rFonts w:ascii="Arial Narrow" w:hAnsi="Arial Narrow"/>
              </w:rPr>
            </w:pPr>
            <w:r w:rsidRPr="000E2694">
              <w:rPr>
                <w:rFonts w:ascii="Arial Narrow" w:hAnsi="Arial Narrow"/>
              </w:rPr>
              <w:t>Discounted QALYs</w:t>
            </w:r>
          </w:p>
        </w:tc>
        <w:tc>
          <w:tcPr>
            <w:tcW w:w="829"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16.56</w:t>
            </w:r>
          </w:p>
        </w:tc>
        <w:tc>
          <w:tcPr>
            <w:tcW w:w="829"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6.26</w:t>
            </w:r>
          </w:p>
        </w:tc>
        <w:tc>
          <w:tcPr>
            <w:tcW w:w="831" w:type="pct"/>
            <w:shd w:val="clear" w:color="auto" w:fill="auto"/>
            <w:vAlign w:val="bottom"/>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10.29</w:t>
            </w:r>
          </w:p>
        </w:tc>
      </w:tr>
      <w:tr w:rsidR="00B10DD6" w:rsidRPr="000E2694" w:rsidTr="00D67D09">
        <w:trPr>
          <w:cantSplit/>
        </w:trPr>
        <w:tc>
          <w:tcPr>
            <w:tcW w:w="4169" w:type="pct"/>
            <w:gridSpan w:val="3"/>
            <w:shd w:val="clear" w:color="auto" w:fill="auto"/>
            <w:vAlign w:val="center"/>
          </w:tcPr>
          <w:p w:rsidR="00B10DD6" w:rsidRPr="000E2694" w:rsidRDefault="00B10DD6" w:rsidP="005123EA">
            <w:pPr>
              <w:pStyle w:val="Tabletext"/>
              <w:keepNext/>
              <w:spacing w:after="0"/>
              <w:jc w:val="right"/>
              <w:rPr>
                <w:rFonts w:ascii="Arial Narrow" w:hAnsi="Arial Narrow"/>
              </w:rPr>
            </w:pPr>
            <w:r w:rsidRPr="000E2694">
              <w:rPr>
                <w:rFonts w:ascii="Arial Narrow" w:hAnsi="Arial Narrow"/>
              </w:rPr>
              <w:t>ICER: cost per QALY gained</w:t>
            </w:r>
          </w:p>
        </w:tc>
        <w:tc>
          <w:tcPr>
            <w:tcW w:w="831" w:type="pct"/>
            <w:shd w:val="clear" w:color="auto" w:fill="auto"/>
            <w:vAlign w:val="center"/>
          </w:tcPr>
          <w:p w:rsidR="00B10DD6" w:rsidRPr="000E2694" w:rsidRDefault="00B10DD6" w:rsidP="005123EA">
            <w:pPr>
              <w:pStyle w:val="Tabletext"/>
              <w:keepNext/>
              <w:spacing w:after="0"/>
              <w:jc w:val="center"/>
              <w:rPr>
                <w:rFonts w:ascii="Arial Narrow" w:hAnsi="Arial Narrow"/>
              </w:rPr>
            </w:pPr>
            <w:r w:rsidRPr="000E2694">
              <w:rPr>
                <w:rFonts w:ascii="Arial Narrow" w:hAnsi="Arial Narrow"/>
              </w:rPr>
              <w:t>$</w:t>
            </w:r>
            <w:r w:rsidR="00551B2E">
              <w:rPr>
                <w:rFonts w:ascii="Arial Narrow" w:hAnsi="Arial Narrow"/>
                <w:noProof/>
                <w:color w:val="000000"/>
                <w:highlight w:val="black"/>
              </w:rPr>
              <w:t>'''''''''''''''''''''''</w:t>
            </w:r>
          </w:p>
        </w:tc>
      </w:tr>
    </w:tbl>
    <w:p w:rsidR="00B10DD6" w:rsidRDefault="00B10DD6" w:rsidP="005123EA">
      <w:pPr>
        <w:pStyle w:val="TableFooter"/>
        <w:keepNext/>
        <w:widowControl/>
      </w:pPr>
      <w:r>
        <w:t>6MWT = six-minute walk test; ICER = incremental cost-effectiveness ratio; QALY = quality adjusted life year; CUA = cost-utility analysis; BSC = best supportive care</w:t>
      </w:r>
    </w:p>
    <w:p w:rsidR="008B3C30" w:rsidRDefault="00DC4556" w:rsidP="005123EA">
      <w:pPr>
        <w:pStyle w:val="TableFooter"/>
        <w:keepNext/>
        <w:widowControl/>
        <w:tabs>
          <w:tab w:val="left" w:pos="284"/>
        </w:tabs>
      </w:pPr>
      <w:r>
        <w:t>*</w:t>
      </w:r>
      <w:r w:rsidR="00AF29CA">
        <w:t xml:space="preserve"> </w:t>
      </w:r>
      <w:r>
        <w:t xml:space="preserve">Step 2 onwards </w:t>
      </w:r>
      <w:proofErr w:type="gramStart"/>
      <w:r>
        <w:t>follow</w:t>
      </w:r>
      <w:proofErr w:type="gramEnd"/>
      <w:r>
        <w:t xml:space="preserve"> on from Step 1a.</w:t>
      </w:r>
    </w:p>
    <w:p w:rsidR="00B10DD6" w:rsidRPr="00FE4046" w:rsidRDefault="00B10DD6" w:rsidP="005123EA">
      <w:pPr>
        <w:pStyle w:val="TableFooter"/>
        <w:widowControl/>
      </w:pPr>
      <w:r w:rsidRPr="00EE2CE4">
        <w:t>Source: Table D.5.10, pp69-70 of Sections C to F of the submission</w:t>
      </w:r>
      <w:r>
        <w:t xml:space="preserve"> </w:t>
      </w:r>
    </w:p>
    <w:p w:rsidR="00547CFA" w:rsidRPr="000E7B17" w:rsidRDefault="00547CFA" w:rsidP="005123EA">
      <w:pPr>
        <w:pStyle w:val="ListParagraph"/>
        <w:widowControl/>
        <w:numPr>
          <w:ilvl w:val="1"/>
          <w:numId w:val="2"/>
        </w:numPr>
        <w:spacing w:before="120" w:after="160"/>
        <w:contextualSpacing w:val="0"/>
        <w:rPr>
          <w:rFonts w:asciiTheme="minorHAnsi" w:hAnsiTheme="minorHAnsi"/>
        </w:rPr>
      </w:pPr>
      <w:r w:rsidRPr="000E7B17">
        <w:t xml:space="preserve">The submission’s approach of basing the first step of the economic evaluation on improvement in the 6MWT for </w:t>
      </w:r>
      <w:proofErr w:type="spellStart"/>
      <w:r w:rsidRPr="000E7B17">
        <w:t>asfotase</w:t>
      </w:r>
      <w:proofErr w:type="spellEnd"/>
      <w:r w:rsidRPr="000E7B17">
        <w:t xml:space="preserve"> alfa </w:t>
      </w:r>
      <w:proofErr w:type="spellStart"/>
      <w:r w:rsidRPr="000E7B17">
        <w:t>rch</w:t>
      </w:r>
      <w:proofErr w:type="spellEnd"/>
      <w:r w:rsidRPr="000E7B17">
        <w:t xml:space="preserve"> treated patients from baseline to Week 192 in ENB-009-10 (step 1b in Table 10) and from baseli</w:t>
      </w:r>
      <w:r w:rsidR="00077D7C" w:rsidRPr="000E7B17">
        <w:t>ne to Week 240 in ENB</w:t>
      </w:r>
      <w:r w:rsidR="00077D7C" w:rsidRPr="000E7B17">
        <w:noBreakHyphen/>
      </w:r>
      <w:r w:rsidRPr="000E7B17">
        <w:t xml:space="preserve">006-09 (step 1a in Table 10) did not include any allowance for the effect of a placebo or any comparison to indicate that the gain in 6MWT distance for </w:t>
      </w:r>
      <w:proofErr w:type="spellStart"/>
      <w:r w:rsidRPr="000E7B17">
        <w:t>asfotase</w:t>
      </w:r>
      <w:proofErr w:type="spellEnd"/>
      <w:r w:rsidRPr="000E7B17">
        <w:t xml:space="preserve"> alfa </w:t>
      </w:r>
      <w:proofErr w:type="spellStart"/>
      <w:r w:rsidRPr="000E7B17">
        <w:t>rch</w:t>
      </w:r>
      <w:proofErr w:type="spellEnd"/>
      <w:r w:rsidRPr="000E7B17">
        <w:t xml:space="preserve"> treated patients was statistically significant. In addition, in the only clinical evidence presented in relation to a control group comparison including the outcome of 6MWT (Trial ENB-009-10), the submission did not demonstrate an improvement in relation to change in 6MWT distance between the </w:t>
      </w:r>
      <w:proofErr w:type="spellStart"/>
      <w:r w:rsidRPr="000E7B17">
        <w:t>asfotase</w:t>
      </w:r>
      <w:proofErr w:type="spellEnd"/>
      <w:r w:rsidRPr="000E7B17">
        <w:t xml:space="preserve"> alfa </w:t>
      </w:r>
      <w:proofErr w:type="spellStart"/>
      <w:r w:rsidRPr="000E7B17">
        <w:t>rch</w:t>
      </w:r>
      <w:proofErr w:type="spellEnd"/>
      <w:r w:rsidRPr="000E7B17">
        <w:t xml:space="preserve"> and the untreated control groups</w:t>
      </w:r>
      <w:r w:rsidR="00E445D4" w:rsidRPr="000E7B17">
        <w:t>.</w:t>
      </w:r>
      <w:r w:rsidRPr="000E7B17">
        <w:t xml:space="preserve"> Overall, </w:t>
      </w:r>
      <w:r w:rsidR="00E445D4" w:rsidRPr="000E7B17">
        <w:t>t</w:t>
      </w:r>
      <w:r w:rsidRPr="000E7B17">
        <w:t>he ESC considered it was not possible to have confidence in the ICER per additional metre gained results presented in Table 10.</w:t>
      </w:r>
    </w:p>
    <w:p w:rsidR="00547CFA" w:rsidRPr="00547CFA" w:rsidRDefault="00547CFA" w:rsidP="005123EA">
      <w:pPr>
        <w:pStyle w:val="ListParagraph"/>
        <w:widowControl/>
        <w:numPr>
          <w:ilvl w:val="1"/>
          <w:numId w:val="2"/>
        </w:numPr>
        <w:spacing w:before="120" w:after="160"/>
        <w:contextualSpacing w:val="0"/>
        <w:rPr>
          <w:rFonts w:asciiTheme="minorHAnsi" w:hAnsiTheme="minorHAnsi"/>
        </w:rPr>
      </w:pPr>
      <w:r w:rsidRPr="000E7B17">
        <w:t>Moreover, the ESC considered that 6MWT may not be an acceptable surrogate outcome for paediatric-onset HPP</w:t>
      </w:r>
      <w:r w:rsidR="005D7BEA" w:rsidRPr="000E7B17">
        <w:t>, p</w:t>
      </w:r>
      <w:r w:rsidR="005D7BEA" w:rsidRPr="000E7B17">
        <w:rPr>
          <w:rFonts w:asciiTheme="minorHAnsi" w:hAnsiTheme="minorHAnsi"/>
          <w:szCs w:val="24"/>
        </w:rPr>
        <w:t>articularly for those aged less than 5</w:t>
      </w:r>
      <w:r w:rsidR="00753A11">
        <w:rPr>
          <w:rFonts w:asciiTheme="minorHAnsi" w:hAnsiTheme="minorHAnsi"/>
          <w:szCs w:val="24"/>
        </w:rPr>
        <w:t> </w:t>
      </w:r>
      <w:r w:rsidR="005D7BEA" w:rsidRPr="000E7B17">
        <w:rPr>
          <w:rFonts w:asciiTheme="minorHAnsi" w:hAnsiTheme="minorHAnsi"/>
          <w:szCs w:val="24"/>
        </w:rPr>
        <w:t>years where 6MWT was not (and could not be) assessed in any of the clinical trials</w:t>
      </w:r>
      <w:r w:rsidRPr="000E7B17">
        <w:t xml:space="preserve">. </w:t>
      </w:r>
      <w:r w:rsidR="00DA47AE" w:rsidRPr="000E7B17">
        <w:t>The ESC considered that 6MWT may not capture all the relevant clinical features of HPP such</w:t>
      </w:r>
      <w:r w:rsidR="000E4E6B">
        <w:t xml:space="preserve"> as</w:t>
      </w:r>
      <w:r w:rsidR="00DA47AE" w:rsidRPr="000E7B17">
        <w:t xml:space="preserve"> skeleton and joint deformity and renal and neurological complications</w:t>
      </w:r>
      <w:r w:rsidR="00DA47AE" w:rsidRPr="00DA47AE">
        <w:rPr>
          <w:i/>
        </w:rPr>
        <w:t>.</w:t>
      </w:r>
    </w:p>
    <w:p w:rsidR="00B10DD6" w:rsidRPr="00F471D7" w:rsidRDefault="00DC4556" w:rsidP="005123EA">
      <w:pPr>
        <w:pStyle w:val="ListParagraph"/>
        <w:widowControl/>
        <w:numPr>
          <w:ilvl w:val="1"/>
          <w:numId w:val="2"/>
        </w:numPr>
        <w:spacing w:before="120" w:after="160"/>
        <w:contextualSpacing w:val="0"/>
        <w:rPr>
          <w:rFonts w:asciiTheme="minorHAnsi" w:hAnsiTheme="minorHAnsi"/>
        </w:rPr>
      </w:pPr>
      <w:r w:rsidRPr="00F471D7">
        <w:rPr>
          <w:rFonts w:asciiTheme="minorHAnsi" w:hAnsiTheme="minorHAnsi"/>
        </w:rPr>
        <w:t>T</w:t>
      </w:r>
      <w:r w:rsidR="00B10DD6" w:rsidRPr="00F471D7">
        <w:rPr>
          <w:rFonts w:asciiTheme="minorHAnsi" w:hAnsiTheme="minorHAnsi"/>
        </w:rPr>
        <w:t xml:space="preserve">he base case </w:t>
      </w:r>
      <w:r w:rsidRPr="00F471D7">
        <w:rPr>
          <w:rFonts w:asciiTheme="minorHAnsi" w:hAnsiTheme="minorHAnsi"/>
        </w:rPr>
        <w:t>ICER</w:t>
      </w:r>
      <w:r w:rsidR="00B10DD6" w:rsidRPr="00F471D7">
        <w:rPr>
          <w:rFonts w:asciiTheme="minorHAnsi" w:hAnsiTheme="minorHAnsi"/>
        </w:rPr>
        <w:t xml:space="preserve"> </w:t>
      </w:r>
      <w:r w:rsidRPr="00F471D7">
        <w:rPr>
          <w:rFonts w:asciiTheme="minorHAnsi" w:hAnsiTheme="minorHAnsi"/>
        </w:rPr>
        <w:t xml:space="preserve">estimated in the submission was </w:t>
      </w:r>
      <w:r w:rsidR="00264776">
        <w:rPr>
          <w:rFonts w:asciiTheme="minorHAnsi" w:hAnsiTheme="minorHAnsi"/>
        </w:rPr>
        <w:t>more than $1 million</w:t>
      </w:r>
      <w:r w:rsidR="00B10DD6" w:rsidRPr="00F471D7">
        <w:rPr>
          <w:rFonts w:asciiTheme="minorHAnsi" w:hAnsiTheme="minorHAnsi"/>
        </w:rPr>
        <w:t xml:space="preserve"> per QALY gained.</w:t>
      </w:r>
      <w:r w:rsidR="00540116" w:rsidRPr="00F471D7">
        <w:rPr>
          <w:rFonts w:asciiTheme="minorHAnsi" w:hAnsiTheme="minorHAnsi"/>
        </w:rPr>
        <w:t xml:space="preserve"> </w:t>
      </w:r>
      <w:r w:rsidR="0013707A" w:rsidRPr="00F471D7">
        <w:rPr>
          <w:rFonts w:asciiTheme="minorHAnsi" w:hAnsiTheme="minorHAnsi"/>
        </w:rPr>
        <w:t>T</w:t>
      </w:r>
      <w:r w:rsidR="00F85725" w:rsidRPr="00F471D7">
        <w:rPr>
          <w:rFonts w:asciiTheme="minorHAnsi" w:hAnsiTheme="minorHAnsi"/>
        </w:rPr>
        <w:t>he base case ICER without the proposed</w:t>
      </w:r>
      <w:r w:rsidR="00FD296E">
        <w:rPr>
          <w:rFonts w:asciiTheme="minorHAnsi" w:hAnsiTheme="minorHAnsi"/>
        </w:rPr>
        <w:t xml:space="preserve"> risk share arrangement</w:t>
      </w:r>
      <w:r w:rsidR="00F85725" w:rsidRPr="00F471D7">
        <w:rPr>
          <w:rFonts w:asciiTheme="minorHAnsi" w:hAnsiTheme="minorHAnsi"/>
        </w:rPr>
        <w:t xml:space="preserve"> </w:t>
      </w:r>
      <w:r w:rsidR="00F85725" w:rsidRPr="00845BC4">
        <w:rPr>
          <w:rFonts w:asciiTheme="minorHAnsi" w:hAnsiTheme="minorHAnsi"/>
        </w:rPr>
        <w:t>annual $</w:t>
      </w:r>
      <w:r w:rsidR="00551B2E">
        <w:rPr>
          <w:rFonts w:asciiTheme="minorHAnsi" w:hAnsiTheme="minorHAnsi"/>
          <w:noProof/>
          <w:color w:val="000000"/>
          <w:highlight w:val="black"/>
        </w:rPr>
        <w:t>'''''''''''''''</w:t>
      </w:r>
      <w:r w:rsidR="00F85725" w:rsidRPr="00845BC4">
        <w:rPr>
          <w:rFonts w:asciiTheme="minorHAnsi" w:hAnsiTheme="minorHAnsi"/>
        </w:rPr>
        <w:t xml:space="preserve"> per patient cap</w:t>
      </w:r>
      <w:r w:rsidR="00F85725" w:rsidRPr="00F471D7">
        <w:rPr>
          <w:rFonts w:asciiTheme="minorHAnsi" w:hAnsiTheme="minorHAnsi"/>
        </w:rPr>
        <w:t xml:space="preserve"> was </w:t>
      </w:r>
      <w:r w:rsidR="008779B2" w:rsidRPr="00F471D7">
        <w:rPr>
          <w:rFonts w:asciiTheme="minorHAnsi" w:hAnsiTheme="minorHAnsi"/>
        </w:rPr>
        <w:t xml:space="preserve">more than </w:t>
      </w:r>
      <w:r w:rsidR="00264776">
        <w:rPr>
          <w:rFonts w:asciiTheme="minorHAnsi" w:hAnsiTheme="minorHAnsi"/>
        </w:rPr>
        <w:t>more than $3 million</w:t>
      </w:r>
      <w:r w:rsidR="00FD296E">
        <w:rPr>
          <w:rFonts w:asciiTheme="minorHAnsi" w:hAnsiTheme="minorHAnsi"/>
        </w:rPr>
        <w:t xml:space="preserve"> </w:t>
      </w:r>
      <w:r w:rsidR="0013707A" w:rsidRPr="00F471D7">
        <w:rPr>
          <w:rFonts w:asciiTheme="minorHAnsi" w:hAnsiTheme="minorHAnsi"/>
        </w:rPr>
        <w:t>per QALY gained</w:t>
      </w:r>
      <w:r w:rsidR="00F85725" w:rsidRPr="00F471D7">
        <w:rPr>
          <w:rFonts w:asciiTheme="minorHAnsi" w:hAnsiTheme="minorHAnsi"/>
        </w:rPr>
        <w:t>.</w:t>
      </w:r>
    </w:p>
    <w:p w:rsidR="00D34A17" w:rsidRDefault="00D34A17" w:rsidP="005123EA">
      <w:pPr>
        <w:pStyle w:val="ListParagraph"/>
        <w:widowControl/>
        <w:numPr>
          <w:ilvl w:val="1"/>
          <w:numId w:val="2"/>
        </w:numPr>
        <w:spacing w:before="120" w:after="160"/>
        <w:contextualSpacing w:val="0"/>
        <w:rPr>
          <w:rFonts w:asciiTheme="minorHAnsi" w:hAnsiTheme="minorHAnsi"/>
        </w:rPr>
      </w:pPr>
      <w:r>
        <w:rPr>
          <w:rFonts w:asciiTheme="minorHAnsi" w:hAnsiTheme="minorHAnsi"/>
        </w:rPr>
        <w:t>For the base case</w:t>
      </w:r>
      <w:r w:rsidR="005E3AD9">
        <w:rPr>
          <w:rFonts w:asciiTheme="minorHAnsi" w:hAnsiTheme="minorHAnsi"/>
        </w:rPr>
        <w:t>, patients initiated treatment aged 5.8 years and</w:t>
      </w:r>
      <w:r>
        <w:rPr>
          <w:rFonts w:asciiTheme="minorHAnsi" w:hAnsiTheme="minorHAnsi"/>
        </w:rPr>
        <w:t xml:space="preserve"> there was no difference in mortality</w:t>
      </w:r>
      <w:r w:rsidR="00DC0CCF">
        <w:rPr>
          <w:rFonts w:asciiTheme="minorHAnsi" w:hAnsiTheme="minorHAnsi"/>
        </w:rPr>
        <w:t xml:space="preserve"> assumed between the treatment arms</w:t>
      </w:r>
      <w:r>
        <w:rPr>
          <w:rFonts w:asciiTheme="minorHAnsi" w:hAnsiTheme="minorHAnsi"/>
        </w:rPr>
        <w:t>.</w:t>
      </w:r>
      <w:r w:rsidR="00540116">
        <w:rPr>
          <w:rFonts w:asciiTheme="minorHAnsi" w:hAnsiTheme="minorHAnsi"/>
        </w:rPr>
        <w:t xml:space="preserve"> </w:t>
      </w:r>
      <w:r w:rsidR="00DC0CCF">
        <w:rPr>
          <w:rFonts w:asciiTheme="minorHAnsi" w:hAnsiTheme="minorHAnsi"/>
        </w:rPr>
        <w:t>T</w:t>
      </w:r>
      <w:r w:rsidRPr="00C53E4C">
        <w:rPr>
          <w:rFonts w:asciiTheme="minorHAnsi" w:hAnsiTheme="minorHAnsi"/>
        </w:rPr>
        <w:t xml:space="preserve">he submission stated that generally more </w:t>
      </w:r>
      <w:proofErr w:type="spellStart"/>
      <w:r w:rsidRPr="00C53E4C">
        <w:rPr>
          <w:rFonts w:asciiTheme="minorHAnsi" w:hAnsiTheme="minorHAnsi"/>
        </w:rPr>
        <w:t>asfotase</w:t>
      </w:r>
      <w:proofErr w:type="spellEnd"/>
      <w:r w:rsidRPr="00C53E4C">
        <w:rPr>
          <w:rFonts w:asciiTheme="minorHAnsi" w:hAnsiTheme="minorHAnsi"/>
        </w:rPr>
        <w:t xml:space="preserve"> alfa </w:t>
      </w:r>
      <w:proofErr w:type="spellStart"/>
      <w:r w:rsidR="00465F17" w:rsidRPr="00465F17">
        <w:rPr>
          <w:rFonts w:asciiTheme="minorHAnsi" w:hAnsiTheme="minorHAnsi"/>
          <w:i/>
        </w:rPr>
        <w:t>rch</w:t>
      </w:r>
      <w:proofErr w:type="spellEnd"/>
      <w:r w:rsidRPr="00C53E4C">
        <w:rPr>
          <w:rFonts w:asciiTheme="minorHAnsi" w:hAnsiTheme="minorHAnsi"/>
        </w:rPr>
        <w:t xml:space="preserve"> treated patients remained in the less severe HPP health states over the time horizon </w:t>
      </w:r>
      <w:r w:rsidR="00DC0CCF">
        <w:rPr>
          <w:rFonts w:asciiTheme="minorHAnsi" w:hAnsiTheme="minorHAnsi"/>
        </w:rPr>
        <w:t xml:space="preserve">in the model </w:t>
      </w:r>
      <w:r w:rsidRPr="00C53E4C">
        <w:rPr>
          <w:rFonts w:asciiTheme="minorHAnsi" w:hAnsiTheme="minorHAnsi"/>
        </w:rPr>
        <w:t>and that the lack of difference in mortality for the base case analysis was</w:t>
      </w:r>
      <w:r w:rsidR="00753A11">
        <w:rPr>
          <w:rFonts w:asciiTheme="minorHAnsi" w:hAnsiTheme="minorHAnsi"/>
        </w:rPr>
        <w:t xml:space="preserve"> due to the assumption that HPP</w:t>
      </w:r>
      <w:r w:rsidR="00753A11">
        <w:rPr>
          <w:rFonts w:asciiTheme="minorHAnsi" w:hAnsiTheme="minorHAnsi"/>
        </w:rPr>
        <w:noBreakHyphen/>
      </w:r>
      <w:r w:rsidRPr="00C53E4C">
        <w:rPr>
          <w:rFonts w:asciiTheme="minorHAnsi" w:hAnsiTheme="minorHAnsi"/>
        </w:rPr>
        <w:t xml:space="preserve">related mortality was zero in patients </w:t>
      </w:r>
      <w:r w:rsidR="005E3AD9">
        <w:rPr>
          <w:rFonts w:asciiTheme="minorHAnsi" w:hAnsiTheme="minorHAnsi"/>
        </w:rPr>
        <w:t xml:space="preserve">initiating treatment with </w:t>
      </w:r>
      <w:proofErr w:type="spellStart"/>
      <w:r w:rsidR="005E3AD9">
        <w:rPr>
          <w:rFonts w:asciiTheme="minorHAnsi" w:hAnsiTheme="minorHAnsi"/>
        </w:rPr>
        <w:t>asfotase</w:t>
      </w:r>
      <w:proofErr w:type="spellEnd"/>
      <w:r w:rsidR="005E3AD9">
        <w:rPr>
          <w:rFonts w:asciiTheme="minorHAnsi" w:hAnsiTheme="minorHAnsi"/>
        </w:rPr>
        <w:t xml:space="preserve"> alfa </w:t>
      </w:r>
      <w:proofErr w:type="spellStart"/>
      <w:r w:rsidR="00465F17" w:rsidRPr="00465F17">
        <w:rPr>
          <w:rFonts w:asciiTheme="minorHAnsi" w:hAnsiTheme="minorHAnsi"/>
          <w:i/>
        </w:rPr>
        <w:t>rch</w:t>
      </w:r>
      <w:proofErr w:type="spellEnd"/>
      <w:r w:rsidR="005E3AD9" w:rsidRPr="005E3AD9">
        <w:rPr>
          <w:rFonts w:asciiTheme="minorHAnsi" w:hAnsiTheme="minorHAnsi"/>
          <w:i/>
        </w:rPr>
        <w:t xml:space="preserve"> </w:t>
      </w:r>
      <w:r w:rsidRPr="005E3AD9">
        <w:rPr>
          <w:rFonts w:asciiTheme="minorHAnsi" w:hAnsiTheme="minorHAnsi"/>
        </w:rPr>
        <w:t>aged</w:t>
      </w:r>
      <w:r w:rsidRPr="00C53E4C">
        <w:rPr>
          <w:rFonts w:asciiTheme="minorHAnsi" w:hAnsiTheme="minorHAnsi"/>
        </w:rPr>
        <w:t xml:space="preserve"> 5 years and older.</w:t>
      </w:r>
    </w:p>
    <w:p w:rsidR="00B10DD6" w:rsidRPr="00CC3226" w:rsidRDefault="00B10DD6" w:rsidP="005123EA">
      <w:pPr>
        <w:pStyle w:val="ListParagraph"/>
        <w:widowControl/>
        <w:numPr>
          <w:ilvl w:val="1"/>
          <w:numId w:val="2"/>
        </w:numPr>
        <w:spacing w:before="120" w:after="160"/>
        <w:contextualSpacing w:val="0"/>
        <w:rPr>
          <w:rFonts w:asciiTheme="minorHAnsi" w:hAnsiTheme="minorHAnsi"/>
        </w:rPr>
      </w:pPr>
      <w:r w:rsidRPr="00CC3226">
        <w:rPr>
          <w:rFonts w:asciiTheme="minorHAnsi" w:hAnsiTheme="minorHAnsi"/>
        </w:rPr>
        <w:t>The submission also pr</w:t>
      </w:r>
      <w:r>
        <w:rPr>
          <w:rFonts w:asciiTheme="minorHAnsi" w:hAnsiTheme="minorHAnsi"/>
        </w:rPr>
        <w:t xml:space="preserve">ovided age group </w:t>
      </w:r>
      <w:r w:rsidRPr="0041162F">
        <w:rPr>
          <w:rFonts w:asciiTheme="minorHAnsi" w:hAnsiTheme="minorHAnsi"/>
        </w:rPr>
        <w:t>specific</w:t>
      </w:r>
      <w:r>
        <w:rPr>
          <w:rFonts w:asciiTheme="minorHAnsi" w:hAnsiTheme="minorHAnsi"/>
        </w:rPr>
        <w:t xml:space="preserve"> ICERs</w:t>
      </w:r>
      <w:r w:rsidR="0041162F">
        <w:rPr>
          <w:rFonts w:asciiTheme="minorHAnsi" w:hAnsiTheme="minorHAnsi"/>
        </w:rPr>
        <w:t xml:space="preserve"> (based on age of initiation of treatment with </w:t>
      </w:r>
      <w:proofErr w:type="spellStart"/>
      <w:r w:rsidR="0041162F">
        <w:rPr>
          <w:rFonts w:asciiTheme="minorHAnsi" w:hAnsiTheme="minorHAnsi"/>
        </w:rPr>
        <w:t>asfotase</w:t>
      </w:r>
      <w:proofErr w:type="spellEnd"/>
      <w:r w:rsidR="0041162F">
        <w:rPr>
          <w:rFonts w:asciiTheme="minorHAnsi" w:hAnsiTheme="minorHAnsi"/>
        </w:rPr>
        <w:t xml:space="preserve"> alfa </w:t>
      </w:r>
      <w:proofErr w:type="spellStart"/>
      <w:r w:rsidR="00465F17" w:rsidRPr="00465F17">
        <w:rPr>
          <w:rFonts w:asciiTheme="minorHAnsi" w:hAnsiTheme="minorHAnsi"/>
          <w:i/>
        </w:rPr>
        <w:t>rch</w:t>
      </w:r>
      <w:proofErr w:type="spellEnd"/>
      <w:r w:rsidR="0041162F">
        <w:rPr>
          <w:rFonts w:asciiTheme="minorHAnsi" w:hAnsiTheme="minorHAnsi"/>
        </w:rPr>
        <w:t>)</w:t>
      </w:r>
      <w:r>
        <w:rPr>
          <w:rFonts w:asciiTheme="minorHAnsi" w:hAnsiTheme="minorHAnsi"/>
        </w:rPr>
        <w:t>.</w:t>
      </w:r>
      <w:r w:rsidR="00540116">
        <w:rPr>
          <w:rFonts w:asciiTheme="minorHAnsi" w:hAnsiTheme="minorHAnsi"/>
        </w:rPr>
        <w:t xml:space="preserve"> </w:t>
      </w:r>
      <w:r>
        <w:rPr>
          <w:rFonts w:asciiTheme="minorHAnsi" w:hAnsiTheme="minorHAnsi"/>
        </w:rPr>
        <w:t>T</w:t>
      </w:r>
      <w:r w:rsidRPr="00CC3226">
        <w:rPr>
          <w:rFonts w:asciiTheme="minorHAnsi" w:hAnsiTheme="minorHAnsi"/>
        </w:rPr>
        <w:t xml:space="preserve">hese are detailed in Table </w:t>
      </w:r>
      <w:r w:rsidR="004110C9">
        <w:rPr>
          <w:rFonts w:asciiTheme="minorHAnsi" w:hAnsiTheme="minorHAnsi"/>
        </w:rPr>
        <w:t>11</w:t>
      </w:r>
      <w:r w:rsidRPr="00CC3226">
        <w:rPr>
          <w:rFonts w:asciiTheme="minorHAnsi" w:hAnsiTheme="minorHAnsi"/>
        </w:rPr>
        <w:t>.</w:t>
      </w:r>
    </w:p>
    <w:p w:rsidR="002757CE" w:rsidRDefault="002757CE" w:rsidP="002757CE">
      <w:pPr>
        <w:pStyle w:val="Caption"/>
      </w:pPr>
      <w:r>
        <w:t xml:space="preserve">Table </w:t>
      </w:r>
      <w:r>
        <w:rPr>
          <w:noProof/>
        </w:rPr>
        <w:t>11</w:t>
      </w:r>
      <w:r w:rsidRPr="00461FE8">
        <w:t xml:space="preserve">: Results of the modelled economic evaluation by age group at initiation of treatment with </w:t>
      </w:r>
      <w:proofErr w:type="spellStart"/>
      <w:r w:rsidRPr="00461FE8">
        <w:t>asfotase</w:t>
      </w:r>
      <w:proofErr w:type="spellEnd"/>
      <w:r w:rsidRPr="00461FE8">
        <w:t xml:space="preserve"> alfa </w:t>
      </w:r>
      <w:proofErr w:type="spellStart"/>
      <w:r w:rsidRPr="00461FE8">
        <w:t>rch</w:t>
      </w:r>
      <w:proofErr w:type="spellEnd"/>
    </w:p>
    <w:tbl>
      <w:tblPr>
        <w:tblW w:w="9050" w:type="dxa"/>
        <w:tblInd w:w="18" w:type="dxa"/>
        <w:tblCellMar>
          <w:left w:w="28" w:type="dxa"/>
          <w:right w:w="28" w:type="dxa"/>
        </w:tblCellMar>
        <w:tblLook w:val="04A0" w:firstRow="1" w:lastRow="0" w:firstColumn="1" w:lastColumn="0" w:noHBand="0" w:noVBand="1"/>
      </w:tblPr>
      <w:tblGrid>
        <w:gridCol w:w="4513"/>
        <w:gridCol w:w="1418"/>
        <w:gridCol w:w="1559"/>
        <w:gridCol w:w="1560"/>
      </w:tblGrid>
      <w:tr w:rsidR="00B10DD6" w:rsidRPr="00B97CB9" w:rsidTr="003B76C9">
        <w:trPr>
          <w:trHeight w:val="20"/>
          <w:tblHeader/>
        </w:trPr>
        <w:tc>
          <w:tcPr>
            <w:tcW w:w="4513" w:type="dxa"/>
            <w:tcBorders>
              <w:top w:val="single" w:sz="4" w:space="0" w:color="auto"/>
              <w:left w:val="single" w:sz="4" w:space="0" w:color="auto"/>
              <w:bottom w:val="single" w:sz="4" w:space="0" w:color="auto"/>
              <w:right w:val="single" w:sz="4" w:space="0" w:color="auto"/>
            </w:tcBorders>
            <w:shd w:val="clear" w:color="auto" w:fill="auto"/>
            <w:noWrap/>
            <w:hideMark/>
          </w:tcPr>
          <w:p w:rsidR="00B10DD6" w:rsidRPr="00B97CB9" w:rsidRDefault="00B10DD6" w:rsidP="005123EA">
            <w:pPr>
              <w:keepNext/>
              <w:widowControl/>
              <w:contextualSpacing/>
              <w:rPr>
                <w:rFonts w:ascii="Arial Narrow" w:hAnsi="Arial Narrow"/>
                <w:b/>
                <w:sz w:val="20"/>
              </w:rPr>
            </w:pPr>
          </w:p>
        </w:tc>
        <w:tc>
          <w:tcPr>
            <w:tcW w:w="1418" w:type="dxa"/>
            <w:tcBorders>
              <w:top w:val="single" w:sz="4" w:space="0" w:color="auto"/>
              <w:left w:val="nil"/>
              <w:bottom w:val="single" w:sz="4" w:space="0" w:color="auto"/>
              <w:right w:val="single" w:sz="4" w:space="0" w:color="auto"/>
            </w:tcBorders>
            <w:shd w:val="clear" w:color="auto" w:fill="auto"/>
            <w:noWrap/>
            <w:hideMark/>
          </w:tcPr>
          <w:p w:rsidR="00B10DD6" w:rsidRPr="00B97CB9" w:rsidRDefault="00B10DD6" w:rsidP="005123EA">
            <w:pPr>
              <w:keepNext/>
              <w:widowControl/>
              <w:contextualSpacing/>
              <w:jc w:val="center"/>
              <w:rPr>
                <w:rFonts w:ascii="Arial Narrow" w:hAnsi="Arial Narrow"/>
                <w:b/>
                <w:sz w:val="20"/>
              </w:rPr>
            </w:pPr>
            <w:proofErr w:type="spellStart"/>
            <w:r w:rsidRPr="00B97CB9">
              <w:rPr>
                <w:rFonts w:ascii="Arial Narrow" w:hAnsi="Arial Narrow"/>
                <w:b/>
                <w:sz w:val="20"/>
              </w:rPr>
              <w:t>Asfotase</w:t>
            </w:r>
            <w:proofErr w:type="spellEnd"/>
            <w:r w:rsidRPr="00B97CB9">
              <w:rPr>
                <w:rFonts w:ascii="Arial Narrow" w:hAnsi="Arial Narrow"/>
                <w:b/>
                <w:sz w:val="20"/>
              </w:rPr>
              <w:t xml:space="preserve"> alfa </w:t>
            </w:r>
            <w:proofErr w:type="spellStart"/>
            <w:r w:rsidR="00465F17" w:rsidRPr="00465F17">
              <w:rPr>
                <w:rFonts w:ascii="Arial Narrow" w:hAnsi="Arial Narrow"/>
                <w:b/>
                <w:i/>
                <w:sz w:val="20"/>
              </w:rPr>
              <w:t>rch</w:t>
            </w:r>
            <w:proofErr w:type="spellEnd"/>
          </w:p>
        </w:tc>
        <w:tc>
          <w:tcPr>
            <w:tcW w:w="1559" w:type="dxa"/>
            <w:tcBorders>
              <w:top w:val="single" w:sz="4" w:space="0" w:color="auto"/>
              <w:left w:val="nil"/>
              <w:bottom w:val="single" w:sz="4" w:space="0" w:color="auto"/>
              <w:right w:val="single" w:sz="4" w:space="0" w:color="auto"/>
            </w:tcBorders>
            <w:shd w:val="clear" w:color="auto" w:fill="auto"/>
            <w:noWrap/>
            <w:hideMark/>
          </w:tcPr>
          <w:p w:rsidR="00B10DD6" w:rsidRPr="00B97CB9" w:rsidRDefault="00B10DD6" w:rsidP="005123EA">
            <w:pPr>
              <w:keepNext/>
              <w:widowControl/>
              <w:contextualSpacing/>
              <w:jc w:val="center"/>
              <w:rPr>
                <w:rFonts w:ascii="Arial Narrow" w:hAnsi="Arial Narrow"/>
                <w:b/>
                <w:sz w:val="20"/>
              </w:rPr>
            </w:pPr>
            <w:r>
              <w:rPr>
                <w:rFonts w:ascii="Arial Narrow" w:hAnsi="Arial Narrow"/>
                <w:b/>
                <w:sz w:val="20"/>
              </w:rPr>
              <w:t>BSC</w:t>
            </w:r>
          </w:p>
        </w:tc>
        <w:tc>
          <w:tcPr>
            <w:tcW w:w="1560" w:type="dxa"/>
            <w:tcBorders>
              <w:top w:val="single" w:sz="4" w:space="0" w:color="auto"/>
              <w:left w:val="nil"/>
              <w:bottom w:val="single" w:sz="4" w:space="0" w:color="auto"/>
              <w:right w:val="single" w:sz="4" w:space="0" w:color="auto"/>
            </w:tcBorders>
            <w:shd w:val="clear" w:color="auto" w:fill="auto"/>
            <w:noWrap/>
            <w:hideMark/>
          </w:tcPr>
          <w:p w:rsidR="00B10DD6" w:rsidRPr="00B97CB9" w:rsidRDefault="00B10DD6" w:rsidP="005123EA">
            <w:pPr>
              <w:keepNext/>
              <w:widowControl/>
              <w:contextualSpacing/>
              <w:jc w:val="center"/>
              <w:rPr>
                <w:rFonts w:ascii="Arial Narrow" w:hAnsi="Arial Narrow"/>
                <w:b/>
                <w:sz w:val="20"/>
              </w:rPr>
            </w:pPr>
            <w:r w:rsidRPr="00B97CB9">
              <w:rPr>
                <w:rFonts w:ascii="Arial Narrow" w:hAnsi="Arial Narrow"/>
                <w:b/>
                <w:sz w:val="20"/>
              </w:rPr>
              <w:t>Incremental</w:t>
            </w:r>
          </w:p>
        </w:tc>
      </w:tr>
      <w:tr w:rsidR="00B10DD6" w:rsidRPr="00B97CB9" w:rsidTr="003B76C9">
        <w:trPr>
          <w:trHeight w:val="20"/>
        </w:trPr>
        <w:tc>
          <w:tcPr>
            <w:tcW w:w="9050" w:type="dxa"/>
            <w:gridSpan w:val="4"/>
            <w:tcBorders>
              <w:top w:val="nil"/>
              <w:left w:val="single" w:sz="4" w:space="0" w:color="auto"/>
              <w:bottom w:val="single" w:sz="4" w:space="0" w:color="auto"/>
              <w:right w:val="single" w:sz="4" w:space="0" w:color="auto"/>
            </w:tcBorders>
            <w:shd w:val="clear" w:color="auto" w:fill="auto"/>
            <w:noWrap/>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Newborns, baseline age = 0 years</w:t>
            </w:r>
          </w:p>
        </w:tc>
      </w:tr>
      <w:tr w:rsidR="00B10DD6" w:rsidRPr="00B97CB9" w:rsidTr="003B76C9">
        <w:trPr>
          <w:trHeight w:val="20"/>
        </w:trPr>
        <w:tc>
          <w:tcPr>
            <w:tcW w:w="4513" w:type="dxa"/>
            <w:tcBorders>
              <w:top w:val="nil"/>
              <w:left w:val="single" w:sz="4" w:space="0" w:color="auto"/>
              <w:bottom w:val="single" w:sz="4" w:space="0" w:color="auto"/>
              <w:right w:val="single" w:sz="4" w:space="0" w:color="auto"/>
            </w:tcBorders>
            <w:shd w:val="clear" w:color="auto" w:fill="auto"/>
            <w:noWrap/>
            <w:hideMark/>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Discounted total cost</w:t>
            </w:r>
          </w:p>
        </w:tc>
        <w:tc>
          <w:tcPr>
            <w:tcW w:w="1418"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c>
          <w:tcPr>
            <w:tcW w:w="1559"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c>
          <w:tcPr>
            <w:tcW w:w="1560"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r>
      <w:tr w:rsidR="00B10DD6" w:rsidRPr="00B97CB9" w:rsidTr="003B76C9">
        <w:trPr>
          <w:trHeight w:val="20"/>
        </w:trPr>
        <w:tc>
          <w:tcPr>
            <w:tcW w:w="4513" w:type="dxa"/>
            <w:tcBorders>
              <w:top w:val="nil"/>
              <w:left w:val="single" w:sz="4" w:space="0" w:color="auto"/>
              <w:bottom w:val="single" w:sz="4" w:space="0" w:color="auto"/>
              <w:right w:val="single" w:sz="4" w:space="0" w:color="auto"/>
            </w:tcBorders>
            <w:shd w:val="clear" w:color="auto" w:fill="auto"/>
            <w:noWrap/>
            <w:hideMark/>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Discounted total QALYs</w:t>
            </w:r>
          </w:p>
        </w:tc>
        <w:tc>
          <w:tcPr>
            <w:tcW w:w="1418"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15.16</w:t>
            </w:r>
          </w:p>
        </w:tc>
        <w:tc>
          <w:tcPr>
            <w:tcW w:w="1559"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1.72</w:t>
            </w:r>
          </w:p>
        </w:tc>
        <w:tc>
          <w:tcPr>
            <w:tcW w:w="1560"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13.44</w:t>
            </w:r>
          </w:p>
        </w:tc>
      </w:tr>
      <w:tr w:rsidR="00B10DD6" w:rsidRPr="00B97CB9" w:rsidTr="003B76C9">
        <w:trPr>
          <w:trHeight w:val="20"/>
        </w:trPr>
        <w:tc>
          <w:tcPr>
            <w:tcW w:w="7490" w:type="dxa"/>
            <w:gridSpan w:val="3"/>
            <w:tcBorders>
              <w:top w:val="nil"/>
              <w:left w:val="single" w:sz="4" w:space="0" w:color="auto"/>
              <w:bottom w:val="single" w:sz="4" w:space="0" w:color="auto"/>
              <w:right w:val="single" w:sz="4" w:space="0" w:color="auto"/>
            </w:tcBorders>
            <w:shd w:val="clear" w:color="auto" w:fill="auto"/>
            <w:noWrap/>
            <w:vAlign w:val="center"/>
            <w:hideMark/>
          </w:tcPr>
          <w:p w:rsidR="00B10DD6" w:rsidRPr="00B97CB9" w:rsidRDefault="00B10DD6" w:rsidP="005123EA">
            <w:pPr>
              <w:keepNext/>
              <w:widowControl/>
              <w:contextualSpacing/>
              <w:jc w:val="right"/>
              <w:rPr>
                <w:rFonts w:ascii="Arial Narrow" w:hAnsi="Arial Narrow"/>
                <w:sz w:val="20"/>
              </w:rPr>
            </w:pPr>
            <w:r w:rsidRPr="00B97CB9">
              <w:rPr>
                <w:rFonts w:ascii="Arial Narrow" w:hAnsi="Arial Narrow"/>
                <w:sz w:val="20"/>
              </w:rPr>
              <w:t>ICER (cost per QALY gained) </w:t>
            </w:r>
          </w:p>
        </w:tc>
        <w:tc>
          <w:tcPr>
            <w:tcW w:w="1560"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r>
      <w:tr w:rsidR="00B10DD6" w:rsidRPr="00B97CB9" w:rsidTr="003B76C9">
        <w:trPr>
          <w:trHeight w:val="20"/>
        </w:trPr>
        <w:tc>
          <w:tcPr>
            <w:tcW w:w="9050" w:type="dxa"/>
            <w:gridSpan w:val="4"/>
            <w:tcBorders>
              <w:top w:val="nil"/>
              <w:left w:val="single" w:sz="4" w:space="0" w:color="auto"/>
              <w:bottom w:val="single" w:sz="4" w:space="0" w:color="auto"/>
              <w:right w:val="single" w:sz="4" w:space="0" w:color="auto"/>
            </w:tcBorders>
            <w:shd w:val="clear" w:color="auto" w:fill="auto"/>
            <w:noWrap/>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0-4 years, baseline age = 1.1 years</w:t>
            </w:r>
          </w:p>
        </w:tc>
      </w:tr>
      <w:tr w:rsidR="00B10DD6" w:rsidRPr="00B97CB9" w:rsidTr="003B76C9">
        <w:trPr>
          <w:trHeight w:val="20"/>
        </w:trPr>
        <w:tc>
          <w:tcPr>
            <w:tcW w:w="4513" w:type="dxa"/>
            <w:tcBorders>
              <w:top w:val="nil"/>
              <w:left w:val="single" w:sz="4" w:space="0" w:color="auto"/>
              <w:bottom w:val="single" w:sz="4" w:space="0" w:color="auto"/>
              <w:right w:val="single" w:sz="4" w:space="0" w:color="auto"/>
            </w:tcBorders>
            <w:shd w:val="clear" w:color="auto" w:fill="auto"/>
            <w:noWrap/>
            <w:hideMark/>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Discounted total cost</w:t>
            </w:r>
          </w:p>
        </w:tc>
        <w:tc>
          <w:tcPr>
            <w:tcW w:w="1418"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c>
          <w:tcPr>
            <w:tcW w:w="1559"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c>
          <w:tcPr>
            <w:tcW w:w="1560"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r>
      <w:tr w:rsidR="00B10DD6" w:rsidRPr="00B97CB9" w:rsidTr="003B76C9">
        <w:trPr>
          <w:trHeight w:val="20"/>
        </w:trPr>
        <w:tc>
          <w:tcPr>
            <w:tcW w:w="4513" w:type="dxa"/>
            <w:tcBorders>
              <w:top w:val="nil"/>
              <w:left w:val="single" w:sz="4" w:space="0" w:color="auto"/>
              <w:bottom w:val="single" w:sz="4" w:space="0" w:color="auto"/>
              <w:right w:val="single" w:sz="4" w:space="0" w:color="auto"/>
            </w:tcBorders>
            <w:shd w:val="clear" w:color="auto" w:fill="auto"/>
            <w:noWrap/>
            <w:hideMark/>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Discounted total QALYs</w:t>
            </w:r>
          </w:p>
        </w:tc>
        <w:tc>
          <w:tcPr>
            <w:tcW w:w="1418"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15.64</w:t>
            </w:r>
          </w:p>
        </w:tc>
        <w:tc>
          <w:tcPr>
            <w:tcW w:w="1559"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3.50</w:t>
            </w:r>
          </w:p>
        </w:tc>
        <w:tc>
          <w:tcPr>
            <w:tcW w:w="1560"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12.14</w:t>
            </w:r>
          </w:p>
        </w:tc>
      </w:tr>
      <w:tr w:rsidR="00B10DD6" w:rsidRPr="00B97CB9" w:rsidTr="003B76C9">
        <w:trPr>
          <w:trHeight w:val="20"/>
        </w:trPr>
        <w:tc>
          <w:tcPr>
            <w:tcW w:w="7490" w:type="dxa"/>
            <w:gridSpan w:val="3"/>
            <w:tcBorders>
              <w:top w:val="nil"/>
              <w:left w:val="single" w:sz="4" w:space="0" w:color="auto"/>
              <w:bottom w:val="single" w:sz="4" w:space="0" w:color="auto"/>
              <w:right w:val="single" w:sz="4" w:space="0" w:color="auto"/>
            </w:tcBorders>
            <w:shd w:val="clear" w:color="auto" w:fill="auto"/>
            <w:noWrap/>
            <w:vAlign w:val="center"/>
            <w:hideMark/>
          </w:tcPr>
          <w:p w:rsidR="00B10DD6" w:rsidRPr="00B97CB9" w:rsidRDefault="00B10DD6" w:rsidP="005123EA">
            <w:pPr>
              <w:keepNext/>
              <w:widowControl/>
              <w:contextualSpacing/>
              <w:jc w:val="right"/>
              <w:rPr>
                <w:rFonts w:ascii="Arial Narrow" w:hAnsi="Arial Narrow"/>
                <w:sz w:val="20"/>
              </w:rPr>
            </w:pPr>
            <w:r w:rsidRPr="00B97CB9">
              <w:rPr>
                <w:rFonts w:ascii="Arial Narrow" w:hAnsi="Arial Narrow"/>
                <w:sz w:val="20"/>
              </w:rPr>
              <w:t>ICER (cost per QALY gained)</w:t>
            </w:r>
          </w:p>
        </w:tc>
        <w:tc>
          <w:tcPr>
            <w:tcW w:w="1560"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r>
      <w:tr w:rsidR="00B10DD6" w:rsidRPr="00B97CB9" w:rsidTr="003B76C9">
        <w:trPr>
          <w:trHeight w:val="20"/>
        </w:trPr>
        <w:tc>
          <w:tcPr>
            <w:tcW w:w="9050" w:type="dxa"/>
            <w:gridSpan w:val="4"/>
            <w:tcBorders>
              <w:top w:val="nil"/>
              <w:left w:val="single" w:sz="4" w:space="0" w:color="auto"/>
              <w:bottom w:val="single" w:sz="4" w:space="0" w:color="auto"/>
              <w:right w:val="single" w:sz="4" w:space="0" w:color="auto"/>
            </w:tcBorders>
            <w:shd w:val="clear" w:color="auto" w:fill="auto"/>
            <w:noWrap/>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5-11 years, baseline age = 6.7 years</w:t>
            </w:r>
          </w:p>
        </w:tc>
      </w:tr>
      <w:tr w:rsidR="00B10DD6" w:rsidRPr="00B97CB9" w:rsidTr="003B76C9">
        <w:trPr>
          <w:trHeight w:val="20"/>
        </w:trPr>
        <w:tc>
          <w:tcPr>
            <w:tcW w:w="4513" w:type="dxa"/>
            <w:tcBorders>
              <w:top w:val="nil"/>
              <w:left w:val="single" w:sz="4" w:space="0" w:color="auto"/>
              <w:bottom w:val="single" w:sz="4" w:space="0" w:color="auto"/>
              <w:right w:val="single" w:sz="4" w:space="0" w:color="auto"/>
            </w:tcBorders>
            <w:shd w:val="clear" w:color="auto" w:fill="auto"/>
            <w:noWrap/>
            <w:hideMark/>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Discounted total cost</w:t>
            </w:r>
          </w:p>
        </w:tc>
        <w:tc>
          <w:tcPr>
            <w:tcW w:w="1418"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c>
          <w:tcPr>
            <w:tcW w:w="1559"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c>
          <w:tcPr>
            <w:tcW w:w="1560"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r>
      <w:tr w:rsidR="00B10DD6" w:rsidRPr="00B97CB9" w:rsidTr="003B76C9">
        <w:trPr>
          <w:trHeight w:val="20"/>
        </w:trPr>
        <w:tc>
          <w:tcPr>
            <w:tcW w:w="4513" w:type="dxa"/>
            <w:tcBorders>
              <w:top w:val="nil"/>
              <w:left w:val="single" w:sz="4" w:space="0" w:color="auto"/>
              <w:bottom w:val="single" w:sz="4" w:space="0" w:color="auto"/>
              <w:right w:val="single" w:sz="4" w:space="0" w:color="auto"/>
            </w:tcBorders>
            <w:shd w:val="clear" w:color="auto" w:fill="auto"/>
            <w:noWrap/>
            <w:hideMark/>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Discounted total QALYs</w:t>
            </w:r>
          </w:p>
        </w:tc>
        <w:tc>
          <w:tcPr>
            <w:tcW w:w="1418"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16.51</w:t>
            </w:r>
          </w:p>
        </w:tc>
        <w:tc>
          <w:tcPr>
            <w:tcW w:w="1559"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6.22</w:t>
            </w:r>
          </w:p>
        </w:tc>
        <w:tc>
          <w:tcPr>
            <w:tcW w:w="1560"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10.30</w:t>
            </w:r>
          </w:p>
        </w:tc>
      </w:tr>
      <w:tr w:rsidR="00B10DD6" w:rsidRPr="00B97CB9" w:rsidTr="003B76C9">
        <w:trPr>
          <w:trHeight w:val="20"/>
        </w:trPr>
        <w:tc>
          <w:tcPr>
            <w:tcW w:w="7490" w:type="dxa"/>
            <w:gridSpan w:val="3"/>
            <w:tcBorders>
              <w:top w:val="nil"/>
              <w:left w:val="single" w:sz="4" w:space="0" w:color="auto"/>
              <w:bottom w:val="single" w:sz="4" w:space="0" w:color="auto"/>
              <w:right w:val="single" w:sz="4" w:space="0" w:color="auto"/>
            </w:tcBorders>
            <w:shd w:val="clear" w:color="auto" w:fill="auto"/>
            <w:noWrap/>
            <w:vAlign w:val="center"/>
            <w:hideMark/>
          </w:tcPr>
          <w:p w:rsidR="00B10DD6" w:rsidRPr="00B97CB9" w:rsidRDefault="00B10DD6" w:rsidP="005123EA">
            <w:pPr>
              <w:keepNext/>
              <w:widowControl/>
              <w:contextualSpacing/>
              <w:jc w:val="right"/>
              <w:rPr>
                <w:rFonts w:ascii="Arial Narrow" w:hAnsi="Arial Narrow"/>
                <w:sz w:val="20"/>
              </w:rPr>
            </w:pPr>
            <w:r w:rsidRPr="00B97CB9">
              <w:rPr>
                <w:rFonts w:ascii="Arial Narrow" w:hAnsi="Arial Narrow"/>
                <w:sz w:val="20"/>
              </w:rPr>
              <w:t>ICER (cost per QALY gained)</w:t>
            </w:r>
          </w:p>
        </w:tc>
        <w:tc>
          <w:tcPr>
            <w:tcW w:w="1560"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r>
      <w:tr w:rsidR="00B10DD6" w:rsidRPr="00B97CB9" w:rsidTr="003B76C9">
        <w:trPr>
          <w:trHeight w:val="20"/>
        </w:trPr>
        <w:tc>
          <w:tcPr>
            <w:tcW w:w="9050" w:type="dxa"/>
            <w:gridSpan w:val="4"/>
            <w:tcBorders>
              <w:top w:val="nil"/>
              <w:left w:val="single" w:sz="4" w:space="0" w:color="auto"/>
              <w:bottom w:val="single" w:sz="4" w:space="0" w:color="auto"/>
              <w:right w:val="single" w:sz="4" w:space="0" w:color="auto"/>
            </w:tcBorders>
            <w:shd w:val="clear" w:color="auto" w:fill="auto"/>
            <w:noWrap/>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12-17 years, baseline age = 13.8 years</w:t>
            </w:r>
          </w:p>
        </w:tc>
      </w:tr>
      <w:tr w:rsidR="00B10DD6" w:rsidRPr="00B97CB9" w:rsidTr="003B76C9">
        <w:trPr>
          <w:trHeight w:val="20"/>
        </w:trPr>
        <w:tc>
          <w:tcPr>
            <w:tcW w:w="4513" w:type="dxa"/>
            <w:tcBorders>
              <w:top w:val="nil"/>
              <w:left w:val="single" w:sz="4" w:space="0" w:color="auto"/>
              <w:bottom w:val="single" w:sz="4" w:space="0" w:color="auto"/>
              <w:right w:val="single" w:sz="4" w:space="0" w:color="auto"/>
            </w:tcBorders>
            <w:shd w:val="clear" w:color="auto" w:fill="auto"/>
            <w:noWrap/>
            <w:hideMark/>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Discounted total cost</w:t>
            </w:r>
          </w:p>
        </w:tc>
        <w:tc>
          <w:tcPr>
            <w:tcW w:w="1418"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c>
          <w:tcPr>
            <w:tcW w:w="1559"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c>
          <w:tcPr>
            <w:tcW w:w="1560"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r>
      <w:tr w:rsidR="00B10DD6" w:rsidRPr="00B97CB9" w:rsidTr="003B76C9">
        <w:trPr>
          <w:trHeight w:val="20"/>
        </w:trPr>
        <w:tc>
          <w:tcPr>
            <w:tcW w:w="4513" w:type="dxa"/>
            <w:tcBorders>
              <w:top w:val="nil"/>
              <w:left w:val="single" w:sz="4" w:space="0" w:color="auto"/>
              <w:bottom w:val="single" w:sz="4" w:space="0" w:color="auto"/>
              <w:right w:val="single" w:sz="4" w:space="0" w:color="auto"/>
            </w:tcBorders>
            <w:shd w:val="clear" w:color="auto" w:fill="auto"/>
            <w:noWrap/>
            <w:hideMark/>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Discounted total QALYs</w:t>
            </w:r>
          </w:p>
        </w:tc>
        <w:tc>
          <w:tcPr>
            <w:tcW w:w="1418"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16.26</w:t>
            </w:r>
          </w:p>
        </w:tc>
        <w:tc>
          <w:tcPr>
            <w:tcW w:w="1559"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6.69</w:t>
            </w:r>
          </w:p>
        </w:tc>
        <w:tc>
          <w:tcPr>
            <w:tcW w:w="1560"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9.57</w:t>
            </w:r>
          </w:p>
        </w:tc>
      </w:tr>
      <w:tr w:rsidR="00B10DD6" w:rsidRPr="00B97CB9" w:rsidTr="003B76C9">
        <w:trPr>
          <w:trHeight w:val="20"/>
        </w:trPr>
        <w:tc>
          <w:tcPr>
            <w:tcW w:w="7490" w:type="dxa"/>
            <w:gridSpan w:val="3"/>
            <w:tcBorders>
              <w:top w:val="nil"/>
              <w:left w:val="single" w:sz="4" w:space="0" w:color="auto"/>
              <w:bottom w:val="single" w:sz="4" w:space="0" w:color="auto"/>
              <w:right w:val="single" w:sz="4" w:space="0" w:color="auto"/>
            </w:tcBorders>
            <w:shd w:val="clear" w:color="auto" w:fill="auto"/>
            <w:noWrap/>
            <w:vAlign w:val="center"/>
            <w:hideMark/>
          </w:tcPr>
          <w:p w:rsidR="00B10DD6" w:rsidRPr="00B97CB9" w:rsidRDefault="00B10DD6" w:rsidP="005123EA">
            <w:pPr>
              <w:keepNext/>
              <w:widowControl/>
              <w:contextualSpacing/>
              <w:jc w:val="right"/>
              <w:rPr>
                <w:rFonts w:ascii="Arial Narrow" w:hAnsi="Arial Narrow"/>
                <w:sz w:val="20"/>
              </w:rPr>
            </w:pPr>
            <w:r w:rsidRPr="00B97CB9">
              <w:rPr>
                <w:rFonts w:ascii="Arial Narrow" w:hAnsi="Arial Narrow"/>
                <w:sz w:val="20"/>
              </w:rPr>
              <w:t>ICER (cost per QALY gained)</w:t>
            </w:r>
          </w:p>
        </w:tc>
        <w:tc>
          <w:tcPr>
            <w:tcW w:w="1560"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r>
      <w:tr w:rsidR="00B10DD6" w:rsidRPr="00B97CB9" w:rsidTr="003B76C9">
        <w:trPr>
          <w:trHeight w:val="20"/>
        </w:trPr>
        <w:tc>
          <w:tcPr>
            <w:tcW w:w="9050" w:type="dxa"/>
            <w:gridSpan w:val="4"/>
            <w:tcBorders>
              <w:top w:val="nil"/>
              <w:left w:val="single" w:sz="4" w:space="0" w:color="auto"/>
              <w:bottom w:val="single" w:sz="4" w:space="0" w:color="auto"/>
              <w:right w:val="single" w:sz="4" w:space="0" w:color="auto"/>
            </w:tcBorders>
            <w:shd w:val="clear" w:color="auto" w:fill="auto"/>
            <w:noWrap/>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18+ years, baseline age = 51.6 years</w:t>
            </w:r>
          </w:p>
        </w:tc>
      </w:tr>
      <w:tr w:rsidR="00B10DD6" w:rsidRPr="00B97CB9" w:rsidTr="003B76C9">
        <w:trPr>
          <w:trHeight w:val="20"/>
        </w:trPr>
        <w:tc>
          <w:tcPr>
            <w:tcW w:w="4513" w:type="dxa"/>
            <w:tcBorders>
              <w:top w:val="nil"/>
              <w:left w:val="single" w:sz="4" w:space="0" w:color="auto"/>
              <w:bottom w:val="single" w:sz="4" w:space="0" w:color="auto"/>
              <w:right w:val="single" w:sz="4" w:space="0" w:color="auto"/>
            </w:tcBorders>
            <w:shd w:val="clear" w:color="auto" w:fill="auto"/>
            <w:noWrap/>
            <w:hideMark/>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Discounted total cost</w:t>
            </w:r>
          </w:p>
        </w:tc>
        <w:tc>
          <w:tcPr>
            <w:tcW w:w="1418"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c>
          <w:tcPr>
            <w:tcW w:w="1559"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c>
          <w:tcPr>
            <w:tcW w:w="1560"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r>
      <w:tr w:rsidR="00B10DD6" w:rsidRPr="00B97CB9" w:rsidTr="003B76C9">
        <w:trPr>
          <w:trHeight w:val="20"/>
        </w:trPr>
        <w:tc>
          <w:tcPr>
            <w:tcW w:w="4513" w:type="dxa"/>
            <w:tcBorders>
              <w:top w:val="nil"/>
              <w:left w:val="single" w:sz="4" w:space="0" w:color="auto"/>
              <w:bottom w:val="single" w:sz="4" w:space="0" w:color="auto"/>
              <w:right w:val="single" w:sz="4" w:space="0" w:color="auto"/>
            </w:tcBorders>
            <w:shd w:val="clear" w:color="auto" w:fill="auto"/>
            <w:noWrap/>
            <w:hideMark/>
          </w:tcPr>
          <w:p w:rsidR="00B10DD6" w:rsidRPr="00B97CB9" w:rsidRDefault="00B10DD6" w:rsidP="005123EA">
            <w:pPr>
              <w:keepNext/>
              <w:widowControl/>
              <w:contextualSpacing/>
              <w:rPr>
                <w:rFonts w:ascii="Arial Narrow" w:hAnsi="Arial Narrow"/>
                <w:sz w:val="20"/>
              </w:rPr>
            </w:pPr>
            <w:r w:rsidRPr="00B97CB9">
              <w:rPr>
                <w:rFonts w:ascii="Arial Narrow" w:hAnsi="Arial Narrow"/>
                <w:sz w:val="20"/>
              </w:rPr>
              <w:t>Discounted total QALYs</w:t>
            </w:r>
          </w:p>
        </w:tc>
        <w:tc>
          <w:tcPr>
            <w:tcW w:w="1418"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12.97</w:t>
            </w:r>
          </w:p>
        </w:tc>
        <w:tc>
          <w:tcPr>
            <w:tcW w:w="1559"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9.86</w:t>
            </w:r>
          </w:p>
        </w:tc>
        <w:tc>
          <w:tcPr>
            <w:tcW w:w="1560" w:type="dxa"/>
            <w:tcBorders>
              <w:top w:val="nil"/>
              <w:left w:val="nil"/>
              <w:bottom w:val="single" w:sz="4" w:space="0" w:color="auto"/>
              <w:right w:val="single" w:sz="4" w:space="0" w:color="auto"/>
            </w:tcBorders>
            <w:shd w:val="clear" w:color="auto" w:fill="auto"/>
            <w:noWrap/>
            <w:vAlign w:val="bottom"/>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3.11</w:t>
            </w:r>
          </w:p>
        </w:tc>
      </w:tr>
      <w:tr w:rsidR="00B10DD6" w:rsidRPr="00B97CB9" w:rsidTr="003B76C9">
        <w:trPr>
          <w:trHeight w:val="20"/>
        </w:trPr>
        <w:tc>
          <w:tcPr>
            <w:tcW w:w="7490" w:type="dxa"/>
            <w:gridSpan w:val="3"/>
            <w:tcBorders>
              <w:top w:val="nil"/>
              <w:left w:val="single" w:sz="4" w:space="0" w:color="auto"/>
              <w:bottom w:val="single" w:sz="4" w:space="0" w:color="auto"/>
              <w:right w:val="single" w:sz="4" w:space="0" w:color="auto"/>
            </w:tcBorders>
            <w:shd w:val="clear" w:color="auto" w:fill="auto"/>
            <w:noWrap/>
            <w:vAlign w:val="center"/>
            <w:hideMark/>
          </w:tcPr>
          <w:p w:rsidR="00B10DD6" w:rsidRPr="00B97CB9" w:rsidRDefault="00B10DD6" w:rsidP="005123EA">
            <w:pPr>
              <w:keepNext/>
              <w:widowControl/>
              <w:contextualSpacing/>
              <w:jc w:val="right"/>
              <w:rPr>
                <w:rFonts w:ascii="Arial Narrow" w:hAnsi="Arial Narrow"/>
                <w:sz w:val="20"/>
              </w:rPr>
            </w:pPr>
            <w:r w:rsidRPr="00B97CB9">
              <w:rPr>
                <w:rFonts w:ascii="Arial Narrow" w:hAnsi="Arial Narrow"/>
                <w:sz w:val="20"/>
              </w:rPr>
              <w:t>ICER (cost per QALY gained)</w:t>
            </w:r>
          </w:p>
        </w:tc>
        <w:tc>
          <w:tcPr>
            <w:tcW w:w="1560" w:type="dxa"/>
            <w:tcBorders>
              <w:top w:val="nil"/>
              <w:left w:val="nil"/>
              <w:bottom w:val="single" w:sz="4" w:space="0" w:color="auto"/>
              <w:right w:val="single" w:sz="4" w:space="0" w:color="auto"/>
            </w:tcBorders>
            <w:shd w:val="clear" w:color="auto" w:fill="auto"/>
            <w:noWrap/>
            <w:vAlign w:val="center"/>
          </w:tcPr>
          <w:p w:rsidR="00B10DD6" w:rsidRPr="00B97CB9" w:rsidRDefault="00B10DD6" w:rsidP="005123EA">
            <w:pPr>
              <w:keepNext/>
              <w:widowControl/>
              <w:contextualSpacing/>
              <w:jc w:val="center"/>
              <w:rPr>
                <w:rFonts w:ascii="Arial Narrow" w:hAnsi="Arial Narrow"/>
                <w:sz w:val="20"/>
              </w:rPr>
            </w:pPr>
            <w:r w:rsidRPr="00B97CB9">
              <w:rPr>
                <w:rFonts w:ascii="Arial Narrow" w:hAnsi="Arial Narrow"/>
                <w:sz w:val="20"/>
              </w:rPr>
              <w:t>$</w:t>
            </w:r>
            <w:r w:rsidR="00551B2E">
              <w:rPr>
                <w:rFonts w:ascii="Arial Narrow" w:hAnsi="Arial Narrow"/>
                <w:noProof/>
                <w:color w:val="000000"/>
                <w:sz w:val="20"/>
                <w:highlight w:val="black"/>
              </w:rPr>
              <w:t>'''''''''''''''''''''''''</w:t>
            </w:r>
          </w:p>
        </w:tc>
      </w:tr>
    </w:tbl>
    <w:p w:rsidR="00B10DD6" w:rsidRPr="006D217A" w:rsidRDefault="00B10DD6" w:rsidP="005123EA">
      <w:pPr>
        <w:widowControl/>
        <w:rPr>
          <w:rFonts w:ascii="Arial Narrow" w:hAnsi="Arial Narrow"/>
          <w:sz w:val="18"/>
          <w:szCs w:val="18"/>
        </w:rPr>
      </w:pPr>
      <w:r w:rsidRPr="00EE2CE4">
        <w:rPr>
          <w:rFonts w:ascii="Arial Narrow" w:hAnsi="Arial Narrow"/>
          <w:sz w:val="18"/>
          <w:szCs w:val="18"/>
        </w:rPr>
        <w:t>Source: Table D.5.9, pp68-69 of Section C to F of the submission</w:t>
      </w:r>
    </w:p>
    <w:p w:rsidR="00775E9E" w:rsidRPr="000E7B17" w:rsidRDefault="00D34A17" w:rsidP="005123EA">
      <w:pPr>
        <w:pStyle w:val="ListParagraph"/>
        <w:widowControl/>
        <w:numPr>
          <w:ilvl w:val="1"/>
          <w:numId w:val="2"/>
        </w:numPr>
        <w:spacing w:before="120" w:after="160"/>
        <w:rPr>
          <w:rFonts w:asciiTheme="minorHAnsi" w:hAnsiTheme="minorHAnsi"/>
        </w:rPr>
      </w:pPr>
      <w:r w:rsidRPr="00F471D7">
        <w:rPr>
          <w:rFonts w:asciiTheme="minorHAnsi" w:hAnsiTheme="minorHAnsi"/>
        </w:rPr>
        <w:t xml:space="preserve">The modelled economic evaluation was highly dependent on the age that patients started treatment, with an ICER of </w:t>
      </w:r>
      <w:r w:rsidR="00FD296E">
        <w:rPr>
          <w:rFonts w:asciiTheme="minorHAnsi" w:hAnsiTheme="minorHAnsi"/>
        </w:rPr>
        <w:t>more than $200,000</w:t>
      </w:r>
      <w:r w:rsidRPr="00F471D7">
        <w:rPr>
          <w:rFonts w:asciiTheme="minorHAnsi" w:hAnsiTheme="minorHAnsi"/>
        </w:rPr>
        <w:t xml:space="preserve"> per QALY </w:t>
      </w:r>
      <w:r w:rsidR="00D47377" w:rsidRPr="00F471D7">
        <w:rPr>
          <w:rFonts w:asciiTheme="minorHAnsi" w:hAnsiTheme="minorHAnsi"/>
        </w:rPr>
        <w:t xml:space="preserve">gained </w:t>
      </w:r>
      <w:r w:rsidRPr="00F471D7">
        <w:rPr>
          <w:rFonts w:asciiTheme="minorHAnsi" w:hAnsiTheme="minorHAnsi"/>
        </w:rPr>
        <w:t xml:space="preserve">in patients commencing treatment as newborns, increasing to </w:t>
      </w:r>
      <w:r w:rsidR="00264776">
        <w:rPr>
          <w:rFonts w:asciiTheme="minorHAnsi" w:hAnsiTheme="minorHAnsi"/>
        </w:rPr>
        <w:t>more than $3 million</w:t>
      </w:r>
      <w:r w:rsidR="00D47377" w:rsidRPr="00F471D7">
        <w:rPr>
          <w:rFonts w:asciiTheme="minorHAnsi" w:hAnsiTheme="minorHAnsi"/>
        </w:rPr>
        <w:t xml:space="preserve"> per QALY gained</w:t>
      </w:r>
      <w:r w:rsidRPr="00F471D7">
        <w:rPr>
          <w:rFonts w:asciiTheme="minorHAnsi" w:hAnsiTheme="minorHAnsi"/>
        </w:rPr>
        <w:t xml:space="preserve"> in patients with paediatric-onset HPP who don’t commence treatment with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775E9E">
        <w:rPr>
          <w:rFonts w:asciiTheme="minorHAnsi" w:hAnsiTheme="minorHAnsi"/>
          <w:i/>
        </w:rPr>
        <w:t>rch</w:t>
      </w:r>
      <w:proofErr w:type="spellEnd"/>
      <w:r w:rsidRPr="00F471D7">
        <w:rPr>
          <w:rFonts w:asciiTheme="minorHAnsi" w:hAnsiTheme="minorHAnsi"/>
        </w:rPr>
        <w:t xml:space="preserve"> until they are over 18 years of age.</w:t>
      </w:r>
      <w:r w:rsidR="00540116" w:rsidRPr="00F471D7">
        <w:rPr>
          <w:rFonts w:asciiTheme="minorHAnsi" w:hAnsiTheme="minorHAnsi"/>
        </w:rPr>
        <w:t xml:space="preserve"> </w:t>
      </w:r>
      <w:r w:rsidR="00F85725" w:rsidRPr="00775E9E">
        <w:rPr>
          <w:rFonts w:asciiTheme="minorHAnsi" w:hAnsiTheme="minorHAnsi"/>
        </w:rPr>
        <w:t xml:space="preserve">The ICERs </w:t>
      </w:r>
      <w:r w:rsidR="00320180">
        <w:rPr>
          <w:rFonts w:asciiTheme="minorHAnsi" w:hAnsiTheme="minorHAnsi"/>
        </w:rPr>
        <w:t>could</w:t>
      </w:r>
      <w:r w:rsidR="00320180" w:rsidRPr="00775E9E">
        <w:rPr>
          <w:rFonts w:asciiTheme="minorHAnsi" w:hAnsiTheme="minorHAnsi"/>
        </w:rPr>
        <w:t xml:space="preserve"> </w:t>
      </w:r>
      <w:r w:rsidR="00077D7C">
        <w:rPr>
          <w:rFonts w:asciiTheme="minorHAnsi" w:hAnsiTheme="minorHAnsi"/>
        </w:rPr>
        <w:t xml:space="preserve">not </w:t>
      </w:r>
      <w:r w:rsidR="00F85725" w:rsidRPr="00775E9E">
        <w:rPr>
          <w:rFonts w:asciiTheme="minorHAnsi" w:hAnsiTheme="minorHAnsi"/>
        </w:rPr>
        <w:t xml:space="preserve">be interpreted as </w:t>
      </w:r>
      <w:r w:rsidR="00320180">
        <w:rPr>
          <w:rFonts w:asciiTheme="minorHAnsi" w:hAnsiTheme="minorHAnsi"/>
        </w:rPr>
        <w:t xml:space="preserve">representing </w:t>
      </w:r>
      <w:r w:rsidR="00F85725" w:rsidRPr="00775E9E">
        <w:rPr>
          <w:rFonts w:asciiTheme="minorHAnsi" w:hAnsiTheme="minorHAnsi"/>
        </w:rPr>
        <w:t>a single cohort of patients where only the age of commencing treatment differs.</w:t>
      </w:r>
      <w:r w:rsidR="00540116" w:rsidRPr="00775E9E">
        <w:rPr>
          <w:rFonts w:asciiTheme="minorHAnsi" w:hAnsiTheme="minorHAnsi"/>
        </w:rPr>
        <w:t xml:space="preserve"> </w:t>
      </w:r>
      <w:r w:rsidR="00F85725" w:rsidRPr="00F471D7">
        <w:rPr>
          <w:rFonts w:asciiTheme="minorHAnsi" w:hAnsiTheme="minorHAnsi"/>
        </w:rPr>
        <w:t xml:space="preserve">The groups being modelled in each </w:t>
      </w:r>
      <w:r w:rsidR="00320180">
        <w:rPr>
          <w:rFonts w:asciiTheme="minorHAnsi" w:hAnsiTheme="minorHAnsi"/>
        </w:rPr>
        <w:t xml:space="preserve">analysis </w:t>
      </w:r>
      <w:r w:rsidR="00F85725" w:rsidRPr="00F471D7">
        <w:rPr>
          <w:rFonts w:asciiTheme="minorHAnsi" w:hAnsiTheme="minorHAnsi"/>
        </w:rPr>
        <w:t>are distinct</w:t>
      </w:r>
      <w:r w:rsidR="00320180">
        <w:rPr>
          <w:rFonts w:asciiTheme="minorHAnsi" w:hAnsiTheme="minorHAnsi"/>
        </w:rPr>
        <w:t>,</w:t>
      </w:r>
      <w:r w:rsidR="00F85725" w:rsidRPr="00F471D7">
        <w:rPr>
          <w:rFonts w:asciiTheme="minorHAnsi" w:hAnsiTheme="minorHAnsi"/>
        </w:rPr>
        <w:t xml:space="preserve"> as the distribution of patients in each health state differs at "equivalent" ages across the analyses.</w:t>
      </w:r>
      <w:r w:rsidR="00540116" w:rsidRPr="00F471D7">
        <w:rPr>
          <w:rFonts w:asciiTheme="minorHAnsi" w:hAnsiTheme="minorHAnsi"/>
        </w:rPr>
        <w:t xml:space="preserve"> </w:t>
      </w:r>
      <w:r w:rsidR="00F85725" w:rsidRPr="00F471D7">
        <w:rPr>
          <w:rFonts w:asciiTheme="minorHAnsi" w:hAnsiTheme="minorHAnsi"/>
        </w:rPr>
        <w:t xml:space="preserve">The distinct groups may be partly justified in that perhaps only very severely affected patients are diagnosed as infants and </w:t>
      </w:r>
      <w:r w:rsidR="00775E9E">
        <w:rPr>
          <w:rFonts w:asciiTheme="minorHAnsi" w:hAnsiTheme="minorHAnsi"/>
        </w:rPr>
        <w:t>only the</w:t>
      </w:r>
      <w:r w:rsidR="00F85725" w:rsidRPr="00F471D7">
        <w:rPr>
          <w:rFonts w:asciiTheme="minorHAnsi" w:hAnsiTheme="minorHAnsi"/>
        </w:rPr>
        <w:t xml:space="preserve"> "healthy" patients surviv</w:t>
      </w:r>
      <w:r w:rsidR="00775E9E">
        <w:rPr>
          <w:rFonts w:asciiTheme="minorHAnsi" w:hAnsiTheme="minorHAnsi"/>
        </w:rPr>
        <w:t>ed</w:t>
      </w:r>
      <w:r w:rsidR="00F85725" w:rsidRPr="00F471D7">
        <w:rPr>
          <w:rFonts w:asciiTheme="minorHAnsi" w:hAnsiTheme="minorHAnsi"/>
        </w:rPr>
        <w:t xml:space="preserve"> to be included in clinical studies.</w:t>
      </w:r>
      <w:r w:rsidR="00540116" w:rsidRPr="00F471D7">
        <w:rPr>
          <w:rFonts w:asciiTheme="minorHAnsi" w:hAnsiTheme="minorHAnsi"/>
        </w:rPr>
        <w:t xml:space="preserve"> </w:t>
      </w:r>
      <w:r w:rsidR="00775E9E" w:rsidRPr="000E7B17">
        <w:rPr>
          <w:rFonts w:asciiTheme="minorHAnsi" w:hAnsiTheme="minorHAnsi"/>
        </w:rPr>
        <w:t>Nevertheless</w:t>
      </w:r>
      <w:r w:rsidR="00F85725" w:rsidRPr="000E7B17">
        <w:rPr>
          <w:rFonts w:asciiTheme="minorHAnsi" w:hAnsiTheme="minorHAnsi"/>
        </w:rPr>
        <w:t xml:space="preserve">, </w:t>
      </w:r>
      <w:r w:rsidR="00775E9E" w:rsidRPr="000E7B17">
        <w:rPr>
          <w:rFonts w:asciiTheme="minorHAnsi" w:hAnsiTheme="minorHAnsi"/>
        </w:rPr>
        <w:t xml:space="preserve">the ESC considered that there was a </w:t>
      </w:r>
      <w:r w:rsidR="00F85725" w:rsidRPr="000E7B17">
        <w:rPr>
          <w:rFonts w:asciiTheme="minorHAnsi" w:hAnsiTheme="minorHAnsi"/>
        </w:rPr>
        <w:t xml:space="preserve">lack of clinical validity in the </w:t>
      </w:r>
      <w:r w:rsidR="00775E9E" w:rsidRPr="000E7B17">
        <w:rPr>
          <w:rFonts w:asciiTheme="minorHAnsi" w:hAnsiTheme="minorHAnsi"/>
        </w:rPr>
        <w:t>distributions of patients by age and sever</w:t>
      </w:r>
      <w:r w:rsidR="00077D7C" w:rsidRPr="000E7B17">
        <w:rPr>
          <w:rFonts w:asciiTheme="minorHAnsi" w:hAnsiTheme="minorHAnsi"/>
        </w:rPr>
        <w:t>ity level between the different</w:t>
      </w:r>
      <w:r w:rsidR="00775E9E" w:rsidRPr="000E7B17">
        <w:rPr>
          <w:rFonts w:asciiTheme="minorHAnsi" w:hAnsiTheme="minorHAnsi"/>
        </w:rPr>
        <w:t xml:space="preserve"> analyses in Table 11 that may have resulted in an overestimation of the deterioration of patients in the BSC arm. For example:</w:t>
      </w:r>
    </w:p>
    <w:p w:rsidR="00F85725" w:rsidRPr="00775E9E" w:rsidRDefault="00775E9E" w:rsidP="001B444F">
      <w:pPr>
        <w:pStyle w:val="ListParagraph"/>
        <w:widowControl/>
        <w:numPr>
          <w:ilvl w:val="1"/>
          <w:numId w:val="14"/>
        </w:numPr>
        <w:spacing w:before="120" w:after="160"/>
        <w:ind w:left="851" w:hanging="284"/>
        <w:rPr>
          <w:rFonts w:asciiTheme="minorHAnsi" w:hAnsiTheme="minorHAnsi"/>
        </w:rPr>
      </w:pPr>
      <w:r>
        <w:rPr>
          <w:rFonts w:asciiTheme="minorHAnsi" w:hAnsiTheme="minorHAnsi"/>
        </w:rPr>
        <w:t>f</w:t>
      </w:r>
      <w:r w:rsidRPr="00775E9E">
        <w:rPr>
          <w:rFonts w:asciiTheme="minorHAnsi" w:hAnsiTheme="minorHAnsi"/>
        </w:rPr>
        <w:t xml:space="preserve">or the analysis of </w:t>
      </w:r>
      <w:r w:rsidR="00F91829" w:rsidRPr="00775E9E">
        <w:rPr>
          <w:rFonts w:asciiTheme="minorHAnsi" w:hAnsiTheme="minorHAnsi"/>
        </w:rPr>
        <w:t xml:space="preserve">patients </w:t>
      </w:r>
      <w:r w:rsidRPr="00775E9E">
        <w:rPr>
          <w:rFonts w:asciiTheme="minorHAnsi" w:hAnsiTheme="minorHAnsi"/>
        </w:rPr>
        <w:t xml:space="preserve">initiating </w:t>
      </w:r>
      <w:r w:rsidR="00F91829" w:rsidRPr="00775E9E">
        <w:rPr>
          <w:rFonts w:asciiTheme="minorHAnsi" w:hAnsiTheme="minorHAnsi"/>
        </w:rPr>
        <w:t xml:space="preserve">treatment as newborns (aged 0) or when aged 0-4 years, almost 100% of patients are assumed to be in Severity level IV when aged 6 years; however, </w:t>
      </w:r>
      <w:r w:rsidRPr="00775E9E">
        <w:rPr>
          <w:rFonts w:asciiTheme="minorHAnsi" w:hAnsiTheme="minorHAnsi"/>
        </w:rPr>
        <w:t xml:space="preserve">for the analysis of patients </w:t>
      </w:r>
      <w:r w:rsidR="00F91829" w:rsidRPr="00775E9E">
        <w:rPr>
          <w:rFonts w:asciiTheme="minorHAnsi" w:hAnsiTheme="minorHAnsi"/>
        </w:rPr>
        <w:t>initiating treatment at 5.8 years</w:t>
      </w:r>
      <w:r w:rsidRPr="00775E9E">
        <w:rPr>
          <w:rFonts w:asciiTheme="minorHAnsi" w:hAnsiTheme="minorHAnsi"/>
        </w:rPr>
        <w:t xml:space="preserve"> (the base case)</w:t>
      </w:r>
      <w:r w:rsidR="00F91829" w:rsidRPr="00775E9E">
        <w:rPr>
          <w:rFonts w:asciiTheme="minorHAnsi" w:hAnsiTheme="minorHAnsi"/>
        </w:rPr>
        <w:t>, the distribution of patients is assumed to be 22%, 33%, 30% and 15% in Severity levels I-IV, respectively</w:t>
      </w:r>
      <w:r>
        <w:rPr>
          <w:rFonts w:asciiTheme="minorHAnsi" w:hAnsiTheme="minorHAnsi"/>
        </w:rPr>
        <w:t>; and</w:t>
      </w:r>
    </w:p>
    <w:p w:rsidR="00F85725" w:rsidRPr="00F471D7" w:rsidRDefault="00F91829" w:rsidP="001B444F">
      <w:pPr>
        <w:pStyle w:val="ListParagraph"/>
        <w:widowControl/>
        <w:numPr>
          <w:ilvl w:val="1"/>
          <w:numId w:val="14"/>
        </w:numPr>
        <w:ind w:left="851" w:hanging="284"/>
        <w:contextualSpacing w:val="0"/>
        <w:rPr>
          <w:rFonts w:asciiTheme="minorHAnsi" w:hAnsiTheme="minorHAnsi"/>
        </w:rPr>
      </w:pPr>
      <w:r w:rsidRPr="00F471D7">
        <w:t>when patients initiated treatment at 5.8 years (the base case), as newborns (aged 0), or when aged 0-4, 5-11, 12-17 years, almost 100% of patients are assumed to be in Severity level IV when aged 52 years, however when initiating treatment at 51.6 years, the distribution of patients is assumed to be 30%, 35%, 25% and 10% in Severity levels I-IV, respectively.</w:t>
      </w:r>
    </w:p>
    <w:p w:rsidR="00B10DD6" w:rsidRPr="00F471D7" w:rsidRDefault="00B10DD6" w:rsidP="005123EA">
      <w:pPr>
        <w:pStyle w:val="ListParagraph"/>
        <w:widowControl/>
        <w:numPr>
          <w:ilvl w:val="1"/>
          <w:numId w:val="2"/>
        </w:numPr>
        <w:spacing w:before="120" w:after="160"/>
        <w:rPr>
          <w:rFonts w:asciiTheme="minorHAnsi" w:hAnsiTheme="minorHAnsi"/>
        </w:rPr>
      </w:pPr>
      <w:r w:rsidRPr="00F471D7">
        <w:rPr>
          <w:rFonts w:asciiTheme="minorHAnsi" w:hAnsiTheme="minorHAnsi"/>
        </w:rPr>
        <w:t>The ICERs calculated by the submission were also considered to be highly uncertain for the following reasons:</w:t>
      </w:r>
    </w:p>
    <w:p w:rsidR="00B10DD6" w:rsidRPr="00F471D7" w:rsidRDefault="00B10DD6" w:rsidP="005123EA">
      <w:pPr>
        <w:pStyle w:val="ListParagraph"/>
        <w:widowControl/>
        <w:numPr>
          <w:ilvl w:val="1"/>
          <w:numId w:val="12"/>
        </w:numPr>
        <w:spacing w:before="120" w:after="160"/>
        <w:ind w:left="851" w:hanging="284"/>
        <w:rPr>
          <w:rFonts w:asciiTheme="minorHAnsi" w:hAnsiTheme="minorHAnsi"/>
        </w:rPr>
      </w:pPr>
      <w:r w:rsidRPr="00F471D7">
        <w:rPr>
          <w:rFonts w:asciiTheme="minorHAnsi" w:hAnsiTheme="minorHAnsi"/>
        </w:rPr>
        <w:t xml:space="preserve">Movement between the </w:t>
      </w:r>
      <w:proofErr w:type="gramStart"/>
      <w:r w:rsidRPr="00F471D7">
        <w:rPr>
          <w:rFonts w:asciiTheme="minorHAnsi" w:hAnsiTheme="minorHAnsi"/>
        </w:rPr>
        <w:t>alive</w:t>
      </w:r>
      <w:proofErr w:type="gramEnd"/>
      <w:r w:rsidRPr="00F471D7">
        <w:rPr>
          <w:rFonts w:asciiTheme="minorHAnsi" w:hAnsiTheme="minorHAnsi"/>
        </w:rPr>
        <w:t xml:space="preserve"> health states in the model was based on comparisons of changes in observed/predicted 6MWT distance in patients treated with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Pr="00F471D7">
        <w:rPr>
          <w:rFonts w:asciiTheme="minorHAnsi" w:hAnsiTheme="minorHAnsi"/>
        </w:rPr>
        <w:t xml:space="preserve"> from </w:t>
      </w:r>
      <w:r w:rsidR="00D30BB4" w:rsidRPr="00F471D7">
        <w:rPr>
          <w:rFonts w:asciiTheme="minorHAnsi" w:hAnsiTheme="minorHAnsi"/>
        </w:rPr>
        <w:t>b</w:t>
      </w:r>
      <w:r w:rsidRPr="00F471D7">
        <w:rPr>
          <w:rFonts w:asciiTheme="minorHAnsi" w:hAnsiTheme="minorHAnsi"/>
        </w:rPr>
        <w:t xml:space="preserve">aseline rather than changes for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Pr="00F471D7">
        <w:rPr>
          <w:rFonts w:asciiTheme="minorHAnsi" w:hAnsiTheme="minorHAnsi"/>
        </w:rPr>
        <w:t xml:space="preserve"> patients compared </w:t>
      </w:r>
      <w:r w:rsidR="004079AD" w:rsidRPr="00F471D7">
        <w:rPr>
          <w:rFonts w:asciiTheme="minorHAnsi" w:hAnsiTheme="minorHAnsi"/>
        </w:rPr>
        <w:t xml:space="preserve">with </w:t>
      </w:r>
      <w:r w:rsidRPr="00F471D7">
        <w:rPr>
          <w:rFonts w:asciiTheme="minorHAnsi" w:hAnsiTheme="minorHAnsi"/>
        </w:rPr>
        <w:t>a control group.</w:t>
      </w:r>
      <w:r w:rsidR="00540116" w:rsidRPr="00F471D7">
        <w:rPr>
          <w:rFonts w:asciiTheme="minorHAnsi" w:hAnsiTheme="minorHAnsi"/>
        </w:rPr>
        <w:t xml:space="preserve"> </w:t>
      </w:r>
      <w:r w:rsidRPr="00F471D7">
        <w:rPr>
          <w:rFonts w:asciiTheme="minorHAnsi" w:hAnsiTheme="minorHAnsi"/>
        </w:rPr>
        <w:t>Without a control group, the robustness of the efficacy data was limited.</w:t>
      </w:r>
      <w:r w:rsidR="00540116" w:rsidRPr="00F471D7">
        <w:rPr>
          <w:rFonts w:asciiTheme="minorHAnsi" w:hAnsiTheme="minorHAnsi"/>
        </w:rPr>
        <w:t xml:space="preserve"> </w:t>
      </w:r>
      <w:r w:rsidRPr="00F471D7">
        <w:rPr>
          <w:rFonts w:asciiTheme="minorHAnsi" w:hAnsiTheme="minorHAnsi"/>
        </w:rPr>
        <w:t xml:space="preserve">While the submission compared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Pr="00F471D7">
        <w:rPr>
          <w:rFonts w:asciiTheme="minorHAnsi" w:hAnsiTheme="minorHAnsi"/>
        </w:rPr>
        <w:t xml:space="preserve"> to a historical control group</w:t>
      </w:r>
      <w:r w:rsidR="005F17A7" w:rsidRPr="00F471D7">
        <w:rPr>
          <w:rFonts w:asciiTheme="minorHAnsi" w:hAnsiTheme="minorHAnsi"/>
        </w:rPr>
        <w:t>,</w:t>
      </w:r>
      <w:r w:rsidRPr="00F471D7">
        <w:rPr>
          <w:rFonts w:asciiTheme="minorHAnsi" w:hAnsiTheme="minorHAnsi"/>
        </w:rPr>
        <w:t xml:space="preserve"> the comparative analyses were considered to be biased in favour of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00E462F0" w:rsidRPr="00F471D7">
        <w:rPr>
          <w:rFonts w:asciiTheme="minorHAnsi" w:hAnsiTheme="minorHAnsi"/>
        </w:rPr>
        <w:t xml:space="preserve">. </w:t>
      </w:r>
      <w:r w:rsidR="0069118E" w:rsidRPr="000E7B17">
        <w:rPr>
          <w:rFonts w:asciiTheme="minorHAnsi" w:hAnsiTheme="minorHAnsi"/>
        </w:rPr>
        <w:t>Movements between health states for patients treated with BSC were based on 12 transitions</w:t>
      </w:r>
      <w:r w:rsidR="00552352">
        <w:rPr>
          <w:rFonts w:asciiTheme="minorHAnsi" w:hAnsiTheme="minorHAnsi"/>
        </w:rPr>
        <w:t xml:space="preserve"> (out of a total of 34 comparisons of 6MWT health state at prior and current visit)</w:t>
      </w:r>
      <w:r w:rsidR="0069118E" w:rsidRPr="000E7B17">
        <w:rPr>
          <w:rFonts w:asciiTheme="minorHAnsi" w:hAnsiTheme="minorHAnsi"/>
        </w:rPr>
        <w:t xml:space="preserve"> observed over a short period of time. Thus, little confidence could be placed in the results, especially when they were modelled out to 101 years. An external validity check using health state traces showed that in the BSC arm more patients reached the most severe state than it is observed.</w:t>
      </w:r>
      <w:r w:rsidRPr="00F471D7">
        <w:rPr>
          <w:rFonts w:asciiTheme="minorHAnsi" w:hAnsiTheme="minorHAnsi"/>
        </w:rPr>
        <w:t xml:space="preserve"> </w:t>
      </w:r>
    </w:p>
    <w:p w:rsidR="00B10DD6" w:rsidRPr="00F471D7" w:rsidRDefault="00B10DD6" w:rsidP="005123EA">
      <w:pPr>
        <w:pStyle w:val="ListParagraph"/>
        <w:widowControl/>
        <w:numPr>
          <w:ilvl w:val="1"/>
          <w:numId w:val="12"/>
        </w:numPr>
        <w:spacing w:before="120" w:after="160"/>
        <w:ind w:left="851" w:hanging="284"/>
        <w:rPr>
          <w:rFonts w:asciiTheme="minorHAnsi" w:hAnsiTheme="minorHAnsi"/>
        </w:rPr>
      </w:pPr>
      <w:r w:rsidRPr="00F471D7">
        <w:rPr>
          <w:rFonts w:asciiTheme="minorHAnsi" w:hAnsiTheme="minorHAnsi"/>
        </w:rPr>
        <w:t xml:space="preserve">The relationship between changes in 6MWT distance and changes in disease state severity was unclear </w:t>
      </w:r>
      <w:r w:rsidR="00682073">
        <w:rPr>
          <w:rFonts w:asciiTheme="minorHAnsi" w:hAnsiTheme="minorHAnsi"/>
        </w:rPr>
        <w:t>including</w:t>
      </w:r>
      <w:r w:rsidRPr="00F471D7">
        <w:rPr>
          <w:rFonts w:asciiTheme="minorHAnsi" w:hAnsiTheme="minorHAnsi"/>
        </w:rPr>
        <w:t xml:space="preserve"> the fact that </w:t>
      </w:r>
      <w:r w:rsidR="00682073">
        <w:rPr>
          <w:rFonts w:asciiTheme="minorHAnsi" w:hAnsiTheme="minorHAnsi"/>
        </w:rPr>
        <w:t>some</w:t>
      </w:r>
      <w:r w:rsidRPr="00F471D7">
        <w:rPr>
          <w:rFonts w:asciiTheme="minorHAnsi" w:hAnsiTheme="minorHAnsi"/>
        </w:rPr>
        <w:t xml:space="preserve"> symptoms experienced by patients with HPP</w:t>
      </w:r>
      <w:r w:rsidR="00682073">
        <w:rPr>
          <w:rFonts w:asciiTheme="minorHAnsi" w:hAnsiTheme="minorHAnsi"/>
        </w:rPr>
        <w:t>,</w:t>
      </w:r>
      <w:r w:rsidRPr="00F471D7">
        <w:rPr>
          <w:rFonts w:asciiTheme="minorHAnsi" w:hAnsiTheme="minorHAnsi"/>
        </w:rPr>
        <w:t xml:space="preserve"> such as neurological complications</w:t>
      </w:r>
      <w:r w:rsidR="00682073">
        <w:rPr>
          <w:rFonts w:asciiTheme="minorHAnsi" w:hAnsiTheme="minorHAnsi"/>
        </w:rPr>
        <w:t>,</w:t>
      </w:r>
      <w:r w:rsidRPr="00F471D7">
        <w:rPr>
          <w:rFonts w:asciiTheme="minorHAnsi" w:hAnsiTheme="minorHAnsi"/>
        </w:rPr>
        <w:t xml:space="preserve"> are not related to the endurance measured by the 6MWT. </w:t>
      </w:r>
    </w:p>
    <w:p w:rsidR="00B10DD6" w:rsidRPr="00F471D7" w:rsidRDefault="00B10DD6" w:rsidP="005123EA">
      <w:pPr>
        <w:pStyle w:val="ListParagraph"/>
        <w:widowControl/>
        <w:numPr>
          <w:ilvl w:val="1"/>
          <w:numId w:val="12"/>
        </w:numPr>
        <w:spacing w:before="120" w:after="160"/>
        <w:ind w:left="851" w:hanging="284"/>
        <w:rPr>
          <w:rFonts w:asciiTheme="minorHAnsi" w:hAnsiTheme="minorHAnsi"/>
        </w:rPr>
      </w:pPr>
      <w:r w:rsidRPr="00F471D7">
        <w:rPr>
          <w:rFonts w:asciiTheme="minorHAnsi" w:hAnsiTheme="minorHAnsi"/>
        </w:rPr>
        <w:t>For patients aged less than 5 years, as changes in 6MWT distance were not assessed in any clinical trials, the degree of correlation between this outcome and changes in disease state severity were considered to be highly uncertain.</w:t>
      </w:r>
    </w:p>
    <w:p w:rsidR="00B10DD6" w:rsidRPr="00F471D7" w:rsidRDefault="00B10DD6" w:rsidP="005123EA">
      <w:pPr>
        <w:pStyle w:val="ListParagraph"/>
        <w:widowControl/>
        <w:numPr>
          <w:ilvl w:val="1"/>
          <w:numId w:val="12"/>
        </w:numPr>
        <w:spacing w:before="120" w:after="160"/>
        <w:ind w:left="851" w:hanging="284"/>
        <w:rPr>
          <w:rFonts w:asciiTheme="minorHAnsi" w:hAnsiTheme="minorHAnsi"/>
        </w:rPr>
      </w:pPr>
      <w:r w:rsidRPr="00F471D7">
        <w:rPr>
          <w:rFonts w:asciiTheme="minorHAnsi" w:hAnsiTheme="minorHAnsi"/>
        </w:rPr>
        <w:t xml:space="preserve">There was uncertainty surrounding the utility gain from movement between health states because of the small number of health states, and the linking of the utility values to health state changes based on changes in 6MWT distance in the model rather than to a measure that encompassed all of the symptoms of HPP. </w:t>
      </w:r>
    </w:p>
    <w:p w:rsidR="00B10DD6" w:rsidRPr="00F471D7" w:rsidRDefault="00B10DD6" w:rsidP="005123EA">
      <w:pPr>
        <w:pStyle w:val="ListParagraph"/>
        <w:widowControl/>
        <w:numPr>
          <w:ilvl w:val="1"/>
          <w:numId w:val="12"/>
        </w:numPr>
        <w:spacing w:before="120" w:after="160"/>
        <w:ind w:left="851" w:hanging="284"/>
        <w:rPr>
          <w:rFonts w:asciiTheme="minorHAnsi" w:hAnsiTheme="minorHAnsi"/>
        </w:rPr>
      </w:pPr>
      <w:r w:rsidRPr="00F471D7">
        <w:rPr>
          <w:rFonts w:asciiTheme="minorHAnsi" w:hAnsiTheme="minorHAnsi"/>
        </w:rPr>
        <w:t>The ICERs were highly dependent on the utility value for Severity level IV.</w:t>
      </w:r>
      <w:r w:rsidR="00540116" w:rsidRPr="00F471D7">
        <w:rPr>
          <w:rFonts w:asciiTheme="minorHAnsi" w:hAnsiTheme="minorHAnsi"/>
        </w:rPr>
        <w:t xml:space="preserve"> </w:t>
      </w:r>
      <w:r w:rsidRPr="00F471D7">
        <w:rPr>
          <w:rFonts w:asciiTheme="minorHAnsi" w:hAnsiTheme="minorHAnsi"/>
        </w:rPr>
        <w:t>With the high standard deviation of 0.25 for this utility value, and the lack of correlation between the case description used to derive the value and the HPP symptoms/complication rates for Severity level IV</w:t>
      </w:r>
      <w:r w:rsidR="00D95764">
        <w:rPr>
          <w:rFonts w:asciiTheme="minorHAnsi" w:hAnsiTheme="minorHAnsi"/>
        </w:rPr>
        <w:t xml:space="preserve"> (see Table 12)</w:t>
      </w:r>
      <w:r w:rsidRPr="00F471D7">
        <w:rPr>
          <w:rFonts w:asciiTheme="minorHAnsi" w:hAnsiTheme="minorHAnsi"/>
        </w:rPr>
        <w:t>, little confidence could be put on the ICERs estimated by the submission.</w:t>
      </w:r>
    </w:p>
    <w:p w:rsidR="00B10DD6" w:rsidRPr="00F471D7" w:rsidRDefault="00B10DD6" w:rsidP="005123EA">
      <w:pPr>
        <w:pStyle w:val="ListParagraph"/>
        <w:widowControl/>
        <w:numPr>
          <w:ilvl w:val="1"/>
          <w:numId w:val="12"/>
        </w:numPr>
        <w:ind w:left="851" w:hanging="284"/>
        <w:rPr>
          <w:rFonts w:asciiTheme="minorHAnsi" w:hAnsiTheme="minorHAnsi"/>
        </w:rPr>
      </w:pPr>
      <w:r w:rsidRPr="00F471D7">
        <w:rPr>
          <w:rFonts w:asciiTheme="minorHAnsi" w:hAnsiTheme="minorHAnsi"/>
        </w:rPr>
        <w:t>It was not clear that the threshold defining the difference in change in 6MWT distance between health states was appropriate, since despite indicating that the MCID was 8.8%, the submission presented an analysis using 8.9% in the economic evaluation, with this value being the MCID obtained from patients with Duchenne muscular dystrophy).</w:t>
      </w:r>
      <w:r w:rsidR="00540116" w:rsidRPr="00F471D7">
        <w:rPr>
          <w:rFonts w:asciiTheme="minorHAnsi" w:hAnsiTheme="minorHAnsi"/>
        </w:rPr>
        <w:t xml:space="preserve"> </w:t>
      </w:r>
      <w:r w:rsidRPr="00F471D7">
        <w:rPr>
          <w:rFonts w:asciiTheme="minorHAnsi" w:hAnsiTheme="minorHAnsi"/>
        </w:rPr>
        <w:t>The ICER was sensitive to changing the difference in 6MWT distance required for a patient to change to a different health state: assuming that only the MCID was required for movement to a different health state</w:t>
      </w:r>
      <w:r w:rsidR="005C15E0">
        <w:rPr>
          <w:rFonts w:asciiTheme="minorHAnsi" w:hAnsiTheme="minorHAnsi"/>
        </w:rPr>
        <w:t>,</w:t>
      </w:r>
      <w:r w:rsidRPr="00F471D7">
        <w:rPr>
          <w:rFonts w:asciiTheme="minorHAnsi" w:hAnsiTheme="minorHAnsi"/>
        </w:rPr>
        <w:t xml:space="preserve"> rather than twice the MCID</w:t>
      </w:r>
      <w:r w:rsidR="005C15E0">
        <w:rPr>
          <w:rFonts w:asciiTheme="minorHAnsi" w:hAnsiTheme="minorHAnsi"/>
        </w:rPr>
        <w:t>,</w:t>
      </w:r>
      <w:r w:rsidRPr="00F471D7">
        <w:rPr>
          <w:rFonts w:asciiTheme="minorHAnsi" w:hAnsiTheme="minorHAnsi"/>
        </w:rPr>
        <w:t xml:space="preserve"> increased the base case ICER to </w:t>
      </w:r>
      <w:r w:rsidR="00AB7E0D">
        <w:rPr>
          <w:rFonts w:asciiTheme="minorHAnsi" w:hAnsiTheme="minorHAnsi"/>
        </w:rPr>
        <w:t>over $1 million</w:t>
      </w:r>
      <w:r w:rsidR="00FD296E">
        <w:rPr>
          <w:rFonts w:asciiTheme="minorHAnsi" w:hAnsiTheme="minorHAnsi"/>
        </w:rPr>
        <w:t xml:space="preserve"> </w:t>
      </w:r>
      <w:r w:rsidRPr="00F471D7">
        <w:rPr>
          <w:rFonts w:asciiTheme="minorHAnsi" w:hAnsiTheme="minorHAnsi"/>
        </w:rPr>
        <w:t>per QALY</w:t>
      </w:r>
      <w:r w:rsidR="00533024" w:rsidRPr="00F471D7">
        <w:rPr>
          <w:rFonts w:asciiTheme="minorHAnsi" w:hAnsiTheme="minorHAnsi"/>
        </w:rPr>
        <w:t xml:space="preserve"> gained</w:t>
      </w:r>
      <w:r w:rsidRPr="00F471D7">
        <w:rPr>
          <w:rFonts w:asciiTheme="minorHAnsi" w:hAnsiTheme="minorHAnsi"/>
        </w:rPr>
        <w:t xml:space="preserve">, and assuming three times the MCID was required for a patient to transition to a different health state increased the base case ICER to </w:t>
      </w:r>
      <w:r w:rsidR="00AB7E0D">
        <w:rPr>
          <w:rFonts w:asciiTheme="minorHAnsi" w:hAnsiTheme="minorHAnsi"/>
        </w:rPr>
        <w:t>over $1 million</w:t>
      </w:r>
      <w:r w:rsidR="00FD296E">
        <w:rPr>
          <w:rFonts w:asciiTheme="minorHAnsi" w:hAnsiTheme="minorHAnsi"/>
        </w:rPr>
        <w:t xml:space="preserve"> </w:t>
      </w:r>
      <w:r w:rsidRPr="00F471D7">
        <w:rPr>
          <w:rFonts w:asciiTheme="minorHAnsi" w:hAnsiTheme="minorHAnsi"/>
        </w:rPr>
        <w:t>per QALY</w:t>
      </w:r>
      <w:r w:rsidR="00533024" w:rsidRPr="00F471D7">
        <w:rPr>
          <w:rFonts w:asciiTheme="minorHAnsi" w:hAnsiTheme="minorHAnsi"/>
        </w:rPr>
        <w:t xml:space="preserve"> gained</w:t>
      </w:r>
      <w:r w:rsidRPr="00F471D7">
        <w:rPr>
          <w:rFonts w:asciiTheme="minorHAnsi" w:hAnsiTheme="minorHAnsi"/>
        </w:rPr>
        <w:t>.</w:t>
      </w:r>
    </w:p>
    <w:p w:rsidR="00B10DD6" w:rsidRPr="00F471D7" w:rsidRDefault="00B10DD6" w:rsidP="005123EA">
      <w:pPr>
        <w:pStyle w:val="ListParagraph"/>
        <w:widowControl/>
        <w:numPr>
          <w:ilvl w:val="1"/>
          <w:numId w:val="12"/>
        </w:numPr>
        <w:spacing w:before="120" w:after="160"/>
        <w:ind w:left="851" w:hanging="284"/>
        <w:rPr>
          <w:rFonts w:asciiTheme="minorHAnsi" w:hAnsiTheme="minorHAnsi"/>
        </w:rPr>
      </w:pPr>
      <w:r w:rsidRPr="00F471D7">
        <w:rPr>
          <w:rFonts w:asciiTheme="minorHAnsi" w:hAnsiTheme="minorHAnsi"/>
        </w:rPr>
        <w:t xml:space="preserve">Uncertainty in the costs included in the model as the submission assumed: </w:t>
      </w:r>
    </w:p>
    <w:p w:rsidR="00B10DD6" w:rsidRPr="00B54577" w:rsidRDefault="00B10DD6" w:rsidP="001B444F">
      <w:pPr>
        <w:pStyle w:val="ListParagraph"/>
        <w:widowControl/>
        <w:numPr>
          <w:ilvl w:val="3"/>
          <w:numId w:val="15"/>
        </w:numPr>
        <w:spacing w:before="120" w:after="160"/>
        <w:ind w:hanging="229"/>
        <w:rPr>
          <w:rFonts w:asciiTheme="minorHAnsi" w:hAnsiTheme="minorHAnsi"/>
          <w:i/>
        </w:rPr>
      </w:pPr>
      <w:r w:rsidRPr="00F471D7">
        <w:rPr>
          <w:rFonts w:asciiTheme="minorHAnsi" w:hAnsiTheme="minorHAnsi"/>
        </w:rPr>
        <w:t>self-administration, whereas the risk of anaphylaxis/</w:t>
      </w:r>
      <w:proofErr w:type="spellStart"/>
      <w:r w:rsidRPr="00F471D7">
        <w:rPr>
          <w:rFonts w:asciiTheme="minorHAnsi" w:hAnsiTheme="minorHAnsi"/>
        </w:rPr>
        <w:t>anaphylactoid</w:t>
      </w:r>
      <w:proofErr w:type="spellEnd"/>
      <w:r w:rsidRPr="00F471D7">
        <w:rPr>
          <w:rFonts w:asciiTheme="minorHAnsi" w:hAnsiTheme="minorHAnsi"/>
        </w:rPr>
        <w:t xml:space="preserve"> reactions highlighted that administration under medical supervision could be required</w:t>
      </w:r>
      <w:r w:rsidRPr="007A2F58">
        <w:rPr>
          <w:rFonts w:asciiTheme="minorHAnsi" w:hAnsiTheme="minorHAnsi"/>
        </w:rPr>
        <w:t>;</w:t>
      </w:r>
      <w:r w:rsidRPr="00B54577">
        <w:rPr>
          <w:rFonts w:asciiTheme="minorHAnsi" w:hAnsiTheme="minorHAnsi"/>
          <w:i/>
        </w:rPr>
        <w:t xml:space="preserve"> </w:t>
      </w:r>
    </w:p>
    <w:p w:rsidR="00B10DD6" w:rsidRPr="00F471D7" w:rsidRDefault="00B10DD6" w:rsidP="001B444F">
      <w:pPr>
        <w:pStyle w:val="ListParagraph"/>
        <w:widowControl/>
        <w:numPr>
          <w:ilvl w:val="3"/>
          <w:numId w:val="15"/>
        </w:numPr>
        <w:spacing w:before="120" w:after="160"/>
        <w:ind w:hanging="229"/>
        <w:rPr>
          <w:rFonts w:asciiTheme="minorHAnsi" w:hAnsiTheme="minorHAnsi"/>
        </w:rPr>
      </w:pPr>
      <w:r w:rsidRPr="00F471D7">
        <w:rPr>
          <w:rFonts w:asciiTheme="minorHAnsi" w:hAnsiTheme="minorHAnsi"/>
        </w:rPr>
        <w:t>that the same costs for direct medical care would apply to all patients aged under 5 years who weren’t on invasive ventilation, and that these would be substantially higher than in patients aged 5 years or more regardless of severity level, which is unlikely</w:t>
      </w:r>
      <w:r w:rsidR="00D34A17" w:rsidRPr="00F471D7">
        <w:rPr>
          <w:rFonts w:asciiTheme="minorHAnsi" w:hAnsiTheme="minorHAnsi"/>
        </w:rPr>
        <w:t>;</w:t>
      </w:r>
      <w:r w:rsidRPr="00F471D7">
        <w:rPr>
          <w:rFonts w:asciiTheme="minorHAnsi" w:hAnsiTheme="minorHAnsi"/>
        </w:rPr>
        <w:t xml:space="preserve"> and</w:t>
      </w:r>
    </w:p>
    <w:p w:rsidR="00B10DD6" w:rsidRPr="00F471D7" w:rsidRDefault="00B10DD6" w:rsidP="001B444F">
      <w:pPr>
        <w:pStyle w:val="ListParagraph"/>
        <w:widowControl/>
        <w:numPr>
          <w:ilvl w:val="3"/>
          <w:numId w:val="15"/>
        </w:numPr>
        <w:ind w:left="1078" w:hanging="227"/>
        <w:contextualSpacing w:val="0"/>
        <w:rPr>
          <w:rFonts w:asciiTheme="minorHAnsi" w:hAnsiTheme="minorHAnsi"/>
        </w:rPr>
      </w:pPr>
      <w:proofErr w:type="gramStart"/>
      <w:r w:rsidRPr="00F471D7">
        <w:rPr>
          <w:rFonts w:asciiTheme="minorHAnsi" w:hAnsiTheme="minorHAnsi"/>
        </w:rPr>
        <w:t>that</w:t>
      </w:r>
      <w:proofErr w:type="gramEnd"/>
      <w:r w:rsidRPr="00F471D7">
        <w:rPr>
          <w:rFonts w:asciiTheme="minorHAnsi" w:hAnsiTheme="minorHAnsi"/>
        </w:rPr>
        <w:t xml:space="preserve"> patients who fail to improve would continue treatment.</w:t>
      </w:r>
      <w:r w:rsidR="00540116" w:rsidRPr="00F471D7">
        <w:rPr>
          <w:rFonts w:asciiTheme="minorHAnsi" w:hAnsiTheme="minorHAnsi"/>
        </w:rPr>
        <w:t xml:space="preserve"> </w:t>
      </w:r>
    </w:p>
    <w:p w:rsidR="00B10DD6" w:rsidRPr="00F471D7" w:rsidRDefault="00B10DD6" w:rsidP="005123EA">
      <w:pPr>
        <w:pStyle w:val="ListParagraph"/>
        <w:widowControl/>
        <w:numPr>
          <w:ilvl w:val="1"/>
          <w:numId w:val="2"/>
        </w:numPr>
        <w:spacing w:after="160"/>
        <w:contextualSpacing w:val="0"/>
        <w:rPr>
          <w:rFonts w:asciiTheme="minorHAnsi" w:hAnsiTheme="minorHAnsi"/>
        </w:rPr>
      </w:pPr>
      <w:r w:rsidRPr="00F471D7">
        <w:rPr>
          <w:rFonts w:asciiTheme="minorHAnsi" w:hAnsiTheme="minorHAnsi"/>
        </w:rPr>
        <w:t xml:space="preserve">To investigate some </w:t>
      </w:r>
      <w:r w:rsidR="00D97C2C" w:rsidRPr="00F471D7">
        <w:rPr>
          <w:rFonts w:asciiTheme="minorHAnsi" w:hAnsiTheme="minorHAnsi"/>
        </w:rPr>
        <w:t xml:space="preserve">of the </w:t>
      </w:r>
      <w:r w:rsidRPr="00F471D7">
        <w:rPr>
          <w:rFonts w:asciiTheme="minorHAnsi" w:hAnsiTheme="minorHAnsi"/>
        </w:rPr>
        <w:t>uncertainty surrounding the economic evaluation, the submission presented the results of univariate sensitivity analyses.</w:t>
      </w:r>
      <w:r w:rsidR="00540116" w:rsidRPr="00F471D7">
        <w:rPr>
          <w:rFonts w:asciiTheme="minorHAnsi" w:hAnsiTheme="minorHAnsi"/>
        </w:rPr>
        <w:t xml:space="preserve"> </w:t>
      </w:r>
      <w:r w:rsidRPr="00F471D7">
        <w:rPr>
          <w:rFonts w:asciiTheme="minorHAnsi" w:hAnsiTheme="minorHAnsi"/>
        </w:rPr>
        <w:t xml:space="preserve">The results of the sensitivity analyses for the base case for a patient starting treatment at the </w:t>
      </w:r>
      <w:r w:rsidR="00BB091D" w:rsidRPr="00F471D7">
        <w:rPr>
          <w:rFonts w:asciiTheme="minorHAnsi" w:hAnsiTheme="minorHAnsi"/>
        </w:rPr>
        <w:t>age of 5.8 </w:t>
      </w:r>
      <w:r w:rsidRPr="00F471D7">
        <w:rPr>
          <w:rFonts w:asciiTheme="minorHAnsi" w:hAnsiTheme="minorHAnsi"/>
        </w:rPr>
        <w:t xml:space="preserve">years indicated that the model was most sensitive to the time horizon, with the ICER in a 10-year model increasing to </w:t>
      </w:r>
      <w:r w:rsidR="00AB7E0D">
        <w:rPr>
          <w:rFonts w:asciiTheme="minorHAnsi" w:hAnsiTheme="minorHAnsi"/>
        </w:rPr>
        <w:t>over $1 million</w:t>
      </w:r>
      <w:r w:rsidR="00FD296E">
        <w:rPr>
          <w:rFonts w:asciiTheme="minorHAnsi" w:hAnsiTheme="minorHAnsi"/>
        </w:rPr>
        <w:t xml:space="preserve"> </w:t>
      </w:r>
      <w:r w:rsidRPr="00F471D7">
        <w:rPr>
          <w:rFonts w:asciiTheme="minorHAnsi" w:hAnsiTheme="minorHAnsi"/>
        </w:rPr>
        <w:t>per QALY</w:t>
      </w:r>
      <w:r w:rsidR="00C47270" w:rsidRPr="00F471D7">
        <w:rPr>
          <w:rFonts w:asciiTheme="minorHAnsi" w:hAnsiTheme="minorHAnsi"/>
        </w:rPr>
        <w:t xml:space="preserve"> gained</w:t>
      </w:r>
      <w:r w:rsidRPr="00F471D7">
        <w:rPr>
          <w:rFonts w:asciiTheme="minorHAnsi" w:hAnsiTheme="minorHAnsi"/>
        </w:rPr>
        <w:t>.</w:t>
      </w:r>
      <w:r w:rsidR="00540116" w:rsidRPr="00F471D7">
        <w:rPr>
          <w:rFonts w:asciiTheme="minorHAnsi" w:hAnsiTheme="minorHAnsi"/>
        </w:rPr>
        <w:t xml:space="preserve"> </w:t>
      </w:r>
    </w:p>
    <w:p w:rsidR="00B10DD6" w:rsidRPr="00F471D7" w:rsidRDefault="00B10DD6" w:rsidP="005123EA">
      <w:pPr>
        <w:pStyle w:val="ListParagraph"/>
        <w:widowControl/>
        <w:numPr>
          <w:ilvl w:val="1"/>
          <w:numId w:val="2"/>
        </w:numPr>
        <w:spacing w:after="160"/>
        <w:contextualSpacing w:val="0"/>
        <w:rPr>
          <w:rFonts w:asciiTheme="minorHAnsi" w:hAnsiTheme="minorHAnsi"/>
        </w:rPr>
      </w:pPr>
      <w:r w:rsidRPr="00F471D7">
        <w:rPr>
          <w:rFonts w:asciiTheme="minorHAnsi" w:hAnsiTheme="minorHAnsi"/>
        </w:rPr>
        <w:t>The</w:t>
      </w:r>
      <w:r w:rsidR="00D97C2C" w:rsidRPr="00F471D7">
        <w:rPr>
          <w:rFonts w:asciiTheme="minorHAnsi" w:hAnsiTheme="minorHAnsi"/>
        </w:rPr>
        <w:t xml:space="preserve"> submission</w:t>
      </w:r>
      <w:r w:rsidRPr="00F471D7">
        <w:rPr>
          <w:rFonts w:asciiTheme="minorHAnsi" w:hAnsiTheme="minorHAnsi"/>
        </w:rPr>
        <w:t xml:space="preserve"> also presented univariate sensitivity analyses surrounding the results of </w:t>
      </w:r>
      <w:r w:rsidR="00A4208B">
        <w:rPr>
          <w:rFonts w:asciiTheme="minorHAnsi" w:hAnsiTheme="minorHAnsi"/>
        </w:rPr>
        <w:t xml:space="preserve">the </w:t>
      </w:r>
      <w:r w:rsidRPr="00F471D7">
        <w:rPr>
          <w:rFonts w:asciiTheme="minorHAnsi" w:hAnsiTheme="minorHAnsi"/>
        </w:rPr>
        <w:t xml:space="preserve">economic evaluation for </w:t>
      </w:r>
      <w:r w:rsidR="00E50A0A" w:rsidRPr="00F471D7">
        <w:rPr>
          <w:rFonts w:asciiTheme="minorHAnsi" w:hAnsiTheme="minorHAnsi"/>
        </w:rPr>
        <w:t xml:space="preserve">patients initiating treatment as </w:t>
      </w:r>
      <w:r w:rsidRPr="00F471D7">
        <w:rPr>
          <w:rFonts w:asciiTheme="minorHAnsi" w:hAnsiTheme="minorHAnsi"/>
        </w:rPr>
        <w:t>newborn</w:t>
      </w:r>
      <w:r w:rsidR="00E50A0A" w:rsidRPr="00F471D7">
        <w:rPr>
          <w:rFonts w:asciiTheme="minorHAnsi" w:hAnsiTheme="minorHAnsi"/>
        </w:rPr>
        <w:t>s</w:t>
      </w:r>
      <w:r w:rsidRPr="00F471D7">
        <w:rPr>
          <w:rFonts w:asciiTheme="minorHAnsi" w:hAnsiTheme="minorHAnsi"/>
        </w:rPr>
        <w:t xml:space="preserve"> and </w:t>
      </w:r>
      <w:r w:rsidR="00E50A0A" w:rsidRPr="00F471D7">
        <w:rPr>
          <w:rFonts w:asciiTheme="minorHAnsi" w:hAnsiTheme="minorHAnsi"/>
        </w:rPr>
        <w:t xml:space="preserve">at </w:t>
      </w:r>
      <w:r w:rsidRPr="00F471D7">
        <w:rPr>
          <w:rFonts w:asciiTheme="minorHAnsi" w:hAnsiTheme="minorHAnsi"/>
        </w:rPr>
        <w:t>0-4 year</w:t>
      </w:r>
      <w:r w:rsidR="00E50A0A" w:rsidRPr="00F471D7">
        <w:rPr>
          <w:rFonts w:asciiTheme="minorHAnsi" w:hAnsiTheme="minorHAnsi"/>
        </w:rPr>
        <w:t>s of</w:t>
      </w:r>
      <w:r w:rsidRPr="00F471D7">
        <w:rPr>
          <w:rFonts w:asciiTheme="minorHAnsi" w:hAnsiTheme="minorHAnsi"/>
        </w:rPr>
        <w:t xml:space="preserve"> age.</w:t>
      </w:r>
      <w:r w:rsidR="00540116" w:rsidRPr="00F471D7">
        <w:rPr>
          <w:rFonts w:asciiTheme="minorHAnsi" w:hAnsiTheme="minorHAnsi"/>
        </w:rPr>
        <w:t xml:space="preserve"> </w:t>
      </w:r>
      <w:r w:rsidRPr="00F471D7">
        <w:rPr>
          <w:rFonts w:asciiTheme="minorHAnsi" w:hAnsiTheme="minorHAnsi"/>
        </w:rPr>
        <w:t xml:space="preserve">The model was most sensitive to changes in the utility values, with a constant utility of 0.24 for all children aged 5 years or less without invasive ventilation increasing the ICER by approximately </w:t>
      </w:r>
      <w:r w:rsidR="002D4126" w:rsidRPr="00F471D7">
        <w:rPr>
          <w:rFonts w:asciiTheme="minorHAnsi" w:hAnsiTheme="minorHAnsi"/>
        </w:rPr>
        <w:t>four-</w:t>
      </w:r>
      <w:r w:rsidRPr="00F471D7">
        <w:rPr>
          <w:rFonts w:asciiTheme="minorHAnsi" w:hAnsiTheme="minorHAnsi"/>
        </w:rPr>
        <w:t xml:space="preserve">fold </w:t>
      </w:r>
      <w:r w:rsidR="00607B1F" w:rsidRPr="00F471D7">
        <w:rPr>
          <w:rFonts w:asciiTheme="minorHAnsi" w:hAnsiTheme="minorHAnsi"/>
        </w:rPr>
        <w:t xml:space="preserve">(estimated at </w:t>
      </w:r>
      <w:r w:rsidR="00AB7E0D">
        <w:rPr>
          <w:rFonts w:asciiTheme="minorHAnsi" w:hAnsiTheme="minorHAnsi"/>
        </w:rPr>
        <w:t>over $3 million</w:t>
      </w:r>
      <w:r w:rsidR="00AD69AD">
        <w:rPr>
          <w:rFonts w:asciiTheme="minorHAnsi" w:hAnsiTheme="minorHAnsi"/>
        </w:rPr>
        <w:t xml:space="preserve"> </w:t>
      </w:r>
      <w:r w:rsidR="005C15E0">
        <w:rPr>
          <w:rFonts w:asciiTheme="minorHAnsi" w:hAnsiTheme="minorHAnsi"/>
        </w:rPr>
        <w:t xml:space="preserve">per </w:t>
      </w:r>
      <w:r w:rsidR="00607B1F" w:rsidRPr="00F471D7">
        <w:rPr>
          <w:rFonts w:asciiTheme="minorHAnsi" w:hAnsiTheme="minorHAnsi"/>
        </w:rPr>
        <w:t xml:space="preserve">QALY gained) </w:t>
      </w:r>
      <w:r w:rsidRPr="00F471D7">
        <w:rPr>
          <w:rFonts w:asciiTheme="minorHAnsi" w:hAnsiTheme="minorHAnsi"/>
        </w:rPr>
        <w:t xml:space="preserve">in the newborn analysis and by approximately </w:t>
      </w:r>
      <w:r w:rsidR="002D4126" w:rsidRPr="00845BC4">
        <w:rPr>
          <w:rFonts w:asciiTheme="minorHAnsi" w:hAnsiTheme="minorHAnsi"/>
        </w:rPr>
        <w:t>nine-</w:t>
      </w:r>
      <w:r w:rsidRPr="00845BC4">
        <w:rPr>
          <w:rFonts w:asciiTheme="minorHAnsi" w:hAnsiTheme="minorHAnsi"/>
        </w:rPr>
        <w:t>fold</w:t>
      </w:r>
      <w:r w:rsidRPr="00F471D7">
        <w:rPr>
          <w:rFonts w:asciiTheme="minorHAnsi" w:hAnsiTheme="minorHAnsi"/>
        </w:rPr>
        <w:t xml:space="preserve"> </w:t>
      </w:r>
      <w:r w:rsidR="00607B1F" w:rsidRPr="00F471D7">
        <w:rPr>
          <w:rFonts w:asciiTheme="minorHAnsi" w:hAnsiTheme="minorHAnsi"/>
        </w:rPr>
        <w:t xml:space="preserve">(estimated at </w:t>
      </w:r>
      <w:r w:rsidR="00AB7E0D">
        <w:rPr>
          <w:rFonts w:asciiTheme="minorHAnsi" w:hAnsiTheme="minorHAnsi"/>
        </w:rPr>
        <w:t>over $5 million</w:t>
      </w:r>
      <w:r w:rsidR="005C15E0">
        <w:rPr>
          <w:rFonts w:asciiTheme="minorHAnsi" w:hAnsiTheme="minorHAnsi"/>
        </w:rPr>
        <w:t xml:space="preserve"> per </w:t>
      </w:r>
      <w:r w:rsidR="00607B1F" w:rsidRPr="00F471D7">
        <w:rPr>
          <w:rFonts w:asciiTheme="minorHAnsi" w:hAnsiTheme="minorHAnsi"/>
        </w:rPr>
        <w:t xml:space="preserve">QALY gained) </w:t>
      </w:r>
      <w:r w:rsidRPr="00F471D7">
        <w:rPr>
          <w:rFonts w:asciiTheme="minorHAnsi" w:hAnsiTheme="minorHAnsi"/>
        </w:rPr>
        <w:t>in the 0-4 year analysis.</w:t>
      </w:r>
      <w:r w:rsidR="00540116" w:rsidRPr="00F471D7">
        <w:rPr>
          <w:rFonts w:asciiTheme="minorHAnsi" w:hAnsiTheme="minorHAnsi"/>
        </w:rPr>
        <w:t xml:space="preserve"> </w:t>
      </w:r>
      <w:r w:rsidRPr="00F471D7">
        <w:rPr>
          <w:rFonts w:asciiTheme="minorHAnsi" w:hAnsiTheme="minorHAnsi"/>
        </w:rPr>
        <w:t xml:space="preserve">As there was considerable uncertainty surrounding the model’s approach of basing transitions in health states on change in 6MWT distance in patients aged less than 5 years, this sensitivity analysis was appropriate and indicated that </w:t>
      </w:r>
      <w:r w:rsidR="00202417" w:rsidRPr="00F471D7">
        <w:rPr>
          <w:rFonts w:asciiTheme="minorHAnsi" w:hAnsiTheme="minorHAnsi"/>
        </w:rPr>
        <w:t xml:space="preserve">if </w:t>
      </w:r>
      <w:r w:rsidRPr="00F471D7">
        <w:rPr>
          <w:rFonts w:asciiTheme="minorHAnsi" w:hAnsiTheme="minorHAnsi"/>
        </w:rPr>
        <w:t xml:space="preserve">quality of life for these patients </w:t>
      </w:r>
      <w:r w:rsidR="00202417" w:rsidRPr="00F471D7">
        <w:rPr>
          <w:rFonts w:asciiTheme="minorHAnsi" w:hAnsiTheme="minorHAnsi"/>
        </w:rPr>
        <w:t xml:space="preserve">was </w:t>
      </w:r>
      <w:r w:rsidRPr="00F471D7">
        <w:rPr>
          <w:rFonts w:asciiTheme="minorHAnsi" w:hAnsiTheme="minorHAnsi"/>
        </w:rPr>
        <w:t>constant, rather than based on any differential aspects of HPP severity, th</w:t>
      </w:r>
      <w:r w:rsidR="00A4208B">
        <w:rPr>
          <w:rFonts w:asciiTheme="minorHAnsi" w:hAnsiTheme="minorHAnsi"/>
        </w:rPr>
        <w:t>en</w:t>
      </w:r>
      <w:r w:rsidRPr="00F471D7">
        <w:rPr>
          <w:rFonts w:asciiTheme="minorHAnsi" w:hAnsiTheme="minorHAnsi"/>
        </w:rPr>
        <w:t xml:space="preserve"> the ICER </w:t>
      </w:r>
      <w:r w:rsidR="0041162F" w:rsidRPr="00F471D7">
        <w:rPr>
          <w:rFonts w:asciiTheme="minorHAnsi" w:hAnsiTheme="minorHAnsi"/>
        </w:rPr>
        <w:t>was</w:t>
      </w:r>
      <w:r w:rsidRPr="00F471D7">
        <w:rPr>
          <w:rFonts w:asciiTheme="minorHAnsi" w:hAnsiTheme="minorHAnsi"/>
        </w:rPr>
        <w:t xml:space="preserve"> significantly higher.</w:t>
      </w:r>
    </w:p>
    <w:p w:rsidR="00B10DD6" w:rsidRPr="00F471D7" w:rsidRDefault="00B10DD6" w:rsidP="005123EA">
      <w:pPr>
        <w:pStyle w:val="ListParagraph"/>
        <w:widowControl/>
        <w:numPr>
          <w:ilvl w:val="1"/>
          <w:numId w:val="2"/>
        </w:numPr>
        <w:spacing w:after="160"/>
        <w:contextualSpacing w:val="0"/>
        <w:rPr>
          <w:rFonts w:asciiTheme="minorHAnsi" w:hAnsiTheme="minorHAnsi"/>
        </w:rPr>
      </w:pPr>
      <w:r w:rsidRPr="00F471D7">
        <w:rPr>
          <w:rFonts w:asciiTheme="minorHAnsi" w:hAnsiTheme="minorHAnsi"/>
        </w:rPr>
        <w:t xml:space="preserve">In further sensitivity analyses undertaken during the evaluation for the newborn patient group, limiting the treatment duration to 2 years reduced the ICER to </w:t>
      </w:r>
      <w:r w:rsidR="00AB7E0D">
        <w:rPr>
          <w:rFonts w:asciiTheme="minorHAnsi" w:hAnsiTheme="minorHAnsi"/>
        </w:rPr>
        <w:t xml:space="preserve">more than $200,000 </w:t>
      </w:r>
      <w:r w:rsidRPr="00F471D7">
        <w:rPr>
          <w:rFonts w:asciiTheme="minorHAnsi" w:hAnsiTheme="minorHAnsi"/>
        </w:rPr>
        <w:t>per QALY</w:t>
      </w:r>
      <w:r w:rsidR="00202417" w:rsidRPr="00F471D7">
        <w:rPr>
          <w:rFonts w:asciiTheme="minorHAnsi" w:hAnsiTheme="minorHAnsi"/>
        </w:rPr>
        <w:t xml:space="preserve"> gained</w:t>
      </w:r>
      <w:r w:rsidRPr="00F471D7">
        <w:rPr>
          <w:rFonts w:asciiTheme="minorHAnsi" w:hAnsiTheme="minorHAnsi"/>
        </w:rPr>
        <w:t>.</w:t>
      </w:r>
      <w:r w:rsidR="00540116" w:rsidRPr="00F471D7">
        <w:rPr>
          <w:rFonts w:asciiTheme="minorHAnsi" w:hAnsiTheme="minorHAnsi"/>
        </w:rPr>
        <w:t xml:space="preserve"> </w:t>
      </w:r>
      <w:r w:rsidRPr="00F471D7">
        <w:rPr>
          <w:rFonts w:asciiTheme="minorHAnsi" w:hAnsiTheme="minorHAnsi"/>
        </w:rPr>
        <w:t>Assuming a constant utility of 0.24 for all children aged 5</w:t>
      </w:r>
      <w:r w:rsidR="001202B3">
        <w:rPr>
          <w:rFonts w:asciiTheme="minorHAnsi" w:hAnsiTheme="minorHAnsi"/>
        </w:rPr>
        <w:t> </w:t>
      </w:r>
      <w:r w:rsidRPr="00F471D7">
        <w:rPr>
          <w:rFonts w:asciiTheme="minorHAnsi" w:hAnsiTheme="minorHAnsi"/>
        </w:rPr>
        <w:t>years and less for the same newborn treatment group</w:t>
      </w:r>
      <w:r w:rsidR="00202417" w:rsidRPr="00F471D7">
        <w:rPr>
          <w:rFonts w:asciiTheme="minorHAnsi" w:hAnsiTheme="minorHAnsi"/>
        </w:rPr>
        <w:t>,</w:t>
      </w:r>
      <w:r w:rsidRPr="00F471D7">
        <w:rPr>
          <w:rFonts w:asciiTheme="minorHAnsi" w:hAnsiTheme="minorHAnsi"/>
        </w:rPr>
        <w:t xml:space="preserve"> with </w:t>
      </w:r>
      <w:proofErr w:type="gramStart"/>
      <w:r w:rsidRPr="00F471D7">
        <w:rPr>
          <w:rFonts w:asciiTheme="minorHAnsi" w:hAnsiTheme="minorHAnsi"/>
        </w:rPr>
        <w:t>a</w:t>
      </w:r>
      <w:r w:rsidR="00B6399A">
        <w:rPr>
          <w:rFonts w:asciiTheme="minorHAnsi" w:hAnsiTheme="minorHAnsi"/>
        </w:rPr>
        <w:t xml:space="preserve"> </w:t>
      </w:r>
      <w:r w:rsidRPr="00F471D7">
        <w:rPr>
          <w:rFonts w:asciiTheme="minorHAnsi" w:hAnsiTheme="minorHAnsi"/>
        </w:rPr>
        <w:t>treatment</w:t>
      </w:r>
      <w:proofErr w:type="gramEnd"/>
      <w:r w:rsidRPr="00F471D7">
        <w:rPr>
          <w:rFonts w:asciiTheme="minorHAnsi" w:hAnsiTheme="minorHAnsi"/>
        </w:rPr>
        <w:t xml:space="preserve"> duration of 2</w:t>
      </w:r>
      <w:r w:rsidR="001202B3">
        <w:rPr>
          <w:rFonts w:asciiTheme="minorHAnsi" w:hAnsiTheme="minorHAnsi"/>
        </w:rPr>
        <w:t> </w:t>
      </w:r>
      <w:r w:rsidRPr="00F471D7">
        <w:rPr>
          <w:rFonts w:asciiTheme="minorHAnsi" w:hAnsiTheme="minorHAnsi"/>
        </w:rPr>
        <w:t xml:space="preserve">years, increased the ICER to </w:t>
      </w:r>
      <w:r w:rsidR="00AB7E0D">
        <w:rPr>
          <w:rFonts w:asciiTheme="minorHAnsi" w:hAnsiTheme="minorHAnsi"/>
        </w:rPr>
        <w:t>more than $ 1 million</w:t>
      </w:r>
      <w:r w:rsidR="00AD69AD">
        <w:rPr>
          <w:rFonts w:asciiTheme="minorHAnsi" w:hAnsiTheme="minorHAnsi"/>
        </w:rPr>
        <w:t xml:space="preserve"> </w:t>
      </w:r>
      <w:r w:rsidR="00202417" w:rsidRPr="00F471D7">
        <w:rPr>
          <w:rFonts w:asciiTheme="minorHAnsi" w:hAnsiTheme="minorHAnsi"/>
        </w:rPr>
        <w:t>per QALY gained</w:t>
      </w:r>
      <w:r w:rsidRPr="00F471D7">
        <w:rPr>
          <w:rFonts w:asciiTheme="minorHAnsi" w:hAnsiTheme="minorHAnsi"/>
        </w:rPr>
        <w:t>.</w:t>
      </w:r>
    </w:p>
    <w:p w:rsidR="00B10DD6" w:rsidRDefault="00B10DD6" w:rsidP="005123EA">
      <w:pPr>
        <w:pStyle w:val="ListParagraph"/>
        <w:widowControl/>
        <w:numPr>
          <w:ilvl w:val="1"/>
          <w:numId w:val="2"/>
        </w:numPr>
        <w:rPr>
          <w:rFonts w:asciiTheme="minorHAnsi" w:hAnsiTheme="minorHAnsi"/>
        </w:rPr>
      </w:pPr>
      <w:r w:rsidRPr="00F471D7">
        <w:rPr>
          <w:rFonts w:asciiTheme="minorHAnsi" w:hAnsiTheme="minorHAnsi"/>
        </w:rPr>
        <w:t>Given the similarity of symptoms</w:t>
      </w:r>
      <w:r w:rsidR="00D95764">
        <w:rPr>
          <w:rFonts w:asciiTheme="minorHAnsi" w:hAnsiTheme="minorHAnsi"/>
        </w:rPr>
        <w:t xml:space="preserve"> and </w:t>
      </w:r>
      <w:r w:rsidRPr="00F471D7">
        <w:rPr>
          <w:rFonts w:asciiTheme="minorHAnsi" w:hAnsiTheme="minorHAnsi"/>
        </w:rPr>
        <w:t xml:space="preserve">complications between Severity levels III and IV </w:t>
      </w:r>
      <w:r w:rsidRPr="00D95764">
        <w:rPr>
          <w:rFonts w:asciiTheme="minorHAnsi" w:hAnsiTheme="minorHAnsi"/>
        </w:rPr>
        <w:t>(</w:t>
      </w:r>
      <w:r w:rsidR="00D95764" w:rsidRPr="00D95764">
        <w:rPr>
          <w:rFonts w:asciiTheme="minorHAnsi" w:hAnsiTheme="minorHAnsi"/>
        </w:rPr>
        <w:t xml:space="preserve">see </w:t>
      </w:r>
      <w:r w:rsidRPr="00D95764">
        <w:rPr>
          <w:rFonts w:asciiTheme="minorHAnsi" w:hAnsiTheme="minorHAnsi"/>
        </w:rPr>
        <w:t xml:space="preserve">Table </w:t>
      </w:r>
      <w:r w:rsidR="00D95764" w:rsidRPr="00D95764">
        <w:rPr>
          <w:rFonts w:asciiTheme="minorHAnsi" w:hAnsiTheme="minorHAnsi"/>
        </w:rPr>
        <w:t>12</w:t>
      </w:r>
      <w:r w:rsidRPr="00D95764">
        <w:rPr>
          <w:rFonts w:asciiTheme="minorHAnsi" w:hAnsiTheme="minorHAnsi"/>
        </w:rPr>
        <w:t>), a sensitivity analysis was also undertaken during the</w:t>
      </w:r>
      <w:r w:rsidRPr="00F471D7">
        <w:rPr>
          <w:rFonts w:asciiTheme="minorHAnsi" w:hAnsiTheme="minorHAnsi"/>
        </w:rPr>
        <w:t xml:space="preserve"> evaluation, which assumed the same utility value for Severity level IV as for Severity level III and this increased the ICER </w:t>
      </w:r>
      <w:proofErr w:type="gramStart"/>
      <w:r w:rsidRPr="00F471D7">
        <w:rPr>
          <w:rFonts w:asciiTheme="minorHAnsi" w:hAnsiTheme="minorHAnsi"/>
        </w:rPr>
        <w:t xml:space="preserve">to </w:t>
      </w:r>
      <w:r w:rsidR="00AB7E0D">
        <w:rPr>
          <w:rFonts w:asciiTheme="minorHAnsi" w:hAnsiTheme="minorHAnsi"/>
        </w:rPr>
        <w:t xml:space="preserve"> over</w:t>
      </w:r>
      <w:proofErr w:type="gramEnd"/>
      <w:r w:rsidR="00AB7E0D">
        <w:rPr>
          <w:rFonts w:asciiTheme="minorHAnsi" w:hAnsiTheme="minorHAnsi"/>
        </w:rPr>
        <w:t xml:space="preserve"> $2 million</w:t>
      </w:r>
      <w:r w:rsidRPr="00F471D7">
        <w:rPr>
          <w:rFonts w:asciiTheme="minorHAnsi" w:hAnsiTheme="minorHAnsi"/>
        </w:rPr>
        <w:t xml:space="preserve"> per QALY.</w:t>
      </w:r>
      <w:r w:rsidR="00540116" w:rsidRPr="00F471D7">
        <w:rPr>
          <w:rFonts w:asciiTheme="minorHAnsi" w:hAnsiTheme="minorHAnsi"/>
        </w:rPr>
        <w:t xml:space="preserve"> </w:t>
      </w:r>
      <w:r w:rsidRPr="00F471D7">
        <w:rPr>
          <w:rFonts w:asciiTheme="minorHAnsi" w:hAnsiTheme="minorHAnsi"/>
        </w:rPr>
        <w:t>As the base case for the model assumed no difference in the number of life years saved, the ICER was based entirely on the submission’s claim of improvements to quality of life.</w:t>
      </w:r>
      <w:r w:rsidR="00540116" w:rsidRPr="00F471D7">
        <w:rPr>
          <w:rFonts w:asciiTheme="minorHAnsi" w:hAnsiTheme="minorHAnsi"/>
        </w:rPr>
        <w:t xml:space="preserve"> </w:t>
      </w:r>
      <w:r w:rsidRPr="00F471D7">
        <w:rPr>
          <w:rFonts w:asciiTheme="minorHAnsi" w:hAnsiTheme="minorHAnsi"/>
        </w:rPr>
        <w:t>Therefore the health state specifications used and the utility values assigned to those health states were critical to the ICER.</w:t>
      </w:r>
    </w:p>
    <w:p w:rsidR="002757CE" w:rsidRDefault="002757CE" w:rsidP="002757CE">
      <w:pPr>
        <w:pStyle w:val="Caption"/>
      </w:pPr>
      <w:r>
        <w:t xml:space="preserve">Table </w:t>
      </w:r>
      <w:r>
        <w:rPr>
          <w:noProof/>
        </w:rPr>
        <w:t>12</w:t>
      </w:r>
      <w:r w:rsidRPr="00B52C06">
        <w:t>: HPP symptom/complication prevalence in patients in each severity level in the model</w:t>
      </w:r>
    </w:p>
    <w:tbl>
      <w:tblPr>
        <w:tblStyle w:val="TableGrid"/>
        <w:tblW w:w="5000" w:type="pct"/>
        <w:tblCellMar>
          <w:left w:w="28" w:type="dxa"/>
          <w:right w:w="28" w:type="dxa"/>
        </w:tblCellMar>
        <w:tblLook w:val="04A0" w:firstRow="1" w:lastRow="0" w:firstColumn="1" w:lastColumn="0" w:noHBand="0" w:noVBand="1"/>
        <w:tblCaption w:val="HPP symptom/complication prevalence in patients in each severity level in the model"/>
      </w:tblPr>
      <w:tblGrid>
        <w:gridCol w:w="3804"/>
        <w:gridCol w:w="1255"/>
        <w:gridCol w:w="1304"/>
        <w:gridCol w:w="1351"/>
        <w:gridCol w:w="1368"/>
      </w:tblGrid>
      <w:tr w:rsidR="00D95764" w:rsidRPr="00753A11" w:rsidTr="00FE3BBF">
        <w:trPr>
          <w:tblHeader/>
        </w:trPr>
        <w:tc>
          <w:tcPr>
            <w:tcW w:w="2094" w:type="pct"/>
            <w:vAlign w:val="center"/>
          </w:tcPr>
          <w:p w:rsidR="00D95764" w:rsidRPr="00753A11" w:rsidRDefault="00D95764" w:rsidP="005123EA">
            <w:pPr>
              <w:keepNext/>
              <w:widowControl/>
              <w:jc w:val="left"/>
              <w:rPr>
                <w:rFonts w:ascii="Arial Narrow" w:hAnsi="Arial Narrow" w:cs="Times New Roman"/>
                <w:b/>
                <w:sz w:val="19"/>
                <w:szCs w:val="19"/>
              </w:rPr>
            </w:pPr>
            <w:r w:rsidRPr="00753A11">
              <w:rPr>
                <w:rFonts w:ascii="Arial Narrow" w:hAnsi="Arial Narrow" w:cs="Times New Roman"/>
                <w:b/>
                <w:sz w:val="19"/>
                <w:szCs w:val="19"/>
              </w:rPr>
              <w:t>HPP symptom/complication</w:t>
            </w:r>
          </w:p>
        </w:tc>
        <w:tc>
          <w:tcPr>
            <w:tcW w:w="691" w:type="pct"/>
            <w:vAlign w:val="center"/>
          </w:tcPr>
          <w:p w:rsidR="00D95764" w:rsidRPr="00753A11" w:rsidRDefault="00D95764" w:rsidP="005123EA">
            <w:pPr>
              <w:keepNext/>
              <w:widowControl/>
              <w:jc w:val="center"/>
              <w:rPr>
                <w:rFonts w:ascii="Arial Narrow" w:hAnsi="Arial Narrow"/>
                <w:b/>
                <w:sz w:val="19"/>
                <w:szCs w:val="19"/>
              </w:rPr>
            </w:pPr>
            <w:r w:rsidRPr="00753A11">
              <w:rPr>
                <w:rFonts w:ascii="Arial Narrow" w:hAnsi="Arial Narrow"/>
                <w:b/>
                <w:sz w:val="19"/>
                <w:szCs w:val="19"/>
              </w:rPr>
              <w:t>Severity level I</w:t>
            </w:r>
          </w:p>
          <w:p w:rsidR="00D95764" w:rsidRPr="00753A11" w:rsidRDefault="00D95764" w:rsidP="005123EA">
            <w:pPr>
              <w:keepNext/>
              <w:widowControl/>
              <w:jc w:val="center"/>
              <w:rPr>
                <w:rFonts w:ascii="Arial Narrow" w:hAnsi="Arial Narrow" w:cs="Times New Roman"/>
                <w:b/>
                <w:sz w:val="19"/>
                <w:szCs w:val="19"/>
              </w:rPr>
            </w:pPr>
            <w:r w:rsidRPr="00753A11">
              <w:rPr>
                <w:rFonts w:ascii="Arial Narrow" w:hAnsi="Arial Narrow"/>
                <w:b/>
                <w:sz w:val="19"/>
                <w:szCs w:val="19"/>
              </w:rPr>
              <w:t>% (n/N)</w:t>
            </w:r>
          </w:p>
        </w:tc>
        <w:tc>
          <w:tcPr>
            <w:tcW w:w="718" w:type="pct"/>
            <w:vAlign w:val="center"/>
          </w:tcPr>
          <w:p w:rsidR="00D95764" w:rsidRPr="00753A11" w:rsidRDefault="00D95764" w:rsidP="005123EA">
            <w:pPr>
              <w:keepNext/>
              <w:widowControl/>
              <w:jc w:val="center"/>
              <w:rPr>
                <w:rFonts w:ascii="Arial Narrow" w:hAnsi="Arial Narrow"/>
                <w:b/>
                <w:sz w:val="19"/>
                <w:szCs w:val="19"/>
              </w:rPr>
            </w:pPr>
            <w:r w:rsidRPr="00753A11">
              <w:rPr>
                <w:rFonts w:ascii="Arial Narrow" w:hAnsi="Arial Narrow"/>
                <w:b/>
                <w:sz w:val="19"/>
                <w:szCs w:val="19"/>
              </w:rPr>
              <w:t>Severity level II</w:t>
            </w:r>
          </w:p>
          <w:p w:rsidR="00D95764" w:rsidRPr="00753A11" w:rsidRDefault="00D95764" w:rsidP="005123EA">
            <w:pPr>
              <w:keepNext/>
              <w:widowControl/>
              <w:jc w:val="center"/>
              <w:rPr>
                <w:rFonts w:ascii="Arial Narrow" w:hAnsi="Arial Narrow" w:cs="Times New Roman"/>
                <w:b/>
                <w:sz w:val="19"/>
                <w:szCs w:val="19"/>
              </w:rPr>
            </w:pPr>
            <w:r w:rsidRPr="00753A11">
              <w:rPr>
                <w:rFonts w:ascii="Arial Narrow" w:hAnsi="Arial Narrow"/>
                <w:b/>
                <w:sz w:val="19"/>
                <w:szCs w:val="19"/>
              </w:rPr>
              <w:t>% (n/N)</w:t>
            </w:r>
          </w:p>
        </w:tc>
        <w:tc>
          <w:tcPr>
            <w:tcW w:w="744" w:type="pct"/>
            <w:vAlign w:val="center"/>
          </w:tcPr>
          <w:p w:rsidR="00D95764" w:rsidRPr="00753A11" w:rsidRDefault="00D95764" w:rsidP="005123EA">
            <w:pPr>
              <w:keepNext/>
              <w:widowControl/>
              <w:jc w:val="center"/>
              <w:rPr>
                <w:rFonts w:ascii="Arial Narrow" w:hAnsi="Arial Narrow"/>
                <w:b/>
                <w:sz w:val="19"/>
                <w:szCs w:val="19"/>
              </w:rPr>
            </w:pPr>
            <w:r w:rsidRPr="00753A11">
              <w:rPr>
                <w:rFonts w:ascii="Arial Narrow" w:hAnsi="Arial Narrow"/>
                <w:b/>
                <w:sz w:val="19"/>
                <w:szCs w:val="19"/>
              </w:rPr>
              <w:t>Severity level III</w:t>
            </w:r>
          </w:p>
          <w:p w:rsidR="00D95764" w:rsidRPr="00753A11" w:rsidRDefault="00D95764" w:rsidP="005123EA">
            <w:pPr>
              <w:keepNext/>
              <w:widowControl/>
              <w:jc w:val="center"/>
              <w:rPr>
                <w:rFonts w:ascii="Arial Narrow" w:hAnsi="Arial Narrow" w:cs="Times New Roman"/>
                <w:b/>
                <w:sz w:val="19"/>
                <w:szCs w:val="19"/>
              </w:rPr>
            </w:pPr>
            <w:r w:rsidRPr="00753A11">
              <w:rPr>
                <w:rFonts w:ascii="Arial Narrow" w:hAnsi="Arial Narrow"/>
                <w:b/>
                <w:sz w:val="19"/>
                <w:szCs w:val="19"/>
              </w:rPr>
              <w:t>% (n/N)</w:t>
            </w:r>
          </w:p>
        </w:tc>
        <w:tc>
          <w:tcPr>
            <w:tcW w:w="753" w:type="pct"/>
            <w:vAlign w:val="center"/>
          </w:tcPr>
          <w:p w:rsidR="00D95764" w:rsidRPr="00753A11" w:rsidRDefault="00D95764" w:rsidP="005123EA">
            <w:pPr>
              <w:keepNext/>
              <w:widowControl/>
              <w:jc w:val="center"/>
              <w:rPr>
                <w:rFonts w:ascii="Arial Narrow" w:hAnsi="Arial Narrow"/>
                <w:b/>
                <w:sz w:val="19"/>
                <w:szCs w:val="19"/>
              </w:rPr>
            </w:pPr>
            <w:r w:rsidRPr="00753A11">
              <w:rPr>
                <w:rFonts w:ascii="Arial Narrow" w:hAnsi="Arial Narrow"/>
                <w:b/>
                <w:sz w:val="19"/>
                <w:szCs w:val="19"/>
              </w:rPr>
              <w:t>Severity level IV</w:t>
            </w:r>
          </w:p>
          <w:p w:rsidR="00D95764" w:rsidRPr="00753A11" w:rsidRDefault="00D95764" w:rsidP="005123EA">
            <w:pPr>
              <w:keepNext/>
              <w:widowControl/>
              <w:jc w:val="center"/>
              <w:rPr>
                <w:rFonts w:ascii="Arial Narrow" w:hAnsi="Arial Narrow" w:cs="Times New Roman"/>
                <w:b/>
                <w:sz w:val="19"/>
                <w:szCs w:val="19"/>
              </w:rPr>
            </w:pPr>
            <w:r w:rsidRPr="00753A11">
              <w:rPr>
                <w:rFonts w:ascii="Arial Narrow" w:hAnsi="Arial Narrow"/>
                <w:b/>
                <w:sz w:val="19"/>
                <w:szCs w:val="19"/>
              </w:rPr>
              <w:t>% (n/N)</w:t>
            </w:r>
          </w:p>
        </w:tc>
      </w:tr>
      <w:tr w:rsidR="00D95764" w:rsidRPr="00753A11" w:rsidTr="002757CE">
        <w:tc>
          <w:tcPr>
            <w:tcW w:w="2094" w:type="pct"/>
          </w:tcPr>
          <w:p w:rsidR="00D95764" w:rsidRPr="00753A11" w:rsidRDefault="00D95764" w:rsidP="005123EA">
            <w:pPr>
              <w:keepNext/>
              <w:widowControl/>
              <w:rPr>
                <w:rFonts w:ascii="Arial Narrow" w:hAnsi="Arial Narrow" w:cs="Times New Roman"/>
                <w:sz w:val="19"/>
                <w:szCs w:val="19"/>
              </w:rPr>
            </w:pPr>
            <w:r w:rsidRPr="00753A11">
              <w:rPr>
                <w:rFonts w:ascii="Arial Narrow" w:hAnsi="Arial Narrow"/>
                <w:sz w:val="19"/>
                <w:szCs w:val="19"/>
              </w:rPr>
              <w:t>Respiratory compromise (no ventilation)</w:t>
            </w:r>
          </w:p>
        </w:tc>
        <w:tc>
          <w:tcPr>
            <w:tcW w:w="691"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sz w:val="19"/>
                <w:szCs w:val="19"/>
              </w:rPr>
              <w:t>-</w:t>
            </w:r>
          </w:p>
        </w:tc>
        <w:tc>
          <w:tcPr>
            <w:tcW w:w="718"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50% (3/6)</w:t>
            </w:r>
          </w:p>
        </w:tc>
        <w:tc>
          <w:tcPr>
            <w:tcW w:w="744"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59% (13/22)</w:t>
            </w:r>
          </w:p>
        </w:tc>
        <w:tc>
          <w:tcPr>
            <w:tcW w:w="753"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50% (3/6)</w:t>
            </w:r>
          </w:p>
        </w:tc>
      </w:tr>
      <w:tr w:rsidR="00D95764" w:rsidRPr="00753A11" w:rsidTr="002757CE">
        <w:tc>
          <w:tcPr>
            <w:tcW w:w="2094" w:type="pct"/>
          </w:tcPr>
          <w:p w:rsidR="00D95764" w:rsidRPr="00753A11" w:rsidRDefault="00D95764" w:rsidP="005123EA">
            <w:pPr>
              <w:keepNext/>
              <w:widowControl/>
              <w:rPr>
                <w:rFonts w:ascii="Arial Narrow" w:hAnsi="Arial Narrow" w:cs="Times New Roman"/>
                <w:sz w:val="19"/>
                <w:szCs w:val="19"/>
              </w:rPr>
            </w:pPr>
            <w:r w:rsidRPr="00753A11">
              <w:rPr>
                <w:rFonts w:ascii="Arial Narrow" w:hAnsi="Arial Narrow"/>
                <w:sz w:val="19"/>
                <w:szCs w:val="19"/>
              </w:rPr>
              <w:t>Nausea, vomiting, difficulty to eat; failure to thrive</w:t>
            </w:r>
          </w:p>
        </w:tc>
        <w:tc>
          <w:tcPr>
            <w:tcW w:w="691"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sz w:val="19"/>
                <w:szCs w:val="19"/>
              </w:rPr>
              <w:t>-</w:t>
            </w:r>
          </w:p>
        </w:tc>
        <w:tc>
          <w:tcPr>
            <w:tcW w:w="718"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67% (4/6)</w:t>
            </w:r>
          </w:p>
        </w:tc>
        <w:tc>
          <w:tcPr>
            <w:tcW w:w="744"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50% (27/54)</w:t>
            </w:r>
          </w:p>
        </w:tc>
        <w:tc>
          <w:tcPr>
            <w:tcW w:w="753"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34% (13/38)</w:t>
            </w:r>
          </w:p>
        </w:tc>
      </w:tr>
      <w:tr w:rsidR="00D95764" w:rsidRPr="00753A11" w:rsidTr="002757CE">
        <w:tc>
          <w:tcPr>
            <w:tcW w:w="2094" w:type="pct"/>
            <w:vAlign w:val="center"/>
          </w:tcPr>
          <w:p w:rsidR="00D95764" w:rsidRPr="00753A11" w:rsidRDefault="00D95764" w:rsidP="005123EA">
            <w:pPr>
              <w:keepNext/>
              <w:widowControl/>
              <w:rPr>
                <w:rFonts w:ascii="Arial Narrow" w:hAnsi="Arial Narrow" w:cs="Times New Roman"/>
                <w:sz w:val="19"/>
                <w:szCs w:val="19"/>
              </w:rPr>
            </w:pPr>
            <w:r w:rsidRPr="00753A11">
              <w:rPr>
                <w:rFonts w:ascii="Arial Narrow" w:hAnsi="Arial Narrow"/>
                <w:sz w:val="19"/>
                <w:szCs w:val="19"/>
              </w:rPr>
              <w:t>Bone malformation and fractures</w:t>
            </w:r>
          </w:p>
        </w:tc>
        <w:tc>
          <w:tcPr>
            <w:tcW w:w="691"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sz w:val="19"/>
                <w:szCs w:val="19"/>
              </w:rPr>
              <w:t>-</w:t>
            </w:r>
          </w:p>
        </w:tc>
        <w:tc>
          <w:tcPr>
            <w:tcW w:w="718"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33% (2/6)</w:t>
            </w:r>
          </w:p>
        </w:tc>
        <w:tc>
          <w:tcPr>
            <w:tcW w:w="744"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10% (9/87)</w:t>
            </w:r>
          </w:p>
        </w:tc>
        <w:tc>
          <w:tcPr>
            <w:tcW w:w="753"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9% (6/70)</w:t>
            </w:r>
          </w:p>
        </w:tc>
      </w:tr>
      <w:tr w:rsidR="00D95764" w:rsidRPr="00753A11" w:rsidTr="002757CE">
        <w:tc>
          <w:tcPr>
            <w:tcW w:w="2094" w:type="pct"/>
          </w:tcPr>
          <w:p w:rsidR="00D95764" w:rsidRPr="00753A11" w:rsidRDefault="00D95764" w:rsidP="005123EA">
            <w:pPr>
              <w:keepNext/>
              <w:widowControl/>
              <w:rPr>
                <w:rFonts w:ascii="Arial Narrow" w:hAnsi="Arial Narrow" w:cs="Times New Roman"/>
                <w:sz w:val="19"/>
                <w:szCs w:val="19"/>
              </w:rPr>
            </w:pPr>
            <w:r w:rsidRPr="00753A11">
              <w:rPr>
                <w:rFonts w:ascii="Arial Narrow" w:hAnsi="Arial Narrow"/>
                <w:sz w:val="19"/>
                <w:szCs w:val="19"/>
              </w:rPr>
              <w:t>Renal compromise</w:t>
            </w:r>
          </w:p>
        </w:tc>
        <w:tc>
          <w:tcPr>
            <w:tcW w:w="691"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sz w:val="19"/>
                <w:szCs w:val="19"/>
              </w:rPr>
              <w:t>-</w:t>
            </w:r>
          </w:p>
        </w:tc>
        <w:tc>
          <w:tcPr>
            <w:tcW w:w="718"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33% (2/6)</w:t>
            </w:r>
          </w:p>
        </w:tc>
        <w:tc>
          <w:tcPr>
            <w:tcW w:w="744"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10% (9/87)</w:t>
            </w:r>
          </w:p>
        </w:tc>
        <w:tc>
          <w:tcPr>
            <w:tcW w:w="753"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9% (6/70)</w:t>
            </w:r>
          </w:p>
        </w:tc>
      </w:tr>
      <w:tr w:rsidR="00D95764" w:rsidRPr="00753A11" w:rsidTr="002757CE">
        <w:tc>
          <w:tcPr>
            <w:tcW w:w="2094" w:type="pct"/>
          </w:tcPr>
          <w:p w:rsidR="00D95764" w:rsidRPr="00753A11" w:rsidRDefault="00D95764" w:rsidP="005123EA">
            <w:pPr>
              <w:keepNext/>
              <w:widowControl/>
              <w:rPr>
                <w:rFonts w:ascii="Arial Narrow" w:hAnsi="Arial Narrow"/>
                <w:sz w:val="19"/>
                <w:szCs w:val="19"/>
              </w:rPr>
            </w:pPr>
            <w:r w:rsidRPr="00753A11">
              <w:rPr>
                <w:rFonts w:ascii="Arial Narrow" w:hAnsi="Arial Narrow"/>
                <w:sz w:val="19"/>
                <w:szCs w:val="19"/>
              </w:rPr>
              <w:t>Growth impairment and delay</w:t>
            </w:r>
          </w:p>
        </w:tc>
        <w:tc>
          <w:tcPr>
            <w:tcW w:w="691" w:type="pct"/>
            <w:vAlign w:val="center"/>
          </w:tcPr>
          <w:p w:rsidR="00D95764" w:rsidRPr="00753A11" w:rsidRDefault="00D95764" w:rsidP="005123EA">
            <w:pPr>
              <w:keepNext/>
              <w:widowControl/>
              <w:jc w:val="center"/>
              <w:rPr>
                <w:rFonts w:ascii="Arial Narrow" w:hAnsi="Arial Narrow"/>
                <w:sz w:val="19"/>
                <w:szCs w:val="19"/>
              </w:rPr>
            </w:pPr>
            <w:r w:rsidRPr="00753A11">
              <w:rPr>
                <w:rFonts w:ascii="Arial Narrow" w:hAnsi="Arial Narrow"/>
                <w:sz w:val="19"/>
                <w:szCs w:val="19"/>
              </w:rPr>
              <w:t>-</w:t>
            </w:r>
          </w:p>
        </w:tc>
        <w:tc>
          <w:tcPr>
            <w:tcW w:w="718"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17% (1/6)</w:t>
            </w:r>
          </w:p>
        </w:tc>
        <w:tc>
          <w:tcPr>
            <w:tcW w:w="744"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72% 62/86)</w:t>
            </w:r>
          </w:p>
        </w:tc>
        <w:tc>
          <w:tcPr>
            <w:tcW w:w="753"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71% (50/70)</w:t>
            </w:r>
          </w:p>
        </w:tc>
      </w:tr>
      <w:tr w:rsidR="00D95764" w:rsidRPr="00753A11" w:rsidTr="002757CE">
        <w:tc>
          <w:tcPr>
            <w:tcW w:w="2094" w:type="pct"/>
          </w:tcPr>
          <w:p w:rsidR="00D95764" w:rsidRPr="00753A11" w:rsidRDefault="00D95764" w:rsidP="005123EA">
            <w:pPr>
              <w:keepNext/>
              <w:widowControl/>
              <w:rPr>
                <w:rFonts w:ascii="Arial Narrow" w:hAnsi="Arial Narrow" w:cs="Times New Roman"/>
                <w:sz w:val="19"/>
                <w:szCs w:val="19"/>
              </w:rPr>
            </w:pPr>
            <w:r w:rsidRPr="00753A11">
              <w:rPr>
                <w:rFonts w:ascii="Arial Narrow" w:hAnsi="Arial Narrow"/>
                <w:sz w:val="19"/>
                <w:szCs w:val="19"/>
              </w:rPr>
              <w:t>Seizure</w:t>
            </w:r>
          </w:p>
        </w:tc>
        <w:tc>
          <w:tcPr>
            <w:tcW w:w="691"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sz w:val="19"/>
                <w:szCs w:val="19"/>
              </w:rPr>
              <w:t>-</w:t>
            </w:r>
          </w:p>
        </w:tc>
        <w:tc>
          <w:tcPr>
            <w:tcW w:w="718"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50% (3/6)</w:t>
            </w:r>
          </w:p>
        </w:tc>
        <w:tc>
          <w:tcPr>
            <w:tcW w:w="744"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9% (5/54)</w:t>
            </w:r>
          </w:p>
        </w:tc>
        <w:tc>
          <w:tcPr>
            <w:tcW w:w="753"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5% (2/38)</w:t>
            </w:r>
          </w:p>
        </w:tc>
      </w:tr>
      <w:tr w:rsidR="00D95764" w:rsidRPr="00753A11" w:rsidTr="002757CE">
        <w:tc>
          <w:tcPr>
            <w:tcW w:w="2094" w:type="pct"/>
          </w:tcPr>
          <w:p w:rsidR="00D95764" w:rsidRPr="00753A11" w:rsidRDefault="00D95764" w:rsidP="005123EA">
            <w:pPr>
              <w:keepNext/>
              <w:widowControl/>
              <w:rPr>
                <w:rFonts w:ascii="Arial Narrow" w:hAnsi="Arial Narrow"/>
                <w:sz w:val="19"/>
                <w:szCs w:val="19"/>
              </w:rPr>
            </w:pPr>
            <w:r w:rsidRPr="00753A11">
              <w:rPr>
                <w:rFonts w:ascii="Arial Narrow" w:hAnsi="Arial Narrow"/>
                <w:sz w:val="19"/>
                <w:szCs w:val="19"/>
              </w:rPr>
              <w:t>Bone/joint/muscle pain</w:t>
            </w:r>
          </w:p>
        </w:tc>
        <w:tc>
          <w:tcPr>
            <w:tcW w:w="691" w:type="pct"/>
            <w:vAlign w:val="center"/>
          </w:tcPr>
          <w:p w:rsidR="00D95764" w:rsidRPr="00753A11" w:rsidRDefault="00D95764" w:rsidP="005123EA">
            <w:pPr>
              <w:keepNext/>
              <w:widowControl/>
              <w:jc w:val="center"/>
              <w:rPr>
                <w:rFonts w:ascii="Arial Narrow" w:hAnsi="Arial Narrow"/>
                <w:sz w:val="19"/>
                <w:szCs w:val="19"/>
              </w:rPr>
            </w:pPr>
            <w:r w:rsidRPr="00753A11">
              <w:rPr>
                <w:rFonts w:ascii="Arial Narrow" w:hAnsi="Arial Narrow"/>
                <w:sz w:val="19"/>
                <w:szCs w:val="19"/>
              </w:rPr>
              <w:t>-</w:t>
            </w:r>
          </w:p>
        </w:tc>
        <w:tc>
          <w:tcPr>
            <w:tcW w:w="718"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100% (6/6)</w:t>
            </w:r>
          </w:p>
        </w:tc>
        <w:tc>
          <w:tcPr>
            <w:tcW w:w="744"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71% (62/87)</w:t>
            </w:r>
          </w:p>
        </w:tc>
        <w:tc>
          <w:tcPr>
            <w:tcW w:w="753"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64% (45/70)</w:t>
            </w:r>
          </w:p>
        </w:tc>
      </w:tr>
      <w:tr w:rsidR="00D95764" w:rsidRPr="00753A11" w:rsidTr="002757CE">
        <w:tc>
          <w:tcPr>
            <w:tcW w:w="2094" w:type="pct"/>
          </w:tcPr>
          <w:p w:rsidR="00D95764" w:rsidRPr="00753A11" w:rsidRDefault="00D95764" w:rsidP="005123EA">
            <w:pPr>
              <w:keepNext/>
              <w:widowControl/>
              <w:rPr>
                <w:rFonts w:ascii="Arial Narrow" w:hAnsi="Arial Narrow" w:cs="Times New Roman"/>
                <w:sz w:val="19"/>
                <w:szCs w:val="19"/>
              </w:rPr>
            </w:pPr>
            <w:r w:rsidRPr="00753A11">
              <w:rPr>
                <w:rFonts w:ascii="Arial Narrow" w:hAnsi="Arial Narrow"/>
                <w:sz w:val="19"/>
                <w:szCs w:val="19"/>
              </w:rPr>
              <w:t>Dental problems</w:t>
            </w:r>
          </w:p>
        </w:tc>
        <w:tc>
          <w:tcPr>
            <w:tcW w:w="691"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sz w:val="19"/>
                <w:szCs w:val="19"/>
              </w:rPr>
              <w:t>94% (66/70)</w:t>
            </w:r>
          </w:p>
        </w:tc>
        <w:tc>
          <w:tcPr>
            <w:tcW w:w="718"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94% (66/70)</w:t>
            </w:r>
          </w:p>
        </w:tc>
        <w:tc>
          <w:tcPr>
            <w:tcW w:w="744"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93% (80/86)</w:t>
            </w:r>
          </w:p>
        </w:tc>
        <w:tc>
          <w:tcPr>
            <w:tcW w:w="753" w:type="pct"/>
            <w:vAlign w:val="center"/>
          </w:tcPr>
          <w:p w:rsidR="00D95764" w:rsidRPr="00753A11" w:rsidRDefault="00D95764" w:rsidP="005123EA">
            <w:pPr>
              <w:keepNext/>
              <w:widowControl/>
              <w:jc w:val="center"/>
              <w:rPr>
                <w:rFonts w:ascii="Arial Narrow" w:hAnsi="Arial Narrow" w:cs="Times New Roman"/>
                <w:sz w:val="19"/>
                <w:szCs w:val="19"/>
              </w:rPr>
            </w:pPr>
            <w:r w:rsidRPr="00753A11">
              <w:rPr>
                <w:rFonts w:ascii="Arial Narrow" w:hAnsi="Arial Narrow" w:cs="Times New Roman"/>
                <w:sz w:val="19"/>
                <w:szCs w:val="19"/>
              </w:rPr>
              <w:t>91% (64/70)</w:t>
            </w:r>
          </w:p>
        </w:tc>
      </w:tr>
    </w:tbl>
    <w:p w:rsidR="00D95764" w:rsidRPr="00753A11" w:rsidRDefault="00D95764" w:rsidP="005123EA">
      <w:pPr>
        <w:widowControl/>
        <w:rPr>
          <w:rFonts w:ascii="Arial Narrow" w:hAnsi="Arial Narrow"/>
          <w:sz w:val="18"/>
          <w:szCs w:val="18"/>
        </w:rPr>
      </w:pPr>
      <w:r w:rsidRPr="00753A11">
        <w:rPr>
          <w:rFonts w:ascii="Arial Narrow" w:hAnsi="Arial Narrow"/>
          <w:sz w:val="18"/>
          <w:szCs w:val="18"/>
        </w:rPr>
        <w:t>Severity level I = 6MWT score &gt; 82.2% of predicted value; Severity level II = 82.2% ≥ 6MWT score &gt; 64.4% of predicted value; Severity level III = 64.4% ≥ 6MWT score &gt; 46.6% of predicted value; Severity level IV = 6MWT score ≤ 46.6% of predicted value.  For patients aged &lt;5 years (for whom the 6MWT score is not relevant) relative disease severities between Severity levels are the same as for patients aged ≥5 years</w:t>
      </w:r>
    </w:p>
    <w:p w:rsidR="00D95764" w:rsidRPr="00753A11" w:rsidRDefault="00D95764" w:rsidP="005123EA">
      <w:pPr>
        <w:widowControl/>
        <w:rPr>
          <w:rFonts w:ascii="Arial Narrow" w:hAnsi="Arial Narrow"/>
          <w:sz w:val="18"/>
          <w:szCs w:val="18"/>
        </w:rPr>
      </w:pPr>
      <w:r w:rsidRPr="00753A11">
        <w:rPr>
          <w:rFonts w:ascii="Arial Narrow" w:hAnsi="Arial Narrow"/>
          <w:sz w:val="18"/>
          <w:szCs w:val="18"/>
        </w:rPr>
        <w:t>Source: Table C.6.3, pp38-39 of Sections C to F of the submission</w:t>
      </w:r>
    </w:p>
    <w:p w:rsidR="00B10DD6" w:rsidRDefault="00B10DD6" w:rsidP="005123EA">
      <w:pPr>
        <w:pStyle w:val="Heading2"/>
        <w:keepNext/>
        <w:widowControl/>
      </w:pPr>
      <w:bookmarkStart w:id="47" w:name="_Toc413139283"/>
      <w:bookmarkStart w:id="48" w:name="_Toc476306893"/>
      <w:bookmarkStart w:id="49" w:name="_Toc481339869"/>
      <w:bookmarkStart w:id="50" w:name="_Toc481410714"/>
      <w:r w:rsidRPr="00DD48DB">
        <w:t>Drug cost/patient/year</w:t>
      </w:r>
      <w:bookmarkEnd w:id="47"/>
      <w:bookmarkEnd w:id="48"/>
      <w:bookmarkEnd w:id="49"/>
      <w:bookmarkEnd w:id="50"/>
    </w:p>
    <w:p w:rsidR="002757CE" w:rsidRDefault="002757CE" w:rsidP="002757CE">
      <w:pPr>
        <w:pStyle w:val="Caption"/>
      </w:pPr>
      <w:r>
        <w:t xml:space="preserve">Table </w:t>
      </w:r>
      <w:r>
        <w:rPr>
          <w:noProof/>
        </w:rPr>
        <w:t>13</w:t>
      </w:r>
      <w:r w:rsidRPr="00AF0E42">
        <w:t>: Drug cost per patient per year by age</w:t>
      </w:r>
    </w:p>
    <w:tbl>
      <w:tblPr>
        <w:tblStyle w:val="TableGrid"/>
        <w:tblW w:w="9067" w:type="dxa"/>
        <w:tblLayout w:type="fixed"/>
        <w:tblCellMar>
          <w:left w:w="28" w:type="dxa"/>
          <w:right w:w="28" w:type="dxa"/>
        </w:tblCellMar>
        <w:tblLook w:val="04A0" w:firstRow="1" w:lastRow="0" w:firstColumn="1" w:lastColumn="0" w:noHBand="0" w:noVBand="1"/>
        <w:tblCaption w:val="Drug cost per patient per year by age"/>
      </w:tblPr>
      <w:tblGrid>
        <w:gridCol w:w="988"/>
        <w:gridCol w:w="1417"/>
        <w:gridCol w:w="992"/>
        <w:gridCol w:w="1276"/>
        <w:gridCol w:w="851"/>
        <w:gridCol w:w="1275"/>
        <w:gridCol w:w="1134"/>
        <w:gridCol w:w="1134"/>
      </w:tblGrid>
      <w:tr w:rsidR="00A172BA" w:rsidRPr="00FB40D4" w:rsidTr="00FE3BBF">
        <w:trPr>
          <w:tblHeader/>
        </w:trPr>
        <w:tc>
          <w:tcPr>
            <w:tcW w:w="988" w:type="dxa"/>
            <w:vAlign w:val="center"/>
          </w:tcPr>
          <w:p w:rsidR="00A172BA" w:rsidRPr="00FB40D4" w:rsidRDefault="00A172BA" w:rsidP="005123EA">
            <w:pPr>
              <w:keepNext/>
              <w:widowControl/>
              <w:jc w:val="center"/>
              <w:rPr>
                <w:rFonts w:ascii="Arial Narrow" w:hAnsi="Arial Narrow"/>
                <w:b/>
                <w:sz w:val="20"/>
              </w:rPr>
            </w:pPr>
            <w:r w:rsidRPr="00FB40D4">
              <w:rPr>
                <w:rFonts w:ascii="Arial Narrow" w:hAnsi="Arial Narrow"/>
                <w:b/>
                <w:sz w:val="20"/>
              </w:rPr>
              <w:t>Age (years)</w:t>
            </w:r>
          </w:p>
        </w:tc>
        <w:tc>
          <w:tcPr>
            <w:tcW w:w="1417" w:type="dxa"/>
            <w:vMerge w:val="restart"/>
          </w:tcPr>
          <w:p w:rsidR="00A172BA" w:rsidRPr="00FB40D4" w:rsidRDefault="00A172BA" w:rsidP="005123EA">
            <w:pPr>
              <w:keepNext/>
              <w:widowControl/>
              <w:jc w:val="center"/>
              <w:rPr>
                <w:rFonts w:ascii="Arial Narrow" w:hAnsi="Arial Narrow"/>
                <w:b/>
                <w:sz w:val="20"/>
                <w:vertAlign w:val="superscript"/>
              </w:rPr>
            </w:pPr>
            <w:r w:rsidRPr="00FB40D4">
              <w:rPr>
                <w:rFonts w:ascii="Arial Narrow" w:hAnsi="Arial Narrow"/>
                <w:b/>
                <w:sz w:val="20"/>
              </w:rPr>
              <w:t>Average patient weight (kg)</w:t>
            </w:r>
            <w:r w:rsidRPr="00FB40D4">
              <w:rPr>
                <w:rFonts w:ascii="Arial Narrow" w:hAnsi="Arial Narrow"/>
                <w:b/>
                <w:sz w:val="20"/>
                <w:vertAlign w:val="superscript"/>
              </w:rPr>
              <w:t>a</w:t>
            </w:r>
          </w:p>
        </w:tc>
        <w:tc>
          <w:tcPr>
            <w:tcW w:w="992" w:type="dxa"/>
            <w:vMerge w:val="restart"/>
            <w:vAlign w:val="center"/>
          </w:tcPr>
          <w:p w:rsidR="00A172BA" w:rsidRPr="00FB40D4" w:rsidRDefault="00A172BA" w:rsidP="005123EA">
            <w:pPr>
              <w:keepNext/>
              <w:widowControl/>
              <w:jc w:val="center"/>
              <w:rPr>
                <w:rFonts w:ascii="Arial Narrow" w:hAnsi="Arial Narrow"/>
                <w:b/>
                <w:sz w:val="20"/>
                <w:vertAlign w:val="superscript"/>
              </w:rPr>
            </w:pPr>
            <w:r w:rsidRPr="00FB40D4">
              <w:rPr>
                <w:rFonts w:ascii="Arial Narrow" w:hAnsi="Arial Narrow"/>
                <w:b/>
                <w:sz w:val="20"/>
              </w:rPr>
              <w:t>mg/</w:t>
            </w:r>
            <w:proofErr w:type="spellStart"/>
            <w:r w:rsidRPr="00FB40D4">
              <w:rPr>
                <w:rFonts w:ascii="Arial Narrow" w:hAnsi="Arial Narrow"/>
                <w:b/>
                <w:sz w:val="20"/>
              </w:rPr>
              <w:t>dose</w:t>
            </w:r>
            <w:r w:rsidRPr="00FB40D4">
              <w:rPr>
                <w:rFonts w:ascii="Arial Narrow" w:hAnsi="Arial Narrow"/>
                <w:b/>
                <w:sz w:val="20"/>
                <w:vertAlign w:val="superscript"/>
              </w:rPr>
              <w:t>b</w:t>
            </w:r>
            <w:proofErr w:type="spellEnd"/>
          </w:p>
        </w:tc>
        <w:tc>
          <w:tcPr>
            <w:tcW w:w="1276" w:type="dxa"/>
            <w:vMerge w:val="restart"/>
          </w:tcPr>
          <w:p w:rsidR="00A172BA" w:rsidRPr="00FB40D4" w:rsidRDefault="00A172BA" w:rsidP="005123EA">
            <w:pPr>
              <w:keepNext/>
              <w:widowControl/>
              <w:jc w:val="center"/>
              <w:rPr>
                <w:rFonts w:ascii="Arial Narrow" w:hAnsi="Arial Narrow"/>
                <w:b/>
                <w:sz w:val="20"/>
              </w:rPr>
            </w:pPr>
            <w:r w:rsidRPr="00FB40D4">
              <w:rPr>
                <w:rFonts w:ascii="Arial Narrow" w:hAnsi="Arial Narrow"/>
                <w:b/>
                <w:sz w:val="20"/>
              </w:rPr>
              <w:t>Vial strength dispensed (mg)</w:t>
            </w:r>
          </w:p>
        </w:tc>
        <w:tc>
          <w:tcPr>
            <w:tcW w:w="851" w:type="dxa"/>
            <w:vMerge w:val="restart"/>
          </w:tcPr>
          <w:p w:rsidR="00A172BA" w:rsidRPr="00FB40D4" w:rsidRDefault="00A172BA" w:rsidP="005123EA">
            <w:pPr>
              <w:keepNext/>
              <w:widowControl/>
              <w:jc w:val="center"/>
              <w:rPr>
                <w:rFonts w:ascii="Arial Narrow" w:hAnsi="Arial Narrow"/>
                <w:b/>
                <w:sz w:val="20"/>
              </w:rPr>
            </w:pPr>
            <w:r w:rsidRPr="00FB40D4">
              <w:rPr>
                <w:rFonts w:ascii="Arial Narrow" w:hAnsi="Arial Narrow"/>
                <w:b/>
                <w:sz w:val="20"/>
              </w:rPr>
              <w:t>Vials/ week</w:t>
            </w:r>
          </w:p>
        </w:tc>
        <w:tc>
          <w:tcPr>
            <w:tcW w:w="1275" w:type="dxa"/>
            <w:vMerge w:val="restart"/>
          </w:tcPr>
          <w:p w:rsidR="00A172BA" w:rsidRPr="00FB40D4" w:rsidRDefault="00A172BA" w:rsidP="005123EA">
            <w:pPr>
              <w:keepNext/>
              <w:widowControl/>
              <w:jc w:val="center"/>
              <w:rPr>
                <w:rFonts w:ascii="Arial Narrow" w:hAnsi="Arial Narrow"/>
                <w:b/>
                <w:sz w:val="20"/>
              </w:rPr>
            </w:pPr>
            <w:r w:rsidRPr="00FB40D4">
              <w:rPr>
                <w:rFonts w:ascii="Arial Narrow" w:hAnsi="Arial Narrow"/>
                <w:b/>
                <w:sz w:val="20"/>
              </w:rPr>
              <w:t>Total mg dispensed/year</w:t>
            </w:r>
          </w:p>
        </w:tc>
        <w:tc>
          <w:tcPr>
            <w:tcW w:w="2268" w:type="dxa"/>
            <w:gridSpan w:val="2"/>
            <w:vAlign w:val="center"/>
          </w:tcPr>
          <w:p w:rsidR="00A172BA" w:rsidRPr="00FB40D4" w:rsidRDefault="00A172BA" w:rsidP="005123EA">
            <w:pPr>
              <w:keepNext/>
              <w:widowControl/>
              <w:jc w:val="center"/>
              <w:rPr>
                <w:rFonts w:ascii="Arial Narrow" w:hAnsi="Arial Narrow"/>
                <w:b/>
                <w:sz w:val="20"/>
                <w:vertAlign w:val="superscript"/>
              </w:rPr>
            </w:pPr>
            <w:proofErr w:type="spellStart"/>
            <w:r w:rsidRPr="00FB40D4">
              <w:rPr>
                <w:rFonts w:ascii="Arial Narrow" w:hAnsi="Arial Narrow"/>
                <w:b/>
                <w:sz w:val="20"/>
              </w:rPr>
              <w:t>Cost</w:t>
            </w:r>
            <w:r w:rsidRPr="00FB40D4">
              <w:rPr>
                <w:rFonts w:ascii="Arial Narrow" w:hAnsi="Arial Narrow"/>
                <w:b/>
                <w:sz w:val="20"/>
                <w:vertAlign w:val="superscript"/>
              </w:rPr>
              <w:t>c</w:t>
            </w:r>
            <w:proofErr w:type="spellEnd"/>
          </w:p>
        </w:tc>
      </w:tr>
      <w:tr w:rsidR="00A172BA" w:rsidRPr="00FB40D4" w:rsidTr="00FE3BBF">
        <w:trPr>
          <w:tblHeader/>
        </w:trPr>
        <w:tc>
          <w:tcPr>
            <w:tcW w:w="988" w:type="dxa"/>
            <w:vAlign w:val="center"/>
          </w:tcPr>
          <w:p w:rsidR="00A172BA" w:rsidRPr="00FB40D4" w:rsidRDefault="00A172BA" w:rsidP="005123EA">
            <w:pPr>
              <w:keepNext/>
              <w:widowControl/>
              <w:jc w:val="center"/>
              <w:rPr>
                <w:rFonts w:ascii="Arial Narrow" w:hAnsi="Arial Narrow"/>
                <w:b/>
                <w:sz w:val="20"/>
                <w:vertAlign w:val="superscript"/>
              </w:rPr>
            </w:pPr>
            <w:proofErr w:type="spellStart"/>
            <w:r w:rsidRPr="00FB40D4">
              <w:rPr>
                <w:rFonts w:ascii="Arial Narrow" w:hAnsi="Arial Narrow"/>
                <w:b/>
                <w:sz w:val="20"/>
              </w:rPr>
              <w:t>Range</w:t>
            </w:r>
            <w:r w:rsidRPr="00FB40D4">
              <w:rPr>
                <w:rFonts w:ascii="Arial Narrow" w:hAnsi="Arial Narrow"/>
                <w:b/>
                <w:sz w:val="20"/>
                <w:vertAlign w:val="superscript"/>
              </w:rPr>
              <w:t>a</w:t>
            </w:r>
            <w:proofErr w:type="spellEnd"/>
          </w:p>
        </w:tc>
        <w:tc>
          <w:tcPr>
            <w:tcW w:w="1417" w:type="dxa"/>
            <w:vMerge/>
          </w:tcPr>
          <w:p w:rsidR="00A172BA" w:rsidRPr="00FB40D4" w:rsidRDefault="00A172BA" w:rsidP="005123EA">
            <w:pPr>
              <w:keepNext/>
              <w:widowControl/>
              <w:jc w:val="center"/>
              <w:rPr>
                <w:rFonts w:ascii="Arial Narrow" w:hAnsi="Arial Narrow"/>
                <w:b/>
                <w:sz w:val="20"/>
              </w:rPr>
            </w:pPr>
          </w:p>
        </w:tc>
        <w:tc>
          <w:tcPr>
            <w:tcW w:w="992" w:type="dxa"/>
            <w:vMerge/>
          </w:tcPr>
          <w:p w:rsidR="00A172BA" w:rsidRPr="00FB40D4" w:rsidRDefault="00A172BA" w:rsidP="005123EA">
            <w:pPr>
              <w:keepNext/>
              <w:widowControl/>
              <w:jc w:val="center"/>
              <w:rPr>
                <w:rFonts w:ascii="Arial Narrow" w:hAnsi="Arial Narrow"/>
                <w:b/>
                <w:sz w:val="20"/>
              </w:rPr>
            </w:pPr>
          </w:p>
        </w:tc>
        <w:tc>
          <w:tcPr>
            <w:tcW w:w="1276" w:type="dxa"/>
            <w:vMerge/>
          </w:tcPr>
          <w:p w:rsidR="00A172BA" w:rsidRPr="00FB40D4" w:rsidRDefault="00A172BA" w:rsidP="005123EA">
            <w:pPr>
              <w:keepNext/>
              <w:widowControl/>
              <w:jc w:val="center"/>
              <w:rPr>
                <w:rFonts w:ascii="Arial Narrow" w:hAnsi="Arial Narrow"/>
                <w:b/>
                <w:sz w:val="20"/>
              </w:rPr>
            </w:pPr>
          </w:p>
        </w:tc>
        <w:tc>
          <w:tcPr>
            <w:tcW w:w="851" w:type="dxa"/>
            <w:vMerge/>
          </w:tcPr>
          <w:p w:rsidR="00A172BA" w:rsidRPr="00FB40D4" w:rsidRDefault="00A172BA" w:rsidP="005123EA">
            <w:pPr>
              <w:keepNext/>
              <w:widowControl/>
              <w:jc w:val="center"/>
              <w:rPr>
                <w:rFonts w:ascii="Arial Narrow" w:hAnsi="Arial Narrow"/>
                <w:b/>
                <w:sz w:val="20"/>
              </w:rPr>
            </w:pPr>
          </w:p>
        </w:tc>
        <w:tc>
          <w:tcPr>
            <w:tcW w:w="1275" w:type="dxa"/>
            <w:vMerge/>
          </w:tcPr>
          <w:p w:rsidR="00A172BA" w:rsidRPr="00FB40D4" w:rsidRDefault="00A172BA" w:rsidP="005123EA">
            <w:pPr>
              <w:keepNext/>
              <w:widowControl/>
              <w:jc w:val="center"/>
              <w:rPr>
                <w:rFonts w:ascii="Arial Narrow" w:hAnsi="Arial Narrow"/>
                <w:b/>
                <w:sz w:val="20"/>
              </w:rPr>
            </w:pPr>
          </w:p>
        </w:tc>
        <w:tc>
          <w:tcPr>
            <w:tcW w:w="1134" w:type="dxa"/>
            <w:vAlign w:val="center"/>
          </w:tcPr>
          <w:p w:rsidR="00A172BA" w:rsidRPr="00FB40D4" w:rsidRDefault="00A172BA" w:rsidP="005123EA">
            <w:pPr>
              <w:keepNext/>
              <w:widowControl/>
              <w:jc w:val="center"/>
              <w:rPr>
                <w:rFonts w:ascii="Arial Narrow" w:hAnsi="Arial Narrow"/>
                <w:b/>
                <w:sz w:val="20"/>
              </w:rPr>
            </w:pPr>
            <w:r w:rsidRPr="00845BC4">
              <w:rPr>
                <w:rFonts w:ascii="Arial Narrow" w:hAnsi="Arial Narrow"/>
                <w:b/>
                <w:sz w:val="20"/>
              </w:rPr>
              <w:t>With cap</w:t>
            </w:r>
            <w:r w:rsidRPr="00FB40D4">
              <w:rPr>
                <w:rFonts w:ascii="Arial Narrow" w:hAnsi="Arial Narrow"/>
                <w:b/>
                <w:sz w:val="20"/>
              </w:rPr>
              <w:t xml:space="preserve"> </w:t>
            </w:r>
          </w:p>
        </w:tc>
        <w:tc>
          <w:tcPr>
            <w:tcW w:w="1134" w:type="dxa"/>
            <w:vAlign w:val="center"/>
          </w:tcPr>
          <w:p w:rsidR="00A172BA" w:rsidRPr="00FB40D4" w:rsidRDefault="00A172BA" w:rsidP="005123EA">
            <w:pPr>
              <w:keepNext/>
              <w:widowControl/>
              <w:jc w:val="center"/>
              <w:rPr>
                <w:rFonts w:ascii="Arial Narrow" w:hAnsi="Arial Narrow"/>
                <w:b/>
                <w:sz w:val="20"/>
              </w:rPr>
            </w:pPr>
            <w:r w:rsidRPr="00845BC4">
              <w:rPr>
                <w:rFonts w:ascii="Arial Narrow" w:hAnsi="Arial Narrow"/>
                <w:b/>
                <w:sz w:val="20"/>
              </w:rPr>
              <w:t>Without cap</w:t>
            </w:r>
          </w:p>
        </w:tc>
      </w:tr>
      <w:tr w:rsidR="00A172BA" w:rsidRPr="00FB40D4" w:rsidTr="00A172BA">
        <w:tc>
          <w:tcPr>
            <w:tcW w:w="988"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0-1</w:t>
            </w:r>
          </w:p>
        </w:tc>
        <w:tc>
          <w:tcPr>
            <w:tcW w:w="1417"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5.3</w:t>
            </w:r>
          </w:p>
        </w:tc>
        <w:tc>
          <w:tcPr>
            <w:tcW w:w="992"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10.6</w:t>
            </w:r>
          </w:p>
        </w:tc>
        <w:tc>
          <w:tcPr>
            <w:tcW w:w="1276"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18</w:t>
            </w:r>
          </w:p>
        </w:tc>
        <w:tc>
          <w:tcPr>
            <w:tcW w:w="851"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3</w:t>
            </w:r>
          </w:p>
        </w:tc>
        <w:tc>
          <w:tcPr>
            <w:tcW w:w="1275"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2,808</w:t>
            </w:r>
          </w:p>
        </w:tc>
        <w:tc>
          <w:tcPr>
            <w:tcW w:w="1134"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w:t>
            </w:r>
            <w:r w:rsidR="00551B2E">
              <w:rPr>
                <w:rFonts w:ascii="Arial Narrow" w:hAnsi="Arial Narrow"/>
                <w:noProof/>
                <w:color w:val="000000"/>
                <w:sz w:val="20"/>
                <w:highlight w:val="black"/>
              </w:rPr>
              <w:t>''''''''''''''''''</w:t>
            </w:r>
          </w:p>
        </w:tc>
        <w:tc>
          <w:tcPr>
            <w:tcW w:w="1134"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w:t>
            </w:r>
            <w:r w:rsidR="00551B2E">
              <w:rPr>
                <w:rFonts w:ascii="Arial Narrow" w:hAnsi="Arial Narrow"/>
                <w:noProof/>
                <w:color w:val="000000"/>
                <w:sz w:val="20"/>
                <w:highlight w:val="black"/>
              </w:rPr>
              <w:t>'''''''''''''''''''''</w:t>
            </w:r>
          </w:p>
        </w:tc>
      </w:tr>
      <w:tr w:rsidR="00A172BA" w:rsidRPr="00FB40D4" w:rsidTr="00A172BA">
        <w:tc>
          <w:tcPr>
            <w:tcW w:w="988"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1-4</w:t>
            </w:r>
          </w:p>
        </w:tc>
        <w:tc>
          <w:tcPr>
            <w:tcW w:w="1417"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12.5</w:t>
            </w:r>
          </w:p>
        </w:tc>
        <w:tc>
          <w:tcPr>
            <w:tcW w:w="992"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25.0</w:t>
            </w:r>
          </w:p>
        </w:tc>
        <w:tc>
          <w:tcPr>
            <w:tcW w:w="1276"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28</w:t>
            </w:r>
          </w:p>
        </w:tc>
        <w:tc>
          <w:tcPr>
            <w:tcW w:w="851"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3</w:t>
            </w:r>
          </w:p>
        </w:tc>
        <w:tc>
          <w:tcPr>
            <w:tcW w:w="1275"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4,368</w:t>
            </w:r>
          </w:p>
        </w:tc>
        <w:tc>
          <w:tcPr>
            <w:tcW w:w="1134" w:type="dxa"/>
            <w:vAlign w:val="center"/>
          </w:tcPr>
          <w:p w:rsidR="00A172BA" w:rsidRPr="00FB40D4" w:rsidRDefault="00A172BA" w:rsidP="005123EA">
            <w:pPr>
              <w:keepNext/>
              <w:widowControl/>
              <w:jc w:val="center"/>
              <w:rPr>
                <w:rFonts w:ascii="Arial Narrow" w:hAnsi="Arial Narrow"/>
                <w:sz w:val="20"/>
                <w:vertAlign w:val="superscript"/>
              </w:rPr>
            </w:pPr>
            <w:r w:rsidRPr="00FB40D4">
              <w:rPr>
                <w:rFonts w:ascii="Arial Narrow" w:hAnsi="Arial Narrow"/>
                <w:sz w:val="20"/>
              </w:rPr>
              <w:t>$</w:t>
            </w:r>
            <w:r w:rsidR="00551B2E">
              <w:rPr>
                <w:rFonts w:ascii="Arial Narrow" w:hAnsi="Arial Narrow"/>
                <w:noProof/>
                <w:color w:val="000000"/>
                <w:sz w:val="20"/>
                <w:highlight w:val="black"/>
              </w:rPr>
              <w:t>''''''''''''''''''''</w:t>
            </w:r>
          </w:p>
        </w:tc>
        <w:tc>
          <w:tcPr>
            <w:tcW w:w="1134" w:type="dxa"/>
            <w:vAlign w:val="center"/>
          </w:tcPr>
          <w:p w:rsidR="00A172BA" w:rsidRPr="00FB40D4" w:rsidRDefault="00A172BA" w:rsidP="005123EA">
            <w:pPr>
              <w:keepNext/>
              <w:widowControl/>
              <w:jc w:val="center"/>
              <w:rPr>
                <w:rFonts w:ascii="Arial Narrow" w:hAnsi="Arial Narrow"/>
                <w:sz w:val="20"/>
                <w:vertAlign w:val="superscript"/>
              </w:rPr>
            </w:pPr>
            <w:r w:rsidRPr="00FB40D4">
              <w:rPr>
                <w:rFonts w:ascii="Arial Narrow" w:hAnsi="Arial Narrow"/>
                <w:sz w:val="20"/>
              </w:rPr>
              <w:t>$</w:t>
            </w:r>
            <w:r w:rsidR="00551B2E">
              <w:rPr>
                <w:rFonts w:ascii="Arial Narrow" w:hAnsi="Arial Narrow"/>
                <w:noProof/>
                <w:color w:val="000000"/>
                <w:sz w:val="20"/>
                <w:highlight w:val="black"/>
              </w:rPr>
              <w:t>''''''''''''''''''</w:t>
            </w:r>
          </w:p>
        </w:tc>
      </w:tr>
      <w:tr w:rsidR="00A172BA" w:rsidRPr="00FB40D4" w:rsidTr="00A172BA">
        <w:tc>
          <w:tcPr>
            <w:tcW w:w="988"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5-11</w:t>
            </w:r>
          </w:p>
        </w:tc>
        <w:tc>
          <w:tcPr>
            <w:tcW w:w="1417"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22.0</w:t>
            </w:r>
          </w:p>
        </w:tc>
        <w:tc>
          <w:tcPr>
            <w:tcW w:w="992"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22.0</w:t>
            </w:r>
          </w:p>
        </w:tc>
        <w:tc>
          <w:tcPr>
            <w:tcW w:w="1276"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28</w:t>
            </w:r>
          </w:p>
        </w:tc>
        <w:tc>
          <w:tcPr>
            <w:tcW w:w="851"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6</w:t>
            </w:r>
          </w:p>
        </w:tc>
        <w:tc>
          <w:tcPr>
            <w:tcW w:w="1275"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8,736</w:t>
            </w:r>
          </w:p>
        </w:tc>
        <w:tc>
          <w:tcPr>
            <w:tcW w:w="1134"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w:t>
            </w:r>
            <w:r w:rsidR="00551B2E">
              <w:rPr>
                <w:rFonts w:ascii="Arial Narrow" w:hAnsi="Arial Narrow"/>
                <w:noProof/>
                <w:color w:val="000000"/>
                <w:sz w:val="20"/>
                <w:highlight w:val="black"/>
              </w:rPr>
              <w:t>'''''''''''''''''''</w:t>
            </w:r>
          </w:p>
        </w:tc>
        <w:tc>
          <w:tcPr>
            <w:tcW w:w="1134" w:type="dxa"/>
            <w:vAlign w:val="center"/>
          </w:tcPr>
          <w:p w:rsidR="00A172BA" w:rsidRPr="00FB40D4" w:rsidRDefault="00A172BA" w:rsidP="005123EA">
            <w:pPr>
              <w:keepNext/>
              <w:widowControl/>
              <w:jc w:val="center"/>
              <w:rPr>
                <w:rFonts w:ascii="Arial Narrow" w:hAnsi="Arial Narrow"/>
                <w:sz w:val="20"/>
                <w:vertAlign w:val="superscript"/>
              </w:rPr>
            </w:pPr>
            <w:r w:rsidRPr="00FB40D4">
              <w:rPr>
                <w:rFonts w:ascii="Arial Narrow" w:hAnsi="Arial Narrow"/>
                <w:sz w:val="20"/>
              </w:rPr>
              <w:t>$</w:t>
            </w:r>
            <w:r w:rsidR="00551B2E">
              <w:rPr>
                <w:rFonts w:ascii="Arial Narrow" w:hAnsi="Arial Narrow"/>
                <w:noProof/>
                <w:color w:val="000000"/>
                <w:sz w:val="20"/>
                <w:highlight w:val="black"/>
              </w:rPr>
              <w:t>''''''''''''''''''</w:t>
            </w:r>
          </w:p>
        </w:tc>
      </w:tr>
      <w:tr w:rsidR="00A172BA" w:rsidRPr="00FB40D4" w:rsidTr="00A172BA">
        <w:tc>
          <w:tcPr>
            <w:tcW w:w="988"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12-17</w:t>
            </w:r>
          </w:p>
        </w:tc>
        <w:tc>
          <w:tcPr>
            <w:tcW w:w="1417"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45.0</w:t>
            </w:r>
          </w:p>
        </w:tc>
        <w:tc>
          <w:tcPr>
            <w:tcW w:w="992"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45.0</w:t>
            </w:r>
          </w:p>
        </w:tc>
        <w:tc>
          <w:tcPr>
            <w:tcW w:w="1276"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80</w:t>
            </w:r>
          </w:p>
        </w:tc>
        <w:tc>
          <w:tcPr>
            <w:tcW w:w="851"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6</w:t>
            </w:r>
          </w:p>
        </w:tc>
        <w:tc>
          <w:tcPr>
            <w:tcW w:w="1275"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24,960</w:t>
            </w:r>
          </w:p>
        </w:tc>
        <w:tc>
          <w:tcPr>
            <w:tcW w:w="1134"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w:t>
            </w:r>
            <w:r w:rsidR="00551B2E">
              <w:rPr>
                <w:rFonts w:ascii="Arial Narrow" w:hAnsi="Arial Narrow"/>
                <w:noProof/>
                <w:color w:val="000000"/>
                <w:sz w:val="20"/>
                <w:highlight w:val="black"/>
              </w:rPr>
              <w:t>''''''''''''''''''</w:t>
            </w:r>
          </w:p>
        </w:tc>
        <w:tc>
          <w:tcPr>
            <w:tcW w:w="1134"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w:t>
            </w:r>
            <w:r w:rsidR="00551B2E">
              <w:rPr>
                <w:rFonts w:ascii="Arial Narrow" w:hAnsi="Arial Narrow"/>
                <w:noProof/>
                <w:color w:val="000000"/>
                <w:sz w:val="20"/>
                <w:highlight w:val="black"/>
              </w:rPr>
              <w:t>''''''''''''''''''''''''</w:t>
            </w:r>
          </w:p>
        </w:tc>
      </w:tr>
      <w:tr w:rsidR="00A172BA" w:rsidRPr="00FB40D4" w:rsidTr="00A172BA">
        <w:tc>
          <w:tcPr>
            <w:tcW w:w="988"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18+</w:t>
            </w:r>
          </w:p>
        </w:tc>
        <w:tc>
          <w:tcPr>
            <w:tcW w:w="1417"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71.0</w:t>
            </w:r>
          </w:p>
        </w:tc>
        <w:tc>
          <w:tcPr>
            <w:tcW w:w="992"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71.0</w:t>
            </w:r>
          </w:p>
        </w:tc>
        <w:tc>
          <w:tcPr>
            <w:tcW w:w="1276"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80</w:t>
            </w:r>
          </w:p>
        </w:tc>
        <w:tc>
          <w:tcPr>
            <w:tcW w:w="851"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6</w:t>
            </w:r>
          </w:p>
        </w:tc>
        <w:tc>
          <w:tcPr>
            <w:tcW w:w="1275" w:type="dxa"/>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24,960</w:t>
            </w:r>
          </w:p>
        </w:tc>
        <w:tc>
          <w:tcPr>
            <w:tcW w:w="1134"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w:t>
            </w:r>
            <w:r w:rsidR="00551B2E">
              <w:rPr>
                <w:rFonts w:ascii="Arial Narrow" w:hAnsi="Arial Narrow"/>
                <w:noProof/>
                <w:color w:val="000000"/>
                <w:sz w:val="20"/>
                <w:highlight w:val="black"/>
              </w:rPr>
              <w:t>''''''''''''''''''''</w:t>
            </w:r>
          </w:p>
        </w:tc>
        <w:tc>
          <w:tcPr>
            <w:tcW w:w="1134" w:type="dxa"/>
            <w:vAlign w:val="center"/>
          </w:tcPr>
          <w:p w:rsidR="00A172BA" w:rsidRPr="00FB40D4" w:rsidRDefault="00A172BA" w:rsidP="005123EA">
            <w:pPr>
              <w:keepNext/>
              <w:widowControl/>
              <w:jc w:val="center"/>
              <w:rPr>
                <w:rFonts w:ascii="Arial Narrow" w:hAnsi="Arial Narrow"/>
                <w:sz w:val="20"/>
              </w:rPr>
            </w:pPr>
            <w:r w:rsidRPr="00FB40D4">
              <w:rPr>
                <w:rFonts w:ascii="Arial Narrow" w:hAnsi="Arial Narrow"/>
                <w:sz w:val="20"/>
              </w:rPr>
              <w:t>$</w:t>
            </w:r>
            <w:r w:rsidR="00551B2E">
              <w:rPr>
                <w:rFonts w:ascii="Arial Narrow" w:hAnsi="Arial Narrow"/>
                <w:noProof/>
                <w:color w:val="000000"/>
                <w:sz w:val="20"/>
                <w:highlight w:val="black"/>
              </w:rPr>
              <w:t>'''''''''''''''''''''''</w:t>
            </w:r>
          </w:p>
        </w:tc>
      </w:tr>
    </w:tbl>
    <w:p w:rsidR="00F21F61" w:rsidRPr="00FB40D4" w:rsidRDefault="008E54BB" w:rsidP="005123EA">
      <w:pPr>
        <w:keepNext/>
        <w:widowControl/>
        <w:tabs>
          <w:tab w:val="left" w:pos="284"/>
        </w:tabs>
        <w:ind w:left="284" w:hanging="284"/>
        <w:rPr>
          <w:rFonts w:ascii="Arial Narrow" w:hAnsi="Arial Narrow"/>
          <w:sz w:val="18"/>
        </w:rPr>
      </w:pPr>
      <w:proofErr w:type="spellStart"/>
      <w:proofErr w:type="gramStart"/>
      <w:r w:rsidRPr="00FB40D4">
        <w:rPr>
          <w:rFonts w:ascii="Arial Narrow" w:hAnsi="Arial Narrow"/>
          <w:sz w:val="18"/>
          <w:vertAlign w:val="superscript"/>
        </w:rPr>
        <w:t>a</w:t>
      </w:r>
      <w:proofErr w:type="spellEnd"/>
      <w:proofErr w:type="gramEnd"/>
      <w:r w:rsidR="00FB40D4">
        <w:rPr>
          <w:rFonts w:ascii="Arial Narrow" w:hAnsi="Arial Narrow"/>
          <w:sz w:val="18"/>
        </w:rPr>
        <w:t xml:space="preserve"> </w:t>
      </w:r>
      <w:r w:rsidRPr="00FB40D4">
        <w:rPr>
          <w:rFonts w:ascii="Arial Narrow" w:hAnsi="Arial Narrow"/>
          <w:sz w:val="18"/>
        </w:rPr>
        <w:t xml:space="preserve">according to age ranges </w:t>
      </w:r>
      <w:r w:rsidR="00FE4B86" w:rsidRPr="00FB40D4">
        <w:rPr>
          <w:rFonts w:ascii="Arial Narrow" w:hAnsi="Arial Narrow"/>
          <w:sz w:val="18"/>
        </w:rPr>
        <w:t xml:space="preserve">and mean weights reported on ‘Cost of drug to PBS’ worksheet in </w:t>
      </w:r>
      <w:proofErr w:type="spellStart"/>
      <w:r w:rsidR="00FE4B86" w:rsidRPr="00FB40D4">
        <w:rPr>
          <w:rFonts w:ascii="Arial Narrow" w:hAnsi="Arial Narrow"/>
          <w:sz w:val="18"/>
        </w:rPr>
        <w:t>Asfotase</w:t>
      </w:r>
      <w:proofErr w:type="spellEnd"/>
      <w:r w:rsidR="00FE4B86" w:rsidRPr="00FB40D4">
        <w:rPr>
          <w:rFonts w:ascii="Arial Narrow" w:hAnsi="Arial Narrow"/>
          <w:sz w:val="18"/>
        </w:rPr>
        <w:t xml:space="preserve"> _</w:t>
      </w:r>
      <w:proofErr w:type="spellStart"/>
      <w:r w:rsidR="00FE4B86" w:rsidRPr="00FB40D4">
        <w:rPr>
          <w:rFonts w:ascii="Arial Narrow" w:hAnsi="Arial Narrow"/>
          <w:sz w:val="18"/>
        </w:rPr>
        <w:t>alfa_Section</w:t>
      </w:r>
      <w:proofErr w:type="spellEnd"/>
      <w:r w:rsidR="00FE4B86" w:rsidRPr="00FB40D4">
        <w:rPr>
          <w:rFonts w:ascii="Arial Narrow" w:hAnsi="Arial Narrow"/>
          <w:sz w:val="18"/>
        </w:rPr>
        <w:t xml:space="preserve"> E.xls</w:t>
      </w:r>
    </w:p>
    <w:p w:rsidR="00FE4B86" w:rsidRPr="00FB40D4" w:rsidRDefault="00FE4B86" w:rsidP="005123EA">
      <w:pPr>
        <w:keepNext/>
        <w:widowControl/>
        <w:tabs>
          <w:tab w:val="left" w:pos="0"/>
        </w:tabs>
        <w:rPr>
          <w:rFonts w:ascii="Arial Narrow" w:hAnsi="Arial Narrow"/>
          <w:sz w:val="18"/>
        </w:rPr>
      </w:pPr>
      <w:r w:rsidRPr="00FB40D4">
        <w:rPr>
          <w:rFonts w:ascii="Arial Narrow" w:hAnsi="Arial Narrow"/>
          <w:sz w:val="18"/>
          <w:vertAlign w:val="superscript"/>
        </w:rPr>
        <w:t>b</w:t>
      </w:r>
      <w:r w:rsidR="00FB40D4">
        <w:rPr>
          <w:rFonts w:ascii="Arial Narrow" w:hAnsi="Arial Narrow"/>
          <w:sz w:val="18"/>
        </w:rPr>
        <w:t xml:space="preserve"> </w:t>
      </w:r>
      <w:r w:rsidRPr="00FB40D4">
        <w:rPr>
          <w:rFonts w:ascii="Arial Narrow" w:hAnsi="Arial Narrow"/>
          <w:sz w:val="18"/>
        </w:rPr>
        <w:t xml:space="preserve">based on 6mg/kg/week and dosing at </w:t>
      </w:r>
      <w:r w:rsidR="005F2405" w:rsidRPr="00FB40D4">
        <w:rPr>
          <w:rFonts w:ascii="Arial Narrow" w:hAnsi="Arial Narrow"/>
          <w:sz w:val="18"/>
        </w:rPr>
        <w:t xml:space="preserve">2mg/kg 3 times per week for those aged ≤4 years and </w:t>
      </w:r>
      <w:r w:rsidRPr="00FB40D4">
        <w:rPr>
          <w:rFonts w:ascii="Arial Narrow" w:hAnsi="Arial Narrow"/>
          <w:sz w:val="18"/>
        </w:rPr>
        <w:t>1mg/</w:t>
      </w:r>
      <w:r w:rsidR="00A172BA" w:rsidRPr="00FB40D4">
        <w:rPr>
          <w:rFonts w:ascii="Arial Narrow" w:hAnsi="Arial Narrow"/>
          <w:sz w:val="18"/>
        </w:rPr>
        <w:t>kg</w:t>
      </w:r>
      <w:r w:rsidRPr="00FB40D4">
        <w:rPr>
          <w:rFonts w:ascii="Arial Narrow" w:hAnsi="Arial Narrow"/>
          <w:sz w:val="18"/>
        </w:rPr>
        <w:t xml:space="preserve"> 6 times per week</w:t>
      </w:r>
      <w:r w:rsidR="005F2405" w:rsidRPr="00FB40D4">
        <w:rPr>
          <w:rFonts w:ascii="Arial Narrow" w:hAnsi="Arial Narrow"/>
          <w:sz w:val="18"/>
        </w:rPr>
        <w:t xml:space="preserve"> for those aged &gt;4 years</w:t>
      </w:r>
    </w:p>
    <w:p w:rsidR="008E54BB" w:rsidRPr="00FB40D4" w:rsidRDefault="00FE4B86" w:rsidP="005123EA">
      <w:pPr>
        <w:widowControl/>
        <w:tabs>
          <w:tab w:val="left" w:pos="284"/>
        </w:tabs>
        <w:ind w:left="284" w:hanging="284"/>
        <w:rPr>
          <w:rFonts w:ascii="Arial Narrow" w:hAnsi="Arial Narrow"/>
          <w:sz w:val="18"/>
        </w:rPr>
      </w:pPr>
      <w:proofErr w:type="gramStart"/>
      <w:r w:rsidRPr="00FB40D4">
        <w:rPr>
          <w:rFonts w:ascii="Arial Narrow" w:hAnsi="Arial Narrow"/>
          <w:sz w:val="18"/>
          <w:vertAlign w:val="superscript"/>
        </w:rPr>
        <w:t>c</w:t>
      </w:r>
      <w:proofErr w:type="gramEnd"/>
      <w:r w:rsidR="00FB40D4">
        <w:rPr>
          <w:rFonts w:ascii="Arial Narrow" w:hAnsi="Arial Narrow"/>
          <w:sz w:val="18"/>
        </w:rPr>
        <w:t xml:space="preserve"> w</w:t>
      </w:r>
      <w:r w:rsidRPr="00FB40D4">
        <w:rPr>
          <w:rFonts w:ascii="Arial Narrow" w:hAnsi="Arial Narrow"/>
          <w:sz w:val="18"/>
        </w:rPr>
        <w:t>ithout cap = $</w:t>
      </w:r>
      <w:r w:rsidR="00551B2E">
        <w:rPr>
          <w:rFonts w:ascii="Arial Narrow" w:hAnsi="Arial Narrow"/>
          <w:noProof/>
          <w:color w:val="000000"/>
          <w:sz w:val="18"/>
          <w:highlight w:val="black"/>
        </w:rPr>
        <w:t xml:space="preserve">'''''''''''''''''''' </w:t>
      </w:r>
      <w:r w:rsidRPr="00FB40D4">
        <w:rPr>
          <w:rFonts w:ascii="Arial Narrow" w:hAnsi="Arial Narrow"/>
          <w:sz w:val="18"/>
        </w:rPr>
        <w:t>(requested ex-manufacturer price)</w:t>
      </w:r>
    </w:p>
    <w:p w:rsidR="00B10DD6" w:rsidRPr="00FB2270" w:rsidRDefault="00B10DD6" w:rsidP="005123EA">
      <w:pPr>
        <w:pStyle w:val="Heading2"/>
        <w:widowControl/>
      </w:pPr>
      <w:bookmarkStart w:id="51" w:name="_Toc413139284"/>
      <w:bookmarkStart w:id="52" w:name="_Toc476306894"/>
      <w:bookmarkStart w:id="53" w:name="_Toc481339870"/>
      <w:bookmarkStart w:id="54" w:name="_Toc481410715"/>
      <w:r w:rsidRPr="00FB2270">
        <w:t>Estimated PBS usage &amp; financial implications</w:t>
      </w:r>
      <w:bookmarkEnd w:id="51"/>
      <w:bookmarkEnd w:id="52"/>
      <w:bookmarkEnd w:id="53"/>
      <w:bookmarkEnd w:id="54"/>
    </w:p>
    <w:p w:rsidR="00B10DD6" w:rsidRPr="00F471D7" w:rsidRDefault="00B10DD6" w:rsidP="005123EA">
      <w:pPr>
        <w:pStyle w:val="ListParagraph"/>
        <w:widowControl/>
        <w:numPr>
          <w:ilvl w:val="1"/>
          <w:numId w:val="2"/>
        </w:numPr>
        <w:spacing w:before="120" w:after="160"/>
        <w:contextualSpacing w:val="0"/>
        <w:rPr>
          <w:rFonts w:asciiTheme="minorHAnsi" w:hAnsiTheme="minorHAnsi"/>
        </w:rPr>
      </w:pPr>
      <w:r w:rsidRPr="00F471D7">
        <w:rPr>
          <w:rFonts w:asciiTheme="minorHAnsi" w:hAnsiTheme="minorHAnsi"/>
        </w:rPr>
        <w:t xml:space="preserve">This submission </w:t>
      </w:r>
      <w:r w:rsidR="0060185B">
        <w:rPr>
          <w:rFonts w:asciiTheme="minorHAnsi" w:hAnsiTheme="minorHAnsi"/>
        </w:rPr>
        <w:t>was not</w:t>
      </w:r>
      <w:r w:rsidRPr="00F471D7">
        <w:rPr>
          <w:rFonts w:asciiTheme="minorHAnsi" w:hAnsiTheme="minorHAnsi"/>
        </w:rPr>
        <w:t xml:space="preserve"> considered by DUSC.</w:t>
      </w:r>
      <w:r w:rsidR="00540116" w:rsidRPr="00F471D7">
        <w:rPr>
          <w:rFonts w:asciiTheme="minorHAnsi" w:hAnsiTheme="minorHAnsi"/>
        </w:rPr>
        <w:t xml:space="preserve"> </w:t>
      </w:r>
      <w:r w:rsidRPr="00F471D7">
        <w:rPr>
          <w:rFonts w:asciiTheme="minorHAnsi" w:hAnsiTheme="minorHAnsi"/>
        </w:rPr>
        <w:t>The submission followed an epidemiological approach to estimate the number of patients with paediatric-onset HPP in Australia over the analysis period of 2018 to 2022.</w:t>
      </w:r>
      <w:r w:rsidR="00540116" w:rsidRPr="00F471D7">
        <w:rPr>
          <w:rFonts w:asciiTheme="minorHAnsi" w:hAnsiTheme="minorHAnsi"/>
        </w:rPr>
        <w:t xml:space="preserve"> </w:t>
      </w:r>
      <w:r w:rsidRPr="00F471D7">
        <w:rPr>
          <w:rFonts w:asciiTheme="minorHAnsi" w:hAnsiTheme="minorHAnsi"/>
        </w:rPr>
        <w:t>As there was limited published data, the submission used its experience in ultra-rare diseases to estimate prevalence rates by age group.</w:t>
      </w:r>
      <w:r w:rsidR="00540116" w:rsidRPr="00F471D7">
        <w:rPr>
          <w:rFonts w:asciiTheme="minorHAnsi" w:hAnsiTheme="minorHAnsi"/>
        </w:rPr>
        <w:t xml:space="preserve"> </w:t>
      </w:r>
      <w:r w:rsidRPr="00F471D7">
        <w:rPr>
          <w:rFonts w:asciiTheme="minorHAnsi" w:hAnsiTheme="minorHAnsi"/>
        </w:rPr>
        <w:t xml:space="preserve">The submission’s prevalence based approach did not appear to have included an allowance for improved survival in newborns and infants, even though the submission expected that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Pr="00F471D7">
        <w:rPr>
          <w:rFonts w:asciiTheme="minorHAnsi" w:hAnsiTheme="minorHAnsi"/>
        </w:rPr>
        <w:t xml:space="preserve"> would improve survival in patients with perinatal/infantile-onset HPP. </w:t>
      </w:r>
      <w:r w:rsidR="00774D92" w:rsidRPr="00F471D7">
        <w:rPr>
          <w:rFonts w:asciiTheme="minorHAnsi" w:hAnsiTheme="minorHAnsi"/>
        </w:rPr>
        <w:t xml:space="preserve">The estimated use and financial implications of listing </w:t>
      </w:r>
      <w:proofErr w:type="spellStart"/>
      <w:r w:rsidR="00774D92" w:rsidRPr="00F471D7">
        <w:rPr>
          <w:rFonts w:asciiTheme="minorHAnsi" w:hAnsiTheme="minorHAnsi"/>
        </w:rPr>
        <w:t>asfotase</w:t>
      </w:r>
      <w:proofErr w:type="spellEnd"/>
      <w:r w:rsidR="00774D92"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00774D92" w:rsidRPr="00F471D7">
        <w:rPr>
          <w:rFonts w:asciiTheme="minorHAnsi" w:hAnsiTheme="minorHAnsi"/>
        </w:rPr>
        <w:t xml:space="preserve"> on the PBS is summarised in Table 1</w:t>
      </w:r>
      <w:r w:rsidR="00D95764">
        <w:rPr>
          <w:rFonts w:asciiTheme="minorHAnsi" w:hAnsiTheme="minorHAnsi"/>
        </w:rPr>
        <w:t>4</w:t>
      </w:r>
      <w:r w:rsidR="00774D92" w:rsidRPr="00F471D7">
        <w:rPr>
          <w:rFonts w:asciiTheme="minorHAnsi" w:hAnsiTheme="minorHAnsi"/>
        </w:rPr>
        <w:t>.</w:t>
      </w:r>
    </w:p>
    <w:p w:rsidR="002757CE" w:rsidRDefault="002757CE" w:rsidP="002757CE">
      <w:pPr>
        <w:pStyle w:val="Caption"/>
      </w:pPr>
      <w:r>
        <w:t xml:space="preserve">Table </w:t>
      </w:r>
      <w:r>
        <w:rPr>
          <w:noProof/>
        </w:rPr>
        <w:t>14</w:t>
      </w:r>
      <w:r w:rsidRPr="001C01C3">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175"/>
        <w:gridCol w:w="1165"/>
        <w:gridCol w:w="1165"/>
        <w:gridCol w:w="1165"/>
        <w:gridCol w:w="1165"/>
        <w:gridCol w:w="1169"/>
      </w:tblGrid>
      <w:tr w:rsidR="00B10DD6" w:rsidRPr="00FE4046" w:rsidTr="003B76C9">
        <w:trPr>
          <w:tblHeader/>
        </w:trPr>
        <w:tc>
          <w:tcPr>
            <w:tcW w:w="1763" w:type="pct"/>
            <w:shd w:val="clear" w:color="auto" w:fill="auto"/>
            <w:vAlign w:val="center"/>
          </w:tcPr>
          <w:p w:rsidR="00B10DD6" w:rsidRPr="00FE4046" w:rsidRDefault="00B10DD6" w:rsidP="005123EA">
            <w:pPr>
              <w:pStyle w:val="TableText1"/>
              <w:jc w:val="center"/>
              <w:rPr>
                <w:b/>
              </w:rPr>
            </w:pPr>
          </w:p>
        </w:tc>
        <w:tc>
          <w:tcPr>
            <w:tcW w:w="647" w:type="pct"/>
            <w:shd w:val="clear" w:color="auto" w:fill="auto"/>
            <w:vAlign w:val="center"/>
          </w:tcPr>
          <w:p w:rsidR="00B10DD6" w:rsidRPr="00FE4046" w:rsidRDefault="00B10DD6" w:rsidP="005123EA">
            <w:pPr>
              <w:pStyle w:val="TableText1"/>
              <w:jc w:val="center"/>
              <w:rPr>
                <w:b/>
              </w:rPr>
            </w:pPr>
            <w:r w:rsidRPr="00FE4046">
              <w:rPr>
                <w:b/>
              </w:rPr>
              <w:t>Year 1</w:t>
            </w:r>
          </w:p>
        </w:tc>
        <w:tc>
          <w:tcPr>
            <w:tcW w:w="647" w:type="pct"/>
            <w:shd w:val="clear" w:color="auto" w:fill="auto"/>
            <w:vAlign w:val="center"/>
          </w:tcPr>
          <w:p w:rsidR="00B10DD6" w:rsidRPr="00FE4046" w:rsidRDefault="00B10DD6" w:rsidP="005123EA">
            <w:pPr>
              <w:pStyle w:val="TableText1"/>
              <w:jc w:val="center"/>
              <w:rPr>
                <w:b/>
              </w:rPr>
            </w:pPr>
            <w:r w:rsidRPr="00FE4046">
              <w:rPr>
                <w:b/>
              </w:rPr>
              <w:t>Year 2</w:t>
            </w:r>
          </w:p>
        </w:tc>
        <w:tc>
          <w:tcPr>
            <w:tcW w:w="647" w:type="pct"/>
            <w:shd w:val="clear" w:color="auto" w:fill="auto"/>
            <w:vAlign w:val="center"/>
          </w:tcPr>
          <w:p w:rsidR="00B10DD6" w:rsidRPr="00FE4046" w:rsidRDefault="00B10DD6" w:rsidP="005123EA">
            <w:pPr>
              <w:pStyle w:val="TableText1"/>
              <w:jc w:val="center"/>
              <w:rPr>
                <w:b/>
              </w:rPr>
            </w:pPr>
            <w:r w:rsidRPr="00FE4046">
              <w:rPr>
                <w:b/>
              </w:rPr>
              <w:t>Year 3</w:t>
            </w:r>
          </w:p>
        </w:tc>
        <w:tc>
          <w:tcPr>
            <w:tcW w:w="647" w:type="pct"/>
            <w:shd w:val="clear" w:color="auto" w:fill="auto"/>
            <w:vAlign w:val="center"/>
          </w:tcPr>
          <w:p w:rsidR="00B10DD6" w:rsidRPr="00FE4046" w:rsidRDefault="00B10DD6" w:rsidP="005123EA">
            <w:pPr>
              <w:pStyle w:val="TableText1"/>
              <w:jc w:val="center"/>
              <w:rPr>
                <w:b/>
              </w:rPr>
            </w:pPr>
            <w:r w:rsidRPr="00FE4046">
              <w:rPr>
                <w:b/>
              </w:rPr>
              <w:t>Year 4</w:t>
            </w:r>
          </w:p>
        </w:tc>
        <w:tc>
          <w:tcPr>
            <w:tcW w:w="649" w:type="pct"/>
            <w:shd w:val="clear" w:color="auto" w:fill="auto"/>
            <w:vAlign w:val="center"/>
          </w:tcPr>
          <w:p w:rsidR="00B10DD6" w:rsidRPr="00FE4046" w:rsidRDefault="00B10DD6" w:rsidP="005123EA">
            <w:pPr>
              <w:pStyle w:val="TableText1"/>
              <w:jc w:val="center"/>
              <w:rPr>
                <w:b/>
              </w:rPr>
            </w:pPr>
            <w:r w:rsidRPr="00FE4046">
              <w:rPr>
                <w:b/>
              </w:rPr>
              <w:t>Year 5</w:t>
            </w:r>
          </w:p>
        </w:tc>
      </w:tr>
      <w:tr w:rsidR="00B10DD6" w:rsidRPr="00FE4046" w:rsidTr="003B76C9">
        <w:tc>
          <w:tcPr>
            <w:tcW w:w="5000" w:type="pct"/>
            <w:gridSpan w:val="6"/>
            <w:shd w:val="clear" w:color="auto" w:fill="auto"/>
            <w:vAlign w:val="center"/>
          </w:tcPr>
          <w:p w:rsidR="00B10DD6" w:rsidRPr="00FE4046" w:rsidRDefault="00B10DD6" w:rsidP="005123EA">
            <w:pPr>
              <w:pStyle w:val="TableText1"/>
              <w:rPr>
                <w:b/>
              </w:rPr>
            </w:pPr>
            <w:r w:rsidRPr="00FE4046">
              <w:rPr>
                <w:b/>
              </w:rPr>
              <w:t>Estimated extent of use</w:t>
            </w:r>
          </w:p>
        </w:tc>
      </w:tr>
      <w:tr w:rsidR="00B10DD6" w:rsidRPr="00FE4046" w:rsidTr="003B76C9">
        <w:tc>
          <w:tcPr>
            <w:tcW w:w="1763" w:type="pct"/>
            <w:shd w:val="clear" w:color="auto" w:fill="auto"/>
            <w:vAlign w:val="center"/>
          </w:tcPr>
          <w:p w:rsidR="00B10DD6" w:rsidRPr="00FE4046" w:rsidRDefault="00644BBC" w:rsidP="005123EA">
            <w:pPr>
              <w:pStyle w:val="TableText1"/>
            </w:pPr>
            <w:r>
              <w:t>Total n</w:t>
            </w:r>
            <w:r w:rsidR="00B10DD6" w:rsidRPr="00FE4046">
              <w:t>umber of patients treated</w:t>
            </w:r>
          </w:p>
        </w:tc>
        <w:tc>
          <w:tcPr>
            <w:tcW w:w="647" w:type="pct"/>
            <w:shd w:val="clear" w:color="auto" w:fill="FFFFFF" w:themeFill="background1"/>
          </w:tcPr>
          <w:p w:rsidR="00B10DD6" w:rsidRPr="00551B2E" w:rsidRDefault="00551B2E" w:rsidP="005123EA">
            <w:pPr>
              <w:pStyle w:val="TableText1"/>
              <w:jc w:val="center"/>
              <w:rPr>
                <w:highlight w:val="black"/>
              </w:rPr>
            </w:pPr>
            <w:r>
              <w:rPr>
                <w:bCs/>
                <w:noProof/>
                <w:color w:val="000000"/>
                <w:highlight w:val="black"/>
                <w:lang w:val="en-US"/>
              </w:rPr>
              <w:t>'''''''</w:t>
            </w:r>
          </w:p>
        </w:tc>
        <w:tc>
          <w:tcPr>
            <w:tcW w:w="647" w:type="pct"/>
            <w:shd w:val="clear" w:color="auto" w:fill="FFFFFF" w:themeFill="background1"/>
          </w:tcPr>
          <w:p w:rsidR="00B10DD6" w:rsidRPr="00551B2E" w:rsidRDefault="00551B2E" w:rsidP="005123EA">
            <w:pPr>
              <w:pStyle w:val="TableText1"/>
              <w:jc w:val="center"/>
              <w:rPr>
                <w:highlight w:val="black"/>
              </w:rPr>
            </w:pPr>
            <w:r>
              <w:rPr>
                <w:bCs/>
                <w:noProof/>
                <w:color w:val="000000"/>
                <w:highlight w:val="black"/>
                <w:lang w:val="en-US"/>
              </w:rPr>
              <w:t>'''''''</w:t>
            </w:r>
          </w:p>
        </w:tc>
        <w:tc>
          <w:tcPr>
            <w:tcW w:w="647" w:type="pct"/>
            <w:shd w:val="clear" w:color="auto" w:fill="FFFFFF" w:themeFill="background1"/>
          </w:tcPr>
          <w:p w:rsidR="00B10DD6" w:rsidRPr="00551B2E" w:rsidRDefault="00551B2E" w:rsidP="005123EA">
            <w:pPr>
              <w:pStyle w:val="TableText1"/>
              <w:jc w:val="center"/>
              <w:rPr>
                <w:highlight w:val="black"/>
              </w:rPr>
            </w:pPr>
            <w:r>
              <w:rPr>
                <w:bCs/>
                <w:noProof/>
                <w:color w:val="000000"/>
                <w:highlight w:val="black"/>
                <w:lang w:val="en-US"/>
              </w:rPr>
              <w:t>''''''</w:t>
            </w:r>
          </w:p>
        </w:tc>
        <w:tc>
          <w:tcPr>
            <w:tcW w:w="647" w:type="pct"/>
            <w:shd w:val="clear" w:color="auto" w:fill="FFFFFF" w:themeFill="background1"/>
          </w:tcPr>
          <w:p w:rsidR="00B10DD6" w:rsidRPr="00551B2E" w:rsidRDefault="00551B2E" w:rsidP="005123EA">
            <w:pPr>
              <w:pStyle w:val="TableText1"/>
              <w:jc w:val="center"/>
              <w:rPr>
                <w:highlight w:val="black"/>
              </w:rPr>
            </w:pPr>
            <w:r>
              <w:rPr>
                <w:bCs/>
                <w:noProof/>
                <w:color w:val="000000"/>
                <w:highlight w:val="black"/>
                <w:lang w:val="en-US"/>
              </w:rPr>
              <w:t>''''''</w:t>
            </w:r>
          </w:p>
        </w:tc>
        <w:tc>
          <w:tcPr>
            <w:tcW w:w="649" w:type="pct"/>
            <w:shd w:val="clear" w:color="auto" w:fill="FFFFFF" w:themeFill="background1"/>
          </w:tcPr>
          <w:p w:rsidR="00B10DD6" w:rsidRPr="00551B2E" w:rsidRDefault="00551B2E" w:rsidP="005123EA">
            <w:pPr>
              <w:pStyle w:val="TableText1"/>
              <w:jc w:val="center"/>
              <w:rPr>
                <w:highlight w:val="black"/>
              </w:rPr>
            </w:pPr>
            <w:r>
              <w:rPr>
                <w:bCs/>
                <w:noProof/>
                <w:color w:val="000000"/>
                <w:highlight w:val="black"/>
                <w:lang w:val="en-US"/>
              </w:rPr>
              <w:t>'''''''</w:t>
            </w:r>
          </w:p>
        </w:tc>
      </w:tr>
      <w:tr w:rsidR="0056045D" w:rsidRPr="00FE4046" w:rsidTr="005E7A4C">
        <w:tc>
          <w:tcPr>
            <w:tcW w:w="1763" w:type="pct"/>
            <w:shd w:val="clear" w:color="auto" w:fill="auto"/>
          </w:tcPr>
          <w:p w:rsidR="0056045D" w:rsidRPr="00753A11" w:rsidRDefault="0056045D" w:rsidP="001B444F">
            <w:pPr>
              <w:pStyle w:val="TableText1"/>
              <w:numPr>
                <w:ilvl w:val="0"/>
                <w:numId w:val="16"/>
              </w:numPr>
              <w:ind w:left="284" w:hanging="142"/>
            </w:pPr>
            <w:r w:rsidRPr="00753A11">
              <w:t>0</w:t>
            </w:r>
            <w:r w:rsidR="00753A11">
              <w:t>-</w:t>
            </w:r>
            <w:r w:rsidRPr="00753A11">
              <w:t>&lt;1 year</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9"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r>
      <w:tr w:rsidR="0056045D" w:rsidRPr="00FE4046" w:rsidTr="005E7A4C">
        <w:tc>
          <w:tcPr>
            <w:tcW w:w="1763" w:type="pct"/>
            <w:shd w:val="clear" w:color="auto" w:fill="auto"/>
          </w:tcPr>
          <w:p w:rsidR="0056045D" w:rsidRPr="00753A11" w:rsidRDefault="0056045D" w:rsidP="001B444F">
            <w:pPr>
              <w:pStyle w:val="TableText1"/>
              <w:numPr>
                <w:ilvl w:val="0"/>
                <w:numId w:val="16"/>
              </w:numPr>
              <w:ind w:left="284" w:hanging="142"/>
            </w:pPr>
            <w:r w:rsidRPr="00753A11">
              <w:t>1-4 years</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9"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r>
      <w:tr w:rsidR="0056045D" w:rsidRPr="00FE4046" w:rsidTr="005E7A4C">
        <w:tc>
          <w:tcPr>
            <w:tcW w:w="1763" w:type="pct"/>
            <w:shd w:val="clear" w:color="auto" w:fill="auto"/>
          </w:tcPr>
          <w:p w:rsidR="0056045D" w:rsidRPr="00753A11" w:rsidRDefault="0056045D" w:rsidP="001B444F">
            <w:pPr>
              <w:pStyle w:val="TableText1"/>
              <w:numPr>
                <w:ilvl w:val="0"/>
                <w:numId w:val="16"/>
              </w:numPr>
              <w:ind w:left="284" w:hanging="142"/>
            </w:pPr>
            <w:r w:rsidRPr="00753A11">
              <w:t>5-11 years</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9"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r>
      <w:tr w:rsidR="0056045D" w:rsidRPr="00FE4046" w:rsidTr="005E7A4C">
        <w:tc>
          <w:tcPr>
            <w:tcW w:w="1763" w:type="pct"/>
            <w:shd w:val="clear" w:color="auto" w:fill="auto"/>
          </w:tcPr>
          <w:p w:rsidR="0056045D" w:rsidRPr="00753A11" w:rsidRDefault="0056045D" w:rsidP="001B444F">
            <w:pPr>
              <w:pStyle w:val="TableText1"/>
              <w:numPr>
                <w:ilvl w:val="0"/>
                <w:numId w:val="16"/>
              </w:numPr>
              <w:ind w:left="284" w:hanging="142"/>
            </w:pPr>
            <w:r w:rsidRPr="00753A11">
              <w:t>12-17 years</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9"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r>
      <w:tr w:rsidR="0056045D" w:rsidRPr="00FE4046" w:rsidTr="005E7A4C">
        <w:tc>
          <w:tcPr>
            <w:tcW w:w="1763" w:type="pct"/>
            <w:shd w:val="clear" w:color="auto" w:fill="auto"/>
          </w:tcPr>
          <w:p w:rsidR="0056045D" w:rsidRPr="00753A11" w:rsidRDefault="0056045D" w:rsidP="001B444F">
            <w:pPr>
              <w:pStyle w:val="TableText1"/>
              <w:numPr>
                <w:ilvl w:val="0"/>
                <w:numId w:val="16"/>
              </w:numPr>
              <w:ind w:left="284" w:hanging="142"/>
            </w:pPr>
            <w:r w:rsidRPr="00753A11">
              <w:t>18+ years</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7"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c>
          <w:tcPr>
            <w:tcW w:w="649" w:type="pct"/>
            <w:shd w:val="clear" w:color="auto" w:fill="FFFFFF" w:themeFill="background1"/>
          </w:tcPr>
          <w:p w:rsidR="0056045D" w:rsidRPr="00551B2E" w:rsidRDefault="00551B2E" w:rsidP="005123EA">
            <w:pPr>
              <w:pStyle w:val="TableText1"/>
              <w:jc w:val="center"/>
              <w:rPr>
                <w:bCs/>
                <w:highlight w:val="black"/>
                <w:lang w:val="en-US"/>
              </w:rPr>
            </w:pPr>
            <w:r>
              <w:rPr>
                <w:noProof/>
                <w:color w:val="000000"/>
                <w:highlight w:val="black"/>
              </w:rPr>
              <w:t>'''''''</w:t>
            </w:r>
          </w:p>
        </w:tc>
      </w:tr>
      <w:tr w:rsidR="00B10DD6" w:rsidRPr="00FE4046" w:rsidTr="003B76C9">
        <w:tc>
          <w:tcPr>
            <w:tcW w:w="1763" w:type="pct"/>
            <w:shd w:val="clear" w:color="auto" w:fill="auto"/>
            <w:vAlign w:val="center"/>
          </w:tcPr>
          <w:p w:rsidR="00B10DD6" w:rsidRPr="00FE4046" w:rsidRDefault="00B10DD6" w:rsidP="005123EA">
            <w:pPr>
              <w:pStyle w:val="TableText1"/>
            </w:pPr>
            <w:r>
              <w:t xml:space="preserve">Number of scripts </w:t>
            </w:r>
            <w:proofErr w:type="spellStart"/>
            <w:r>
              <w:t>dispensed</w:t>
            </w:r>
            <w:r w:rsidRPr="007E6057">
              <w:rPr>
                <w:vertAlign w:val="superscript"/>
              </w:rPr>
              <w:t>a</w:t>
            </w:r>
            <w:proofErr w:type="spellEnd"/>
          </w:p>
        </w:tc>
        <w:tc>
          <w:tcPr>
            <w:tcW w:w="647" w:type="pct"/>
            <w:shd w:val="clear" w:color="auto" w:fill="FFFFFF" w:themeFill="background1"/>
          </w:tcPr>
          <w:p w:rsidR="00B10DD6" w:rsidRPr="00551B2E" w:rsidRDefault="00551B2E" w:rsidP="005123EA">
            <w:pPr>
              <w:pStyle w:val="TableText1"/>
              <w:jc w:val="center"/>
              <w:rPr>
                <w:highlight w:val="black"/>
              </w:rPr>
            </w:pPr>
            <w:r>
              <w:rPr>
                <w:noProof/>
                <w:color w:val="000000"/>
                <w:highlight w:val="black"/>
              </w:rPr>
              <w:t>''''''''''</w:t>
            </w:r>
          </w:p>
        </w:tc>
        <w:tc>
          <w:tcPr>
            <w:tcW w:w="647" w:type="pct"/>
            <w:shd w:val="clear" w:color="auto" w:fill="FFFFFF" w:themeFill="background1"/>
          </w:tcPr>
          <w:p w:rsidR="00B10DD6" w:rsidRPr="00551B2E" w:rsidRDefault="00551B2E" w:rsidP="005123EA">
            <w:pPr>
              <w:pStyle w:val="TableText1"/>
              <w:jc w:val="center"/>
              <w:rPr>
                <w:highlight w:val="black"/>
              </w:rPr>
            </w:pPr>
            <w:r>
              <w:rPr>
                <w:noProof/>
                <w:color w:val="000000"/>
                <w:highlight w:val="black"/>
              </w:rPr>
              <w:t>'''''''''</w:t>
            </w:r>
          </w:p>
        </w:tc>
        <w:tc>
          <w:tcPr>
            <w:tcW w:w="647" w:type="pct"/>
            <w:shd w:val="clear" w:color="auto" w:fill="FFFFFF" w:themeFill="background1"/>
          </w:tcPr>
          <w:p w:rsidR="00B10DD6" w:rsidRPr="00551B2E" w:rsidRDefault="00551B2E" w:rsidP="005123EA">
            <w:pPr>
              <w:pStyle w:val="TableText1"/>
              <w:jc w:val="center"/>
              <w:rPr>
                <w:highlight w:val="black"/>
              </w:rPr>
            </w:pPr>
            <w:r>
              <w:rPr>
                <w:noProof/>
                <w:color w:val="000000"/>
                <w:highlight w:val="black"/>
              </w:rPr>
              <w:t>''''''''</w:t>
            </w:r>
          </w:p>
        </w:tc>
        <w:tc>
          <w:tcPr>
            <w:tcW w:w="647" w:type="pct"/>
            <w:shd w:val="clear" w:color="auto" w:fill="FFFFFF" w:themeFill="background1"/>
          </w:tcPr>
          <w:p w:rsidR="00B10DD6" w:rsidRPr="00551B2E" w:rsidRDefault="00551B2E" w:rsidP="005123EA">
            <w:pPr>
              <w:pStyle w:val="TableText1"/>
              <w:jc w:val="center"/>
              <w:rPr>
                <w:highlight w:val="black"/>
              </w:rPr>
            </w:pPr>
            <w:r>
              <w:rPr>
                <w:noProof/>
                <w:color w:val="000000"/>
                <w:highlight w:val="black"/>
              </w:rPr>
              <w:t>'''''''''</w:t>
            </w:r>
          </w:p>
        </w:tc>
        <w:tc>
          <w:tcPr>
            <w:tcW w:w="649" w:type="pct"/>
            <w:shd w:val="clear" w:color="auto" w:fill="FFFFFF" w:themeFill="background1"/>
          </w:tcPr>
          <w:p w:rsidR="00B10DD6" w:rsidRPr="00551B2E" w:rsidRDefault="00551B2E" w:rsidP="005123EA">
            <w:pPr>
              <w:pStyle w:val="TableText1"/>
              <w:jc w:val="center"/>
              <w:rPr>
                <w:highlight w:val="black"/>
              </w:rPr>
            </w:pPr>
            <w:r>
              <w:rPr>
                <w:noProof/>
                <w:color w:val="000000"/>
                <w:highlight w:val="black"/>
              </w:rPr>
              <w:t>''''''''</w:t>
            </w:r>
          </w:p>
        </w:tc>
      </w:tr>
      <w:tr w:rsidR="00B10DD6" w:rsidRPr="00FE4046" w:rsidTr="003B76C9">
        <w:tc>
          <w:tcPr>
            <w:tcW w:w="1763" w:type="pct"/>
            <w:shd w:val="clear" w:color="auto" w:fill="auto"/>
            <w:vAlign w:val="center"/>
          </w:tcPr>
          <w:p w:rsidR="00B10DD6" w:rsidRPr="006B1EE6" w:rsidRDefault="00B10DD6" w:rsidP="005123EA">
            <w:pPr>
              <w:pStyle w:val="TableText1"/>
            </w:pPr>
            <w:r>
              <w:t xml:space="preserve">Number of packs supplied per </w:t>
            </w:r>
            <w:proofErr w:type="spellStart"/>
            <w:r>
              <w:t>year</w:t>
            </w:r>
            <w:r w:rsidRPr="007E6057">
              <w:rPr>
                <w:vertAlign w:val="superscript"/>
              </w:rPr>
              <w:t>b</w:t>
            </w:r>
            <w:proofErr w:type="spellEnd"/>
          </w:p>
        </w:tc>
        <w:tc>
          <w:tcPr>
            <w:tcW w:w="647" w:type="pct"/>
            <w:shd w:val="clear" w:color="auto" w:fill="FFFFFF" w:themeFill="background1"/>
          </w:tcPr>
          <w:p w:rsidR="00B10DD6" w:rsidRPr="00551B2E" w:rsidRDefault="00551B2E" w:rsidP="005123EA">
            <w:pPr>
              <w:pStyle w:val="TableText1"/>
              <w:jc w:val="center"/>
              <w:rPr>
                <w:highlight w:val="black"/>
              </w:rPr>
            </w:pPr>
            <w:r>
              <w:rPr>
                <w:bCs/>
                <w:noProof/>
                <w:color w:val="000000"/>
                <w:highlight w:val="black"/>
                <w:lang w:val="en-US"/>
              </w:rPr>
              <w:t>''''''''''</w:t>
            </w:r>
          </w:p>
        </w:tc>
        <w:tc>
          <w:tcPr>
            <w:tcW w:w="647" w:type="pct"/>
            <w:shd w:val="clear" w:color="auto" w:fill="FFFFFF" w:themeFill="background1"/>
          </w:tcPr>
          <w:p w:rsidR="00B10DD6" w:rsidRPr="00551B2E" w:rsidRDefault="00551B2E" w:rsidP="005123EA">
            <w:pPr>
              <w:pStyle w:val="TableText1"/>
              <w:jc w:val="center"/>
              <w:rPr>
                <w:highlight w:val="black"/>
              </w:rPr>
            </w:pPr>
            <w:r>
              <w:rPr>
                <w:bCs/>
                <w:noProof/>
                <w:color w:val="000000"/>
                <w:highlight w:val="black"/>
                <w:lang w:val="en-US"/>
              </w:rPr>
              <w:t>'''''''''</w:t>
            </w:r>
          </w:p>
        </w:tc>
        <w:tc>
          <w:tcPr>
            <w:tcW w:w="647" w:type="pct"/>
            <w:shd w:val="clear" w:color="auto" w:fill="FFFFFF" w:themeFill="background1"/>
          </w:tcPr>
          <w:p w:rsidR="00B10DD6" w:rsidRPr="00551B2E" w:rsidRDefault="00551B2E" w:rsidP="005123EA">
            <w:pPr>
              <w:pStyle w:val="TableText1"/>
              <w:jc w:val="center"/>
              <w:rPr>
                <w:highlight w:val="black"/>
              </w:rPr>
            </w:pPr>
            <w:r>
              <w:rPr>
                <w:bCs/>
                <w:noProof/>
                <w:color w:val="000000"/>
                <w:highlight w:val="black"/>
                <w:lang w:val="en-US"/>
              </w:rPr>
              <w:t>''''''''</w:t>
            </w:r>
          </w:p>
        </w:tc>
        <w:tc>
          <w:tcPr>
            <w:tcW w:w="647" w:type="pct"/>
            <w:shd w:val="clear" w:color="auto" w:fill="FFFFFF" w:themeFill="background1"/>
          </w:tcPr>
          <w:p w:rsidR="00B10DD6" w:rsidRPr="00551B2E" w:rsidRDefault="00551B2E" w:rsidP="005123EA">
            <w:pPr>
              <w:pStyle w:val="TableText1"/>
              <w:jc w:val="center"/>
              <w:rPr>
                <w:highlight w:val="black"/>
              </w:rPr>
            </w:pPr>
            <w:r>
              <w:rPr>
                <w:bCs/>
                <w:noProof/>
                <w:color w:val="000000"/>
                <w:highlight w:val="black"/>
                <w:lang w:val="en-US"/>
              </w:rPr>
              <w:t>'''''''''</w:t>
            </w:r>
          </w:p>
        </w:tc>
        <w:tc>
          <w:tcPr>
            <w:tcW w:w="649" w:type="pct"/>
            <w:shd w:val="clear" w:color="auto" w:fill="FFFFFF" w:themeFill="background1"/>
          </w:tcPr>
          <w:p w:rsidR="00B10DD6" w:rsidRPr="00551B2E" w:rsidRDefault="00551B2E" w:rsidP="005123EA">
            <w:pPr>
              <w:pStyle w:val="TableText1"/>
              <w:jc w:val="center"/>
              <w:rPr>
                <w:highlight w:val="black"/>
              </w:rPr>
            </w:pPr>
            <w:r>
              <w:rPr>
                <w:bCs/>
                <w:noProof/>
                <w:color w:val="000000"/>
                <w:highlight w:val="black"/>
                <w:lang w:val="en-US"/>
              </w:rPr>
              <w:t>''''''''''</w:t>
            </w:r>
          </w:p>
        </w:tc>
      </w:tr>
      <w:tr w:rsidR="00B10DD6" w:rsidRPr="00FE4046" w:rsidTr="003B76C9">
        <w:tc>
          <w:tcPr>
            <w:tcW w:w="5000" w:type="pct"/>
            <w:gridSpan w:val="6"/>
            <w:shd w:val="clear" w:color="auto" w:fill="auto"/>
            <w:vAlign w:val="center"/>
          </w:tcPr>
          <w:p w:rsidR="00B10DD6" w:rsidRPr="00FE4046" w:rsidRDefault="00B10DD6" w:rsidP="005123EA">
            <w:pPr>
              <w:pStyle w:val="TableText1"/>
              <w:rPr>
                <w:b/>
              </w:rPr>
            </w:pPr>
            <w:r w:rsidRPr="00FE4046">
              <w:rPr>
                <w:b/>
              </w:rPr>
              <w:t>Estimated financia</w:t>
            </w:r>
            <w:r>
              <w:rPr>
                <w:b/>
              </w:rPr>
              <w:t xml:space="preserve">l implications of </w:t>
            </w:r>
            <w:proofErr w:type="spellStart"/>
            <w:r>
              <w:rPr>
                <w:b/>
              </w:rPr>
              <w:t>asfotase</w:t>
            </w:r>
            <w:proofErr w:type="spellEnd"/>
            <w:r>
              <w:rPr>
                <w:b/>
              </w:rPr>
              <w:t xml:space="preserve"> alfa </w:t>
            </w:r>
            <w:proofErr w:type="spellStart"/>
            <w:r w:rsidR="00465F17" w:rsidRPr="00465F17">
              <w:rPr>
                <w:b/>
                <w:i/>
              </w:rPr>
              <w:t>rch</w:t>
            </w:r>
            <w:proofErr w:type="spellEnd"/>
            <w:r>
              <w:rPr>
                <w:b/>
                <w:i/>
              </w:rPr>
              <w:t xml:space="preserve"> </w:t>
            </w:r>
            <w:r w:rsidRPr="00845BC4">
              <w:rPr>
                <w:b/>
              </w:rPr>
              <w:t>(with annual patient cap of $</w:t>
            </w:r>
            <w:r w:rsidR="00551B2E">
              <w:rPr>
                <w:b/>
                <w:noProof/>
                <w:color w:val="000000"/>
                <w:highlight w:val="black"/>
              </w:rPr>
              <w:t>''''''''''''''''</w:t>
            </w:r>
            <w:r w:rsidRPr="00845BC4">
              <w:rPr>
                <w:b/>
              </w:rPr>
              <w:t xml:space="preserve"> per patient per year)</w:t>
            </w:r>
          </w:p>
        </w:tc>
      </w:tr>
      <w:tr w:rsidR="00B10DD6" w:rsidRPr="00FE4046" w:rsidTr="0023326F">
        <w:tc>
          <w:tcPr>
            <w:tcW w:w="1763" w:type="pct"/>
            <w:shd w:val="clear" w:color="auto" w:fill="auto"/>
            <w:vAlign w:val="center"/>
          </w:tcPr>
          <w:p w:rsidR="00B10DD6" w:rsidRPr="002F0AFF" w:rsidRDefault="00B10DD6" w:rsidP="005123EA">
            <w:pPr>
              <w:pStyle w:val="TableText1"/>
            </w:pPr>
            <w:r w:rsidRPr="00FE4046">
              <w:t>Cost to PBS/RPBS</w:t>
            </w:r>
          </w:p>
        </w:tc>
        <w:tc>
          <w:tcPr>
            <w:tcW w:w="647" w:type="pct"/>
            <w:shd w:val="clear" w:color="auto" w:fill="FFFFFF" w:themeFill="background1"/>
          </w:tcPr>
          <w:p w:rsidR="00B10DD6" w:rsidRPr="002F0AFF" w:rsidRDefault="00B10DD6" w:rsidP="005123EA">
            <w:pPr>
              <w:pStyle w:val="TableText1"/>
              <w:jc w:val="center"/>
            </w:pPr>
            <w:r w:rsidRPr="002F0AFF">
              <w:t>$</w:t>
            </w:r>
            <w:r w:rsidR="00551B2E">
              <w:rPr>
                <w:noProof/>
                <w:color w:val="000000"/>
                <w:highlight w:val="black"/>
              </w:rPr>
              <w:t>''''''''''''''''''''''''''</w:t>
            </w:r>
          </w:p>
        </w:tc>
        <w:tc>
          <w:tcPr>
            <w:tcW w:w="647" w:type="pct"/>
            <w:shd w:val="clear" w:color="auto" w:fill="FFFFFF" w:themeFill="background1"/>
          </w:tcPr>
          <w:p w:rsidR="00B10DD6" w:rsidRPr="002F0AFF" w:rsidRDefault="00B10DD6" w:rsidP="005123EA">
            <w:pPr>
              <w:pStyle w:val="TableText1"/>
              <w:jc w:val="center"/>
            </w:pPr>
            <w:r w:rsidRPr="002F0AFF">
              <w:t>$</w:t>
            </w:r>
            <w:r w:rsidR="00551B2E">
              <w:rPr>
                <w:noProof/>
                <w:color w:val="000000"/>
                <w:highlight w:val="black"/>
              </w:rPr>
              <w:t>'''''''''''''''''''''''''</w:t>
            </w:r>
          </w:p>
        </w:tc>
        <w:tc>
          <w:tcPr>
            <w:tcW w:w="647" w:type="pct"/>
            <w:shd w:val="clear" w:color="auto" w:fill="FFFFFF" w:themeFill="background1"/>
          </w:tcPr>
          <w:p w:rsidR="00B10DD6" w:rsidRPr="002F0AFF" w:rsidRDefault="00B10DD6" w:rsidP="005123EA">
            <w:pPr>
              <w:pStyle w:val="TableText1"/>
              <w:jc w:val="center"/>
            </w:pPr>
            <w:r w:rsidRPr="002F0AFF">
              <w:t>$</w:t>
            </w:r>
            <w:r w:rsidR="00551B2E">
              <w:rPr>
                <w:noProof/>
                <w:color w:val="000000"/>
                <w:highlight w:val="black"/>
              </w:rPr>
              <w:t>''''''''''''''''''''''''''''</w:t>
            </w:r>
          </w:p>
        </w:tc>
        <w:tc>
          <w:tcPr>
            <w:tcW w:w="647" w:type="pct"/>
            <w:shd w:val="clear" w:color="auto" w:fill="FFFFFF" w:themeFill="background1"/>
          </w:tcPr>
          <w:p w:rsidR="00B10DD6" w:rsidRPr="002F0AFF" w:rsidRDefault="00B10DD6" w:rsidP="005123EA">
            <w:pPr>
              <w:pStyle w:val="TableText1"/>
              <w:jc w:val="center"/>
            </w:pPr>
            <w:r w:rsidRPr="002F0AFF">
              <w:t>$</w:t>
            </w:r>
            <w:r w:rsidR="00551B2E">
              <w:rPr>
                <w:noProof/>
                <w:color w:val="000000"/>
                <w:highlight w:val="black"/>
              </w:rPr>
              <w:t>'''''''''''''''''''''''''''''</w:t>
            </w:r>
          </w:p>
        </w:tc>
        <w:tc>
          <w:tcPr>
            <w:tcW w:w="649" w:type="pct"/>
            <w:shd w:val="clear" w:color="auto" w:fill="FFFFFF" w:themeFill="background1"/>
          </w:tcPr>
          <w:p w:rsidR="00B10DD6" w:rsidRPr="002F0AFF" w:rsidRDefault="00B10DD6" w:rsidP="005123EA">
            <w:pPr>
              <w:pStyle w:val="TableText1"/>
              <w:jc w:val="center"/>
            </w:pPr>
            <w:r w:rsidRPr="002F0AFF">
              <w:t>$</w:t>
            </w:r>
            <w:r w:rsidR="00551B2E">
              <w:rPr>
                <w:noProof/>
                <w:color w:val="000000"/>
                <w:highlight w:val="black"/>
              </w:rPr>
              <w:t>'''''''''''''''''''''''''''</w:t>
            </w:r>
          </w:p>
        </w:tc>
      </w:tr>
      <w:tr w:rsidR="00B10DD6" w:rsidRPr="00FE4046" w:rsidTr="0023326F">
        <w:tc>
          <w:tcPr>
            <w:tcW w:w="1763" w:type="pct"/>
            <w:shd w:val="clear" w:color="auto" w:fill="auto"/>
            <w:vAlign w:val="center"/>
          </w:tcPr>
          <w:p w:rsidR="00B10DD6" w:rsidRPr="00FE4046" w:rsidRDefault="00B10DD6" w:rsidP="005123EA">
            <w:pPr>
              <w:pStyle w:val="TableText1"/>
            </w:pPr>
            <w:r w:rsidRPr="00FE4046">
              <w:t>Co</w:t>
            </w:r>
            <w:r w:rsidR="00784ABF">
              <w:t>-</w:t>
            </w:r>
            <w:r w:rsidRPr="00FE4046">
              <w:t>payments</w:t>
            </w:r>
          </w:p>
        </w:tc>
        <w:tc>
          <w:tcPr>
            <w:tcW w:w="647" w:type="pct"/>
            <w:shd w:val="clear" w:color="auto" w:fill="FFFFFF" w:themeFill="background1"/>
          </w:tcPr>
          <w:p w:rsidR="00B10DD6" w:rsidRPr="00FE4046" w:rsidRDefault="00B10DD6" w:rsidP="005123EA">
            <w:pPr>
              <w:pStyle w:val="TableText1"/>
              <w:jc w:val="center"/>
            </w:pPr>
            <w:r w:rsidRPr="00DE2EB4">
              <w:t>$</w:t>
            </w:r>
            <w:r w:rsidR="00551B2E">
              <w:rPr>
                <w:noProof/>
                <w:color w:val="000000"/>
                <w:highlight w:val="black"/>
              </w:rPr>
              <w:t>'''''''''''''</w:t>
            </w:r>
          </w:p>
        </w:tc>
        <w:tc>
          <w:tcPr>
            <w:tcW w:w="647" w:type="pct"/>
            <w:shd w:val="clear" w:color="auto" w:fill="FFFFFF" w:themeFill="background1"/>
          </w:tcPr>
          <w:p w:rsidR="00B10DD6" w:rsidRPr="00FE4046" w:rsidRDefault="00B10DD6" w:rsidP="005123EA">
            <w:pPr>
              <w:pStyle w:val="TableText1"/>
              <w:jc w:val="center"/>
            </w:pPr>
            <w:r w:rsidRPr="00DE2EB4">
              <w:t>$</w:t>
            </w:r>
            <w:r w:rsidR="00551B2E">
              <w:rPr>
                <w:noProof/>
                <w:color w:val="000000"/>
                <w:highlight w:val="black"/>
              </w:rPr>
              <w:t>''''''''''''</w:t>
            </w:r>
          </w:p>
        </w:tc>
        <w:tc>
          <w:tcPr>
            <w:tcW w:w="647" w:type="pct"/>
            <w:shd w:val="clear" w:color="auto" w:fill="FFFFFF" w:themeFill="background1"/>
          </w:tcPr>
          <w:p w:rsidR="00B10DD6" w:rsidRPr="00FE4046" w:rsidRDefault="00B10DD6" w:rsidP="005123EA">
            <w:pPr>
              <w:pStyle w:val="TableText1"/>
              <w:jc w:val="center"/>
            </w:pPr>
            <w:r w:rsidRPr="00DE2EB4">
              <w:t>$</w:t>
            </w:r>
            <w:r w:rsidR="00551B2E">
              <w:rPr>
                <w:noProof/>
                <w:color w:val="000000"/>
                <w:highlight w:val="black"/>
              </w:rPr>
              <w:t>'''''''''''''</w:t>
            </w:r>
          </w:p>
        </w:tc>
        <w:tc>
          <w:tcPr>
            <w:tcW w:w="647" w:type="pct"/>
            <w:shd w:val="clear" w:color="auto" w:fill="FFFFFF" w:themeFill="background1"/>
          </w:tcPr>
          <w:p w:rsidR="00B10DD6" w:rsidRPr="00FE4046" w:rsidRDefault="00B10DD6" w:rsidP="005123EA">
            <w:pPr>
              <w:pStyle w:val="TableText1"/>
              <w:jc w:val="center"/>
            </w:pPr>
            <w:r w:rsidRPr="00DE2EB4">
              <w:t>$</w:t>
            </w:r>
            <w:r w:rsidR="00551B2E">
              <w:rPr>
                <w:noProof/>
                <w:color w:val="000000"/>
                <w:highlight w:val="black"/>
              </w:rPr>
              <w:t>''''''''''''</w:t>
            </w:r>
          </w:p>
        </w:tc>
        <w:tc>
          <w:tcPr>
            <w:tcW w:w="649" w:type="pct"/>
            <w:shd w:val="clear" w:color="auto" w:fill="FFFFFF" w:themeFill="background1"/>
          </w:tcPr>
          <w:p w:rsidR="00B10DD6" w:rsidRPr="00FE4046" w:rsidRDefault="00B10DD6" w:rsidP="005123EA">
            <w:pPr>
              <w:pStyle w:val="TableText1"/>
              <w:jc w:val="center"/>
            </w:pPr>
            <w:r w:rsidRPr="00DE2EB4">
              <w:t>$</w:t>
            </w:r>
            <w:r w:rsidR="00551B2E">
              <w:rPr>
                <w:noProof/>
                <w:color w:val="000000"/>
                <w:highlight w:val="black"/>
              </w:rPr>
              <w:t>''''''''''''''</w:t>
            </w:r>
          </w:p>
        </w:tc>
      </w:tr>
      <w:tr w:rsidR="00B10DD6" w:rsidRPr="00FE4046" w:rsidTr="0023326F">
        <w:tc>
          <w:tcPr>
            <w:tcW w:w="1763" w:type="pct"/>
            <w:shd w:val="clear" w:color="auto" w:fill="auto"/>
            <w:vAlign w:val="center"/>
          </w:tcPr>
          <w:p w:rsidR="00B10DD6" w:rsidRPr="002F0AFF" w:rsidRDefault="00B10DD6" w:rsidP="005123EA">
            <w:pPr>
              <w:pStyle w:val="TableText1"/>
            </w:pPr>
            <w:r w:rsidRPr="00FE4046">
              <w:t>Cost to PBS/RPBS less co</w:t>
            </w:r>
            <w:r w:rsidR="00784ABF">
              <w:t>-</w:t>
            </w:r>
            <w:r w:rsidRPr="00FE4046">
              <w:t>payments</w:t>
            </w:r>
          </w:p>
        </w:tc>
        <w:tc>
          <w:tcPr>
            <w:tcW w:w="647" w:type="pct"/>
            <w:shd w:val="clear" w:color="auto" w:fill="FFFFFF" w:themeFill="background1"/>
          </w:tcPr>
          <w:p w:rsidR="00B10DD6" w:rsidRPr="002F0AFF" w:rsidRDefault="00B10DD6" w:rsidP="005123EA">
            <w:pPr>
              <w:pStyle w:val="TableText1"/>
              <w:jc w:val="center"/>
            </w:pPr>
            <w:r w:rsidRPr="002F0AFF">
              <w:t>$</w:t>
            </w:r>
            <w:r w:rsidR="00551B2E">
              <w:rPr>
                <w:noProof/>
                <w:color w:val="000000"/>
                <w:highlight w:val="black"/>
              </w:rPr>
              <w:t>'''''''''''''''''''''''''</w:t>
            </w:r>
          </w:p>
        </w:tc>
        <w:tc>
          <w:tcPr>
            <w:tcW w:w="647" w:type="pct"/>
            <w:shd w:val="clear" w:color="auto" w:fill="FFFFFF" w:themeFill="background1"/>
          </w:tcPr>
          <w:p w:rsidR="00B10DD6" w:rsidRPr="002F0AFF" w:rsidRDefault="00B10DD6" w:rsidP="005123EA">
            <w:pPr>
              <w:pStyle w:val="TableText1"/>
              <w:jc w:val="center"/>
            </w:pPr>
            <w:r w:rsidRPr="002F0AFF">
              <w:t>$</w:t>
            </w:r>
            <w:r w:rsidR="00551B2E">
              <w:rPr>
                <w:noProof/>
                <w:color w:val="000000"/>
                <w:highlight w:val="black"/>
              </w:rPr>
              <w:t>''''''''''''''''''''''''</w:t>
            </w:r>
          </w:p>
        </w:tc>
        <w:tc>
          <w:tcPr>
            <w:tcW w:w="647" w:type="pct"/>
            <w:shd w:val="clear" w:color="auto" w:fill="FFFFFF" w:themeFill="background1"/>
          </w:tcPr>
          <w:p w:rsidR="00B10DD6" w:rsidRPr="002F0AFF" w:rsidRDefault="00B10DD6" w:rsidP="005123EA">
            <w:pPr>
              <w:pStyle w:val="TableText1"/>
              <w:jc w:val="center"/>
            </w:pPr>
            <w:r w:rsidRPr="002F0AFF">
              <w:t>$</w:t>
            </w:r>
            <w:r w:rsidR="00551B2E">
              <w:rPr>
                <w:noProof/>
                <w:color w:val="000000"/>
                <w:highlight w:val="black"/>
              </w:rPr>
              <w:t>'''''''''''''''''''''''''</w:t>
            </w:r>
          </w:p>
        </w:tc>
        <w:tc>
          <w:tcPr>
            <w:tcW w:w="647" w:type="pct"/>
            <w:shd w:val="clear" w:color="auto" w:fill="FFFFFF" w:themeFill="background1"/>
          </w:tcPr>
          <w:p w:rsidR="00B10DD6" w:rsidRPr="002F0AFF" w:rsidRDefault="00B10DD6" w:rsidP="005123EA">
            <w:pPr>
              <w:pStyle w:val="TableText1"/>
              <w:jc w:val="center"/>
            </w:pPr>
            <w:r w:rsidRPr="002F0AFF">
              <w:t>$</w:t>
            </w:r>
            <w:r w:rsidR="00551B2E">
              <w:rPr>
                <w:noProof/>
                <w:color w:val="000000"/>
                <w:highlight w:val="black"/>
              </w:rPr>
              <w:t>'''''''''''''''''''''''''''''</w:t>
            </w:r>
          </w:p>
        </w:tc>
        <w:tc>
          <w:tcPr>
            <w:tcW w:w="649" w:type="pct"/>
            <w:shd w:val="clear" w:color="auto" w:fill="FFFFFF" w:themeFill="background1"/>
          </w:tcPr>
          <w:p w:rsidR="00B10DD6" w:rsidRPr="002F0AFF" w:rsidRDefault="00B10DD6" w:rsidP="005123EA">
            <w:pPr>
              <w:pStyle w:val="TableText1"/>
              <w:jc w:val="center"/>
            </w:pPr>
            <w:r w:rsidRPr="002F0AFF">
              <w:t>$</w:t>
            </w:r>
            <w:r w:rsidR="00551B2E">
              <w:rPr>
                <w:noProof/>
                <w:color w:val="000000"/>
                <w:highlight w:val="black"/>
              </w:rPr>
              <w:t>'''''''''''''''''''''''''''</w:t>
            </w:r>
          </w:p>
        </w:tc>
      </w:tr>
      <w:tr w:rsidR="00B10DD6" w:rsidRPr="00FE4046" w:rsidTr="003B76C9">
        <w:tc>
          <w:tcPr>
            <w:tcW w:w="5000" w:type="pct"/>
            <w:gridSpan w:val="6"/>
            <w:shd w:val="clear" w:color="auto" w:fill="auto"/>
            <w:vAlign w:val="center"/>
          </w:tcPr>
          <w:p w:rsidR="00B10DD6" w:rsidRPr="00FE4046" w:rsidRDefault="00B10DD6" w:rsidP="005123EA">
            <w:pPr>
              <w:pStyle w:val="TableText1"/>
              <w:rPr>
                <w:b/>
              </w:rPr>
            </w:pPr>
            <w:r w:rsidRPr="00FE4046">
              <w:rPr>
                <w:b/>
              </w:rPr>
              <w:t>Net financial implications</w:t>
            </w:r>
          </w:p>
        </w:tc>
      </w:tr>
      <w:tr w:rsidR="00B10DD6" w:rsidRPr="00FE4046" w:rsidTr="0023326F">
        <w:tc>
          <w:tcPr>
            <w:tcW w:w="1763" w:type="pct"/>
            <w:shd w:val="clear" w:color="auto" w:fill="auto"/>
            <w:vAlign w:val="center"/>
          </w:tcPr>
          <w:p w:rsidR="00B10DD6" w:rsidRPr="00FE4046" w:rsidRDefault="00B10DD6" w:rsidP="005123EA">
            <w:pPr>
              <w:pStyle w:val="TableText1"/>
            </w:pPr>
            <w:r w:rsidRPr="00FE4046">
              <w:t>Net cost to PBS/RPBS</w:t>
            </w:r>
          </w:p>
        </w:tc>
        <w:tc>
          <w:tcPr>
            <w:tcW w:w="647" w:type="pct"/>
            <w:shd w:val="clear" w:color="auto" w:fill="FFFFFF" w:themeFill="background1"/>
          </w:tcPr>
          <w:p w:rsidR="00B10DD6" w:rsidRPr="00FE4046" w:rsidRDefault="00B10DD6" w:rsidP="005123EA">
            <w:pPr>
              <w:pStyle w:val="TableText1"/>
              <w:jc w:val="center"/>
            </w:pPr>
            <w:r w:rsidRPr="002F0AFF">
              <w:t>$</w:t>
            </w:r>
            <w:r w:rsidR="00551B2E">
              <w:rPr>
                <w:noProof/>
                <w:color w:val="000000"/>
                <w:highlight w:val="black"/>
              </w:rPr>
              <w:t>''''''''''''''''''''''''''</w:t>
            </w:r>
          </w:p>
        </w:tc>
        <w:tc>
          <w:tcPr>
            <w:tcW w:w="647" w:type="pct"/>
            <w:shd w:val="clear" w:color="auto" w:fill="FFFFFF" w:themeFill="background1"/>
          </w:tcPr>
          <w:p w:rsidR="00B10DD6" w:rsidRPr="00FE4046" w:rsidRDefault="00B10DD6" w:rsidP="005123EA">
            <w:pPr>
              <w:pStyle w:val="TableText1"/>
              <w:jc w:val="center"/>
            </w:pPr>
            <w:r w:rsidRPr="002F0AFF">
              <w:t>$</w:t>
            </w:r>
            <w:r w:rsidR="00551B2E">
              <w:rPr>
                <w:noProof/>
                <w:color w:val="000000"/>
                <w:highlight w:val="black"/>
              </w:rPr>
              <w:t>'''''''''''''''''''''''''''</w:t>
            </w:r>
          </w:p>
        </w:tc>
        <w:tc>
          <w:tcPr>
            <w:tcW w:w="647" w:type="pct"/>
            <w:shd w:val="clear" w:color="auto" w:fill="FFFFFF" w:themeFill="background1"/>
          </w:tcPr>
          <w:p w:rsidR="00B10DD6" w:rsidRPr="00FE4046" w:rsidRDefault="00B10DD6" w:rsidP="005123EA">
            <w:pPr>
              <w:pStyle w:val="TableText1"/>
              <w:jc w:val="center"/>
            </w:pPr>
            <w:r w:rsidRPr="002F0AFF">
              <w:t>$</w:t>
            </w:r>
            <w:r w:rsidR="00551B2E">
              <w:rPr>
                <w:noProof/>
                <w:color w:val="000000"/>
                <w:highlight w:val="black"/>
              </w:rPr>
              <w:t>''''''''''''''''''''''''''''</w:t>
            </w:r>
          </w:p>
        </w:tc>
        <w:tc>
          <w:tcPr>
            <w:tcW w:w="647" w:type="pct"/>
            <w:shd w:val="clear" w:color="auto" w:fill="FFFFFF" w:themeFill="background1"/>
          </w:tcPr>
          <w:p w:rsidR="00B10DD6" w:rsidRPr="00FE4046" w:rsidRDefault="00B10DD6" w:rsidP="005123EA">
            <w:pPr>
              <w:pStyle w:val="TableText1"/>
              <w:jc w:val="center"/>
            </w:pPr>
            <w:r w:rsidRPr="002F0AFF">
              <w:t>$</w:t>
            </w:r>
            <w:r w:rsidR="00551B2E">
              <w:rPr>
                <w:noProof/>
                <w:color w:val="000000"/>
                <w:highlight w:val="black"/>
              </w:rPr>
              <w:t>'''''''''''''''''''''''''''''</w:t>
            </w:r>
          </w:p>
        </w:tc>
        <w:tc>
          <w:tcPr>
            <w:tcW w:w="649" w:type="pct"/>
            <w:shd w:val="clear" w:color="auto" w:fill="FFFFFF" w:themeFill="background1"/>
          </w:tcPr>
          <w:p w:rsidR="00B10DD6" w:rsidRPr="00FE4046" w:rsidRDefault="00B10DD6" w:rsidP="005123EA">
            <w:pPr>
              <w:pStyle w:val="TableText1"/>
              <w:jc w:val="center"/>
            </w:pPr>
            <w:r w:rsidRPr="002F0AFF">
              <w:t>$</w:t>
            </w:r>
            <w:r w:rsidR="00551B2E">
              <w:rPr>
                <w:noProof/>
                <w:color w:val="000000"/>
                <w:highlight w:val="black"/>
              </w:rPr>
              <w:t>'''''''''''''''''''''''''''</w:t>
            </w:r>
          </w:p>
        </w:tc>
      </w:tr>
      <w:tr w:rsidR="00B10DD6" w:rsidRPr="00FE4046" w:rsidTr="0023326F">
        <w:tc>
          <w:tcPr>
            <w:tcW w:w="1763" w:type="pct"/>
            <w:shd w:val="clear" w:color="auto" w:fill="auto"/>
            <w:vAlign w:val="center"/>
          </w:tcPr>
          <w:p w:rsidR="00B10DD6" w:rsidRPr="00FE4046" w:rsidRDefault="00B10DD6" w:rsidP="005123EA">
            <w:pPr>
              <w:pStyle w:val="TableText1"/>
            </w:pPr>
            <w:r w:rsidRPr="00FE4046">
              <w:t>Net cost to</w:t>
            </w:r>
            <w:r>
              <w:t xml:space="preserve"> MBS</w:t>
            </w:r>
          </w:p>
        </w:tc>
        <w:tc>
          <w:tcPr>
            <w:tcW w:w="647" w:type="pct"/>
            <w:shd w:val="clear" w:color="auto" w:fill="FFFFFF" w:themeFill="background1"/>
          </w:tcPr>
          <w:p w:rsidR="00B10DD6" w:rsidRPr="00990252" w:rsidRDefault="00B10DD6" w:rsidP="005123EA">
            <w:pPr>
              <w:pStyle w:val="TableText1"/>
              <w:jc w:val="center"/>
            </w:pPr>
            <w:r w:rsidRPr="00990252">
              <w:t>-$</w:t>
            </w:r>
            <w:r w:rsidR="00551B2E">
              <w:rPr>
                <w:noProof/>
                <w:color w:val="000000"/>
                <w:highlight w:val="black"/>
              </w:rPr>
              <w:t>'''''''''''''''''''</w:t>
            </w:r>
          </w:p>
        </w:tc>
        <w:tc>
          <w:tcPr>
            <w:tcW w:w="647" w:type="pct"/>
            <w:shd w:val="clear" w:color="auto" w:fill="FFFFFF" w:themeFill="background1"/>
          </w:tcPr>
          <w:p w:rsidR="00B10DD6" w:rsidRPr="00990252" w:rsidRDefault="00B10DD6" w:rsidP="005123EA">
            <w:pPr>
              <w:pStyle w:val="TableText1"/>
              <w:jc w:val="center"/>
            </w:pPr>
            <w:r w:rsidRPr="00990252">
              <w:t>-$</w:t>
            </w:r>
            <w:r w:rsidR="00551B2E">
              <w:rPr>
                <w:noProof/>
                <w:color w:val="000000"/>
                <w:highlight w:val="black"/>
              </w:rPr>
              <w:t>''''''''''''''''''</w:t>
            </w:r>
          </w:p>
        </w:tc>
        <w:tc>
          <w:tcPr>
            <w:tcW w:w="647" w:type="pct"/>
            <w:shd w:val="clear" w:color="auto" w:fill="FFFFFF" w:themeFill="background1"/>
          </w:tcPr>
          <w:p w:rsidR="00B10DD6" w:rsidRPr="00990252" w:rsidRDefault="00B10DD6" w:rsidP="005123EA">
            <w:pPr>
              <w:pStyle w:val="TableText1"/>
              <w:jc w:val="center"/>
            </w:pPr>
            <w:r w:rsidRPr="00990252">
              <w:t>-$</w:t>
            </w:r>
            <w:r w:rsidR="00551B2E">
              <w:rPr>
                <w:noProof/>
                <w:color w:val="000000"/>
                <w:highlight w:val="black"/>
              </w:rPr>
              <w:t>'''''''''''''''''''''</w:t>
            </w:r>
          </w:p>
        </w:tc>
        <w:tc>
          <w:tcPr>
            <w:tcW w:w="647" w:type="pct"/>
            <w:shd w:val="clear" w:color="auto" w:fill="FFFFFF" w:themeFill="background1"/>
          </w:tcPr>
          <w:p w:rsidR="00B10DD6" w:rsidRPr="00990252" w:rsidRDefault="00B10DD6" w:rsidP="005123EA">
            <w:pPr>
              <w:pStyle w:val="TableText1"/>
              <w:jc w:val="center"/>
            </w:pPr>
            <w:r w:rsidRPr="00990252">
              <w:t>-$</w:t>
            </w:r>
            <w:r w:rsidR="00551B2E">
              <w:rPr>
                <w:noProof/>
                <w:color w:val="000000"/>
                <w:highlight w:val="black"/>
              </w:rPr>
              <w:t>'''''''''''''''''</w:t>
            </w:r>
          </w:p>
        </w:tc>
        <w:tc>
          <w:tcPr>
            <w:tcW w:w="649" w:type="pct"/>
            <w:shd w:val="clear" w:color="auto" w:fill="FFFFFF" w:themeFill="background1"/>
          </w:tcPr>
          <w:p w:rsidR="00B10DD6" w:rsidRPr="00990252" w:rsidRDefault="00B10DD6" w:rsidP="005123EA">
            <w:pPr>
              <w:pStyle w:val="TableText1"/>
              <w:jc w:val="center"/>
            </w:pPr>
            <w:r w:rsidRPr="00990252">
              <w:t>-$</w:t>
            </w:r>
            <w:r w:rsidR="00551B2E">
              <w:rPr>
                <w:noProof/>
                <w:color w:val="000000"/>
                <w:highlight w:val="black"/>
              </w:rPr>
              <w:t>''''''''''''''''''''</w:t>
            </w:r>
          </w:p>
        </w:tc>
      </w:tr>
      <w:tr w:rsidR="00B10DD6" w:rsidRPr="00990252" w:rsidTr="0023326F">
        <w:tc>
          <w:tcPr>
            <w:tcW w:w="1763" w:type="pct"/>
            <w:shd w:val="clear" w:color="auto" w:fill="auto"/>
            <w:vAlign w:val="center"/>
          </w:tcPr>
          <w:p w:rsidR="00B10DD6" w:rsidRPr="00990252" w:rsidRDefault="00B10DD6" w:rsidP="005123EA">
            <w:pPr>
              <w:pStyle w:val="TableText1"/>
            </w:pPr>
            <w:r w:rsidRPr="00990252">
              <w:t>Net cost to PBS/RPBS/MBS</w:t>
            </w:r>
          </w:p>
        </w:tc>
        <w:tc>
          <w:tcPr>
            <w:tcW w:w="647" w:type="pct"/>
            <w:shd w:val="clear" w:color="auto" w:fill="FFFFFF" w:themeFill="background1"/>
            <w:vAlign w:val="center"/>
          </w:tcPr>
          <w:p w:rsidR="00B10DD6" w:rsidRPr="00990252" w:rsidRDefault="00B10DD6" w:rsidP="005123EA">
            <w:pPr>
              <w:pStyle w:val="TableText1"/>
              <w:jc w:val="center"/>
            </w:pPr>
            <w:r w:rsidRPr="00990252">
              <w:t>$</w:t>
            </w:r>
            <w:r w:rsidR="00551B2E">
              <w:rPr>
                <w:noProof/>
                <w:color w:val="000000"/>
                <w:highlight w:val="black"/>
              </w:rPr>
              <w:t>'''''''''''''''''''''''''''</w:t>
            </w:r>
          </w:p>
        </w:tc>
        <w:tc>
          <w:tcPr>
            <w:tcW w:w="647" w:type="pct"/>
            <w:shd w:val="clear" w:color="auto" w:fill="FFFFFF" w:themeFill="background1"/>
            <w:vAlign w:val="center"/>
          </w:tcPr>
          <w:p w:rsidR="00B10DD6" w:rsidRPr="00990252" w:rsidRDefault="00B10DD6" w:rsidP="005123EA">
            <w:pPr>
              <w:pStyle w:val="TableText1"/>
              <w:jc w:val="center"/>
            </w:pPr>
            <w:r w:rsidRPr="00990252">
              <w:t>$</w:t>
            </w:r>
            <w:r w:rsidR="00551B2E">
              <w:rPr>
                <w:noProof/>
                <w:color w:val="000000"/>
                <w:highlight w:val="black"/>
              </w:rPr>
              <w:t>''''''''''''''''''''''''</w:t>
            </w:r>
          </w:p>
        </w:tc>
        <w:tc>
          <w:tcPr>
            <w:tcW w:w="647" w:type="pct"/>
            <w:shd w:val="clear" w:color="auto" w:fill="FFFFFF" w:themeFill="background1"/>
            <w:vAlign w:val="center"/>
          </w:tcPr>
          <w:p w:rsidR="00B10DD6" w:rsidRPr="00990252" w:rsidRDefault="00B10DD6" w:rsidP="005123EA">
            <w:pPr>
              <w:pStyle w:val="TableText1"/>
              <w:jc w:val="center"/>
            </w:pPr>
            <w:r w:rsidRPr="00990252">
              <w:t>$</w:t>
            </w:r>
            <w:r w:rsidR="00551B2E">
              <w:rPr>
                <w:noProof/>
                <w:color w:val="000000"/>
                <w:highlight w:val="black"/>
              </w:rPr>
              <w:t>'''''''''''''''''''''''''''''</w:t>
            </w:r>
          </w:p>
        </w:tc>
        <w:tc>
          <w:tcPr>
            <w:tcW w:w="647" w:type="pct"/>
            <w:shd w:val="clear" w:color="auto" w:fill="FFFFFF" w:themeFill="background1"/>
            <w:vAlign w:val="center"/>
          </w:tcPr>
          <w:p w:rsidR="00B10DD6" w:rsidRPr="00990252" w:rsidRDefault="00B10DD6" w:rsidP="005123EA">
            <w:pPr>
              <w:pStyle w:val="TableText1"/>
              <w:jc w:val="center"/>
            </w:pPr>
            <w:r w:rsidRPr="00990252">
              <w:t>$</w:t>
            </w:r>
            <w:r w:rsidR="00551B2E">
              <w:rPr>
                <w:noProof/>
                <w:color w:val="000000"/>
                <w:highlight w:val="black"/>
              </w:rPr>
              <w:t>'''''''''''''''''''''''''''</w:t>
            </w:r>
          </w:p>
        </w:tc>
        <w:tc>
          <w:tcPr>
            <w:tcW w:w="649" w:type="pct"/>
            <w:shd w:val="clear" w:color="auto" w:fill="FFFFFF" w:themeFill="background1"/>
            <w:vAlign w:val="center"/>
          </w:tcPr>
          <w:p w:rsidR="00B10DD6" w:rsidRPr="00990252" w:rsidRDefault="00B10DD6" w:rsidP="005123EA">
            <w:pPr>
              <w:pStyle w:val="TableText1"/>
              <w:jc w:val="center"/>
            </w:pPr>
            <w:r w:rsidRPr="00990252">
              <w:t>$</w:t>
            </w:r>
            <w:r w:rsidR="00551B2E">
              <w:rPr>
                <w:noProof/>
                <w:color w:val="000000"/>
                <w:highlight w:val="black"/>
              </w:rPr>
              <w:t>''''''''''''''''''''''''''''</w:t>
            </w:r>
          </w:p>
        </w:tc>
      </w:tr>
    </w:tbl>
    <w:p w:rsidR="00B10DD6" w:rsidRDefault="00B10DD6" w:rsidP="005123EA">
      <w:pPr>
        <w:pStyle w:val="TableFooter"/>
        <w:widowControl/>
        <w:tabs>
          <w:tab w:val="left" w:pos="284"/>
        </w:tabs>
        <w:ind w:left="284" w:hanging="284"/>
      </w:pPr>
      <w:proofErr w:type="spellStart"/>
      <w:proofErr w:type="gramStart"/>
      <w:r w:rsidRPr="00990252">
        <w:rPr>
          <w:vertAlign w:val="superscript"/>
        </w:rPr>
        <w:t>a</w:t>
      </w:r>
      <w:proofErr w:type="spellEnd"/>
      <w:proofErr w:type="gramEnd"/>
      <w:r w:rsidRPr="00990252">
        <w:t xml:space="preserve"> </w:t>
      </w:r>
      <w:r>
        <w:tab/>
      </w:r>
      <w:r w:rsidRPr="00990252">
        <w:t>Assuming patients are dispensed only the one strength vial, with the number of vials per script being based on average body</w:t>
      </w:r>
      <w:r>
        <w:t xml:space="preserve"> weight for each age group from trial data </w:t>
      </w:r>
      <w:r w:rsidRPr="00D366BE">
        <w:t>as estimated by the submission.</w:t>
      </w:r>
    </w:p>
    <w:p w:rsidR="00B10DD6" w:rsidRPr="00D366BE" w:rsidRDefault="00B10DD6" w:rsidP="005123EA">
      <w:pPr>
        <w:pStyle w:val="TableFooter"/>
        <w:widowControl/>
        <w:tabs>
          <w:tab w:val="left" w:pos="284"/>
        </w:tabs>
        <w:ind w:left="284" w:hanging="284"/>
      </w:pPr>
      <w:proofErr w:type="gramStart"/>
      <w:r w:rsidRPr="007E6057">
        <w:rPr>
          <w:vertAlign w:val="superscript"/>
        </w:rPr>
        <w:t>b</w:t>
      </w:r>
      <w:proofErr w:type="gramEnd"/>
      <w:r>
        <w:rPr>
          <w:vertAlign w:val="superscript"/>
        </w:rPr>
        <w:t xml:space="preserve"> </w:t>
      </w:r>
      <w:r>
        <w:rPr>
          <w:vertAlign w:val="superscript"/>
        </w:rPr>
        <w:tab/>
      </w:r>
      <w:r>
        <w:t>In some cases the submission calculated that two packs would be required per prescription</w:t>
      </w:r>
    </w:p>
    <w:p w:rsidR="00B10DD6" w:rsidRPr="00D366BE" w:rsidRDefault="00B10DD6" w:rsidP="005123EA">
      <w:pPr>
        <w:pStyle w:val="TableFooter"/>
        <w:widowControl/>
      </w:pPr>
      <w:r w:rsidRPr="00256D5B">
        <w:t>Source: Tables E.2.2 – E.5.2, pp79- 88 of Sections C to F of the submission</w:t>
      </w:r>
    </w:p>
    <w:p w:rsidR="00B10DD6" w:rsidRPr="00F471D7" w:rsidRDefault="00056324" w:rsidP="005123EA">
      <w:pPr>
        <w:pStyle w:val="ListParagraph"/>
        <w:widowControl/>
        <w:numPr>
          <w:ilvl w:val="1"/>
          <w:numId w:val="2"/>
        </w:numPr>
        <w:spacing w:before="120" w:after="0"/>
        <w:contextualSpacing w:val="0"/>
        <w:rPr>
          <w:rFonts w:asciiTheme="minorHAnsi" w:hAnsiTheme="minorHAnsi"/>
        </w:rPr>
      </w:pPr>
      <w:r>
        <w:rPr>
          <w:rFonts w:asciiTheme="minorHAnsi" w:hAnsiTheme="minorHAnsi"/>
        </w:rPr>
        <w:t>At year 5, t</w:t>
      </w:r>
      <w:r w:rsidR="00B10DD6" w:rsidRPr="00F471D7">
        <w:rPr>
          <w:rFonts w:asciiTheme="minorHAnsi" w:hAnsiTheme="minorHAnsi"/>
        </w:rPr>
        <w:t xml:space="preserve">he submission estimated </w:t>
      </w:r>
      <w:r>
        <w:rPr>
          <w:rFonts w:asciiTheme="minorHAnsi" w:hAnsiTheme="minorHAnsi"/>
        </w:rPr>
        <w:t xml:space="preserve">the number of patients would be </w:t>
      </w:r>
      <w:r w:rsidR="00F01BFC">
        <w:rPr>
          <w:rFonts w:asciiTheme="minorHAnsi" w:hAnsiTheme="minorHAnsi"/>
        </w:rPr>
        <w:t xml:space="preserve">less than 100 </w:t>
      </w:r>
      <w:r>
        <w:rPr>
          <w:rFonts w:asciiTheme="minorHAnsi" w:hAnsiTheme="minorHAnsi"/>
        </w:rPr>
        <w:t xml:space="preserve">and the </w:t>
      </w:r>
      <w:r w:rsidR="00B10DD6" w:rsidRPr="00F471D7">
        <w:rPr>
          <w:rFonts w:asciiTheme="minorHAnsi" w:hAnsiTheme="minorHAnsi"/>
        </w:rPr>
        <w:t xml:space="preserve">net </w:t>
      </w:r>
      <w:r>
        <w:rPr>
          <w:rFonts w:asciiTheme="minorHAnsi" w:hAnsiTheme="minorHAnsi"/>
        </w:rPr>
        <w:t xml:space="preserve">cost to the </w:t>
      </w:r>
      <w:r w:rsidR="00B10DD6" w:rsidRPr="00F471D7">
        <w:rPr>
          <w:rFonts w:asciiTheme="minorHAnsi" w:hAnsiTheme="minorHAnsi"/>
        </w:rPr>
        <w:t xml:space="preserve">PBS </w:t>
      </w:r>
      <w:r>
        <w:rPr>
          <w:rFonts w:asciiTheme="minorHAnsi" w:hAnsiTheme="minorHAnsi"/>
        </w:rPr>
        <w:t xml:space="preserve">would be </w:t>
      </w:r>
      <w:r w:rsidR="00F01BFC">
        <w:rPr>
          <w:rFonts w:asciiTheme="minorHAnsi" w:hAnsiTheme="minorHAnsi"/>
        </w:rPr>
        <w:t>$20 - $30 million</w:t>
      </w:r>
      <w:r w:rsidR="00B10DD6" w:rsidRPr="00F471D7">
        <w:rPr>
          <w:rFonts w:asciiTheme="minorHAnsi" w:hAnsiTheme="minorHAnsi"/>
        </w:rPr>
        <w:t xml:space="preserve"> in Year 5 of listing.</w:t>
      </w:r>
      <w:r w:rsidR="00540116" w:rsidRPr="00F471D7">
        <w:rPr>
          <w:rFonts w:asciiTheme="minorHAnsi" w:hAnsiTheme="minorHAnsi"/>
        </w:rPr>
        <w:t xml:space="preserve"> </w:t>
      </w:r>
      <w:r w:rsidR="00B10DD6" w:rsidRPr="00F471D7">
        <w:rPr>
          <w:rFonts w:asciiTheme="minorHAnsi" w:hAnsiTheme="minorHAnsi"/>
        </w:rPr>
        <w:t xml:space="preserve">This cost may be higher due to: </w:t>
      </w:r>
    </w:p>
    <w:p w:rsidR="00B10DD6" w:rsidRPr="00F471D7" w:rsidRDefault="00B10DD6" w:rsidP="005123EA">
      <w:pPr>
        <w:pStyle w:val="ListParagraph"/>
        <w:widowControl/>
        <w:numPr>
          <w:ilvl w:val="1"/>
          <w:numId w:val="10"/>
        </w:numPr>
        <w:spacing w:after="0"/>
        <w:ind w:left="851" w:hanging="284"/>
        <w:contextualSpacing w:val="0"/>
        <w:rPr>
          <w:rFonts w:asciiTheme="minorHAnsi" w:hAnsiTheme="minorHAnsi"/>
        </w:rPr>
      </w:pPr>
      <w:r w:rsidRPr="00F471D7">
        <w:rPr>
          <w:rFonts w:asciiTheme="minorHAnsi" w:hAnsiTheme="minorHAnsi"/>
        </w:rPr>
        <w:t xml:space="preserve">Uncertainty in the eligible population because the prevalence population may be higher than estimated, the diagnosis and uptake rates may be different to that estimated by the submission, there could be variation in the proportion of patients in each age group compared </w:t>
      </w:r>
      <w:r w:rsidR="00A724D5">
        <w:rPr>
          <w:rFonts w:asciiTheme="minorHAnsi" w:hAnsiTheme="minorHAnsi"/>
        </w:rPr>
        <w:t>with</w:t>
      </w:r>
      <w:r w:rsidR="00A724D5" w:rsidRPr="00F471D7">
        <w:rPr>
          <w:rFonts w:asciiTheme="minorHAnsi" w:hAnsiTheme="minorHAnsi"/>
        </w:rPr>
        <w:t xml:space="preserve"> </w:t>
      </w:r>
      <w:r w:rsidRPr="00F471D7">
        <w:rPr>
          <w:rFonts w:asciiTheme="minorHAnsi" w:hAnsiTheme="minorHAnsi"/>
        </w:rPr>
        <w:t>what is reported in the submission, and there could be use outside the restriction in adult patients, where quantification of symptom onset prior to 18 years of age as proposed by the submission is subjective.</w:t>
      </w:r>
    </w:p>
    <w:p w:rsidR="00B10DD6" w:rsidRPr="00F471D7" w:rsidRDefault="00B10DD6" w:rsidP="005123EA">
      <w:pPr>
        <w:pStyle w:val="ListParagraph"/>
        <w:widowControl/>
        <w:numPr>
          <w:ilvl w:val="1"/>
          <w:numId w:val="10"/>
        </w:numPr>
        <w:spacing w:after="0"/>
        <w:ind w:left="851" w:hanging="284"/>
        <w:contextualSpacing w:val="0"/>
        <w:rPr>
          <w:rFonts w:asciiTheme="minorHAnsi" w:hAnsiTheme="minorHAnsi"/>
        </w:rPr>
      </w:pPr>
      <w:r w:rsidRPr="00F471D7">
        <w:rPr>
          <w:rFonts w:asciiTheme="minorHAnsi" w:hAnsiTheme="minorHAnsi"/>
        </w:rPr>
        <w:t xml:space="preserve">Uncertainty in the costs since the submission assumed self-administration, whereas administration under medical supervision may be required due to the risk of </w:t>
      </w:r>
      <w:proofErr w:type="spellStart"/>
      <w:r w:rsidRPr="00F471D7">
        <w:rPr>
          <w:rFonts w:asciiTheme="minorHAnsi" w:hAnsiTheme="minorHAnsi"/>
        </w:rPr>
        <w:t>anaphylactoid</w:t>
      </w:r>
      <w:proofErr w:type="spellEnd"/>
      <w:r w:rsidRPr="00F471D7">
        <w:rPr>
          <w:rFonts w:asciiTheme="minorHAnsi" w:hAnsiTheme="minorHAnsi"/>
        </w:rPr>
        <w:t xml:space="preserve">/anaphylaxis </w:t>
      </w:r>
      <w:r w:rsidR="004F3AC5" w:rsidRPr="00F471D7">
        <w:rPr>
          <w:rFonts w:asciiTheme="minorHAnsi" w:hAnsiTheme="minorHAnsi"/>
        </w:rPr>
        <w:t>reactions</w:t>
      </w:r>
      <w:r w:rsidRPr="00F471D7">
        <w:rPr>
          <w:rFonts w:asciiTheme="minorHAnsi" w:hAnsiTheme="minorHAnsi"/>
        </w:rPr>
        <w:t>, and also because the submission did not include any cost for the treatment of such reactions.</w:t>
      </w:r>
    </w:p>
    <w:p w:rsidR="00B10DD6" w:rsidRPr="00F471D7" w:rsidRDefault="00B10DD6" w:rsidP="005123EA">
      <w:pPr>
        <w:pStyle w:val="ListParagraph"/>
        <w:widowControl/>
        <w:numPr>
          <w:ilvl w:val="1"/>
          <w:numId w:val="10"/>
        </w:numPr>
        <w:spacing w:after="0"/>
        <w:ind w:left="851" w:hanging="284"/>
        <w:contextualSpacing w:val="0"/>
        <w:rPr>
          <w:rFonts w:asciiTheme="minorHAnsi" w:hAnsiTheme="minorHAnsi"/>
        </w:rPr>
      </w:pPr>
      <w:r w:rsidRPr="00F471D7">
        <w:rPr>
          <w:rFonts w:asciiTheme="minorHAnsi" w:hAnsiTheme="minorHAnsi"/>
        </w:rPr>
        <w:t>Uncertainty in the costs since the submission assumed average body weight to be the same as average body weight in the trials.</w:t>
      </w:r>
    </w:p>
    <w:p w:rsidR="00571B49" w:rsidRDefault="00571B49" w:rsidP="005123EA">
      <w:pPr>
        <w:pStyle w:val="ListParagraph"/>
        <w:widowControl/>
        <w:numPr>
          <w:ilvl w:val="1"/>
          <w:numId w:val="2"/>
        </w:numPr>
        <w:spacing w:before="120" w:after="160"/>
        <w:contextualSpacing w:val="0"/>
        <w:rPr>
          <w:rFonts w:asciiTheme="minorHAnsi" w:hAnsiTheme="minorHAnsi"/>
        </w:rPr>
      </w:pPr>
      <w:r>
        <w:rPr>
          <w:rFonts w:asciiTheme="minorHAnsi" w:hAnsiTheme="minorHAnsi"/>
        </w:rPr>
        <w:t xml:space="preserve">The PBAC noted that the submission assumes that, overall, only around </w:t>
      </w:r>
      <w:r w:rsidR="00551B2E">
        <w:rPr>
          <w:rFonts w:asciiTheme="minorHAnsi" w:hAnsiTheme="minorHAnsi"/>
          <w:noProof/>
          <w:color w:val="000000"/>
          <w:highlight w:val="black"/>
        </w:rPr>
        <w:t>''''''</w:t>
      </w:r>
      <w:r>
        <w:rPr>
          <w:rFonts w:asciiTheme="minorHAnsi" w:hAnsiTheme="minorHAnsi"/>
        </w:rPr>
        <w:t>% of the estimated eligible patient population with paediatric-onset HPP will be treated.  Table 15 provides the submission estimates of the eligible patient population.</w:t>
      </w:r>
    </w:p>
    <w:p w:rsidR="002757CE" w:rsidRDefault="002757CE" w:rsidP="002757CE">
      <w:pPr>
        <w:pStyle w:val="Caption"/>
      </w:pPr>
      <w:r>
        <w:t xml:space="preserve">Table </w:t>
      </w:r>
      <w:r>
        <w:rPr>
          <w:noProof/>
        </w:rPr>
        <w:t>15</w:t>
      </w:r>
      <w:r w:rsidRPr="005E2B85">
        <w:t>: Estimation of the number of eligible patients with paediatric HPP</w:t>
      </w:r>
    </w:p>
    <w:tbl>
      <w:tblPr>
        <w:tblW w:w="9072" w:type="dxa"/>
        <w:tblInd w:w="-5" w:type="dxa"/>
        <w:tblCellMar>
          <w:left w:w="28" w:type="dxa"/>
          <w:right w:w="28" w:type="dxa"/>
        </w:tblCellMar>
        <w:tblLook w:val="04A0" w:firstRow="1" w:lastRow="0" w:firstColumn="1" w:lastColumn="0" w:noHBand="0" w:noVBand="1"/>
      </w:tblPr>
      <w:tblGrid>
        <w:gridCol w:w="1458"/>
        <w:gridCol w:w="1530"/>
        <w:gridCol w:w="1620"/>
        <w:gridCol w:w="1530"/>
        <w:gridCol w:w="1517"/>
        <w:gridCol w:w="1417"/>
      </w:tblGrid>
      <w:tr w:rsidR="00571B49" w:rsidRPr="00232902" w:rsidTr="000E4E6B">
        <w:trPr>
          <w:trHeight w:val="64"/>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1B49" w:rsidRPr="00232902" w:rsidRDefault="00571B49" w:rsidP="000E4E6B">
            <w:pPr>
              <w:widowControl/>
              <w:rPr>
                <w:rFonts w:ascii="Arial Narrow" w:hAnsi="Arial Narrow"/>
                <w:sz w:val="20"/>
                <w:lang w:val="en-US"/>
              </w:rPr>
            </w:pP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571B49" w:rsidRPr="003A53F2" w:rsidRDefault="00571B49" w:rsidP="000E4E6B">
            <w:pPr>
              <w:widowControl/>
              <w:jc w:val="center"/>
              <w:rPr>
                <w:rFonts w:ascii="Arial Narrow" w:hAnsi="Arial Narrow"/>
                <w:b/>
                <w:sz w:val="20"/>
                <w:lang w:val="en-US"/>
              </w:rPr>
            </w:pPr>
            <w:r w:rsidRPr="003A53F2">
              <w:rPr>
                <w:rFonts w:ascii="Arial Narrow" w:hAnsi="Arial Narrow"/>
                <w:b/>
                <w:sz w:val="20"/>
                <w:lang w:val="en-US"/>
              </w:rPr>
              <w:t>Year 1 (2018)</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571B49" w:rsidRPr="003A53F2" w:rsidRDefault="00571B49" w:rsidP="000E4E6B">
            <w:pPr>
              <w:widowControl/>
              <w:jc w:val="center"/>
              <w:rPr>
                <w:rFonts w:ascii="Arial Narrow" w:hAnsi="Arial Narrow"/>
                <w:b/>
                <w:sz w:val="20"/>
                <w:lang w:val="en-US"/>
              </w:rPr>
            </w:pPr>
            <w:r w:rsidRPr="003A53F2">
              <w:rPr>
                <w:rFonts w:ascii="Arial Narrow" w:hAnsi="Arial Narrow"/>
                <w:b/>
                <w:sz w:val="20"/>
                <w:lang w:val="en-US"/>
              </w:rPr>
              <w:t>Year 2 (2019)</w:t>
            </w: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571B49" w:rsidRPr="003A53F2" w:rsidRDefault="00571B49" w:rsidP="000E4E6B">
            <w:pPr>
              <w:widowControl/>
              <w:jc w:val="center"/>
              <w:rPr>
                <w:rFonts w:ascii="Arial Narrow" w:hAnsi="Arial Narrow"/>
                <w:b/>
                <w:sz w:val="20"/>
                <w:lang w:val="en-US"/>
              </w:rPr>
            </w:pPr>
            <w:r w:rsidRPr="003A53F2">
              <w:rPr>
                <w:rFonts w:ascii="Arial Narrow" w:hAnsi="Arial Narrow"/>
                <w:b/>
                <w:sz w:val="20"/>
                <w:lang w:val="en-US"/>
              </w:rPr>
              <w:t>Year 3 (2020)</w:t>
            </w:r>
          </w:p>
        </w:tc>
        <w:tc>
          <w:tcPr>
            <w:tcW w:w="1517" w:type="dxa"/>
            <w:tcBorders>
              <w:top w:val="single" w:sz="4" w:space="0" w:color="auto"/>
              <w:left w:val="nil"/>
              <w:bottom w:val="single" w:sz="4" w:space="0" w:color="auto"/>
              <w:right w:val="single" w:sz="4" w:space="0" w:color="auto"/>
            </w:tcBorders>
            <w:shd w:val="clear" w:color="auto" w:fill="auto"/>
            <w:noWrap/>
            <w:vAlign w:val="bottom"/>
          </w:tcPr>
          <w:p w:rsidR="00571B49" w:rsidRPr="003A53F2" w:rsidRDefault="00571B49" w:rsidP="000E4E6B">
            <w:pPr>
              <w:widowControl/>
              <w:jc w:val="center"/>
              <w:rPr>
                <w:rFonts w:ascii="Arial Narrow" w:hAnsi="Arial Narrow"/>
                <w:b/>
                <w:sz w:val="20"/>
                <w:lang w:val="en-US"/>
              </w:rPr>
            </w:pPr>
            <w:r w:rsidRPr="003A53F2">
              <w:rPr>
                <w:rFonts w:ascii="Arial Narrow" w:hAnsi="Arial Narrow"/>
                <w:b/>
                <w:sz w:val="20"/>
                <w:lang w:val="en-US"/>
              </w:rPr>
              <w:t>Year 4 (2021)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571B49" w:rsidRPr="003A53F2" w:rsidRDefault="00571B49" w:rsidP="000E4E6B">
            <w:pPr>
              <w:widowControl/>
              <w:jc w:val="center"/>
              <w:rPr>
                <w:rFonts w:ascii="Arial Narrow" w:hAnsi="Arial Narrow"/>
                <w:b/>
                <w:sz w:val="20"/>
                <w:lang w:val="en-US"/>
              </w:rPr>
            </w:pPr>
            <w:r w:rsidRPr="003A53F2">
              <w:rPr>
                <w:rFonts w:ascii="Arial Narrow" w:hAnsi="Arial Narrow"/>
                <w:b/>
                <w:sz w:val="20"/>
                <w:lang w:val="en-US"/>
              </w:rPr>
              <w:t>Year 5 (2022)</w:t>
            </w:r>
          </w:p>
        </w:tc>
      </w:tr>
      <w:tr w:rsidR="00571B49" w:rsidRPr="00232902" w:rsidTr="000E4E6B">
        <w:trPr>
          <w:trHeight w:val="64"/>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1B49" w:rsidRPr="00232902" w:rsidRDefault="00571B49" w:rsidP="000E4E6B">
            <w:pPr>
              <w:widowControl/>
              <w:rPr>
                <w:rFonts w:ascii="Arial Narrow" w:hAnsi="Arial Narrow"/>
                <w:sz w:val="20"/>
                <w:lang w:val="en-US"/>
              </w:rPr>
            </w:pPr>
            <w:r w:rsidRPr="00232902">
              <w:rPr>
                <w:rFonts w:ascii="Arial Narrow" w:hAnsi="Arial Narrow"/>
                <w:sz w:val="20"/>
                <w:lang w:val="en-US"/>
              </w:rPr>
              <w:t>0-1&lt; year</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17" w:type="dxa"/>
            <w:tcBorders>
              <w:top w:val="single" w:sz="4" w:space="0" w:color="auto"/>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r>
      <w:tr w:rsidR="00571B49" w:rsidRPr="00232902" w:rsidTr="000E4E6B">
        <w:trPr>
          <w:trHeight w:val="6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571B49" w:rsidRPr="00232902" w:rsidRDefault="00571B49" w:rsidP="000E4E6B">
            <w:pPr>
              <w:widowControl/>
              <w:rPr>
                <w:rFonts w:ascii="Arial Narrow" w:hAnsi="Arial Narrow"/>
                <w:sz w:val="20"/>
                <w:lang w:val="en-US"/>
              </w:rPr>
            </w:pPr>
            <w:r w:rsidRPr="00232902">
              <w:rPr>
                <w:rFonts w:ascii="Arial Narrow" w:hAnsi="Arial Narrow"/>
                <w:sz w:val="20"/>
                <w:lang w:val="en-US"/>
              </w:rPr>
              <w:t>1-4 years</w:t>
            </w:r>
          </w:p>
        </w:tc>
        <w:tc>
          <w:tcPr>
            <w:tcW w:w="153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62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3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17"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417"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r>
      <w:tr w:rsidR="00571B49" w:rsidRPr="00232902" w:rsidTr="000E4E6B">
        <w:trPr>
          <w:trHeight w:val="6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571B49" w:rsidRPr="00232902" w:rsidRDefault="00571B49" w:rsidP="000E4E6B">
            <w:pPr>
              <w:widowControl/>
              <w:rPr>
                <w:rFonts w:ascii="Arial Narrow" w:hAnsi="Arial Narrow"/>
                <w:sz w:val="20"/>
                <w:lang w:val="en-US"/>
              </w:rPr>
            </w:pPr>
            <w:r w:rsidRPr="00232902">
              <w:rPr>
                <w:rFonts w:ascii="Arial Narrow" w:hAnsi="Arial Narrow"/>
                <w:sz w:val="20"/>
                <w:lang w:val="en-US"/>
              </w:rPr>
              <w:t>5-11 years</w:t>
            </w:r>
          </w:p>
        </w:tc>
        <w:tc>
          <w:tcPr>
            <w:tcW w:w="153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62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3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17"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417"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r>
      <w:tr w:rsidR="00571B49" w:rsidRPr="00232902" w:rsidTr="000E4E6B">
        <w:trPr>
          <w:trHeight w:val="6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571B49" w:rsidRPr="00232902" w:rsidRDefault="00571B49" w:rsidP="000E4E6B">
            <w:pPr>
              <w:widowControl/>
              <w:rPr>
                <w:rFonts w:ascii="Arial Narrow" w:hAnsi="Arial Narrow"/>
                <w:sz w:val="20"/>
                <w:lang w:val="en-US"/>
              </w:rPr>
            </w:pPr>
            <w:r w:rsidRPr="00232902">
              <w:rPr>
                <w:rFonts w:ascii="Arial Narrow" w:hAnsi="Arial Narrow"/>
                <w:sz w:val="20"/>
                <w:lang w:val="en-US"/>
              </w:rPr>
              <w:t>12- 17 years</w:t>
            </w:r>
          </w:p>
        </w:tc>
        <w:tc>
          <w:tcPr>
            <w:tcW w:w="153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62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3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17"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417"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r>
      <w:tr w:rsidR="00571B49" w:rsidRPr="00232902" w:rsidTr="000E4E6B">
        <w:trPr>
          <w:trHeight w:val="6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571B49" w:rsidRPr="00232902" w:rsidRDefault="00571B49" w:rsidP="000E4E6B">
            <w:pPr>
              <w:widowControl/>
              <w:rPr>
                <w:rFonts w:ascii="Arial Narrow" w:hAnsi="Arial Narrow"/>
                <w:sz w:val="20"/>
                <w:lang w:val="en-US"/>
              </w:rPr>
            </w:pPr>
            <w:r w:rsidRPr="00232902">
              <w:rPr>
                <w:rFonts w:ascii="Arial Narrow" w:hAnsi="Arial Narrow"/>
                <w:sz w:val="20"/>
                <w:lang w:val="en-US"/>
              </w:rPr>
              <w:t>18+ years</w:t>
            </w:r>
          </w:p>
        </w:tc>
        <w:tc>
          <w:tcPr>
            <w:tcW w:w="153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62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3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517"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1417"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sz w:val="20"/>
                <w:highlight w:val="black"/>
                <w:lang w:val="en-US"/>
              </w:rPr>
            </w:pPr>
            <w:r>
              <w:rPr>
                <w:rFonts w:ascii="Arial Narrow" w:hAnsi="Arial Narrow"/>
                <w:noProof/>
                <w:color w:val="000000"/>
                <w:sz w:val="20"/>
                <w:highlight w:val="black"/>
                <w:lang w:val="en-US"/>
              </w:rPr>
              <w:t>''''''''</w:t>
            </w:r>
          </w:p>
        </w:tc>
      </w:tr>
      <w:tr w:rsidR="00571B49" w:rsidRPr="00232902" w:rsidTr="000E4E6B">
        <w:trPr>
          <w:trHeight w:val="64"/>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rsidR="00571B49" w:rsidRPr="00232902" w:rsidRDefault="00571B49" w:rsidP="000E4E6B">
            <w:pPr>
              <w:widowControl/>
              <w:rPr>
                <w:rFonts w:ascii="Arial Narrow" w:hAnsi="Arial Narrow"/>
                <w:b/>
                <w:bCs/>
                <w:sz w:val="20"/>
                <w:lang w:val="en-US"/>
              </w:rPr>
            </w:pPr>
            <w:r w:rsidRPr="00232902">
              <w:rPr>
                <w:rFonts w:ascii="Arial Narrow" w:hAnsi="Arial Narrow"/>
                <w:b/>
                <w:bCs/>
                <w:sz w:val="20"/>
                <w:lang w:val="en-US"/>
              </w:rPr>
              <w:t>Total</w:t>
            </w:r>
          </w:p>
        </w:tc>
        <w:tc>
          <w:tcPr>
            <w:tcW w:w="153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b/>
                <w:bCs/>
                <w:sz w:val="20"/>
                <w:highlight w:val="black"/>
                <w:lang w:val="en-US"/>
              </w:rPr>
            </w:pPr>
            <w:r>
              <w:rPr>
                <w:rFonts w:ascii="Arial Narrow" w:hAnsi="Arial Narrow"/>
                <w:b/>
                <w:bCs/>
                <w:noProof/>
                <w:color w:val="000000"/>
                <w:sz w:val="20"/>
                <w:highlight w:val="black"/>
                <w:lang w:val="en-US"/>
              </w:rPr>
              <w:t>'''''''</w:t>
            </w:r>
          </w:p>
        </w:tc>
        <w:tc>
          <w:tcPr>
            <w:tcW w:w="162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b/>
                <w:bCs/>
                <w:sz w:val="20"/>
                <w:highlight w:val="black"/>
                <w:lang w:val="en-US"/>
              </w:rPr>
            </w:pPr>
            <w:r>
              <w:rPr>
                <w:rFonts w:ascii="Arial Narrow" w:hAnsi="Arial Narrow"/>
                <w:b/>
                <w:bCs/>
                <w:noProof/>
                <w:color w:val="000000"/>
                <w:sz w:val="20"/>
                <w:highlight w:val="black"/>
                <w:lang w:val="en-US"/>
              </w:rPr>
              <w:t>''''''''</w:t>
            </w:r>
          </w:p>
        </w:tc>
        <w:tc>
          <w:tcPr>
            <w:tcW w:w="1530"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b/>
                <w:bCs/>
                <w:sz w:val="20"/>
                <w:highlight w:val="black"/>
                <w:lang w:val="en-US"/>
              </w:rPr>
            </w:pPr>
            <w:r>
              <w:rPr>
                <w:rFonts w:ascii="Arial Narrow" w:hAnsi="Arial Narrow"/>
                <w:b/>
                <w:bCs/>
                <w:noProof/>
                <w:color w:val="000000"/>
                <w:sz w:val="20"/>
                <w:highlight w:val="black"/>
                <w:lang w:val="en-US"/>
              </w:rPr>
              <w:t>'''''''</w:t>
            </w:r>
          </w:p>
        </w:tc>
        <w:tc>
          <w:tcPr>
            <w:tcW w:w="1517"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b/>
                <w:bCs/>
                <w:sz w:val="20"/>
                <w:highlight w:val="black"/>
                <w:lang w:val="en-US"/>
              </w:rPr>
            </w:pPr>
            <w:r>
              <w:rPr>
                <w:rFonts w:ascii="Arial Narrow" w:hAnsi="Arial Narrow"/>
                <w:b/>
                <w:bCs/>
                <w:noProof/>
                <w:color w:val="000000"/>
                <w:sz w:val="20"/>
                <w:highlight w:val="black"/>
                <w:lang w:val="en-US"/>
              </w:rPr>
              <w:t>'''''''</w:t>
            </w:r>
          </w:p>
        </w:tc>
        <w:tc>
          <w:tcPr>
            <w:tcW w:w="1417" w:type="dxa"/>
            <w:tcBorders>
              <w:top w:val="nil"/>
              <w:left w:val="nil"/>
              <w:bottom w:val="single" w:sz="4" w:space="0" w:color="auto"/>
              <w:right w:val="single" w:sz="4" w:space="0" w:color="auto"/>
            </w:tcBorders>
            <w:shd w:val="clear" w:color="auto" w:fill="auto"/>
            <w:noWrap/>
            <w:vAlign w:val="bottom"/>
            <w:hideMark/>
          </w:tcPr>
          <w:p w:rsidR="00571B49" w:rsidRPr="00551B2E" w:rsidRDefault="00551B2E" w:rsidP="000E4E6B">
            <w:pPr>
              <w:widowControl/>
              <w:jc w:val="center"/>
              <w:rPr>
                <w:rFonts w:ascii="Arial Narrow" w:hAnsi="Arial Narrow"/>
                <w:b/>
                <w:bCs/>
                <w:sz w:val="20"/>
                <w:highlight w:val="black"/>
                <w:lang w:val="en-US"/>
              </w:rPr>
            </w:pPr>
            <w:r>
              <w:rPr>
                <w:rFonts w:ascii="Arial Narrow" w:hAnsi="Arial Narrow"/>
                <w:b/>
                <w:bCs/>
                <w:noProof/>
                <w:color w:val="000000"/>
                <w:sz w:val="20"/>
                <w:highlight w:val="black"/>
                <w:lang w:val="en-US"/>
              </w:rPr>
              <w:t>''''''''</w:t>
            </w:r>
          </w:p>
        </w:tc>
      </w:tr>
    </w:tbl>
    <w:p w:rsidR="00571B49" w:rsidRDefault="00571B49" w:rsidP="00571B49">
      <w:pPr>
        <w:widowControl/>
        <w:rPr>
          <w:rFonts w:ascii="Arial Narrow" w:hAnsi="Arial Narrow"/>
          <w:sz w:val="18"/>
          <w:szCs w:val="18"/>
        </w:rPr>
      </w:pPr>
      <w:r>
        <w:rPr>
          <w:rFonts w:ascii="Arial Narrow" w:hAnsi="Arial Narrow"/>
          <w:sz w:val="18"/>
          <w:szCs w:val="18"/>
        </w:rPr>
        <w:t>Number of patients rounded to whole numbers, but the exact percentages based on prevalence calculations were used in all the calculations in the submission</w:t>
      </w:r>
    </w:p>
    <w:p w:rsidR="00571B49" w:rsidRPr="00232902" w:rsidRDefault="00571B49" w:rsidP="00571B49">
      <w:pPr>
        <w:widowControl/>
        <w:rPr>
          <w:rFonts w:ascii="Arial Narrow" w:hAnsi="Arial Narrow"/>
          <w:sz w:val="18"/>
          <w:szCs w:val="18"/>
        </w:rPr>
      </w:pPr>
      <w:r w:rsidRPr="00232902">
        <w:rPr>
          <w:rFonts w:ascii="Arial Narrow" w:hAnsi="Arial Narrow"/>
          <w:sz w:val="18"/>
          <w:szCs w:val="18"/>
        </w:rPr>
        <w:t>Source: Table E.2.1, pp78-79 of Sections C to F of the submission</w:t>
      </w:r>
    </w:p>
    <w:p w:rsidR="0050791D" w:rsidRDefault="0050791D" w:rsidP="005123EA">
      <w:pPr>
        <w:pStyle w:val="ListParagraph"/>
        <w:widowControl/>
        <w:numPr>
          <w:ilvl w:val="1"/>
          <w:numId w:val="2"/>
        </w:numPr>
        <w:spacing w:before="120" w:after="160"/>
        <w:contextualSpacing w:val="0"/>
        <w:rPr>
          <w:rFonts w:asciiTheme="minorHAnsi" w:hAnsiTheme="minorHAnsi"/>
        </w:rPr>
      </w:pPr>
      <w:r>
        <w:rPr>
          <w:rFonts w:asciiTheme="minorHAnsi" w:hAnsiTheme="minorHAnsi"/>
        </w:rPr>
        <w:t xml:space="preserve">The above table of shows the submission estimated that at year 5, the total number of patients eligible for </w:t>
      </w:r>
      <w:proofErr w:type="spellStart"/>
      <w:r>
        <w:rPr>
          <w:rFonts w:asciiTheme="minorHAnsi" w:hAnsiTheme="minorHAnsi"/>
        </w:rPr>
        <w:t>asfotase</w:t>
      </w:r>
      <w:proofErr w:type="spellEnd"/>
      <w:r>
        <w:rPr>
          <w:rFonts w:asciiTheme="minorHAnsi" w:hAnsiTheme="minorHAnsi"/>
        </w:rPr>
        <w:t xml:space="preserve"> alfa was less than 1,000.</w:t>
      </w:r>
    </w:p>
    <w:p w:rsidR="00B10DD6" w:rsidRDefault="0050791D" w:rsidP="005123EA">
      <w:pPr>
        <w:pStyle w:val="ListParagraph"/>
        <w:widowControl/>
        <w:numPr>
          <w:ilvl w:val="1"/>
          <w:numId w:val="2"/>
        </w:numPr>
        <w:spacing w:before="120" w:after="160"/>
        <w:contextualSpacing w:val="0"/>
        <w:rPr>
          <w:rFonts w:asciiTheme="minorHAnsi" w:hAnsiTheme="minorHAnsi"/>
        </w:rPr>
      </w:pPr>
      <w:r>
        <w:rPr>
          <w:rFonts w:asciiTheme="minorHAnsi" w:hAnsiTheme="minorHAnsi"/>
        </w:rPr>
        <w:t>In</w:t>
      </w:r>
      <w:r w:rsidR="00B10DD6" w:rsidRPr="00F471D7">
        <w:rPr>
          <w:rFonts w:asciiTheme="minorHAnsi" w:hAnsiTheme="minorHAnsi"/>
        </w:rPr>
        <w:t xml:space="preserve"> a sensitivity analysis undertaken during the evaluation</w:t>
      </w:r>
      <w:r w:rsidR="00571B49">
        <w:rPr>
          <w:rFonts w:asciiTheme="minorHAnsi" w:hAnsiTheme="minorHAnsi"/>
        </w:rPr>
        <w:t xml:space="preserve"> (Table 16</w:t>
      </w:r>
      <w:r w:rsidR="00B47528">
        <w:rPr>
          <w:rFonts w:asciiTheme="minorHAnsi" w:hAnsiTheme="minorHAnsi"/>
        </w:rPr>
        <w:t>)</w:t>
      </w:r>
      <w:r w:rsidR="00B10DD6" w:rsidRPr="00F471D7">
        <w:rPr>
          <w:rFonts w:asciiTheme="minorHAnsi" w:hAnsiTheme="minorHAnsi"/>
        </w:rPr>
        <w:t xml:space="preserve">, should the diagnosis and treatment rates for patients </w:t>
      </w:r>
      <w:r w:rsidR="00774D92" w:rsidRPr="00F471D7">
        <w:rPr>
          <w:rFonts w:asciiTheme="minorHAnsi" w:hAnsiTheme="minorHAnsi"/>
        </w:rPr>
        <w:t xml:space="preserve">with paediatric-onset HPP who are </w:t>
      </w:r>
      <w:r w:rsidR="00B10DD6" w:rsidRPr="00F471D7">
        <w:rPr>
          <w:rFonts w:asciiTheme="minorHAnsi" w:hAnsiTheme="minorHAnsi"/>
        </w:rPr>
        <w:t xml:space="preserve">aged over 18 years be the same as the rates for patients aged 12-17 years, the estimated cost to the PBS/RPBS/MBS would increase to </w:t>
      </w:r>
      <w:r>
        <w:rPr>
          <w:rFonts w:asciiTheme="minorHAnsi" w:hAnsiTheme="minorHAnsi"/>
        </w:rPr>
        <w:t>$60 - $100 million</w:t>
      </w:r>
      <w:r w:rsidR="00B10DD6" w:rsidRPr="00F471D7">
        <w:rPr>
          <w:rFonts w:asciiTheme="minorHAnsi" w:hAnsiTheme="minorHAnsi"/>
        </w:rPr>
        <w:t xml:space="preserve"> in Year 5 of listing</w:t>
      </w:r>
      <w:r w:rsidR="00571B49">
        <w:rPr>
          <w:rFonts w:asciiTheme="minorHAnsi" w:hAnsiTheme="minorHAnsi"/>
        </w:rPr>
        <w:t xml:space="preserve">, </w:t>
      </w:r>
      <w:r w:rsidR="00571B49" w:rsidRPr="00845BC4">
        <w:rPr>
          <w:rFonts w:asciiTheme="minorHAnsi" w:hAnsiTheme="minorHAnsi"/>
        </w:rPr>
        <w:t>a greater than 3-fold increase</w:t>
      </w:r>
      <w:r w:rsidR="00571B49">
        <w:rPr>
          <w:rFonts w:asciiTheme="minorHAnsi" w:hAnsiTheme="minorHAnsi"/>
        </w:rPr>
        <w:t xml:space="preserve"> on the submission</w:t>
      </w:r>
      <w:r w:rsidR="00AC4E30">
        <w:rPr>
          <w:rFonts w:asciiTheme="minorHAnsi" w:hAnsiTheme="minorHAnsi"/>
        </w:rPr>
        <w:t>’</w:t>
      </w:r>
      <w:r w:rsidR="00571B49">
        <w:rPr>
          <w:rFonts w:asciiTheme="minorHAnsi" w:hAnsiTheme="minorHAnsi"/>
        </w:rPr>
        <w:t>s estimates</w:t>
      </w:r>
      <w:r w:rsidR="001A7613">
        <w:rPr>
          <w:rFonts w:asciiTheme="minorHAnsi" w:hAnsiTheme="minorHAnsi"/>
        </w:rPr>
        <w:t>.</w:t>
      </w:r>
    </w:p>
    <w:p w:rsidR="002757CE" w:rsidRDefault="002757CE" w:rsidP="002757CE">
      <w:pPr>
        <w:pStyle w:val="Caption"/>
      </w:pPr>
      <w:r>
        <w:t xml:space="preserve">Table </w:t>
      </w:r>
      <w:r>
        <w:rPr>
          <w:noProof/>
        </w:rPr>
        <w:t>16</w:t>
      </w:r>
      <w:r>
        <w:t xml:space="preserve">: </w:t>
      </w:r>
      <w:r w:rsidRPr="00842462">
        <w:t>Sensitivity analysis on financial estimates</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1715"/>
        <w:gridCol w:w="1142"/>
        <w:gridCol w:w="1142"/>
        <w:gridCol w:w="1142"/>
        <w:gridCol w:w="1142"/>
        <w:gridCol w:w="1097"/>
      </w:tblGrid>
      <w:tr w:rsidR="00B47528" w:rsidRPr="0007462D" w:rsidTr="002757CE">
        <w:trPr>
          <w:trHeight w:val="64"/>
        </w:trPr>
        <w:tc>
          <w:tcPr>
            <w:tcW w:w="1885" w:type="pct"/>
            <w:gridSpan w:val="2"/>
            <w:shd w:val="clear" w:color="auto" w:fill="FFFFFF" w:themeFill="background1"/>
            <w:noWrap/>
            <w:vAlign w:val="bottom"/>
            <w:hideMark/>
          </w:tcPr>
          <w:p w:rsidR="00B47528" w:rsidRPr="0007462D" w:rsidRDefault="00B47528" w:rsidP="000E4E6B">
            <w:pPr>
              <w:widowControl/>
              <w:rPr>
                <w:rFonts w:ascii="Arial Narrow" w:hAnsi="Arial Narrow"/>
                <w:b/>
                <w:bCs/>
                <w:sz w:val="18"/>
                <w:szCs w:val="18"/>
                <w:lang w:val="en-US"/>
              </w:rPr>
            </w:pPr>
            <w:r w:rsidRPr="0007462D">
              <w:rPr>
                <w:rFonts w:ascii="Arial Narrow" w:hAnsi="Arial Narrow"/>
                <w:b/>
                <w:bCs/>
                <w:sz w:val="18"/>
                <w:szCs w:val="18"/>
                <w:lang w:val="en-US"/>
              </w:rPr>
              <w:t> </w:t>
            </w:r>
          </w:p>
        </w:tc>
        <w:tc>
          <w:tcPr>
            <w:tcW w:w="628" w:type="pct"/>
            <w:shd w:val="clear" w:color="auto" w:fill="FFFFFF" w:themeFill="background1"/>
            <w:noWrap/>
            <w:vAlign w:val="center"/>
            <w:hideMark/>
          </w:tcPr>
          <w:p w:rsidR="00B47528" w:rsidRPr="0007462D" w:rsidRDefault="00B47528" w:rsidP="000E4E6B">
            <w:pPr>
              <w:widowControl/>
              <w:jc w:val="center"/>
              <w:rPr>
                <w:rFonts w:ascii="Arial Narrow" w:hAnsi="Arial Narrow"/>
                <w:b/>
                <w:bCs/>
                <w:sz w:val="18"/>
                <w:szCs w:val="18"/>
                <w:lang w:val="en-US"/>
              </w:rPr>
            </w:pPr>
            <w:r w:rsidRPr="0007462D">
              <w:rPr>
                <w:rFonts w:ascii="Arial Narrow" w:hAnsi="Arial Narrow"/>
                <w:b/>
                <w:bCs/>
                <w:sz w:val="18"/>
                <w:szCs w:val="18"/>
                <w:lang w:val="en-US"/>
              </w:rPr>
              <w:t>Year 1 (2018)</w:t>
            </w:r>
          </w:p>
        </w:tc>
        <w:tc>
          <w:tcPr>
            <w:tcW w:w="628" w:type="pct"/>
            <w:shd w:val="clear" w:color="auto" w:fill="FFFFFF" w:themeFill="background1"/>
            <w:noWrap/>
            <w:vAlign w:val="center"/>
            <w:hideMark/>
          </w:tcPr>
          <w:p w:rsidR="00B47528" w:rsidRPr="0007462D" w:rsidRDefault="00B47528" w:rsidP="000E4E6B">
            <w:pPr>
              <w:widowControl/>
              <w:jc w:val="center"/>
              <w:rPr>
                <w:rFonts w:ascii="Arial Narrow" w:hAnsi="Arial Narrow"/>
                <w:b/>
                <w:bCs/>
                <w:sz w:val="18"/>
                <w:szCs w:val="18"/>
                <w:lang w:val="en-US"/>
              </w:rPr>
            </w:pPr>
            <w:r w:rsidRPr="0007462D">
              <w:rPr>
                <w:rFonts w:ascii="Arial Narrow" w:hAnsi="Arial Narrow"/>
                <w:b/>
                <w:bCs/>
                <w:sz w:val="18"/>
                <w:szCs w:val="18"/>
                <w:lang w:val="en-US"/>
              </w:rPr>
              <w:t>Year 2 (2019)</w:t>
            </w:r>
          </w:p>
        </w:tc>
        <w:tc>
          <w:tcPr>
            <w:tcW w:w="628" w:type="pct"/>
            <w:shd w:val="clear" w:color="auto" w:fill="FFFFFF" w:themeFill="background1"/>
            <w:noWrap/>
            <w:vAlign w:val="center"/>
            <w:hideMark/>
          </w:tcPr>
          <w:p w:rsidR="00B47528" w:rsidRPr="0007462D" w:rsidRDefault="00B47528" w:rsidP="000E4E6B">
            <w:pPr>
              <w:widowControl/>
              <w:jc w:val="center"/>
              <w:rPr>
                <w:rFonts w:ascii="Arial Narrow" w:hAnsi="Arial Narrow"/>
                <w:b/>
                <w:bCs/>
                <w:sz w:val="18"/>
                <w:szCs w:val="18"/>
                <w:lang w:val="en-US"/>
              </w:rPr>
            </w:pPr>
            <w:r w:rsidRPr="0007462D">
              <w:rPr>
                <w:rFonts w:ascii="Arial Narrow" w:hAnsi="Arial Narrow"/>
                <w:b/>
                <w:bCs/>
                <w:sz w:val="18"/>
                <w:szCs w:val="18"/>
                <w:lang w:val="en-US"/>
              </w:rPr>
              <w:t>Year 3 (2020)</w:t>
            </w:r>
          </w:p>
        </w:tc>
        <w:tc>
          <w:tcPr>
            <w:tcW w:w="628" w:type="pct"/>
            <w:shd w:val="clear" w:color="auto" w:fill="FFFFFF" w:themeFill="background1"/>
            <w:noWrap/>
            <w:vAlign w:val="center"/>
            <w:hideMark/>
          </w:tcPr>
          <w:p w:rsidR="00B47528" w:rsidRPr="0007462D" w:rsidRDefault="00B47528" w:rsidP="000E4E6B">
            <w:pPr>
              <w:widowControl/>
              <w:jc w:val="center"/>
              <w:rPr>
                <w:rFonts w:ascii="Arial Narrow" w:hAnsi="Arial Narrow"/>
                <w:b/>
                <w:bCs/>
                <w:sz w:val="18"/>
                <w:szCs w:val="18"/>
                <w:lang w:val="en-US"/>
              </w:rPr>
            </w:pPr>
            <w:r w:rsidRPr="0007462D">
              <w:rPr>
                <w:rFonts w:ascii="Arial Narrow" w:hAnsi="Arial Narrow"/>
                <w:b/>
                <w:bCs/>
                <w:sz w:val="18"/>
                <w:szCs w:val="18"/>
                <w:lang w:val="en-US"/>
              </w:rPr>
              <w:t>Year 4 (2021)</w:t>
            </w:r>
          </w:p>
        </w:tc>
        <w:tc>
          <w:tcPr>
            <w:tcW w:w="603" w:type="pct"/>
            <w:shd w:val="clear" w:color="auto" w:fill="FFFFFF" w:themeFill="background1"/>
            <w:noWrap/>
            <w:vAlign w:val="center"/>
            <w:hideMark/>
          </w:tcPr>
          <w:p w:rsidR="00B47528" w:rsidRPr="0007462D" w:rsidRDefault="00B47528" w:rsidP="000E4E6B">
            <w:pPr>
              <w:widowControl/>
              <w:jc w:val="center"/>
              <w:rPr>
                <w:rFonts w:ascii="Arial Narrow" w:hAnsi="Arial Narrow"/>
                <w:b/>
                <w:bCs/>
                <w:sz w:val="18"/>
                <w:szCs w:val="18"/>
                <w:lang w:val="en-US"/>
              </w:rPr>
            </w:pPr>
            <w:r w:rsidRPr="0007462D">
              <w:rPr>
                <w:rFonts w:ascii="Arial Narrow" w:hAnsi="Arial Narrow"/>
                <w:b/>
                <w:bCs/>
                <w:sz w:val="18"/>
                <w:szCs w:val="18"/>
                <w:lang w:val="en-US"/>
              </w:rPr>
              <w:t>Year 5 (2022)</w:t>
            </w:r>
          </w:p>
        </w:tc>
      </w:tr>
      <w:tr w:rsidR="00B47528" w:rsidRPr="0007462D" w:rsidTr="002757CE">
        <w:trPr>
          <w:trHeight w:val="64"/>
        </w:trPr>
        <w:tc>
          <w:tcPr>
            <w:tcW w:w="1885" w:type="pct"/>
            <w:gridSpan w:val="2"/>
            <w:shd w:val="clear" w:color="auto" w:fill="FFFFFF" w:themeFill="background1"/>
            <w:noWrap/>
            <w:hideMark/>
          </w:tcPr>
          <w:p w:rsidR="00B47528" w:rsidRPr="0007462D" w:rsidRDefault="00B47528" w:rsidP="000E4E6B">
            <w:pPr>
              <w:widowControl/>
              <w:rPr>
                <w:rFonts w:ascii="Arial Narrow" w:hAnsi="Arial Narrow"/>
                <w:sz w:val="18"/>
                <w:szCs w:val="18"/>
                <w:lang w:val="en-US"/>
              </w:rPr>
            </w:pPr>
            <w:r w:rsidRPr="0007462D">
              <w:rPr>
                <w:rFonts w:ascii="Arial Narrow" w:hAnsi="Arial Narrow"/>
                <w:b/>
                <w:bCs/>
                <w:sz w:val="18"/>
                <w:szCs w:val="18"/>
                <w:lang w:val="en-US"/>
              </w:rPr>
              <w:t>Base case</w:t>
            </w:r>
            <w:r>
              <w:rPr>
                <w:rFonts w:ascii="Arial Narrow" w:hAnsi="Arial Narrow"/>
                <w:sz w:val="18"/>
                <w:szCs w:val="18"/>
                <w:lang w:val="en-US"/>
              </w:rPr>
              <w:t xml:space="preserve"> (with annual cap)</w:t>
            </w:r>
          </w:p>
        </w:tc>
        <w:tc>
          <w:tcPr>
            <w:tcW w:w="628" w:type="pct"/>
            <w:shd w:val="clear" w:color="auto" w:fill="FFFFFF" w:themeFill="background1"/>
            <w:noWrap/>
            <w:hideMark/>
          </w:tcPr>
          <w:p w:rsidR="00B47528" w:rsidRPr="0007462D" w:rsidRDefault="00B47528" w:rsidP="000E4E6B">
            <w:pPr>
              <w:widowControl/>
              <w:jc w:val="center"/>
              <w:rPr>
                <w:rFonts w:ascii="Arial Narrow" w:hAnsi="Arial Narrow"/>
                <w:b/>
                <w:sz w:val="18"/>
                <w:szCs w:val="18"/>
              </w:rPr>
            </w:pPr>
            <w:r w:rsidRPr="0007462D">
              <w:rPr>
                <w:rFonts w:ascii="Arial Narrow" w:hAnsi="Arial Narrow"/>
                <w:b/>
                <w:sz w:val="18"/>
                <w:szCs w:val="18"/>
              </w:rPr>
              <w:t>$</w:t>
            </w:r>
            <w:r w:rsidR="00551B2E">
              <w:rPr>
                <w:rFonts w:ascii="Arial Narrow" w:hAnsi="Arial Narrow"/>
                <w:b/>
                <w:noProof/>
                <w:color w:val="000000"/>
                <w:sz w:val="18"/>
                <w:szCs w:val="18"/>
                <w:highlight w:val="black"/>
              </w:rPr>
              <w:t>''''''''''''''''''''''</w:t>
            </w:r>
          </w:p>
        </w:tc>
        <w:tc>
          <w:tcPr>
            <w:tcW w:w="628" w:type="pct"/>
            <w:shd w:val="clear" w:color="auto" w:fill="FFFFFF" w:themeFill="background1"/>
            <w:noWrap/>
            <w:hideMark/>
          </w:tcPr>
          <w:p w:rsidR="00B47528" w:rsidRPr="0007462D" w:rsidRDefault="00B47528" w:rsidP="000E4E6B">
            <w:pPr>
              <w:widowControl/>
              <w:jc w:val="center"/>
              <w:rPr>
                <w:rFonts w:ascii="Arial Narrow" w:hAnsi="Arial Narrow"/>
                <w:b/>
                <w:sz w:val="18"/>
                <w:szCs w:val="18"/>
              </w:rPr>
            </w:pPr>
            <w:r w:rsidRPr="0007462D">
              <w:rPr>
                <w:rFonts w:ascii="Arial Narrow" w:hAnsi="Arial Narrow"/>
                <w:b/>
                <w:sz w:val="18"/>
                <w:szCs w:val="18"/>
              </w:rPr>
              <w:t>$</w:t>
            </w:r>
            <w:r w:rsidR="00551B2E">
              <w:rPr>
                <w:rFonts w:ascii="Arial Narrow" w:hAnsi="Arial Narrow"/>
                <w:b/>
                <w:noProof/>
                <w:color w:val="000000"/>
                <w:sz w:val="18"/>
                <w:szCs w:val="18"/>
                <w:highlight w:val="black"/>
              </w:rPr>
              <w:t>'''''''''''''''''''''</w:t>
            </w:r>
          </w:p>
        </w:tc>
        <w:tc>
          <w:tcPr>
            <w:tcW w:w="628" w:type="pct"/>
            <w:shd w:val="clear" w:color="auto" w:fill="FFFFFF" w:themeFill="background1"/>
            <w:noWrap/>
            <w:hideMark/>
          </w:tcPr>
          <w:p w:rsidR="00B47528" w:rsidRPr="0007462D" w:rsidRDefault="00B47528" w:rsidP="000E4E6B">
            <w:pPr>
              <w:widowControl/>
              <w:jc w:val="center"/>
              <w:rPr>
                <w:rFonts w:ascii="Arial Narrow" w:hAnsi="Arial Narrow"/>
                <w:b/>
                <w:sz w:val="18"/>
                <w:szCs w:val="18"/>
              </w:rPr>
            </w:pPr>
            <w:r w:rsidRPr="0007462D">
              <w:rPr>
                <w:rFonts w:ascii="Arial Narrow" w:hAnsi="Arial Narrow"/>
                <w:b/>
                <w:sz w:val="18"/>
                <w:szCs w:val="18"/>
              </w:rPr>
              <w:t>$</w:t>
            </w:r>
            <w:r w:rsidR="00551B2E">
              <w:rPr>
                <w:rFonts w:ascii="Arial Narrow" w:hAnsi="Arial Narrow"/>
                <w:b/>
                <w:noProof/>
                <w:color w:val="000000"/>
                <w:sz w:val="18"/>
                <w:szCs w:val="18"/>
                <w:highlight w:val="black"/>
              </w:rPr>
              <w:t>'''''''''''''''''''''</w:t>
            </w:r>
          </w:p>
        </w:tc>
        <w:tc>
          <w:tcPr>
            <w:tcW w:w="628" w:type="pct"/>
            <w:shd w:val="clear" w:color="auto" w:fill="FFFFFF" w:themeFill="background1"/>
            <w:noWrap/>
            <w:hideMark/>
          </w:tcPr>
          <w:p w:rsidR="00B47528" w:rsidRPr="0007462D" w:rsidRDefault="00B47528" w:rsidP="000E4E6B">
            <w:pPr>
              <w:widowControl/>
              <w:jc w:val="center"/>
              <w:rPr>
                <w:rFonts w:ascii="Arial Narrow" w:hAnsi="Arial Narrow"/>
                <w:b/>
                <w:sz w:val="18"/>
                <w:szCs w:val="18"/>
              </w:rPr>
            </w:pPr>
            <w:r w:rsidRPr="0007462D">
              <w:rPr>
                <w:rFonts w:ascii="Arial Narrow" w:hAnsi="Arial Narrow"/>
                <w:b/>
                <w:sz w:val="18"/>
                <w:szCs w:val="18"/>
              </w:rPr>
              <w:t>$</w:t>
            </w:r>
            <w:r w:rsidR="00551B2E">
              <w:rPr>
                <w:rFonts w:ascii="Arial Narrow" w:hAnsi="Arial Narrow"/>
                <w:b/>
                <w:noProof/>
                <w:color w:val="000000"/>
                <w:sz w:val="18"/>
                <w:szCs w:val="18"/>
                <w:highlight w:val="black"/>
              </w:rPr>
              <w:t>''''''''''''''''''''</w:t>
            </w:r>
          </w:p>
        </w:tc>
        <w:tc>
          <w:tcPr>
            <w:tcW w:w="603" w:type="pct"/>
            <w:shd w:val="clear" w:color="auto" w:fill="FFFFFF" w:themeFill="background1"/>
            <w:noWrap/>
            <w:hideMark/>
          </w:tcPr>
          <w:p w:rsidR="00B47528" w:rsidRPr="0007462D" w:rsidRDefault="00B47528" w:rsidP="000E4E6B">
            <w:pPr>
              <w:widowControl/>
              <w:jc w:val="center"/>
              <w:rPr>
                <w:rFonts w:ascii="Arial Narrow" w:hAnsi="Arial Narrow"/>
                <w:b/>
                <w:sz w:val="18"/>
                <w:szCs w:val="18"/>
              </w:rPr>
            </w:pPr>
            <w:r w:rsidRPr="0007462D">
              <w:rPr>
                <w:rFonts w:ascii="Arial Narrow" w:hAnsi="Arial Narrow"/>
                <w:b/>
                <w:sz w:val="18"/>
                <w:szCs w:val="18"/>
              </w:rPr>
              <w:t>$</w:t>
            </w:r>
            <w:r w:rsidR="00551B2E">
              <w:rPr>
                <w:rFonts w:ascii="Arial Narrow" w:hAnsi="Arial Narrow"/>
                <w:b/>
                <w:noProof/>
                <w:color w:val="000000"/>
                <w:sz w:val="18"/>
                <w:szCs w:val="18"/>
                <w:highlight w:val="black"/>
              </w:rPr>
              <w:t>'''''''''''''''''''''''</w:t>
            </w:r>
          </w:p>
        </w:tc>
      </w:tr>
      <w:tr w:rsidR="00B47528" w:rsidRPr="0007462D" w:rsidTr="000E4E6B">
        <w:trPr>
          <w:trHeight w:val="64"/>
        </w:trPr>
        <w:tc>
          <w:tcPr>
            <w:tcW w:w="5000" w:type="pct"/>
            <w:gridSpan w:val="7"/>
            <w:shd w:val="clear" w:color="auto" w:fill="auto"/>
            <w:noWrap/>
            <w:vAlign w:val="bottom"/>
            <w:hideMark/>
          </w:tcPr>
          <w:p w:rsidR="00B47528" w:rsidRPr="0007462D" w:rsidRDefault="00B47528" w:rsidP="000E4E6B">
            <w:pPr>
              <w:widowControl/>
              <w:rPr>
                <w:rFonts w:ascii="Arial Narrow" w:hAnsi="Arial Narrow"/>
                <w:sz w:val="18"/>
                <w:szCs w:val="18"/>
                <w:lang w:val="en-US"/>
              </w:rPr>
            </w:pPr>
            <w:r w:rsidRPr="0007462D">
              <w:rPr>
                <w:rFonts w:ascii="Arial Narrow" w:hAnsi="Arial Narrow"/>
                <w:b/>
                <w:bCs/>
                <w:sz w:val="18"/>
                <w:szCs w:val="18"/>
                <w:lang w:val="en-US"/>
              </w:rPr>
              <w:t>Sensitivity analyses</w:t>
            </w:r>
            <w:r>
              <w:rPr>
                <w:rFonts w:ascii="Arial Narrow" w:hAnsi="Arial Narrow"/>
                <w:sz w:val="18"/>
                <w:szCs w:val="18"/>
                <w:lang w:val="en-US"/>
              </w:rPr>
              <w:t xml:space="preserve"> (with annual cap)</w:t>
            </w:r>
          </w:p>
        </w:tc>
      </w:tr>
      <w:tr w:rsidR="00B47528" w:rsidRPr="0007462D" w:rsidTr="000E4E6B">
        <w:trPr>
          <w:trHeight w:val="315"/>
        </w:trPr>
        <w:tc>
          <w:tcPr>
            <w:tcW w:w="942" w:type="pct"/>
            <w:vMerge w:val="restart"/>
            <w:shd w:val="clear" w:color="auto" w:fill="auto"/>
            <w:vAlign w:val="center"/>
            <w:hideMark/>
          </w:tcPr>
          <w:p w:rsidR="00B47528" w:rsidRPr="0007462D" w:rsidRDefault="00B47528" w:rsidP="000E4E6B">
            <w:pPr>
              <w:widowControl/>
              <w:jc w:val="left"/>
              <w:rPr>
                <w:rFonts w:ascii="Arial Narrow" w:hAnsi="Arial Narrow"/>
                <w:sz w:val="18"/>
                <w:szCs w:val="18"/>
                <w:lang w:val="en-US"/>
              </w:rPr>
            </w:pPr>
            <w:r w:rsidRPr="0007462D">
              <w:rPr>
                <w:rFonts w:ascii="Arial Narrow" w:hAnsi="Arial Narrow"/>
                <w:sz w:val="18"/>
                <w:szCs w:val="18"/>
                <w:lang w:val="en-US"/>
              </w:rPr>
              <w:t xml:space="preserve">Prevalence rates for the 1-17 and 18 + years age groups </w:t>
            </w:r>
          </w:p>
        </w:tc>
        <w:tc>
          <w:tcPr>
            <w:tcW w:w="943" w:type="pct"/>
            <w:shd w:val="clear" w:color="auto" w:fill="FFFFFF" w:themeFill="background1"/>
            <w:noWrap/>
            <w:vAlign w:val="center"/>
            <w:hideMark/>
          </w:tcPr>
          <w:p w:rsidR="00B47528" w:rsidRPr="0007462D" w:rsidRDefault="00B47528" w:rsidP="000E4E6B">
            <w:pPr>
              <w:widowControl/>
              <w:jc w:val="center"/>
              <w:rPr>
                <w:rFonts w:ascii="Arial Narrow" w:hAnsi="Arial Narrow"/>
                <w:sz w:val="18"/>
                <w:szCs w:val="18"/>
                <w:lang w:val="en-US"/>
              </w:rPr>
            </w:pPr>
            <w:r>
              <w:rPr>
                <w:rFonts w:ascii="Arial Narrow" w:hAnsi="Arial Narrow"/>
                <w:sz w:val="18"/>
                <w:szCs w:val="18"/>
                <w:lang w:val="en-US"/>
              </w:rPr>
              <w:t>In</w:t>
            </w:r>
            <w:r w:rsidRPr="0007462D">
              <w:rPr>
                <w:rFonts w:ascii="Arial Narrow" w:hAnsi="Arial Narrow"/>
                <w:sz w:val="18"/>
                <w:szCs w:val="18"/>
                <w:lang w:val="en-US"/>
              </w:rPr>
              <w:t>creased by 50%</w:t>
            </w:r>
            <w:r>
              <w:rPr>
                <w:rFonts w:ascii="Arial Narrow" w:hAnsi="Arial Narrow"/>
                <w:sz w:val="18"/>
                <w:szCs w:val="18"/>
                <w:lang w:val="en-US"/>
              </w:rPr>
              <w:t xml:space="preserve"> to</w:t>
            </w:r>
            <w:r w:rsidRPr="0007462D">
              <w:rPr>
                <w:rFonts w:ascii="Arial Narrow" w:hAnsi="Arial Narrow"/>
                <w:sz w:val="18"/>
                <w:szCs w:val="18"/>
                <w:lang w:val="en-US"/>
              </w:rPr>
              <w:t xml:space="preserve"> 9.6 cases per million</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03"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r>
      <w:tr w:rsidR="00B47528" w:rsidRPr="0007462D" w:rsidTr="000E4E6B">
        <w:trPr>
          <w:trHeight w:val="315"/>
        </w:trPr>
        <w:tc>
          <w:tcPr>
            <w:tcW w:w="942" w:type="pct"/>
            <w:vMerge/>
            <w:vAlign w:val="center"/>
            <w:hideMark/>
          </w:tcPr>
          <w:p w:rsidR="00B47528" w:rsidRPr="0007462D" w:rsidRDefault="00B47528" w:rsidP="000E4E6B">
            <w:pPr>
              <w:widowControl/>
              <w:jc w:val="left"/>
              <w:rPr>
                <w:rFonts w:ascii="Arial Narrow" w:hAnsi="Arial Narrow"/>
                <w:sz w:val="18"/>
                <w:szCs w:val="18"/>
                <w:lang w:val="en-US"/>
              </w:rPr>
            </w:pPr>
          </w:p>
        </w:tc>
        <w:tc>
          <w:tcPr>
            <w:tcW w:w="943" w:type="pct"/>
            <w:shd w:val="clear" w:color="auto" w:fill="FFFFFF" w:themeFill="background1"/>
            <w:noWrap/>
            <w:vAlign w:val="center"/>
            <w:hideMark/>
          </w:tcPr>
          <w:p w:rsidR="00B47528" w:rsidRPr="0007462D" w:rsidRDefault="00B47528" w:rsidP="000E4E6B">
            <w:pPr>
              <w:widowControl/>
              <w:jc w:val="center"/>
              <w:rPr>
                <w:rFonts w:ascii="Arial Narrow" w:hAnsi="Arial Narrow"/>
                <w:sz w:val="18"/>
                <w:szCs w:val="18"/>
                <w:lang w:val="en-US"/>
              </w:rPr>
            </w:pPr>
            <w:r>
              <w:rPr>
                <w:rFonts w:ascii="Arial Narrow" w:hAnsi="Arial Narrow"/>
                <w:sz w:val="18"/>
                <w:szCs w:val="18"/>
                <w:lang w:val="en-US"/>
              </w:rPr>
              <w:t>D</w:t>
            </w:r>
            <w:r w:rsidRPr="0007462D">
              <w:rPr>
                <w:rFonts w:ascii="Arial Narrow" w:hAnsi="Arial Narrow"/>
                <w:sz w:val="18"/>
                <w:szCs w:val="18"/>
                <w:lang w:val="en-US"/>
              </w:rPr>
              <w:t>ecreased by 50%</w:t>
            </w:r>
            <w:r>
              <w:rPr>
                <w:rFonts w:ascii="Arial Narrow" w:hAnsi="Arial Narrow"/>
                <w:sz w:val="18"/>
                <w:szCs w:val="18"/>
                <w:lang w:val="en-US"/>
              </w:rPr>
              <w:t xml:space="preserve"> to</w:t>
            </w:r>
            <w:r w:rsidRPr="0007462D">
              <w:rPr>
                <w:rFonts w:ascii="Arial Narrow" w:hAnsi="Arial Narrow"/>
                <w:sz w:val="18"/>
                <w:szCs w:val="18"/>
                <w:lang w:val="en-US"/>
              </w:rPr>
              <w:t xml:space="preserve"> 3.2 cases per million</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03"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r>
      <w:tr w:rsidR="00B47528" w:rsidRPr="0007462D" w:rsidTr="000E4E6B">
        <w:trPr>
          <w:trHeight w:val="330"/>
        </w:trPr>
        <w:tc>
          <w:tcPr>
            <w:tcW w:w="942" w:type="pct"/>
            <w:shd w:val="clear" w:color="auto" w:fill="auto"/>
            <w:noWrap/>
            <w:vAlign w:val="bottom"/>
            <w:hideMark/>
          </w:tcPr>
          <w:p w:rsidR="00B47528" w:rsidRPr="0007462D" w:rsidRDefault="00B47528" w:rsidP="000E4E6B">
            <w:pPr>
              <w:widowControl/>
              <w:jc w:val="left"/>
              <w:rPr>
                <w:rFonts w:ascii="Arial Narrow" w:hAnsi="Arial Narrow"/>
                <w:sz w:val="18"/>
                <w:szCs w:val="18"/>
                <w:lang w:val="en-US"/>
              </w:rPr>
            </w:pPr>
            <w:r w:rsidRPr="0007462D">
              <w:rPr>
                <w:rFonts w:ascii="Arial Narrow" w:hAnsi="Arial Narrow"/>
                <w:sz w:val="18"/>
                <w:szCs w:val="18"/>
                <w:lang w:val="en-US"/>
              </w:rPr>
              <w:t xml:space="preserve">Diagnosis rates for </w:t>
            </w:r>
            <w:proofErr w:type="spellStart"/>
            <w:r w:rsidRPr="0007462D">
              <w:rPr>
                <w:rFonts w:ascii="Arial Narrow" w:hAnsi="Arial Narrow"/>
                <w:sz w:val="18"/>
                <w:szCs w:val="18"/>
                <w:lang w:val="en-US"/>
              </w:rPr>
              <w:t>paediatric</w:t>
            </w:r>
            <w:proofErr w:type="spellEnd"/>
            <w:r w:rsidRPr="0007462D">
              <w:rPr>
                <w:rFonts w:ascii="Arial Narrow" w:hAnsi="Arial Narrow"/>
                <w:sz w:val="18"/>
                <w:szCs w:val="18"/>
                <w:lang w:val="en-US"/>
              </w:rPr>
              <w:t>-onset HPP</w:t>
            </w:r>
          </w:p>
        </w:tc>
        <w:tc>
          <w:tcPr>
            <w:tcW w:w="943" w:type="pct"/>
            <w:shd w:val="clear" w:color="auto" w:fill="FFFFFF" w:themeFill="background1"/>
            <w:noWrap/>
            <w:vAlign w:val="center"/>
            <w:hideMark/>
          </w:tcPr>
          <w:p w:rsidR="00B47528" w:rsidRPr="0007462D" w:rsidRDefault="00B47528" w:rsidP="000E4E6B">
            <w:pPr>
              <w:widowControl/>
              <w:jc w:val="center"/>
              <w:rPr>
                <w:rFonts w:ascii="Arial Narrow" w:hAnsi="Arial Narrow"/>
                <w:sz w:val="18"/>
                <w:szCs w:val="18"/>
                <w:lang w:val="en-US"/>
              </w:rPr>
            </w:pPr>
            <w:r>
              <w:rPr>
                <w:rFonts w:ascii="Arial Narrow" w:hAnsi="Arial Narrow"/>
                <w:sz w:val="18"/>
                <w:szCs w:val="18"/>
                <w:lang w:val="en-US"/>
              </w:rPr>
              <w:t>D</w:t>
            </w:r>
            <w:r w:rsidRPr="0007462D">
              <w:rPr>
                <w:rFonts w:ascii="Arial Narrow" w:hAnsi="Arial Narrow"/>
                <w:sz w:val="18"/>
                <w:szCs w:val="18"/>
                <w:lang w:val="en-US"/>
              </w:rPr>
              <w:t>ecreased by 50%</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03" w:type="pct"/>
            <w:shd w:val="clear" w:color="auto" w:fill="auto"/>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r>
      <w:tr w:rsidR="00B47528" w:rsidRPr="0007462D" w:rsidTr="000E4E6B">
        <w:trPr>
          <w:trHeight w:val="315"/>
        </w:trPr>
        <w:tc>
          <w:tcPr>
            <w:tcW w:w="942" w:type="pct"/>
            <w:shd w:val="clear" w:color="auto" w:fill="auto"/>
            <w:noWrap/>
            <w:vAlign w:val="bottom"/>
            <w:hideMark/>
          </w:tcPr>
          <w:p w:rsidR="00B47528" w:rsidRPr="0007462D" w:rsidRDefault="00B47528" w:rsidP="000E4E6B">
            <w:pPr>
              <w:widowControl/>
              <w:jc w:val="left"/>
              <w:rPr>
                <w:rFonts w:ascii="Arial Narrow" w:hAnsi="Arial Narrow"/>
                <w:sz w:val="18"/>
                <w:szCs w:val="18"/>
                <w:lang w:val="en-US"/>
              </w:rPr>
            </w:pPr>
            <w:r w:rsidRPr="0007462D">
              <w:rPr>
                <w:rFonts w:ascii="Arial Narrow" w:hAnsi="Arial Narrow"/>
                <w:sz w:val="18"/>
                <w:szCs w:val="18"/>
                <w:lang w:val="en-US"/>
              </w:rPr>
              <w:t xml:space="preserve">Treatment rates for </w:t>
            </w:r>
            <w:proofErr w:type="spellStart"/>
            <w:r w:rsidRPr="0007462D">
              <w:rPr>
                <w:rFonts w:ascii="Arial Narrow" w:hAnsi="Arial Narrow"/>
                <w:sz w:val="18"/>
                <w:szCs w:val="18"/>
                <w:lang w:val="en-US"/>
              </w:rPr>
              <w:t>paediatric</w:t>
            </w:r>
            <w:proofErr w:type="spellEnd"/>
            <w:r w:rsidRPr="0007462D">
              <w:rPr>
                <w:rFonts w:ascii="Arial Narrow" w:hAnsi="Arial Narrow"/>
                <w:sz w:val="18"/>
                <w:szCs w:val="18"/>
                <w:lang w:val="en-US"/>
              </w:rPr>
              <w:t>-onset HPP</w:t>
            </w:r>
          </w:p>
        </w:tc>
        <w:tc>
          <w:tcPr>
            <w:tcW w:w="943" w:type="pct"/>
            <w:shd w:val="clear" w:color="auto" w:fill="FFFFFF" w:themeFill="background1"/>
            <w:noWrap/>
            <w:vAlign w:val="center"/>
            <w:hideMark/>
          </w:tcPr>
          <w:p w:rsidR="00B47528" w:rsidRPr="0007462D" w:rsidRDefault="00B47528" w:rsidP="000E4E6B">
            <w:pPr>
              <w:widowControl/>
              <w:jc w:val="center"/>
              <w:rPr>
                <w:rFonts w:ascii="Arial Narrow" w:hAnsi="Arial Narrow"/>
                <w:sz w:val="18"/>
                <w:szCs w:val="18"/>
                <w:lang w:val="en-US"/>
              </w:rPr>
            </w:pPr>
            <w:r>
              <w:rPr>
                <w:rFonts w:ascii="Arial Narrow" w:hAnsi="Arial Narrow"/>
                <w:sz w:val="18"/>
                <w:szCs w:val="18"/>
                <w:lang w:val="en-US"/>
              </w:rPr>
              <w:t>D</w:t>
            </w:r>
            <w:r w:rsidRPr="0007462D">
              <w:rPr>
                <w:rFonts w:ascii="Arial Narrow" w:hAnsi="Arial Narrow"/>
                <w:sz w:val="18"/>
                <w:szCs w:val="18"/>
                <w:lang w:val="en-US"/>
              </w:rPr>
              <w:t>ecreased by 50%</w:t>
            </w:r>
          </w:p>
        </w:tc>
        <w:tc>
          <w:tcPr>
            <w:tcW w:w="628" w:type="pct"/>
            <w:shd w:val="clear" w:color="auto" w:fill="FFFFFF" w:themeFill="background1"/>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FFFFFF" w:themeFill="background1"/>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FFFFFF" w:themeFill="background1"/>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28" w:type="pct"/>
            <w:shd w:val="clear" w:color="auto" w:fill="FFFFFF" w:themeFill="background1"/>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c>
          <w:tcPr>
            <w:tcW w:w="603" w:type="pct"/>
            <w:shd w:val="clear" w:color="auto" w:fill="FFFFFF" w:themeFill="background1"/>
            <w:noWrap/>
            <w:vAlign w:val="center"/>
            <w:hideMark/>
          </w:tcPr>
          <w:p w:rsidR="00B47528" w:rsidRPr="0007462D" w:rsidRDefault="00B47528" w:rsidP="000E4E6B">
            <w:pPr>
              <w:widowControl/>
              <w:jc w:val="center"/>
              <w:rPr>
                <w:rFonts w:ascii="Arial Narrow" w:hAnsi="Arial Narrow"/>
                <w:sz w:val="18"/>
                <w:szCs w:val="18"/>
              </w:rPr>
            </w:pPr>
            <w:r w:rsidRPr="0007462D">
              <w:rPr>
                <w:rFonts w:ascii="Arial Narrow" w:hAnsi="Arial Narrow"/>
                <w:sz w:val="18"/>
                <w:szCs w:val="18"/>
              </w:rPr>
              <w:t>$</w:t>
            </w:r>
            <w:r w:rsidR="00551B2E">
              <w:rPr>
                <w:rFonts w:ascii="Arial Narrow" w:hAnsi="Arial Narrow"/>
                <w:noProof/>
                <w:color w:val="000000"/>
                <w:sz w:val="18"/>
                <w:szCs w:val="18"/>
                <w:highlight w:val="black"/>
              </w:rPr>
              <w:t>''''''''''''''''''''''''</w:t>
            </w:r>
          </w:p>
        </w:tc>
      </w:tr>
      <w:tr w:rsidR="00B47528" w:rsidRPr="005F6CF9" w:rsidTr="000E4E6B">
        <w:trPr>
          <w:trHeight w:val="315"/>
        </w:trPr>
        <w:tc>
          <w:tcPr>
            <w:tcW w:w="942" w:type="pct"/>
            <w:shd w:val="clear" w:color="auto" w:fill="auto"/>
            <w:noWrap/>
            <w:vAlign w:val="bottom"/>
          </w:tcPr>
          <w:p w:rsidR="00B47528" w:rsidRPr="005F6CF9" w:rsidRDefault="00B47528" w:rsidP="000E4E6B">
            <w:pPr>
              <w:widowControl/>
              <w:jc w:val="left"/>
              <w:rPr>
                <w:rFonts w:ascii="Arial Narrow" w:hAnsi="Arial Narrow"/>
                <w:i/>
                <w:sz w:val="18"/>
                <w:szCs w:val="18"/>
                <w:lang w:val="en-US"/>
              </w:rPr>
            </w:pPr>
            <w:r>
              <w:rPr>
                <w:rFonts w:ascii="Arial Narrow" w:hAnsi="Arial Narrow"/>
                <w:i/>
                <w:sz w:val="18"/>
                <w:szCs w:val="18"/>
                <w:lang w:val="en-US"/>
              </w:rPr>
              <w:t>Diagnosis and treatment rate in patients 18 years and over</w:t>
            </w:r>
          </w:p>
        </w:tc>
        <w:tc>
          <w:tcPr>
            <w:tcW w:w="943" w:type="pct"/>
            <w:shd w:val="clear" w:color="auto" w:fill="FFFFFF" w:themeFill="background1"/>
            <w:noWrap/>
            <w:vAlign w:val="center"/>
          </w:tcPr>
          <w:p w:rsidR="00B47528" w:rsidRPr="005F6CF9" w:rsidRDefault="00B47528" w:rsidP="000E4E6B">
            <w:pPr>
              <w:widowControl/>
              <w:jc w:val="center"/>
              <w:rPr>
                <w:rFonts w:ascii="Arial Narrow" w:hAnsi="Arial Narrow"/>
                <w:i/>
                <w:sz w:val="18"/>
                <w:szCs w:val="18"/>
                <w:lang w:val="en-US"/>
              </w:rPr>
            </w:pPr>
            <w:r>
              <w:rPr>
                <w:rFonts w:ascii="Arial Narrow" w:hAnsi="Arial Narrow"/>
                <w:i/>
                <w:sz w:val="18"/>
                <w:szCs w:val="18"/>
                <w:lang w:val="en-US"/>
              </w:rPr>
              <w:t>Same as diagnosis and treatment rate in patients aged 12-17 years</w:t>
            </w:r>
          </w:p>
        </w:tc>
        <w:tc>
          <w:tcPr>
            <w:tcW w:w="62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47528" w:rsidRPr="005F6CF9" w:rsidRDefault="00B47528" w:rsidP="000E4E6B">
            <w:pPr>
              <w:widowControl/>
              <w:jc w:val="center"/>
              <w:rPr>
                <w:rFonts w:ascii="Arial Narrow" w:hAnsi="Arial Narrow"/>
                <w:i/>
                <w:sz w:val="18"/>
                <w:szCs w:val="18"/>
              </w:rPr>
            </w:pPr>
            <w:r w:rsidRPr="005F6CF9">
              <w:rPr>
                <w:rFonts w:ascii="Arial Narrow" w:hAnsi="Arial Narrow"/>
                <w:bCs/>
                <w:i/>
                <w:sz w:val="18"/>
                <w:szCs w:val="18"/>
              </w:rPr>
              <w:t>$</w:t>
            </w:r>
            <w:r w:rsidR="00551B2E">
              <w:rPr>
                <w:rFonts w:ascii="Arial Narrow" w:hAnsi="Arial Narrow"/>
                <w:bCs/>
                <w:i/>
                <w:noProof/>
                <w:color w:val="000000"/>
                <w:sz w:val="18"/>
                <w:szCs w:val="18"/>
                <w:highlight w:val="black"/>
              </w:rPr>
              <w:t>''''''''''''''''''''''''''''</w:t>
            </w:r>
          </w:p>
        </w:tc>
        <w:tc>
          <w:tcPr>
            <w:tcW w:w="628" w:type="pct"/>
            <w:tcBorders>
              <w:top w:val="single" w:sz="4" w:space="0" w:color="auto"/>
              <w:left w:val="nil"/>
              <w:bottom w:val="single" w:sz="4" w:space="0" w:color="auto"/>
              <w:right w:val="single" w:sz="4" w:space="0" w:color="auto"/>
            </w:tcBorders>
            <w:shd w:val="clear" w:color="auto" w:fill="FFFFFF" w:themeFill="background1"/>
            <w:noWrap/>
            <w:vAlign w:val="center"/>
          </w:tcPr>
          <w:p w:rsidR="00B47528" w:rsidRPr="005F6CF9" w:rsidRDefault="00B47528" w:rsidP="000E4E6B">
            <w:pPr>
              <w:widowControl/>
              <w:jc w:val="center"/>
              <w:rPr>
                <w:rFonts w:ascii="Arial Narrow" w:hAnsi="Arial Narrow"/>
                <w:i/>
                <w:sz w:val="18"/>
                <w:szCs w:val="18"/>
              </w:rPr>
            </w:pPr>
            <w:r w:rsidRPr="005F6CF9">
              <w:rPr>
                <w:rFonts w:ascii="Arial Narrow" w:hAnsi="Arial Narrow"/>
                <w:bCs/>
                <w:i/>
                <w:sz w:val="18"/>
                <w:szCs w:val="18"/>
              </w:rPr>
              <w:t>$</w:t>
            </w:r>
            <w:r w:rsidR="00551B2E">
              <w:rPr>
                <w:rFonts w:ascii="Arial Narrow" w:hAnsi="Arial Narrow"/>
                <w:bCs/>
                <w:i/>
                <w:noProof/>
                <w:color w:val="000000"/>
                <w:sz w:val="18"/>
                <w:szCs w:val="18"/>
                <w:highlight w:val="black"/>
              </w:rPr>
              <w:t>''''''''''''''''''''''''</w:t>
            </w:r>
          </w:p>
        </w:tc>
        <w:tc>
          <w:tcPr>
            <w:tcW w:w="628" w:type="pct"/>
            <w:tcBorders>
              <w:top w:val="single" w:sz="4" w:space="0" w:color="auto"/>
              <w:left w:val="nil"/>
              <w:bottom w:val="single" w:sz="4" w:space="0" w:color="auto"/>
              <w:right w:val="single" w:sz="4" w:space="0" w:color="auto"/>
            </w:tcBorders>
            <w:shd w:val="clear" w:color="auto" w:fill="FFFFFF" w:themeFill="background1"/>
            <w:noWrap/>
            <w:vAlign w:val="center"/>
          </w:tcPr>
          <w:p w:rsidR="00B47528" w:rsidRPr="005F6CF9" w:rsidRDefault="00B47528" w:rsidP="000E4E6B">
            <w:pPr>
              <w:widowControl/>
              <w:jc w:val="center"/>
              <w:rPr>
                <w:rFonts w:ascii="Arial Narrow" w:hAnsi="Arial Narrow"/>
                <w:i/>
                <w:sz w:val="18"/>
                <w:szCs w:val="18"/>
              </w:rPr>
            </w:pPr>
            <w:r w:rsidRPr="005F6CF9">
              <w:rPr>
                <w:rFonts w:ascii="Arial Narrow" w:hAnsi="Arial Narrow"/>
                <w:bCs/>
                <w:i/>
                <w:sz w:val="18"/>
                <w:szCs w:val="18"/>
              </w:rPr>
              <w:t>$</w:t>
            </w:r>
            <w:r w:rsidR="00551B2E">
              <w:rPr>
                <w:rFonts w:ascii="Arial Narrow" w:hAnsi="Arial Narrow"/>
                <w:bCs/>
                <w:i/>
                <w:noProof/>
                <w:color w:val="000000"/>
                <w:sz w:val="18"/>
                <w:szCs w:val="18"/>
                <w:highlight w:val="black"/>
              </w:rPr>
              <w:t>''''''''''''''''''''''''''</w:t>
            </w:r>
          </w:p>
        </w:tc>
        <w:tc>
          <w:tcPr>
            <w:tcW w:w="628" w:type="pct"/>
            <w:tcBorders>
              <w:top w:val="single" w:sz="4" w:space="0" w:color="auto"/>
              <w:left w:val="nil"/>
              <w:bottom w:val="single" w:sz="4" w:space="0" w:color="auto"/>
              <w:right w:val="single" w:sz="4" w:space="0" w:color="auto"/>
            </w:tcBorders>
            <w:shd w:val="clear" w:color="auto" w:fill="FFFFFF" w:themeFill="background1"/>
            <w:noWrap/>
            <w:vAlign w:val="center"/>
          </w:tcPr>
          <w:p w:rsidR="00B47528" w:rsidRPr="005F6CF9" w:rsidRDefault="00B47528" w:rsidP="000E4E6B">
            <w:pPr>
              <w:widowControl/>
              <w:jc w:val="center"/>
              <w:rPr>
                <w:rFonts w:ascii="Arial Narrow" w:hAnsi="Arial Narrow"/>
                <w:i/>
                <w:sz w:val="18"/>
                <w:szCs w:val="18"/>
              </w:rPr>
            </w:pPr>
            <w:r w:rsidRPr="005F6CF9">
              <w:rPr>
                <w:rFonts w:ascii="Arial Narrow" w:hAnsi="Arial Narrow"/>
                <w:bCs/>
                <w:i/>
                <w:sz w:val="18"/>
                <w:szCs w:val="18"/>
              </w:rPr>
              <w:t>$</w:t>
            </w:r>
            <w:r w:rsidR="00551B2E">
              <w:rPr>
                <w:rFonts w:ascii="Arial Narrow" w:hAnsi="Arial Narrow"/>
                <w:bCs/>
                <w:i/>
                <w:noProof/>
                <w:color w:val="000000"/>
                <w:sz w:val="18"/>
                <w:szCs w:val="18"/>
                <w:highlight w:val="black"/>
              </w:rPr>
              <w:t>''''''''''''''''''''''''''</w:t>
            </w:r>
          </w:p>
        </w:tc>
        <w:tc>
          <w:tcPr>
            <w:tcW w:w="603" w:type="pct"/>
            <w:tcBorders>
              <w:top w:val="single" w:sz="4" w:space="0" w:color="auto"/>
              <w:left w:val="nil"/>
              <w:bottom w:val="single" w:sz="4" w:space="0" w:color="auto"/>
              <w:right w:val="single" w:sz="4" w:space="0" w:color="auto"/>
            </w:tcBorders>
            <w:shd w:val="clear" w:color="auto" w:fill="FFFFFF" w:themeFill="background1"/>
            <w:noWrap/>
            <w:vAlign w:val="center"/>
          </w:tcPr>
          <w:p w:rsidR="00B47528" w:rsidRPr="005F6CF9" w:rsidRDefault="00B47528" w:rsidP="000E4E6B">
            <w:pPr>
              <w:widowControl/>
              <w:jc w:val="center"/>
              <w:rPr>
                <w:rFonts w:ascii="Arial Narrow" w:hAnsi="Arial Narrow"/>
                <w:i/>
                <w:sz w:val="18"/>
                <w:szCs w:val="18"/>
              </w:rPr>
            </w:pPr>
            <w:r w:rsidRPr="005F6CF9">
              <w:rPr>
                <w:rFonts w:ascii="Arial Narrow" w:hAnsi="Arial Narrow"/>
                <w:bCs/>
                <w:i/>
                <w:sz w:val="18"/>
                <w:szCs w:val="18"/>
              </w:rPr>
              <w:t>$</w:t>
            </w:r>
            <w:r w:rsidR="00551B2E">
              <w:rPr>
                <w:rFonts w:ascii="Arial Narrow" w:hAnsi="Arial Narrow"/>
                <w:bCs/>
                <w:i/>
                <w:noProof/>
                <w:color w:val="000000"/>
                <w:sz w:val="18"/>
                <w:szCs w:val="18"/>
                <w:highlight w:val="black"/>
              </w:rPr>
              <w:t>'''''''''''''''''''''''''</w:t>
            </w:r>
          </w:p>
        </w:tc>
      </w:tr>
    </w:tbl>
    <w:p w:rsidR="00B47528" w:rsidRPr="00221D88" w:rsidRDefault="00B47528" w:rsidP="00B47528">
      <w:pPr>
        <w:widowControl/>
        <w:rPr>
          <w:rFonts w:ascii="Arial Narrow" w:hAnsi="Arial Narrow"/>
          <w:i/>
          <w:sz w:val="18"/>
          <w:szCs w:val="18"/>
        </w:rPr>
      </w:pPr>
      <w:r w:rsidRPr="00221D88">
        <w:rPr>
          <w:rFonts w:ascii="Arial Narrow" w:hAnsi="Arial Narrow"/>
          <w:i/>
          <w:sz w:val="18"/>
          <w:szCs w:val="18"/>
        </w:rPr>
        <w:t>Figures in italics calculated during the evaluation</w:t>
      </w:r>
    </w:p>
    <w:p w:rsidR="00B47528" w:rsidRPr="008A1FD4" w:rsidRDefault="00B47528" w:rsidP="00B47528">
      <w:pPr>
        <w:widowControl/>
        <w:rPr>
          <w:rFonts w:ascii="Arial Narrow" w:hAnsi="Arial Narrow"/>
          <w:sz w:val="18"/>
          <w:szCs w:val="18"/>
        </w:rPr>
      </w:pPr>
      <w:r w:rsidRPr="008A1FD4">
        <w:rPr>
          <w:rFonts w:ascii="Arial Narrow" w:hAnsi="Arial Narrow"/>
          <w:sz w:val="18"/>
          <w:szCs w:val="18"/>
        </w:rPr>
        <w:t>Source: Table E.6.1, p88 of the Sections C to F of the submission</w:t>
      </w:r>
    </w:p>
    <w:p w:rsidR="00B47528" w:rsidRDefault="00B47528" w:rsidP="00B47528">
      <w:pPr>
        <w:widowControl/>
      </w:pPr>
    </w:p>
    <w:p w:rsidR="00571B49" w:rsidRDefault="00571B49" w:rsidP="00041B28">
      <w:pPr>
        <w:pStyle w:val="ListParagraph"/>
        <w:widowControl/>
        <w:numPr>
          <w:ilvl w:val="1"/>
          <w:numId w:val="2"/>
        </w:numPr>
        <w:spacing w:before="120" w:after="160"/>
        <w:contextualSpacing w:val="0"/>
      </w:pPr>
      <w:r>
        <w:t>The</w:t>
      </w:r>
      <w:r w:rsidR="00AC4E30">
        <w:t xml:space="preserve"> PBAC further noted that if treatment were extended to include patients diagnosed with adult-onset HPP, the total patient population is likely to be further increased.</w:t>
      </w:r>
      <w:r>
        <w:t xml:space="preserve"> </w:t>
      </w:r>
    </w:p>
    <w:p w:rsidR="00B10DD6" w:rsidRPr="00392E7A" w:rsidRDefault="00B10DD6" w:rsidP="005123EA">
      <w:pPr>
        <w:pStyle w:val="Heading2"/>
        <w:widowControl/>
      </w:pPr>
      <w:bookmarkStart w:id="55" w:name="_Toc413139285"/>
      <w:bookmarkStart w:id="56" w:name="_Toc476306895"/>
      <w:bookmarkStart w:id="57" w:name="_Toc481339871"/>
      <w:bookmarkStart w:id="58" w:name="_Toc481410716"/>
      <w:r w:rsidRPr="00392E7A">
        <w:t>Quality Use of Medicines</w:t>
      </w:r>
      <w:bookmarkEnd w:id="55"/>
      <w:bookmarkEnd w:id="56"/>
      <w:bookmarkEnd w:id="57"/>
      <w:bookmarkEnd w:id="58"/>
    </w:p>
    <w:p w:rsidR="00B10DD6" w:rsidRPr="004F2CD8" w:rsidRDefault="00B10DD6" w:rsidP="005123EA">
      <w:pPr>
        <w:pStyle w:val="ListParagraph"/>
        <w:widowControl/>
        <w:numPr>
          <w:ilvl w:val="1"/>
          <w:numId w:val="2"/>
        </w:numPr>
        <w:spacing w:before="120" w:after="160"/>
        <w:contextualSpacing w:val="0"/>
        <w:rPr>
          <w:rFonts w:asciiTheme="minorHAnsi" w:hAnsiTheme="minorHAnsi"/>
        </w:rPr>
      </w:pPr>
      <w:r w:rsidRPr="00F471D7">
        <w:rPr>
          <w:rFonts w:asciiTheme="minorHAnsi" w:hAnsiTheme="minorHAnsi"/>
        </w:rPr>
        <w:t>The submission proposed to develop a Patient Support Program to ensure that patients would receive access to training on self-administration, consistent information about their treatment</w:t>
      </w:r>
      <w:r w:rsidR="0023326F" w:rsidRPr="00F471D7">
        <w:rPr>
          <w:rFonts w:asciiTheme="minorHAnsi" w:hAnsiTheme="minorHAnsi"/>
        </w:rPr>
        <w:t>,</w:t>
      </w:r>
      <w:r w:rsidRPr="00F471D7">
        <w:rPr>
          <w:rFonts w:asciiTheme="minorHAnsi" w:hAnsiTheme="minorHAnsi"/>
        </w:rPr>
        <w:t xml:space="preserve"> and ongoing support in the home when establishing a treatment schedule.</w:t>
      </w:r>
      <w:r w:rsidR="00540116" w:rsidRPr="00F471D7">
        <w:rPr>
          <w:rFonts w:asciiTheme="minorHAnsi" w:hAnsiTheme="minorHAnsi"/>
        </w:rPr>
        <w:t xml:space="preserve"> </w:t>
      </w:r>
      <w:r w:rsidR="00A724D5">
        <w:rPr>
          <w:rFonts w:asciiTheme="minorHAnsi" w:hAnsiTheme="minorHAnsi"/>
        </w:rPr>
        <w:t>The evaluation considered it</w:t>
      </w:r>
      <w:r w:rsidR="00A724D5" w:rsidRPr="00F471D7">
        <w:rPr>
          <w:rFonts w:asciiTheme="minorHAnsi" w:hAnsiTheme="minorHAnsi"/>
        </w:rPr>
        <w:t xml:space="preserve"> </w:t>
      </w:r>
      <w:r w:rsidRPr="00F471D7">
        <w:rPr>
          <w:rFonts w:asciiTheme="minorHAnsi" w:hAnsiTheme="minorHAnsi"/>
        </w:rPr>
        <w:t>may not be a</w:t>
      </w:r>
      <w:r w:rsidR="0046192F">
        <w:rPr>
          <w:rFonts w:asciiTheme="minorHAnsi" w:hAnsiTheme="minorHAnsi"/>
        </w:rPr>
        <w:t>ppropriate for patients to self</w:t>
      </w:r>
      <w:r w:rsidR="0046192F">
        <w:rPr>
          <w:rFonts w:asciiTheme="minorHAnsi" w:hAnsiTheme="minorHAnsi"/>
        </w:rPr>
        <w:noBreakHyphen/>
      </w:r>
      <w:r w:rsidRPr="00F471D7">
        <w:rPr>
          <w:rFonts w:asciiTheme="minorHAnsi" w:hAnsiTheme="minorHAnsi"/>
        </w:rPr>
        <w:t xml:space="preserve">administer </w:t>
      </w:r>
      <w:proofErr w:type="spellStart"/>
      <w:r w:rsidRPr="00F471D7">
        <w:rPr>
          <w:rFonts w:asciiTheme="minorHAnsi" w:hAnsiTheme="minorHAnsi"/>
        </w:rPr>
        <w:t>asfotase</w:t>
      </w:r>
      <w:proofErr w:type="spellEnd"/>
      <w:r w:rsidRPr="00F471D7">
        <w:rPr>
          <w:rFonts w:asciiTheme="minorHAnsi" w:hAnsiTheme="minorHAnsi"/>
        </w:rPr>
        <w:t xml:space="preserve"> alfa </w:t>
      </w:r>
      <w:proofErr w:type="spellStart"/>
      <w:r w:rsidR="00465F17" w:rsidRPr="00465F17">
        <w:rPr>
          <w:rFonts w:asciiTheme="minorHAnsi" w:hAnsiTheme="minorHAnsi"/>
          <w:i/>
        </w:rPr>
        <w:t>rch</w:t>
      </w:r>
      <w:proofErr w:type="spellEnd"/>
      <w:r w:rsidR="001126FA" w:rsidRPr="00F471D7">
        <w:rPr>
          <w:rFonts w:asciiTheme="minorHAnsi" w:hAnsiTheme="minorHAnsi"/>
        </w:rPr>
        <w:t xml:space="preserve"> due to </w:t>
      </w:r>
      <w:r w:rsidR="001126FA" w:rsidRPr="00F471D7">
        <w:t xml:space="preserve">some potential for risk of wastage from breakages and a risk of </w:t>
      </w:r>
      <w:proofErr w:type="spellStart"/>
      <w:r w:rsidR="001126FA" w:rsidRPr="00F471D7">
        <w:t>anaphylactoid</w:t>
      </w:r>
      <w:proofErr w:type="spellEnd"/>
      <w:r w:rsidR="001126FA" w:rsidRPr="00F471D7">
        <w:t>/anaphylactic reactions.</w:t>
      </w:r>
    </w:p>
    <w:p w:rsidR="004F2CD8" w:rsidRPr="000E7B17" w:rsidRDefault="004F2CD8" w:rsidP="005123EA">
      <w:pPr>
        <w:pStyle w:val="ListParagraph"/>
        <w:widowControl/>
        <w:numPr>
          <w:ilvl w:val="1"/>
          <w:numId w:val="2"/>
        </w:numPr>
        <w:contextualSpacing w:val="0"/>
        <w:rPr>
          <w:rFonts w:asciiTheme="minorHAnsi" w:hAnsiTheme="minorHAnsi"/>
        </w:rPr>
      </w:pPr>
      <w:r w:rsidRPr="000E7B17">
        <w:rPr>
          <w:rFonts w:asciiTheme="minorHAnsi" w:hAnsiTheme="minorHAnsi"/>
        </w:rPr>
        <w:t xml:space="preserve">The PSCR (p4) stated </w:t>
      </w:r>
      <w:proofErr w:type="spellStart"/>
      <w:r w:rsidRPr="000E7B17">
        <w:rPr>
          <w:rFonts w:asciiTheme="minorHAnsi" w:hAnsiTheme="minorHAnsi"/>
        </w:rPr>
        <w:t>asfotase</w:t>
      </w:r>
      <w:proofErr w:type="spellEnd"/>
      <w:r w:rsidRPr="000E7B17">
        <w:rPr>
          <w:rFonts w:asciiTheme="minorHAnsi" w:hAnsiTheme="minorHAnsi"/>
        </w:rPr>
        <w:t xml:space="preserve"> alfa </w:t>
      </w:r>
      <w:proofErr w:type="spellStart"/>
      <w:r w:rsidRPr="000E7B17">
        <w:rPr>
          <w:rFonts w:asciiTheme="minorHAnsi" w:hAnsiTheme="minorHAnsi"/>
        </w:rPr>
        <w:t>rch</w:t>
      </w:r>
      <w:proofErr w:type="spellEnd"/>
      <w:r w:rsidRPr="000E7B17">
        <w:rPr>
          <w:rFonts w:asciiTheme="minorHAnsi" w:hAnsiTheme="minorHAnsi"/>
        </w:rPr>
        <w:t xml:space="preserve"> has been successfully self-administered by over 300 patients and their carers through Alexion’s patient support programs. The sponsor claims </w:t>
      </w:r>
      <w:proofErr w:type="spellStart"/>
      <w:r w:rsidRPr="000E7B17">
        <w:rPr>
          <w:rFonts w:asciiTheme="minorHAnsi" w:hAnsiTheme="minorHAnsi"/>
        </w:rPr>
        <w:t>anaphylactoid</w:t>
      </w:r>
      <w:proofErr w:type="spellEnd"/>
      <w:r w:rsidRPr="000E7B17">
        <w:rPr>
          <w:rFonts w:asciiTheme="minorHAnsi" w:hAnsiTheme="minorHAnsi"/>
        </w:rPr>
        <w:t xml:space="preserve"> reactions/anaphylaxis can be managed in the home and self-administration is the most practical way to adhere to the 3 or 6 injections per week. The ESC considered this claim was uncertain and </w:t>
      </w:r>
      <w:r w:rsidR="00A724D5">
        <w:rPr>
          <w:rFonts w:asciiTheme="minorHAnsi" w:hAnsiTheme="minorHAnsi"/>
        </w:rPr>
        <w:t>also raised that incorrect self</w:t>
      </w:r>
      <w:r w:rsidR="00A724D5">
        <w:rPr>
          <w:rFonts w:asciiTheme="minorHAnsi" w:hAnsiTheme="minorHAnsi"/>
        </w:rPr>
        <w:noBreakHyphen/>
      </w:r>
      <w:r w:rsidRPr="000E7B17">
        <w:rPr>
          <w:rFonts w:asciiTheme="minorHAnsi" w:hAnsiTheme="minorHAnsi"/>
        </w:rPr>
        <w:t>administration procedures may result in drug wastage or inadequate dosing.</w:t>
      </w:r>
    </w:p>
    <w:p w:rsidR="00B10DD6" w:rsidRPr="00392E7A" w:rsidRDefault="00B10DD6" w:rsidP="005123EA">
      <w:pPr>
        <w:pStyle w:val="Heading2"/>
        <w:widowControl/>
      </w:pPr>
      <w:bookmarkStart w:id="59" w:name="_Toc413139286"/>
      <w:bookmarkStart w:id="60" w:name="_Toc476306896"/>
      <w:bookmarkStart w:id="61" w:name="_Toc481339872"/>
      <w:bookmarkStart w:id="62" w:name="_Toc481410717"/>
      <w:r w:rsidRPr="00392E7A">
        <w:t>Financial Management – Risk Sharing Arrangements</w:t>
      </w:r>
      <w:bookmarkEnd w:id="59"/>
      <w:bookmarkEnd w:id="60"/>
      <w:bookmarkEnd w:id="61"/>
      <w:bookmarkEnd w:id="62"/>
    </w:p>
    <w:p w:rsidR="004F3AC5" w:rsidRPr="00F471D7" w:rsidRDefault="00B10DD6" w:rsidP="005123EA">
      <w:pPr>
        <w:pStyle w:val="ListParagraph"/>
        <w:widowControl/>
        <w:numPr>
          <w:ilvl w:val="1"/>
          <w:numId w:val="2"/>
        </w:numPr>
        <w:spacing w:before="120" w:after="160"/>
        <w:contextualSpacing w:val="0"/>
        <w:rPr>
          <w:rFonts w:asciiTheme="minorHAnsi" w:hAnsiTheme="minorHAnsi"/>
        </w:rPr>
      </w:pPr>
      <w:r w:rsidRPr="00F471D7">
        <w:rPr>
          <w:rFonts w:asciiTheme="minorHAnsi" w:hAnsiTheme="minorHAnsi"/>
        </w:rPr>
        <w:t xml:space="preserve">To ensure equity of access to all patients based on their disease severity rather than their body weight, the submission proposed a Risk Share Arrangement (RSA) with </w:t>
      </w:r>
      <w:r w:rsidRPr="00845BC4">
        <w:rPr>
          <w:rFonts w:asciiTheme="minorHAnsi" w:hAnsiTheme="minorHAnsi"/>
        </w:rPr>
        <w:t>an annual per patient cap of $</w:t>
      </w:r>
      <w:r w:rsidR="00551B2E">
        <w:rPr>
          <w:rFonts w:asciiTheme="minorHAnsi" w:hAnsiTheme="minorHAnsi"/>
          <w:noProof/>
          <w:color w:val="000000"/>
          <w:highlight w:val="black"/>
        </w:rPr>
        <w:t>'''''''''''''''</w:t>
      </w:r>
      <w:r w:rsidRPr="00845BC4">
        <w:rPr>
          <w:rFonts w:asciiTheme="minorHAnsi" w:hAnsiTheme="minorHAnsi"/>
        </w:rPr>
        <w:t xml:space="preserve"> per year.</w:t>
      </w:r>
      <w:r w:rsidR="00540116" w:rsidRPr="00845BC4">
        <w:rPr>
          <w:rFonts w:asciiTheme="minorHAnsi" w:hAnsiTheme="minorHAnsi"/>
        </w:rPr>
        <w:t xml:space="preserve"> </w:t>
      </w:r>
      <w:r w:rsidRPr="00F471D7">
        <w:rPr>
          <w:rFonts w:asciiTheme="minorHAnsi" w:hAnsiTheme="minorHAnsi"/>
        </w:rPr>
        <w:t xml:space="preserve">The financial estimates and the economic evaluation provided in the submission </w:t>
      </w:r>
      <w:r w:rsidRPr="00845BC4">
        <w:rPr>
          <w:rFonts w:asciiTheme="minorHAnsi" w:hAnsiTheme="minorHAnsi"/>
        </w:rPr>
        <w:t xml:space="preserve">contained this cap. </w:t>
      </w:r>
    </w:p>
    <w:p w:rsidR="00AE1568" w:rsidRPr="000E7B17" w:rsidRDefault="0090059C" w:rsidP="005123EA">
      <w:pPr>
        <w:pStyle w:val="ListParagraph"/>
        <w:widowControl/>
        <w:numPr>
          <w:ilvl w:val="1"/>
          <w:numId w:val="2"/>
        </w:numPr>
        <w:spacing w:before="120" w:after="160"/>
        <w:contextualSpacing w:val="0"/>
        <w:rPr>
          <w:rFonts w:asciiTheme="minorHAnsi" w:hAnsiTheme="minorHAnsi"/>
        </w:rPr>
      </w:pPr>
      <w:r w:rsidRPr="00F471D7">
        <w:rPr>
          <w:rFonts w:asciiTheme="minorHAnsi" w:hAnsiTheme="minorHAnsi"/>
        </w:rPr>
        <w:t xml:space="preserve">In addition to </w:t>
      </w:r>
      <w:r w:rsidRPr="00845BC4">
        <w:rPr>
          <w:rFonts w:asciiTheme="minorHAnsi" w:hAnsiTheme="minorHAnsi"/>
        </w:rPr>
        <w:t>a per patient cap</w:t>
      </w:r>
      <w:r w:rsidRPr="00F471D7">
        <w:rPr>
          <w:rFonts w:asciiTheme="minorHAnsi" w:hAnsiTheme="minorHAnsi"/>
        </w:rPr>
        <w:t xml:space="preserve">, </w:t>
      </w:r>
      <w:r w:rsidR="0046192F">
        <w:rPr>
          <w:rFonts w:asciiTheme="minorHAnsi" w:hAnsiTheme="minorHAnsi"/>
        </w:rPr>
        <w:t xml:space="preserve">the evaluation noted that </w:t>
      </w:r>
      <w:r w:rsidRPr="00845BC4">
        <w:rPr>
          <w:rFonts w:asciiTheme="minorHAnsi" w:hAnsiTheme="minorHAnsi"/>
        </w:rPr>
        <w:t>an overall financial cap</w:t>
      </w:r>
      <w:r w:rsidRPr="00F471D7">
        <w:rPr>
          <w:rFonts w:asciiTheme="minorHAnsi" w:hAnsiTheme="minorHAnsi"/>
        </w:rPr>
        <w:t xml:space="preserve"> may also be appropriate given </w:t>
      </w:r>
      <w:r w:rsidR="004F3AC5" w:rsidRPr="00F471D7">
        <w:rPr>
          <w:rFonts w:asciiTheme="minorHAnsi" w:hAnsiTheme="minorHAnsi"/>
        </w:rPr>
        <w:t xml:space="preserve">the uncertainties </w:t>
      </w:r>
      <w:r w:rsidRPr="00F471D7">
        <w:rPr>
          <w:rFonts w:asciiTheme="minorHAnsi" w:hAnsiTheme="minorHAnsi"/>
        </w:rPr>
        <w:t xml:space="preserve">surrounding </w:t>
      </w:r>
      <w:r w:rsidR="005F60D3" w:rsidRPr="00F471D7">
        <w:rPr>
          <w:rFonts w:asciiTheme="minorHAnsi" w:hAnsiTheme="minorHAnsi"/>
        </w:rPr>
        <w:t>(</w:t>
      </w:r>
      <w:proofErr w:type="spellStart"/>
      <w:r w:rsidR="005F60D3" w:rsidRPr="00F471D7">
        <w:rPr>
          <w:rFonts w:asciiTheme="minorHAnsi" w:hAnsiTheme="minorHAnsi"/>
        </w:rPr>
        <w:t>i</w:t>
      </w:r>
      <w:proofErr w:type="spellEnd"/>
      <w:r w:rsidR="005F60D3" w:rsidRPr="00F471D7">
        <w:rPr>
          <w:rFonts w:asciiTheme="minorHAnsi" w:hAnsiTheme="minorHAnsi"/>
        </w:rPr>
        <w:t xml:space="preserve">) </w:t>
      </w:r>
      <w:r w:rsidR="00F635A2">
        <w:rPr>
          <w:rFonts w:asciiTheme="minorHAnsi" w:hAnsiTheme="minorHAnsi"/>
        </w:rPr>
        <w:t>the eligible population;</w:t>
      </w:r>
      <w:r w:rsidRPr="00F471D7">
        <w:rPr>
          <w:rFonts w:asciiTheme="minorHAnsi" w:hAnsiTheme="minorHAnsi"/>
        </w:rPr>
        <w:t xml:space="preserve"> </w:t>
      </w:r>
      <w:r w:rsidR="005F60D3" w:rsidRPr="00F471D7">
        <w:rPr>
          <w:rFonts w:asciiTheme="minorHAnsi" w:hAnsiTheme="minorHAnsi"/>
        </w:rPr>
        <w:t xml:space="preserve">(ii) </w:t>
      </w:r>
      <w:r w:rsidRPr="00F471D7">
        <w:rPr>
          <w:rFonts w:asciiTheme="minorHAnsi" w:hAnsiTheme="minorHAnsi"/>
        </w:rPr>
        <w:t>diagnosis and uptake rates</w:t>
      </w:r>
      <w:r w:rsidR="00F635A2">
        <w:rPr>
          <w:rFonts w:asciiTheme="minorHAnsi" w:hAnsiTheme="minorHAnsi"/>
        </w:rPr>
        <w:t>;</w:t>
      </w:r>
      <w:r w:rsidRPr="00F471D7">
        <w:rPr>
          <w:rFonts w:asciiTheme="minorHAnsi" w:hAnsiTheme="minorHAnsi"/>
        </w:rPr>
        <w:t xml:space="preserve"> </w:t>
      </w:r>
      <w:r w:rsidR="005F60D3" w:rsidRPr="00F471D7">
        <w:rPr>
          <w:rFonts w:asciiTheme="minorHAnsi" w:hAnsiTheme="minorHAnsi"/>
        </w:rPr>
        <w:t xml:space="preserve">(iii) </w:t>
      </w:r>
      <w:r w:rsidRPr="00F471D7">
        <w:rPr>
          <w:rFonts w:asciiTheme="minorHAnsi" w:hAnsiTheme="minorHAnsi"/>
        </w:rPr>
        <w:t>variations in the ages (and weights) of patients who are likely to be treated</w:t>
      </w:r>
      <w:r w:rsidR="00F635A2">
        <w:rPr>
          <w:rFonts w:asciiTheme="minorHAnsi" w:hAnsiTheme="minorHAnsi"/>
        </w:rPr>
        <w:t>;</w:t>
      </w:r>
      <w:r w:rsidRPr="00F471D7">
        <w:rPr>
          <w:rFonts w:asciiTheme="minorHAnsi" w:hAnsiTheme="minorHAnsi"/>
        </w:rPr>
        <w:t xml:space="preserve"> and </w:t>
      </w:r>
      <w:r w:rsidR="00F635A2">
        <w:rPr>
          <w:rFonts w:asciiTheme="minorHAnsi" w:hAnsiTheme="minorHAnsi"/>
        </w:rPr>
        <w:t xml:space="preserve">(iv) </w:t>
      </w:r>
      <w:r w:rsidRPr="00F471D7">
        <w:rPr>
          <w:rFonts w:asciiTheme="minorHAnsi" w:hAnsiTheme="minorHAnsi"/>
        </w:rPr>
        <w:t>the potential for use beyond the restriction with the subjective requirements for establishing paediatric-onset HPP.</w:t>
      </w:r>
      <w:r w:rsidR="0055382A">
        <w:rPr>
          <w:rFonts w:asciiTheme="minorHAnsi" w:hAnsiTheme="minorHAnsi"/>
        </w:rPr>
        <w:t xml:space="preserve"> </w:t>
      </w:r>
      <w:r w:rsidR="00AE1568" w:rsidRPr="000E7B17">
        <w:rPr>
          <w:rFonts w:asciiTheme="minorHAnsi" w:hAnsiTheme="minorHAnsi"/>
        </w:rPr>
        <w:t>The PSCR</w:t>
      </w:r>
      <w:r w:rsidR="0046192F" w:rsidRPr="000E7B17">
        <w:rPr>
          <w:rFonts w:asciiTheme="minorHAnsi" w:hAnsiTheme="minorHAnsi"/>
        </w:rPr>
        <w:t xml:space="preserve"> (p4)</w:t>
      </w:r>
      <w:r w:rsidR="00AE1568" w:rsidRPr="000E7B17">
        <w:rPr>
          <w:rFonts w:asciiTheme="minorHAnsi" w:hAnsiTheme="minorHAnsi"/>
        </w:rPr>
        <w:t xml:space="preserve"> </w:t>
      </w:r>
      <w:r w:rsidR="00B7685F" w:rsidRPr="000E7B17">
        <w:rPr>
          <w:rFonts w:asciiTheme="minorHAnsi" w:hAnsiTheme="minorHAnsi"/>
        </w:rPr>
        <w:t xml:space="preserve">stated </w:t>
      </w:r>
      <w:r w:rsidR="00AE1568" w:rsidRPr="000E7B17">
        <w:rPr>
          <w:rFonts w:asciiTheme="minorHAnsi" w:hAnsiTheme="minorHAnsi"/>
        </w:rPr>
        <w:t xml:space="preserve">that the sponsor would be willing to negotiate an </w:t>
      </w:r>
      <w:r w:rsidR="00AE1568" w:rsidRPr="00845BC4">
        <w:rPr>
          <w:rFonts w:asciiTheme="minorHAnsi" w:hAnsiTheme="minorHAnsi"/>
        </w:rPr>
        <w:t xml:space="preserve">overall </w:t>
      </w:r>
      <w:r w:rsidR="0046192F" w:rsidRPr="00845BC4">
        <w:rPr>
          <w:rFonts w:asciiTheme="minorHAnsi" w:hAnsiTheme="minorHAnsi"/>
        </w:rPr>
        <w:t xml:space="preserve">financial cap, </w:t>
      </w:r>
      <w:r w:rsidR="0046192F" w:rsidRPr="006E409F">
        <w:rPr>
          <w:rFonts w:asciiTheme="minorHAnsi" w:hAnsiTheme="minorHAnsi"/>
        </w:rPr>
        <w:t xml:space="preserve">in addition to </w:t>
      </w:r>
      <w:r w:rsidR="0046192F" w:rsidRPr="00845BC4">
        <w:rPr>
          <w:rFonts w:asciiTheme="minorHAnsi" w:hAnsiTheme="minorHAnsi"/>
        </w:rPr>
        <w:t>the proposed per patient cap</w:t>
      </w:r>
      <w:r w:rsidR="00AE1568" w:rsidRPr="00845BC4">
        <w:rPr>
          <w:rFonts w:asciiTheme="minorHAnsi" w:hAnsiTheme="minorHAnsi"/>
        </w:rPr>
        <w:t>.</w:t>
      </w:r>
    </w:p>
    <w:p w:rsidR="0070231C" w:rsidRPr="0046192F" w:rsidRDefault="00BF1E8B" w:rsidP="005123EA">
      <w:pPr>
        <w:widowControl/>
        <w:ind w:firstLine="567"/>
        <w:rPr>
          <w:rFonts w:asciiTheme="minorHAnsi" w:hAnsiTheme="minorHAnsi"/>
          <w:sz w:val="24"/>
          <w:szCs w:val="24"/>
        </w:rPr>
      </w:pPr>
      <w:r w:rsidRPr="00BF1E8B">
        <w:rPr>
          <w:rFonts w:asciiTheme="minorHAnsi" w:hAnsiTheme="minorHAnsi"/>
          <w:i/>
          <w:sz w:val="24"/>
          <w:szCs w:val="24"/>
        </w:rPr>
        <w:t>For more detail on PBAC’s view, see section 7 “PBAC outcome.”</w:t>
      </w:r>
    </w:p>
    <w:p w:rsidR="008D1772" w:rsidRPr="00773708" w:rsidRDefault="008D1772" w:rsidP="005123EA">
      <w:pPr>
        <w:pStyle w:val="Heading1"/>
        <w:ind w:left="567" w:hanging="567"/>
      </w:pPr>
      <w:r w:rsidRPr="00773708">
        <w:t>PBAC Outcome</w:t>
      </w:r>
    </w:p>
    <w:p w:rsidR="008D1772" w:rsidRPr="00CF1966" w:rsidRDefault="008D1772" w:rsidP="00E22521">
      <w:pPr>
        <w:pStyle w:val="ListParagraph"/>
        <w:widowControl/>
        <w:numPr>
          <w:ilvl w:val="1"/>
          <w:numId w:val="19"/>
        </w:numPr>
        <w:ind w:left="567" w:hanging="567"/>
        <w:contextualSpacing w:val="0"/>
        <w:rPr>
          <w:rFonts w:asciiTheme="minorHAnsi" w:hAnsiTheme="minorHAnsi"/>
          <w:bCs/>
          <w:szCs w:val="24"/>
          <w:lang w:val="en-GB"/>
        </w:rPr>
      </w:pPr>
      <w:r w:rsidRPr="005F7A5C">
        <w:rPr>
          <w:lang w:val="en-GB"/>
        </w:rPr>
        <w:t xml:space="preserve">The PBAC </w:t>
      </w:r>
      <w:r w:rsidR="00A20BA3" w:rsidRPr="005F7A5C">
        <w:rPr>
          <w:lang w:val="en-GB"/>
        </w:rPr>
        <w:t xml:space="preserve">did not </w:t>
      </w:r>
      <w:r w:rsidRPr="005F7A5C">
        <w:rPr>
          <w:lang w:val="en-GB"/>
        </w:rPr>
        <w:t>recommend the</w:t>
      </w:r>
      <w:r w:rsidR="00F635A2" w:rsidRPr="005F7A5C">
        <w:rPr>
          <w:lang w:val="en-GB"/>
        </w:rPr>
        <w:t xml:space="preserve"> requested</w:t>
      </w:r>
      <w:r w:rsidRPr="005F7A5C">
        <w:rPr>
          <w:lang w:val="en-GB"/>
        </w:rPr>
        <w:t xml:space="preserve"> </w:t>
      </w:r>
      <w:r w:rsidR="00F635A2" w:rsidRPr="005F7A5C">
        <w:rPr>
          <w:lang w:val="en-GB"/>
        </w:rPr>
        <w:t xml:space="preserve">Section 100 (Highly Specialised Drugs Program) </w:t>
      </w:r>
      <w:r w:rsidRPr="005F7A5C">
        <w:rPr>
          <w:lang w:val="en-GB"/>
        </w:rPr>
        <w:t xml:space="preserve">listing of </w:t>
      </w:r>
      <w:proofErr w:type="spellStart"/>
      <w:r w:rsidR="00A20BA3" w:rsidRPr="005F7A5C">
        <w:rPr>
          <w:lang w:val="en-GB"/>
        </w:rPr>
        <w:t>asfotase</w:t>
      </w:r>
      <w:proofErr w:type="spellEnd"/>
      <w:r w:rsidR="00A20BA3" w:rsidRPr="005F7A5C">
        <w:rPr>
          <w:lang w:val="en-GB"/>
        </w:rPr>
        <w:t xml:space="preserve"> alfa </w:t>
      </w:r>
      <w:proofErr w:type="spellStart"/>
      <w:r w:rsidR="00A20BA3" w:rsidRPr="005F7A5C">
        <w:rPr>
          <w:i/>
          <w:lang w:val="en-GB"/>
        </w:rPr>
        <w:t>rch</w:t>
      </w:r>
      <w:proofErr w:type="spellEnd"/>
      <w:r w:rsidR="00265BF9" w:rsidRPr="005F7A5C">
        <w:rPr>
          <w:i/>
          <w:lang w:val="en-GB"/>
        </w:rPr>
        <w:t xml:space="preserve"> </w:t>
      </w:r>
      <w:r w:rsidR="00A20BA3" w:rsidRPr="005F7A5C">
        <w:rPr>
          <w:lang w:val="en-GB"/>
        </w:rPr>
        <w:t xml:space="preserve">for the treatment of </w:t>
      </w:r>
      <w:r w:rsidR="00F635A2" w:rsidRPr="005F7A5C">
        <w:rPr>
          <w:lang w:val="en-GB"/>
        </w:rPr>
        <w:t xml:space="preserve">patients with </w:t>
      </w:r>
      <w:r w:rsidR="00A20BA3" w:rsidRPr="005F7A5C">
        <w:rPr>
          <w:lang w:val="en-GB"/>
        </w:rPr>
        <w:t>paediatric</w:t>
      </w:r>
      <w:r w:rsidR="00F635A2" w:rsidRPr="005F7A5C">
        <w:rPr>
          <w:lang w:val="en-GB"/>
        </w:rPr>
        <w:t>-</w:t>
      </w:r>
      <w:r w:rsidR="00A20BA3" w:rsidRPr="005F7A5C">
        <w:rPr>
          <w:lang w:val="en-GB"/>
        </w:rPr>
        <w:t xml:space="preserve">onset </w:t>
      </w:r>
      <w:r w:rsidR="004C1C37" w:rsidRPr="005F7A5C">
        <w:rPr>
          <w:lang w:val="en-GB"/>
        </w:rPr>
        <w:t>HPP</w:t>
      </w:r>
      <w:r w:rsidR="00BD0B2F" w:rsidRPr="005F7A5C">
        <w:rPr>
          <w:lang w:val="en-GB"/>
        </w:rPr>
        <w:t>.</w:t>
      </w:r>
      <w:r w:rsidR="00F635A2" w:rsidRPr="005F7A5C">
        <w:rPr>
          <w:lang w:val="en-GB"/>
        </w:rPr>
        <w:t xml:space="preserve"> The PBAC accepted that there is likely to be a survival benefit associated with treatment with </w:t>
      </w:r>
      <w:proofErr w:type="spellStart"/>
      <w:r w:rsidR="00F635A2" w:rsidRPr="005F7A5C">
        <w:rPr>
          <w:lang w:val="en-GB"/>
        </w:rPr>
        <w:t>asfotase</w:t>
      </w:r>
      <w:proofErr w:type="spellEnd"/>
      <w:r w:rsidR="00F635A2" w:rsidRPr="005F7A5C">
        <w:rPr>
          <w:lang w:val="en-GB"/>
        </w:rPr>
        <w:t xml:space="preserve"> alfa </w:t>
      </w:r>
      <w:proofErr w:type="spellStart"/>
      <w:r w:rsidR="00F635A2" w:rsidRPr="00BA0EAD">
        <w:rPr>
          <w:i/>
          <w:lang w:val="en-GB"/>
        </w:rPr>
        <w:t>rch</w:t>
      </w:r>
      <w:proofErr w:type="spellEnd"/>
      <w:r w:rsidR="00F635A2" w:rsidRPr="005F7A5C">
        <w:rPr>
          <w:lang w:val="en-GB"/>
        </w:rPr>
        <w:t xml:space="preserve"> for children with perinatal- or infantile-onset (i.e. up to 6 months of age) HPP</w:t>
      </w:r>
      <w:r w:rsidR="00F12020">
        <w:rPr>
          <w:lang w:val="en-GB"/>
        </w:rPr>
        <w:t xml:space="preserve"> </w:t>
      </w:r>
      <w:r w:rsidR="00F12020" w:rsidRPr="00F471D7">
        <w:rPr>
          <w:szCs w:val="22"/>
        </w:rPr>
        <w:t>who were at high risk of premature death (as defined by the presence of respiratory compromise, vitamin B</w:t>
      </w:r>
      <w:r w:rsidR="00F12020" w:rsidRPr="00FE3855">
        <w:rPr>
          <w:szCs w:val="22"/>
        </w:rPr>
        <w:t>6</w:t>
      </w:r>
      <w:r w:rsidR="00F12020" w:rsidRPr="00F471D7">
        <w:rPr>
          <w:szCs w:val="22"/>
        </w:rPr>
        <w:t xml:space="preserve"> responsive seizures and/or rachitic chest deformity)</w:t>
      </w:r>
      <w:r w:rsidR="00F635A2" w:rsidRPr="005F7A5C">
        <w:rPr>
          <w:lang w:val="en-GB"/>
        </w:rPr>
        <w:t>. However, the PBAC considered that the claim of superior comparative effectiveness in the broader paediatric-</w:t>
      </w:r>
      <w:r w:rsidR="003273E4">
        <w:rPr>
          <w:lang w:val="en-GB"/>
        </w:rPr>
        <w:t>onset population (i.e. up to 18 </w:t>
      </w:r>
      <w:r w:rsidR="00F635A2" w:rsidRPr="005F7A5C">
        <w:rPr>
          <w:lang w:val="en-GB"/>
        </w:rPr>
        <w:t xml:space="preserve">years of age) was not adequately supported by the submission. The PBAC considered that the submission presented a </w:t>
      </w:r>
      <w:r w:rsidR="00C91975">
        <w:rPr>
          <w:lang w:val="en-GB"/>
        </w:rPr>
        <w:t xml:space="preserve">high and </w:t>
      </w:r>
      <w:r w:rsidR="00F635A2" w:rsidRPr="005F7A5C">
        <w:rPr>
          <w:lang w:val="en-GB"/>
        </w:rPr>
        <w:t xml:space="preserve">very uncertain </w:t>
      </w:r>
      <w:r w:rsidR="005B15C8">
        <w:rPr>
          <w:lang w:val="en-GB"/>
        </w:rPr>
        <w:t>ICER</w:t>
      </w:r>
      <w:r w:rsidR="00D54FE3">
        <w:rPr>
          <w:lang w:val="en-GB"/>
        </w:rPr>
        <w:t xml:space="preserve">, </w:t>
      </w:r>
      <w:r w:rsidR="00C91975">
        <w:rPr>
          <w:lang w:val="en-GB"/>
        </w:rPr>
        <w:t xml:space="preserve">especially in the group of patients in whom no benefit of life extension is claimed (in those other than the perinatal and infantile types). </w:t>
      </w:r>
      <w:r w:rsidR="00D54FE3">
        <w:rPr>
          <w:lang w:val="en-GB"/>
        </w:rPr>
        <w:t>The PBAC also considered</w:t>
      </w:r>
      <w:r w:rsidR="00F635A2" w:rsidRPr="005F7A5C">
        <w:rPr>
          <w:lang w:val="en-GB"/>
        </w:rPr>
        <w:t xml:space="preserve"> there was substantial uncertainty around the size of the patient population and financial </w:t>
      </w:r>
      <w:r w:rsidR="00F635A2" w:rsidRPr="00CF1966">
        <w:rPr>
          <w:rFonts w:asciiTheme="minorHAnsi" w:hAnsiTheme="minorHAnsi"/>
          <w:bCs/>
          <w:szCs w:val="24"/>
          <w:lang w:val="en-GB"/>
        </w:rPr>
        <w:t>estimates</w:t>
      </w:r>
      <w:r w:rsidR="00D54FE3">
        <w:rPr>
          <w:rFonts w:asciiTheme="minorHAnsi" w:hAnsiTheme="minorHAnsi"/>
          <w:bCs/>
          <w:szCs w:val="24"/>
          <w:lang w:val="en-GB"/>
        </w:rPr>
        <w:t>, and that both were likely to be considerably higher than estimated by the submission</w:t>
      </w:r>
      <w:r w:rsidR="00C91975">
        <w:rPr>
          <w:rFonts w:asciiTheme="minorHAnsi" w:hAnsiTheme="minorHAnsi"/>
          <w:bCs/>
          <w:szCs w:val="24"/>
          <w:lang w:val="en-GB"/>
        </w:rPr>
        <w:t>,</w:t>
      </w:r>
      <w:r w:rsidR="00C91975" w:rsidRPr="00C91975">
        <w:t xml:space="preserve"> </w:t>
      </w:r>
      <w:r w:rsidR="00C91975" w:rsidRPr="00C91975">
        <w:rPr>
          <w:rFonts w:asciiTheme="minorHAnsi" w:hAnsiTheme="minorHAnsi"/>
          <w:bCs/>
          <w:szCs w:val="24"/>
          <w:lang w:val="en-GB"/>
        </w:rPr>
        <w:t xml:space="preserve">again mostly due the milder forms of the disease where a population prevalence of 1:6000 may be possible. </w:t>
      </w:r>
    </w:p>
    <w:p w:rsidR="002258C5" w:rsidRPr="00FE13B7" w:rsidRDefault="00CF1966" w:rsidP="001A7613">
      <w:pPr>
        <w:widowControl/>
        <w:numPr>
          <w:ilvl w:val="1"/>
          <w:numId w:val="1"/>
        </w:numPr>
        <w:spacing w:after="120"/>
        <w:ind w:left="567" w:hanging="567"/>
        <w:rPr>
          <w:rFonts w:asciiTheme="minorHAnsi" w:hAnsiTheme="minorHAnsi"/>
          <w:bCs/>
          <w:sz w:val="24"/>
          <w:szCs w:val="24"/>
          <w:lang w:val="en-GB"/>
        </w:rPr>
      </w:pPr>
      <w:r w:rsidRPr="00FE13B7">
        <w:rPr>
          <w:rFonts w:asciiTheme="minorHAnsi" w:hAnsiTheme="minorHAnsi"/>
          <w:bCs/>
          <w:sz w:val="24"/>
          <w:szCs w:val="24"/>
          <w:lang w:val="en-GB"/>
        </w:rPr>
        <w:t xml:space="preserve">The PBAC acknowledged the consumer comments received, both from people living with the condition and on behalf of patients and their carers. In addition, representatives of the PBAC met with Soft Bones Australia prior to the PBAC meeting to discuss the clinical place and potential benefits of </w:t>
      </w:r>
      <w:proofErr w:type="spellStart"/>
      <w:r w:rsidRPr="00FE13B7">
        <w:rPr>
          <w:rFonts w:asciiTheme="minorHAnsi" w:hAnsiTheme="minorHAnsi"/>
          <w:bCs/>
          <w:sz w:val="24"/>
          <w:szCs w:val="24"/>
          <w:lang w:val="en-GB"/>
        </w:rPr>
        <w:t>asfotase</w:t>
      </w:r>
      <w:bookmarkStart w:id="63" w:name="_GoBack"/>
      <w:bookmarkEnd w:id="63"/>
      <w:proofErr w:type="spellEnd"/>
      <w:r w:rsidRPr="00FE13B7">
        <w:rPr>
          <w:rFonts w:asciiTheme="minorHAnsi" w:hAnsiTheme="minorHAnsi"/>
          <w:bCs/>
          <w:sz w:val="24"/>
          <w:szCs w:val="24"/>
          <w:lang w:val="en-GB"/>
        </w:rPr>
        <w:t xml:space="preserve"> alfa </w:t>
      </w:r>
      <w:proofErr w:type="spellStart"/>
      <w:r w:rsidRPr="00FE13B7">
        <w:rPr>
          <w:rFonts w:asciiTheme="minorHAnsi" w:hAnsiTheme="minorHAnsi"/>
          <w:bCs/>
          <w:i/>
          <w:sz w:val="24"/>
          <w:szCs w:val="24"/>
          <w:lang w:val="en-GB"/>
        </w:rPr>
        <w:t>rch</w:t>
      </w:r>
      <w:proofErr w:type="spellEnd"/>
      <w:r w:rsidRPr="00FE13B7">
        <w:rPr>
          <w:rFonts w:asciiTheme="minorHAnsi" w:hAnsiTheme="minorHAnsi"/>
          <w:bCs/>
          <w:sz w:val="24"/>
          <w:szCs w:val="24"/>
          <w:lang w:val="en-GB"/>
        </w:rPr>
        <w:t xml:space="preserve"> for the requested patient population.</w:t>
      </w:r>
      <w:r w:rsidR="001A7613" w:rsidRPr="00FE13B7">
        <w:rPr>
          <w:rFonts w:asciiTheme="minorHAnsi" w:hAnsiTheme="minorHAnsi"/>
          <w:bCs/>
          <w:sz w:val="24"/>
          <w:szCs w:val="24"/>
          <w:lang w:val="en-GB"/>
        </w:rPr>
        <w:t xml:space="preserve"> </w:t>
      </w:r>
      <w:r w:rsidR="002258C5" w:rsidRPr="00FE13B7">
        <w:rPr>
          <w:rFonts w:asciiTheme="minorHAnsi" w:hAnsiTheme="minorHAnsi"/>
          <w:bCs/>
          <w:sz w:val="24"/>
          <w:szCs w:val="24"/>
          <w:lang w:val="en-GB"/>
        </w:rPr>
        <w:t>The PBAC noted that the consumer</w:t>
      </w:r>
      <w:r w:rsidR="002258C5" w:rsidRPr="00FE13B7">
        <w:rPr>
          <w:sz w:val="24"/>
          <w:szCs w:val="24"/>
        </w:rPr>
        <w:t xml:space="preserve"> </w:t>
      </w:r>
      <w:r w:rsidR="002258C5" w:rsidRPr="00FE13B7">
        <w:rPr>
          <w:rFonts w:asciiTheme="minorHAnsi" w:hAnsiTheme="minorHAnsi"/>
          <w:bCs/>
          <w:sz w:val="24"/>
          <w:szCs w:val="24"/>
          <w:lang w:val="en-GB"/>
        </w:rPr>
        <w:t xml:space="preserve">comments indicated that subsidised access to </w:t>
      </w:r>
      <w:proofErr w:type="spellStart"/>
      <w:r w:rsidR="002258C5" w:rsidRPr="00FE13B7">
        <w:rPr>
          <w:rFonts w:asciiTheme="minorHAnsi" w:hAnsiTheme="minorHAnsi"/>
          <w:bCs/>
          <w:sz w:val="24"/>
          <w:szCs w:val="24"/>
          <w:lang w:val="en-GB"/>
        </w:rPr>
        <w:t>asfotase</w:t>
      </w:r>
      <w:proofErr w:type="spellEnd"/>
      <w:r w:rsidR="002258C5" w:rsidRPr="00FE13B7">
        <w:rPr>
          <w:rFonts w:asciiTheme="minorHAnsi" w:hAnsiTheme="minorHAnsi"/>
          <w:bCs/>
          <w:sz w:val="24"/>
          <w:szCs w:val="24"/>
          <w:lang w:val="en-GB"/>
        </w:rPr>
        <w:t xml:space="preserve"> alfa </w:t>
      </w:r>
      <w:proofErr w:type="spellStart"/>
      <w:r w:rsidR="002258C5" w:rsidRPr="00FE13B7">
        <w:rPr>
          <w:rFonts w:asciiTheme="minorHAnsi" w:hAnsiTheme="minorHAnsi"/>
          <w:bCs/>
          <w:i/>
          <w:sz w:val="24"/>
          <w:szCs w:val="24"/>
          <w:lang w:val="en-GB"/>
        </w:rPr>
        <w:t>rch</w:t>
      </w:r>
      <w:proofErr w:type="spellEnd"/>
      <w:r w:rsidR="002258C5" w:rsidRPr="00FE13B7">
        <w:rPr>
          <w:rFonts w:asciiTheme="minorHAnsi" w:hAnsiTheme="minorHAnsi"/>
          <w:bCs/>
          <w:sz w:val="24"/>
          <w:szCs w:val="24"/>
          <w:lang w:val="en-GB"/>
        </w:rPr>
        <w:t xml:space="preserve"> would be preferred for all forms of HPP, as opposed to just the requested population of paediatric-onset</w:t>
      </w:r>
      <w:r w:rsidR="00FE13B7">
        <w:rPr>
          <w:rFonts w:asciiTheme="minorHAnsi" w:hAnsiTheme="minorHAnsi"/>
          <w:bCs/>
          <w:sz w:val="24"/>
          <w:szCs w:val="24"/>
          <w:lang w:val="en-GB"/>
        </w:rPr>
        <w:t xml:space="preserve"> (although TGA approval is currently limited to paediatric-onset HPP)</w:t>
      </w:r>
      <w:r w:rsidR="002258C5" w:rsidRPr="00FE13B7">
        <w:rPr>
          <w:rFonts w:asciiTheme="minorHAnsi" w:hAnsiTheme="minorHAnsi"/>
          <w:bCs/>
          <w:sz w:val="24"/>
          <w:szCs w:val="24"/>
          <w:lang w:val="en-GB"/>
        </w:rPr>
        <w:t>.</w:t>
      </w:r>
    </w:p>
    <w:p w:rsidR="009D0259" w:rsidRPr="00041B28" w:rsidRDefault="003D7CAD" w:rsidP="001B444F">
      <w:pPr>
        <w:pStyle w:val="ListParagraph"/>
        <w:widowControl/>
        <w:numPr>
          <w:ilvl w:val="1"/>
          <w:numId w:val="19"/>
        </w:numPr>
        <w:ind w:left="567" w:hanging="567"/>
        <w:contextualSpacing w:val="0"/>
        <w:rPr>
          <w:lang w:val="en-GB"/>
        </w:rPr>
      </w:pPr>
      <w:r w:rsidRPr="00041B28">
        <w:rPr>
          <w:rFonts w:asciiTheme="minorHAnsi" w:hAnsiTheme="minorHAnsi"/>
          <w:bCs/>
          <w:szCs w:val="24"/>
          <w:lang w:val="en-GB"/>
        </w:rPr>
        <w:t xml:space="preserve">The PBAC recognised the potential clinical value of </w:t>
      </w:r>
      <w:proofErr w:type="spellStart"/>
      <w:r w:rsidRPr="00041B28">
        <w:rPr>
          <w:rFonts w:asciiTheme="minorHAnsi" w:hAnsiTheme="minorHAnsi"/>
          <w:szCs w:val="24"/>
          <w:lang w:val="en-GB"/>
        </w:rPr>
        <w:t>asfotase</w:t>
      </w:r>
      <w:proofErr w:type="spellEnd"/>
      <w:r w:rsidRPr="00041B28">
        <w:rPr>
          <w:rFonts w:asciiTheme="minorHAnsi" w:hAnsiTheme="minorHAnsi"/>
          <w:szCs w:val="24"/>
          <w:lang w:val="en-GB"/>
        </w:rPr>
        <w:t xml:space="preserve"> alfa </w:t>
      </w:r>
      <w:proofErr w:type="spellStart"/>
      <w:r w:rsidRPr="00041B28">
        <w:rPr>
          <w:rFonts w:asciiTheme="minorHAnsi" w:hAnsiTheme="minorHAnsi"/>
          <w:i/>
          <w:szCs w:val="24"/>
          <w:lang w:val="en-GB"/>
        </w:rPr>
        <w:t>rch</w:t>
      </w:r>
      <w:proofErr w:type="spellEnd"/>
      <w:r w:rsidRPr="00041B28">
        <w:rPr>
          <w:rFonts w:asciiTheme="minorHAnsi" w:hAnsiTheme="minorHAnsi"/>
          <w:i/>
          <w:szCs w:val="24"/>
          <w:lang w:val="en-GB"/>
        </w:rPr>
        <w:t xml:space="preserve"> </w:t>
      </w:r>
      <w:r w:rsidRPr="00041B28">
        <w:rPr>
          <w:rFonts w:asciiTheme="minorHAnsi" w:hAnsiTheme="minorHAnsi"/>
          <w:szCs w:val="24"/>
          <w:lang w:val="en-GB"/>
        </w:rPr>
        <w:t>in the treatment of HPP</w:t>
      </w:r>
      <w:r w:rsidR="003D3996" w:rsidRPr="00041B28">
        <w:rPr>
          <w:rFonts w:asciiTheme="minorHAnsi" w:hAnsiTheme="minorHAnsi"/>
          <w:bCs/>
          <w:szCs w:val="24"/>
          <w:lang w:val="en-GB"/>
        </w:rPr>
        <w:t xml:space="preserve"> which </w:t>
      </w:r>
      <w:r w:rsidRPr="00041B28">
        <w:rPr>
          <w:rFonts w:asciiTheme="minorHAnsi" w:hAnsiTheme="minorHAnsi"/>
          <w:bCs/>
          <w:szCs w:val="24"/>
          <w:lang w:val="en-GB"/>
        </w:rPr>
        <w:t>is a rare genetic disease resulting from decreased enzymatic activity of</w:t>
      </w:r>
      <w:r w:rsidRPr="00041B28">
        <w:t xml:space="preserve"> </w:t>
      </w:r>
      <w:r w:rsidR="00417539" w:rsidRPr="00041B28">
        <w:rPr>
          <w:rFonts w:asciiTheme="minorHAnsi" w:hAnsiTheme="minorHAnsi"/>
          <w:bCs/>
          <w:szCs w:val="24"/>
          <w:lang w:val="en-GB"/>
        </w:rPr>
        <w:t>TNSALP</w:t>
      </w:r>
      <w:r w:rsidR="00EC75E9" w:rsidRPr="00041B28">
        <w:rPr>
          <w:rFonts w:asciiTheme="minorHAnsi" w:hAnsiTheme="minorHAnsi"/>
          <w:bCs/>
          <w:szCs w:val="24"/>
          <w:lang w:val="en-GB"/>
        </w:rPr>
        <w:t xml:space="preserve"> and presents with significant </w:t>
      </w:r>
      <w:r w:rsidRPr="00041B28">
        <w:rPr>
          <w:rFonts w:asciiTheme="minorHAnsi" w:hAnsiTheme="minorHAnsi"/>
          <w:bCs/>
          <w:szCs w:val="24"/>
          <w:lang w:val="en-GB"/>
        </w:rPr>
        <w:t>heterogeneity in morbidity and mortality</w:t>
      </w:r>
      <w:r w:rsidR="00EC75E9" w:rsidRPr="00041B28">
        <w:rPr>
          <w:rFonts w:asciiTheme="minorHAnsi" w:hAnsiTheme="minorHAnsi"/>
          <w:bCs/>
          <w:szCs w:val="24"/>
          <w:lang w:val="en-GB"/>
        </w:rPr>
        <w:t>. The PBAC noted that while HPP is a genetic condition, symptoms such as skeletal deformity, chronic pain, muscle weakness and rickets can appear at any time from before birth to adulthood. T</w:t>
      </w:r>
      <w:r w:rsidRPr="00041B28">
        <w:rPr>
          <w:rFonts w:asciiTheme="minorHAnsi" w:hAnsiTheme="minorHAnsi"/>
          <w:bCs/>
          <w:szCs w:val="24"/>
          <w:lang w:val="en-GB"/>
        </w:rPr>
        <w:t>he most severe form</w:t>
      </w:r>
      <w:r w:rsidR="00417539" w:rsidRPr="00041B28">
        <w:rPr>
          <w:rFonts w:asciiTheme="minorHAnsi" w:hAnsiTheme="minorHAnsi"/>
          <w:bCs/>
          <w:szCs w:val="24"/>
          <w:lang w:val="en-GB"/>
        </w:rPr>
        <w:t xml:space="preserve"> of disease</w:t>
      </w:r>
      <w:r w:rsidRPr="00041B28">
        <w:rPr>
          <w:rFonts w:asciiTheme="minorHAnsi" w:hAnsiTheme="minorHAnsi"/>
          <w:bCs/>
          <w:szCs w:val="24"/>
          <w:lang w:val="en-GB"/>
        </w:rPr>
        <w:t xml:space="preserve"> </w:t>
      </w:r>
      <w:r w:rsidR="00EC75E9" w:rsidRPr="00041B28">
        <w:rPr>
          <w:rFonts w:asciiTheme="minorHAnsi" w:hAnsiTheme="minorHAnsi"/>
          <w:bCs/>
          <w:szCs w:val="24"/>
          <w:lang w:val="en-GB"/>
        </w:rPr>
        <w:t xml:space="preserve">presents </w:t>
      </w:r>
      <w:r w:rsidRPr="00041B28">
        <w:rPr>
          <w:rFonts w:asciiTheme="minorHAnsi" w:hAnsiTheme="minorHAnsi"/>
          <w:bCs/>
          <w:szCs w:val="24"/>
          <w:lang w:val="en-GB"/>
        </w:rPr>
        <w:t xml:space="preserve">in </w:t>
      </w:r>
      <w:r w:rsidR="00E02AD5" w:rsidRPr="00041B28">
        <w:rPr>
          <w:rFonts w:asciiTheme="minorHAnsi" w:hAnsiTheme="minorHAnsi"/>
          <w:bCs/>
          <w:szCs w:val="24"/>
          <w:lang w:val="en-GB"/>
        </w:rPr>
        <w:t>infants up to 6 months of age (perinatal- and infantile-onset)</w:t>
      </w:r>
      <w:r w:rsidR="00EC75E9" w:rsidRPr="00041B28">
        <w:rPr>
          <w:rFonts w:asciiTheme="minorHAnsi" w:hAnsiTheme="minorHAnsi"/>
          <w:bCs/>
          <w:szCs w:val="24"/>
          <w:lang w:val="en-GB"/>
        </w:rPr>
        <w:t>,</w:t>
      </w:r>
      <w:r w:rsidRPr="00041B28">
        <w:rPr>
          <w:rFonts w:asciiTheme="minorHAnsi" w:hAnsiTheme="minorHAnsi"/>
          <w:bCs/>
          <w:szCs w:val="24"/>
          <w:lang w:val="en-GB"/>
        </w:rPr>
        <w:t xml:space="preserve"> with</w:t>
      </w:r>
      <w:r w:rsidR="00417539" w:rsidRPr="00041B28">
        <w:rPr>
          <w:rFonts w:asciiTheme="minorHAnsi" w:hAnsiTheme="minorHAnsi"/>
          <w:bCs/>
          <w:szCs w:val="24"/>
          <w:lang w:val="en-GB"/>
        </w:rPr>
        <w:t xml:space="preserve"> increased risk of mortality</w:t>
      </w:r>
      <w:r w:rsidRPr="00041B28">
        <w:rPr>
          <w:rFonts w:asciiTheme="minorHAnsi" w:hAnsiTheme="minorHAnsi"/>
          <w:bCs/>
          <w:szCs w:val="24"/>
          <w:lang w:val="en-GB"/>
        </w:rPr>
        <w:t xml:space="preserve"> resulting from respiratory failure. </w:t>
      </w:r>
    </w:p>
    <w:p w:rsidR="008D1772" w:rsidRPr="009D0259" w:rsidRDefault="00EC75E9" w:rsidP="005123EA">
      <w:pPr>
        <w:pStyle w:val="ListParagraph"/>
        <w:widowControl/>
        <w:numPr>
          <w:ilvl w:val="1"/>
          <w:numId w:val="1"/>
        </w:numPr>
        <w:ind w:left="567" w:hanging="567"/>
        <w:contextualSpacing w:val="0"/>
        <w:rPr>
          <w:lang w:val="en-GB"/>
        </w:rPr>
      </w:pPr>
      <w:r w:rsidRPr="00041B28">
        <w:rPr>
          <w:rFonts w:asciiTheme="minorHAnsi" w:hAnsiTheme="minorHAnsi"/>
          <w:bCs/>
          <w:szCs w:val="24"/>
          <w:lang w:val="en-GB"/>
        </w:rPr>
        <w:t xml:space="preserve">The PBAC noted that diagnosis </w:t>
      </w:r>
      <w:r w:rsidR="009D0259" w:rsidRPr="00041B28">
        <w:rPr>
          <w:rFonts w:asciiTheme="minorHAnsi" w:hAnsiTheme="minorHAnsi"/>
          <w:bCs/>
          <w:szCs w:val="24"/>
          <w:lang w:val="en-GB"/>
        </w:rPr>
        <w:t xml:space="preserve">is based on family background, symptoms and blood test results and can be confirmed with genetic testing </w:t>
      </w:r>
      <w:r w:rsidR="00D372DD" w:rsidRPr="00041B28">
        <w:rPr>
          <w:rFonts w:asciiTheme="minorHAnsi" w:hAnsiTheme="minorHAnsi"/>
          <w:bCs/>
          <w:szCs w:val="24"/>
          <w:lang w:val="en-GB"/>
        </w:rPr>
        <w:t>(</w:t>
      </w:r>
      <w:r w:rsidR="009D0259" w:rsidRPr="00041B28">
        <w:rPr>
          <w:rFonts w:asciiTheme="minorHAnsi" w:hAnsiTheme="minorHAnsi"/>
          <w:bCs/>
          <w:szCs w:val="24"/>
          <w:lang w:val="en-GB"/>
        </w:rPr>
        <w:t>which can take several months</w:t>
      </w:r>
      <w:r w:rsidR="00D372DD" w:rsidRPr="00041B28">
        <w:rPr>
          <w:rFonts w:asciiTheme="minorHAnsi" w:hAnsiTheme="minorHAnsi"/>
          <w:bCs/>
          <w:szCs w:val="24"/>
          <w:lang w:val="en-GB"/>
        </w:rPr>
        <w:t>)</w:t>
      </w:r>
      <w:r w:rsidR="009D0259" w:rsidRPr="00041B28">
        <w:rPr>
          <w:rFonts w:asciiTheme="minorHAnsi" w:hAnsiTheme="minorHAnsi"/>
          <w:bCs/>
          <w:szCs w:val="24"/>
          <w:lang w:val="en-GB"/>
        </w:rPr>
        <w:t xml:space="preserve">. </w:t>
      </w:r>
      <w:r w:rsidRPr="00041B28">
        <w:rPr>
          <w:rFonts w:asciiTheme="minorHAnsi" w:hAnsiTheme="minorHAnsi"/>
          <w:bCs/>
          <w:szCs w:val="24"/>
          <w:lang w:val="en-GB"/>
        </w:rPr>
        <w:t xml:space="preserve">The PBAC noted the </w:t>
      </w:r>
      <w:r w:rsidR="00B853CE">
        <w:rPr>
          <w:rFonts w:asciiTheme="minorHAnsi" w:hAnsiTheme="minorHAnsi"/>
          <w:bCs/>
          <w:szCs w:val="24"/>
          <w:lang w:val="en-GB"/>
        </w:rPr>
        <w:t xml:space="preserve">potential </w:t>
      </w:r>
      <w:r w:rsidRPr="00041B28">
        <w:rPr>
          <w:rFonts w:asciiTheme="minorHAnsi" w:hAnsiTheme="minorHAnsi"/>
          <w:bCs/>
          <w:szCs w:val="24"/>
          <w:lang w:val="en-GB"/>
        </w:rPr>
        <w:t>difficulty in diagnosing the condition</w:t>
      </w:r>
      <w:r w:rsidR="00B853CE">
        <w:rPr>
          <w:rFonts w:asciiTheme="minorHAnsi" w:hAnsiTheme="minorHAnsi"/>
          <w:bCs/>
          <w:szCs w:val="24"/>
          <w:lang w:val="en-GB"/>
        </w:rPr>
        <w:t>, especially the milder forms,</w:t>
      </w:r>
      <w:r w:rsidRPr="00041B28">
        <w:rPr>
          <w:rFonts w:asciiTheme="minorHAnsi" w:hAnsiTheme="minorHAnsi"/>
          <w:bCs/>
          <w:szCs w:val="24"/>
          <w:lang w:val="en-GB"/>
        </w:rPr>
        <w:t xml:space="preserve"> due to the rarity of the disease and the range of symptoms that may present at various ages. </w:t>
      </w:r>
      <w:r w:rsidR="009D0259" w:rsidRPr="00041B28">
        <w:rPr>
          <w:rFonts w:asciiTheme="minorHAnsi" w:hAnsiTheme="minorHAnsi"/>
          <w:bCs/>
          <w:szCs w:val="24"/>
          <w:lang w:val="en-GB"/>
        </w:rPr>
        <w:t>Accordingly</w:t>
      </w:r>
      <w:r w:rsidRPr="00041B28">
        <w:rPr>
          <w:rFonts w:asciiTheme="minorHAnsi" w:hAnsiTheme="minorHAnsi"/>
          <w:bCs/>
          <w:szCs w:val="24"/>
          <w:lang w:val="en-GB"/>
        </w:rPr>
        <w:t xml:space="preserve">, the PBAC noted that age of onset will not necessarily be the same as </w:t>
      </w:r>
      <w:r w:rsidR="003D7CAD" w:rsidRPr="00041B28">
        <w:rPr>
          <w:rFonts w:asciiTheme="minorHAnsi" w:hAnsiTheme="minorHAnsi"/>
          <w:bCs/>
          <w:szCs w:val="24"/>
          <w:lang w:val="en-GB"/>
        </w:rPr>
        <w:t>the age at diagnosis</w:t>
      </w:r>
      <w:r w:rsidR="00D372DD" w:rsidRPr="00041B28">
        <w:rPr>
          <w:rFonts w:asciiTheme="minorHAnsi" w:hAnsiTheme="minorHAnsi"/>
          <w:bCs/>
          <w:szCs w:val="24"/>
          <w:lang w:val="en-GB"/>
        </w:rPr>
        <w:t>;</w:t>
      </w:r>
      <w:r w:rsidR="003D7CAD" w:rsidRPr="00041B28">
        <w:rPr>
          <w:rFonts w:asciiTheme="minorHAnsi" w:hAnsiTheme="minorHAnsi"/>
          <w:bCs/>
          <w:szCs w:val="24"/>
          <w:lang w:val="en-GB"/>
        </w:rPr>
        <w:t xml:space="preserve"> many</w:t>
      </w:r>
      <w:r w:rsidR="003D7CAD" w:rsidRPr="009D0259">
        <w:rPr>
          <w:rFonts w:asciiTheme="minorHAnsi" w:hAnsiTheme="minorHAnsi"/>
          <w:bCs/>
          <w:szCs w:val="24"/>
          <w:lang w:val="en-GB"/>
        </w:rPr>
        <w:t xml:space="preserve"> patients diagnosed as adults may have a history of symptoms throughout childhood</w:t>
      </w:r>
      <w:r w:rsidR="00D372DD">
        <w:rPr>
          <w:rFonts w:asciiTheme="minorHAnsi" w:hAnsiTheme="minorHAnsi"/>
          <w:bCs/>
          <w:szCs w:val="24"/>
          <w:lang w:val="en-GB"/>
        </w:rPr>
        <w:t xml:space="preserve"> and could potentially meet the criteria for subsidised treatment in the requested listing</w:t>
      </w:r>
      <w:r w:rsidR="003D7CAD" w:rsidRPr="009D0259">
        <w:rPr>
          <w:rFonts w:asciiTheme="minorHAnsi" w:hAnsiTheme="minorHAnsi"/>
          <w:bCs/>
          <w:szCs w:val="24"/>
          <w:lang w:val="en-GB"/>
        </w:rPr>
        <w:t>.</w:t>
      </w:r>
      <w:r w:rsidR="009D0259">
        <w:rPr>
          <w:rFonts w:asciiTheme="minorHAnsi" w:hAnsiTheme="minorHAnsi"/>
          <w:bCs/>
          <w:szCs w:val="24"/>
          <w:lang w:val="en-GB"/>
        </w:rPr>
        <w:t xml:space="preserve"> </w:t>
      </w:r>
      <w:r w:rsidR="004C1C37" w:rsidRPr="009D0259">
        <w:rPr>
          <w:lang w:val="en-GB"/>
        </w:rPr>
        <w:t xml:space="preserve">The PBAC </w:t>
      </w:r>
      <w:r w:rsidR="007F3086" w:rsidRPr="009D0259">
        <w:rPr>
          <w:lang w:val="en-GB"/>
        </w:rPr>
        <w:t xml:space="preserve">considered </w:t>
      </w:r>
      <w:r w:rsidR="004C1C37" w:rsidRPr="009D0259">
        <w:rPr>
          <w:lang w:val="en-GB"/>
        </w:rPr>
        <w:t>t</w:t>
      </w:r>
      <w:r w:rsidR="00E920DB" w:rsidRPr="009D0259">
        <w:rPr>
          <w:lang w:val="en-GB"/>
        </w:rPr>
        <w:t xml:space="preserve">he requested </w:t>
      </w:r>
      <w:r w:rsidR="00E27915">
        <w:rPr>
          <w:lang w:val="en-GB"/>
        </w:rPr>
        <w:t>listing</w:t>
      </w:r>
      <w:r w:rsidR="00E27915" w:rsidRPr="009D0259">
        <w:rPr>
          <w:lang w:val="en-GB"/>
        </w:rPr>
        <w:t xml:space="preserve"> </w:t>
      </w:r>
      <w:r w:rsidR="00E920DB" w:rsidRPr="009D0259">
        <w:rPr>
          <w:lang w:val="en-GB"/>
        </w:rPr>
        <w:t>was complex and</w:t>
      </w:r>
      <w:r w:rsidR="007F3086" w:rsidRPr="009D0259">
        <w:rPr>
          <w:lang w:val="en-GB"/>
        </w:rPr>
        <w:t xml:space="preserve"> consultation with rare diseases expert</w:t>
      </w:r>
      <w:r w:rsidR="001A7613">
        <w:rPr>
          <w:lang w:val="en-GB"/>
        </w:rPr>
        <w:t>s</w:t>
      </w:r>
      <w:r w:rsidR="007F3086" w:rsidRPr="009D0259">
        <w:rPr>
          <w:lang w:val="en-GB"/>
        </w:rPr>
        <w:t xml:space="preserve"> </w:t>
      </w:r>
      <w:r w:rsidR="002475E5" w:rsidRPr="009D0259">
        <w:rPr>
          <w:lang w:val="en-GB"/>
        </w:rPr>
        <w:t>would be required to develop a</w:t>
      </w:r>
      <w:r w:rsidR="00D372DD">
        <w:rPr>
          <w:lang w:val="en-GB"/>
        </w:rPr>
        <w:t xml:space="preserve"> suitable </w:t>
      </w:r>
      <w:r w:rsidR="002475E5" w:rsidRPr="009D0259">
        <w:rPr>
          <w:lang w:val="en-GB"/>
        </w:rPr>
        <w:t>restriction</w:t>
      </w:r>
      <w:r w:rsidR="009D0259">
        <w:rPr>
          <w:lang w:val="en-GB"/>
        </w:rPr>
        <w:t xml:space="preserve"> for </w:t>
      </w:r>
      <w:r w:rsidR="00E27915">
        <w:rPr>
          <w:lang w:val="en-GB"/>
        </w:rPr>
        <w:t xml:space="preserve">the </w:t>
      </w:r>
      <w:r w:rsidR="009D0259">
        <w:rPr>
          <w:lang w:val="en-GB"/>
        </w:rPr>
        <w:t>PBS</w:t>
      </w:r>
      <w:r w:rsidR="002475E5" w:rsidRPr="009D0259">
        <w:rPr>
          <w:lang w:val="en-GB"/>
        </w:rPr>
        <w:t>.</w:t>
      </w:r>
    </w:p>
    <w:p w:rsidR="008D1772" w:rsidRPr="009C7E7B" w:rsidRDefault="00151D01" w:rsidP="005123EA">
      <w:pPr>
        <w:pStyle w:val="ListParagraph"/>
        <w:widowControl/>
        <w:numPr>
          <w:ilvl w:val="1"/>
          <w:numId w:val="1"/>
        </w:numPr>
        <w:ind w:left="567" w:hanging="567"/>
        <w:contextualSpacing w:val="0"/>
        <w:rPr>
          <w:rFonts w:asciiTheme="minorHAnsi" w:hAnsiTheme="minorHAnsi"/>
          <w:bCs/>
          <w:szCs w:val="24"/>
          <w:lang w:val="en-GB"/>
        </w:rPr>
      </w:pPr>
      <w:r>
        <w:rPr>
          <w:rFonts w:asciiTheme="minorHAnsi" w:hAnsiTheme="minorHAnsi"/>
        </w:rPr>
        <w:t xml:space="preserve">The submission nominated BSC as the main comparator. </w:t>
      </w:r>
      <w:r w:rsidR="007B50D4" w:rsidRPr="002475E5">
        <w:rPr>
          <w:rFonts w:asciiTheme="minorHAnsi" w:hAnsiTheme="minorHAnsi"/>
          <w:bCs/>
          <w:szCs w:val="24"/>
          <w:lang w:val="en-GB"/>
        </w:rPr>
        <w:t xml:space="preserve">The </w:t>
      </w:r>
      <w:r w:rsidR="007B50D4" w:rsidRPr="009C7E7B">
        <w:rPr>
          <w:rFonts w:asciiTheme="minorHAnsi" w:hAnsiTheme="minorHAnsi"/>
          <w:bCs/>
          <w:szCs w:val="24"/>
          <w:lang w:val="en-GB"/>
        </w:rPr>
        <w:t xml:space="preserve">PBAC </w:t>
      </w:r>
      <w:r w:rsidR="00D10186" w:rsidRPr="009C7E7B">
        <w:rPr>
          <w:rFonts w:asciiTheme="minorHAnsi" w:hAnsiTheme="minorHAnsi"/>
          <w:bCs/>
          <w:szCs w:val="24"/>
          <w:lang w:val="en-GB"/>
        </w:rPr>
        <w:t>considered</w:t>
      </w:r>
      <w:r w:rsidR="007B50D4" w:rsidRPr="009C7E7B">
        <w:rPr>
          <w:rFonts w:asciiTheme="minorHAnsi" w:hAnsiTheme="minorHAnsi"/>
          <w:bCs/>
          <w:szCs w:val="24"/>
          <w:lang w:val="en-GB"/>
        </w:rPr>
        <w:t xml:space="preserve"> that </w:t>
      </w:r>
      <w:r w:rsidRPr="009C7E7B">
        <w:rPr>
          <w:rFonts w:asciiTheme="minorHAnsi" w:hAnsiTheme="minorHAnsi"/>
          <w:bCs/>
          <w:szCs w:val="24"/>
          <w:lang w:val="en-GB"/>
        </w:rPr>
        <w:t>this was</w:t>
      </w:r>
      <w:r w:rsidR="007B50D4" w:rsidRPr="009C7E7B">
        <w:rPr>
          <w:rFonts w:asciiTheme="minorHAnsi" w:hAnsiTheme="minorHAnsi"/>
          <w:bCs/>
          <w:szCs w:val="24"/>
          <w:lang w:val="en-GB"/>
        </w:rPr>
        <w:t xml:space="preserve"> appropriate.</w:t>
      </w:r>
    </w:p>
    <w:p w:rsidR="00401F09" w:rsidRDefault="0010701A" w:rsidP="005123EA">
      <w:pPr>
        <w:widowControl/>
        <w:numPr>
          <w:ilvl w:val="1"/>
          <w:numId w:val="1"/>
        </w:numPr>
        <w:spacing w:after="120"/>
        <w:ind w:left="567" w:hanging="567"/>
        <w:rPr>
          <w:rFonts w:asciiTheme="minorHAnsi" w:hAnsiTheme="minorHAnsi"/>
          <w:bCs/>
          <w:sz w:val="24"/>
          <w:szCs w:val="24"/>
          <w:lang w:val="en-GB"/>
        </w:rPr>
      </w:pPr>
      <w:r w:rsidRPr="009C7E7B">
        <w:rPr>
          <w:rFonts w:asciiTheme="minorHAnsi" w:hAnsiTheme="minorHAnsi"/>
          <w:bCs/>
          <w:sz w:val="24"/>
          <w:szCs w:val="24"/>
          <w:lang w:val="en-GB"/>
        </w:rPr>
        <w:t xml:space="preserve">The PBAC </w:t>
      </w:r>
      <w:r w:rsidR="00887F60" w:rsidRPr="009C7E7B">
        <w:rPr>
          <w:rFonts w:asciiTheme="minorHAnsi" w:hAnsiTheme="minorHAnsi"/>
          <w:bCs/>
          <w:sz w:val="24"/>
          <w:szCs w:val="24"/>
          <w:lang w:val="en-GB"/>
        </w:rPr>
        <w:t xml:space="preserve">noted </w:t>
      </w:r>
      <w:r w:rsidR="009916D5" w:rsidRPr="009C7E7B">
        <w:rPr>
          <w:rFonts w:asciiTheme="minorHAnsi" w:hAnsiTheme="minorHAnsi"/>
          <w:bCs/>
          <w:sz w:val="24"/>
          <w:szCs w:val="24"/>
          <w:lang w:val="en-GB"/>
        </w:rPr>
        <w:t xml:space="preserve">that the submission </w:t>
      </w:r>
      <w:r w:rsidR="00041F27" w:rsidRPr="009C7E7B">
        <w:rPr>
          <w:rFonts w:asciiTheme="minorHAnsi" w:hAnsiTheme="minorHAnsi"/>
          <w:bCs/>
          <w:sz w:val="24"/>
          <w:szCs w:val="24"/>
          <w:lang w:val="en-GB"/>
        </w:rPr>
        <w:t>was based on</w:t>
      </w:r>
      <w:r w:rsidR="00887F60" w:rsidRPr="009C7E7B">
        <w:rPr>
          <w:rFonts w:asciiTheme="minorHAnsi" w:hAnsiTheme="minorHAnsi"/>
          <w:bCs/>
          <w:sz w:val="24"/>
          <w:szCs w:val="24"/>
          <w:lang w:val="en-GB"/>
        </w:rPr>
        <w:t xml:space="preserve"> one </w:t>
      </w:r>
      <w:r w:rsidR="001F3A1A" w:rsidRPr="009C7E7B">
        <w:rPr>
          <w:rFonts w:asciiTheme="minorHAnsi" w:hAnsiTheme="minorHAnsi"/>
          <w:bCs/>
          <w:sz w:val="24"/>
          <w:szCs w:val="24"/>
          <w:lang w:val="en-GB"/>
        </w:rPr>
        <w:t>head</w:t>
      </w:r>
      <w:r w:rsidR="00063F7F" w:rsidRPr="009C7E7B">
        <w:rPr>
          <w:rFonts w:asciiTheme="minorHAnsi" w:hAnsiTheme="minorHAnsi"/>
          <w:bCs/>
          <w:sz w:val="24"/>
          <w:szCs w:val="24"/>
          <w:lang w:val="en-GB"/>
        </w:rPr>
        <w:t>-</w:t>
      </w:r>
      <w:r w:rsidR="001F3A1A" w:rsidRPr="009C7E7B">
        <w:rPr>
          <w:rFonts w:asciiTheme="minorHAnsi" w:hAnsiTheme="minorHAnsi"/>
          <w:bCs/>
          <w:sz w:val="24"/>
          <w:szCs w:val="24"/>
          <w:lang w:val="en-GB"/>
        </w:rPr>
        <w:t>to</w:t>
      </w:r>
      <w:r w:rsidR="00063F7F" w:rsidRPr="009C7E7B">
        <w:rPr>
          <w:rFonts w:asciiTheme="minorHAnsi" w:hAnsiTheme="minorHAnsi"/>
          <w:bCs/>
          <w:sz w:val="24"/>
          <w:szCs w:val="24"/>
          <w:lang w:val="en-GB"/>
        </w:rPr>
        <w:t>-</w:t>
      </w:r>
      <w:r w:rsidR="001F3A1A" w:rsidRPr="009C7E7B">
        <w:rPr>
          <w:rFonts w:asciiTheme="minorHAnsi" w:hAnsiTheme="minorHAnsi"/>
          <w:bCs/>
          <w:sz w:val="24"/>
          <w:szCs w:val="24"/>
          <w:lang w:val="en-GB"/>
        </w:rPr>
        <w:t xml:space="preserve">head </w:t>
      </w:r>
      <w:r w:rsidR="00887F60" w:rsidRPr="009C7E7B">
        <w:rPr>
          <w:rFonts w:asciiTheme="minorHAnsi" w:hAnsiTheme="minorHAnsi"/>
          <w:bCs/>
          <w:sz w:val="24"/>
          <w:szCs w:val="24"/>
          <w:lang w:val="en-GB"/>
        </w:rPr>
        <w:t xml:space="preserve">randomised trial comparing </w:t>
      </w:r>
      <w:proofErr w:type="spellStart"/>
      <w:r w:rsidR="00887F60" w:rsidRPr="009C7E7B">
        <w:rPr>
          <w:rFonts w:asciiTheme="minorHAnsi" w:hAnsiTheme="minorHAnsi"/>
          <w:bCs/>
          <w:sz w:val="24"/>
          <w:szCs w:val="24"/>
          <w:lang w:val="en-GB"/>
        </w:rPr>
        <w:t>asfotase</w:t>
      </w:r>
      <w:proofErr w:type="spellEnd"/>
      <w:r w:rsidR="00887F60" w:rsidRPr="009C7E7B">
        <w:rPr>
          <w:rFonts w:asciiTheme="minorHAnsi" w:hAnsiTheme="minorHAnsi"/>
          <w:bCs/>
          <w:sz w:val="24"/>
          <w:szCs w:val="24"/>
          <w:lang w:val="en-GB"/>
        </w:rPr>
        <w:t xml:space="preserve"> alfa</w:t>
      </w:r>
      <w:r w:rsidR="00BA0EAD">
        <w:rPr>
          <w:rFonts w:asciiTheme="minorHAnsi" w:hAnsiTheme="minorHAnsi"/>
          <w:bCs/>
          <w:sz w:val="24"/>
          <w:szCs w:val="24"/>
          <w:lang w:val="en-GB"/>
        </w:rPr>
        <w:t xml:space="preserve"> </w:t>
      </w:r>
      <w:proofErr w:type="spellStart"/>
      <w:r w:rsidR="00BA0EAD" w:rsidRPr="00BA0EAD">
        <w:rPr>
          <w:rFonts w:asciiTheme="minorHAnsi" w:hAnsiTheme="minorHAnsi"/>
          <w:bCs/>
          <w:i/>
          <w:sz w:val="24"/>
          <w:szCs w:val="24"/>
          <w:lang w:val="en-GB"/>
        </w:rPr>
        <w:t>rch</w:t>
      </w:r>
      <w:proofErr w:type="spellEnd"/>
      <w:r w:rsidR="00063F7F" w:rsidRPr="009C7E7B">
        <w:rPr>
          <w:rFonts w:asciiTheme="minorHAnsi" w:hAnsiTheme="minorHAnsi"/>
          <w:bCs/>
          <w:sz w:val="24"/>
          <w:szCs w:val="24"/>
          <w:lang w:val="en-GB"/>
        </w:rPr>
        <w:t xml:space="preserve"> (n=13)</w:t>
      </w:r>
      <w:r w:rsidR="00887F60" w:rsidRPr="009C7E7B">
        <w:rPr>
          <w:rFonts w:asciiTheme="minorHAnsi" w:hAnsiTheme="minorHAnsi"/>
          <w:bCs/>
          <w:sz w:val="24"/>
          <w:szCs w:val="24"/>
          <w:lang w:val="en-GB"/>
        </w:rPr>
        <w:t xml:space="preserve"> </w:t>
      </w:r>
      <w:r w:rsidR="00E93E15" w:rsidRPr="009C7E7B">
        <w:rPr>
          <w:rFonts w:asciiTheme="minorHAnsi" w:hAnsiTheme="minorHAnsi"/>
          <w:bCs/>
          <w:sz w:val="24"/>
          <w:szCs w:val="24"/>
          <w:lang w:val="en-GB"/>
        </w:rPr>
        <w:t xml:space="preserve">with </w:t>
      </w:r>
      <w:r w:rsidR="00887F60" w:rsidRPr="009C7E7B">
        <w:rPr>
          <w:rFonts w:asciiTheme="minorHAnsi" w:hAnsiTheme="minorHAnsi"/>
          <w:bCs/>
          <w:sz w:val="24"/>
          <w:szCs w:val="24"/>
          <w:lang w:val="en-GB"/>
        </w:rPr>
        <w:t>best supportive care</w:t>
      </w:r>
      <w:r w:rsidR="00063F7F" w:rsidRPr="009C7E7B">
        <w:rPr>
          <w:rFonts w:asciiTheme="minorHAnsi" w:hAnsiTheme="minorHAnsi"/>
          <w:bCs/>
          <w:sz w:val="24"/>
          <w:szCs w:val="24"/>
          <w:lang w:val="en-GB"/>
        </w:rPr>
        <w:t xml:space="preserve"> (n=6)</w:t>
      </w:r>
      <w:r w:rsidR="00251BF3">
        <w:rPr>
          <w:rFonts w:asciiTheme="minorHAnsi" w:hAnsiTheme="minorHAnsi"/>
          <w:bCs/>
          <w:sz w:val="24"/>
          <w:szCs w:val="24"/>
          <w:lang w:val="en-GB"/>
        </w:rPr>
        <w:t xml:space="preserve">, </w:t>
      </w:r>
      <w:r w:rsidR="00041F27" w:rsidRPr="009C7E7B">
        <w:rPr>
          <w:rFonts w:asciiTheme="minorHAnsi" w:hAnsiTheme="minorHAnsi"/>
          <w:bCs/>
          <w:sz w:val="24"/>
          <w:szCs w:val="24"/>
          <w:lang w:val="en-GB"/>
        </w:rPr>
        <w:t xml:space="preserve">five supplementary non-randomised </w:t>
      </w:r>
      <w:r w:rsidR="00401F09" w:rsidRPr="009C7E7B">
        <w:rPr>
          <w:rFonts w:asciiTheme="minorHAnsi" w:hAnsiTheme="minorHAnsi"/>
          <w:bCs/>
          <w:sz w:val="24"/>
          <w:szCs w:val="24"/>
          <w:lang w:val="en-GB"/>
        </w:rPr>
        <w:t>studies</w:t>
      </w:r>
      <w:r w:rsidR="009C7E7B">
        <w:rPr>
          <w:rFonts w:asciiTheme="minorHAnsi" w:hAnsiTheme="minorHAnsi"/>
          <w:bCs/>
          <w:sz w:val="24"/>
          <w:szCs w:val="24"/>
          <w:lang w:val="en-GB"/>
        </w:rPr>
        <w:t xml:space="preserve"> </w:t>
      </w:r>
      <w:r w:rsidR="00041F27" w:rsidRPr="009C7E7B">
        <w:rPr>
          <w:rFonts w:asciiTheme="minorHAnsi" w:hAnsiTheme="minorHAnsi"/>
          <w:bCs/>
          <w:sz w:val="24"/>
          <w:szCs w:val="24"/>
          <w:lang w:val="en-GB"/>
        </w:rPr>
        <w:t xml:space="preserve">and a retrospective epidemiological review of patients receiving BSC. </w:t>
      </w:r>
    </w:p>
    <w:p w:rsidR="00E73021" w:rsidRDefault="00E73021" w:rsidP="00E73021">
      <w:pPr>
        <w:widowControl/>
        <w:numPr>
          <w:ilvl w:val="1"/>
          <w:numId w:val="1"/>
        </w:numPr>
        <w:spacing w:after="120"/>
        <w:ind w:left="567" w:hanging="567"/>
        <w:rPr>
          <w:rFonts w:asciiTheme="minorHAnsi" w:hAnsiTheme="minorHAnsi"/>
          <w:bCs/>
          <w:sz w:val="24"/>
          <w:szCs w:val="24"/>
          <w:lang w:val="en-GB"/>
        </w:rPr>
      </w:pPr>
      <w:r w:rsidRPr="00B177F8">
        <w:rPr>
          <w:rFonts w:asciiTheme="minorHAnsi" w:hAnsiTheme="minorHAnsi"/>
          <w:bCs/>
          <w:sz w:val="24"/>
          <w:szCs w:val="24"/>
          <w:lang w:val="en-GB"/>
        </w:rPr>
        <w:t xml:space="preserve">The </w:t>
      </w:r>
      <w:r>
        <w:rPr>
          <w:rFonts w:asciiTheme="minorHAnsi" w:hAnsiTheme="minorHAnsi"/>
          <w:bCs/>
          <w:sz w:val="24"/>
          <w:szCs w:val="24"/>
          <w:lang w:val="en-GB"/>
        </w:rPr>
        <w:t>submission presented the results of a survival</w:t>
      </w:r>
      <w:r w:rsidRPr="00B177F8">
        <w:rPr>
          <w:rFonts w:asciiTheme="minorHAnsi" w:hAnsiTheme="minorHAnsi"/>
          <w:bCs/>
          <w:sz w:val="24"/>
          <w:szCs w:val="24"/>
          <w:lang w:val="en-GB"/>
        </w:rPr>
        <w:t xml:space="preserve"> analysis from three of the supplementary non-randomised studies</w:t>
      </w:r>
      <w:r>
        <w:rPr>
          <w:rFonts w:asciiTheme="minorHAnsi" w:hAnsiTheme="minorHAnsi"/>
          <w:bCs/>
          <w:sz w:val="24"/>
          <w:szCs w:val="24"/>
          <w:lang w:val="en-GB"/>
        </w:rPr>
        <w:t xml:space="preserve"> in patients with perinatal- and </w:t>
      </w:r>
      <w:r w:rsidRPr="00B177F8">
        <w:rPr>
          <w:rFonts w:asciiTheme="minorHAnsi" w:hAnsiTheme="minorHAnsi"/>
          <w:bCs/>
          <w:sz w:val="24"/>
          <w:szCs w:val="24"/>
          <w:lang w:val="en-GB"/>
        </w:rPr>
        <w:t>infantile-onset HPP who were at high risk of premature death</w:t>
      </w:r>
      <w:r>
        <w:rPr>
          <w:rFonts w:asciiTheme="minorHAnsi" w:hAnsiTheme="minorHAnsi"/>
          <w:bCs/>
          <w:sz w:val="24"/>
          <w:szCs w:val="24"/>
          <w:lang w:val="en-GB"/>
        </w:rPr>
        <w:t xml:space="preserve"> </w:t>
      </w:r>
      <w:r w:rsidRPr="00C70760">
        <w:rPr>
          <w:rFonts w:asciiTheme="minorHAnsi" w:hAnsiTheme="minorHAnsi"/>
          <w:bCs/>
          <w:sz w:val="24"/>
          <w:szCs w:val="24"/>
          <w:lang w:val="en-GB"/>
        </w:rPr>
        <w:t>(as defined by the presence of respiratory compromise, vitamin B6 responsive seizures and/or rachitic chest deformity)</w:t>
      </w:r>
      <w:r w:rsidRPr="00B177F8">
        <w:rPr>
          <w:rFonts w:asciiTheme="minorHAnsi" w:hAnsiTheme="minorHAnsi"/>
          <w:bCs/>
          <w:sz w:val="24"/>
          <w:szCs w:val="24"/>
          <w:lang w:val="en-GB"/>
        </w:rPr>
        <w:t xml:space="preserve">, compared </w:t>
      </w:r>
      <w:r>
        <w:rPr>
          <w:rFonts w:asciiTheme="minorHAnsi" w:hAnsiTheme="minorHAnsi"/>
          <w:bCs/>
          <w:sz w:val="24"/>
          <w:szCs w:val="24"/>
          <w:lang w:val="en-GB"/>
        </w:rPr>
        <w:t xml:space="preserve">with </w:t>
      </w:r>
      <w:r w:rsidRPr="00B177F8">
        <w:rPr>
          <w:rFonts w:asciiTheme="minorHAnsi" w:hAnsiTheme="minorHAnsi"/>
          <w:bCs/>
          <w:sz w:val="24"/>
          <w:szCs w:val="24"/>
          <w:lang w:val="en-GB"/>
        </w:rPr>
        <w:t>a matched control group from the retrospective epidemiological review of patients receiving BSC</w:t>
      </w:r>
      <w:r>
        <w:rPr>
          <w:rFonts w:asciiTheme="minorHAnsi" w:hAnsiTheme="minorHAnsi"/>
          <w:bCs/>
          <w:sz w:val="24"/>
          <w:szCs w:val="24"/>
          <w:lang w:val="en-GB"/>
        </w:rPr>
        <w:t>. Specifically, the submission showed:</w:t>
      </w:r>
    </w:p>
    <w:p w:rsidR="00E73021" w:rsidRPr="000768BA" w:rsidRDefault="00E73021" w:rsidP="00E73021">
      <w:pPr>
        <w:widowControl/>
        <w:numPr>
          <w:ilvl w:val="2"/>
          <w:numId w:val="1"/>
        </w:numPr>
        <w:spacing w:after="120"/>
        <w:ind w:left="851" w:hanging="284"/>
        <w:rPr>
          <w:rFonts w:asciiTheme="minorHAnsi" w:hAnsiTheme="minorHAnsi"/>
          <w:sz w:val="24"/>
          <w:szCs w:val="24"/>
        </w:rPr>
      </w:pPr>
      <w:r w:rsidRPr="00021712">
        <w:rPr>
          <w:rFonts w:asciiTheme="minorHAnsi" w:hAnsiTheme="minorHAnsi"/>
          <w:sz w:val="24"/>
          <w:szCs w:val="24"/>
        </w:rPr>
        <w:t xml:space="preserve">A death rate of </w:t>
      </w:r>
      <w:r w:rsidRPr="00BA0AD4">
        <w:rPr>
          <w:rFonts w:asciiTheme="minorHAnsi" w:hAnsiTheme="minorHAnsi"/>
          <w:sz w:val="24"/>
          <w:szCs w:val="24"/>
        </w:rPr>
        <w:t>8.8</w:t>
      </w:r>
      <w:r w:rsidRPr="000768BA">
        <w:rPr>
          <w:rFonts w:asciiTheme="minorHAnsi" w:hAnsiTheme="minorHAnsi"/>
          <w:sz w:val="24"/>
          <w:szCs w:val="24"/>
        </w:rPr>
        <w:t>% (</w:t>
      </w:r>
      <w:r w:rsidRPr="00BA0AD4">
        <w:rPr>
          <w:rFonts w:asciiTheme="minorHAnsi" w:hAnsiTheme="minorHAnsi"/>
          <w:sz w:val="24"/>
          <w:szCs w:val="24"/>
        </w:rPr>
        <w:t>6/68</w:t>
      </w:r>
      <w:r w:rsidRPr="000768BA">
        <w:rPr>
          <w:rFonts w:asciiTheme="minorHAnsi" w:hAnsiTheme="minorHAnsi"/>
          <w:sz w:val="24"/>
          <w:szCs w:val="24"/>
        </w:rPr>
        <w:t xml:space="preserve">) for patients in the </w:t>
      </w:r>
      <w:proofErr w:type="spellStart"/>
      <w:r w:rsidRPr="000768BA">
        <w:rPr>
          <w:rFonts w:asciiTheme="minorHAnsi" w:hAnsiTheme="minorHAnsi"/>
          <w:sz w:val="24"/>
          <w:szCs w:val="24"/>
        </w:rPr>
        <w:t>asfotase</w:t>
      </w:r>
      <w:proofErr w:type="spellEnd"/>
      <w:r w:rsidRPr="000768BA">
        <w:rPr>
          <w:rFonts w:asciiTheme="minorHAnsi" w:hAnsiTheme="minorHAnsi"/>
          <w:sz w:val="24"/>
          <w:szCs w:val="24"/>
        </w:rPr>
        <w:t xml:space="preserve"> alfa </w:t>
      </w:r>
      <w:proofErr w:type="spellStart"/>
      <w:r w:rsidRPr="000768BA">
        <w:rPr>
          <w:rFonts w:asciiTheme="minorHAnsi" w:hAnsiTheme="minorHAnsi"/>
          <w:i/>
          <w:sz w:val="24"/>
          <w:szCs w:val="24"/>
        </w:rPr>
        <w:t>rch</w:t>
      </w:r>
      <w:proofErr w:type="spellEnd"/>
      <w:r w:rsidRPr="000768BA">
        <w:rPr>
          <w:rFonts w:asciiTheme="minorHAnsi" w:hAnsiTheme="minorHAnsi"/>
          <w:sz w:val="24"/>
          <w:szCs w:val="24"/>
        </w:rPr>
        <w:t xml:space="preserve"> group compared to </w:t>
      </w:r>
      <w:r w:rsidRPr="00BA0AD4">
        <w:rPr>
          <w:rFonts w:asciiTheme="minorHAnsi" w:hAnsiTheme="minorHAnsi"/>
          <w:sz w:val="24"/>
          <w:szCs w:val="24"/>
        </w:rPr>
        <w:t>72.9</w:t>
      </w:r>
      <w:r w:rsidRPr="000768BA">
        <w:rPr>
          <w:rFonts w:asciiTheme="minorHAnsi" w:hAnsiTheme="minorHAnsi"/>
          <w:sz w:val="24"/>
          <w:szCs w:val="24"/>
        </w:rPr>
        <w:t>% (</w:t>
      </w:r>
      <w:r w:rsidRPr="00BA0AD4">
        <w:rPr>
          <w:rFonts w:asciiTheme="minorHAnsi" w:hAnsiTheme="minorHAnsi"/>
          <w:sz w:val="24"/>
          <w:szCs w:val="24"/>
        </w:rPr>
        <w:t>35/48</w:t>
      </w:r>
      <w:r w:rsidRPr="000768BA">
        <w:rPr>
          <w:rFonts w:asciiTheme="minorHAnsi" w:hAnsiTheme="minorHAnsi"/>
          <w:sz w:val="24"/>
          <w:szCs w:val="24"/>
        </w:rPr>
        <w:t>) in an untreated historical control group during the time period of evaluation (p≤</w:t>
      </w:r>
      <w:r w:rsidRPr="00BA0AD4">
        <w:rPr>
          <w:rFonts w:asciiTheme="minorHAnsi" w:hAnsiTheme="minorHAnsi"/>
          <w:sz w:val="24"/>
          <w:szCs w:val="24"/>
        </w:rPr>
        <w:t>0.0001</w:t>
      </w:r>
      <w:r w:rsidRPr="000768BA">
        <w:rPr>
          <w:rFonts w:asciiTheme="minorHAnsi" w:hAnsiTheme="minorHAnsi"/>
          <w:sz w:val="24"/>
          <w:szCs w:val="24"/>
        </w:rPr>
        <w:t xml:space="preserve">).  </w:t>
      </w:r>
    </w:p>
    <w:p w:rsidR="00E73021" w:rsidRPr="000768BA" w:rsidRDefault="00E73021" w:rsidP="00E73021">
      <w:pPr>
        <w:widowControl/>
        <w:numPr>
          <w:ilvl w:val="2"/>
          <w:numId w:val="1"/>
        </w:numPr>
        <w:spacing w:after="120"/>
        <w:ind w:left="851" w:hanging="284"/>
        <w:rPr>
          <w:rFonts w:asciiTheme="minorHAnsi" w:hAnsiTheme="minorHAnsi"/>
          <w:sz w:val="24"/>
          <w:szCs w:val="24"/>
        </w:rPr>
      </w:pPr>
      <w:r w:rsidRPr="000768BA">
        <w:rPr>
          <w:rFonts w:asciiTheme="minorHAnsi" w:hAnsiTheme="minorHAnsi"/>
          <w:sz w:val="24"/>
          <w:szCs w:val="24"/>
        </w:rPr>
        <w:t xml:space="preserve">Comparative death rates of </w:t>
      </w:r>
      <w:r w:rsidR="00551B2E">
        <w:rPr>
          <w:rFonts w:asciiTheme="minorHAnsi" w:hAnsiTheme="minorHAnsi"/>
          <w:noProof/>
          <w:color w:val="000000"/>
          <w:sz w:val="24"/>
          <w:szCs w:val="24"/>
          <w:highlight w:val="black"/>
        </w:rPr>
        <w:t>'''''''</w:t>
      </w:r>
      <w:r w:rsidRPr="000768BA">
        <w:rPr>
          <w:rFonts w:asciiTheme="minorHAnsi" w:hAnsiTheme="minorHAnsi"/>
          <w:sz w:val="24"/>
          <w:szCs w:val="24"/>
        </w:rPr>
        <w:t>% (</w:t>
      </w:r>
      <w:r w:rsidR="00551B2E">
        <w:rPr>
          <w:rFonts w:asciiTheme="minorHAnsi" w:hAnsiTheme="minorHAnsi"/>
          <w:noProof/>
          <w:color w:val="000000"/>
          <w:sz w:val="24"/>
          <w:szCs w:val="24"/>
          <w:highlight w:val="black"/>
        </w:rPr>
        <w:t>''''''''''</w:t>
      </w:r>
      <w:r w:rsidRPr="000768BA">
        <w:rPr>
          <w:rFonts w:asciiTheme="minorHAnsi" w:hAnsiTheme="minorHAnsi"/>
          <w:sz w:val="24"/>
          <w:szCs w:val="24"/>
        </w:rPr>
        <w:t xml:space="preserve">) versus </w:t>
      </w:r>
      <w:r w:rsidR="00551B2E">
        <w:rPr>
          <w:rFonts w:asciiTheme="minorHAnsi" w:hAnsiTheme="minorHAnsi"/>
          <w:noProof/>
          <w:color w:val="000000"/>
          <w:sz w:val="24"/>
          <w:szCs w:val="24"/>
          <w:highlight w:val="black"/>
        </w:rPr>
        <w:t>''''''''</w:t>
      </w:r>
      <w:r w:rsidRPr="000768BA">
        <w:rPr>
          <w:rFonts w:asciiTheme="minorHAnsi" w:hAnsiTheme="minorHAnsi"/>
          <w:sz w:val="24"/>
          <w:szCs w:val="24"/>
        </w:rPr>
        <w:t>% (</w:t>
      </w:r>
      <w:r w:rsidR="00551B2E">
        <w:rPr>
          <w:rFonts w:asciiTheme="minorHAnsi" w:hAnsiTheme="minorHAnsi"/>
          <w:noProof/>
          <w:color w:val="000000"/>
          <w:sz w:val="24"/>
          <w:szCs w:val="24"/>
          <w:highlight w:val="black"/>
        </w:rPr>
        <w:t>'''''''''''</w:t>
      </w:r>
      <w:r w:rsidRPr="000768BA">
        <w:rPr>
          <w:rFonts w:asciiTheme="minorHAnsi" w:hAnsiTheme="minorHAnsi"/>
          <w:sz w:val="24"/>
          <w:szCs w:val="24"/>
        </w:rPr>
        <w:t>) (p=</w:t>
      </w:r>
      <w:r w:rsidR="00551B2E">
        <w:rPr>
          <w:rFonts w:asciiTheme="minorHAnsi" w:hAnsiTheme="minorHAnsi"/>
          <w:noProof/>
          <w:color w:val="000000"/>
          <w:sz w:val="24"/>
          <w:szCs w:val="24"/>
          <w:highlight w:val="black"/>
        </w:rPr>
        <w:t>''''''''''''</w:t>
      </w:r>
      <w:r w:rsidRPr="000768BA">
        <w:rPr>
          <w:rFonts w:asciiTheme="minorHAnsi" w:hAnsiTheme="minorHAnsi"/>
          <w:sz w:val="24"/>
          <w:szCs w:val="24"/>
        </w:rPr>
        <w:t>) in a sensitivity analysis that adjusted the data to only include historical control patients diagnosed after the year 2000.</w:t>
      </w:r>
    </w:p>
    <w:p w:rsidR="00E73021" w:rsidRPr="000768BA" w:rsidRDefault="00E73021" w:rsidP="00E73021">
      <w:pPr>
        <w:widowControl/>
        <w:numPr>
          <w:ilvl w:val="2"/>
          <w:numId w:val="1"/>
        </w:numPr>
        <w:spacing w:after="120"/>
        <w:ind w:left="851" w:hanging="284"/>
        <w:rPr>
          <w:rFonts w:asciiTheme="minorHAnsi" w:hAnsiTheme="minorHAnsi"/>
          <w:sz w:val="24"/>
          <w:szCs w:val="24"/>
        </w:rPr>
      </w:pPr>
      <w:r w:rsidRPr="000768BA">
        <w:rPr>
          <w:rFonts w:asciiTheme="minorHAnsi" w:hAnsiTheme="minorHAnsi"/>
          <w:sz w:val="24"/>
          <w:szCs w:val="24"/>
        </w:rPr>
        <w:t xml:space="preserve">Comparative death rates </w:t>
      </w:r>
      <w:r w:rsidR="00551B2E">
        <w:rPr>
          <w:rFonts w:asciiTheme="minorHAnsi" w:hAnsiTheme="minorHAnsi"/>
          <w:noProof/>
          <w:color w:val="000000"/>
          <w:sz w:val="24"/>
          <w:szCs w:val="24"/>
          <w:highlight w:val="black"/>
        </w:rPr>
        <w:t>'''''''''''''''''''''''''''''''</w:t>
      </w:r>
      <w:r w:rsidR="00C324C2">
        <w:rPr>
          <w:rFonts w:asciiTheme="minorHAnsi" w:hAnsiTheme="minorHAnsi"/>
          <w:sz w:val="24"/>
          <w:szCs w:val="24"/>
        </w:rPr>
        <w:t xml:space="preserve">between </w:t>
      </w:r>
      <w:proofErr w:type="spellStart"/>
      <w:r w:rsidR="00C324C2">
        <w:rPr>
          <w:rFonts w:asciiTheme="minorHAnsi" w:hAnsiTheme="minorHAnsi"/>
          <w:sz w:val="24"/>
          <w:szCs w:val="24"/>
        </w:rPr>
        <w:t>asfotase</w:t>
      </w:r>
      <w:proofErr w:type="spellEnd"/>
      <w:r w:rsidR="00C324C2">
        <w:rPr>
          <w:rFonts w:asciiTheme="minorHAnsi" w:hAnsiTheme="minorHAnsi"/>
          <w:sz w:val="24"/>
          <w:szCs w:val="24"/>
        </w:rPr>
        <w:t xml:space="preserve"> alfa treated patients and historical control patients were statistically significant in favour of </w:t>
      </w:r>
      <w:proofErr w:type="spellStart"/>
      <w:r w:rsidR="00C324C2">
        <w:rPr>
          <w:rFonts w:asciiTheme="minorHAnsi" w:hAnsiTheme="minorHAnsi"/>
          <w:sz w:val="24"/>
          <w:szCs w:val="24"/>
        </w:rPr>
        <w:t>asfotase</w:t>
      </w:r>
      <w:proofErr w:type="spellEnd"/>
      <w:r w:rsidR="00C324C2">
        <w:rPr>
          <w:rFonts w:asciiTheme="minorHAnsi" w:hAnsiTheme="minorHAnsi"/>
          <w:sz w:val="24"/>
          <w:szCs w:val="24"/>
        </w:rPr>
        <w:t xml:space="preserve"> alfa treatment</w:t>
      </w:r>
      <w:r w:rsidRPr="000768BA">
        <w:rPr>
          <w:rFonts w:asciiTheme="minorHAnsi" w:hAnsiTheme="minorHAnsi"/>
          <w:sz w:val="24"/>
          <w:szCs w:val="24"/>
        </w:rPr>
        <w:t xml:space="preserve"> (p = </w:t>
      </w:r>
      <w:r w:rsidR="00551B2E">
        <w:rPr>
          <w:rFonts w:asciiTheme="minorHAnsi" w:hAnsiTheme="minorHAnsi"/>
          <w:noProof/>
          <w:color w:val="000000"/>
          <w:sz w:val="24"/>
          <w:szCs w:val="24"/>
          <w:highlight w:val="black"/>
        </w:rPr>
        <w:t>'''''''''''''</w:t>
      </w:r>
      <w:r w:rsidRPr="000768BA">
        <w:rPr>
          <w:rFonts w:asciiTheme="minorHAnsi" w:hAnsiTheme="minorHAnsi"/>
          <w:sz w:val="24"/>
          <w:szCs w:val="24"/>
        </w:rPr>
        <w:t>)</w:t>
      </w:r>
      <w:r w:rsidR="00C324C2">
        <w:rPr>
          <w:rFonts w:asciiTheme="minorHAnsi" w:hAnsiTheme="minorHAnsi"/>
          <w:sz w:val="24"/>
          <w:szCs w:val="24"/>
        </w:rPr>
        <w:t>,</w:t>
      </w:r>
      <w:r w:rsidRPr="000768BA">
        <w:rPr>
          <w:rFonts w:asciiTheme="minorHAnsi" w:hAnsiTheme="minorHAnsi"/>
          <w:sz w:val="24"/>
          <w:szCs w:val="24"/>
        </w:rPr>
        <w:t xml:space="preserve"> in a sensitivity analysis that only included historical control patients who survived to </w:t>
      </w:r>
      <w:r w:rsidR="00551B2E">
        <w:rPr>
          <w:rFonts w:asciiTheme="minorHAnsi" w:hAnsiTheme="minorHAnsi"/>
          <w:noProof/>
          <w:color w:val="000000"/>
          <w:sz w:val="24"/>
          <w:szCs w:val="24"/>
          <w:highlight w:val="black"/>
        </w:rPr>
        <w:t>'''''</w:t>
      </w:r>
      <w:r w:rsidRPr="000768BA">
        <w:rPr>
          <w:rFonts w:asciiTheme="minorHAnsi" w:hAnsiTheme="minorHAnsi"/>
          <w:sz w:val="24"/>
          <w:szCs w:val="24"/>
        </w:rPr>
        <w:t xml:space="preserve"> weeks.  </w:t>
      </w:r>
    </w:p>
    <w:p w:rsidR="00E73021" w:rsidRDefault="00E73021" w:rsidP="001A7613">
      <w:pPr>
        <w:widowControl/>
        <w:numPr>
          <w:ilvl w:val="1"/>
          <w:numId w:val="1"/>
        </w:numPr>
        <w:spacing w:after="120"/>
        <w:ind w:left="567" w:hanging="567"/>
        <w:rPr>
          <w:rFonts w:asciiTheme="minorHAnsi" w:hAnsiTheme="minorHAnsi"/>
          <w:bCs/>
          <w:sz w:val="24"/>
          <w:szCs w:val="24"/>
          <w:lang w:val="en-GB"/>
        </w:rPr>
      </w:pPr>
      <w:r>
        <w:rPr>
          <w:rFonts w:asciiTheme="minorHAnsi" w:hAnsiTheme="minorHAnsi"/>
          <w:bCs/>
          <w:sz w:val="24"/>
          <w:szCs w:val="24"/>
          <w:lang w:val="en-GB"/>
        </w:rPr>
        <w:t xml:space="preserve">On </w:t>
      </w:r>
      <w:r w:rsidR="00E27915">
        <w:rPr>
          <w:rFonts w:asciiTheme="minorHAnsi" w:hAnsiTheme="minorHAnsi"/>
          <w:bCs/>
          <w:sz w:val="24"/>
          <w:szCs w:val="24"/>
          <w:lang w:val="en-GB"/>
        </w:rPr>
        <w:t>this basis,</w:t>
      </w:r>
      <w:r>
        <w:rPr>
          <w:rFonts w:asciiTheme="minorHAnsi" w:hAnsiTheme="minorHAnsi"/>
          <w:bCs/>
          <w:sz w:val="24"/>
          <w:szCs w:val="24"/>
          <w:lang w:val="en-GB"/>
        </w:rPr>
        <w:t xml:space="preserve"> the PBAC considered there was likely to be a survival advantage associated with treatment with </w:t>
      </w:r>
      <w:proofErr w:type="spellStart"/>
      <w:r>
        <w:rPr>
          <w:rFonts w:asciiTheme="minorHAnsi" w:hAnsiTheme="minorHAnsi"/>
          <w:bCs/>
          <w:sz w:val="24"/>
          <w:szCs w:val="24"/>
          <w:lang w:val="en-GB"/>
        </w:rPr>
        <w:t>asfotase</w:t>
      </w:r>
      <w:proofErr w:type="spellEnd"/>
      <w:r>
        <w:rPr>
          <w:rFonts w:asciiTheme="minorHAnsi" w:hAnsiTheme="minorHAnsi"/>
          <w:bCs/>
          <w:sz w:val="24"/>
          <w:szCs w:val="24"/>
          <w:lang w:val="en-GB"/>
        </w:rPr>
        <w:t xml:space="preserve"> alfa </w:t>
      </w:r>
      <w:proofErr w:type="spellStart"/>
      <w:r w:rsidRPr="00E73021">
        <w:rPr>
          <w:rFonts w:asciiTheme="minorHAnsi" w:hAnsiTheme="minorHAnsi"/>
          <w:bCs/>
          <w:i/>
          <w:sz w:val="24"/>
          <w:szCs w:val="24"/>
          <w:lang w:val="en-GB"/>
        </w:rPr>
        <w:t>rch</w:t>
      </w:r>
      <w:proofErr w:type="spellEnd"/>
      <w:r>
        <w:rPr>
          <w:rFonts w:asciiTheme="minorHAnsi" w:hAnsiTheme="minorHAnsi"/>
          <w:bCs/>
          <w:i/>
          <w:sz w:val="24"/>
          <w:szCs w:val="24"/>
          <w:lang w:val="en-GB"/>
        </w:rPr>
        <w:t xml:space="preserve"> </w:t>
      </w:r>
      <w:r w:rsidR="002856E8">
        <w:rPr>
          <w:rFonts w:asciiTheme="minorHAnsi" w:hAnsiTheme="minorHAnsi"/>
          <w:bCs/>
          <w:sz w:val="24"/>
          <w:szCs w:val="24"/>
          <w:lang w:val="en-GB"/>
        </w:rPr>
        <w:t>in patients with perinatal-</w:t>
      </w:r>
      <w:r>
        <w:rPr>
          <w:rFonts w:asciiTheme="minorHAnsi" w:hAnsiTheme="minorHAnsi"/>
          <w:bCs/>
          <w:sz w:val="24"/>
          <w:szCs w:val="24"/>
          <w:lang w:val="en-GB"/>
        </w:rPr>
        <w:t xml:space="preserve"> and </w:t>
      </w:r>
      <w:r w:rsidRPr="00B177F8">
        <w:rPr>
          <w:rFonts w:asciiTheme="minorHAnsi" w:hAnsiTheme="minorHAnsi"/>
          <w:bCs/>
          <w:sz w:val="24"/>
          <w:szCs w:val="24"/>
          <w:lang w:val="en-GB"/>
        </w:rPr>
        <w:t>infantile-onset HPP who were at high risk of premature death</w:t>
      </w:r>
      <w:r>
        <w:rPr>
          <w:rFonts w:asciiTheme="minorHAnsi" w:hAnsiTheme="minorHAnsi"/>
          <w:bCs/>
          <w:sz w:val="24"/>
          <w:szCs w:val="24"/>
          <w:lang w:val="en-GB"/>
        </w:rPr>
        <w:t xml:space="preserve">. </w:t>
      </w:r>
      <w:r w:rsidRPr="00B177F8">
        <w:rPr>
          <w:rFonts w:asciiTheme="minorHAnsi" w:hAnsiTheme="minorHAnsi"/>
          <w:bCs/>
          <w:sz w:val="24"/>
          <w:szCs w:val="24"/>
          <w:lang w:val="en-GB"/>
        </w:rPr>
        <w:t>However, the PBAC considered that the magnitude of the survival benefit was unclear given the matched analysis was associated with a high risk of bias.</w:t>
      </w:r>
      <w:r>
        <w:rPr>
          <w:rFonts w:asciiTheme="minorHAnsi" w:hAnsiTheme="minorHAnsi"/>
          <w:bCs/>
          <w:sz w:val="24"/>
          <w:szCs w:val="24"/>
          <w:lang w:val="en-GB"/>
        </w:rPr>
        <w:t xml:space="preserve"> </w:t>
      </w:r>
      <w:r w:rsidR="001A7613">
        <w:rPr>
          <w:rFonts w:asciiTheme="minorHAnsi" w:hAnsiTheme="minorHAnsi"/>
          <w:bCs/>
          <w:sz w:val="24"/>
          <w:szCs w:val="24"/>
          <w:lang w:val="en-GB"/>
        </w:rPr>
        <w:t>Additionally</w:t>
      </w:r>
      <w:r>
        <w:rPr>
          <w:rFonts w:asciiTheme="minorHAnsi" w:hAnsiTheme="minorHAnsi"/>
          <w:bCs/>
          <w:sz w:val="24"/>
          <w:szCs w:val="24"/>
          <w:lang w:val="en-GB"/>
        </w:rPr>
        <w:t xml:space="preserve">, the PBAC noted </w:t>
      </w:r>
      <w:r w:rsidR="00251BF3">
        <w:rPr>
          <w:rFonts w:asciiTheme="minorHAnsi" w:hAnsiTheme="minorHAnsi"/>
          <w:bCs/>
          <w:sz w:val="24"/>
          <w:szCs w:val="24"/>
          <w:lang w:val="en-GB"/>
        </w:rPr>
        <w:t xml:space="preserve">that </w:t>
      </w:r>
      <w:r w:rsidR="00B853CE">
        <w:rPr>
          <w:rFonts w:asciiTheme="minorHAnsi" w:hAnsiTheme="minorHAnsi"/>
          <w:bCs/>
          <w:sz w:val="24"/>
          <w:szCs w:val="24"/>
          <w:lang w:val="en-GB"/>
        </w:rPr>
        <w:t xml:space="preserve">the persistence of any survival benefits of </w:t>
      </w:r>
      <w:proofErr w:type="spellStart"/>
      <w:r w:rsidRPr="00E73021">
        <w:rPr>
          <w:rFonts w:asciiTheme="minorHAnsi" w:hAnsiTheme="minorHAnsi"/>
          <w:bCs/>
          <w:sz w:val="24"/>
          <w:szCs w:val="24"/>
          <w:lang w:val="en-GB"/>
        </w:rPr>
        <w:t>asfotase</w:t>
      </w:r>
      <w:proofErr w:type="spellEnd"/>
      <w:r w:rsidRPr="00E73021">
        <w:rPr>
          <w:rFonts w:asciiTheme="minorHAnsi" w:hAnsiTheme="minorHAnsi"/>
          <w:bCs/>
          <w:sz w:val="24"/>
          <w:szCs w:val="24"/>
          <w:lang w:val="en-GB"/>
        </w:rPr>
        <w:t xml:space="preserve"> alfa </w:t>
      </w:r>
      <w:proofErr w:type="spellStart"/>
      <w:r w:rsidRPr="00E73021">
        <w:rPr>
          <w:rFonts w:asciiTheme="minorHAnsi" w:hAnsiTheme="minorHAnsi"/>
          <w:bCs/>
          <w:i/>
          <w:sz w:val="24"/>
          <w:szCs w:val="24"/>
          <w:lang w:val="en-GB"/>
        </w:rPr>
        <w:t>rch</w:t>
      </w:r>
      <w:proofErr w:type="spellEnd"/>
      <w:r w:rsidRPr="00E73021">
        <w:rPr>
          <w:rFonts w:asciiTheme="minorHAnsi" w:hAnsiTheme="minorHAnsi"/>
          <w:bCs/>
          <w:sz w:val="24"/>
          <w:szCs w:val="24"/>
          <w:lang w:val="en-GB"/>
        </w:rPr>
        <w:t xml:space="preserve"> </w:t>
      </w:r>
      <w:r w:rsidR="00B853CE">
        <w:rPr>
          <w:rFonts w:asciiTheme="minorHAnsi" w:hAnsiTheme="minorHAnsi"/>
          <w:bCs/>
          <w:sz w:val="24"/>
          <w:szCs w:val="24"/>
          <w:lang w:val="en-GB"/>
        </w:rPr>
        <w:t>were uncertain, even in this group</w:t>
      </w:r>
      <w:r w:rsidRPr="00E73021">
        <w:rPr>
          <w:rFonts w:asciiTheme="minorHAnsi" w:hAnsiTheme="minorHAnsi"/>
          <w:bCs/>
          <w:sz w:val="24"/>
          <w:szCs w:val="24"/>
          <w:lang w:val="en-GB"/>
        </w:rPr>
        <w:t xml:space="preserve">. </w:t>
      </w:r>
    </w:p>
    <w:p w:rsidR="004A636E" w:rsidRDefault="004A636E" w:rsidP="001A7613">
      <w:pPr>
        <w:widowControl/>
        <w:numPr>
          <w:ilvl w:val="1"/>
          <w:numId w:val="1"/>
        </w:numPr>
        <w:spacing w:after="120"/>
        <w:ind w:left="567" w:hanging="567"/>
        <w:rPr>
          <w:rFonts w:asciiTheme="minorHAnsi" w:hAnsiTheme="minorHAnsi"/>
          <w:bCs/>
          <w:sz w:val="24"/>
          <w:szCs w:val="24"/>
          <w:lang w:val="en-GB"/>
        </w:rPr>
      </w:pPr>
      <w:r w:rsidRPr="004A636E">
        <w:rPr>
          <w:rFonts w:asciiTheme="minorHAnsi" w:hAnsiTheme="minorHAnsi"/>
          <w:bCs/>
          <w:sz w:val="24"/>
          <w:szCs w:val="24"/>
          <w:lang w:val="en-GB"/>
        </w:rPr>
        <w:t xml:space="preserve">The PBAC </w:t>
      </w:r>
      <w:r>
        <w:rPr>
          <w:rFonts w:asciiTheme="minorHAnsi" w:hAnsiTheme="minorHAnsi"/>
          <w:bCs/>
          <w:sz w:val="24"/>
          <w:szCs w:val="24"/>
          <w:lang w:val="en-GB"/>
        </w:rPr>
        <w:t xml:space="preserve">also </w:t>
      </w:r>
      <w:r w:rsidRPr="004A636E">
        <w:rPr>
          <w:rFonts w:asciiTheme="minorHAnsi" w:hAnsiTheme="minorHAnsi"/>
          <w:bCs/>
          <w:sz w:val="24"/>
          <w:szCs w:val="24"/>
          <w:lang w:val="en-GB"/>
        </w:rPr>
        <w:t xml:space="preserve">noted that the pre-PBAC response stated that a survival benefit for </w:t>
      </w:r>
      <w:proofErr w:type="spellStart"/>
      <w:r w:rsidRPr="004A636E">
        <w:rPr>
          <w:rFonts w:asciiTheme="minorHAnsi" w:hAnsiTheme="minorHAnsi"/>
          <w:bCs/>
          <w:sz w:val="24"/>
          <w:szCs w:val="24"/>
          <w:lang w:val="en-GB"/>
        </w:rPr>
        <w:t>asfotase</w:t>
      </w:r>
      <w:proofErr w:type="spellEnd"/>
      <w:r w:rsidRPr="004A636E">
        <w:rPr>
          <w:rFonts w:asciiTheme="minorHAnsi" w:hAnsiTheme="minorHAnsi"/>
          <w:bCs/>
          <w:sz w:val="24"/>
          <w:szCs w:val="24"/>
          <w:lang w:val="en-GB"/>
        </w:rPr>
        <w:t xml:space="preserve"> alfa </w:t>
      </w:r>
      <w:proofErr w:type="spellStart"/>
      <w:r w:rsidRPr="00F67B00">
        <w:rPr>
          <w:rFonts w:asciiTheme="minorHAnsi" w:hAnsiTheme="minorHAnsi"/>
          <w:bCs/>
          <w:i/>
          <w:sz w:val="24"/>
          <w:szCs w:val="24"/>
          <w:lang w:val="en-GB"/>
        </w:rPr>
        <w:t>rch</w:t>
      </w:r>
      <w:proofErr w:type="spellEnd"/>
      <w:r w:rsidRPr="004A636E">
        <w:rPr>
          <w:rFonts w:asciiTheme="minorHAnsi" w:hAnsiTheme="minorHAnsi"/>
          <w:bCs/>
          <w:sz w:val="24"/>
          <w:szCs w:val="24"/>
          <w:lang w:val="en-GB"/>
        </w:rPr>
        <w:t xml:space="preserve"> in patients with juvenile-onset (6 months to 17 years) HPP was not evaluated in the submission as the clinical manifestations in this cohort do not cause short-term mortality.</w:t>
      </w:r>
      <w:r w:rsidR="00F178DB">
        <w:rPr>
          <w:rFonts w:asciiTheme="minorHAnsi" w:hAnsiTheme="minorHAnsi"/>
          <w:bCs/>
          <w:sz w:val="24"/>
          <w:szCs w:val="24"/>
          <w:lang w:val="en-GB"/>
        </w:rPr>
        <w:t xml:space="preserve"> </w:t>
      </w:r>
    </w:p>
    <w:p w:rsidR="006B7848" w:rsidRPr="006B7848" w:rsidRDefault="00041F27" w:rsidP="006B7848">
      <w:pPr>
        <w:widowControl/>
        <w:numPr>
          <w:ilvl w:val="1"/>
          <w:numId w:val="1"/>
        </w:numPr>
        <w:spacing w:after="120"/>
        <w:ind w:left="567" w:hanging="567"/>
        <w:rPr>
          <w:rFonts w:asciiTheme="minorHAnsi" w:hAnsiTheme="minorHAnsi"/>
          <w:bCs/>
          <w:sz w:val="24"/>
          <w:szCs w:val="24"/>
          <w:lang w:val="en-GB"/>
        </w:rPr>
      </w:pPr>
      <w:r w:rsidRPr="006B7848">
        <w:rPr>
          <w:rFonts w:asciiTheme="minorHAnsi" w:hAnsiTheme="minorHAnsi"/>
          <w:bCs/>
          <w:sz w:val="24"/>
          <w:szCs w:val="24"/>
          <w:lang w:val="en-GB"/>
        </w:rPr>
        <w:t xml:space="preserve">The PBAC </w:t>
      </w:r>
      <w:r w:rsidR="00401F09" w:rsidRPr="006B7848">
        <w:rPr>
          <w:rFonts w:asciiTheme="minorHAnsi" w:hAnsiTheme="minorHAnsi"/>
          <w:bCs/>
          <w:sz w:val="24"/>
          <w:szCs w:val="24"/>
          <w:lang w:val="en-GB"/>
        </w:rPr>
        <w:t xml:space="preserve">noted there was a significant difference in relation to the </w:t>
      </w:r>
      <w:r w:rsidRPr="006B7848">
        <w:rPr>
          <w:rFonts w:asciiTheme="minorHAnsi" w:hAnsiTheme="minorHAnsi"/>
          <w:bCs/>
          <w:sz w:val="24"/>
          <w:szCs w:val="24"/>
          <w:lang w:val="en-GB"/>
        </w:rPr>
        <w:t xml:space="preserve">primary outcome </w:t>
      </w:r>
      <w:r w:rsidR="00736576" w:rsidRPr="006B7848">
        <w:rPr>
          <w:rFonts w:asciiTheme="minorHAnsi" w:hAnsiTheme="minorHAnsi"/>
          <w:bCs/>
          <w:sz w:val="24"/>
          <w:szCs w:val="24"/>
          <w:lang w:val="en-GB"/>
        </w:rPr>
        <w:t xml:space="preserve">in the randomised trial </w:t>
      </w:r>
      <w:r w:rsidRPr="006B7848">
        <w:rPr>
          <w:rFonts w:asciiTheme="minorHAnsi" w:hAnsiTheme="minorHAnsi"/>
          <w:bCs/>
          <w:sz w:val="24"/>
          <w:szCs w:val="24"/>
          <w:lang w:val="en-GB"/>
        </w:rPr>
        <w:t>of</w:t>
      </w:r>
      <w:r w:rsidR="00401F09" w:rsidRPr="006B7848">
        <w:rPr>
          <w:rFonts w:asciiTheme="minorHAnsi" w:hAnsiTheme="minorHAnsi"/>
          <w:bCs/>
          <w:sz w:val="24"/>
          <w:szCs w:val="24"/>
          <w:lang w:val="en-GB"/>
        </w:rPr>
        <w:t xml:space="preserve"> </w:t>
      </w:r>
      <w:r w:rsidR="00736576">
        <w:rPr>
          <w:rFonts w:asciiTheme="minorHAnsi" w:hAnsiTheme="minorHAnsi"/>
          <w:bCs/>
          <w:sz w:val="24"/>
          <w:szCs w:val="24"/>
          <w:lang w:val="en-GB"/>
        </w:rPr>
        <w:t xml:space="preserve">a </w:t>
      </w:r>
      <w:r w:rsidR="00401F09" w:rsidRPr="006B7848">
        <w:rPr>
          <w:rFonts w:asciiTheme="minorHAnsi" w:hAnsiTheme="minorHAnsi"/>
          <w:bCs/>
          <w:sz w:val="24"/>
          <w:szCs w:val="24"/>
          <w:lang w:val="en-GB"/>
        </w:rPr>
        <w:t xml:space="preserve">reduction in </w:t>
      </w:r>
      <w:proofErr w:type="spellStart"/>
      <w:r w:rsidR="00401F09" w:rsidRPr="006B7848">
        <w:rPr>
          <w:rFonts w:asciiTheme="minorHAnsi" w:hAnsiTheme="minorHAnsi"/>
          <w:bCs/>
          <w:sz w:val="24"/>
          <w:szCs w:val="24"/>
          <w:lang w:val="en-GB"/>
        </w:rPr>
        <w:t>PPi</w:t>
      </w:r>
      <w:proofErr w:type="spellEnd"/>
      <w:r w:rsidR="00401F09" w:rsidRPr="006B7848">
        <w:rPr>
          <w:rFonts w:asciiTheme="minorHAnsi" w:hAnsiTheme="minorHAnsi"/>
          <w:bCs/>
          <w:sz w:val="24"/>
          <w:szCs w:val="24"/>
          <w:lang w:val="en-GB"/>
        </w:rPr>
        <w:t xml:space="preserve"> and PLP levels </w:t>
      </w:r>
      <w:r w:rsidR="006A7A56">
        <w:rPr>
          <w:rFonts w:asciiTheme="minorHAnsi" w:hAnsiTheme="minorHAnsi"/>
          <w:bCs/>
          <w:sz w:val="24"/>
          <w:szCs w:val="24"/>
          <w:lang w:val="en-GB"/>
        </w:rPr>
        <w:t>(from baseline to 24 </w:t>
      </w:r>
      <w:r w:rsidR="00401F09" w:rsidRPr="006B7848">
        <w:rPr>
          <w:rFonts w:asciiTheme="minorHAnsi" w:hAnsiTheme="minorHAnsi"/>
          <w:bCs/>
          <w:sz w:val="24"/>
          <w:szCs w:val="24"/>
          <w:lang w:val="en-GB"/>
        </w:rPr>
        <w:t xml:space="preserve">weeks). However, </w:t>
      </w:r>
      <w:r w:rsidR="008D5061" w:rsidRPr="006B7848">
        <w:rPr>
          <w:rFonts w:asciiTheme="minorHAnsi" w:hAnsiTheme="minorHAnsi"/>
          <w:bCs/>
          <w:sz w:val="24"/>
          <w:szCs w:val="24"/>
          <w:lang w:val="en-GB"/>
        </w:rPr>
        <w:t>t</w:t>
      </w:r>
      <w:r w:rsidR="00887F60" w:rsidRPr="006B7848">
        <w:rPr>
          <w:rFonts w:asciiTheme="minorHAnsi" w:hAnsiTheme="minorHAnsi"/>
          <w:bCs/>
          <w:sz w:val="24"/>
          <w:szCs w:val="24"/>
          <w:lang w:val="en-GB"/>
        </w:rPr>
        <w:t xml:space="preserve">he PBAC </w:t>
      </w:r>
      <w:r w:rsidR="00063F7F" w:rsidRPr="006B7848">
        <w:rPr>
          <w:rFonts w:asciiTheme="minorHAnsi" w:hAnsiTheme="minorHAnsi"/>
          <w:bCs/>
          <w:sz w:val="24"/>
          <w:szCs w:val="24"/>
          <w:lang w:val="en-GB"/>
        </w:rPr>
        <w:t xml:space="preserve">considered that </w:t>
      </w:r>
      <w:r w:rsidR="00401F09" w:rsidRPr="006B7848">
        <w:rPr>
          <w:rFonts w:asciiTheme="minorHAnsi" w:hAnsiTheme="minorHAnsi"/>
          <w:bCs/>
          <w:sz w:val="24"/>
          <w:szCs w:val="24"/>
          <w:lang w:val="en-GB"/>
        </w:rPr>
        <w:t xml:space="preserve">it was unclear what magnitude of change in </w:t>
      </w:r>
      <w:proofErr w:type="spellStart"/>
      <w:r w:rsidR="00401F09" w:rsidRPr="006B7848">
        <w:rPr>
          <w:rFonts w:asciiTheme="minorHAnsi" w:hAnsiTheme="minorHAnsi"/>
          <w:bCs/>
          <w:sz w:val="24"/>
          <w:szCs w:val="24"/>
          <w:lang w:val="en-GB"/>
        </w:rPr>
        <w:t>PPi</w:t>
      </w:r>
      <w:proofErr w:type="spellEnd"/>
      <w:r w:rsidR="00401F09" w:rsidRPr="006B7848">
        <w:rPr>
          <w:rFonts w:asciiTheme="minorHAnsi" w:hAnsiTheme="minorHAnsi"/>
          <w:bCs/>
          <w:sz w:val="24"/>
          <w:szCs w:val="24"/>
          <w:lang w:val="en-GB"/>
        </w:rPr>
        <w:t xml:space="preserve"> and PLP would be clinically meaningful for patients</w:t>
      </w:r>
      <w:r w:rsidR="006B7848" w:rsidRPr="006B7848">
        <w:rPr>
          <w:rFonts w:asciiTheme="minorHAnsi" w:hAnsiTheme="minorHAnsi"/>
          <w:bCs/>
          <w:sz w:val="24"/>
          <w:szCs w:val="24"/>
          <w:lang w:val="en-GB"/>
        </w:rPr>
        <w:t xml:space="preserve">. </w:t>
      </w:r>
      <w:r w:rsidR="00064AA4" w:rsidRPr="006B7848">
        <w:rPr>
          <w:rFonts w:asciiTheme="minorHAnsi" w:hAnsiTheme="minorHAnsi"/>
          <w:bCs/>
          <w:sz w:val="24"/>
          <w:szCs w:val="24"/>
          <w:lang w:val="en-GB"/>
        </w:rPr>
        <w:t>T</w:t>
      </w:r>
      <w:r w:rsidR="00D67961" w:rsidRPr="006B7848">
        <w:rPr>
          <w:rFonts w:asciiTheme="minorHAnsi" w:hAnsiTheme="minorHAnsi"/>
          <w:bCs/>
          <w:sz w:val="24"/>
          <w:szCs w:val="24"/>
          <w:lang w:val="en-GB"/>
        </w:rPr>
        <w:t xml:space="preserve">he PBAC </w:t>
      </w:r>
      <w:r w:rsidR="006B7848" w:rsidRPr="006B7848">
        <w:rPr>
          <w:rFonts w:asciiTheme="minorHAnsi" w:hAnsiTheme="minorHAnsi"/>
          <w:bCs/>
          <w:sz w:val="24"/>
          <w:szCs w:val="24"/>
          <w:lang w:val="en-GB"/>
        </w:rPr>
        <w:t xml:space="preserve">further </w:t>
      </w:r>
      <w:r w:rsidR="00D67961" w:rsidRPr="006B7848">
        <w:rPr>
          <w:rFonts w:asciiTheme="minorHAnsi" w:hAnsiTheme="minorHAnsi"/>
          <w:bCs/>
          <w:sz w:val="24"/>
          <w:szCs w:val="24"/>
          <w:lang w:val="en-GB"/>
        </w:rPr>
        <w:t xml:space="preserve">noted </w:t>
      </w:r>
      <w:r w:rsidR="00CE438C" w:rsidRPr="006B7848">
        <w:rPr>
          <w:rFonts w:asciiTheme="minorHAnsi" w:hAnsiTheme="minorHAnsi"/>
          <w:bCs/>
          <w:sz w:val="24"/>
          <w:szCs w:val="24"/>
          <w:lang w:val="en-GB"/>
        </w:rPr>
        <w:t>that no statistically significant differences in</w:t>
      </w:r>
      <w:r w:rsidR="006B7848" w:rsidRPr="006B7848">
        <w:rPr>
          <w:rFonts w:asciiTheme="minorHAnsi" w:hAnsiTheme="minorHAnsi"/>
          <w:bCs/>
          <w:sz w:val="24"/>
          <w:szCs w:val="24"/>
          <w:lang w:val="en-GB"/>
        </w:rPr>
        <w:t xml:space="preserve"> improvement in</w:t>
      </w:r>
      <w:r w:rsidR="00CE438C" w:rsidRPr="006B7848">
        <w:rPr>
          <w:rFonts w:asciiTheme="minorHAnsi" w:hAnsiTheme="minorHAnsi"/>
          <w:bCs/>
          <w:sz w:val="24"/>
          <w:szCs w:val="24"/>
          <w:lang w:val="en-GB"/>
        </w:rPr>
        <w:t xml:space="preserve"> 6MWT</w:t>
      </w:r>
      <w:r w:rsidR="006B7848" w:rsidRPr="006B7848">
        <w:rPr>
          <w:rFonts w:asciiTheme="minorHAnsi" w:hAnsiTheme="minorHAnsi"/>
          <w:bCs/>
          <w:sz w:val="24"/>
          <w:szCs w:val="24"/>
          <w:lang w:val="en-GB"/>
        </w:rPr>
        <w:t xml:space="preserve"> distance or quality of life </w:t>
      </w:r>
      <w:r w:rsidR="00CE438C" w:rsidRPr="006B7848">
        <w:rPr>
          <w:rFonts w:asciiTheme="minorHAnsi" w:hAnsiTheme="minorHAnsi"/>
          <w:bCs/>
          <w:sz w:val="24"/>
          <w:szCs w:val="24"/>
          <w:lang w:val="en-GB"/>
        </w:rPr>
        <w:t>were observed in the randomised trial.</w:t>
      </w:r>
      <w:r w:rsidR="006B7848" w:rsidRPr="006B7848">
        <w:rPr>
          <w:rFonts w:asciiTheme="minorHAnsi" w:hAnsiTheme="minorHAnsi"/>
          <w:bCs/>
          <w:sz w:val="24"/>
          <w:szCs w:val="24"/>
          <w:lang w:val="en-GB"/>
        </w:rPr>
        <w:t xml:space="preserve"> Accordingly, the PBAC considered that </w:t>
      </w:r>
      <w:r w:rsidR="00736576">
        <w:rPr>
          <w:rFonts w:asciiTheme="minorHAnsi" w:hAnsiTheme="minorHAnsi"/>
          <w:bCs/>
          <w:sz w:val="24"/>
          <w:szCs w:val="24"/>
          <w:lang w:val="en-GB"/>
        </w:rPr>
        <w:t>an</w:t>
      </w:r>
      <w:r w:rsidR="006B7848" w:rsidRPr="006B7848">
        <w:rPr>
          <w:rFonts w:asciiTheme="minorHAnsi" w:hAnsiTheme="minorHAnsi"/>
          <w:bCs/>
          <w:sz w:val="24"/>
          <w:szCs w:val="24"/>
          <w:lang w:val="en-GB"/>
        </w:rPr>
        <w:t xml:space="preserve"> improvement in morbidity for p</w:t>
      </w:r>
      <w:r w:rsidR="00736576">
        <w:rPr>
          <w:rFonts w:asciiTheme="minorHAnsi" w:hAnsiTheme="minorHAnsi"/>
          <w:bCs/>
          <w:sz w:val="24"/>
          <w:szCs w:val="24"/>
          <w:lang w:val="en-GB"/>
        </w:rPr>
        <w:t>atients with juvenile-onset HPP was not supported by the submission</w:t>
      </w:r>
      <w:r w:rsidR="00251BF3">
        <w:rPr>
          <w:rFonts w:asciiTheme="minorHAnsi" w:hAnsiTheme="minorHAnsi"/>
          <w:bCs/>
          <w:sz w:val="24"/>
          <w:szCs w:val="24"/>
          <w:lang w:val="en-GB"/>
        </w:rPr>
        <w:t>.</w:t>
      </w:r>
      <w:r w:rsidR="004A636E">
        <w:rPr>
          <w:rFonts w:asciiTheme="minorHAnsi" w:hAnsiTheme="minorHAnsi"/>
          <w:bCs/>
          <w:sz w:val="24"/>
          <w:szCs w:val="24"/>
          <w:lang w:val="en-GB"/>
        </w:rPr>
        <w:t xml:space="preserve">  </w:t>
      </w:r>
    </w:p>
    <w:p w:rsidR="00E3426F" w:rsidRPr="009C7E7B" w:rsidRDefault="00914B95" w:rsidP="009C7E7B">
      <w:pPr>
        <w:widowControl/>
        <w:numPr>
          <w:ilvl w:val="1"/>
          <w:numId w:val="1"/>
        </w:numPr>
        <w:spacing w:after="120"/>
        <w:ind w:left="567" w:hanging="567"/>
        <w:rPr>
          <w:rFonts w:asciiTheme="minorHAnsi" w:hAnsiTheme="minorHAnsi"/>
          <w:sz w:val="24"/>
          <w:szCs w:val="24"/>
          <w:lang w:val="en-GB"/>
        </w:rPr>
      </w:pPr>
      <w:r w:rsidRPr="00E3426F">
        <w:rPr>
          <w:rFonts w:asciiTheme="minorHAnsi" w:hAnsiTheme="minorHAnsi"/>
          <w:bCs/>
          <w:sz w:val="24"/>
          <w:szCs w:val="24"/>
          <w:lang w:val="en-GB"/>
        </w:rPr>
        <w:t xml:space="preserve">The PBAC </w:t>
      </w:r>
      <w:r w:rsidR="00EC26DD" w:rsidRPr="00E3426F">
        <w:rPr>
          <w:rFonts w:asciiTheme="minorHAnsi" w:hAnsiTheme="minorHAnsi"/>
          <w:bCs/>
          <w:sz w:val="24"/>
          <w:szCs w:val="24"/>
          <w:lang w:val="en-GB"/>
        </w:rPr>
        <w:t xml:space="preserve">noted the base case ICER </w:t>
      </w:r>
      <w:r w:rsidR="00E3426F" w:rsidRPr="00E3426F">
        <w:rPr>
          <w:rFonts w:asciiTheme="minorHAnsi" w:hAnsiTheme="minorHAnsi"/>
          <w:bCs/>
          <w:sz w:val="24"/>
          <w:szCs w:val="24"/>
          <w:lang w:val="en-GB"/>
        </w:rPr>
        <w:t>presented</w:t>
      </w:r>
      <w:r w:rsidR="005B15C8" w:rsidRPr="00E3426F">
        <w:rPr>
          <w:rFonts w:asciiTheme="minorHAnsi" w:hAnsiTheme="minorHAnsi"/>
          <w:bCs/>
          <w:sz w:val="24"/>
          <w:szCs w:val="24"/>
          <w:lang w:val="en-GB"/>
        </w:rPr>
        <w:t xml:space="preserve"> in the </w:t>
      </w:r>
      <w:r w:rsidR="00EC26DD" w:rsidRPr="00E3426F">
        <w:rPr>
          <w:rFonts w:asciiTheme="minorHAnsi" w:hAnsiTheme="minorHAnsi"/>
          <w:bCs/>
          <w:sz w:val="24"/>
          <w:szCs w:val="24"/>
          <w:lang w:val="en-GB"/>
        </w:rPr>
        <w:t>su</w:t>
      </w:r>
      <w:r w:rsidR="00C73BFC" w:rsidRPr="00E3426F">
        <w:rPr>
          <w:rFonts w:asciiTheme="minorHAnsi" w:hAnsiTheme="minorHAnsi"/>
          <w:bCs/>
          <w:sz w:val="24"/>
          <w:szCs w:val="24"/>
          <w:lang w:val="en-GB"/>
        </w:rPr>
        <w:t>bmission</w:t>
      </w:r>
      <w:r w:rsidR="008115F6">
        <w:rPr>
          <w:rFonts w:asciiTheme="minorHAnsi" w:hAnsiTheme="minorHAnsi"/>
          <w:bCs/>
          <w:sz w:val="24"/>
          <w:szCs w:val="24"/>
          <w:lang w:val="en-GB"/>
        </w:rPr>
        <w:t xml:space="preserve"> (which included the impact of </w:t>
      </w:r>
      <w:r w:rsidR="008115F6" w:rsidRPr="00845BC4">
        <w:rPr>
          <w:rFonts w:asciiTheme="minorHAnsi" w:hAnsiTheme="minorHAnsi"/>
          <w:bCs/>
          <w:sz w:val="24"/>
          <w:szCs w:val="24"/>
          <w:lang w:val="en-GB"/>
        </w:rPr>
        <w:t>the proposed annual per patient cap of $</w:t>
      </w:r>
      <w:r w:rsidR="00551B2E">
        <w:rPr>
          <w:rFonts w:asciiTheme="minorHAnsi" w:hAnsiTheme="minorHAnsi"/>
          <w:bCs/>
          <w:noProof/>
          <w:color w:val="000000"/>
          <w:sz w:val="24"/>
          <w:szCs w:val="24"/>
          <w:highlight w:val="black"/>
          <w:lang w:val="en-GB"/>
        </w:rPr>
        <w:t>'''''''''''''''</w:t>
      </w:r>
      <w:r w:rsidR="008115F6" w:rsidRPr="00845BC4">
        <w:rPr>
          <w:rFonts w:asciiTheme="minorHAnsi" w:hAnsiTheme="minorHAnsi"/>
          <w:bCs/>
          <w:sz w:val="24"/>
          <w:szCs w:val="24"/>
          <w:lang w:val="en-GB"/>
        </w:rPr>
        <w:t xml:space="preserve"> </w:t>
      </w:r>
      <w:r w:rsidR="008115F6" w:rsidRPr="00E3426F">
        <w:rPr>
          <w:rFonts w:asciiTheme="minorHAnsi" w:hAnsiTheme="minorHAnsi"/>
          <w:bCs/>
          <w:sz w:val="24"/>
          <w:szCs w:val="24"/>
          <w:lang w:val="en-GB"/>
        </w:rPr>
        <w:t>per year</w:t>
      </w:r>
      <w:r w:rsidR="008115F6">
        <w:rPr>
          <w:rFonts w:asciiTheme="minorHAnsi" w:hAnsiTheme="minorHAnsi"/>
          <w:bCs/>
          <w:sz w:val="24"/>
          <w:szCs w:val="24"/>
          <w:lang w:val="en-GB"/>
        </w:rPr>
        <w:t xml:space="preserve">) </w:t>
      </w:r>
      <w:r w:rsidR="00C73BFC" w:rsidRPr="00E3426F">
        <w:rPr>
          <w:rFonts w:asciiTheme="minorHAnsi" w:hAnsiTheme="minorHAnsi"/>
          <w:bCs/>
          <w:sz w:val="24"/>
          <w:szCs w:val="24"/>
          <w:lang w:val="en-GB"/>
        </w:rPr>
        <w:t xml:space="preserve">was </w:t>
      </w:r>
      <w:r w:rsidR="008115F6">
        <w:rPr>
          <w:rFonts w:asciiTheme="minorHAnsi" w:hAnsiTheme="minorHAnsi"/>
          <w:bCs/>
          <w:sz w:val="24"/>
          <w:szCs w:val="24"/>
          <w:lang w:val="en-GB"/>
        </w:rPr>
        <w:t xml:space="preserve">unacceptably high at </w:t>
      </w:r>
      <w:r w:rsidR="00FB2696">
        <w:rPr>
          <w:rFonts w:asciiTheme="minorHAnsi" w:hAnsiTheme="minorHAnsi"/>
          <w:bCs/>
          <w:sz w:val="24"/>
          <w:szCs w:val="24"/>
          <w:lang w:val="en-GB"/>
        </w:rPr>
        <w:t xml:space="preserve">more than $1 million </w:t>
      </w:r>
      <w:r w:rsidR="00C73BFC" w:rsidRPr="00E3426F">
        <w:rPr>
          <w:rFonts w:asciiTheme="minorHAnsi" w:hAnsiTheme="minorHAnsi"/>
          <w:bCs/>
          <w:sz w:val="24"/>
          <w:szCs w:val="24"/>
          <w:lang w:val="en-GB"/>
        </w:rPr>
        <w:t>per Q</w:t>
      </w:r>
      <w:r w:rsidR="00EC26DD" w:rsidRPr="00E3426F">
        <w:rPr>
          <w:rFonts w:asciiTheme="minorHAnsi" w:hAnsiTheme="minorHAnsi"/>
          <w:bCs/>
          <w:sz w:val="24"/>
          <w:szCs w:val="24"/>
          <w:lang w:val="en-GB"/>
        </w:rPr>
        <w:t>ALY gained.</w:t>
      </w:r>
      <w:r w:rsidR="00E3426F">
        <w:rPr>
          <w:rFonts w:asciiTheme="minorHAnsi" w:hAnsiTheme="minorHAnsi"/>
          <w:bCs/>
          <w:sz w:val="24"/>
          <w:szCs w:val="24"/>
          <w:lang w:val="en-GB"/>
        </w:rPr>
        <w:t xml:space="preserve"> </w:t>
      </w:r>
      <w:r w:rsidR="00491933" w:rsidRPr="00E3426F">
        <w:rPr>
          <w:rFonts w:asciiTheme="minorHAnsi" w:hAnsiTheme="minorHAnsi"/>
          <w:bCs/>
          <w:sz w:val="24"/>
          <w:szCs w:val="24"/>
          <w:lang w:val="en-GB"/>
        </w:rPr>
        <w:t>In the base case, patient</w:t>
      </w:r>
      <w:r w:rsidR="00A947D8">
        <w:rPr>
          <w:rFonts w:asciiTheme="minorHAnsi" w:hAnsiTheme="minorHAnsi"/>
          <w:bCs/>
          <w:sz w:val="24"/>
          <w:szCs w:val="24"/>
          <w:lang w:val="en-GB"/>
        </w:rPr>
        <w:t>s</w:t>
      </w:r>
      <w:r w:rsidR="00491933" w:rsidRPr="00E3426F">
        <w:rPr>
          <w:rFonts w:asciiTheme="minorHAnsi" w:hAnsiTheme="minorHAnsi"/>
          <w:bCs/>
          <w:sz w:val="24"/>
          <w:szCs w:val="24"/>
          <w:lang w:val="en-GB"/>
        </w:rPr>
        <w:t xml:space="preserve"> began treatment at 5.8 years</w:t>
      </w:r>
      <w:r w:rsidR="00A947D8">
        <w:rPr>
          <w:rFonts w:asciiTheme="minorHAnsi" w:hAnsiTheme="minorHAnsi"/>
          <w:bCs/>
          <w:sz w:val="24"/>
          <w:szCs w:val="24"/>
          <w:lang w:val="en-GB"/>
        </w:rPr>
        <w:t xml:space="preserve"> and there was no overall survival benefit associated with treatment</w:t>
      </w:r>
      <w:r w:rsidR="00E3321C">
        <w:rPr>
          <w:rFonts w:asciiTheme="minorHAnsi" w:hAnsiTheme="minorHAnsi"/>
          <w:bCs/>
          <w:sz w:val="24"/>
          <w:szCs w:val="24"/>
          <w:lang w:val="en-GB"/>
        </w:rPr>
        <w:t xml:space="preserve"> with </w:t>
      </w:r>
      <w:proofErr w:type="spellStart"/>
      <w:r w:rsidR="00E3321C">
        <w:rPr>
          <w:rFonts w:asciiTheme="minorHAnsi" w:hAnsiTheme="minorHAnsi"/>
          <w:bCs/>
          <w:sz w:val="24"/>
          <w:szCs w:val="24"/>
          <w:lang w:val="en-GB"/>
        </w:rPr>
        <w:t>asfotase</w:t>
      </w:r>
      <w:proofErr w:type="spellEnd"/>
      <w:r w:rsidR="00E3321C">
        <w:rPr>
          <w:rFonts w:asciiTheme="minorHAnsi" w:hAnsiTheme="minorHAnsi"/>
          <w:bCs/>
          <w:sz w:val="24"/>
          <w:szCs w:val="24"/>
          <w:lang w:val="en-GB"/>
        </w:rPr>
        <w:t xml:space="preserve"> alfa </w:t>
      </w:r>
      <w:proofErr w:type="spellStart"/>
      <w:r w:rsidR="00E3321C" w:rsidRPr="00E3321C">
        <w:rPr>
          <w:rFonts w:asciiTheme="minorHAnsi" w:hAnsiTheme="minorHAnsi"/>
          <w:bCs/>
          <w:i/>
          <w:sz w:val="24"/>
          <w:szCs w:val="24"/>
          <w:lang w:val="en-GB"/>
        </w:rPr>
        <w:t>rch</w:t>
      </w:r>
      <w:proofErr w:type="spellEnd"/>
      <w:r w:rsidR="00A947D8">
        <w:rPr>
          <w:rFonts w:asciiTheme="minorHAnsi" w:hAnsiTheme="minorHAnsi"/>
          <w:bCs/>
          <w:sz w:val="24"/>
          <w:szCs w:val="24"/>
          <w:lang w:val="en-GB"/>
        </w:rPr>
        <w:t>.</w:t>
      </w:r>
      <w:r w:rsidR="00491933" w:rsidRPr="00E3426F">
        <w:rPr>
          <w:rFonts w:asciiTheme="minorHAnsi" w:hAnsiTheme="minorHAnsi"/>
          <w:bCs/>
          <w:sz w:val="24"/>
          <w:szCs w:val="24"/>
          <w:lang w:val="en-GB"/>
        </w:rPr>
        <w:t xml:space="preserve"> </w:t>
      </w:r>
      <w:r w:rsidR="00A947D8">
        <w:rPr>
          <w:rFonts w:asciiTheme="minorHAnsi" w:hAnsiTheme="minorHAnsi"/>
          <w:bCs/>
          <w:sz w:val="24"/>
          <w:szCs w:val="24"/>
          <w:lang w:val="en-GB"/>
        </w:rPr>
        <w:t>The PBAC</w:t>
      </w:r>
      <w:r w:rsidR="00491933" w:rsidRPr="00E3426F">
        <w:rPr>
          <w:rFonts w:asciiTheme="minorHAnsi" w:hAnsiTheme="minorHAnsi"/>
          <w:bCs/>
          <w:sz w:val="24"/>
          <w:szCs w:val="24"/>
          <w:lang w:val="en-GB"/>
        </w:rPr>
        <w:t xml:space="preserve"> noted </w:t>
      </w:r>
      <w:r w:rsidR="00A947D8">
        <w:rPr>
          <w:rFonts w:asciiTheme="minorHAnsi" w:hAnsiTheme="minorHAnsi"/>
          <w:bCs/>
          <w:sz w:val="24"/>
          <w:szCs w:val="24"/>
          <w:lang w:val="en-GB"/>
        </w:rPr>
        <w:t xml:space="preserve">that the submission presented ICERs by age of initiation of treatment which ranged from </w:t>
      </w:r>
      <w:r w:rsidR="00FB2696">
        <w:rPr>
          <w:rFonts w:asciiTheme="minorHAnsi" w:hAnsiTheme="minorHAnsi"/>
          <w:bCs/>
          <w:sz w:val="24"/>
          <w:szCs w:val="24"/>
          <w:lang w:val="en-GB"/>
        </w:rPr>
        <w:t>more than $200,000</w:t>
      </w:r>
      <w:r w:rsidR="00491933" w:rsidRPr="00E3426F">
        <w:rPr>
          <w:rFonts w:asciiTheme="minorHAnsi" w:hAnsiTheme="minorHAnsi"/>
          <w:bCs/>
          <w:sz w:val="24"/>
          <w:szCs w:val="24"/>
          <w:lang w:val="en-GB"/>
        </w:rPr>
        <w:t xml:space="preserve"> per QALY gained for </w:t>
      </w:r>
      <w:proofErr w:type="spellStart"/>
      <w:r w:rsidR="00491933" w:rsidRPr="00E3426F">
        <w:rPr>
          <w:rFonts w:asciiTheme="minorHAnsi" w:hAnsiTheme="minorHAnsi"/>
          <w:bCs/>
          <w:sz w:val="24"/>
          <w:szCs w:val="24"/>
          <w:lang w:val="en-GB"/>
        </w:rPr>
        <w:t>newborns</w:t>
      </w:r>
      <w:proofErr w:type="spellEnd"/>
      <w:r w:rsidR="00491933" w:rsidRPr="00E3426F">
        <w:rPr>
          <w:rFonts w:asciiTheme="minorHAnsi" w:hAnsiTheme="minorHAnsi"/>
          <w:bCs/>
          <w:sz w:val="24"/>
          <w:szCs w:val="24"/>
          <w:lang w:val="en-GB"/>
        </w:rPr>
        <w:t xml:space="preserve"> to </w:t>
      </w:r>
      <w:r w:rsidR="00FB2696">
        <w:rPr>
          <w:rFonts w:asciiTheme="minorHAnsi" w:hAnsiTheme="minorHAnsi"/>
          <w:bCs/>
          <w:sz w:val="24"/>
          <w:szCs w:val="24"/>
          <w:lang w:val="en-GB"/>
        </w:rPr>
        <w:t>over $3 million</w:t>
      </w:r>
      <w:r w:rsidR="00491933" w:rsidRPr="00E3426F">
        <w:rPr>
          <w:rFonts w:asciiTheme="minorHAnsi" w:hAnsiTheme="minorHAnsi"/>
          <w:bCs/>
          <w:sz w:val="24"/>
          <w:szCs w:val="24"/>
          <w:lang w:val="en-GB"/>
        </w:rPr>
        <w:t xml:space="preserve"> per QALY gained </w:t>
      </w:r>
      <w:r w:rsidR="00A947D8">
        <w:rPr>
          <w:rFonts w:asciiTheme="minorHAnsi" w:hAnsiTheme="minorHAnsi"/>
          <w:bCs/>
          <w:sz w:val="24"/>
          <w:szCs w:val="24"/>
          <w:lang w:val="en-GB"/>
        </w:rPr>
        <w:t>for adults</w:t>
      </w:r>
      <w:r w:rsidR="00491933" w:rsidRPr="00E3426F">
        <w:rPr>
          <w:rFonts w:asciiTheme="minorHAnsi" w:hAnsiTheme="minorHAnsi"/>
          <w:bCs/>
          <w:sz w:val="24"/>
          <w:szCs w:val="24"/>
          <w:lang w:val="en-GB"/>
        </w:rPr>
        <w:t>.</w:t>
      </w:r>
      <w:r w:rsidR="00491933">
        <w:rPr>
          <w:rFonts w:asciiTheme="minorHAnsi" w:hAnsiTheme="minorHAnsi"/>
          <w:bCs/>
          <w:sz w:val="24"/>
          <w:szCs w:val="24"/>
          <w:lang w:val="en-GB"/>
        </w:rPr>
        <w:t xml:space="preserve"> </w:t>
      </w:r>
      <w:r w:rsidR="00E3426F" w:rsidRPr="009C7E7B">
        <w:rPr>
          <w:rFonts w:asciiTheme="minorHAnsi" w:hAnsiTheme="minorHAnsi"/>
          <w:sz w:val="24"/>
          <w:szCs w:val="24"/>
          <w:lang w:val="en-GB"/>
        </w:rPr>
        <w:t>The PBAC considered that the ICERs presented in the submission were highly uncertain due to the following issues with the economic model:</w:t>
      </w:r>
    </w:p>
    <w:p w:rsidR="00064AA4" w:rsidRPr="00064AA4" w:rsidRDefault="00064AA4" w:rsidP="00064AA4">
      <w:pPr>
        <w:widowControl/>
        <w:numPr>
          <w:ilvl w:val="2"/>
          <w:numId w:val="1"/>
        </w:numPr>
        <w:spacing w:after="120"/>
        <w:ind w:left="851" w:hanging="284"/>
        <w:rPr>
          <w:rFonts w:asciiTheme="minorHAnsi" w:hAnsiTheme="minorHAnsi"/>
          <w:sz w:val="24"/>
          <w:szCs w:val="24"/>
        </w:rPr>
      </w:pPr>
      <w:r w:rsidRPr="00064AA4">
        <w:rPr>
          <w:rFonts w:asciiTheme="minorHAnsi" w:hAnsiTheme="minorHAnsi"/>
          <w:sz w:val="24"/>
          <w:szCs w:val="24"/>
        </w:rPr>
        <w:t>The economic model was based on the outcome of changes in the 6MWT, overall survival and invasive ventilator-free survival</w:t>
      </w:r>
      <w:r w:rsidR="00E3321C">
        <w:rPr>
          <w:rFonts w:asciiTheme="minorHAnsi" w:hAnsiTheme="minorHAnsi"/>
          <w:sz w:val="24"/>
          <w:szCs w:val="24"/>
        </w:rPr>
        <w:t xml:space="preserve"> and was therefore </w:t>
      </w:r>
      <w:r>
        <w:rPr>
          <w:rFonts w:asciiTheme="minorHAnsi" w:hAnsiTheme="minorHAnsi"/>
          <w:sz w:val="24"/>
          <w:szCs w:val="24"/>
        </w:rPr>
        <w:t>reliant on</w:t>
      </w:r>
      <w:r w:rsidR="00E3321C">
        <w:rPr>
          <w:rFonts w:asciiTheme="minorHAnsi" w:hAnsiTheme="minorHAnsi"/>
          <w:sz w:val="24"/>
          <w:szCs w:val="24"/>
        </w:rPr>
        <w:t xml:space="preserve"> </w:t>
      </w:r>
      <w:r>
        <w:rPr>
          <w:rFonts w:asciiTheme="minorHAnsi" w:hAnsiTheme="minorHAnsi"/>
          <w:sz w:val="24"/>
          <w:szCs w:val="24"/>
        </w:rPr>
        <w:t>secondary outcomes</w:t>
      </w:r>
      <w:r w:rsidR="008301C5">
        <w:rPr>
          <w:rFonts w:asciiTheme="minorHAnsi" w:hAnsiTheme="minorHAnsi"/>
          <w:sz w:val="24"/>
          <w:szCs w:val="24"/>
        </w:rPr>
        <w:t xml:space="preserve"> </w:t>
      </w:r>
      <w:r w:rsidR="00E3321C">
        <w:rPr>
          <w:rFonts w:asciiTheme="minorHAnsi" w:hAnsiTheme="minorHAnsi"/>
          <w:sz w:val="24"/>
          <w:szCs w:val="24"/>
        </w:rPr>
        <w:t>w</w:t>
      </w:r>
      <w:r w:rsidR="008301C5">
        <w:rPr>
          <w:rFonts w:asciiTheme="minorHAnsi" w:hAnsiTheme="minorHAnsi"/>
          <w:sz w:val="24"/>
          <w:szCs w:val="24"/>
        </w:rPr>
        <w:t>ith non-significant changes</w:t>
      </w:r>
      <w:r>
        <w:rPr>
          <w:rFonts w:asciiTheme="minorHAnsi" w:hAnsiTheme="minorHAnsi"/>
          <w:sz w:val="24"/>
          <w:szCs w:val="24"/>
        </w:rPr>
        <w:t xml:space="preserve"> or post-hoc analyses.</w:t>
      </w:r>
    </w:p>
    <w:p w:rsidR="00E3426F" w:rsidRPr="009C7E7B" w:rsidRDefault="00E3426F" w:rsidP="005123EA">
      <w:pPr>
        <w:widowControl/>
        <w:numPr>
          <w:ilvl w:val="2"/>
          <w:numId w:val="1"/>
        </w:numPr>
        <w:spacing w:after="120"/>
        <w:ind w:left="851" w:hanging="284"/>
        <w:rPr>
          <w:rFonts w:asciiTheme="minorHAnsi" w:hAnsiTheme="minorHAnsi"/>
          <w:sz w:val="24"/>
          <w:szCs w:val="24"/>
          <w:lang w:val="en-GB"/>
        </w:rPr>
      </w:pPr>
      <w:r w:rsidRPr="00E3426F">
        <w:rPr>
          <w:rFonts w:asciiTheme="minorHAnsi" w:hAnsiTheme="minorHAnsi"/>
          <w:sz w:val="24"/>
          <w:szCs w:val="24"/>
        </w:rPr>
        <w:t xml:space="preserve">The model structure lacked clinical validity. The four </w:t>
      </w:r>
      <w:proofErr w:type="gramStart"/>
      <w:r w:rsidRPr="00E3426F">
        <w:rPr>
          <w:rFonts w:asciiTheme="minorHAnsi" w:hAnsiTheme="minorHAnsi"/>
          <w:sz w:val="24"/>
          <w:szCs w:val="24"/>
        </w:rPr>
        <w:t>alive</w:t>
      </w:r>
      <w:proofErr w:type="gramEnd"/>
      <w:r w:rsidRPr="00E3426F">
        <w:rPr>
          <w:rFonts w:asciiTheme="minorHAnsi" w:hAnsiTheme="minorHAnsi"/>
          <w:sz w:val="24"/>
          <w:szCs w:val="24"/>
        </w:rPr>
        <w:t xml:space="preserve"> health states in the model (Severity levels I-IV) were based on per cent predicted distance on the 6MWT</w:t>
      </w:r>
      <w:r w:rsidR="001C5D71">
        <w:rPr>
          <w:rFonts w:asciiTheme="minorHAnsi" w:hAnsiTheme="minorHAnsi"/>
          <w:sz w:val="24"/>
          <w:szCs w:val="24"/>
        </w:rPr>
        <w:t>. The PBAC considered that 6MWT</w:t>
      </w:r>
      <w:r w:rsidRPr="00E3426F">
        <w:rPr>
          <w:rFonts w:asciiTheme="minorHAnsi" w:hAnsiTheme="minorHAnsi"/>
          <w:sz w:val="24"/>
          <w:szCs w:val="24"/>
        </w:rPr>
        <w:t xml:space="preserve"> does not adequately capture all the effects of treatment on the various body systems </w:t>
      </w:r>
      <w:r w:rsidRPr="00E3426F">
        <w:rPr>
          <w:rFonts w:asciiTheme="minorHAnsi" w:hAnsiTheme="minorHAnsi"/>
          <w:sz w:val="24"/>
          <w:szCs w:val="24"/>
          <w:lang w:val="en-GB"/>
        </w:rPr>
        <w:t>affected</w:t>
      </w:r>
      <w:r w:rsidRPr="00E3426F">
        <w:rPr>
          <w:rFonts w:asciiTheme="minorHAnsi" w:hAnsiTheme="minorHAnsi"/>
          <w:sz w:val="24"/>
          <w:szCs w:val="24"/>
        </w:rPr>
        <w:t xml:space="preserve"> by the disease (e.g., skeleton and joint deformity and renal and neurological complications), and was therefore a poor surrogate for disease state severity for patients with paediatric-onset HPP. This was particularly the case for those aged less than 5 years where 6MWT was not assessed in any of the clinical trials. </w:t>
      </w:r>
    </w:p>
    <w:p w:rsidR="00E3426F" w:rsidRDefault="00E3426F" w:rsidP="005123EA">
      <w:pPr>
        <w:widowControl/>
        <w:numPr>
          <w:ilvl w:val="2"/>
          <w:numId w:val="1"/>
        </w:numPr>
        <w:spacing w:after="120"/>
        <w:ind w:left="851" w:hanging="284"/>
        <w:rPr>
          <w:rFonts w:asciiTheme="minorHAnsi" w:hAnsiTheme="minorHAnsi"/>
          <w:sz w:val="24"/>
          <w:szCs w:val="24"/>
        </w:rPr>
      </w:pPr>
      <w:r w:rsidRPr="00E3426F">
        <w:rPr>
          <w:rFonts w:asciiTheme="minorHAnsi" w:hAnsiTheme="minorHAnsi"/>
          <w:sz w:val="24"/>
          <w:szCs w:val="24"/>
        </w:rPr>
        <w:t xml:space="preserve">Movements between health states for patients treated with BSC were based on </w:t>
      </w:r>
      <w:r>
        <w:rPr>
          <w:rFonts w:asciiTheme="minorHAnsi" w:hAnsiTheme="minorHAnsi"/>
          <w:sz w:val="24"/>
          <w:szCs w:val="24"/>
        </w:rPr>
        <w:t>a small number of</w:t>
      </w:r>
      <w:r w:rsidRPr="00E3426F">
        <w:rPr>
          <w:rFonts w:asciiTheme="minorHAnsi" w:hAnsiTheme="minorHAnsi"/>
          <w:sz w:val="24"/>
          <w:szCs w:val="24"/>
        </w:rPr>
        <w:t xml:space="preserve"> transitions observed over a short period of time. Thus, little confidence could be placed in the results, especially when they were modelled out to 101 years</w:t>
      </w:r>
      <w:r>
        <w:rPr>
          <w:rFonts w:asciiTheme="minorHAnsi" w:hAnsiTheme="minorHAnsi"/>
          <w:sz w:val="24"/>
          <w:szCs w:val="24"/>
        </w:rPr>
        <w:t>.</w:t>
      </w:r>
    </w:p>
    <w:p w:rsidR="00E3426F" w:rsidRDefault="00E3426F" w:rsidP="005123EA">
      <w:pPr>
        <w:widowControl/>
        <w:numPr>
          <w:ilvl w:val="2"/>
          <w:numId w:val="1"/>
        </w:numPr>
        <w:spacing w:after="120"/>
        <w:ind w:left="851" w:hanging="284"/>
        <w:rPr>
          <w:rFonts w:asciiTheme="minorHAnsi" w:hAnsiTheme="minorHAnsi"/>
          <w:sz w:val="24"/>
          <w:szCs w:val="24"/>
        </w:rPr>
      </w:pPr>
      <w:r w:rsidRPr="00E3426F">
        <w:rPr>
          <w:rFonts w:asciiTheme="minorHAnsi" w:hAnsiTheme="minorHAnsi"/>
          <w:sz w:val="24"/>
          <w:szCs w:val="24"/>
        </w:rPr>
        <w:t>The utilities for each of the alive health states in the model (based on change in 6MWT distance), were uncertain as they were derived from clinical experts based on information describing patients with a wide range of symptoms. There was a lack of correlation between the case descriptions and the HPP symptoms/complication rates associated with those descriptions.</w:t>
      </w:r>
    </w:p>
    <w:p w:rsidR="00E3426F" w:rsidRPr="00E3426F" w:rsidRDefault="00E3426F" w:rsidP="005123EA">
      <w:pPr>
        <w:widowControl/>
        <w:numPr>
          <w:ilvl w:val="2"/>
          <w:numId w:val="1"/>
        </w:numPr>
        <w:spacing w:after="120"/>
        <w:ind w:left="851" w:hanging="284"/>
        <w:rPr>
          <w:rFonts w:asciiTheme="minorHAnsi" w:hAnsiTheme="minorHAnsi"/>
          <w:sz w:val="24"/>
          <w:szCs w:val="24"/>
        </w:rPr>
      </w:pPr>
      <w:r w:rsidRPr="00E3426F">
        <w:rPr>
          <w:rFonts w:asciiTheme="minorHAnsi" w:hAnsiTheme="minorHAnsi"/>
          <w:sz w:val="24"/>
          <w:szCs w:val="24"/>
        </w:rPr>
        <w:t>The costs included in the model were uncertain as the submission assumed self</w:t>
      </w:r>
      <w:r w:rsidRPr="00E3426F">
        <w:rPr>
          <w:rFonts w:asciiTheme="minorHAnsi" w:hAnsiTheme="minorHAnsi"/>
          <w:sz w:val="24"/>
          <w:szCs w:val="24"/>
        </w:rPr>
        <w:noBreakHyphen/>
        <w:t>administration</w:t>
      </w:r>
      <w:r w:rsidR="00AF4DB5">
        <w:rPr>
          <w:rFonts w:asciiTheme="minorHAnsi" w:hAnsiTheme="minorHAnsi"/>
          <w:sz w:val="24"/>
          <w:szCs w:val="24"/>
        </w:rPr>
        <w:t>,</w:t>
      </w:r>
      <w:r w:rsidRPr="00E3426F">
        <w:rPr>
          <w:rFonts w:asciiTheme="minorHAnsi" w:hAnsiTheme="minorHAnsi"/>
          <w:sz w:val="24"/>
          <w:szCs w:val="24"/>
        </w:rPr>
        <w:t xml:space="preserve"> that the same costs for direct medical care would apply to all patients under 5 years who weren’t on invasive ventilation</w:t>
      </w:r>
      <w:r w:rsidR="00AF4DB5">
        <w:rPr>
          <w:rFonts w:asciiTheme="minorHAnsi" w:hAnsiTheme="minorHAnsi"/>
          <w:sz w:val="24"/>
          <w:szCs w:val="24"/>
        </w:rPr>
        <w:t xml:space="preserve">, and </w:t>
      </w:r>
      <w:r w:rsidRPr="00E3426F">
        <w:rPr>
          <w:rFonts w:asciiTheme="minorHAnsi" w:hAnsiTheme="minorHAnsi"/>
          <w:sz w:val="24"/>
          <w:szCs w:val="24"/>
        </w:rPr>
        <w:t>that these costs would be substantially higher than in patients aged 5</w:t>
      </w:r>
      <w:r w:rsidR="00DF3E1D">
        <w:rPr>
          <w:rFonts w:asciiTheme="minorHAnsi" w:hAnsiTheme="minorHAnsi"/>
          <w:sz w:val="24"/>
          <w:szCs w:val="24"/>
        </w:rPr>
        <w:t> </w:t>
      </w:r>
      <w:r w:rsidRPr="00E3426F">
        <w:rPr>
          <w:rFonts w:asciiTheme="minorHAnsi" w:hAnsiTheme="minorHAnsi"/>
          <w:sz w:val="24"/>
          <w:szCs w:val="24"/>
        </w:rPr>
        <w:t>years or more regardless of severity level.</w:t>
      </w:r>
    </w:p>
    <w:p w:rsidR="0050549B" w:rsidRDefault="007B064C" w:rsidP="005123EA">
      <w:pPr>
        <w:widowControl/>
        <w:numPr>
          <w:ilvl w:val="1"/>
          <w:numId w:val="1"/>
        </w:numPr>
        <w:spacing w:after="120"/>
        <w:ind w:left="567" w:hanging="567"/>
        <w:rPr>
          <w:rFonts w:asciiTheme="minorHAnsi" w:hAnsiTheme="minorHAnsi"/>
          <w:bCs/>
          <w:sz w:val="24"/>
          <w:szCs w:val="24"/>
          <w:lang w:val="en-GB"/>
        </w:rPr>
      </w:pPr>
      <w:r w:rsidRPr="003301B4">
        <w:rPr>
          <w:rFonts w:asciiTheme="minorHAnsi" w:hAnsiTheme="minorHAnsi"/>
          <w:bCs/>
          <w:sz w:val="24"/>
          <w:szCs w:val="24"/>
          <w:lang w:val="en-GB"/>
        </w:rPr>
        <w:t xml:space="preserve">The PBAC considered </w:t>
      </w:r>
      <w:r w:rsidR="00920D46" w:rsidRPr="003301B4">
        <w:rPr>
          <w:rFonts w:asciiTheme="minorHAnsi" w:hAnsiTheme="minorHAnsi"/>
          <w:bCs/>
          <w:sz w:val="24"/>
          <w:szCs w:val="24"/>
          <w:lang w:val="en-GB"/>
        </w:rPr>
        <w:t>the cost to the PBS may be higher that estimated in t</w:t>
      </w:r>
      <w:r w:rsidR="00760F6B">
        <w:rPr>
          <w:rFonts w:asciiTheme="minorHAnsi" w:hAnsiTheme="minorHAnsi"/>
          <w:bCs/>
          <w:sz w:val="24"/>
          <w:szCs w:val="24"/>
          <w:lang w:val="en-GB"/>
        </w:rPr>
        <w:t>he submission due to multiple uncertainties in the submission, including disease prevalence</w:t>
      </w:r>
      <w:r w:rsidR="00920D46" w:rsidRPr="003301B4">
        <w:rPr>
          <w:rFonts w:asciiTheme="minorHAnsi" w:hAnsiTheme="minorHAnsi"/>
          <w:bCs/>
          <w:sz w:val="24"/>
          <w:szCs w:val="24"/>
          <w:lang w:val="en-GB"/>
        </w:rPr>
        <w:t xml:space="preserve">, </w:t>
      </w:r>
      <w:r w:rsidR="00760F6B">
        <w:rPr>
          <w:rFonts w:asciiTheme="minorHAnsi" w:hAnsiTheme="minorHAnsi"/>
          <w:bCs/>
          <w:sz w:val="24"/>
          <w:szCs w:val="24"/>
          <w:lang w:val="en-GB"/>
        </w:rPr>
        <w:t>definitive diagnosis</w:t>
      </w:r>
      <w:r w:rsidR="00920D46" w:rsidRPr="003301B4">
        <w:rPr>
          <w:rFonts w:asciiTheme="minorHAnsi" w:hAnsiTheme="minorHAnsi"/>
          <w:bCs/>
          <w:sz w:val="24"/>
          <w:szCs w:val="24"/>
          <w:lang w:val="en-GB"/>
        </w:rPr>
        <w:t xml:space="preserve">, </w:t>
      </w:r>
      <w:r w:rsidR="00760F6B">
        <w:rPr>
          <w:rFonts w:asciiTheme="minorHAnsi" w:hAnsiTheme="minorHAnsi"/>
          <w:bCs/>
          <w:sz w:val="24"/>
          <w:szCs w:val="24"/>
          <w:lang w:val="en-GB"/>
        </w:rPr>
        <w:t xml:space="preserve">treatment </w:t>
      </w:r>
      <w:r w:rsidR="00920D46" w:rsidRPr="003301B4">
        <w:rPr>
          <w:rFonts w:asciiTheme="minorHAnsi" w:hAnsiTheme="minorHAnsi"/>
          <w:bCs/>
          <w:sz w:val="24"/>
          <w:szCs w:val="24"/>
          <w:lang w:val="en-GB"/>
        </w:rPr>
        <w:t xml:space="preserve">of older patients, weight based dosing, </w:t>
      </w:r>
      <w:r w:rsidR="00760F6B">
        <w:rPr>
          <w:rFonts w:asciiTheme="minorHAnsi" w:hAnsiTheme="minorHAnsi"/>
          <w:bCs/>
          <w:sz w:val="24"/>
          <w:szCs w:val="24"/>
          <w:lang w:val="en-GB"/>
        </w:rPr>
        <w:t>drug administration and</w:t>
      </w:r>
      <w:r w:rsidR="00920D46" w:rsidRPr="003301B4">
        <w:rPr>
          <w:rFonts w:asciiTheme="minorHAnsi" w:hAnsiTheme="minorHAnsi"/>
          <w:bCs/>
          <w:sz w:val="24"/>
          <w:szCs w:val="24"/>
          <w:lang w:val="en-GB"/>
        </w:rPr>
        <w:t xml:space="preserve"> use outside the proposed paediatric-onset restriction.</w:t>
      </w:r>
      <w:r w:rsidR="00A947D8">
        <w:rPr>
          <w:rFonts w:asciiTheme="minorHAnsi" w:hAnsiTheme="minorHAnsi"/>
          <w:bCs/>
          <w:sz w:val="24"/>
          <w:szCs w:val="24"/>
          <w:lang w:val="en-GB"/>
        </w:rPr>
        <w:t xml:space="preserve"> </w:t>
      </w:r>
      <w:r w:rsidR="00A947D8" w:rsidRPr="00A947D8">
        <w:rPr>
          <w:rFonts w:asciiTheme="minorHAnsi" w:hAnsiTheme="minorHAnsi"/>
          <w:bCs/>
          <w:sz w:val="24"/>
          <w:szCs w:val="24"/>
          <w:lang w:val="en-GB"/>
        </w:rPr>
        <w:t xml:space="preserve">In this regard, the PBAC considered that a tight subsidisation cap through an RSA would be important if </w:t>
      </w:r>
      <w:proofErr w:type="spellStart"/>
      <w:r w:rsidR="00A947D8">
        <w:rPr>
          <w:rFonts w:asciiTheme="minorHAnsi" w:hAnsiTheme="minorHAnsi"/>
          <w:bCs/>
          <w:sz w:val="24"/>
          <w:szCs w:val="24"/>
          <w:lang w:val="en-GB"/>
        </w:rPr>
        <w:t>asfotase</w:t>
      </w:r>
      <w:proofErr w:type="spellEnd"/>
      <w:r w:rsidR="00A947D8">
        <w:rPr>
          <w:rFonts w:asciiTheme="minorHAnsi" w:hAnsiTheme="minorHAnsi"/>
          <w:bCs/>
          <w:sz w:val="24"/>
          <w:szCs w:val="24"/>
          <w:lang w:val="en-GB"/>
        </w:rPr>
        <w:t xml:space="preserve"> alfa </w:t>
      </w:r>
      <w:proofErr w:type="spellStart"/>
      <w:r w:rsidR="00A947D8" w:rsidRPr="00A947D8">
        <w:rPr>
          <w:rFonts w:asciiTheme="minorHAnsi" w:hAnsiTheme="minorHAnsi"/>
          <w:bCs/>
          <w:i/>
          <w:sz w:val="24"/>
          <w:szCs w:val="24"/>
          <w:lang w:val="en-GB"/>
        </w:rPr>
        <w:t>rch</w:t>
      </w:r>
      <w:proofErr w:type="spellEnd"/>
      <w:r w:rsidR="00A947D8" w:rsidRPr="00A947D8">
        <w:rPr>
          <w:rFonts w:asciiTheme="minorHAnsi" w:hAnsiTheme="minorHAnsi"/>
          <w:bCs/>
          <w:sz w:val="24"/>
          <w:szCs w:val="24"/>
          <w:lang w:val="en-GB"/>
        </w:rPr>
        <w:t xml:space="preserve"> were recommended for listing.</w:t>
      </w:r>
    </w:p>
    <w:p w:rsidR="004A636E" w:rsidRDefault="002C6267" w:rsidP="00884148">
      <w:pPr>
        <w:widowControl/>
        <w:numPr>
          <w:ilvl w:val="1"/>
          <w:numId w:val="1"/>
        </w:numPr>
        <w:spacing w:after="120"/>
        <w:rPr>
          <w:rFonts w:asciiTheme="minorHAnsi" w:hAnsiTheme="minorHAnsi"/>
          <w:bCs/>
          <w:sz w:val="24"/>
          <w:szCs w:val="24"/>
          <w:lang w:val="en-GB"/>
        </w:rPr>
      </w:pPr>
      <w:r w:rsidRPr="004A636E">
        <w:rPr>
          <w:rFonts w:asciiTheme="minorHAnsi" w:hAnsiTheme="minorHAnsi"/>
          <w:bCs/>
          <w:sz w:val="24"/>
          <w:szCs w:val="24"/>
          <w:lang w:val="en-GB"/>
        </w:rPr>
        <w:t>T</w:t>
      </w:r>
      <w:r w:rsidR="004A636E" w:rsidRPr="004A636E">
        <w:rPr>
          <w:rFonts w:asciiTheme="minorHAnsi" w:hAnsiTheme="minorHAnsi"/>
          <w:bCs/>
          <w:sz w:val="24"/>
          <w:szCs w:val="24"/>
          <w:lang w:val="en-GB"/>
        </w:rPr>
        <w:t xml:space="preserve">he PBAC noted the submission’s request that, if rejected by the PBAC for PBS listing, consideration be given to including </w:t>
      </w:r>
      <w:proofErr w:type="spellStart"/>
      <w:r w:rsidR="004A636E" w:rsidRPr="004A636E">
        <w:rPr>
          <w:rFonts w:asciiTheme="minorHAnsi" w:hAnsiTheme="minorHAnsi"/>
          <w:bCs/>
          <w:sz w:val="24"/>
          <w:szCs w:val="24"/>
          <w:lang w:val="en-GB"/>
        </w:rPr>
        <w:t>asfotase</w:t>
      </w:r>
      <w:proofErr w:type="spellEnd"/>
      <w:r w:rsidR="004A636E" w:rsidRPr="004A636E">
        <w:rPr>
          <w:rFonts w:asciiTheme="minorHAnsi" w:hAnsiTheme="minorHAnsi"/>
          <w:bCs/>
          <w:sz w:val="24"/>
          <w:szCs w:val="24"/>
          <w:lang w:val="en-GB"/>
        </w:rPr>
        <w:t xml:space="preserve"> alfa </w:t>
      </w:r>
      <w:proofErr w:type="spellStart"/>
      <w:r w:rsidR="004A636E" w:rsidRPr="00FE13B7">
        <w:rPr>
          <w:rFonts w:asciiTheme="minorHAnsi" w:hAnsiTheme="minorHAnsi"/>
          <w:bCs/>
          <w:i/>
          <w:sz w:val="24"/>
          <w:szCs w:val="24"/>
          <w:lang w:val="en-GB"/>
        </w:rPr>
        <w:t>rch</w:t>
      </w:r>
      <w:proofErr w:type="spellEnd"/>
      <w:r w:rsidR="004A636E" w:rsidRPr="004B60C2">
        <w:rPr>
          <w:rFonts w:asciiTheme="minorHAnsi" w:hAnsiTheme="minorHAnsi"/>
          <w:bCs/>
          <w:sz w:val="24"/>
          <w:szCs w:val="24"/>
          <w:lang w:val="en-GB"/>
        </w:rPr>
        <w:t xml:space="preserve"> </w:t>
      </w:r>
      <w:r w:rsidR="004A636E" w:rsidRPr="004A636E">
        <w:rPr>
          <w:rFonts w:asciiTheme="minorHAnsi" w:hAnsiTheme="minorHAnsi"/>
          <w:bCs/>
          <w:sz w:val="24"/>
          <w:szCs w:val="24"/>
          <w:lang w:val="en-GB"/>
        </w:rPr>
        <w:t>on the Life Saving Drugs Program (LSDP) for paediatric</w:t>
      </w:r>
      <w:r w:rsidR="00EC34B3">
        <w:rPr>
          <w:rFonts w:asciiTheme="minorHAnsi" w:hAnsiTheme="minorHAnsi"/>
          <w:bCs/>
          <w:sz w:val="24"/>
          <w:szCs w:val="24"/>
          <w:lang w:val="en-GB"/>
        </w:rPr>
        <w:t xml:space="preserve"> onset</w:t>
      </w:r>
      <w:r w:rsidR="004A636E" w:rsidRPr="004A636E">
        <w:rPr>
          <w:rFonts w:asciiTheme="minorHAnsi" w:hAnsiTheme="minorHAnsi"/>
          <w:bCs/>
          <w:sz w:val="24"/>
          <w:szCs w:val="24"/>
          <w:lang w:val="en-GB"/>
        </w:rPr>
        <w:t xml:space="preserve"> HPP.  The PBAC further noted that the Commonwealth Chief Medical Officer (CMO) advises the Minister on drugs proposed to be included on the LSDP.  </w:t>
      </w:r>
    </w:p>
    <w:p w:rsidR="004A636E" w:rsidRDefault="004A636E" w:rsidP="00884148">
      <w:pPr>
        <w:widowControl/>
        <w:numPr>
          <w:ilvl w:val="1"/>
          <w:numId w:val="1"/>
        </w:numPr>
        <w:spacing w:after="120"/>
        <w:rPr>
          <w:rFonts w:asciiTheme="minorHAnsi" w:hAnsiTheme="minorHAnsi"/>
          <w:bCs/>
          <w:sz w:val="24"/>
          <w:szCs w:val="24"/>
          <w:lang w:val="en-GB"/>
        </w:rPr>
      </w:pPr>
      <w:r w:rsidRPr="004A636E">
        <w:rPr>
          <w:rFonts w:asciiTheme="minorHAnsi" w:hAnsiTheme="minorHAnsi"/>
          <w:bCs/>
          <w:sz w:val="24"/>
          <w:szCs w:val="24"/>
          <w:lang w:val="en-GB"/>
        </w:rPr>
        <w:t xml:space="preserve">The PBAC advised the CMO that if </w:t>
      </w:r>
      <w:proofErr w:type="spellStart"/>
      <w:r>
        <w:rPr>
          <w:rFonts w:asciiTheme="minorHAnsi" w:hAnsiTheme="minorHAnsi"/>
          <w:bCs/>
          <w:sz w:val="24"/>
          <w:szCs w:val="24"/>
          <w:lang w:val="en-GB"/>
        </w:rPr>
        <w:t>asfotase</w:t>
      </w:r>
      <w:proofErr w:type="spellEnd"/>
      <w:r>
        <w:rPr>
          <w:rFonts w:asciiTheme="minorHAnsi" w:hAnsiTheme="minorHAnsi"/>
          <w:bCs/>
          <w:sz w:val="24"/>
          <w:szCs w:val="24"/>
          <w:lang w:val="en-GB"/>
        </w:rPr>
        <w:t xml:space="preserve"> alfa </w:t>
      </w:r>
      <w:proofErr w:type="spellStart"/>
      <w:r w:rsidRPr="004A636E">
        <w:rPr>
          <w:rFonts w:asciiTheme="minorHAnsi" w:hAnsiTheme="minorHAnsi"/>
          <w:bCs/>
          <w:i/>
          <w:sz w:val="24"/>
          <w:szCs w:val="24"/>
          <w:lang w:val="en-GB"/>
        </w:rPr>
        <w:t>rch</w:t>
      </w:r>
      <w:proofErr w:type="spellEnd"/>
      <w:r>
        <w:rPr>
          <w:rFonts w:asciiTheme="minorHAnsi" w:hAnsiTheme="minorHAnsi"/>
          <w:bCs/>
          <w:sz w:val="24"/>
          <w:szCs w:val="24"/>
          <w:lang w:val="en-GB"/>
        </w:rPr>
        <w:t xml:space="preserve"> </w:t>
      </w:r>
      <w:r w:rsidR="00A64F53" w:rsidRPr="004A636E">
        <w:rPr>
          <w:rFonts w:asciiTheme="minorHAnsi" w:hAnsiTheme="minorHAnsi"/>
          <w:bCs/>
          <w:sz w:val="24"/>
          <w:szCs w:val="24"/>
          <w:lang w:val="en-GB"/>
        </w:rPr>
        <w:t xml:space="preserve"> </w:t>
      </w:r>
      <w:r>
        <w:rPr>
          <w:rFonts w:asciiTheme="minorHAnsi" w:hAnsiTheme="minorHAnsi"/>
          <w:bCs/>
          <w:sz w:val="24"/>
          <w:szCs w:val="24"/>
          <w:lang w:val="en-GB"/>
        </w:rPr>
        <w:t xml:space="preserve">were to be considered for inclusion on the LSDP, the following outcomes from the PBAC’s </w:t>
      </w:r>
      <w:r w:rsidR="00EC34B3">
        <w:rPr>
          <w:rFonts w:asciiTheme="minorHAnsi" w:hAnsiTheme="minorHAnsi"/>
          <w:bCs/>
          <w:sz w:val="24"/>
          <w:szCs w:val="24"/>
          <w:lang w:val="en-GB"/>
        </w:rPr>
        <w:t xml:space="preserve">review </w:t>
      </w:r>
      <w:r>
        <w:rPr>
          <w:rFonts w:asciiTheme="minorHAnsi" w:hAnsiTheme="minorHAnsi"/>
          <w:bCs/>
          <w:sz w:val="24"/>
          <w:szCs w:val="24"/>
          <w:lang w:val="en-GB"/>
        </w:rPr>
        <w:t>may be relevant</w:t>
      </w:r>
      <w:r w:rsidR="004B60C2">
        <w:rPr>
          <w:rFonts w:asciiTheme="minorHAnsi" w:hAnsiTheme="minorHAnsi"/>
          <w:bCs/>
          <w:sz w:val="24"/>
          <w:szCs w:val="24"/>
          <w:lang w:val="en-GB"/>
        </w:rPr>
        <w:t>:</w:t>
      </w:r>
    </w:p>
    <w:p w:rsidR="00EC34B3" w:rsidRPr="00AC4E30" w:rsidRDefault="00B853CE" w:rsidP="00AC4E30">
      <w:pPr>
        <w:widowControl/>
        <w:numPr>
          <w:ilvl w:val="2"/>
          <w:numId w:val="1"/>
        </w:numPr>
        <w:spacing w:after="120"/>
        <w:ind w:left="851" w:hanging="284"/>
        <w:rPr>
          <w:rFonts w:asciiTheme="minorHAnsi" w:hAnsiTheme="minorHAnsi"/>
          <w:bCs/>
          <w:sz w:val="24"/>
          <w:szCs w:val="24"/>
          <w:lang w:val="en-GB"/>
        </w:rPr>
      </w:pPr>
      <w:r>
        <w:rPr>
          <w:rFonts w:asciiTheme="minorHAnsi" w:hAnsiTheme="minorHAnsi"/>
          <w:bCs/>
          <w:sz w:val="24"/>
          <w:szCs w:val="24"/>
          <w:lang w:val="en-GB"/>
        </w:rPr>
        <w:t xml:space="preserve">any </w:t>
      </w:r>
      <w:r w:rsidR="00EC34B3" w:rsidRPr="00AC4E30">
        <w:rPr>
          <w:rFonts w:asciiTheme="minorHAnsi" w:hAnsiTheme="minorHAnsi"/>
          <w:bCs/>
          <w:sz w:val="24"/>
          <w:szCs w:val="24"/>
          <w:lang w:val="en-GB"/>
        </w:rPr>
        <w:t xml:space="preserve">survival advantage associated with treatment with </w:t>
      </w:r>
      <w:proofErr w:type="spellStart"/>
      <w:r w:rsidR="00EC34B3" w:rsidRPr="00AC4E30">
        <w:rPr>
          <w:rFonts w:asciiTheme="minorHAnsi" w:hAnsiTheme="minorHAnsi"/>
          <w:bCs/>
          <w:sz w:val="24"/>
          <w:szCs w:val="24"/>
          <w:lang w:val="en-GB"/>
        </w:rPr>
        <w:t>asfotase</w:t>
      </w:r>
      <w:proofErr w:type="spellEnd"/>
      <w:r w:rsidR="00EC34B3" w:rsidRPr="00AC4E30">
        <w:rPr>
          <w:rFonts w:asciiTheme="minorHAnsi" w:hAnsiTheme="minorHAnsi"/>
          <w:bCs/>
          <w:sz w:val="24"/>
          <w:szCs w:val="24"/>
          <w:lang w:val="en-GB"/>
        </w:rPr>
        <w:t xml:space="preserve"> alfa </w:t>
      </w:r>
      <w:proofErr w:type="spellStart"/>
      <w:r w:rsidR="00EC34B3" w:rsidRPr="00AC4E30">
        <w:rPr>
          <w:rFonts w:asciiTheme="minorHAnsi" w:hAnsiTheme="minorHAnsi"/>
          <w:bCs/>
          <w:i/>
          <w:sz w:val="24"/>
          <w:szCs w:val="24"/>
          <w:lang w:val="en-GB"/>
        </w:rPr>
        <w:t>rch</w:t>
      </w:r>
      <w:proofErr w:type="spellEnd"/>
      <w:r w:rsidR="00EC34B3" w:rsidRPr="00AC4E30">
        <w:rPr>
          <w:rFonts w:asciiTheme="minorHAnsi" w:hAnsiTheme="minorHAnsi"/>
          <w:bCs/>
          <w:i/>
          <w:sz w:val="24"/>
          <w:szCs w:val="24"/>
          <w:lang w:val="en-GB"/>
        </w:rPr>
        <w:t xml:space="preserve"> </w:t>
      </w:r>
      <w:r>
        <w:rPr>
          <w:rFonts w:asciiTheme="minorHAnsi" w:hAnsiTheme="minorHAnsi"/>
          <w:bCs/>
          <w:sz w:val="24"/>
          <w:szCs w:val="24"/>
          <w:lang w:val="en-GB"/>
        </w:rPr>
        <w:t xml:space="preserve">is limited to </w:t>
      </w:r>
      <w:r w:rsidR="00EC34B3" w:rsidRPr="00AC4E30">
        <w:rPr>
          <w:rFonts w:asciiTheme="minorHAnsi" w:hAnsiTheme="minorHAnsi"/>
          <w:bCs/>
          <w:sz w:val="24"/>
          <w:szCs w:val="24"/>
          <w:lang w:val="en-GB"/>
        </w:rPr>
        <w:t xml:space="preserve"> patients with perinatal- and infantile-onset HPP who </w:t>
      </w:r>
      <w:r>
        <w:rPr>
          <w:rFonts w:asciiTheme="minorHAnsi" w:hAnsiTheme="minorHAnsi"/>
          <w:bCs/>
          <w:sz w:val="24"/>
          <w:szCs w:val="24"/>
          <w:lang w:val="en-GB"/>
        </w:rPr>
        <w:t>are</w:t>
      </w:r>
      <w:r w:rsidRPr="00AC4E30">
        <w:rPr>
          <w:rFonts w:asciiTheme="minorHAnsi" w:hAnsiTheme="minorHAnsi"/>
          <w:bCs/>
          <w:sz w:val="24"/>
          <w:szCs w:val="24"/>
          <w:lang w:val="en-GB"/>
        </w:rPr>
        <w:t xml:space="preserve"> </w:t>
      </w:r>
      <w:r w:rsidR="00EC34B3" w:rsidRPr="00AC4E30">
        <w:rPr>
          <w:rFonts w:asciiTheme="minorHAnsi" w:hAnsiTheme="minorHAnsi"/>
          <w:bCs/>
          <w:sz w:val="24"/>
          <w:szCs w:val="24"/>
          <w:lang w:val="en-GB"/>
        </w:rPr>
        <w:t>at high risk of premature death (as per the definition above);</w:t>
      </w:r>
    </w:p>
    <w:p w:rsidR="00EC34B3" w:rsidRPr="00AC4E30" w:rsidRDefault="00EC34B3" w:rsidP="00AC4E30">
      <w:pPr>
        <w:widowControl/>
        <w:numPr>
          <w:ilvl w:val="2"/>
          <w:numId w:val="1"/>
        </w:numPr>
        <w:spacing w:after="120"/>
        <w:ind w:left="851" w:hanging="284"/>
        <w:rPr>
          <w:rFonts w:asciiTheme="minorHAnsi" w:hAnsiTheme="minorHAnsi"/>
          <w:bCs/>
          <w:sz w:val="24"/>
          <w:szCs w:val="24"/>
          <w:lang w:val="en-GB"/>
        </w:rPr>
      </w:pPr>
      <w:r w:rsidRPr="00AC4E30">
        <w:rPr>
          <w:rFonts w:asciiTheme="minorHAnsi" w:hAnsiTheme="minorHAnsi"/>
          <w:bCs/>
          <w:sz w:val="24"/>
          <w:szCs w:val="24"/>
          <w:lang w:val="en-GB"/>
        </w:rPr>
        <w:t>the magnitude of the survival benefit was unclear given the matched analysis was associat</w:t>
      </w:r>
      <w:r w:rsidR="00F67B00">
        <w:rPr>
          <w:rFonts w:asciiTheme="minorHAnsi" w:hAnsiTheme="minorHAnsi"/>
          <w:bCs/>
          <w:sz w:val="24"/>
          <w:szCs w:val="24"/>
          <w:lang w:val="en-GB"/>
        </w:rPr>
        <w:t xml:space="preserve">ed with a high risk of bias; </w:t>
      </w:r>
      <w:r w:rsidRPr="00AC4E30">
        <w:rPr>
          <w:rFonts w:asciiTheme="minorHAnsi" w:hAnsiTheme="minorHAnsi"/>
          <w:bCs/>
          <w:sz w:val="24"/>
          <w:szCs w:val="24"/>
          <w:lang w:val="en-GB"/>
        </w:rPr>
        <w:t xml:space="preserve"> </w:t>
      </w:r>
    </w:p>
    <w:p w:rsidR="00EC34B3" w:rsidRDefault="00B853CE" w:rsidP="00AC4E30">
      <w:pPr>
        <w:widowControl/>
        <w:numPr>
          <w:ilvl w:val="2"/>
          <w:numId w:val="1"/>
        </w:numPr>
        <w:spacing w:after="120"/>
        <w:ind w:left="851" w:hanging="284"/>
        <w:rPr>
          <w:rFonts w:asciiTheme="minorHAnsi" w:hAnsiTheme="minorHAnsi"/>
          <w:bCs/>
          <w:sz w:val="24"/>
          <w:szCs w:val="24"/>
          <w:lang w:val="en-GB"/>
        </w:rPr>
      </w:pPr>
      <w:r>
        <w:rPr>
          <w:rFonts w:asciiTheme="minorHAnsi" w:hAnsiTheme="minorHAnsi"/>
          <w:bCs/>
          <w:sz w:val="24"/>
          <w:szCs w:val="24"/>
          <w:lang w:val="en-GB"/>
        </w:rPr>
        <w:t xml:space="preserve">the persistence of survival gains </w:t>
      </w:r>
      <w:r w:rsidR="00EC34B3" w:rsidRPr="00AC4E30">
        <w:rPr>
          <w:rFonts w:asciiTheme="minorHAnsi" w:hAnsiTheme="minorHAnsi"/>
          <w:bCs/>
          <w:sz w:val="24"/>
          <w:szCs w:val="24"/>
          <w:lang w:val="en-GB"/>
        </w:rPr>
        <w:t xml:space="preserve">with </w:t>
      </w:r>
      <w:proofErr w:type="spellStart"/>
      <w:r w:rsidR="00EC34B3" w:rsidRPr="00AC4E30">
        <w:rPr>
          <w:rFonts w:asciiTheme="minorHAnsi" w:hAnsiTheme="minorHAnsi"/>
          <w:bCs/>
          <w:sz w:val="24"/>
          <w:szCs w:val="24"/>
          <w:lang w:val="en-GB"/>
        </w:rPr>
        <w:t>asfotase</w:t>
      </w:r>
      <w:proofErr w:type="spellEnd"/>
      <w:r w:rsidR="00EC34B3" w:rsidRPr="00AC4E30">
        <w:rPr>
          <w:rFonts w:asciiTheme="minorHAnsi" w:hAnsiTheme="minorHAnsi"/>
          <w:bCs/>
          <w:sz w:val="24"/>
          <w:szCs w:val="24"/>
          <w:lang w:val="en-GB"/>
        </w:rPr>
        <w:t xml:space="preserve"> alfa </w:t>
      </w:r>
      <w:proofErr w:type="spellStart"/>
      <w:r w:rsidR="00EC34B3" w:rsidRPr="00B853CE">
        <w:rPr>
          <w:rFonts w:asciiTheme="minorHAnsi" w:hAnsiTheme="minorHAnsi"/>
          <w:bCs/>
          <w:i/>
          <w:sz w:val="24"/>
          <w:szCs w:val="24"/>
          <w:lang w:val="en-GB"/>
        </w:rPr>
        <w:t>rch</w:t>
      </w:r>
      <w:proofErr w:type="spellEnd"/>
      <w:r w:rsidR="00EC34B3" w:rsidRPr="00AC4E30">
        <w:rPr>
          <w:rFonts w:asciiTheme="minorHAnsi" w:hAnsiTheme="minorHAnsi"/>
          <w:bCs/>
          <w:sz w:val="24"/>
          <w:szCs w:val="24"/>
          <w:lang w:val="en-GB"/>
        </w:rPr>
        <w:t xml:space="preserve"> </w:t>
      </w:r>
      <w:r w:rsidR="00E7542A">
        <w:rPr>
          <w:rFonts w:asciiTheme="minorHAnsi" w:hAnsiTheme="minorHAnsi"/>
          <w:bCs/>
          <w:sz w:val="24"/>
          <w:szCs w:val="24"/>
          <w:lang w:val="en-GB"/>
        </w:rPr>
        <w:t xml:space="preserve">in this severe patient group beyond 5 years is uncertain </w:t>
      </w:r>
      <w:r w:rsidR="00F67B00">
        <w:rPr>
          <w:rFonts w:asciiTheme="minorHAnsi" w:hAnsiTheme="minorHAnsi"/>
          <w:bCs/>
          <w:sz w:val="24"/>
          <w:szCs w:val="24"/>
          <w:lang w:val="en-GB"/>
        </w:rPr>
        <w:t>and further evidence will be required to support ongoing use beyond 5 years of age in this population; and</w:t>
      </w:r>
    </w:p>
    <w:p w:rsidR="00F67B00" w:rsidRPr="00AC4E30" w:rsidRDefault="00F67B00" w:rsidP="00F67B00">
      <w:pPr>
        <w:widowControl/>
        <w:numPr>
          <w:ilvl w:val="2"/>
          <w:numId w:val="1"/>
        </w:numPr>
        <w:spacing w:after="120"/>
        <w:ind w:left="851" w:hanging="284"/>
        <w:rPr>
          <w:rFonts w:asciiTheme="minorHAnsi" w:hAnsiTheme="minorHAnsi"/>
          <w:bCs/>
          <w:sz w:val="24"/>
          <w:szCs w:val="24"/>
          <w:lang w:val="en-GB"/>
        </w:rPr>
      </w:pPr>
      <w:proofErr w:type="spellStart"/>
      <w:proofErr w:type="gramStart"/>
      <w:r w:rsidRPr="00F67B00">
        <w:rPr>
          <w:rFonts w:asciiTheme="minorHAnsi" w:hAnsiTheme="minorHAnsi"/>
          <w:bCs/>
          <w:sz w:val="24"/>
          <w:szCs w:val="24"/>
          <w:lang w:val="en-GB"/>
        </w:rPr>
        <w:t>asfotase</w:t>
      </w:r>
      <w:proofErr w:type="spellEnd"/>
      <w:proofErr w:type="gramEnd"/>
      <w:r>
        <w:rPr>
          <w:rFonts w:asciiTheme="minorHAnsi" w:hAnsiTheme="minorHAnsi"/>
          <w:bCs/>
          <w:sz w:val="24"/>
          <w:szCs w:val="24"/>
          <w:lang w:val="en-GB"/>
        </w:rPr>
        <w:t xml:space="preserve"> alfa </w:t>
      </w:r>
      <w:proofErr w:type="spellStart"/>
      <w:r w:rsidRPr="00F67B00">
        <w:rPr>
          <w:rFonts w:asciiTheme="minorHAnsi" w:hAnsiTheme="minorHAnsi"/>
          <w:bCs/>
          <w:i/>
          <w:sz w:val="24"/>
          <w:szCs w:val="24"/>
          <w:lang w:val="en-GB"/>
        </w:rPr>
        <w:t>rch</w:t>
      </w:r>
      <w:proofErr w:type="spellEnd"/>
      <w:r w:rsidRPr="00F67B00">
        <w:rPr>
          <w:rFonts w:asciiTheme="minorHAnsi" w:hAnsiTheme="minorHAnsi"/>
          <w:bCs/>
          <w:sz w:val="24"/>
          <w:szCs w:val="24"/>
          <w:lang w:val="en-GB"/>
        </w:rPr>
        <w:t xml:space="preserve"> </w:t>
      </w:r>
      <w:r w:rsidR="00C22B86">
        <w:rPr>
          <w:rFonts w:asciiTheme="minorHAnsi" w:hAnsiTheme="minorHAnsi"/>
          <w:bCs/>
          <w:sz w:val="24"/>
          <w:szCs w:val="24"/>
          <w:lang w:val="en-GB"/>
        </w:rPr>
        <w:t xml:space="preserve">is </w:t>
      </w:r>
      <w:r>
        <w:rPr>
          <w:rFonts w:asciiTheme="minorHAnsi" w:hAnsiTheme="minorHAnsi"/>
          <w:bCs/>
          <w:sz w:val="24"/>
          <w:szCs w:val="24"/>
          <w:lang w:val="en-GB"/>
        </w:rPr>
        <w:t>not</w:t>
      </w:r>
      <w:r w:rsidRPr="00F67B00">
        <w:rPr>
          <w:rFonts w:asciiTheme="minorHAnsi" w:hAnsiTheme="minorHAnsi"/>
          <w:bCs/>
          <w:sz w:val="24"/>
          <w:szCs w:val="24"/>
          <w:lang w:val="en-GB"/>
        </w:rPr>
        <w:t xml:space="preserve"> cost-effective in </w:t>
      </w:r>
      <w:r>
        <w:rPr>
          <w:rFonts w:asciiTheme="minorHAnsi" w:hAnsiTheme="minorHAnsi"/>
          <w:bCs/>
          <w:sz w:val="24"/>
          <w:szCs w:val="24"/>
          <w:lang w:val="en-GB"/>
        </w:rPr>
        <w:t>the perinatal- and infantile-onset</w:t>
      </w:r>
      <w:r w:rsidRPr="00F67B00">
        <w:rPr>
          <w:rFonts w:asciiTheme="minorHAnsi" w:hAnsiTheme="minorHAnsi"/>
          <w:bCs/>
          <w:sz w:val="24"/>
          <w:szCs w:val="24"/>
          <w:lang w:val="en-GB"/>
        </w:rPr>
        <w:t xml:space="preserve"> population</w:t>
      </w:r>
      <w:r>
        <w:rPr>
          <w:rFonts w:asciiTheme="minorHAnsi" w:hAnsiTheme="minorHAnsi"/>
          <w:bCs/>
          <w:sz w:val="24"/>
          <w:szCs w:val="24"/>
          <w:lang w:val="en-GB"/>
        </w:rPr>
        <w:t xml:space="preserve"> at the proposed price.</w:t>
      </w:r>
    </w:p>
    <w:p w:rsidR="006F6DA3" w:rsidRDefault="00EC34B3" w:rsidP="001A7613">
      <w:pPr>
        <w:widowControl/>
        <w:numPr>
          <w:ilvl w:val="1"/>
          <w:numId w:val="1"/>
        </w:numPr>
        <w:spacing w:after="120"/>
        <w:rPr>
          <w:rFonts w:asciiTheme="minorHAnsi" w:hAnsiTheme="minorHAnsi"/>
          <w:bCs/>
          <w:sz w:val="24"/>
          <w:szCs w:val="24"/>
          <w:lang w:val="en-GB"/>
        </w:rPr>
      </w:pPr>
      <w:r>
        <w:rPr>
          <w:rFonts w:asciiTheme="minorHAnsi" w:hAnsiTheme="minorHAnsi"/>
          <w:bCs/>
          <w:sz w:val="24"/>
          <w:szCs w:val="24"/>
          <w:lang w:val="en-GB"/>
        </w:rPr>
        <w:t>The PBAC furt</w:t>
      </w:r>
      <w:r w:rsidR="00AC4E30">
        <w:rPr>
          <w:rFonts w:asciiTheme="minorHAnsi" w:hAnsiTheme="minorHAnsi"/>
          <w:bCs/>
          <w:sz w:val="24"/>
          <w:szCs w:val="24"/>
          <w:lang w:val="en-GB"/>
        </w:rPr>
        <w:t>her considered that</w:t>
      </w:r>
      <w:r>
        <w:rPr>
          <w:rFonts w:asciiTheme="minorHAnsi" w:hAnsiTheme="minorHAnsi"/>
          <w:bCs/>
          <w:sz w:val="24"/>
          <w:szCs w:val="24"/>
          <w:lang w:val="en-GB"/>
        </w:rPr>
        <w:t xml:space="preserve"> the PBS may be the most appropriate mechanism for </w:t>
      </w:r>
      <w:r w:rsidR="00EA3DC2">
        <w:rPr>
          <w:rFonts w:asciiTheme="minorHAnsi" w:hAnsiTheme="minorHAnsi"/>
          <w:bCs/>
          <w:sz w:val="24"/>
          <w:szCs w:val="24"/>
          <w:lang w:val="en-GB"/>
        </w:rPr>
        <w:t xml:space="preserve">subsidising treatments for juvenile </w:t>
      </w:r>
      <w:r w:rsidR="006F6DA3">
        <w:rPr>
          <w:rFonts w:asciiTheme="minorHAnsi" w:hAnsiTheme="minorHAnsi"/>
          <w:bCs/>
          <w:sz w:val="24"/>
          <w:szCs w:val="24"/>
          <w:lang w:val="en-GB"/>
        </w:rPr>
        <w:t xml:space="preserve">onset HPP and, </w:t>
      </w:r>
      <w:r w:rsidR="00FE13B7">
        <w:rPr>
          <w:rFonts w:asciiTheme="minorHAnsi" w:hAnsiTheme="minorHAnsi"/>
          <w:bCs/>
          <w:sz w:val="24"/>
          <w:szCs w:val="24"/>
          <w:lang w:val="en-GB"/>
        </w:rPr>
        <w:t>noti</w:t>
      </w:r>
      <w:r w:rsidR="006F6DA3">
        <w:rPr>
          <w:rFonts w:asciiTheme="minorHAnsi" w:hAnsiTheme="minorHAnsi"/>
          <w:bCs/>
          <w:sz w:val="24"/>
          <w:szCs w:val="24"/>
          <w:lang w:val="en-GB"/>
        </w:rPr>
        <w:t>ng the patient communities preference for access to subsidised treatment for all patients with HPP,</w:t>
      </w:r>
      <w:r w:rsidR="00FE13B7">
        <w:rPr>
          <w:rFonts w:asciiTheme="minorHAnsi" w:hAnsiTheme="minorHAnsi"/>
          <w:bCs/>
          <w:sz w:val="24"/>
          <w:szCs w:val="24"/>
          <w:lang w:val="en-GB"/>
        </w:rPr>
        <w:t xml:space="preserve"> also for</w:t>
      </w:r>
      <w:r w:rsidR="006F6DA3">
        <w:rPr>
          <w:rFonts w:asciiTheme="minorHAnsi" w:hAnsiTheme="minorHAnsi"/>
          <w:bCs/>
          <w:sz w:val="24"/>
          <w:szCs w:val="24"/>
          <w:lang w:val="en-GB"/>
        </w:rPr>
        <w:t xml:space="preserve"> adult onset HPP.  This is because</w:t>
      </w:r>
      <w:r w:rsidR="00AC4E30">
        <w:rPr>
          <w:rFonts w:asciiTheme="minorHAnsi" w:hAnsiTheme="minorHAnsi"/>
          <w:bCs/>
          <w:sz w:val="24"/>
          <w:szCs w:val="24"/>
          <w:lang w:val="en-GB"/>
        </w:rPr>
        <w:t>:</w:t>
      </w:r>
    </w:p>
    <w:p w:rsidR="006F6DA3" w:rsidRDefault="006F6DA3" w:rsidP="00AC4E30">
      <w:pPr>
        <w:widowControl/>
        <w:numPr>
          <w:ilvl w:val="2"/>
          <w:numId w:val="1"/>
        </w:numPr>
        <w:spacing w:after="120"/>
        <w:ind w:left="851" w:hanging="284"/>
        <w:rPr>
          <w:rFonts w:asciiTheme="minorHAnsi" w:hAnsiTheme="minorHAnsi"/>
          <w:bCs/>
          <w:sz w:val="24"/>
          <w:szCs w:val="24"/>
          <w:lang w:val="en-GB"/>
        </w:rPr>
      </w:pPr>
      <w:r>
        <w:rPr>
          <w:rFonts w:asciiTheme="minorHAnsi" w:hAnsiTheme="minorHAnsi"/>
          <w:bCs/>
          <w:sz w:val="24"/>
          <w:szCs w:val="24"/>
          <w:lang w:val="en-GB"/>
        </w:rPr>
        <w:t xml:space="preserve">juvenile- and adult-onset disease appears to be associated with quite different morbidity and mortality to </w:t>
      </w:r>
      <w:r w:rsidRPr="006F6DA3">
        <w:rPr>
          <w:rFonts w:asciiTheme="minorHAnsi" w:hAnsiTheme="minorHAnsi"/>
          <w:bCs/>
          <w:sz w:val="24"/>
          <w:szCs w:val="24"/>
          <w:lang w:val="en-GB"/>
        </w:rPr>
        <w:t>perinatal- and infantile-onset</w:t>
      </w:r>
      <w:r>
        <w:rPr>
          <w:rFonts w:asciiTheme="minorHAnsi" w:hAnsiTheme="minorHAnsi"/>
          <w:bCs/>
          <w:sz w:val="24"/>
          <w:szCs w:val="24"/>
          <w:lang w:val="en-GB"/>
        </w:rPr>
        <w:t xml:space="preserve"> HPP;</w:t>
      </w:r>
    </w:p>
    <w:p w:rsidR="00A67BF2" w:rsidRDefault="006F6DA3" w:rsidP="00AC4E30">
      <w:pPr>
        <w:widowControl/>
        <w:numPr>
          <w:ilvl w:val="2"/>
          <w:numId w:val="1"/>
        </w:numPr>
        <w:spacing w:after="120"/>
        <w:ind w:left="851" w:hanging="284"/>
        <w:rPr>
          <w:rFonts w:asciiTheme="minorHAnsi" w:hAnsiTheme="minorHAnsi"/>
          <w:bCs/>
          <w:sz w:val="24"/>
          <w:szCs w:val="24"/>
          <w:lang w:val="en-GB"/>
        </w:rPr>
      </w:pPr>
      <w:r>
        <w:rPr>
          <w:rFonts w:asciiTheme="minorHAnsi" w:hAnsiTheme="minorHAnsi"/>
          <w:bCs/>
          <w:sz w:val="24"/>
          <w:szCs w:val="24"/>
          <w:lang w:val="en-GB"/>
        </w:rPr>
        <w:t>t</w:t>
      </w:r>
      <w:r w:rsidR="00AC4E30">
        <w:rPr>
          <w:rFonts w:asciiTheme="minorHAnsi" w:hAnsiTheme="minorHAnsi"/>
          <w:bCs/>
          <w:sz w:val="24"/>
          <w:szCs w:val="24"/>
          <w:lang w:val="en-GB"/>
        </w:rPr>
        <w:t>he aims of treatment in the two</w:t>
      </w:r>
      <w:r w:rsidR="00A67BF2">
        <w:rPr>
          <w:rFonts w:asciiTheme="minorHAnsi" w:hAnsiTheme="minorHAnsi"/>
          <w:bCs/>
          <w:sz w:val="24"/>
          <w:szCs w:val="24"/>
          <w:lang w:val="en-GB"/>
        </w:rPr>
        <w:t xml:space="preserve"> patient groups appear to be quite different</w:t>
      </w:r>
      <w:r w:rsidR="00AC4E30">
        <w:rPr>
          <w:rFonts w:asciiTheme="minorHAnsi" w:hAnsiTheme="minorHAnsi"/>
          <w:bCs/>
          <w:sz w:val="24"/>
          <w:szCs w:val="24"/>
          <w:lang w:val="en-GB"/>
        </w:rPr>
        <w:t>;</w:t>
      </w:r>
    </w:p>
    <w:p w:rsidR="00A67BF2" w:rsidRDefault="00A67BF2" w:rsidP="00AC4E30">
      <w:pPr>
        <w:widowControl/>
        <w:numPr>
          <w:ilvl w:val="2"/>
          <w:numId w:val="1"/>
        </w:numPr>
        <w:spacing w:after="120"/>
        <w:ind w:left="851" w:hanging="284"/>
        <w:rPr>
          <w:rFonts w:asciiTheme="minorHAnsi" w:hAnsiTheme="minorHAnsi"/>
          <w:bCs/>
          <w:sz w:val="24"/>
          <w:szCs w:val="24"/>
          <w:lang w:val="en-GB"/>
        </w:rPr>
      </w:pPr>
      <w:r>
        <w:rPr>
          <w:rFonts w:asciiTheme="minorHAnsi" w:hAnsiTheme="minorHAnsi"/>
          <w:bCs/>
          <w:sz w:val="24"/>
          <w:szCs w:val="24"/>
          <w:lang w:val="en-GB"/>
        </w:rPr>
        <w:t xml:space="preserve">the </w:t>
      </w:r>
      <w:r w:rsidR="00AC4E30">
        <w:rPr>
          <w:rFonts w:asciiTheme="minorHAnsi" w:hAnsiTheme="minorHAnsi"/>
          <w:bCs/>
          <w:sz w:val="24"/>
          <w:szCs w:val="24"/>
          <w:lang w:val="en-GB"/>
        </w:rPr>
        <w:t xml:space="preserve">size of the </w:t>
      </w:r>
      <w:r w:rsidRPr="00A67BF2">
        <w:rPr>
          <w:rFonts w:asciiTheme="minorHAnsi" w:hAnsiTheme="minorHAnsi"/>
          <w:bCs/>
          <w:sz w:val="24"/>
          <w:szCs w:val="24"/>
          <w:lang w:val="en-GB"/>
        </w:rPr>
        <w:t>juvenile- and adult-onset</w:t>
      </w:r>
      <w:r>
        <w:rPr>
          <w:rFonts w:asciiTheme="minorHAnsi" w:hAnsiTheme="minorHAnsi"/>
          <w:bCs/>
          <w:sz w:val="24"/>
          <w:szCs w:val="24"/>
          <w:lang w:val="en-GB"/>
        </w:rPr>
        <w:t xml:space="preserve"> patient population </w:t>
      </w:r>
      <w:r w:rsidR="00AC4E30">
        <w:rPr>
          <w:rFonts w:asciiTheme="minorHAnsi" w:hAnsiTheme="minorHAnsi"/>
          <w:bCs/>
          <w:sz w:val="24"/>
          <w:szCs w:val="24"/>
          <w:lang w:val="en-GB"/>
        </w:rPr>
        <w:t>who would likely seek treatment through the PBS is comparable to other conditions with PBS subsidised treatment</w:t>
      </w:r>
      <w:r w:rsidR="00EF3728">
        <w:rPr>
          <w:rFonts w:asciiTheme="minorHAnsi" w:hAnsiTheme="minorHAnsi"/>
          <w:bCs/>
          <w:sz w:val="24"/>
          <w:szCs w:val="24"/>
          <w:lang w:val="en-GB"/>
        </w:rPr>
        <w:t>s</w:t>
      </w:r>
      <w:r w:rsidR="00AC4E30">
        <w:rPr>
          <w:rFonts w:asciiTheme="minorHAnsi" w:hAnsiTheme="minorHAnsi"/>
          <w:bCs/>
          <w:sz w:val="24"/>
          <w:szCs w:val="24"/>
          <w:lang w:val="en-GB"/>
        </w:rPr>
        <w:t xml:space="preserve">, and very large compared to most LSDP funded conditions; and </w:t>
      </w:r>
    </w:p>
    <w:p w:rsidR="00A67BF2" w:rsidRDefault="00A67BF2" w:rsidP="00AC4E30">
      <w:pPr>
        <w:widowControl/>
        <w:numPr>
          <w:ilvl w:val="2"/>
          <w:numId w:val="1"/>
        </w:numPr>
        <w:spacing w:after="120"/>
        <w:ind w:left="851" w:hanging="284"/>
        <w:rPr>
          <w:rFonts w:asciiTheme="minorHAnsi" w:hAnsiTheme="minorHAnsi"/>
          <w:bCs/>
          <w:sz w:val="24"/>
          <w:szCs w:val="24"/>
          <w:lang w:val="en-GB"/>
        </w:rPr>
      </w:pPr>
      <w:proofErr w:type="gramStart"/>
      <w:r>
        <w:rPr>
          <w:rFonts w:asciiTheme="minorHAnsi" w:hAnsiTheme="minorHAnsi"/>
          <w:bCs/>
          <w:sz w:val="24"/>
          <w:szCs w:val="24"/>
          <w:lang w:val="en-GB"/>
        </w:rPr>
        <w:t>whilst</w:t>
      </w:r>
      <w:proofErr w:type="gramEnd"/>
      <w:r>
        <w:rPr>
          <w:rFonts w:asciiTheme="minorHAnsi" w:hAnsiTheme="minorHAnsi"/>
          <w:bCs/>
          <w:sz w:val="24"/>
          <w:szCs w:val="24"/>
          <w:lang w:val="en-GB"/>
        </w:rPr>
        <w:t xml:space="preserve"> a number of genetic conditions resulting in enzyme deficiencies currently have treatments subsidised through the LSDP, pharmacological treatments for other genetic conditions</w:t>
      </w:r>
      <w:r w:rsidR="00EF3728">
        <w:rPr>
          <w:rFonts w:asciiTheme="minorHAnsi" w:hAnsiTheme="minorHAnsi"/>
          <w:bCs/>
          <w:sz w:val="24"/>
          <w:szCs w:val="24"/>
          <w:lang w:val="en-GB"/>
        </w:rPr>
        <w:t>,</w:t>
      </w:r>
      <w:r>
        <w:rPr>
          <w:rFonts w:asciiTheme="minorHAnsi" w:hAnsiTheme="minorHAnsi"/>
          <w:bCs/>
          <w:sz w:val="24"/>
          <w:szCs w:val="24"/>
          <w:lang w:val="en-GB"/>
        </w:rPr>
        <w:t xml:space="preserve"> including cystic fibrosis,</w:t>
      </w:r>
      <w:r w:rsidR="00AC4E30">
        <w:rPr>
          <w:rFonts w:asciiTheme="minorHAnsi" w:hAnsiTheme="minorHAnsi"/>
          <w:bCs/>
          <w:sz w:val="24"/>
          <w:szCs w:val="24"/>
          <w:lang w:val="en-GB"/>
        </w:rPr>
        <w:t xml:space="preserve"> are subsidised through the PBS.</w:t>
      </w:r>
    </w:p>
    <w:p w:rsidR="00071F77" w:rsidRPr="00A64F53" w:rsidRDefault="00A67BF2" w:rsidP="00E22521">
      <w:pPr>
        <w:widowControl/>
        <w:numPr>
          <w:ilvl w:val="1"/>
          <w:numId w:val="1"/>
        </w:numPr>
        <w:spacing w:after="120"/>
        <w:ind w:left="709" w:hanging="567"/>
        <w:rPr>
          <w:rFonts w:asciiTheme="minorHAnsi" w:hAnsiTheme="minorHAnsi"/>
          <w:bCs/>
          <w:sz w:val="24"/>
          <w:szCs w:val="24"/>
          <w:lang w:val="en-GB"/>
        </w:rPr>
      </w:pPr>
      <w:r>
        <w:rPr>
          <w:rFonts w:asciiTheme="minorHAnsi" w:hAnsiTheme="minorHAnsi"/>
          <w:bCs/>
          <w:sz w:val="24"/>
          <w:szCs w:val="24"/>
          <w:lang w:val="en-GB"/>
        </w:rPr>
        <w:t xml:space="preserve">The PBAC considered that </w:t>
      </w:r>
      <w:r w:rsidR="00EF3728">
        <w:rPr>
          <w:rFonts w:asciiTheme="minorHAnsi" w:hAnsiTheme="minorHAnsi"/>
          <w:bCs/>
          <w:sz w:val="24"/>
          <w:szCs w:val="24"/>
          <w:lang w:val="en-GB"/>
        </w:rPr>
        <w:t>if</w:t>
      </w:r>
      <w:r w:rsidR="00A64F53">
        <w:rPr>
          <w:rFonts w:asciiTheme="minorHAnsi" w:hAnsiTheme="minorHAnsi"/>
          <w:bCs/>
          <w:sz w:val="24"/>
          <w:szCs w:val="24"/>
          <w:lang w:val="en-GB"/>
        </w:rPr>
        <w:t xml:space="preserve"> th</w:t>
      </w:r>
      <w:r>
        <w:rPr>
          <w:rFonts w:asciiTheme="minorHAnsi" w:hAnsiTheme="minorHAnsi"/>
          <w:bCs/>
          <w:sz w:val="24"/>
          <w:szCs w:val="24"/>
          <w:lang w:val="en-GB"/>
        </w:rPr>
        <w:t>e</w:t>
      </w:r>
      <w:r w:rsidR="00A64F53">
        <w:rPr>
          <w:rFonts w:asciiTheme="minorHAnsi" w:hAnsiTheme="minorHAnsi"/>
          <w:bCs/>
          <w:sz w:val="24"/>
          <w:szCs w:val="24"/>
          <w:lang w:val="en-GB"/>
        </w:rPr>
        <w:t xml:space="preserve"> sponsor wishes to pursue PBS listing for juvenile-</w:t>
      </w:r>
      <w:r>
        <w:rPr>
          <w:rFonts w:asciiTheme="minorHAnsi" w:hAnsiTheme="minorHAnsi"/>
          <w:bCs/>
          <w:sz w:val="24"/>
          <w:szCs w:val="24"/>
          <w:lang w:val="en-GB"/>
        </w:rPr>
        <w:t xml:space="preserve"> and adult-</w:t>
      </w:r>
      <w:r w:rsidR="00A64F53">
        <w:rPr>
          <w:rFonts w:asciiTheme="minorHAnsi" w:hAnsiTheme="minorHAnsi"/>
          <w:bCs/>
          <w:sz w:val="24"/>
          <w:szCs w:val="24"/>
          <w:lang w:val="en-GB"/>
        </w:rPr>
        <w:t xml:space="preserve">onset HPP, a major resubmission would need to </w:t>
      </w:r>
      <w:r w:rsidR="002C6267" w:rsidRPr="00A64F53">
        <w:rPr>
          <w:rFonts w:asciiTheme="minorHAnsi" w:hAnsiTheme="minorHAnsi"/>
          <w:bCs/>
          <w:sz w:val="24"/>
          <w:szCs w:val="24"/>
          <w:lang w:val="en-GB"/>
        </w:rPr>
        <w:t xml:space="preserve">establish </w:t>
      </w:r>
      <w:r w:rsidR="00324E48" w:rsidRPr="00A64F53">
        <w:rPr>
          <w:rFonts w:asciiTheme="minorHAnsi" w:hAnsiTheme="minorHAnsi"/>
          <w:bCs/>
          <w:sz w:val="24"/>
          <w:szCs w:val="24"/>
          <w:lang w:val="en-GB"/>
        </w:rPr>
        <w:t xml:space="preserve">both </w:t>
      </w:r>
      <w:r w:rsidR="002C6267" w:rsidRPr="00A64F53">
        <w:rPr>
          <w:rFonts w:asciiTheme="minorHAnsi" w:hAnsiTheme="minorHAnsi"/>
          <w:bCs/>
          <w:sz w:val="24"/>
          <w:szCs w:val="24"/>
          <w:lang w:val="en-GB"/>
        </w:rPr>
        <w:t xml:space="preserve">the clinical and cost effectiveness of treatment with </w:t>
      </w:r>
      <w:proofErr w:type="spellStart"/>
      <w:r w:rsidR="002C6267" w:rsidRPr="00A64F53">
        <w:rPr>
          <w:rFonts w:asciiTheme="minorHAnsi" w:hAnsiTheme="minorHAnsi"/>
          <w:bCs/>
          <w:sz w:val="24"/>
          <w:szCs w:val="24"/>
          <w:lang w:val="en-GB"/>
        </w:rPr>
        <w:t>afotase</w:t>
      </w:r>
      <w:proofErr w:type="spellEnd"/>
      <w:r w:rsidR="002C6267" w:rsidRPr="00A64F53">
        <w:rPr>
          <w:rFonts w:asciiTheme="minorHAnsi" w:hAnsiTheme="minorHAnsi"/>
          <w:bCs/>
          <w:sz w:val="24"/>
          <w:szCs w:val="24"/>
          <w:lang w:val="en-GB"/>
        </w:rPr>
        <w:t xml:space="preserve"> alfa </w:t>
      </w:r>
      <w:proofErr w:type="spellStart"/>
      <w:r w:rsidR="002C6267" w:rsidRPr="0076633C">
        <w:rPr>
          <w:rFonts w:asciiTheme="minorHAnsi" w:hAnsiTheme="minorHAnsi"/>
          <w:bCs/>
          <w:i/>
          <w:sz w:val="24"/>
          <w:szCs w:val="24"/>
          <w:lang w:val="en-GB"/>
        </w:rPr>
        <w:t>rch</w:t>
      </w:r>
      <w:proofErr w:type="spellEnd"/>
      <w:r w:rsidR="00324E48" w:rsidRPr="00A64F53">
        <w:rPr>
          <w:rFonts w:asciiTheme="minorHAnsi" w:hAnsiTheme="minorHAnsi"/>
          <w:bCs/>
          <w:sz w:val="24"/>
          <w:szCs w:val="24"/>
          <w:lang w:val="en-GB"/>
        </w:rPr>
        <w:t xml:space="preserve"> compared with best supportive care. </w:t>
      </w:r>
      <w:r w:rsidR="00A64F53">
        <w:rPr>
          <w:rFonts w:asciiTheme="minorHAnsi" w:hAnsiTheme="minorHAnsi"/>
          <w:bCs/>
          <w:sz w:val="24"/>
          <w:szCs w:val="24"/>
          <w:lang w:val="en-GB"/>
        </w:rPr>
        <w:t xml:space="preserve">The sponsor may wish </w:t>
      </w:r>
      <w:r w:rsidR="002C6267" w:rsidRPr="00A64F53">
        <w:rPr>
          <w:rFonts w:asciiTheme="minorHAnsi" w:hAnsiTheme="minorHAnsi"/>
          <w:bCs/>
          <w:sz w:val="24"/>
          <w:szCs w:val="24"/>
          <w:lang w:val="en-GB"/>
        </w:rPr>
        <w:t xml:space="preserve">to </w:t>
      </w:r>
      <w:r w:rsidR="00A64F53">
        <w:rPr>
          <w:rFonts w:asciiTheme="minorHAnsi" w:hAnsiTheme="minorHAnsi"/>
          <w:bCs/>
          <w:sz w:val="24"/>
          <w:szCs w:val="24"/>
          <w:lang w:val="en-GB"/>
        </w:rPr>
        <w:t>identify</w:t>
      </w:r>
      <w:r w:rsidR="00A64F53" w:rsidRPr="00A64F53">
        <w:rPr>
          <w:rFonts w:asciiTheme="minorHAnsi" w:hAnsiTheme="minorHAnsi"/>
          <w:bCs/>
          <w:sz w:val="24"/>
          <w:szCs w:val="24"/>
          <w:lang w:val="en-GB"/>
        </w:rPr>
        <w:t xml:space="preserve"> </w:t>
      </w:r>
      <w:r w:rsidR="00A005BD" w:rsidRPr="00A64F53">
        <w:rPr>
          <w:rFonts w:asciiTheme="minorHAnsi" w:hAnsiTheme="minorHAnsi"/>
          <w:bCs/>
          <w:sz w:val="24"/>
          <w:szCs w:val="24"/>
          <w:lang w:val="en-GB"/>
        </w:rPr>
        <w:t>a</w:t>
      </w:r>
      <w:r w:rsidR="002C6267" w:rsidRPr="00A64F53">
        <w:rPr>
          <w:rFonts w:asciiTheme="minorHAnsi" w:hAnsiTheme="minorHAnsi"/>
          <w:bCs/>
          <w:sz w:val="24"/>
          <w:szCs w:val="24"/>
          <w:lang w:val="en-GB"/>
        </w:rPr>
        <w:t xml:space="preserve"> more specific patient population in which cost-effectiveness might be improved compared </w:t>
      </w:r>
      <w:r w:rsidR="00A64F53">
        <w:rPr>
          <w:rFonts w:asciiTheme="minorHAnsi" w:hAnsiTheme="minorHAnsi"/>
          <w:bCs/>
          <w:sz w:val="24"/>
          <w:szCs w:val="24"/>
          <w:lang w:val="en-GB"/>
        </w:rPr>
        <w:t>with</w:t>
      </w:r>
      <w:r w:rsidR="00A64F53" w:rsidRPr="00A64F53">
        <w:rPr>
          <w:rFonts w:asciiTheme="minorHAnsi" w:hAnsiTheme="minorHAnsi"/>
          <w:bCs/>
          <w:sz w:val="24"/>
          <w:szCs w:val="24"/>
          <w:lang w:val="en-GB"/>
        </w:rPr>
        <w:t xml:space="preserve"> </w:t>
      </w:r>
      <w:r w:rsidR="002C6267" w:rsidRPr="00A64F53">
        <w:rPr>
          <w:rFonts w:asciiTheme="minorHAnsi" w:hAnsiTheme="minorHAnsi"/>
          <w:bCs/>
          <w:sz w:val="24"/>
          <w:szCs w:val="24"/>
          <w:lang w:val="en-GB"/>
        </w:rPr>
        <w:t xml:space="preserve">the current submission’s proposed patient population. </w:t>
      </w:r>
      <w:r w:rsidR="00A64F53">
        <w:rPr>
          <w:rFonts w:asciiTheme="minorHAnsi" w:hAnsiTheme="minorHAnsi"/>
          <w:bCs/>
          <w:sz w:val="24"/>
          <w:szCs w:val="24"/>
          <w:lang w:val="en-GB"/>
        </w:rPr>
        <w:t xml:space="preserve">However, the PBAC considered that even in a more specific patient population, a substantial price reduction would likely be required for </w:t>
      </w:r>
      <w:proofErr w:type="spellStart"/>
      <w:r w:rsidR="00884148" w:rsidRPr="00884148">
        <w:rPr>
          <w:rFonts w:asciiTheme="minorHAnsi" w:hAnsiTheme="minorHAnsi"/>
          <w:bCs/>
          <w:sz w:val="24"/>
          <w:szCs w:val="24"/>
          <w:lang w:val="en-GB"/>
        </w:rPr>
        <w:t>asfotase</w:t>
      </w:r>
      <w:proofErr w:type="spellEnd"/>
      <w:r w:rsidR="00884148" w:rsidRPr="00884148">
        <w:rPr>
          <w:rFonts w:asciiTheme="minorHAnsi" w:hAnsiTheme="minorHAnsi"/>
          <w:bCs/>
          <w:sz w:val="24"/>
          <w:szCs w:val="24"/>
          <w:lang w:val="en-GB"/>
        </w:rPr>
        <w:t xml:space="preserve"> alfa </w:t>
      </w:r>
      <w:proofErr w:type="spellStart"/>
      <w:r w:rsidR="00884148" w:rsidRPr="00884148">
        <w:rPr>
          <w:rFonts w:asciiTheme="minorHAnsi" w:hAnsiTheme="minorHAnsi"/>
          <w:bCs/>
          <w:i/>
          <w:sz w:val="24"/>
          <w:szCs w:val="24"/>
          <w:lang w:val="en-GB"/>
        </w:rPr>
        <w:t>rch</w:t>
      </w:r>
      <w:proofErr w:type="spellEnd"/>
      <w:r w:rsidR="00884148" w:rsidRPr="00884148">
        <w:rPr>
          <w:rFonts w:asciiTheme="minorHAnsi" w:hAnsiTheme="minorHAnsi"/>
          <w:bCs/>
          <w:sz w:val="24"/>
          <w:szCs w:val="24"/>
          <w:lang w:val="en-GB"/>
        </w:rPr>
        <w:t xml:space="preserve"> </w:t>
      </w:r>
      <w:r w:rsidR="00A64F53" w:rsidRPr="00A64F53">
        <w:rPr>
          <w:rFonts w:asciiTheme="minorHAnsi" w:hAnsiTheme="minorHAnsi"/>
          <w:bCs/>
          <w:sz w:val="24"/>
          <w:szCs w:val="24"/>
          <w:lang w:val="en-GB"/>
        </w:rPr>
        <w:t xml:space="preserve">to be considered </w:t>
      </w:r>
      <w:r w:rsidR="00A64F53">
        <w:rPr>
          <w:rFonts w:asciiTheme="minorHAnsi" w:hAnsiTheme="minorHAnsi"/>
          <w:bCs/>
          <w:sz w:val="24"/>
          <w:szCs w:val="24"/>
          <w:lang w:val="en-GB"/>
        </w:rPr>
        <w:t>to be suitably cost-</w:t>
      </w:r>
      <w:r w:rsidR="00A64F53" w:rsidRPr="00A64F53">
        <w:rPr>
          <w:rFonts w:asciiTheme="minorHAnsi" w:hAnsiTheme="minorHAnsi"/>
          <w:bCs/>
          <w:sz w:val="24"/>
          <w:szCs w:val="24"/>
          <w:lang w:val="en-GB"/>
        </w:rPr>
        <w:t>effective to enable a recomm</w:t>
      </w:r>
      <w:r w:rsidR="00E22521">
        <w:rPr>
          <w:rFonts w:asciiTheme="minorHAnsi" w:hAnsiTheme="minorHAnsi"/>
          <w:bCs/>
          <w:sz w:val="24"/>
          <w:szCs w:val="24"/>
          <w:lang w:val="en-GB"/>
        </w:rPr>
        <w:t>endation for listing on the PBS.</w:t>
      </w:r>
    </w:p>
    <w:p w:rsidR="00A409FF" w:rsidRPr="00A947D8" w:rsidRDefault="008D1772" w:rsidP="00E22521">
      <w:pPr>
        <w:widowControl/>
        <w:numPr>
          <w:ilvl w:val="1"/>
          <w:numId w:val="1"/>
        </w:numPr>
        <w:spacing w:after="120"/>
        <w:ind w:left="709" w:hanging="567"/>
        <w:rPr>
          <w:rFonts w:asciiTheme="minorHAnsi" w:hAnsiTheme="minorHAnsi"/>
          <w:b/>
          <w:bCs/>
          <w:sz w:val="24"/>
          <w:szCs w:val="24"/>
          <w:lang w:val="en-GB"/>
        </w:rPr>
      </w:pPr>
      <w:r w:rsidRPr="00A947D8">
        <w:rPr>
          <w:rFonts w:asciiTheme="minorHAnsi" w:hAnsiTheme="minorHAnsi"/>
          <w:bCs/>
          <w:sz w:val="24"/>
          <w:szCs w:val="24"/>
          <w:lang w:val="en-GB"/>
        </w:rPr>
        <w:t xml:space="preserve">The PBAC noted that this submission is eligible for an Independent Review. </w:t>
      </w:r>
    </w:p>
    <w:p w:rsidR="00A409FF" w:rsidRDefault="00A409FF" w:rsidP="005123EA">
      <w:pPr>
        <w:widowControl/>
        <w:spacing w:after="120"/>
        <w:ind w:left="720"/>
        <w:jc w:val="left"/>
        <w:rPr>
          <w:rFonts w:asciiTheme="minorHAnsi" w:hAnsiTheme="minorHAnsi"/>
          <w:b/>
          <w:bCs/>
          <w:sz w:val="24"/>
          <w:szCs w:val="24"/>
          <w:highlight w:val="yellow"/>
          <w:lang w:val="en-GB"/>
        </w:rPr>
      </w:pPr>
    </w:p>
    <w:p w:rsidR="008D1772" w:rsidRPr="00773708" w:rsidRDefault="008D1772" w:rsidP="005123EA">
      <w:pPr>
        <w:widowControl/>
        <w:jc w:val="left"/>
        <w:rPr>
          <w:rFonts w:asciiTheme="minorHAnsi" w:hAnsiTheme="minorHAnsi"/>
          <w:b/>
          <w:bCs/>
          <w:sz w:val="24"/>
          <w:szCs w:val="24"/>
          <w:lang w:val="en-GB"/>
        </w:rPr>
      </w:pPr>
      <w:r w:rsidRPr="00773708">
        <w:rPr>
          <w:rFonts w:asciiTheme="minorHAnsi" w:hAnsiTheme="minorHAnsi"/>
          <w:b/>
          <w:bCs/>
          <w:sz w:val="24"/>
          <w:szCs w:val="24"/>
          <w:lang w:val="en-GB"/>
        </w:rPr>
        <w:t>Outcome:</w:t>
      </w:r>
    </w:p>
    <w:p w:rsidR="008D1772" w:rsidRPr="00773708" w:rsidRDefault="008D1772" w:rsidP="005123EA">
      <w:pPr>
        <w:widowControl/>
        <w:rPr>
          <w:rFonts w:asciiTheme="minorHAnsi" w:hAnsiTheme="minorHAnsi"/>
          <w:bCs/>
          <w:sz w:val="24"/>
          <w:szCs w:val="24"/>
          <w:lang w:val="en-GB"/>
        </w:rPr>
      </w:pPr>
      <w:r w:rsidRPr="00773708">
        <w:rPr>
          <w:rFonts w:asciiTheme="minorHAnsi" w:hAnsiTheme="minorHAnsi"/>
          <w:bCs/>
          <w:sz w:val="24"/>
          <w:szCs w:val="24"/>
          <w:lang w:val="en-GB"/>
        </w:rPr>
        <w:t xml:space="preserve">Rejected </w:t>
      </w:r>
    </w:p>
    <w:p w:rsidR="00D721AA" w:rsidRPr="00D721AA" w:rsidRDefault="00D721AA" w:rsidP="00D721AA">
      <w:pPr>
        <w:pStyle w:val="Heading1"/>
        <w:ind w:left="567" w:hanging="567"/>
      </w:pPr>
      <w:r w:rsidRPr="00D721AA">
        <w:t>Context for Decision</w:t>
      </w:r>
    </w:p>
    <w:p w:rsidR="00D721AA" w:rsidRPr="0005456A" w:rsidRDefault="00D721AA" w:rsidP="00D721AA">
      <w:pPr>
        <w:ind w:left="426"/>
        <w:rPr>
          <w:rFonts w:asciiTheme="minorHAnsi" w:hAnsiTheme="minorHAnsi"/>
          <w:sz w:val="24"/>
          <w:szCs w:val="24"/>
        </w:rPr>
      </w:pPr>
    </w:p>
    <w:p w:rsidR="00D721AA" w:rsidRPr="00DF1A96" w:rsidRDefault="00D721AA" w:rsidP="00DF1A96">
      <w:pPr>
        <w:rPr>
          <w:rFonts w:asciiTheme="minorHAnsi" w:hAnsiTheme="minorHAnsi"/>
          <w:sz w:val="24"/>
          <w:szCs w:val="24"/>
        </w:rPr>
      </w:pPr>
      <w:r w:rsidRPr="0005456A">
        <w:rPr>
          <w:rFonts w:asciiTheme="minorHAnsi" w:hAnsiTheme="minorHAnsi"/>
          <w:sz w:val="24"/>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721AA" w:rsidRPr="00D721AA" w:rsidRDefault="00D721AA" w:rsidP="00D721AA">
      <w:pPr>
        <w:pStyle w:val="Heading1"/>
        <w:ind w:left="567" w:hanging="567"/>
      </w:pPr>
      <w:r w:rsidRPr="00D721AA">
        <w:t>Sponsor’s Comment</w:t>
      </w:r>
    </w:p>
    <w:p w:rsidR="005D59A4" w:rsidRPr="00D465BB" w:rsidRDefault="005D59A4" w:rsidP="005D59A4">
      <w:pPr>
        <w:spacing w:after="120"/>
        <w:rPr>
          <w:rFonts w:asciiTheme="minorHAnsi" w:hAnsiTheme="minorHAnsi"/>
          <w:bCs/>
          <w:sz w:val="24"/>
          <w:szCs w:val="24"/>
        </w:rPr>
      </w:pPr>
      <w:r w:rsidRPr="00D465BB">
        <w:rPr>
          <w:rFonts w:asciiTheme="minorHAnsi" w:hAnsiTheme="minorHAnsi"/>
          <w:bCs/>
          <w:sz w:val="24"/>
          <w:szCs w:val="24"/>
          <w:lang w:val="en-GB"/>
        </w:rPr>
        <w:t xml:space="preserve">Alexion is actively seeking an expedited LSDP listing for all patients with Perinatal/Infantile-Onset HPP to ensure timely access for </w:t>
      </w:r>
      <w:proofErr w:type="spellStart"/>
      <w:r w:rsidRPr="00D465BB">
        <w:rPr>
          <w:rFonts w:asciiTheme="minorHAnsi" w:hAnsiTheme="minorHAnsi"/>
          <w:bCs/>
          <w:sz w:val="24"/>
          <w:szCs w:val="24"/>
          <w:lang w:val="en-GB"/>
        </w:rPr>
        <w:t>asfotase</w:t>
      </w:r>
      <w:proofErr w:type="spellEnd"/>
      <w:r w:rsidRPr="00D465BB">
        <w:rPr>
          <w:rFonts w:asciiTheme="minorHAnsi" w:hAnsiTheme="minorHAnsi"/>
          <w:bCs/>
          <w:sz w:val="24"/>
          <w:szCs w:val="24"/>
          <w:lang w:val="en-GB"/>
        </w:rPr>
        <w:t xml:space="preserve"> alfa </w:t>
      </w:r>
      <w:proofErr w:type="spellStart"/>
      <w:r w:rsidRPr="00D465BB">
        <w:rPr>
          <w:rFonts w:asciiTheme="minorHAnsi" w:hAnsiTheme="minorHAnsi"/>
          <w:bCs/>
          <w:sz w:val="24"/>
          <w:szCs w:val="24"/>
          <w:lang w:val="en-GB"/>
        </w:rPr>
        <w:t>rch</w:t>
      </w:r>
      <w:proofErr w:type="spellEnd"/>
      <w:r w:rsidRPr="00D465BB">
        <w:rPr>
          <w:rFonts w:asciiTheme="minorHAnsi" w:hAnsiTheme="minorHAnsi"/>
          <w:bCs/>
          <w:sz w:val="24"/>
          <w:szCs w:val="24"/>
        </w:rPr>
        <w:t xml:space="preserve">.  </w:t>
      </w:r>
    </w:p>
    <w:p w:rsidR="008D1772" w:rsidRPr="00CB3C55" w:rsidRDefault="005D59A4" w:rsidP="00F178DB">
      <w:pPr>
        <w:spacing w:after="120"/>
        <w:rPr>
          <w:i/>
        </w:rPr>
      </w:pPr>
      <w:r w:rsidRPr="00D465BB">
        <w:rPr>
          <w:rFonts w:asciiTheme="minorHAnsi" w:hAnsiTheme="minorHAnsi"/>
          <w:bCs/>
          <w:sz w:val="24"/>
          <w:szCs w:val="24"/>
        </w:rPr>
        <w:t xml:space="preserve">Juvenile-onset HPP is also an ultra-rare disease associated with significant disease burden severely affecting patients’ quality of life as highlighted by the patient representatives and reflected in the published evidence. Alexion intends to work with the Dept. of Health to explore appropriate ways to secure access for patients with juvenile-onset HPP. </w:t>
      </w:r>
    </w:p>
    <w:sectPr w:rsidR="008D1772" w:rsidRPr="00CB3C55" w:rsidSect="00E2252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B2E" w:rsidRDefault="00551B2E" w:rsidP="00124A51">
      <w:r>
        <w:separator/>
      </w:r>
    </w:p>
  </w:endnote>
  <w:endnote w:type="continuationSeparator" w:id="0">
    <w:p w:rsidR="00551B2E" w:rsidRDefault="00551B2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2E" w:rsidRDefault="00551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68265"/>
      <w:docPartObj>
        <w:docPartGallery w:val="Page Numbers (Bottom of Page)"/>
        <w:docPartUnique/>
      </w:docPartObj>
    </w:sdtPr>
    <w:sdtEndPr>
      <w:rPr>
        <w:noProof/>
      </w:rPr>
    </w:sdtEndPr>
    <w:sdtContent>
      <w:p w:rsidR="00AD69AD" w:rsidRDefault="00AD69AD">
        <w:pPr>
          <w:pStyle w:val="Footer"/>
          <w:jc w:val="center"/>
        </w:pPr>
        <w:r>
          <w:fldChar w:fldCharType="begin"/>
        </w:r>
        <w:r>
          <w:instrText xml:space="preserve"> PAGE   \* MERGEFORMAT </w:instrText>
        </w:r>
        <w:r>
          <w:fldChar w:fldCharType="separate"/>
        </w:r>
        <w:r w:rsidR="00F178DB">
          <w:rPr>
            <w:noProof/>
          </w:rPr>
          <w:t>26</w:t>
        </w:r>
        <w:r>
          <w:rPr>
            <w:noProof/>
          </w:rPr>
          <w:fldChar w:fldCharType="end"/>
        </w:r>
      </w:p>
    </w:sdtContent>
  </w:sdt>
  <w:p w:rsidR="00AD69AD" w:rsidRPr="00F441A3" w:rsidRDefault="00AD69AD" w:rsidP="00F441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2E" w:rsidRDefault="00551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B2E" w:rsidRDefault="00551B2E" w:rsidP="00124A51">
      <w:r>
        <w:separator/>
      </w:r>
    </w:p>
  </w:footnote>
  <w:footnote w:type="continuationSeparator" w:id="0">
    <w:p w:rsidR="00551B2E" w:rsidRDefault="00551B2E"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2E" w:rsidRDefault="00551B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9AD" w:rsidRPr="00232437" w:rsidRDefault="00AD69AD" w:rsidP="00F441A3">
    <w:pPr>
      <w:pStyle w:val="Footer"/>
      <w:jc w:val="center"/>
      <w:rPr>
        <w:rFonts w:asciiTheme="minorHAnsi" w:hAnsiTheme="minorHAnsi"/>
        <w:i/>
        <w:sz w:val="24"/>
        <w:szCs w:val="24"/>
      </w:rPr>
    </w:pPr>
    <w:r>
      <w:rPr>
        <w:rFonts w:asciiTheme="minorHAnsi" w:hAnsiTheme="minorHAnsi"/>
        <w:bCs/>
        <w:i/>
        <w:sz w:val="24"/>
        <w:szCs w:val="24"/>
      </w:rPr>
      <w:t>Public Summary Document</w:t>
    </w:r>
    <w:r w:rsidRPr="00232437">
      <w:rPr>
        <w:rFonts w:asciiTheme="minorHAnsi" w:hAnsiTheme="minorHAnsi"/>
        <w:bCs/>
        <w:i/>
        <w:sz w:val="24"/>
        <w:szCs w:val="24"/>
      </w:rPr>
      <w:t xml:space="preserve"> -July 2017 PBAC meeting</w:t>
    </w:r>
  </w:p>
  <w:p w:rsidR="00AD69AD" w:rsidRPr="00FE4046" w:rsidRDefault="00AD69AD" w:rsidP="006B5203">
    <w:pPr>
      <w:pStyle w:val="Header"/>
      <w:tabs>
        <w:tab w:val="clear" w:pos="4513"/>
        <w:tab w:val="left" w:pos="7513"/>
        <w:tab w:val="left" w:pos="8931"/>
        <w:tab w:val="left" w:pos="9026"/>
      </w:tabs>
      <w:jc w:val="left"/>
      <w:rPr>
        <w:rFonts w:ascii="Calibri" w:hAnsi="Calibri"/>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B2E" w:rsidRDefault="00551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A864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A592F4F"/>
    <w:multiLevelType w:val="hybridMultilevel"/>
    <w:tmpl w:val="4F5AAAE8"/>
    <w:lvl w:ilvl="0" w:tplc="81565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B041A9"/>
    <w:multiLevelType w:val="hybridMultilevel"/>
    <w:tmpl w:val="BB82FDE4"/>
    <w:lvl w:ilvl="0" w:tplc="C3F8962C">
      <w:start w:val="1"/>
      <w:numFmt w:val="decimal"/>
      <w:pStyle w:val="AlexionHeading991"/>
      <w:lvlText w:val="9.9.%1"/>
      <w:lvlJc w:val="left"/>
      <w:pPr>
        <w:ind w:left="1400" w:hanging="360"/>
      </w:pPr>
      <w:rPr>
        <w:rFonts w:hint="default"/>
        <w:spacing w:val="4"/>
        <w:kern w:val="22"/>
        <w:position w:val="0"/>
        <w:sz w:val="22"/>
        <w:szCs w:val="22"/>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
    <w:nsid w:val="16BB3AB2"/>
    <w:multiLevelType w:val="hybridMultilevel"/>
    <w:tmpl w:val="0308A550"/>
    <w:lvl w:ilvl="0" w:tplc="1D360B7A">
      <w:start w:val="1"/>
      <w:numFmt w:val="decimal"/>
      <w:lvlText w:val="7.%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nsid w:val="16BB4224"/>
    <w:multiLevelType w:val="hybridMultilevel"/>
    <w:tmpl w:val="BFE0846C"/>
    <w:lvl w:ilvl="0" w:tplc="99FAA3B4">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515C9D"/>
    <w:multiLevelType w:val="multilevel"/>
    <w:tmpl w:val="4E86B87E"/>
    <w:lvl w:ilvl="0">
      <w:start w:val="2"/>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bullet"/>
      <w:lvlText w:val="o"/>
      <w:lvlJc w:val="left"/>
      <w:pPr>
        <w:ind w:left="720" w:hanging="720"/>
      </w:pPr>
      <w:rPr>
        <w:rFonts w:ascii="Courier New" w:hAnsi="Courier New" w:cs="Courier New" w:hint="default"/>
      </w:rPr>
    </w:lvl>
    <w:lvl w:ilvl="3">
      <w:start w:val="1"/>
      <w:numFmt w:val="bullet"/>
      <w:lvlText w:val="o"/>
      <w:lvlJc w:val="left"/>
      <w:pPr>
        <w:ind w:left="1080" w:hanging="1080"/>
      </w:pPr>
      <w:rPr>
        <w:rFonts w:ascii="Courier New" w:hAnsi="Courier New" w:cs="Courier New"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A625098"/>
    <w:multiLevelType w:val="multilevel"/>
    <w:tmpl w:val="1F5ECF2C"/>
    <w:lvl w:ilvl="0">
      <w:start w:val="2"/>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numFmt w:val="bullet"/>
      <w:lvlText w:val="-"/>
      <w:lvlJc w:val="left"/>
      <w:pPr>
        <w:ind w:left="1080" w:hanging="1080"/>
      </w:pPr>
      <w:rPr>
        <w:rFonts w:ascii="Times New Roman" w:eastAsia="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84E6825"/>
    <w:multiLevelType w:val="multilevel"/>
    <w:tmpl w:val="5F0E313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bullet"/>
      <w:lvlText w:val=""/>
      <w:lvlJc w:val="left"/>
      <w:pPr>
        <w:ind w:left="720" w:hanging="720"/>
      </w:pPr>
      <w:rPr>
        <w:rFonts w:ascii="Symbol" w:hAnsi="Symbol" w:hint="default"/>
        <w:color w:val="auto"/>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3627C"/>
    <w:multiLevelType w:val="hybridMultilevel"/>
    <w:tmpl w:val="3E92EB58"/>
    <w:lvl w:ilvl="0" w:tplc="0C090001">
      <w:start w:val="1"/>
      <w:numFmt w:val="bullet"/>
      <w:lvlText w:val=""/>
      <w:lvlJc w:val="left"/>
      <w:pPr>
        <w:ind w:left="720" w:hanging="360"/>
      </w:pPr>
      <w:rPr>
        <w:rFonts w:ascii="Symbol" w:hAnsi="Symbol" w:hint="default"/>
      </w:rPr>
    </w:lvl>
    <w:lvl w:ilvl="1" w:tplc="5C1C21FC">
      <w:start w:val="1"/>
      <w:numFmt w:val="bullet"/>
      <w:lvlText w:val="o"/>
      <w:lvlJc w:val="left"/>
      <w:pPr>
        <w:ind w:left="1440" w:hanging="703"/>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CE415E"/>
    <w:multiLevelType w:val="hybridMultilevel"/>
    <w:tmpl w:val="6F3480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F895864"/>
    <w:multiLevelType w:val="hybridMultilevel"/>
    <w:tmpl w:val="9F32BD74"/>
    <w:lvl w:ilvl="0" w:tplc="1D360B7A">
      <w:start w:val="1"/>
      <w:numFmt w:val="decimal"/>
      <w:lvlText w:val="7.%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5423A2"/>
    <w:multiLevelType w:val="hybridMultilevel"/>
    <w:tmpl w:val="69D45A44"/>
    <w:lvl w:ilvl="0" w:tplc="E7880FD2">
      <w:start w:val="2"/>
      <w:numFmt w:val="decimal"/>
      <w:lvlText w:val="%1.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4320FF6"/>
    <w:multiLevelType w:val="hybridMultilevel"/>
    <w:tmpl w:val="285CDC16"/>
    <w:lvl w:ilvl="0" w:tplc="C3EA8AC6">
      <w:start w:val="6"/>
      <w:numFmt w:val="decimal"/>
      <w:lvlText w:val="%1.2"/>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4DB79BF"/>
    <w:multiLevelType w:val="hybridMultilevel"/>
    <w:tmpl w:val="A9C474C6"/>
    <w:lvl w:ilvl="0" w:tplc="7CD6ADB4">
      <w:start w:val="2"/>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DF57B4"/>
    <w:multiLevelType w:val="multilevel"/>
    <w:tmpl w:val="A2CA9FE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99F439A"/>
    <w:multiLevelType w:val="multilevel"/>
    <w:tmpl w:val="73A03ADC"/>
    <w:lvl w:ilvl="0">
      <w:start w:val="2"/>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F573DC8"/>
    <w:multiLevelType w:val="hybridMultilevel"/>
    <w:tmpl w:val="CC5203F8"/>
    <w:lvl w:ilvl="0" w:tplc="C3EA8AC6">
      <w:start w:val="6"/>
      <w:numFmt w:val="decimal"/>
      <w:lvlText w:val="%1.2"/>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7631991"/>
    <w:multiLevelType w:val="multilevel"/>
    <w:tmpl w:val="01601BB0"/>
    <w:lvl w:ilvl="0">
      <w:start w:val="2"/>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84D033C"/>
    <w:multiLevelType w:val="multilevel"/>
    <w:tmpl w:val="B3D2074A"/>
    <w:lvl w:ilvl="0">
      <w:start w:val="2"/>
      <w:numFmt w:val="decimal"/>
      <w:pStyle w:val="PBACHeading1"/>
      <w:lvlText w:val="%1"/>
      <w:lvlJc w:val="left"/>
      <w:pPr>
        <w:ind w:left="720" w:hanging="720"/>
      </w:pPr>
      <w:rPr>
        <w:rFonts w:hint="default"/>
        <w:b/>
      </w:rPr>
    </w:lvl>
    <w:lvl w:ilvl="1">
      <w:start w:val="1"/>
      <w:numFmt w:val="decimal"/>
      <w:lvlText w:val="7.%2"/>
      <w:lvlJc w:val="left"/>
      <w:pPr>
        <w:ind w:left="720" w:hanging="720"/>
      </w:pPr>
      <w:rPr>
        <w:rFonts w:hint="default"/>
        <w:b w:val="0"/>
      </w:rPr>
    </w:lvl>
    <w:lvl w:ilvl="2">
      <w:start w:val="1"/>
      <w:numFmt w:val="bullet"/>
      <w:lvlText w:val=""/>
      <w:lvlJc w:val="left"/>
      <w:pPr>
        <w:ind w:left="720" w:hanging="720"/>
      </w:pPr>
      <w:rPr>
        <w:rFonts w:ascii="Symbol" w:hAnsi="Symbol" w:hint="default"/>
        <w:color w:val="auto"/>
        <w:sz w:val="24"/>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B8B6844"/>
    <w:multiLevelType w:val="multilevel"/>
    <w:tmpl w:val="9670B70A"/>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1"/>
  </w:num>
  <w:num w:numId="2">
    <w:abstractNumId w:val="7"/>
  </w:num>
  <w:num w:numId="3">
    <w:abstractNumId w:val="18"/>
  </w:num>
  <w:num w:numId="4">
    <w:abstractNumId w:val="8"/>
  </w:num>
  <w:num w:numId="5">
    <w:abstractNumId w:val="19"/>
  </w:num>
  <w:num w:numId="6">
    <w:abstractNumId w:val="4"/>
  </w:num>
  <w:num w:numId="7">
    <w:abstractNumId w:val="2"/>
  </w:num>
  <w:num w:numId="8">
    <w:abstractNumId w:val="0"/>
  </w:num>
  <w:num w:numId="9">
    <w:abstractNumId w:val="10"/>
  </w:num>
  <w:num w:numId="10">
    <w:abstractNumId w:val="15"/>
  </w:num>
  <w:num w:numId="11">
    <w:abstractNumId w:val="16"/>
  </w:num>
  <w:num w:numId="12">
    <w:abstractNumId w:val="5"/>
  </w:num>
  <w:num w:numId="13">
    <w:abstractNumId w:val="20"/>
  </w:num>
  <w:num w:numId="14">
    <w:abstractNumId w:val="22"/>
  </w:num>
  <w:num w:numId="15">
    <w:abstractNumId w:val="6"/>
  </w:num>
  <w:num w:numId="16">
    <w:abstractNumId w:val="1"/>
  </w:num>
  <w:num w:numId="17">
    <w:abstractNumId w:val="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3"/>
  </w:num>
  <w:num w:numId="23">
    <w:abstractNumId w:val="11"/>
  </w:num>
  <w:num w:numId="24">
    <w:abstractNumId w:val="13"/>
  </w:num>
  <w:num w:numId="2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9"/>
  </w:num>
  <w:num w:numId="28">
    <w:abstractNumId w:val="7"/>
  </w:num>
  <w:num w:numId="29">
    <w:abstractNumId w:val="7"/>
  </w:num>
  <w:numIdMacAtCleanup w:val="2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53C"/>
    <w:rsid w:val="00000721"/>
    <w:rsid w:val="00000790"/>
    <w:rsid w:val="00000C01"/>
    <w:rsid w:val="00000EBB"/>
    <w:rsid w:val="0000110B"/>
    <w:rsid w:val="00002439"/>
    <w:rsid w:val="0000286F"/>
    <w:rsid w:val="00003499"/>
    <w:rsid w:val="000035CC"/>
    <w:rsid w:val="000063F9"/>
    <w:rsid w:val="00010001"/>
    <w:rsid w:val="0001041B"/>
    <w:rsid w:val="00010BFF"/>
    <w:rsid w:val="000111D8"/>
    <w:rsid w:val="0001125A"/>
    <w:rsid w:val="00011447"/>
    <w:rsid w:val="00011DD6"/>
    <w:rsid w:val="000122CC"/>
    <w:rsid w:val="00012BDE"/>
    <w:rsid w:val="00013164"/>
    <w:rsid w:val="00013247"/>
    <w:rsid w:val="000143E3"/>
    <w:rsid w:val="00015171"/>
    <w:rsid w:val="00015886"/>
    <w:rsid w:val="00015E4A"/>
    <w:rsid w:val="000162EF"/>
    <w:rsid w:val="000174AF"/>
    <w:rsid w:val="00020C3A"/>
    <w:rsid w:val="000213FE"/>
    <w:rsid w:val="00021712"/>
    <w:rsid w:val="00021A8B"/>
    <w:rsid w:val="000220AF"/>
    <w:rsid w:val="0002225F"/>
    <w:rsid w:val="00023763"/>
    <w:rsid w:val="00023CAE"/>
    <w:rsid w:val="0002465E"/>
    <w:rsid w:val="00024692"/>
    <w:rsid w:val="00025E30"/>
    <w:rsid w:val="0002642D"/>
    <w:rsid w:val="00026509"/>
    <w:rsid w:val="00026D81"/>
    <w:rsid w:val="00026E4F"/>
    <w:rsid w:val="00027386"/>
    <w:rsid w:val="0003029D"/>
    <w:rsid w:val="000317CD"/>
    <w:rsid w:val="00033D50"/>
    <w:rsid w:val="00034016"/>
    <w:rsid w:val="00036BAE"/>
    <w:rsid w:val="0004057B"/>
    <w:rsid w:val="00040895"/>
    <w:rsid w:val="00040BC8"/>
    <w:rsid w:val="00041B28"/>
    <w:rsid w:val="00041CA0"/>
    <w:rsid w:val="00041F27"/>
    <w:rsid w:val="00042598"/>
    <w:rsid w:val="00043C37"/>
    <w:rsid w:val="00043E37"/>
    <w:rsid w:val="00044466"/>
    <w:rsid w:val="000450EC"/>
    <w:rsid w:val="000473D9"/>
    <w:rsid w:val="0004770D"/>
    <w:rsid w:val="00047D56"/>
    <w:rsid w:val="00050A09"/>
    <w:rsid w:val="00051078"/>
    <w:rsid w:val="00051DB3"/>
    <w:rsid w:val="00052238"/>
    <w:rsid w:val="00052FBB"/>
    <w:rsid w:val="0005354E"/>
    <w:rsid w:val="000536E1"/>
    <w:rsid w:val="00053C6B"/>
    <w:rsid w:val="0005456A"/>
    <w:rsid w:val="000546D7"/>
    <w:rsid w:val="00054916"/>
    <w:rsid w:val="00055BB7"/>
    <w:rsid w:val="00056324"/>
    <w:rsid w:val="00056BB9"/>
    <w:rsid w:val="00057AC0"/>
    <w:rsid w:val="000603C5"/>
    <w:rsid w:val="00060827"/>
    <w:rsid w:val="0006099D"/>
    <w:rsid w:val="00060E71"/>
    <w:rsid w:val="00062F17"/>
    <w:rsid w:val="00063C28"/>
    <w:rsid w:val="00063F7F"/>
    <w:rsid w:val="00064AA4"/>
    <w:rsid w:val="00064FAB"/>
    <w:rsid w:val="00065618"/>
    <w:rsid w:val="0006635E"/>
    <w:rsid w:val="00066424"/>
    <w:rsid w:val="000677F9"/>
    <w:rsid w:val="00067BD2"/>
    <w:rsid w:val="00071248"/>
    <w:rsid w:val="00071F77"/>
    <w:rsid w:val="000720B9"/>
    <w:rsid w:val="00072312"/>
    <w:rsid w:val="000727DD"/>
    <w:rsid w:val="0007462D"/>
    <w:rsid w:val="00076817"/>
    <w:rsid w:val="0007683D"/>
    <w:rsid w:val="000768BA"/>
    <w:rsid w:val="000775F1"/>
    <w:rsid w:val="000778D7"/>
    <w:rsid w:val="00077D7C"/>
    <w:rsid w:val="000806BC"/>
    <w:rsid w:val="000812CA"/>
    <w:rsid w:val="00081317"/>
    <w:rsid w:val="00081CC6"/>
    <w:rsid w:val="00083660"/>
    <w:rsid w:val="00083984"/>
    <w:rsid w:val="000846FE"/>
    <w:rsid w:val="0008623C"/>
    <w:rsid w:val="00090C7E"/>
    <w:rsid w:val="00090FB9"/>
    <w:rsid w:val="00091129"/>
    <w:rsid w:val="00091327"/>
    <w:rsid w:val="000913FA"/>
    <w:rsid w:val="000920DA"/>
    <w:rsid w:val="000929C5"/>
    <w:rsid w:val="00092B4B"/>
    <w:rsid w:val="00092BEC"/>
    <w:rsid w:val="00093268"/>
    <w:rsid w:val="000936A1"/>
    <w:rsid w:val="00094077"/>
    <w:rsid w:val="000944E7"/>
    <w:rsid w:val="00095300"/>
    <w:rsid w:val="0009615D"/>
    <w:rsid w:val="0009684A"/>
    <w:rsid w:val="00096ABD"/>
    <w:rsid w:val="000A0E45"/>
    <w:rsid w:val="000A10E6"/>
    <w:rsid w:val="000A2EC6"/>
    <w:rsid w:val="000A312D"/>
    <w:rsid w:val="000A479A"/>
    <w:rsid w:val="000A5555"/>
    <w:rsid w:val="000B0BEA"/>
    <w:rsid w:val="000B2809"/>
    <w:rsid w:val="000B2BA4"/>
    <w:rsid w:val="000B3302"/>
    <w:rsid w:val="000B3336"/>
    <w:rsid w:val="000B3C91"/>
    <w:rsid w:val="000B4A24"/>
    <w:rsid w:val="000B7651"/>
    <w:rsid w:val="000B7831"/>
    <w:rsid w:val="000B78CC"/>
    <w:rsid w:val="000B7B00"/>
    <w:rsid w:val="000B7E59"/>
    <w:rsid w:val="000C1259"/>
    <w:rsid w:val="000C1814"/>
    <w:rsid w:val="000C18E1"/>
    <w:rsid w:val="000C1E22"/>
    <w:rsid w:val="000C2540"/>
    <w:rsid w:val="000C2D3A"/>
    <w:rsid w:val="000C3C52"/>
    <w:rsid w:val="000C43A7"/>
    <w:rsid w:val="000C5283"/>
    <w:rsid w:val="000C531E"/>
    <w:rsid w:val="000C534E"/>
    <w:rsid w:val="000C6AA8"/>
    <w:rsid w:val="000C794C"/>
    <w:rsid w:val="000D02AA"/>
    <w:rsid w:val="000D0E60"/>
    <w:rsid w:val="000D1BFC"/>
    <w:rsid w:val="000D21D0"/>
    <w:rsid w:val="000D2AFE"/>
    <w:rsid w:val="000D3124"/>
    <w:rsid w:val="000D624A"/>
    <w:rsid w:val="000D6C90"/>
    <w:rsid w:val="000D6F01"/>
    <w:rsid w:val="000E0BFC"/>
    <w:rsid w:val="000E1EEF"/>
    <w:rsid w:val="000E2694"/>
    <w:rsid w:val="000E4B41"/>
    <w:rsid w:val="000E4E6B"/>
    <w:rsid w:val="000E51AC"/>
    <w:rsid w:val="000E60D9"/>
    <w:rsid w:val="000E7B17"/>
    <w:rsid w:val="000E7C78"/>
    <w:rsid w:val="000F2E97"/>
    <w:rsid w:val="000F4BB8"/>
    <w:rsid w:val="000F55C0"/>
    <w:rsid w:val="000F5746"/>
    <w:rsid w:val="000F5811"/>
    <w:rsid w:val="000F591B"/>
    <w:rsid w:val="000F7127"/>
    <w:rsid w:val="00100522"/>
    <w:rsid w:val="00100F8A"/>
    <w:rsid w:val="001018ED"/>
    <w:rsid w:val="00101D26"/>
    <w:rsid w:val="00102F3C"/>
    <w:rsid w:val="0010375E"/>
    <w:rsid w:val="00103EAF"/>
    <w:rsid w:val="00106083"/>
    <w:rsid w:val="0010701A"/>
    <w:rsid w:val="001072CD"/>
    <w:rsid w:val="001078BB"/>
    <w:rsid w:val="00107CC9"/>
    <w:rsid w:val="0011032E"/>
    <w:rsid w:val="00111298"/>
    <w:rsid w:val="00111C88"/>
    <w:rsid w:val="001126FA"/>
    <w:rsid w:val="0011348B"/>
    <w:rsid w:val="001143D7"/>
    <w:rsid w:val="001157DD"/>
    <w:rsid w:val="00115EB4"/>
    <w:rsid w:val="0011725B"/>
    <w:rsid w:val="001173C1"/>
    <w:rsid w:val="00117B9F"/>
    <w:rsid w:val="001202B3"/>
    <w:rsid w:val="001208AD"/>
    <w:rsid w:val="001214E1"/>
    <w:rsid w:val="00121799"/>
    <w:rsid w:val="001222FC"/>
    <w:rsid w:val="00122B5F"/>
    <w:rsid w:val="0012327F"/>
    <w:rsid w:val="001240AE"/>
    <w:rsid w:val="00124166"/>
    <w:rsid w:val="00124380"/>
    <w:rsid w:val="00124A51"/>
    <w:rsid w:val="00124ABA"/>
    <w:rsid w:val="00124C7C"/>
    <w:rsid w:val="00126621"/>
    <w:rsid w:val="001301E9"/>
    <w:rsid w:val="00130235"/>
    <w:rsid w:val="0013036F"/>
    <w:rsid w:val="00130455"/>
    <w:rsid w:val="00130478"/>
    <w:rsid w:val="00130934"/>
    <w:rsid w:val="00131485"/>
    <w:rsid w:val="00131613"/>
    <w:rsid w:val="00131E63"/>
    <w:rsid w:val="0013392D"/>
    <w:rsid w:val="00134067"/>
    <w:rsid w:val="00134340"/>
    <w:rsid w:val="00134BEE"/>
    <w:rsid w:val="00134FA5"/>
    <w:rsid w:val="00135431"/>
    <w:rsid w:val="001356E5"/>
    <w:rsid w:val="0013583D"/>
    <w:rsid w:val="0013707A"/>
    <w:rsid w:val="00137645"/>
    <w:rsid w:val="00137829"/>
    <w:rsid w:val="0014015A"/>
    <w:rsid w:val="00140507"/>
    <w:rsid w:val="00140E99"/>
    <w:rsid w:val="00140FFC"/>
    <w:rsid w:val="001417DF"/>
    <w:rsid w:val="00142409"/>
    <w:rsid w:val="00144713"/>
    <w:rsid w:val="001454A2"/>
    <w:rsid w:val="00145540"/>
    <w:rsid w:val="001456B0"/>
    <w:rsid w:val="00145E9C"/>
    <w:rsid w:val="00146239"/>
    <w:rsid w:val="0014681B"/>
    <w:rsid w:val="00147971"/>
    <w:rsid w:val="00150E8B"/>
    <w:rsid w:val="001511BB"/>
    <w:rsid w:val="00151D01"/>
    <w:rsid w:val="001523DB"/>
    <w:rsid w:val="00153317"/>
    <w:rsid w:val="001539B7"/>
    <w:rsid w:val="001539FF"/>
    <w:rsid w:val="00153AE3"/>
    <w:rsid w:val="00153CDE"/>
    <w:rsid w:val="001540BA"/>
    <w:rsid w:val="00154C46"/>
    <w:rsid w:val="00154C7F"/>
    <w:rsid w:val="00155BF8"/>
    <w:rsid w:val="00155DF4"/>
    <w:rsid w:val="00157111"/>
    <w:rsid w:val="00157130"/>
    <w:rsid w:val="00161933"/>
    <w:rsid w:val="00162913"/>
    <w:rsid w:val="0016332D"/>
    <w:rsid w:val="00163C3D"/>
    <w:rsid w:val="00163EFF"/>
    <w:rsid w:val="001661FB"/>
    <w:rsid w:val="00167022"/>
    <w:rsid w:val="001676F5"/>
    <w:rsid w:val="00167AF2"/>
    <w:rsid w:val="00167E62"/>
    <w:rsid w:val="0017132E"/>
    <w:rsid w:val="001722B7"/>
    <w:rsid w:val="001728E2"/>
    <w:rsid w:val="00173299"/>
    <w:rsid w:val="00173835"/>
    <w:rsid w:val="00174954"/>
    <w:rsid w:val="00174A2D"/>
    <w:rsid w:val="00174B85"/>
    <w:rsid w:val="001757BF"/>
    <w:rsid w:val="00175886"/>
    <w:rsid w:val="0017596E"/>
    <w:rsid w:val="00175B6B"/>
    <w:rsid w:val="00176015"/>
    <w:rsid w:val="001779DA"/>
    <w:rsid w:val="001824A6"/>
    <w:rsid w:val="00185177"/>
    <w:rsid w:val="00185501"/>
    <w:rsid w:val="00185807"/>
    <w:rsid w:val="001861CF"/>
    <w:rsid w:val="0018752F"/>
    <w:rsid w:val="001877A4"/>
    <w:rsid w:val="00192CF9"/>
    <w:rsid w:val="001945AC"/>
    <w:rsid w:val="00194D7A"/>
    <w:rsid w:val="00194E83"/>
    <w:rsid w:val="00195160"/>
    <w:rsid w:val="00195222"/>
    <w:rsid w:val="00195DF5"/>
    <w:rsid w:val="00195E5B"/>
    <w:rsid w:val="00196410"/>
    <w:rsid w:val="00196C27"/>
    <w:rsid w:val="001971FB"/>
    <w:rsid w:val="001975D8"/>
    <w:rsid w:val="00197AFC"/>
    <w:rsid w:val="00197C77"/>
    <w:rsid w:val="001A0ECB"/>
    <w:rsid w:val="001A1B03"/>
    <w:rsid w:val="001A1C66"/>
    <w:rsid w:val="001A2969"/>
    <w:rsid w:val="001A2C86"/>
    <w:rsid w:val="001A2FDD"/>
    <w:rsid w:val="001A373A"/>
    <w:rsid w:val="001A3D36"/>
    <w:rsid w:val="001A557F"/>
    <w:rsid w:val="001A5D16"/>
    <w:rsid w:val="001A5E16"/>
    <w:rsid w:val="001A5FBE"/>
    <w:rsid w:val="001A710E"/>
    <w:rsid w:val="001A7613"/>
    <w:rsid w:val="001B0904"/>
    <w:rsid w:val="001B096C"/>
    <w:rsid w:val="001B226A"/>
    <w:rsid w:val="001B3443"/>
    <w:rsid w:val="001B37B4"/>
    <w:rsid w:val="001B444F"/>
    <w:rsid w:val="001B593A"/>
    <w:rsid w:val="001B6A3F"/>
    <w:rsid w:val="001B6AD8"/>
    <w:rsid w:val="001B7625"/>
    <w:rsid w:val="001C01A9"/>
    <w:rsid w:val="001C1952"/>
    <w:rsid w:val="001C26D6"/>
    <w:rsid w:val="001C2B73"/>
    <w:rsid w:val="001C3246"/>
    <w:rsid w:val="001C384B"/>
    <w:rsid w:val="001C3B90"/>
    <w:rsid w:val="001C5C97"/>
    <w:rsid w:val="001C5D71"/>
    <w:rsid w:val="001C6E66"/>
    <w:rsid w:val="001C74C2"/>
    <w:rsid w:val="001C7D40"/>
    <w:rsid w:val="001D011C"/>
    <w:rsid w:val="001D0CC7"/>
    <w:rsid w:val="001D0D75"/>
    <w:rsid w:val="001D170B"/>
    <w:rsid w:val="001D1804"/>
    <w:rsid w:val="001D1D64"/>
    <w:rsid w:val="001D2AAD"/>
    <w:rsid w:val="001D2C67"/>
    <w:rsid w:val="001D48DF"/>
    <w:rsid w:val="001D4DCD"/>
    <w:rsid w:val="001D5A17"/>
    <w:rsid w:val="001D6A86"/>
    <w:rsid w:val="001E052B"/>
    <w:rsid w:val="001E0A5A"/>
    <w:rsid w:val="001E1027"/>
    <w:rsid w:val="001E129A"/>
    <w:rsid w:val="001E1635"/>
    <w:rsid w:val="001E1F27"/>
    <w:rsid w:val="001E238E"/>
    <w:rsid w:val="001E2988"/>
    <w:rsid w:val="001E2B1E"/>
    <w:rsid w:val="001E2BE6"/>
    <w:rsid w:val="001E3207"/>
    <w:rsid w:val="001E4293"/>
    <w:rsid w:val="001E4568"/>
    <w:rsid w:val="001E48E8"/>
    <w:rsid w:val="001E4D1D"/>
    <w:rsid w:val="001E4DFC"/>
    <w:rsid w:val="001E52EB"/>
    <w:rsid w:val="001E5E38"/>
    <w:rsid w:val="001E740C"/>
    <w:rsid w:val="001E7696"/>
    <w:rsid w:val="001E7A6B"/>
    <w:rsid w:val="001E7C49"/>
    <w:rsid w:val="001F1235"/>
    <w:rsid w:val="001F1CB3"/>
    <w:rsid w:val="001F2327"/>
    <w:rsid w:val="001F32A5"/>
    <w:rsid w:val="001F3A1A"/>
    <w:rsid w:val="001F4F8F"/>
    <w:rsid w:val="001F6743"/>
    <w:rsid w:val="001F7361"/>
    <w:rsid w:val="001F74C0"/>
    <w:rsid w:val="001F7C31"/>
    <w:rsid w:val="00200246"/>
    <w:rsid w:val="00200442"/>
    <w:rsid w:val="00200739"/>
    <w:rsid w:val="0020164B"/>
    <w:rsid w:val="00202196"/>
    <w:rsid w:val="00202417"/>
    <w:rsid w:val="0020246F"/>
    <w:rsid w:val="00202961"/>
    <w:rsid w:val="0020377C"/>
    <w:rsid w:val="0020385F"/>
    <w:rsid w:val="00203A49"/>
    <w:rsid w:val="00205B84"/>
    <w:rsid w:val="00205DE6"/>
    <w:rsid w:val="00205FF9"/>
    <w:rsid w:val="00207021"/>
    <w:rsid w:val="00207AA0"/>
    <w:rsid w:val="00207D00"/>
    <w:rsid w:val="002105C1"/>
    <w:rsid w:val="002128CA"/>
    <w:rsid w:val="002129A5"/>
    <w:rsid w:val="002129F8"/>
    <w:rsid w:val="00213FE4"/>
    <w:rsid w:val="00213FF2"/>
    <w:rsid w:val="002142D1"/>
    <w:rsid w:val="00215CF4"/>
    <w:rsid w:val="00215F37"/>
    <w:rsid w:val="00216702"/>
    <w:rsid w:val="002175F3"/>
    <w:rsid w:val="00217657"/>
    <w:rsid w:val="002179D1"/>
    <w:rsid w:val="00217B71"/>
    <w:rsid w:val="00220104"/>
    <w:rsid w:val="002203C6"/>
    <w:rsid w:val="00221376"/>
    <w:rsid w:val="0022145D"/>
    <w:rsid w:val="00221A61"/>
    <w:rsid w:val="00221D88"/>
    <w:rsid w:val="0022324C"/>
    <w:rsid w:val="00223B49"/>
    <w:rsid w:val="00224DD4"/>
    <w:rsid w:val="00225154"/>
    <w:rsid w:val="002258C5"/>
    <w:rsid w:val="00225E5B"/>
    <w:rsid w:val="00225F02"/>
    <w:rsid w:val="002279F1"/>
    <w:rsid w:val="00227CD3"/>
    <w:rsid w:val="002300E6"/>
    <w:rsid w:val="002309CC"/>
    <w:rsid w:val="00230B3E"/>
    <w:rsid w:val="0023153E"/>
    <w:rsid w:val="0023169F"/>
    <w:rsid w:val="00232437"/>
    <w:rsid w:val="00232792"/>
    <w:rsid w:val="00232902"/>
    <w:rsid w:val="0023326F"/>
    <w:rsid w:val="002333A7"/>
    <w:rsid w:val="00233784"/>
    <w:rsid w:val="00233952"/>
    <w:rsid w:val="00234D6E"/>
    <w:rsid w:val="00237610"/>
    <w:rsid w:val="00240927"/>
    <w:rsid w:val="00244AF1"/>
    <w:rsid w:val="002466D9"/>
    <w:rsid w:val="00246885"/>
    <w:rsid w:val="002475E5"/>
    <w:rsid w:val="002478F0"/>
    <w:rsid w:val="002516F9"/>
    <w:rsid w:val="00251BF3"/>
    <w:rsid w:val="00252D38"/>
    <w:rsid w:val="00252D84"/>
    <w:rsid w:val="00252E54"/>
    <w:rsid w:val="0025410C"/>
    <w:rsid w:val="00254DCF"/>
    <w:rsid w:val="00254FC0"/>
    <w:rsid w:val="0025534B"/>
    <w:rsid w:val="00255BB7"/>
    <w:rsid w:val="0025613A"/>
    <w:rsid w:val="0025629F"/>
    <w:rsid w:val="00256D5B"/>
    <w:rsid w:val="00257356"/>
    <w:rsid w:val="0026125D"/>
    <w:rsid w:val="002619B5"/>
    <w:rsid w:val="00261AD8"/>
    <w:rsid w:val="002629C3"/>
    <w:rsid w:val="00262A87"/>
    <w:rsid w:val="002630EE"/>
    <w:rsid w:val="00263EAA"/>
    <w:rsid w:val="00263FA7"/>
    <w:rsid w:val="00264776"/>
    <w:rsid w:val="00265BD8"/>
    <w:rsid w:val="00265BF9"/>
    <w:rsid w:val="00265DCB"/>
    <w:rsid w:val="00266C42"/>
    <w:rsid w:val="0026711A"/>
    <w:rsid w:val="00267503"/>
    <w:rsid w:val="00267632"/>
    <w:rsid w:val="00271114"/>
    <w:rsid w:val="00272633"/>
    <w:rsid w:val="00273086"/>
    <w:rsid w:val="002757CE"/>
    <w:rsid w:val="00275BF7"/>
    <w:rsid w:val="00275C5A"/>
    <w:rsid w:val="00276B4F"/>
    <w:rsid w:val="00276C8D"/>
    <w:rsid w:val="002804FF"/>
    <w:rsid w:val="00280A19"/>
    <w:rsid w:val="00281014"/>
    <w:rsid w:val="002811A3"/>
    <w:rsid w:val="00282D48"/>
    <w:rsid w:val="002839A8"/>
    <w:rsid w:val="00284F18"/>
    <w:rsid w:val="002856E8"/>
    <w:rsid w:val="00291C89"/>
    <w:rsid w:val="00292A11"/>
    <w:rsid w:val="00295411"/>
    <w:rsid w:val="0029543E"/>
    <w:rsid w:val="00295E0B"/>
    <w:rsid w:val="00295EC0"/>
    <w:rsid w:val="002A01CB"/>
    <w:rsid w:val="002A03AF"/>
    <w:rsid w:val="002A0CBE"/>
    <w:rsid w:val="002A14AB"/>
    <w:rsid w:val="002A22E1"/>
    <w:rsid w:val="002A3A03"/>
    <w:rsid w:val="002A4EC6"/>
    <w:rsid w:val="002A5B11"/>
    <w:rsid w:val="002A7338"/>
    <w:rsid w:val="002A74D2"/>
    <w:rsid w:val="002A7874"/>
    <w:rsid w:val="002B04D9"/>
    <w:rsid w:val="002B1C1F"/>
    <w:rsid w:val="002B21E7"/>
    <w:rsid w:val="002B22A5"/>
    <w:rsid w:val="002B2479"/>
    <w:rsid w:val="002B24BA"/>
    <w:rsid w:val="002B2F16"/>
    <w:rsid w:val="002B432F"/>
    <w:rsid w:val="002B5C4D"/>
    <w:rsid w:val="002B6CCE"/>
    <w:rsid w:val="002C071F"/>
    <w:rsid w:val="002C0A5B"/>
    <w:rsid w:val="002C0FE8"/>
    <w:rsid w:val="002C1B8C"/>
    <w:rsid w:val="002C2298"/>
    <w:rsid w:val="002C2775"/>
    <w:rsid w:val="002C27C1"/>
    <w:rsid w:val="002C331F"/>
    <w:rsid w:val="002C3C4A"/>
    <w:rsid w:val="002C6267"/>
    <w:rsid w:val="002D057E"/>
    <w:rsid w:val="002D0D0E"/>
    <w:rsid w:val="002D1775"/>
    <w:rsid w:val="002D3C53"/>
    <w:rsid w:val="002D4126"/>
    <w:rsid w:val="002D41A3"/>
    <w:rsid w:val="002D50B2"/>
    <w:rsid w:val="002D5101"/>
    <w:rsid w:val="002D576A"/>
    <w:rsid w:val="002D6020"/>
    <w:rsid w:val="002D6346"/>
    <w:rsid w:val="002D7387"/>
    <w:rsid w:val="002E02C6"/>
    <w:rsid w:val="002E03C3"/>
    <w:rsid w:val="002E0F30"/>
    <w:rsid w:val="002E2526"/>
    <w:rsid w:val="002E31B4"/>
    <w:rsid w:val="002E3B32"/>
    <w:rsid w:val="002E41BF"/>
    <w:rsid w:val="002E543C"/>
    <w:rsid w:val="002E5A6D"/>
    <w:rsid w:val="002E5D39"/>
    <w:rsid w:val="002E655F"/>
    <w:rsid w:val="002E7516"/>
    <w:rsid w:val="002F0AFF"/>
    <w:rsid w:val="002F1476"/>
    <w:rsid w:val="002F1DC6"/>
    <w:rsid w:val="002F1F80"/>
    <w:rsid w:val="002F206E"/>
    <w:rsid w:val="002F5DAD"/>
    <w:rsid w:val="003005AD"/>
    <w:rsid w:val="00301017"/>
    <w:rsid w:val="00302184"/>
    <w:rsid w:val="00302622"/>
    <w:rsid w:val="00302F1A"/>
    <w:rsid w:val="0030469D"/>
    <w:rsid w:val="00305930"/>
    <w:rsid w:val="00306198"/>
    <w:rsid w:val="00306BA1"/>
    <w:rsid w:val="0030786C"/>
    <w:rsid w:val="00307ADA"/>
    <w:rsid w:val="003102A3"/>
    <w:rsid w:val="0031031A"/>
    <w:rsid w:val="00310981"/>
    <w:rsid w:val="0031117E"/>
    <w:rsid w:val="003111F8"/>
    <w:rsid w:val="003124BA"/>
    <w:rsid w:val="003130AD"/>
    <w:rsid w:val="00313BAB"/>
    <w:rsid w:val="00315498"/>
    <w:rsid w:val="00315598"/>
    <w:rsid w:val="00315C06"/>
    <w:rsid w:val="00315F49"/>
    <w:rsid w:val="00317475"/>
    <w:rsid w:val="00320180"/>
    <w:rsid w:val="00321D53"/>
    <w:rsid w:val="003220A2"/>
    <w:rsid w:val="0032296F"/>
    <w:rsid w:val="00322A05"/>
    <w:rsid w:val="0032338C"/>
    <w:rsid w:val="003248C5"/>
    <w:rsid w:val="00324E48"/>
    <w:rsid w:val="003272B9"/>
    <w:rsid w:val="003273E4"/>
    <w:rsid w:val="00327CD3"/>
    <w:rsid w:val="00327EAC"/>
    <w:rsid w:val="003301B4"/>
    <w:rsid w:val="00330B28"/>
    <w:rsid w:val="00330C14"/>
    <w:rsid w:val="00330CEC"/>
    <w:rsid w:val="0033235A"/>
    <w:rsid w:val="0033297B"/>
    <w:rsid w:val="00333247"/>
    <w:rsid w:val="003336C4"/>
    <w:rsid w:val="00334F5F"/>
    <w:rsid w:val="003360B3"/>
    <w:rsid w:val="003366C9"/>
    <w:rsid w:val="003371B0"/>
    <w:rsid w:val="00340211"/>
    <w:rsid w:val="003402C8"/>
    <w:rsid w:val="00340397"/>
    <w:rsid w:val="00340CE6"/>
    <w:rsid w:val="00341EA7"/>
    <w:rsid w:val="00342A69"/>
    <w:rsid w:val="00343148"/>
    <w:rsid w:val="003436E7"/>
    <w:rsid w:val="00343831"/>
    <w:rsid w:val="0034457D"/>
    <w:rsid w:val="00344EC4"/>
    <w:rsid w:val="00345038"/>
    <w:rsid w:val="0034517F"/>
    <w:rsid w:val="00345E99"/>
    <w:rsid w:val="00346821"/>
    <w:rsid w:val="0035041D"/>
    <w:rsid w:val="00350A3B"/>
    <w:rsid w:val="003511E3"/>
    <w:rsid w:val="003519C0"/>
    <w:rsid w:val="00352602"/>
    <w:rsid w:val="003547B3"/>
    <w:rsid w:val="00354AF9"/>
    <w:rsid w:val="00355DA4"/>
    <w:rsid w:val="0035620E"/>
    <w:rsid w:val="00356579"/>
    <w:rsid w:val="0035677F"/>
    <w:rsid w:val="00356F64"/>
    <w:rsid w:val="00357D15"/>
    <w:rsid w:val="00360C6B"/>
    <w:rsid w:val="0036185E"/>
    <w:rsid w:val="00361BDB"/>
    <w:rsid w:val="0036293D"/>
    <w:rsid w:val="00362B54"/>
    <w:rsid w:val="00364D0C"/>
    <w:rsid w:val="00365B34"/>
    <w:rsid w:val="00366900"/>
    <w:rsid w:val="003678D4"/>
    <w:rsid w:val="0037018A"/>
    <w:rsid w:val="0037076E"/>
    <w:rsid w:val="00371CF9"/>
    <w:rsid w:val="0037285A"/>
    <w:rsid w:val="003731EC"/>
    <w:rsid w:val="00374054"/>
    <w:rsid w:val="00374EEE"/>
    <w:rsid w:val="00375150"/>
    <w:rsid w:val="003762EA"/>
    <w:rsid w:val="0037657D"/>
    <w:rsid w:val="00376819"/>
    <w:rsid w:val="003809A3"/>
    <w:rsid w:val="00381581"/>
    <w:rsid w:val="003821CB"/>
    <w:rsid w:val="00383320"/>
    <w:rsid w:val="0038365C"/>
    <w:rsid w:val="00384E72"/>
    <w:rsid w:val="00385533"/>
    <w:rsid w:val="00386126"/>
    <w:rsid w:val="00386798"/>
    <w:rsid w:val="00387BD0"/>
    <w:rsid w:val="00387CE2"/>
    <w:rsid w:val="00390091"/>
    <w:rsid w:val="003906E4"/>
    <w:rsid w:val="003909E6"/>
    <w:rsid w:val="003911F6"/>
    <w:rsid w:val="003917B6"/>
    <w:rsid w:val="00391826"/>
    <w:rsid w:val="00392614"/>
    <w:rsid w:val="00392E7A"/>
    <w:rsid w:val="0039325F"/>
    <w:rsid w:val="00393474"/>
    <w:rsid w:val="00394875"/>
    <w:rsid w:val="00395EE4"/>
    <w:rsid w:val="00396FD0"/>
    <w:rsid w:val="0039778C"/>
    <w:rsid w:val="00397FC1"/>
    <w:rsid w:val="003A084C"/>
    <w:rsid w:val="003A124F"/>
    <w:rsid w:val="003A1A7A"/>
    <w:rsid w:val="003A203B"/>
    <w:rsid w:val="003A2570"/>
    <w:rsid w:val="003A3147"/>
    <w:rsid w:val="003A3554"/>
    <w:rsid w:val="003A3D58"/>
    <w:rsid w:val="003A4E21"/>
    <w:rsid w:val="003A520C"/>
    <w:rsid w:val="003A53F2"/>
    <w:rsid w:val="003A625A"/>
    <w:rsid w:val="003A6419"/>
    <w:rsid w:val="003A6720"/>
    <w:rsid w:val="003A6D83"/>
    <w:rsid w:val="003A7A17"/>
    <w:rsid w:val="003B02AD"/>
    <w:rsid w:val="003B4787"/>
    <w:rsid w:val="003B51DE"/>
    <w:rsid w:val="003B5B50"/>
    <w:rsid w:val="003B6EB3"/>
    <w:rsid w:val="003B7074"/>
    <w:rsid w:val="003B76C9"/>
    <w:rsid w:val="003B7BA1"/>
    <w:rsid w:val="003C2281"/>
    <w:rsid w:val="003C3EFD"/>
    <w:rsid w:val="003C506C"/>
    <w:rsid w:val="003C5ACF"/>
    <w:rsid w:val="003C5D04"/>
    <w:rsid w:val="003C7218"/>
    <w:rsid w:val="003C76E7"/>
    <w:rsid w:val="003D0E8B"/>
    <w:rsid w:val="003D1828"/>
    <w:rsid w:val="003D2422"/>
    <w:rsid w:val="003D28AA"/>
    <w:rsid w:val="003D32F1"/>
    <w:rsid w:val="003D341C"/>
    <w:rsid w:val="003D3996"/>
    <w:rsid w:val="003D4359"/>
    <w:rsid w:val="003D46FF"/>
    <w:rsid w:val="003D50D7"/>
    <w:rsid w:val="003D50ED"/>
    <w:rsid w:val="003D7034"/>
    <w:rsid w:val="003D7458"/>
    <w:rsid w:val="003D7569"/>
    <w:rsid w:val="003D7CAD"/>
    <w:rsid w:val="003E0E96"/>
    <w:rsid w:val="003E0FCA"/>
    <w:rsid w:val="003E1C89"/>
    <w:rsid w:val="003E3C8D"/>
    <w:rsid w:val="003E5C03"/>
    <w:rsid w:val="003E65CF"/>
    <w:rsid w:val="003E6F61"/>
    <w:rsid w:val="003E734D"/>
    <w:rsid w:val="003F00DC"/>
    <w:rsid w:val="003F065B"/>
    <w:rsid w:val="003F066E"/>
    <w:rsid w:val="003F2A34"/>
    <w:rsid w:val="003F2C4D"/>
    <w:rsid w:val="003F4156"/>
    <w:rsid w:val="003F478C"/>
    <w:rsid w:val="003F6080"/>
    <w:rsid w:val="003F6D7F"/>
    <w:rsid w:val="003F76F1"/>
    <w:rsid w:val="003F7781"/>
    <w:rsid w:val="00401F09"/>
    <w:rsid w:val="00402BED"/>
    <w:rsid w:val="004035FB"/>
    <w:rsid w:val="00403783"/>
    <w:rsid w:val="004042CE"/>
    <w:rsid w:val="00404849"/>
    <w:rsid w:val="00404FBC"/>
    <w:rsid w:val="0040756A"/>
    <w:rsid w:val="004079AD"/>
    <w:rsid w:val="00407ADF"/>
    <w:rsid w:val="00410708"/>
    <w:rsid w:val="00410AC8"/>
    <w:rsid w:val="00410BB1"/>
    <w:rsid w:val="00410EC7"/>
    <w:rsid w:val="004110C9"/>
    <w:rsid w:val="0041162B"/>
    <w:rsid w:val="0041162F"/>
    <w:rsid w:val="0041206A"/>
    <w:rsid w:val="00414476"/>
    <w:rsid w:val="0041495F"/>
    <w:rsid w:val="00414C87"/>
    <w:rsid w:val="00415145"/>
    <w:rsid w:val="00415186"/>
    <w:rsid w:val="0041539E"/>
    <w:rsid w:val="00416B4A"/>
    <w:rsid w:val="0041725F"/>
    <w:rsid w:val="00417539"/>
    <w:rsid w:val="00420B9F"/>
    <w:rsid w:val="00422C53"/>
    <w:rsid w:val="00424045"/>
    <w:rsid w:val="00426093"/>
    <w:rsid w:val="00426806"/>
    <w:rsid w:val="004268B7"/>
    <w:rsid w:val="00426E87"/>
    <w:rsid w:val="004273C8"/>
    <w:rsid w:val="00427EE4"/>
    <w:rsid w:val="004314B1"/>
    <w:rsid w:val="0043170F"/>
    <w:rsid w:val="004319F8"/>
    <w:rsid w:val="00433044"/>
    <w:rsid w:val="00434E90"/>
    <w:rsid w:val="00435ED1"/>
    <w:rsid w:val="00436789"/>
    <w:rsid w:val="00436BC1"/>
    <w:rsid w:val="00437588"/>
    <w:rsid w:val="00440AF3"/>
    <w:rsid w:val="00443087"/>
    <w:rsid w:val="00443686"/>
    <w:rsid w:val="00443E48"/>
    <w:rsid w:val="00443F06"/>
    <w:rsid w:val="00444344"/>
    <w:rsid w:val="004443A7"/>
    <w:rsid w:val="004451B7"/>
    <w:rsid w:val="004459F6"/>
    <w:rsid w:val="00445CDD"/>
    <w:rsid w:val="004464EB"/>
    <w:rsid w:val="00446AEA"/>
    <w:rsid w:val="00446E25"/>
    <w:rsid w:val="00447101"/>
    <w:rsid w:val="00447741"/>
    <w:rsid w:val="00450A2F"/>
    <w:rsid w:val="004511E7"/>
    <w:rsid w:val="004513BF"/>
    <w:rsid w:val="0045289F"/>
    <w:rsid w:val="004539C4"/>
    <w:rsid w:val="004544DB"/>
    <w:rsid w:val="00455D45"/>
    <w:rsid w:val="0045626A"/>
    <w:rsid w:val="00456750"/>
    <w:rsid w:val="004570F8"/>
    <w:rsid w:val="004578DD"/>
    <w:rsid w:val="00457D72"/>
    <w:rsid w:val="00460FCD"/>
    <w:rsid w:val="0046192F"/>
    <w:rsid w:val="00461BCF"/>
    <w:rsid w:val="0046383E"/>
    <w:rsid w:val="00464595"/>
    <w:rsid w:val="00465F17"/>
    <w:rsid w:val="00466041"/>
    <w:rsid w:val="0046703F"/>
    <w:rsid w:val="00467242"/>
    <w:rsid w:val="00467928"/>
    <w:rsid w:val="00471DE4"/>
    <w:rsid w:val="00472074"/>
    <w:rsid w:val="00472FBB"/>
    <w:rsid w:val="004735C4"/>
    <w:rsid w:val="0047594C"/>
    <w:rsid w:val="00476594"/>
    <w:rsid w:val="004766F8"/>
    <w:rsid w:val="00476E85"/>
    <w:rsid w:val="0047716F"/>
    <w:rsid w:val="004779D9"/>
    <w:rsid w:val="00477A10"/>
    <w:rsid w:val="004802E5"/>
    <w:rsid w:val="00481B82"/>
    <w:rsid w:val="004825FF"/>
    <w:rsid w:val="00483D09"/>
    <w:rsid w:val="0048400C"/>
    <w:rsid w:val="004851D4"/>
    <w:rsid w:val="00485BB3"/>
    <w:rsid w:val="00485CF9"/>
    <w:rsid w:val="004864D0"/>
    <w:rsid w:val="004867E2"/>
    <w:rsid w:val="00491933"/>
    <w:rsid w:val="00491B3A"/>
    <w:rsid w:val="00492564"/>
    <w:rsid w:val="00492B96"/>
    <w:rsid w:val="00492CFD"/>
    <w:rsid w:val="004952F6"/>
    <w:rsid w:val="00495654"/>
    <w:rsid w:val="004958D4"/>
    <w:rsid w:val="00496182"/>
    <w:rsid w:val="004962D2"/>
    <w:rsid w:val="00496D3F"/>
    <w:rsid w:val="004972C7"/>
    <w:rsid w:val="00497D5A"/>
    <w:rsid w:val="00497ED9"/>
    <w:rsid w:val="004A0DA1"/>
    <w:rsid w:val="004A10C3"/>
    <w:rsid w:val="004A27AD"/>
    <w:rsid w:val="004A2CCA"/>
    <w:rsid w:val="004A2F9B"/>
    <w:rsid w:val="004A2FC2"/>
    <w:rsid w:val="004A36BF"/>
    <w:rsid w:val="004A4057"/>
    <w:rsid w:val="004A40ED"/>
    <w:rsid w:val="004A636E"/>
    <w:rsid w:val="004A6597"/>
    <w:rsid w:val="004A7646"/>
    <w:rsid w:val="004A7A5D"/>
    <w:rsid w:val="004A7B83"/>
    <w:rsid w:val="004B116A"/>
    <w:rsid w:val="004B18FE"/>
    <w:rsid w:val="004B1CB4"/>
    <w:rsid w:val="004B2A67"/>
    <w:rsid w:val="004B2F0E"/>
    <w:rsid w:val="004B2F16"/>
    <w:rsid w:val="004B2F18"/>
    <w:rsid w:val="004B3998"/>
    <w:rsid w:val="004B3DDB"/>
    <w:rsid w:val="004B44FD"/>
    <w:rsid w:val="004B4F9F"/>
    <w:rsid w:val="004B5CFC"/>
    <w:rsid w:val="004B60C2"/>
    <w:rsid w:val="004B73B7"/>
    <w:rsid w:val="004B74B5"/>
    <w:rsid w:val="004C016E"/>
    <w:rsid w:val="004C1C37"/>
    <w:rsid w:val="004C2017"/>
    <w:rsid w:val="004C3765"/>
    <w:rsid w:val="004C4AED"/>
    <w:rsid w:val="004C4DF0"/>
    <w:rsid w:val="004C6E40"/>
    <w:rsid w:val="004C785E"/>
    <w:rsid w:val="004C7BE3"/>
    <w:rsid w:val="004C7DAB"/>
    <w:rsid w:val="004D0787"/>
    <w:rsid w:val="004D08DB"/>
    <w:rsid w:val="004D413F"/>
    <w:rsid w:val="004D425D"/>
    <w:rsid w:val="004D7E10"/>
    <w:rsid w:val="004E0EB8"/>
    <w:rsid w:val="004E1702"/>
    <w:rsid w:val="004E1EA0"/>
    <w:rsid w:val="004E2087"/>
    <w:rsid w:val="004E233B"/>
    <w:rsid w:val="004E259B"/>
    <w:rsid w:val="004E28A4"/>
    <w:rsid w:val="004E2ADC"/>
    <w:rsid w:val="004E429C"/>
    <w:rsid w:val="004E43B2"/>
    <w:rsid w:val="004E592C"/>
    <w:rsid w:val="004E62FD"/>
    <w:rsid w:val="004E66CB"/>
    <w:rsid w:val="004F00C2"/>
    <w:rsid w:val="004F1D02"/>
    <w:rsid w:val="004F2679"/>
    <w:rsid w:val="004F2B6D"/>
    <w:rsid w:val="004F2CD8"/>
    <w:rsid w:val="004F363A"/>
    <w:rsid w:val="004F3AC5"/>
    <w:rsid w:val="004F3BE0"/>
    <w:rsid w:val="004F4B7A"/>
    <w:rsid w:val="004F59E0"/>
    <w:rsid w:val="004F5D33"/>
    <w:rsid w:val="004F6AF6"/>
    <w:rsid w:val="004F7865"/>
    <w:rsid w:val="004F798F"/>
    <w:rsid w:val="00500782"/>
    <w:rsid w:val="0050163E"/>
    <w:rsid w:val="00501F44"/>
    <w:rsid w:val="005044DF"/>
    <w:rsid w:val="0050549B"/>
    <w:rsid w:val="00505AB6"/>
    <w:rsid w:val="00505CAA"/>
    <w:rsid w:val="00506928"/>
    <w:rsid w:val="00506B4B"/>
    <w:rsid w:val="005074ED"/>
    <w:rsid w:val="0050791D"/>
    <w:rsid w:val="0051167A"/>
    <w:rsid w:val="005123EA"/>
    <w:rsid w:val="00513460"/>
    <w:rsid w:val="0051357D"/>
    <w:rsid w:val="0051406A"/>
    <w:rsid w:val="005146EE"/>
    <w:rsid w:val="005152B5"/>
    <w:rsid w:val="0051782F"/>
    <w:rsid w:val="00520C13"/>
    <w:rsid w:val="00521319"/>
    <w:rsid w:val="005213BE"/>
    <w:rsid w:val="005226AE"/>
    <w:rsid w:val="0052356E"/>
    <w:rsid w:val="00523C26"/>
    <w:rsid w:val="00523C28"/>
    <w:rsid w:val="00524AC3"/>
    <w:rsid w:val="0052776E"/>
    <w:rsid w:val="0053086A"/>
    <w:rsid w:val="0053161C"/>
    <w:rsid w:val="00533024"/>
    <w:rsid w:val="00536EE3"/>
    <w:rsid w:val="00540116"/>
    <w:rsid w:val="00541AA1"/>
    <w:rsid w:val="00542E65"/>
    <w:rsid w:val="00543981"/>
    <w:rsid w:val="00544F97"/>
    <w:rsid w:val="005451CC"/>
    <w:rsid w:val="0054793B"/>
    <w:rsid w:val="00547CFA"/>
    <w:rsid w:val="00550090"/>
    <w:rsid w:val="00551B2E"/>
    <w:rsid w:val="00552352"/>
    <w:rsid w:val="00552BD3"/>
    <w:rsid w:val="00552C62"/>
    <w:rsid w:val="0055382A"/>
    <w:rsid w:val="00553D78"/>
    <w:rsid w:val="00555109"/>
    <w:rsid w:val="00555B2F"/>
    <w:rsid w:val="0056045D"/>
    <w:rsid w:val="00561A5C"/>
    <w:rsid w:val="00562BF4"/>
    <w:rsid w:val="005637A3"/>
    <w:rsid w:val="00563ED6"/>
    <w:rsid w:val="00565879"/>
    <w:rsid w:val="00565FBF"/>
    <w:rsid w:val="0056696F"/>
    <w:rsid w:val="00566B93"/>
    <w:rsid w:val="0056733C"/>
    <w:rsid w:val="005714D5"/>
    <w:rsid w:val="00571B49"/>
    <w:rsid w:val="00571D56"/>
    <w:rsid w:val="005723E8"/>
    <w:rsid w:val="00574A59"/>
    <w:rsid w:val="00574D2A"/>
    <w:rsid w:val="0057535E"/>
    <w:rsid w:val="00575CFC"/>
    <w:rsid w:val="00575D8D"/>
    <w:rsid w:val="00576972"/>
    <w:rsid w:val="00577C3C"/>
    <w:rsid w:val="00580129"/>
    <w:rsid w:val="005813B3"/>
    <w:rsid w:val="005828C8"/>
    <w:rsid w:val="00582AE8"/>
    <w:rsid w:val="00583699"/>
    <w:rsid w:val="00584AF7"/>
    <w:rsid w:val="0058532B"/>
    <w:rsid w:val="00586565"/>
    <w:rsid w:val="00586FDE"/>
    <w:rsid w:val="00587CB0"/>
    <w:rsid w:val="00587D5F"/>
    <w:rsid w:val="005917F6"/>
    <w:rsid w:val="00592E22"/>
    <w:rsid w:val="005941BD"/>
    <w:rsid w:val="0059524A"/>
    <w:rsid w:val="00595800"/>
    <w:rsid w:val="005967AE"/>
    <w:rsid w:val="00596982"/>
    <w:rsid w:val="00596A9D"/>
    <w:rsid w:val="005A0501"/>
    <w:rsid w:val="005A2131"/>
    <w:rsid w:val="005A3048"/>
    <w:rsid w:val="005A4544"/>
    <w:rsid w:val="005A7AE8"/>
    <w:rsid w:val="005A7C10"/>
    <w:rsid w:val="005B15C8"/>
    <w:rsid w:val="005B4384"/>
    <w:rsid w:val="005B4A32"/>
    <w:rsid w:val="005B4CFA"/>
    <w:rsid w:val="005B5857"/>
    <w:rsid w:val="005B5A30"/>
    <w:rsid w:val="005B5B29"/>
    <w:rsid w:val="005B5FBA"/>
    <w:rsid w:val="005B6196"/>
    <w:rsid w:val="005B62F3"/>
    <w:rsid w:val="005B699F"/>
    <w:rsid w:val="005B7948"/>
    <w:rsid w:val="005C15E0"/>
    <w:rsid w:val="005C1B83"/>
    <w:rsid w:val="005C25BD"/>
    <w:rsid w:val="005C26F9"/>
    <w:rsid w:val="005C346B"/>
    <w:rsid w:val="005C4A50"/>
    <w:rsid w:val="005C53D7"/>
    <w:rsid w:val="005C5F35"/>
    <w:rsid w:val="005C6468"/>
    <w:rsid w:val="005C6928"/>
    <w:rsid w:val="005C754F"/>
    <w:rsid w:val="005D044D"/>
    <w:rsid w:val="005D18AD"/>
    <w:rsid w:val="005D1A0C"/>
    <w:rsid w:val="005D21F0"/>
    <w:rsid w:val="005D242B"/>
    <w:rsid w:val="005D2D93"/>
    <w:rsid w:val="005D31A6"/>
    <w:rsid w:val="005D365C"/>
    <w:rsid w:val="005D4624"/>
    <w:rsid w:val="005D469F"/>
    <w:rsid w:val="005D5447"/>
    <w:rsid w:val="005D59A4"/>
    <w:rsid w:val="005D59A7"/>
    <w:rsid w:val="005D5AF2"/>
    <w:rsid w:val="005D6E95"/>
    <w:rsid w:val="005D7456"/>
    <w:rsid w:val="005D7BEA"/>
    <w:rsid w:val="005E064C"/>
    <w:rsid w:val="005E06AC"/>
    <w:rsid w:val="005E156B"/>
    <w:rsid w:val="005E199B"/>
    <w:rsid w:val="005E1C41"/>
    <w:rsid w:val="005E25A2"/>
    <w:rsid w:val="005E3AD9"/>
    <w:rsid w:val="005E556F"/>
    <w:rsid w:val="005E6EA6"/>
    <w:rsid w:val="005E73C0"/>
    <w:rsid w:val="005E7A4C"/>
    <w:rsid w:val="005F1022"/>
    <w:rsid w:val="005F17A7"/>
    <w:rsid w:val="005F1C13"/>
    <w:rsid w:val="005F2405"/>
    <w:rsid w:val="005F2706"/>
    <w:rsid w:val="005F39B4"/>
    <w:rsid w:val="005F60D3"/>
    <w:rsid w:val="005F6A8F"/>
    <w:rsid w:val="005F6CF9"/>
    <w:rsid w:val="005F72E3"/>
    <w:rsid w:val="005F7A5C"/>
    <w:rsid w:val="00600D6A"/>
    <w:rsid w:val="006014AD"/>
    <w:rsid w:val="0060185B"/>
    <w:rsid w:val="00601BF5"/>
    <w:rsid w:val="006035D2"/>
    <w:rsid w:val="00605351"/>
    <w:rsid w:val="0060551C"/>
    <w:rsid w:val="00605EEE"/>
    <w:rsid w:val="006073E0"/>
    <w:rsid w:val="00607669"/>
    <w:rsid w:val="00607B1F"/>
    <w:rsid w:val="00610498"/>
    <w:rsid w:val="006104ED"/>
    <w:rsid w:val="006116AB"/>
    <w:rsid w:val="00611CCA"/>
    <w:rsid w:val="006120EE"/>
    <w:rsid w:val="0061261A"/>
    <w:rsid w:val="00612F97"/>
    <w:rsid w:val="006132B5"/>
    <w:rsid w:val="006133E0"/>
    <w:rsid w:val="006140CE"/>
    <w:rsid w:val="00614440"/>
    <w:rsid w:val="00615E8D"/>
    <w:rsid w:val="00616802"/>
    <w:rsid w:val="00617E12"/>
    <w:rsid w:val="0062053B"/>
    <w:rsid w:val="006205F8"/>
    <w:rsid w:val="00621477"/>
    <w:rsid w:val="00624EFC"/>
    <w:rsid w:val="006255D0"/>
    <w:rsid w:val="0062572E"/>
    <w:rsid w:val="00625744"/>
    <w:rsid w:val="006279A1"/>
    <w:rsid w:val="00631B87"/>
    <w:rsid w:val="00631D6B"/>
    <w:rsid w:val="00633217"/>
    <w:rsid w:val="00633597"/>
    <w:rsid w:val="00633CFD"/>
    <w:rsid w:val="0063479F"/>
    <w:rsid w:val="00635B02"/>
    <w:rsid w:val="00635BD5"/>
    <w:rsid w:val="006364A1"/>
    <w:rsid w:val="00636B92"/>
    <w:rsid w:val="00637089"/>
    <w:rsid w:val="00637BFD"/>
    <w:rsid w:val="006408A6"/>
    <w:rsid w:val="00641B62"/>
    <w:rsid w:val="00641BE2"/>
    <w:rsid w:val="00641CD6"/>
    <w:rsid w:val="0064300C"/>
    <w:rsid w:val="00644593"/>
    <w:rsid w:val="00644BBC"/>
    <w:rsid w:val="0064560A"/>
    <w:rsid w:val="006471CC"/>
    <w:rsid w:val="00647594"/>
    <w:rsid w:val="00647816"/>
    <w:rsid w:val="00650634"/>
    <w:rsid w:val="0065079F"/>
    <w:rsid w:val="00651696"/>
    <w:rsid w:val="00651C78"/>
    <w:rsid w:val="00652006"/>
    <w:rsid w:val="006520B2"/>
    <w:rsid w:val="00652AFD"/>
    <w:rsid w:val="00652C31"/>
    <w:rsid w:val="0065495C"/>
    <w:rsid w:val="006550EB"/>
    <w:rsid w:val="006553FD"/>
    <w:rsid w:val="006562B0"/>
    <w:rsid w:val="0065637A"/>
    <w:rsid w:val="00656682"/>
    <w:rsid w:val="00656B7F"/>
    <w:rsid w:val="0066436A"/>
    <w:rsid w:val="006664B9"/>
    <w:rsid w:val="00667F94"/>
    <w:rsid w:val="00670D8B"/>
    <w:rsid w:val="00671151"/>
    <w:rsid w:val="0067152A"/>
    <w:rsid w:val="00673A9F"/>
    <w:rsid w:val="006740B6"/>
    <w:rsid w:val="00674E42"/>
    <w:rsid w:val="0067796F"/>
    <w:rsid w:val="00680305"/>
    <w:rsid w:val="00682073"/>
    <w:rsid w:val="00682112"/>
    <w:rsid w:val="00683636"/>
    <w:rsid w:val="00683912"/>
    <w:rsid w:val="006857C4"/>
    <w:rsid w:val="00685BA4"/>
    <w:rsid w:val="006872BA"/>
    <w:rsid w:val="006878B5"/>
    <w:rsid w:val="00687D9B"/>
    <w:rsid w:val="006904D7"/>
    <w:rsid w:val="00690538"/>
    <w:rsid w:val="0069118E"/>
    <w:rsid w:val="006917D7"/>
    <w:rsid w:val="00691EF6"/>
    <w:rsid w:val="00692477"/>
    <w:rsid w:val="00692623"/>
    <w:rsid w:val="00694F44"/>
    <w:rsid w:val="00695382"/>
    <w:rsid w:val="0069633F"/>
    <w:rsid w:val="00697339"/>
    <w:rsid w:val="0069794C"/>
    <w:rsid w:val="00697997"/>
    <w:rsid w:val="00697C84"/>
    <w:rsid w:val="00697C89"/>
    <w:rsid w:val="00697EE3"/>
    <w:rsid w:val="00697FBB"/>
    <w:rsid w:val="006A020D"/>
    <w:rsid w:val="006A215A"/>
    <w:rsid w:val="006A2D80"/>
    <w:rsid w:val="006A3E0E"/>
    <w:rsid w:val="006A43D0"/>
    <w:rsid w:val="006A476D"/>
    <w:rsid w:val="006A5125"/>
    <w:rsid w:val="006A596D"/>
    <w:rsid w:val="006A7A56"/>
    <w:rsid w:val="006B04DF"/>
    <w:rsid w:val="006B07A9"/>
    <w:rsid w:val="006B1EE6"/>
    <w:rsid w:val="006B3F39"/>
    <w:rsid w:val="006B5203"/>
    <w:rsid w:val="006B5E3B"/>
    <w:rsid w:val="006B6817"/>
    <w:rsid w:val="006B6900"/>
    <w:rsid w:val="006B7848"/>
    <w:rsid w:val="006C1D9B"/>
    <w:rsid w:val="006C275C"/>
    <w:rsid w:val="006C2A8E"/>
    <w:rsid w:val="006C37F6"/>
    <w:rsid w:val="006C399A"/>
    <w:rsid w:val="006C3D02"/>
    <w:rsid w:val="006C6314"/>
    <w:rsid w:val="006C6408"/>
    <w:rsid w:val="006C6873"/>
    <w:rsid w:val="006C6A56"/>
    <w:rsid w:val="006C6F72"/>
    <w:rsid w:val="006C73D1"/>
    <w:rsid w:val="006D09D1"/>
    <w:rsid w:val="006D3914"/>
    <w:rsid w:val="006D3C7D"/>
    <w:rsid w:val="006D560D"/>
    <w:rsid w:val="006D5D5F"/>
    <w:rsid w:val="006E00C7"/>
    <w:rsid w:val="006E08D8"/>
    <w:rsid w:val="006E1011"/>
    <w:rsid w:val="006E13F3"/>
    <w:rsid w:val="006E17E7"/>
    <w:rsid w:val="006E2619"/>
    <w:rsid w:val="006E409F"/>
    <w:rsid w:val="006E4750"/>
    <w:rsid w:val="006E5375"/>
    <w:rsid w:val="006E6A50"/>
    <w:rsid w:val="006E71C3"/>
    <w:rsid w:val="006F05D6"/>
    <w:rsid w:val="006F14F7"/>
    <w:rsid w:val="006F255E"/>
    <w:rsid w:val="006F3D2F"/>
    <w:rsid w:val="006F4395"/>
    <w:rsid w:val="006F45BE"/>
    <w:rsid w:val="006F47EB"/>
    <w:rsid w:val="006F4A74"/>
    <w:rsid w:val="006F5042"/>
    <w:rsid w:val="006F63A5"/>
    <w:rsid w:val="006F6DA3"/>
    <w:rsid w:val="006F7814"/>
    <w:rsid w:val="0070025D"/>
    <w:rsid w:val="00701273"/>
    <w:rsid w:val="0070231C"/>
    <w:rsid w:val="0070276E"/>
    <w:rsid w:val="00702A49"/>
    <w:rsid w:val="00702C01"/>
    <w:rsid w:val="00702F8F"/>
    <w:rsid w:val="007039AB"/>
    <w:rsid w:val="00703BAF"/>
    <w:rsid w:val="007040D5"/>
    <w:rsid w:val="007053EA"/>
    <w:rsid w:val="007055EF"/>
    <w:rsid w:val="007061EF"/>
    <w:rsid w:val="00706D15"/>
    <w:rsid w:val="00707E70"/>
    <w:rsid w:val="00711102"/>
    <w:rsid w:val="00711A36"/>
    <w:rsid w:val="00712926"/>
    <w:rsid w:val="00712DF5"/>
    <w:rsid w:val="0071404E"/>
    <w:rsid w:val="007146B9"/>
    <w:rsid w:val="00714F52"/>
    <w:rsid w:val="00715627"/>
    <w:rsid w:val="007172AD"/>
    <w:rsid w:val="0071745A"/>
    <w:rsid w:val="00721E54"/>
    <w:rsid w:val="007227EF"/>
    <w:rsid w:val="00722F79"/>
    <w:rsid w:val="00723257"/>
    <w:rsid w:val="007236D0"/>
    <w:rsid w:val="00723A37"/>
    <w:rsid w:val="00723C01"/>
    <w:rsid w:val="0072404E"/>
    <w:rsid w:val="0072416F"/>
    <w:rsid w:val="00724828"/>
    <w:rsid w:val="00724EB1"/>
    <w:rsid w:val="007274BC"/>
    <w:rsid w:val="00730709"/>
    <w:rsid w:val="0073137D"/>
    <w:rsid w:val="00731B58"/>
    <w:rsid w:val="007324C0"/>
    <w:rsid w:val="007344CC"/>
    <w:rsid w:val="00735328"/>
    <w:rsid w:val="007353FF"/>
    <w:rsid w:val="00736130"/>
    <w:rsid w:val="0073645E"/>
    <w:rsid w:val="00736576"/>
    <w:rsid w:val="0073685B"/>
    <w:rsid w:val="00737D02"/>
    <w:rsid w:val="00740180"/>
    <w:rsid w:val="00740C50"/>
    <w:rsid w:val="00740FEF"/>
    <w:rsid w:val="007411DE"/>
    <w:rsid w:val="00744527"/>
    <w:rsid w:val="00745EFB"/>
    <w:rsid w:val="007460AA"/>
    <w:rsid w:val="00747190"/>
    <w:rsid w:val="00747847"/>
    <w:rsid w:val="00747A95"/>
    <w:rsid w:val="00747E3B"/>
    <w:rsid w:val="00750997"/>
    <w:rsid w:val="00751575"/>
    <w:rsid w:val="00752B9D"/>
    <w:rsid w:val="007535B5"/>
    <w:rsid w:val="00753A11"/>
    <w:rsid w:val="0075410F"/>
    <w:rsid w:val="00754596"/>
    <w:rsid w:val="007559C8"/>
    <w:rsid w:val="00755BF4"/>
    <w:rsid w:val="007562CF"/>
    <w:rsid w:val="00760621"/>
    <w:rsid w:val="00760F6B"/>
    <w:rsid w:val="00761181"/>
    <w:rsid w:val="00761BE2"/>
    <w:rsid w:val="007621E4"/>
    <w:rsid w:val="007633BF"/>
    <w:rsid w:val="00764AC2"/>
    <w:rsid w:val="00764C63"/>
    <w:rsid w:val="00765629"/>
    <w:rsid w:val="00765C5D"/>
    <w:rsid w:val="0076633C"/>
    <w:rsid w:val="0076646B"/>
    <w:rsid w:val="007669D6"/>
    <w:rsid w:val="0076769F"/>
    <w:rsid w:val="007707C2"/>
    <w:rsid w:val="00771827"/>
    <w:rsid w:val="00771911"/>
    <w:rsid w:val="00771DA3"/>
    <w:rsid w:val="00772531"/>
    <w:rsid w:val="00773708"/>
    <w:rsid w:val="0077397A"/>
    <w:rsid w:val="00774763"/>
    <w:rsid w:val="00774D92"/>
    <w:rsid w:val="00775379"/>
    <w:rsid w:val="00775E9E"/>
    <w:rsid w:val="007801B5"/>
    <w:rsid w:val="00781FD1"/>
    <w:rsid w:val="0078214E"/>
    <w:rsid w:val="00782348"/>
    <w:rsid w:val="00782D7E"/>
    <w:rsid w:val="007837D3"/>
    <w:rsid w:val="0078451E"/>
    <w:rsid w:val="007845B8"/>
    <w:rsid w:val="00784ABF"/>
    <w:rsid w:val="0078526B"/>
    <w:rsid w:val="0078575C"/>
    <w:rsid w:val="00791055"/>
    <w:rsid w:val="00791726"/>
    <w:rsid w:val="00792F8A"/>
    <w:rsid w:val="00794489"/>
    <w:rsid w:val="0079470C"/>
    <w:rsid w:val="00795C89"/>
    <w:rsid w:val="0079703E"/>
    <w:rsid w:val="00797921"/>
    <w:rsid w:val="007A01E2"/>
    <w:rsid w:val="007A085D"/>
    <w:rsid w:val="007A0A12"/>
    <w:rsid w:val="007A20F4"/>
    <w:rsid w:val="007A2F58"/>
    <w:rsid w:val="007A35BC"/>
    <w:rsid w:val="007A380B"/>
    <w:rsid w:val="007A492C"/>
    <w:rsid w:val="007A4DE1"/>
    <w:rsid w:val="007A5E36"/>
    <w:rsid w:val="007A74DE"/>
    <w:rsid w:val="007B064C"/>
    <w:rsid w:val="007B1005"/>
    <w:rsid w:val="007B143D"/>
    <w:rsid w:val="007B2239"/>
    <w:rsid w:val="007B251D"/>
    <w:rsid w:val="007B28F8"/>
    <w:rsid w:val="007B3A72"/>
    <w:rsid w:val="007B3E78"/>
    <w:rsid w:val="007B50D4"/>
    <w:rsid w:val="007B5196"/>
    <w:rsid w:val="007B5B0D"/>
    <w:rsid w:val="007B6CDE"/>
    <w:rsid w:val="007B7550"/>
    <w:rsid w:val="007B7682"/>
    <w:rsid w:val="007B77D1"/>
    <w:rsid w:val="007B78A5"/>
    <w:rsid w:val="007C12E4"/>
    <w:rsid w:val="007C23E3"/>
    <w:rsid w:val="007C2431"/>
    <w:rsid w:val="007C28A2"/>
    <w:rsid w:val="007C2DBA"/>
    <w:rsid w:val="007C30D2"/>
    <w:rsid w:val="007C361D"/>
    <w:rsid w:val="007C3D75"/>
    <w:rsid w:val="007C4014"/>
    <w:rsid w:val="007C4425"/>
    <w:rsid w:val="007C5284"/>
    <w:rsid w:val="007C5B59"/>
    <w:rsid w:val="007C630C"/>
    <w:rsid w:val="007C706F"/>
    <w:rsid w:val="007C762B"/>
    <w:rsid w:val="007C765A"/>
    <w:rsid w:val="007D0B38"/>
    <w:rsid w:val="007D0EFB"/>
    <w:rsid w:val="007D191F"/>
    <w:rsid w:val="007D2A43"/>
    <w:rsid w:val="007D3D23"/>
    <w:rsid w:val="007D4653"/>
    <w:rsid w:val="007D5442"/>
    <w:rsid w:val="007D5ED1"/>
    <w:rsid w:val="007D7F95"/>
    <w:rsid w:val="007E0F21"/>
    <w:rsid w:val="007E134D"/>
    <w:rsid w:val="007E1FBD"/>
    <w:rsid w:val="007E2A83"/>
    <w:rsid w:val="007E3B55"/>
    <w:rsid w:val="007E4FCD"/>
    <w:rsid w:val="007E5D5A"/>
    <w:rsid w:val="007E6057"/>
    <w:rsid w:val="007E6909"/>
    <w:rsid w:val="007E6E9A"/>
    <w:rsid w:val="007E6F2E"/>
    <w:rsid w:val="007F03A7"/>
    <w:rsid w:val="007F1017"/>
    <w:rsid w:val="007F1BEA"/>
    <w:rsid w:val="007F1E40"/>
    <w:rsid w:val="007F270C"/>
    <w:rsid w:val="007F3086"/>
    <w:rsid w:val="007F42AC"/>
    <w:rsid w:val="007F4A3F"/>
    <w:rsid w:val="008022B0"/>
    <w:rsid w:val="00802840"/>
    <w:rsid w:val="008034CB"/>
    <w:rsid w:val="00803BA8"/>
    <w:rsid w:val="00805142"/>
    <w:rsid w:val="008057E4"/>
    <w:rsid w:val="0080608D"/>
    <w:rsid w:val="008063FA"/>
    <w:rsid w:val="0080688B"/>
    <w:rsid w:val="00807A8B"/>
    <w:rsid w:val="008115F6"/>
    <w:rsid w:val="00811A21"/>
    <w:rsid w:val="00811B39"/>
    <w:rsid w:val="00811C4A"/>
    <w:rsid w:val="00811DCF"/>
    <w:rsid w:val="00812149"/>
    <w:rsid w:val="00813E69"/>
    <w:rsid w:val="00813F4F"/>
    <w:rsid w:val="00813FAA"/>
    <w:rsid w:val="008145DC"/>
    <w:rsid w:val="00814D3C"/>
    <w:rsid w:val="0081564B"/>
    <w:rsid w:val="00815B37"/>
    <w:rsid w:val="008166EF"/>
    <w:rsid w:val="0081784F"/>
    <w:rsid w:val="0082212E"/>
    <w:rsid w:val="00822323"/>
    <w:rsid w:val="008225F5"/>
    <w:rsid w:val="00823785"/>
    <w:rsid w:val="00824118"/>
    <w:rsid w:val="0082480A"/>
    <w:rsid w:val="00825219"/>
    <w:rsid w:val="008264EB"/>
    <w:rsid w:val="008301C5"/>
    <w:rsid w:val="00830602"/>
    <w:rsid w:val="00831345"/>
    <w:rsid w:val="008328FB"/>
    <w:rsid w:val="00833B05"/>
    <w:rsid w:val="008345B8"/>
    <w:rsid w:val="00834C84"/>
    <w:rsid w:val="00835E2D"/>
    <w:rsid w:val="00835FE0"/>
    <w:rsid w:val="00836F79"/>
    <w:rsid w:val="00840CA2"/>
    <w:rsid w:val="00843259"/>
    <w:rsid w:val="00845BC4"/>
    <w:rsid w:val="00846BED"/>
    <w:rsid w:val="00846E50"/>
    <w:rsid w:val="00847A40"/>
    <w:rsid w:val="0085008D"/>
    <w:rsid w:val="0085114C"/>
    <w:rsid w:val="0085121A"/>
    <w:rsid w:val="00851696"/>
    <w:rsid w:val="00851A7A"/>
    <w:rsid w:val="00853202"/>
    <w:rsid w:val="00855052"/>
    <w:rsid w:val="0085548B"/>
    <w:rsid w:val="00855594"/>
    <w:rsid w:val="00856E9A"/>
    <w:rsid w:val="0085728C"/>
    <w:rsid w:val="0086029F"/>
    <w:rsid w:val="00862502"/>
    <w:rsid w:val="00863061"/>
    <w:rsid w:val="0086310B"/>
    <w:rsid w:val="00864588"/>
    <w:rsid w:val="00864F38"/>
    <w:rsid w:val="00865F94"/>
    <w:rsid w:val="00870D55"/>
    <w:rsid w:val="0087108F"/>
    <w:rsid w:val="008740CD"/>
    <w:rsid w:val="008750E2"/>
    <w:rsid w:val="00875D6D"/>
    <w:rsid w:val="00876060"/>
    <w:rsid w:val="0087653B"/>
    <w:rsid w:val="0087775B"/>
    <w:rsid w:val="008779B2"/>
    <w:rsid w:val="00880032"/>
    <w:rsid w:val="00880200"/>
    <w:rsid w:val="0088043F"/>
    <w:rsid w:val="008805F6"/>
    <w:rsid w:val="008810DD"/>
    <w:rsid w:val="00881577"/>
    <w:rsid w:val="008818D2"/>
    <w:rsid w:val="008824B9"/>
    <w:rsid w:val="00882874"/>
    <w:rsid w:val="008835E2"/>
    <w:rsid w:val="00883787"/>
    <w:rsid w:val="00883DBC"/>
    <w:rsid w:val="00883DD2"/>
    <w:rsid w:val="00884148"/>
    <w:rsid w:val="00884645"/>
    <w:rsid w:val="00884AF2"/>
    <w:rsid w:val="00886676"/>
    <w:rsid w:val="00886804"/>
    <w:rsid w:val="0088774A"/>
    <w:rsid w:val="00887815"/>
    <w:rsid w:val="00887F60"/>
    <w:rsid w:val="00890EA5"/>
    <w:rsid w:val="00891641"/>
    <w:rsid w:val="0089227D"/>
    <w:rsid w:val="00892ED2"/>
    <w:rsid w:val="00893D25"/>
    <w:rsid w:val="00894489"/>
    <w:rsid w:val="0089507A"/>
    <w:rsid w:val="00895BF3"/>
    <w:rsid w:val="00895C6B"/>
    <w:rsid w:val="008963A5"/>
    <w:rsid w:val="00896480"/>
    <w:rsid w:val="00896C05"/>
    <w:rsid w:val="00897187"/>
    <w:rsid w:val="00897462"/>
    <w:rsid w:val="008A012E"/>
    <w:rsid w:val="008A085B"/>
    <w:rsid w:val="008A0E2F"/>
    <w:rsid w:val="008A1FD4"/>
    <w:rsid w:val="008A2029"/>
    <w:rsid w:val="008A2662"/>
    <w:rsid w:val="008A3C3E"/>
    <w:rsid w:val="008A4140"/>
    <w:rsid w:val="008A449B"/>
    <w:rsid w:val="008A45A1"/>
    <w:rsid w:val="008A5652"/>
    <w:rsid w:val="008A5C56"/>
    <w:rsid w:val="008A6076"/>
    <w:rsid w:val="008A6671"/>
    <w:rsid w:val="008A6F6C"/>
    <w:rsid w:val="008A79DE"/>
    <w:rsid w:val="008B16B8"/>
    <w:rsid w:val="008B17F0"/>
    <w:rsid w:val="008B250F"/>
    <w:rsid w:val="008B3C30"/>
    <w:rsid w:val="008B58EE"/>
    <w:rsid w:val="008B66DF"/>
    <w:rsid w:val="008B7D7E"/>
    <w:rsid w:val="008C035E"/>
    <w:rsid w:val="008C1DA0"/>
    <w:rsid w:val="008C3034"/>
    <w:rsid w:val="008C3804"/>
    <w:rsid w:val="008C3A08"/>
    <w:rsid w:val="008C6571"/>
    <w:rsid w:val="008C69AB"/>
    <w:rsid w:val="008C6C2E"/>
    <w:rsid w:val="008C7244"/>
    <w:rsid w:val="008C7ECB"/>
    <w:rsid w:val="008D04E0"/>
    <w:rsid w:val="008D0F23"/>
    <w:rsid w:val="008D1571"/>
    <w:rsid w:val="008D1772"/>
    <w:rsid w:val="008D1DD2"/>
    <w:rsid w:val="008D2DB2"/>
    <w:rsid w:val="008D2EC8"/>
    <w:rsid w:val="008D36F3"/>
    <w:rsid w:val="008D3B58"/>
    <w:rsid w:val="008D5061"/>
    <w:rsid w:val="008D521F"/>
    <w:rsid w:val="008D5949"/>
    <w:rsid w:val="008D668A"/>
    <w:rsid w:val="008D6C7C"/>
    <w:rsid w:val="008D7025"/>
    <w:rsid w:val="008D7A5F"/>
    <w:rsid w:val="008E0096"/>
    <w:rsid w:val="008E06AD"/>
    <w:rsid w:val="008E0FA7"/>
    <w:rsid w:val="008E1B9E"/>
    <w:rsid w:val="008E39BC"/>
    <w:rsid w:val="008E3B94"/>
    <w:rsid w:val="008E3E21"/>
    <w:rsid w:val="008E54BB"/>
    <w:rsid w:val="008E556F"/>
    <w:rsid w:val="008E6069"/>
    <w:rsid w:val="008E6CBD"/>
    <w:rsid w:val="008E7823"/>
    <w:rsid w:val="008F04CA"/>
    <w:rsid w:val="008F120A"/>
    <w:rsid w:val="008F13C9"/>
    <w:rsid w:val="008F16C4"/>
    <w:rsid w:val="008F2A28"/>
    <w:rsid w:val="008F3145"/>
    <w:rsid w:val="008F4278"/>
    <w:rsid w:val="008F48EB"/>
    <w:rsid w:val="008F4F0B"/>
    <w:rsid w:val="008F5BEF"/>
    <w:rsid w:val="008F6752"/>
    <w:rsid w:val="008F77C9"/>
    <w:rsid w:val="008F7876"/>
    <w:rsid w:val="0090059C"/>
    <w:rsid w:val="00900894"/>
    <w:rsid w:val="009017B7"/>
    <w:rsid w:val="00902DDC"/>
    <w:rsid w:val="00903B8F"/>
    <w:rsid w:val="00904057"/>
    <w:rsid w:val="00904AD3"/>
    <w:rsid w:val="009062A5"/>
    <w:rsid w:val="009079D5"/>
    <w:rsid w:val="009101A8"/>
    <w:rsid w:val="0091033A"/>
    <w:rsid w:val="00911272"/>
    <w:rsid w:val="00911DFA"/>
    <w:rsid w:val="009125A8"/>
    <w:rsid w:val="009141CC"/>
    <w:rsid w:val="00914796"/>
    <w:rsid w:val="00914B95"/>
    <w:rsid w:val="00914D8A"/>
    <w:rsid w:val="0091537D"/>
    <w:rsid w:val="00915A47"/>
    <w:rsid w:val="00915AFF"/>
    <w:rsid w:val="00916AB6"/>
    <w:rsid w:val="00917A98"/>
    <w:rsid w:val="00917DBC"/>
    <w:rsid w:val="00920D46"/>
    <w:rsid w:val="00920FF0"/>
    <w:rsid w:val="00921623"/>
    <w:rsid w:val="00922770"/>
    <w:rsid w:val="009233D9"/>
    <w:rsid w:val="009244AC"/>
    <w:rsid w:val="009244D2"/>
    <w:rsid w:val="009264A9"/>
    <w:rsid w:val="00926C2D"/>
    <w:rsid w:val="009315E2"/>
    <w:rsid w:val="009329D9"/>
    <w:rsid w:val="00933343"/>
    <w:rsid w:val="00933499"/>
    <w:rsid w:val="0093528D"/>
    <w:rsid w:val="00935511"/>
    <w:rsid w:val="00936BB0"/>
    <w:rsid w:val="00936EE2"/>
    <w:rsid w:val="0093775A"/>
    <w:rsid w:val="0094047A"/>
    <w:rsid w:val="00940A52"/>
    <w:rsid w:val="009415C6"/>
    <w:rsid w:val="00941B36"/>
    <w:rsid w:val="00942352"/>
    <w:rsid w:val="00942447"/>
    <w:rsid w:val="009437C0"/>
    <w:rsid w:val="00943D3F"/>
    <w:rsid w:val="009445E1"/>
    <w:rsid w:val="00946860"/>
    <w:rsid w:val="00946BBC"/>
    <w:rsid w:val="00947AC9"/>
    <w:rsid w:val="0095055F"/>
    <w:rsid w:val="0095148C"/>
    <w:rsid w:val="009515FF"/>
    <w:rsid w:val="00952C10"/>
    <w:rsid w:val="00952FAB"/>
    <w:rsid w:val="009549CC"/>
    <w:rsid w:val="00954D25"/>
    <w:rsid w:val="00954D7C"/>
    <w:rsid w:val="00954F47"/>
    <w:rsid w:val="00955590"/>
    <w:rsid w:val="00956792"/>
    <w:rsid w:val="0095684A"/>
    <w:rsid w:val="00956DA5"/>
    <w:rsid w:val="0095732B"/>
    <w:rsid w:val="00957B78"/>
    <w:rsid w:val="00957D8A"/>
    <w:rsid w:val="009607E0"/>
    <w:rsid w:val="0096291D"/>
    <w:rsid w:val="00962CB9"/>
    <w:rsid w:val="00963601"/>
    <w:rsid w:val="00963BF2"/>
    <w:rsid w:val="00964312"/>
    <w:rsid w:val="0096473C"/>
    <w:rsid w:val="009653FE"/>
    <w:rsid w:val="00966A90"/>
    <w:rsid w:val="00966FBA"/>
    <w:rsid w:val="00967600"/>
    <w:rsid w:val="00967D7E"/>
    <w:rsid w:val="009709AB"/>
    <w:rsid w:val="00972AA7"/>
    <w:rsid w:val="009733CE"/>
    <w:rsid w:val="00973B86"/>
    <w:rsid w:val="0097446F"/>
    <w:rsid w:val="00974B2F"/>
    <w:rsid w:val="0097587C"/>
    <w:rsid w:val="00975A8E"/>
    <w:rsid w:val="00982729"/>
    <w:rsid w:val="00983B6F"/>
    <w:rsid w:val="00983E57"/>
    <w:rsid w:val="00984AFA"/>
    <w:rsid w:val="00985A34"/>
    <w:rsid w:val="009871C9"/>
    <w:rsid w:val="0098740B"/>
    <w:rsid w:val="00990252"/>
    <w:rsid w:val="009916D5"/>
    <w:rsid w:val="00992494"/>
    <w:rsid w:val="00993E2C"/>
    <w:rsid w:val="00994577"/>
    <w:rsid w:val="00995D04"/>
    <w:rsid w:val="00996B1A"/>
    <w:rsid w:val="009970CC"/>
    <w:rsid w:val="0099759A"/>
    <w:rsid w:val="009A0714"/>
    <w:rsid w:val="009A16DC"/>
    <w:rsid w:val="009A18BB"/>
    <w:rsid w:val="009A3632"/>
    <w:rsid w:val="009A3639"/>
    <w:rsid w:val="009A3B2D"/>
    <w:rsid w:val="009A646E"/>
    <w:rsid w:val="009A6E86"/>
    <w:rsid w:val="009A736B"/>
    <w:rsid w:val="009B0A2A"/>
    <w:rsid w:val="009B1140"/>
    <w:rsid w:val="009B1A55"/>
    <w:rsid w:val="009B3E26"/>
    <w:rsid w:val="009B4404"/>
    <w:rsid w:val="009B452F"/>
    <w:rsid w:val="009B4D9C"/>
    <w:rsid w:val="009B5478"/>
    <w:rsid w:val="009B5856"/>
    <w:rsid w:val="009B597E"/>
    <w:rsid w:val="009B59FA"/>
    <w:rsid w:val="009B6576"/>
    <w:rsid w:val="009B680E"/>
    <w:rsid w:val="009B6AE3"/>
    <w:rsid w:val="009B6DD1"/>
    <w:rsid w:val="009B6F63"/>
    <w:rsid w:val="009B7089"/>
    <w:rsid w:val="009C0087"/>
    <w:rsid w:val="009C06FE"/>
    <w:rsid w:val="009C0AE1"/>
    <w:rsid w:val="009C0C9E"/>
    <w:rsid w:val="009C1C0D"/>
    <w:rsid w:val="009C2059"/>
    <w:rsid w:val="009C26E5"/>
    <w:rsid w:val="009C3BB2"/>
    <w:rsid w:val="009C3E8B"/>
    <w:rsid w:val="009C432D"/>
    <w:rsid w:val="009C7844"/>
    <w:rsid w:val="009C7E7B"/>
    <w:rsid w:val="009D0000"/>
    <w:rsid w:val="009D0259"/>
    <w:rsid w:val="009D0E3B"/>
    <w:rsid w:val="009D2A06"/>
    <w:rsid w:val="009D2A39"/>
    <w:rsid w:val="009D3301"/>
    <w:rsid w:val="009D3472"/>
    <w:rsid w:val="009D3C07"/>
    <w:rsid w:val="009D47A5"/>
    <w:rsid w:val="009D4E8E"/>
    <w:rsid w:val="009D4FA3"/>
    <w:rsid w:val="009D5B91"/>
    <w:rsid w:val="009D653C"/>
    <w:rsid w:val="009D7D09"/>
    <w:rsid w:val="009E08E2"/>
    <w:rsid w:val="009E0D7A"/>
    <w:rsid w:val="009E1E66"/>
    <w:rsid w:val="009E2161"/>
    <w:rsid w:val="009E24DA"/>
    <w:rsid w:val="009E26E2"/>
    <w:rsid w:val="009E368E"/>
    <w:rsid w:val="009E3D64"/>
    <w:rsid w:val="009E41EE"/>
    <w:rsid w:val="009E4C07"/>
    <w:rsid w:val="009E5135"/>
    <w:rsid w:val="009E5E74"/>
    <w:rsid w:val="009E6F1D"/>
    <w:rsid w:val="009F10A1"/>
    <w:rsid w:val="009F1277"/>
    <w:rsid w:val="009F25B2"/>
    <w:rsid w:val="009F2F89"/>
    <w:rsid w:val="009F31F8"/>
    <w:rsid w:val="009F68EF"/>
    <w:rsid w:val="009F695F"/>
    <w:rsid w:val="00A005BD"/>
    <w:rsid w:val="00A0061D"/>
    <w:rsid w:val="00A018B3"/>
    <w:rsid w:val="00A019DD"/>
    <w:rsid w:val="00A032EA"/>
    <w:rsid w:val="00A03CE2"/>
    <w:rsid w:val="00A03D43"/>
    <w:rsid w:val="00A04380"/>
    <w:rsid w:val="00A04AC0"/>
    <w:rsid w:val="00A05504"/>
    <w:rsid w:val="00A056D1"/>
    <w:rsid w:val="00A07361"/>
    <w:rsid w:val="00A10F36"/>
    <w:rsid w:val="00A110C4"/>
    <w:rsid w:val="00A120E5"/>
    <w:rsid w:val="00A12A50"/>
    <w:rsid w:val="00A131F1"/>
    <w:rsid w:val="00A134B6"/>
    <w:rsid w:val="00A13948"/>
    <w:rsid w:val="00A1400F"/>
    <w:rsid w:val="00A14124"/>
    <w:rsid w:val="00A151F9"/>
    <w:rsid w:val="00A157C6"/>
    <w:rsid w:val="00A16591"/>
    <w:rsid w:val="00A16BD9"/>
    <w:rsid w:val="00A172BA"/>
    <w:rsid w:val="00A20BA3"/>
    <w:rsid w:val="00A20FF7"/>
    <w:rsid w:val="00A216DF"/>
    <w:rsid w:val="00A21756"/>
    <w:rsid w:val="00A21930"/>
    <w:rsid w:val="00A21AAC"/>
    <w:rsid w:val="00A22581"/>
    <w:rsid w:val="00A22C3F"/>
    <w:rsid w:val="00A2380C"/>
    <w:rsid w:val="00A24F13"/>
    <w:rsid w:val="00A2754D"/>
    <w:rsid w:val="00A27824"/>
    <w:rsid w:val="00A27AEC"/>
    <w:rsid w:val="00A30828"/>
    <w:rsid w:val="00A30D23"/>
    <w:rsid w:val="00A31884"/>
    <w:rsid w:val="00A31D84"/>
    <w:rsid w:val="00A32DFD"/>
    <w:rsid w:val="00A3338D"/>
    <w:rsid w:val="00A33761"/>
    <w:rsid w:val="00A34DDA"/>
    <w:rsid w:val="00A35D16"/>
    <w:rsid w:val="00A361E7"/>
    <w:rsid w:val="00A36515"/>
    <w:rsid w:val="00A3733A"/>
    <w:rsid w:val="00A37B0B"/>
    <w:rsid w:val="00A37B2D"/>
    <w:rsid w:val="00A406AD"/>
    <w:rsid w:val="00A409FF"/>
    <w:rsid w:val="00A40D7B"/>
    <w:rsid w:val="00A41831"/>
    <w:rsid w:val="00A4208B"/>
    <w:rsid w:val="00A43C59"/>
    <w:rsid w:val="00A44337"/>
    <w:rsid w:val="00A4589A"/>
    <w:rsid w:val="00A46456"/>
    <w:rsid w:val="00A50E2C"/>
    <w:rsid w:val="00A50ECD"/>
    <w:rsid w:val="00A50F5A"/>
    <w:rsid w:val="00A512A1"/>
    <w:rsid w:val="00A52729"/>
    <w:rsid w:val="00A533D9"/>
    <w:rsid w:val="00A53675"/>
    <w:rsid w:val="00A54525"/>
    <w:rsid w:val="00A5522F"/>
    <w:rsid w:val="00A56984"/>
    <w:rsid w:val="00A56B6A"/>
    <w:rsid w:val="00A57144"/>
    <w:rsid w:val="00A5730C"/>
    <w:rsid w:val="00A57529"/>
    <w:rsid w:val="00A578DC"/>
    <w:rsid w:val="00A61A37"/>
    <w:rsid w:val="00A63596"/>
    <w:rsid w:val="00A638FC"/>
    <w:rsid w:val="00A63A37"/>
    <w:rsid w:val="00A64ADB"/>
    <w:rsid w:val="00A64F53"/>
    <w:rsid w:val="00A65372"/>
    <w:rsid w:val="00A66772"/>
    <w:rsid w:val="00A6725B"/>
    <w:rsid w:val="00A6729D"/>
    <w:rsid w:val="00A672B6"/>
    <w:rsid w:val="00A67BCA"/>
    <w:rsid w:val="00A67BF2"/>
    <w:rsid w:val="00A67E1E"/>
    <w:rsid w:val="00A71057"/>
    <w:rsid w:val="00A71A63"/>
    <w:rsid w:val="00A724D5"/>
    <w:rsid w:val="00A73291"/>
    <w:rsid w:val="00A75371"/>
    <w:rsid w:val="00A75D0B"/>
    <w:rsid w:val="00A75F5C"/>
    <w:rsid w:val="00A7641F"/>
    <w:rsid w:val="00A774DC"/>
    <w:rsid w:val="00A77AAF"/>
    <w:rsid w:val="00A77EB0"/>
    <w:rsid w:val="00A80A33"/>
    <w:rsid w:val="00A819E8"/>
    <w:rsid w:val="00A81C35"/>
    <w:rsid w:val="00A81D9B"/>
    <w:rsid w:val="00A82002"/>
    <w:rsid w:val="00A83916"/>
    <w:rsid w:val="00A85E29"/>
    <w:rsid w:val="00A86E8B"/>
    <w:rsid w:val="00A87941"/>
    <w:rsid w:val="00A906E6"/>
    <w:rsid w:val="00A90AC7"/>
    <w:rsid w:val="00A90E7B"/>
    <w:rsid w:val="00A91C98"/>
    <w:rsid w:val="00A93072"/>
    <w:rsid w:val="00A93CD7"/>
    <w:rsid w:val="00A93E9D"/>
    <w:rsid w:val="00A9456C"/>
    <w:rsid w:val="00A947D8"/>
    <w:rsid w:val="00A94926"/>
    <w:rsid w:val="00A94AA9"/>
    <w:rsid w:val="00A959D8"/>
    <w:rsid w:val="00A96B1F"/>
    <w:rsid w:val="00A96DD5"/>
    <w:rsid w:val="00A97DDE"/>
    <w:rsid w:val="00AA0DD2"/>
    <w:rsid w:val="00AA1096"/>
    <w:rsid w:val="00AA388D"/>
    <w:rsid w:val="00AA4DFB"/>
    <w:rsid w:val="00AA5162"/>
    <w:rsid w:val="00AA51C9"/>
    <w:rsid w:val="00AA6495"/>
    <w:rsid w:val="00AB042A"/>
    <w:rsid w:val="00AB2721"/>
    <w:rsid w:val="00AB2D34"/>
    <w:rsid w:val="00AB3430"/>
    <w:rsid w:val="00AB3E06"/>
    <w:rsid w:val="00AB43F5"/>
    <w:rsid w:val="00AB5C95"/>
    <w:rsid w:val="00AB7A13"/>
    <w:rsid w:val="00AB7CFA"/>
    <w:rsid w:val="00AB7E0D"/>
    <w:rsid w:val="00AC02F3"/>
    <w:rsid w:val="00AC0F9B"/>
    <w:rsid w:val="00AC1BF0"/>
    <w:rsid w:val="00AC1FD4"/>
    <w:rsid w:val="00AC2472"/>
    <w:rsid w:val="00AC3D8F"/>
    <w:rsid w:val="00AC4CEB"/>
    <w:rsid w:val="00AC4E30"/>
    <w:rsid w:val="00AC580C"/>
    <w:rsid w:val="00AC5867"/>
    <w:rsid w:val="00AC592D"/>
    <w:rsid w:val="00AC74D6"/>
    <w:rsid w:val="00AC75D2"/>
    <w:rsid w:val="00AC7D51"/>
    <w:rsid w:val="00AD0AD4"/>
    <w:rsid w:val="00AD3CC9"/>
    <w:rsid w:val="00AD491F"/>
    <w:rsid w:val="00AD5CEC"/>
    <w:rsid w:val="00AD69AD"/>
    <w:rsid w:val="00AD6AF4"/>
    <w:rsid w:val="00AD71E1"/>
    <w:rsid w:val="00AD7C56"/>
    <w:rsid w:val="00AE1568"/>
    <w:rsid w:val="00AE65AE"/>
    <w:rsid w:val="00AE6897"/>
    <w:rsid w:val="00AE7E5D"/>
    <w:rsid w:val="00AF0CF6"/>
    <w:rsid w:val="00AF262A"/>
    <w:rsid w:val="00AF29CA"/>
    <w:rsid w:val="00AF443E"/>
    <w:rsid w:val="00AF4DB5"/>
    <w:rsid w:val="00AF518A"/>
    <w:rsid w:val="00AF76E7"/>
    <w:rsid w:val="00B0178D"/>
    <w:rsid w:val="00B0230B"/>
    <w:rsid w:val="00B023E6"/>
    <w:rsid w:val="00B0304A"/>
    <w:rsid w:val="00B0493F"/>
    <w:rsid w:val="00B04C1B"/>
    <w:rsid w:val="00B05316"/>
    <w:rsid w:val="00B064FD"/>
    <w:rsid w:val="00B06541"/>
    <w:rsid w:val="00B06769"/>
    <w:rsid w:val="00B073CD"/>
    <w:rsid w:val="00B073D6"/>
    <w:rsid w:val="00B10528"/>
    <w:rsid w:val="00B10DD6"/>
    <w:rsid w:val="00B11113"/>
    <w:rsid w:val="00B1179D"/>
    <w:rsid w:val="00B119FC"/>
    <w:rsid w:val="00B1218C"/>
    <w:rsid w:val="00B12E44"/>
    <w:rsid w:val="00B138A0"/>
    <w:rsid w:val="00B14269"/>
    <w:rsid w:val="00B1467B"/>
    <w:rsid w:val="00B15BD9"/>
    <w:rsid w:val="00B17430"/>
    <w:rsid w:val="00B17573"/>
    <w:rsid w:val="00B177F8"/>
    <w:rsid w:val="00B202DD"/>
    <w:rsid w:val="00B208C2"/>
    <w:rsid w:val="00B22363"/>
    <w:rsid w:val="00B22EFB"/>
    <w:rsid w:val="00B24A8D"/>
    <w:rsid w:val="00B2530C"/>
    <w:rsid w:val="00B26932"/>
    <w:rsid w:val="00B30D65"/>
    <w:rsid w:val="00B31C7E"/>
    <w:rsid w:val="00B32295"/>
    <w:rsid w:val="00B33010"/>
    <w:rsid w:val="00B333D5"/>
    <w:rsid w:val="00B33B5D"/>
    <w:rsid w:val="00B34E5E"/>
    <w:rsid w:val="00B35050"/>
    <w:rsid w:val="00B36988"/>
    <w:rsid w:val="00B3739F"/>
    <w:rsid w:val="00B37F5E"/>
    <w:rsid w:val="00B405D5"/>
    <w:rsid w:val="00B40783"/>
    <w:rsid w:val="00B410AB"/>
    <w:rsid w:val="00B416C4"/>
    <w:rsid w:val="00B4194F"/>
    <w:rsid w:val="00B41B10"/>
    <w:rsid w:val="00B420EF"/>
    <w:rsid w:val="00B425BE"/>
    <w:rsid w:val="00B42851"/>
    <w:rsid w:val="00B445F3"/>
    <w:rsid w:val="00B45506"/>
    <w:rsid w:val="00B47528"/>
    <w:rsid w:val="00B47DF0"/>
    <w:rsid w:val="00B50DB8"/>
    <w:rsid w:val="00B53905"/>
    <w:rsid w:val="00B54577"/>
    <w:rsid w:val="00B54B5B"/>
    <w:rsid w:val="00B5562E"/>
    <w:rsid w:val="00B56855"/>
    <w:rsid w:val="00B57000"/>
    <w:rsid w:val="00B573A3"/>
    <w:rsid w:val="00B57DC0"/>
    <w:rsid w:val="00B60939"/>
    <w:rsid w:val="00B60AFD"/>
    <w:rsid w:val="00B610AE"/>
    <w:rsid w:val="00B61B8E"/>
    <w:rsid w:val="00B62715"/>
    <w:rsid w:val="00B62C2B"/>
    <w:rsid w:val="00B62F6F"/>
    <w:rsid w:val="00B6328E"/>
    <w:rsid w:val="00B6399A"/>
    <w:rsid w:val="00B63CF0"/>
    <w:rsid w:val="00B648FB"/>
    <w:rsid w:val="00B649DE"/>
    <w:rsid w:val="00B65049"/>
    <w:rsid w:val="00B65283"/>
    <w:rsid w:val="00B65D20"/>
    <w:rsid w:val="00B66692"/>
    <w:rsid w:val="00B666A7"/>
    <w:rsid w:val="00B700EC"/>
    <w:rsid w:val="00B71D8E"/>
    <w:rsid w:val="00B72B92"/>
    <w:rsid w:val="00B72DCC"/>
    <w:rsid w:val="00B73192"/>
    <w:rsid w:val="00B73BFE"/>
    <w:rsid w:val="00B73E90"/>
    <w:rsid w:val="00B7542B"/>
    <w:rsid w:val="00B75C45"/>
    <w:rsid w:val="00B7685F"/>
    <w:rsid w:val="00B80251"/>
    <w:rsid w:val="00B80ECC"/>
    <w:rsid w:val="00B81891"/>
    <w:rsid w:val="00B818A4"/>
    <w:rsid w:val="00B81F1F"/>
    <w:rsid w:val="00B8205B"/>
    <w:rsid w:val="00B82617"/>
    <w:rsid w:val="00B8286A"/>
    <w:rsid w:val="00B846DE"/>
    <w:rsid w:val="00B84C75"/>
    <w:rsid w:val="00B852A9"/>
    <w:rsid w:val="00B852C8"/>
    <w:rsid w:val="00B853CE"/>
    <w:rsid w:val="00B860C2"/>
    <w:rsid w:val="00B86173"/>
    <w:rsid w:val="00B86274"/>
    <w:rsid w:val="00B8649C"/>
    <w:rsid w:val="00B90DA7"/>
    <w:rsid w:val="00B919B9"/>
    <w:rsid w:val="00B921F9"/>
    <w:rsid w:val="00B92B72"/>
    <w:rsid w:val="00B92D0B"/>
    <w:rsid w:val="00B94945"/>
    <w:rsid w:val="00B949E5"/>
    <w:rsid w:val="00B96432"/>
    <w:rsid w:val="00B96627"/>
    <w:rsid w:val="00B97018"/>
    <w:rsid w:val="00B97CB9"/>
    <w:rsid w:val="00BA0A0F"/>
    <w:rsid w:val="00BA0AD4"/>
    <w:rsid w:val="00BA0DEB"/>
    <w:rsid w:val="00BA0EAD"/>
    <w:rsid w:val="00BA2C62"/>
    <w:rsid w:val="00BA57FE"/>
    <w:rsid w:val="00BA5DC4"/>
    <w:rsid w:val="00BA6053"/>
    <w:rsid w:val="00BA7948"/>
    <w:rsid w:val="00BA7FAE"/>
    <w:rsid w:val="00BB0746"/>
    <w:rsid w:val="00BB091D"/>
    <w:rsid w:val="00BB164A"/>
    <w:rsid w:val="00BB20DE"/>
    <w:rsid w:val="00BB49CE"/>
    <w:rsid w:val="00BB59E2"/>
    <w:rsid w:val="00BB6DB9"/>
    <w:rsid w:val="00BB732E"/>
    <w:rsid w:val="00BB7405"/>
    <w:rsid w:val="00BB7E09"/>
    <w:rsid w:val="00BB7F41"/>
    <w:rsid w:val="00BC33BE"/>
    <w:rsid w:val="00BC3755"/>
    <w:rsid w:val="00BC3B25"/>
    <w:rsid w:val="00BC4AEF"/>
    <w:rsid w:val="00BC545C"/>
    <w:rsid w:val="00BC5D71"/>
    <w:rsid w:val="00BC6D6A"/>
    <w:rsid w:val="00BC717D"/>
    <w:rsid w:val="00BC746D"/>
    <w:rsid w:val="00BC7F6D"/>
    <w:rsid w:val="00BD0B2F"/>
    <w:rsid w:val="00BD1EBE"/>
    <w:rsid w:val="00BD1FB5"/>
    <w:rsid w:val="00BD25CD"/>
    <w:rsid w:val="00BD2AD7"/>
    <w:rsid w:val="00BD2F18"/>
    <w:rsid w:val="00BD3144"/>
    <w:rsid w:val="00BD4758"/>
    <w:rsid w:val="00BD5563"/>
    <w:rsid w:val="00BD591A"/>
    <w:rsid w:val="00BD698C"/>
    <w:rsid w:val="00BD6CF3"/>
    <w:rsid w:val="00BD7DCA"/>
    <w:rsid w:val="00BE02C2"/>
    <w:rsid w:val="00BE0CA5"/>
    <w:rsid w:val="00BE2008"/>
    <w:rsid w:val="00BE2180"/>
    <w:rsid w:val="00BE32A5"/>
    <w:rsid w:val="00BE414A"/>
    <w:rsid w:val="00BE4275"/>
    <w:rsid w:val="00BE436B"/>
    <w:rsid w:val="00BE7C1F"/>
    <w:rsid w:val="00BE7E2A"/>
    <w:rsid w:val="00BF1E8B"/>
    <w:rsid w:val="00BF23B8"/>
    <w:rsid w:val="00BF2433"/>
    <w:rsid w:val="00BF27FA"/>
    <w:rsid w:val="00BF2E0C"/>
    <w:rsid w:val="00BF326D"/>
    <w:rsid w:val="00BF3658"/>
    <w:rsid w:val="00BF453C"/>
    <w:rsid w:val="00BF454B"/>
    <w:rsid w:val="00BF4A3F"/>
    <w:rsid w:val="00BF515E"/>
    <w:rsid w:val="00BF5A9D"/>
    <w:rsid w:val="00BF61C9"/>
    <w:rsid w:val="00BF6C17"/>
    <w:rsid w:val="00C00131"/>
    <w:rsid w:val="00C02D38"/>
    <w:rsid w:val="00C04DCF"/>
    <w:rsid w:val="00C054F1"/>
    <w:rsid w:val="00C05F4A"/>
    <w:rsid w:val="00C1009E"/>
    <w:rsid w:val="00C10801"/>
    <w:rsid w:val="00C10C97"/>
    <w:rsid w:val="00C10D84"/>
    <w:rsid w:val="00C12F0A"/>
    <w:rsid w:val="00C131F1"/>
    <w:rsid w:val="00C139E2"/>
    <w:rsid w:val="00C13CB3"/>
    <w:rsid w:val="00C15440"/>
    <w:rsid w:val="00C15E2F"/>
    <w:rsid w:val="00C15EEC"/>
    <w:rsid w:val="00C1652F"/>
    <w:rsid w:val="00C16FD2"/>
    <w:rsid w:val="00C22B86"/>
    <w:rsid w:val="00C25418"/>
    <w:rsid w:val="00C25D9C"/>
    <w:rsid w:val="00C266D8"/>
    <w:rsid w:val="00C2738C"/>
    <w:rsid w:val="00C31649"/>
    <w:rsid w:val="00C31B59"/>
    <w:rsid w:val="00C324C2"/>
    <w:rsid w:val="00C33866"/>
    <w:rsid w:val="00C34187"/>
    <w:rsid w:val="00C34B0E"/>
    <w:rsid w:val="00C34B83"/>
    <w:rsid w:val="00C3591A"/>
    <w:rsid w:val="00C35F8C"/>
    <w:rsid w:val="00C37AF3"/>
    <w:rsid w:val="00C40385"/>
    <w:rsid w:val="00C403DA"/>
    <w:rsid w:val="00C413C2"/>
    <w:rsid w:val="00C413E7"/>
    <w:rsid w:val="00C4198B"/>
    <w:rsid w:val="00C43938"/>
    <w:rsid w:val="00C43FB8"/>
    <w:rsid w:val="00C4474E"/>
    <w:rsid w:val="00C47270"/>
    <w:rsid w:val="00C5091C"/>
    <w:rsid w:val="00C50F72"/>
    <w:rsid w:val="00C53338"/>
    <w:rsid w:val="00C53E4C"/>
    <w:rsid w:val="00C54850"/>
    <w:rsid w:val="00C55EA4"/>
    <w:rsid w:val="00C564B1"/>
    <w:rsid w:val="00C572E2"/>
    <w:rsid w:val="00C6014C"/>
    <w:rsid w:val="00C60B21"/>
    <w:rsid w:val="00C60CC6"/>
    <w:rsid w:val="00C65576"/>
    <w:rsid w:val="00C65A13"/>
    <w:rsid w:val="00C65C3A"/>
    <w:rsid w:val="00C66165"/>
    <w:rsid w:val="00C664EE"/>
    <w:rsid w:val="00C671B5"/>
    <w:rsid w:val="00C67825"/>
    <w:rsid w:val="00C67D65"/>
    <w:rsid w:val="00C701DB"/>
    <w:rsid w:val="00C70760"/>
    <w:rsid w:val="00C7143D"/>
    <w:rsid w:val="00C7192E"/>
    <w:rsid w:val="00C71DE8"/>
    <w:rsid w:val="00C73BFC"/>
    <w:rsid w:val="00C73C8B"/>
    <w:rsid w:val="00C73F59"/>
    <w:rsid w:val="00C74A08"/>
    <w:rsid w:val="00C750C8"/>
    <w:rsid w:val="00C7532F"/>
    <w:rsid w:val="00C7668B"/>
    <w:rsid w:val="00C76DF8"/>
    <w:rsid w:val="00C77CB4"/>
    <w:rsid w:val="00C809B1"/>
    <w:rsid w:val="00C80DB2"/>
    <w:rsid w:val="00C81385"/>
    <w:rsid w:val="00C8155F"/>
    <w:rsid w:val="00C81BB8"/>
    <w:rsid w:val="00C8213F"/>
    <w:rsid w:val="00C8370B"/>
    <w:rsid w:val="00C83AE2"/>
    <w:rsid w:val="00C83D3E"/>
    <w:rsid w:val="00C84A08"/>
    <w:rsid w:val="00C85994"/>
    <w:rsid w:val="00C85E87"/>
    <w:rsid w:val="00C8616E"/>
    <w:rsid w:val="00C86515"/>
    <w:rsid w:val="00C86AC9"/>
    <w:rsid w:val="00C86E7E"/>
    <w:rsid w:val="00C87004"/>
    <w:rsid w:val="00C8797A"/>
    <w:rsid w:val="00C87AE9"/>
    <w:rsid w:val="00C909C8"/>
    <w:rsid w:val="00C91975"/>
    <w:rsid w:val="00C938CF"/>
    <w:rsid w:val="00C9453C"/>
    <w:rsid w:val="00C94AFC"/>
    <w:rsid w:val="00C94C6E"/>
    <w:rsid w:val="00C9620B"/>
    <w:rsid w:val="00C9667E"/>
    <w:rsid w:val="00C96B8E"/>
    <w:rsid w:val="00C97F6B"/>
    <w:rsid w:val="00CA0F05"/>
    <w:rsid w:val="00CA23CC"/>
    <w:rsid w:val="00CA5245"/>
    <w:rsid w:val="00CA54D1"/>
    <w:rsid w:val="00CA7B09"/>
    <w:rsid w:val="00CB3C55"/>
    <w:rsid w:val="00CB4A81"/>
    <w:rsid w:val="00CB5199"/>
    <w:rsid w:val="00CB55DD"/>
    <w:rsid w:val="00CB5AB1"/>
    <w:rsid w:val="00CB5B1A"/>
    <w:rsid w:val="00CB5D9D"/>
    <w:rsid w:val="00CB61B3"/>
    <w:rsid w:val="00CB6FE4"/>
    <w:rsid w:val="00CB701E"/>
    <w:rsid w:val="00CB73A7"/>
    <w:rsid w:val="00CB7B74"/>
    <w:rsid w:val="00CC124D"/>
    <w:rsid w:val="00CC203B"/>
    <w:rsid w:val="00CC20A5"/>
    <w:rsid w:val="00CC2BD2"/>
    <w:rsid w:val="00CC31AA"/>
    <w:rsid w:val="00CC3226"/>
    <w:rsid w:val="00CC3628"/>
    <w:rsid w:val="00CC3748"/>
    <w:rsid w:val="00CC3A99"/>
    <w:rsid w:val="00CC3D12"/>
    <w:rsid w:val="00CC4C13"/>
    <w:rsid w:val="00CC615E"/>
    <w:rsid w:val="00CC7163"/>
    <w:rsid w:val="00CC7928"/>
    <w:rsid w:val="00CC79D5"/>
    <w:rsid w:val="00CD152B"/>
    <w:rsid w:val="00CD187A"/>
    <w:rsid w:val="00CD3CA1"/>
    <w:rsid w:val="00CD425D"/>
    <w:rsid w:val="00CD48C6"/>
    <w:rsid w:val="00CD51D7"/>
    <w:rsid w:val="00CD6ADC"/>
    <w:rsid w:val="00CD7045"/>
    <w:rsid w:val="00CD7628"/>
    <w:rsid w:val="00CE0926"/>
    <w:rsid w:val="00CE0D20"/>
    <w:rsid w:val="00CE10EE"/>
    <w:rsid w:val="00CE1CB6"/>
    <w:rsid w:val="00CE1F97"/>
    <w:rsid w:val="00CE2767"/>
    <w:rsid w:val="00CE29A6"/>
    <w:rsid w:val="00CE438C"/>
    <w:rsid w:val="00CE4973"/>
    <w:rsid w:val="00CE5899"/>
    <w:rsid w:val="00CE58F8"/>
    <w:rsid w:val="00CE6274"/>
    <w:rsid w:val="00CE6B89"/>
    <w:rsid w:val="00CE6C18"/>
    <w:rsid w:val="00CE7D1D"/>
    <w:rsid w:val="00CF0FB7"/>
    <w:rsid w:val="00CF1966"/>
    <w:rsid w:val="00CF220D"/>
    <w:rsid w:val="00CF22A3"/>
    <w:rsid w:val="00CF23FE"/>
    <w:rsid w:val="00CF33C6"/>
    <w:rsid w:val="00CF3950"/>
    <w:rsid w:val="00CF456B"/>
    <w:rsid w:val="00CF4F57"/>
    <w:rsid w:val="00CF5A22"/>
    <w:rsid w:val="00CF785C"/>
    <w:rsid w:val="00D008C9"/>
    <w:rsid w:val="00D00B50"/>
    <w:rsid w:val="00D00B9E"/>
    <w:rsid w:val="00D00D07"/>
    <w:rsid w:val="00D00F9A"/>
    <w:rsid w:val="00D0262E"/>
    <w:rsid w:val="00D03C48"/>
    <w:rsid w:val="00D0434F"/>
    <w:rsid w:val="00D0498D"/>
    <w:rsid w:val="00D04B7C"/>
    <w:rsid w:val="00D06621"/>
    <w:rsid w:val="00D0730B"/>
    <w:rsid w:val="00D10186"/>
    <w:rsid w:val="00D10F39"/>
    <w:rsid w:val="00D110BD"/>
    <w:rsid w:val="00D1187E"/>
    <w:rsid w:val="00D11DE5"/>
    <w:rsid w:val="00D11EA2"/>
    <w:rsid w:val="00D12E40"/>
    <w:rsid w:val="00D1426A"/>
    <w:rsid w:val="00D1462A"/>
    <w:rsid w:val="00D14879"/>
    <w:rsid w:val="00D14909"/>
    <w:rsid w:val="00D14E85"/>
    <w:rsid w:val="00D15D93"/>
    <w:rsid w:val="00D16277"/>
    <w:rsid w:val="00D169A0"/>
    <w:rsid w:val="00D17D6C"/>
    <w:rsid w:val="00D20F37"/>
    <w:rsid w:val="00D21F1D"/>
    <w:rsid w:val="00D21F56"/>
    <w:rsid w:val="00D220F9"/>
    <w:rsid w:val="00D23032"/>
    <w:rsid w:val="00D231E0"/>
    <w:rsid w:val="00D237B2"/>
    <w:rsid w:val="00D248D2"/>
    <w:rsid w:val="00D24D2F"/>
    <w:rsid w:val="00D2685F"/>
    <w:rsid w:val="00D30BB4"/>
    <w:rsid w:val="00D31430"/>
    <w:rsid w:val="00D3143B"/>
    <w:rsid w:val="00D32F29"/>
    <w:rsid w:val="00D3475E"/>
    <w:rsid w:val="00D34A17"/>
    <w:rsid w:val="00D353F3"/>
    <w:rsid w:val="00D357FF"/>
    <w:rsid w:val="00D35DD2"/>
    <w:rsid w:val="00D35E11"/>
    <w:rsid w:val="00D366BE"/>
    <w:rsid w:val="00D3729B"/>
    <w:rsid w:val="00D372DD"/>
    <w:rsid w:val="00D378F5"/>
    <w:rsid w:val="00D40F50"/>
    <w:rsid w:val="00D42359"/>
    <w:rsid w:val="00D42D22"/>
    <w:rsid w:val="00D42F0C"/>
    <w:rsid w:val="00D43671"/>
    <w:rsid w:val="00D43AAA"/>
    <w:rsid w:val="00D44850"/>
    <w:rsid w:val="00D44EA4"/>
    <w:rsid w:val="00D46058"/>
    <w:rsid w:val="00D4699B"/>
    <w:rsid w:val="00D47377"/>
    <w:rsid w:val="00D47D5B"/>
    <w:rsid w:val="00D50BA7"/>
    <w:rsid w:val="00D50E2F"/>
    <w:rsid w:val="00D51536"/>
    <w:rsid w:val="00D517F1"/>
    <w:rsid w:val="00D5188E"/>
    <w:rsid w:val="00D543ED"/>
    <w:rsid w:val="00D543FA"/>
    <w:rsid w:val="00D547C6"/>
    <w:rsid w:val="00D549FE"/>
    <w:rsid w:val="00D54FE3"/>
    <w:rsid w:val="00D5561D"/>
    <w:rsid w:val="00D56088"/>
    <w:rsid w:val="00D5688F"/>
    <w:rsid w:val="00D576BF"/>
    <w:rsid w:val="00D609A0"/>
    <w:rsid w:val="00D62572"/>
    <w:rsid w:val="00D628F6"/>
    <w:rsid w:val="00D62971"/>
    <w:rsid w:val="00D63ED2"/>
    <w:rsid w:val="00D64394"/>
    <w:rsid w:val="00D66260"/>
    <w:rsid w:val="00D67961"/>
    <w:rsid w:val="00D67D09"/>
    <w:rsid w:val="00D7186D"/>
    <w:rsid w:val="00D721AA"/>
    <w:rsid w:val="00D72FAE"/>
    <w:rsid w:val="00D75A6A"/>
    <w:rsid w:val="00D75E47"/>
    <w:rsid w:val="00D766EE"/>
    <w:rsid w:val="00D76A44"/>
    <w:rsid w:val="00D77232"/>
    <w:rsid w:val="00D81AB5"/>
    <w:rsid w:val="00D822BC"/>
    <w:rsid w:val="00D82C76"/>
    <w:rsid w:val="00D82E59"/>
    <w:rsid w:val="00D83F3A"/>
    <w:rsid w:val="00D8419D"/>
    <w:rsid w:val="00D852BE"/>
    <w:rsid w:val="00D866C1"/>
    <w:rsid w:val="00D87080"/>
    <w:rsid w:val="00D90895"/>
    <w:rsid w:val="00D91411"/>
    <w:rsid w:val="00D923AF"/>
    <w:rsid w:val="00D92517"/>
    <w:rsid w:val="00D93301"/>
    <w:rsid w:val="00D93753"/>
    <w:rsid w:val="00D93FB2"/>
    <w:rsid w:val="00D95764"/>
    <w:rsid w:val="00D9598D"/>
    <w:rsid w:val="00D95C1B"/>
    <w:rsid w:val="00D97AE5"/>
    <w:rsid w:val="00D97C2C"/>
    <w:rsid w:val="00DA1353"/>
    <w:rsid w:val="00DA2C4B"/>
    <w:rsid w:val="00DA47AE"/>
    <w:rsid w:val="00DA544B"/>
    <w:rsid w:val="00DA5722"/>
    <w:rsid w:val="00DA5D9C"/>
    <w:rsid w:val="00DA61C2"/>
    <w:rsid w:val="00DA650B"/>
    <w:rsid w:val="00DA6ACA"/>
    <w:rsid w:val="00DA7521"/>
    <w:rsid w:val="00DA7762"/>
    <w:rsid w:val="00DA77A5"/>
    <w:rsid w:val="00DB03D0"/>
    <w:rsid w:val="00DB0AAA"/>
    <w:rsid w:val="00DB3D59"/>
    <w:rsid w:val="00DB6306"/>
    <w:rsid w:val="00DB741B"/>
    <w:rsid w:val="00DB7443"/>
    <w:rsid w:val="00DC0143"/>
    <w:rsid w:val="00DC02AE"/>
    <w:rsid w:val="00DC0CCF"/>
    <w:rsid w:val="00DC0D60"/>
    <w:rsid w:val="00DC4556"/>
    <w:rsid w:val="00DC498A"/>
    <w:rsid w:val="00DC4D8A"/>
    <w:rsid w:val="00DC5410"/>
    <w:rsid w:val="00DC5501"/>
    <w:rsid w:val="00DC62EB"/>
    <w:rsid w:val="00DC665C"/>
    <w:rsid w:val="00DC6E8C"/>
    <w:rsid w:val="00DC77C0"/>
    <w:rsid w:val="00DC7F2D"/>
    <w:rsid w:val="00DD0400"/>
    <w:rsid w:val="00DD1AC5"/>
    <w:rsid w:val="00DD251D"/>
    <w:rsid w:val="00DD2D20"/>
    <w:rsid w:val="00DD2DDC"/>
    <w:rsid w:val="00DD3AB1"/>
    <w:rsid w:val="00DD3F28"/>
    <w:rsid w:val="00DD4444"/>
    <w:rsid w:val="00DD4537"/>
    <w:rsid w:val="00DD48DB"/>
    <w:rsid w:val="00DD4E15"/>
    <w:rsid w:val="00DD54BF"/>
    <w:rsid w:val="00DD57FB"/>
    <w:rsid w:val="00DD6B7C"/>
    <w:rsid w:val="00DD6EA6"/>
    <w:rsid w:val="00DD762B"/>
    <w:rsid w:val="00DD7CF0"/>
    <w:rsid w:val="00DE04EA"/>
    <w:rsid w:val="00DE08BE"/>
    <w:rsid w:val="00DE0F58"/>
    <w:rsid w:val="00DE18CD"/>
    <w:rsid w:val="00DE19F4"/>
    <w:rsid w:val="00DE1E29"/>
    <w:rsid w:val="00DE2300"/>
    <w:rsid w:val="00DE268D"/>
    <w:rsid w:val="00DE2EB4"/>
    <w:rsid w:val="00DE38E2"/>
    <w:rsid w:val="00DE3D81"/>
    <w:rsid w:val="00DE40DB"/>
    <w:rsid w:val="00DE41E1"/>
    <w:rsid w:val="00DE4381"/>
    <w:rsid w:val="00DE4FCB"/>
    <w:rsid w:val="00DE65F2"/>
    <w:rsid w:val="00DE72AD"/>
    <w:rsid w:val="00DF0E76"/>
    <w:rsid w:val="00DF1A96"/>
    <w:rsid w:val="00DF2978"/>
    <w:rsid w:val="00DF341D"/>
    <w:rsid w:val="00DF3E1D"/>
    <w:rsid w:val="00DF3E51"/>
    <w:rsid w:val="00DF4284"/>
    <w:rsid w:val="00DF4A54"/>
    <w:rsid w:val="00DF5D2B"/>
    <w:rsid w:val="00DF7054"/>
    <w:rsid w:val="00E00E7B"/>
    <w:rsid w:val="00E0103C"/>
    <w:rsid w:val="00E01AFD"/>
    <w:rsid w:val="00E02AD5"/>
    <w:rsid w:val="00E03829"/>
    <w:rsid w:val="00E038A4"/>
    <w:rsid w:val="00E03A3E"/>
    <w:rsid w:val="00E03A5A"/>
    <w:rsid w:val="00E054D4"/>
    <w:rsid w:val="00E06355"/>
    <w:rsid w:val="00E06B16"/>
    <w:rsid w:val="00E071E3"/>
    <w:rsid w:val="00E07799"/>
    <w:rsid w:val="00E10149"/>
    <w:rsid w:val="00E108F4"/>
    <w:rsid w:val="00E117C9"/>
    <w:rsid w:val="00E11CD4"/>
    <w:rsid w:val="00E12455"/>
    <w:rsid w:val="00E12766"/>
    <w:rsid w:val="00E14F0A"/>
    <w:rsid w:val="00E1635F"/>
    <w:rsid w:val="00E16372"/>
    <w:rsid w:val="00E16CF7"/>
    <w:rsid w:val="00E174D6"/>
    <w:rsid w:val="00E20777"/>
    <w:rsid w:val="00E20ED6"/>
    <w:rsid w:val="00E21358"/>
    <w:rsid w:val="00E217B4"/>
    <w:rsid w:val="00E2249B"/>
    <w:rsid w:val="00E22521"/>
    <w:rsid w:val="00E22A0D"/>
    <w:rsid w:val="00E236B0"/>
    <w:rsid w:val="00E23A32"/>
    <w:rsid w:val="00E24042"/>
    <w:rsid w:val="00E24ECF"/>
    <w:rsid w:val="00E25B5D"/>
    <w:rsid w:val="00E25EEC"/>
    <w:rsid w:val="00E263D9"/>
    <w:rsid w:val="00E26AB2"/>
    <w:rsid w:val="00E2771E"/>
    <w:rsid w:val="00E27915"/>
    <w:rsid w:val="00E304E6"/>
    <w:rsid w:val="00E308D1"/>
    <w:rsid w:val="00E312DC"/>
    <w:rsid w:val="00E31C85"/>
    <w:rsid w:val="00E32213"/>
    <w:rsid w:val="00E32538"/>
    <w:rsid w:val="00E3321C"/>
    <w:rsid w:val="00E3426F"/>
    <w:rsid w:val="00E34275"/>
    <w:rsid w:val="00E34F34"/>
    <w:rsid w:val="00E353E6"/>
    <w:rsid w:val="00E35731"/>
    <w:rsid w:val="00E36000"/>
    <w:rsid w:val="00E3709F"/>
    <w:rsid w:val="00E37569"/>
    <w:rsid w:val="00E40C61"/>
    <w:rsid w:val="00E41E30"/>
    <w:rsid w:val="00E41E73"/>
    <w:rsid w:val="00E4374E"/>
    <w:rsid w:val="00E43D70"/>
    <w:rsid w:val="00E44104"/>
    <w:rsid w:val="00E445D4"/>
    <w:rsid w:val="00E44A2B"/>
    <w:rsid w:val="00E44EB0"/>
    <w:rsid w:val="00E45312"/>
    <w:rsid w:val="00E462F0"/>
    <w:rsid w:val="00E46745"/>
    <w:rsid w:val="00E47A48"/>
    <w:rsid w:val="00E47B2C"/>
    <w:rsid w:val="00E50A0A"/>
    <w:rsid w:val="00E5114A"/>
    <w:rsid w:val="00E51560"/>
    <w:rsid w:val="00E5467B"/>
    <w:rsid w:val="00E54D54"/>
    <w:rsid w:val="00E55424"/>
    <w:rsid w:val="00E55BB5"/>
    <w:rsid w:val="00E57D94"/>
    <w:rsid w:val="00E57EA6"/>
    <w:rsid w:val="00E600C6"/>
    <w:rsid w:val="00E61753"/>
    <w:rsid w:val="00E6182B"/>
    <w:rsid w:val="00E61C12"/>
    <w:rsid w:val="00E622D9"/>
    <w:rsid w:val="00E625A4"/>
    <w:rsid w:val="00E6279D"/>
    <w:rsid w:val="00E62B5B"/>
    <w:rsid w:val="00E63ADA"/>
    <w:rsid w:val="00E65E79"/>
    <w:rsid w:val="00E67416"/>
    <w:rsid w:val="00E67425"/>
    <w:rsid w:val="00E70582"/>
    <w:rsid w:val="00E718B6"/>
    <w:rsid w:val="00E72930"/>
    <w:rsid w:val="00E73021"/>
    <w:rsid w:val="00E73581"/>
    <w:rsid w:val="00E7542A"/>
    <w:rsid w:val="00E75AD4"/>
    <w:rsid w:val="00E815B9"/>
    <w:rsid w:val="00E83115"/>
    <w:rsid w:val="00E833CC"/>
    <w:rsid w:val="00E83411"/>
    <w:rsid w:val="00E83785"/>
    <w:rsid w:val="00E83BDF"/>
    <w:rsid w:val="00E84A88"/>
    <w:rsid w:val="00E84C29"/>
    <w:rsid w:val="00E85A92"/>
    <w:rsid w:val="00E8614D"/>
    <w:rsid w:val="00E86858"/>
    <w:rsid w:val="00E8754A"/>
    <w:rsid w:val="00E878DD"/>
    <w:rsid w:val="00E87906"/>
    <w:rsid w:val="00E87ADF"/>
    <w:rsid w:val="00E90C4E"/>
    <w:rsid w:val="00E90D8B"/>
    <w:rsid w:val="00E9198A"/>
    <w:rsid w:val="00E920DB"/>
    <w:rsid w:val="00E930CB"/>
    <w:rsid w:val="00E9317F"/>
    <w:rsid w:val="00E93C67"/>
    <w:rsid w:val="00E93E15"/>
    <w:rsid w:val="00E97842"/>
    <w:rsid w:val="00EA0BA2"/>
    <w:rsid w:val="00EA21C0"/>
    <w:rsid w:val="00EA33B7"/>
    <w:rsid w:val="00EA3757"/>
    <w:rsid w:val="00EA3864"/>
    <w:rsid w:val="00EA3DC2"/>
    <w:rsid w:val="00EA43DC"/>
    <w:rsid w:val="00EA66F7"/>
    <w:rsid w:val="00EA6EFC"/>
    <w:rsid w:val="00EA7072"/>
    <w:rsid w:val="00EA7472"/>
    <w:rsid w:val="00EB0CF0"/>
    <w:rsid w:val="00EB0CFE"/>
    <w:rsid w:val="00EB15B6"/>
    <w:rsid w:val="00EB192E"/>
    <w:rsid w:val="00EB1E09"/>
    <w:rsid w:val="00EB234D"/>
    <w:rsid w:val="00EB3406"/>
    <w:rsid w:val="00EB3A15"/>
    <w:rsid w:val="00EB4241"/>
    <w:rsid w:val="00EB4916"/>
    <w:rsid w:val="00EC00C9"/>
    <w:rsid w:val="00EC08FE"/>
    <w:rsid w:val="00EC0E13"/>
    <w:rsid w:val="00EC221D"/>
    <w:rsid w:val="00EC26DD"/>
    <w:rsid w:val="00EC34B3"/>
    <w:rsid w:val="00EC3E92"/>
    <w:rsid w:val="00EC3F4D"/>
    <w:rsid w:val="00EC4337"/>
    <w:rsid w:val="00EC5678"/>
    <w:rsid w:val="00EC75E9"/>
    <w:rsid w:val="00ED029E"/>
    <w:rsid w:val="00ED2A49"/>
    <w:rsid w:val="00ED3204"/>
    <w:rsid w:val="00ED7DE9"/>
    <w:rsid w:val="00EE07D3"/>
    <w:rsid w:val="00EE20D5"/>
    <w:rsid w:val="00EE2CE4"/>
    <w:rsid w:val="00EE4F92"/>
    <w:rsid w:val="00EE5588"/>
    <w:rsid w:val="00EE571F"/>
    <w:rsid w:val="00EE5B6D"/>
    <w:rsid w:val="00EE6130"/>
    <w:rsid w:val="00EE632D"/>
    <w:rsid w:val="00EE6A1C"/>
    <w:rsid w:val="00EE7C7E"/>
    <w:rsid w:val="00EE7E8D"/>
    <w:rsid w:val="00EF0496"/>
    <w:rsid w:val="00EF0C0F"/>
    <w:rsid w:val="00EF2AAE"/>
    <w:rsid w:val="00EF3728"/>
    <w:rsid w:val="00EF4131"/>
    <w:rsid w:val="00EF4CE5"/>
    <w:rsid w:val="00EF5509"/>
    <w:rsid w:val="00EF6286"/>
    <w:rsid w:val="00EF6DC7"/>
    <w:rsid w:val="00F00680"/>
    <w:rsid w:val="00F01BFC"/>
    <w:rsid w:val="00F03B98"/>
    <w:rsid w:val="00F03F6B"/>
    <w:rsid w:val="00F0452A"/>
    <w:rsid w:val="00F04921"/>
    <w:rsid w:val="00F04BFB"/>
    <w:rsid w:val="00F04C60"/>
    <w:rsid w:val="00F04ECF"/>
    <w:rsid w:val="00F05A74"/>
    <w:rsid w:val="00F067A2"/>
    <w:rsid w:val="00F06C2F"/>
    <w:rsid w:val="00F06CEB"/>
    <w:rsid w:val="00F07F98"/>
    <w:rsid w:val="00F11198"/>
    <w:rsid w:val="00F1151E"/>
    <w:rsid w:val="00F116B1"/>
    <w:rsid w:val="00F12020"/>
    <w:rsid w:val="00F120D2"/>
    <w:rsid w:val="00F12D6D"/>
    <w:rsid w:val="00F14A09"/>
    <w:rsid w:val="00F15E16"/>
    <w:rsid w:val="00F15FC9"/>
    <w:rsid w:val="00F16558"/>
    <w:rsid w:val="00F16C5F"/>
    <w:rsid w:val="00F171B9"/>
    <w:rsid w:val="00F178DB"/>
    <w:rsid w:val="00F17E6A"/>
    <w:rsid w:val="00F204BF"/>
    <w:rsid w:val="00F21F61"/>
    <w:rsid w:val="00F22EF1"/>
    <w:rsid w:val="00F23992"/>
    <w:rsid w:val="00F24837"/>
    <w:rsid w:val="00F255E2"/>
    <w:rsid w:val="00F25673"/>
    <w:rsid w:val="00F2575F"/>
    <w:rsid w:val="00F258D4"/>
    <w:rsid w:val="00F25CD1"/>
    <w:rsid w:val="00F3041F"/>
    <w:rsid w:val="00F31A76"/>
    <w:rsid w:val="00F322F5"/>
    <w:rsid w:val="00F3288E"/>
    <w:rsid w:val="00F330DD"/>
    <w:rsid w:val="00F33DE9"/>
    <w:rsid w:val="00F3619A"/>
    <w:rsid w:val="00F36FC9"/>
    <w:rsid w:val="00F37942"/>
    <w:rsid w:val="00F40F73"/>
    <w:rsid w:val="00F4326A"/>
    <w:rsid w:val="00F441A3"/>
    <w:rsid w:val="00F4438E"/>
    <w:rsid w:val="00F45637"/>
    <w:rsid w:val="00F45C62"/>
    <w:rsid w:val="00F46134"/>
    <w:rsid w:val="00F461DD"/>
    <w:rsid w:val="00F46885"/>
    <w:rsid w:val="00F46CB6"/>
    <w:rsid w:val="00F471D7"/>
    <w:rsid w:val="00F47F92"/>
    <w:rsid w:val="00F502EA"/>
    <w:rsid w:val="00F5045D"/>
    <w:rsid w:val="00F52751"/>
    <w:rsid w:val="00F529E1"/>
    <w:rsid w:val="00F53058"/>
    <w:rsid w:val="00F531F1"/>
    <w:rsid w:val="00F5483C"/>
    <w:rsid w:val="00F54E23"/>
    <w:rsid w:val="00F55931"/>
    <w:rsid w:val="00F55A31"/>
    <w:rsid w:val="00F55E73"/>
    <w:rsid w:val="00F563E3"/>
    <w:rsid w:val="00F60092"/>
    <w:rsid w:val="00F60726"/>
    <w:rsid w:val="00F607CA"/>
    <w:rsid w:val="00F610AA"/>
    <w:rsid w:val="00F61543"/>
    <w:rsid w:val="00F61F5F"/>
    <w:rsid w:val="00F62BEF"/>
    <w:rsid w:val="00F635A2"/>
    <w:rsid w:val="00F64E24"/>
    <w:rsid w:val="00F656A0"/>
    <w:rsid w:val="00F66498"/>
    <w:rsid w:val="00F67488"/>
    <w:rsid w:val="00F67B00"/>
    <w:rsid w:val="00F67E0D"/>
    <w:rsid w:val="00F67F87"/>
    <w:rsid w:val="00F70A7F"/>
    <w:rsid w:val="00F71D63"/>
    <w:rsid w:val="00F7216C"/>
    <w:rsid w:val="00F73799"/>
    <w:rsid w:val="00F738BF"/>
    <w:rsid w:val="00F73EFB"/>
    <w:rsid w:val="00F742F6"/>
    <w:rsid w:val="00F74970"/>
    <w:rsid w:val="00F74AE9"/>
    <w:rsid w:val="00F74FEC"/>
    <w:rsid w:val="00F767A3"/>
    <w:rsid w:val="00F76E1A"/>
    <w:rsid w:val="00F76E33"/>
    <w:rsid w:val="00F80E44"/>
    <w:rsid w:val="00F80E5D"/>
    <w:rsid w:val="00F81743"/>
    <w:rsid w:val="00F81808"/>
    <w:rsid w:val="00F81B37"/>
    <w:rsid w:val="00F82185"/>
    <w:rsid w:val="00F82CFB"/>
    <w:rsid w:val="00F8392B"/>
    <w:rsid w:val="00F841DD"/>
    <w:rsid w:val="00F842BD"/>
    <w:rsid w:val="00F84D32"/>
    <w:rsid w:val="00F851CE"/>
    <w:rsid w:val="00F85725"/>
    <w:rsid w:val="00F860AE"/>
    <w:rsid w:val="00F867FF"/>
    <w:rsid w:val="00F86945"/>
    <w:rsid w:val="00F87E8A"/>
    <w:rsid w:val="00F91781"/>
    <w:rsid w:val="00F91829"/>
    <w:rsid w:val="00F92A5B"/>
    <w:rsid w:val="00F93AAC"/>
    <w:rsid w:val="00F93D73"/>
    <w:rsid w:val="00F951F4"/>
    <w:rsid w:val="00F95AD9"/>
    <w:rsid w:val="00F965C2"/>
    <w:rsid w:val="00F965F9"/>
    <w:rsid w:val="00F97A78"/>
    <w:rsid w:val="00F97D75"/>
    <w:rsid w:val="00FA0A35"/>
    <w:rsid w:val="00FA1C78"/>
    <w:rsid w:val="00FA24E7"/>
    <w:rsid w:val="00FA33F9"/>
    <w:rsid w:val="00FA41CA"/>
    <w:rsid w:val="00FA44A1"/>
    <w:rsid w:val="00FA4CEF"/>
    <w:rsid w:val="00FA57D4"/>
    <w:rsid w:val="00FA5A7E"/>
    <w:rsid w:val="00FA6E63"/>
    <w:rsid w:val="00FA752A"/>
    <w:rsid w:val="00FB09A1"/>
    <w:rsid w:val="00FB0A97"/>
    <w:rsid w:val="00FB2270"/>
    <w:rsid w:val="00FB2347"/>
    <w:rsid w:val="00FB2696"/>
    <w:rsid w:val="00FB2752"/>
    <w:rsid w:val="00FB2FCB"/>
    <w:rsid w:val="00FB3912"/>
    <w:rsid w:val="00FB40D4"/>
    <w:rsid w:val="00FB4E23"/>
    <w:rsid w:val="00FB5C8C"/>
    <w:rsid w:val="00FB5D86"/>
    <w:rsid w:val="00FB6026"/>
    <w:rsid w:val="00FB7FF3"/>
    <w:rsid w:val="00FC1074"/>
    <w:rsid w:val="00FC1884"/>
    <w:rsid w:val="00FC1EB3"/>
    <w:rsid w:val="00FC316C"/>
    <w:rsid w:val="00FC6D57"/>
    <w:rsid w:val="00FC71AC"/>
    <w:rsid w:val="00FC7281"/>
    <w:rsid w:val="00FC7E54"/>
    <w:rsid w:val="00FD0722"/>
    <w:rsid w:val="00FD138A"/>
    <w:rsid w:val="00FD2100"/>
    <w:rsid w:val="00FD296E"/>
    <w:rsid w:val="00FD3579"/>
    <w:rsid w:val="00FD358D"/>
    <w:rsid w:val="00FD385A"/>
    <w:rsid w:val="00FD446D"/>
    <w:rsid w:val="00FD54BA"/>
    <w:rsid w:val="00FD635A"/>
    <w:rsid w:val="00FE002C"/>
    <w:rsid w:val="00FE0A20"/>
    <w:rsid w:val="00FE13B7"/>
    <w:rsid w:val="00FE2897"/>
    <w:rsid w:val="00FE2A11"/>
    <w:rsid w:val="00FE3855"/>
    <w:rsid w:val="00FE3BBF"/>
    <w:rsid w:val="00FE4046"/>
    <w:rsid w:val="00FE4B86"/>
    <w:rsid w:val="00FE4C2D"/>
    <w:rsid w:val="00FE55AF"/>
    <w:rsid w:val="00FE568C"/>
    <w:rsid w:val="00FE57BF"/>
    <w:rsid w:val="00FE5AF0"/>
    <w:rsid w:val="00FE6CEE"/>
    <w:rsid w:val="00FE70A8"/>
    <w:rsid w:val="00FF0F5D"/>
    <w:rsid w:val="00FF15DD"/>
    <w:rsid w:val="00FF27BC"/>
    <w:rsid w:val="00FF3DCF"/>
    <w:rsid w:val="00FF3FE3"/>
    <w:rsid w:val="00FF5AA3"/>
    <w:rsid w:val="00FF5C20"/>
    <w:rsid w:val="00FF6272"/>
    <w:rsid w:val="00FF7273"/>
    <w:rsid w:val="00FF757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51D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lsdException w:name="Body Text" w:qFormat="1"/>
    <w:lsdException w:name="Body Text Indent" w:uiPriority="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E6CBD"/>
    <w:pPr>
      <w:widowControl w:val="0"/>
      <w:jc w:val="both"/>
    </w:pPr>
    <w:rPr>
      <w:rFonts w:ascii="Arial" w:hAnsi="Arial" w:cs="Arial"/>
      <w:snapToGrid w:val="0"/>
      <w:sz w:val="22"/>
      <w:lang w:eastAsia="en-US"/>
    </w:rPr>
  </w:style>
  <w:style w:type="paragraph" w:styleId="Heading1">
    <w:name w:val="heading 1"/>
    <w:aliases w:val="H1,Header 1,Heading 12,Titre 1 Car Car,Titre 1 Car,Outline1,p1"/>
    <w:basedOn w:val="Normal"/>
    <w:next w:val="Normal"/>
    <w:link w:val="Heading1Char"/>
    <w:qFormat/>
    <w:rsid w:val="00E97842"/>
    <w:pPr>
      <w:keepNext/>
      <w:keepLines/>
      <w:widowControl/>
      <w:numPr>
        <w:numId w:val="2"/>
      </w:numPr>
      <w:spacing w:before="240" w:after="120"/>
      <w:jc w:val="left"/>
      <w:outlineLvl w:val="0"/>
    </w:pPr>
    <w:rPr>
      <w:rFonts w:asciiTheme="minorHAnsi" w:hAnsiTheme="minorHAnsi"/>
      <w:b/>
      <w:sz w:val="32"/>
    </w:rPr>
  </w:style>
  <w:style w:type="paragraph" w:styleId="Heading2">
    <w:name w:val="heading 2"/>
    <w:aliases w:val="H2,Heading h2,h2,Heading 2x,p2 Char"/>
    <w:basedOn w:val="Normal"/>
    <w:next w:val="Normal"/>
    <w:link w:val="Heading2Char"/>
    <w:qFormat/>
    <w:rsid w:val="00D366BE"/>
    <w:pPr>
      <w:spacing w:before="240" w:after="120"/>
      <w:outlineLvl w:val="1"/>
    </w:pPr>
    <w:rPr>
      <w:rFonts w:ascii="Calibri" w:hAnsi="Calibri"/>
      <w:b/>
      <w:i/>
      <w:sz w:val="28"/>
    </w:rPr>
  </w:style>
  <w:style w:type="paragraph" w:styleId="Heading3">
    <w:name w:val="heading 3"/>
    <w:aliases w:val="H3,Heading h3,h3,Don 3,Heading 3x,p3 Char"/>
    <w:basedOn w:val="Normal"/>
    <w:next w:val="Normal"/>
    <w:link w:val="Heading3Char"/>
    <w:qFormat/>
    <w:rsid w:val="00703BAF"/>
    <w:pPr>
      <w:spacing w:before="120" w:after="120"/>
      <w:outlineLvl w:val="2"/>
    </w:pPr>
    <w:rPr>
      <w:rFonts w:ascii="Calibri" w:hAnsi="Calibri"/>
      <w:b/>
      <w:sz w:val="24"/>
    </w:rPr>
  </w:style>
  <w:style w:type="paragraph" w:styleId="Heading4">
    <w:name w:val="heading 4"/>
    <w:aliases w:val="Heading 1 - Body, Char,p4"/>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Heading 2 - Body,p5"/>
    <w:basedOn w:val="Normal"/>
    <w:next w:val="Normal"/>
    <w:link w:val="Heading5Char"/>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aliases w:val="Section heading - Body"/>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qFormat/>
    <w:rsid w:val="00A83916"/>
    <w:pPr>
      <w:spacing w:after="60"/>
    </w:pPr>
    <w:rPr>
      <w:rFonts w:ascii="Arial Narrow" w:hAnsi="Arial Narrow"/>
      <w:b/>
      <w:sz w:val="20"/>
    </w:rPr>
  </w:style>
  <w:style w:type="character" w:customStyle="1" w:styleId="Heading2Char">
    <w:name w:val="Heading 2 Char"/>
    <w:aliases w:val="H2 Char,Heading h2 Char,h2 Char,Heading 2x Char,p2 Char Char"/>
    <w:link w:val="Heading2"/>
    <w:rsid w:val="00D366BE"/>
    <w:rPr>
      <w:rFonts w:ascii="Calibri" w:hAnsi="Calibri" w:cs="Arial"/>
      <w:b/>
      <w:i/>
      <w:snapToGrid w:val="0"/>
      <w:sz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35"/>
    <w:unhideWhenUsed/>
    <w:qFormat/>
    <w:rsid w:val="002757CE"/>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2757CE"/>
    <w:rPr>
      <w:rFonts w:ascii="Arial Narrow" w:eastAsiaTheme="minorHAnsi" w:hAnsi="Arial Narrow" w:cstheme="minorBidi"/>
      <w:b/>
      <w:szCs w:val="22"/>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D366BE"/>
    <w:pPr>
      <w:spacing w:after="120"/>
      <w:ind w:left="720"/>
      <w:contextualSpacing/>
    </w:pPr>
    <w:rPr>
      <w:rFonts w:ascii="Calibri" w:hAnsi="Calibri"/>
      <w:sz w:val="24"/>
    </w:rPr>
  </w:style>
  <w:style w:type="paragraph" w:customStyle="1" w:styleId="RegularText">
    <w:name w:val="Regular Text"/>
    <w:basedOn w:val="BodyText"/>
    <w:link w:val="RegularTextChar"/>
    <w:uiPriority w:val="9"/>
    <w:rsid w:val="00124A51"/>
    <w:rPr>
      <w:b/>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0">
    <w:name w:val="TableHeading"/>
    <w:basedOn w:val="Normal"/>
    <w:qFormat/>
    <w:rsid w:val="00A83916"/>
    <w:pPr>
      <w:keepNext/>
      <w:widowControl/>
      <w:spacing w:after="6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character" w:customStyle="1" w:styleId="Heading1Char">
    <w:name w:val="Heading 1 Char"/>
    <w:aliases w:val="H1 Char,Header 1 Char,Heading 12 Char,Titre 1 Car Car Char,Titre 1 Car Char,Outline1 Char,p1 Char"/>
    <w:basedOn w:val="DefaultParagraphFont"/>
    <w:link w:val="Heading1"/>
    <w:rsid w:val="00E97842"/>
    <w:rPr>
      <w:rFonts w:asciiTheme="minorHAnsi" w:hAnsiTheme="minorHAnsi" w:cs="Arial"/>
      <w:b/>
      <w:snapToGrid w:val="0"/>
      <w:sz w:val="32"/>
      <w:lang w:eastAsia="en-US"/>
    </w:rPr>
  </w:style>
  <w:style w:type="character" w:customStyle="1" w:styleId="Heading3Char">
    <w:name w:val="Heading 3 Char"/>
    <w:aliases w:val="H3 Char,Heading h3 Char,h3 Char,Don 3 Char,Heading 3x Char,p3 Char Char"/>
    <w:basedOn w:val="DefaultParagraphFont"/>
    <w:link w:val="Heading3"/>
    <w:rsid w:val="00703BAF"/>
    <w:rPr>
      <w:rFonts w:ascii="Calibri" w:hAnsi="Calibri" w:cs="Arial"/>
      <w:b/>
      <w:snapToGrid w:val="0"/>
      <w:sz w:val="24"/>
      <w:lang w:eastAsia="en-US"/>
    </w:rPr>
  </w:style>
  <w:style w:type="paragraph" w:customStyle="1" w:styleId="V50Heading2nonumbers">
    <w:name w:val="V5.0 Heading 2 no numbers"/>
    <w:basedOn w:val="Heading2"/>
    <w:qFormat/>
    <w:rsid w:val="00DD48DB"/>
    <w:pPr>
      <w:keepNext/>
      <w:keepLines/>
      <w:widowControl/>
      <w:ind w:left="578" w:hanging="578"/>
      <w:jc w:val="left"/>
    </w:pPr>
    <w:rPr>
      <w:rFonts w:asciiTheme="minorHAnsi" w:eastAsiaTheme="majorEastAsia" w:hAnsiTheme="minorHAnsi" w:cstheme="majorBidi"/>
      <w:i w:val="0"/>
      <w:snapToGrid/>
      <w:szCs w:val="28"/>
    </w:rPr>
  </w:style>
  <w:style w:type="paragraph" w:customStyle="1" w:styleId="V50Instructions">
    <w:name w:val="V5.0 Instructions"/>
    <w:basedOn w:val="Normal"/>
    <w:link w:val="V50InstructionsChar"/>
    <w:qFormat/>
    <w:rsid w:val="00DD48DB"/>
    <w:pPr>
      <w:widowControl/>
      <w:spacing w:before="120" w:after="160"/>
      <w:jc w:val="left"/>
    </w:pPr>
    <w:rPr>
      <w:rFonts w:asciiTheme="minorHAnsi" w:eastAsiaTheme="minorHAnsi" w:hAnsiTheme="minorHAnsi" w:cstheme="minorBidi"/>
      <w:snapToGrid/>
      <w:color w:val="4BACC6" w:themeColor="accent5"/>
      <w:sz w:val="24"/>
      <w:szCs w:val="22"/>
    </w:rPr>
  </w:style>
  <w:style w:type="character" w:customStyle="1" w:styleId="Heading4Char">
    <w:name w:val="Heading 4 Char"/>
    <w:aliases w:val="Heading 1 - Body Char, Char Char,p4 Char"/>
    <w:basedOn w:val="DefaultParagraphFont"/>
    <w:link w:val="Heading4"/>
    <w:rsid w:val="00DD48DB"/>
    <w:rPr>
      <w:rFonts w:ascii="Arial" w:hAnsi="Arial" w:cs="Arial"/>
      <w:b/>
      <w:bCs/>
      <w:i/>
      <w:snapToGrid w:val="0"/>
      <w:sz w:val="26"/>
      <w:szCs w:val="28"/>
      <w:lang w:eastAsia="en-US"/>
    </w:rPr>
  </w:style>
  <w:style w:type="character" w:customStyle="1" w:styleId="Heading5Char">
    <w:name w:val="Heading 5 Char"/>
    <w:aliases w:val="Heading 2 - Body Char,p5 Char"/>
    <w:basedOn w:val="DefaultParagraphFont"/>
    <w:link w:val="Heading5"/>
    <w:rsid w:val="00DD48DB"/>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rsid w:val="00DD48DB"/>
    <w:rPr>
      <w:rFonts w:ascii="Arial" w:hAnsi="Arial" w:cs="Arial"/>
      <w:b/>
      <w:bCs/>
      <w:i/>
      <w:snapToGrid w:val="0"/>
      <w:sz w:val="22"/>
      <w:szCs w:val="22"/>
      <w:lang w:eastAsia="en-US"/>
    </w:rPr>
  </w:style>
  <w:style w:type="paragraph" w:customStyle="1" w:styleId="V50Heading1nonumbers">
    <w:name w:val="V5.0 Heading 1 no numbers"/>
    <w:basedOn w:val="Heading1"/>
    <w:qFormat/>
    <w:rsid w:val="00DD48DB"/>
    <w:pPr>
      <w:ind w:left="0" w:firstLine="0"/>
    </w:pPr>
    <w:rPr>
      <w:rFonts w:eastAsiaTheme="majorEastAsia" w:cstheme="majorBidi"/>
      <w:caps/>
      <w:snapToGrid/>
      <w:szCs w:val="28"/>
    </w:rPr>
  </w:style>
  <w:style w:type="paragraph" w:customStyle="1" w:styleId="V50TableText">
    <w:name w:val="V5.0 TableText"/>
    <w:link w:val="V50TableTextChar"/>
    <w:qFormat/>
    <w:rsid w:val="00DD48DB"/>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DD48DB"/>
    <w:rPr>
      <w:b/>
      <w:color w:val="4BACC6" w:themeColor="accent5"/>
    </w:rPr>
  </w:style>
  <w:style w:type="paragraph" w:customStyle="1" w:styleId="V50InstructionsBullets">
    <w:name w:val="V5.0 Instructions Bullets"/>
    <w:basedOn w:val="V50Instructions"/>
    <w:qFormat/>
    <w:rsid w:val="00DD48DB"/>
    <w:pPr>
      <w:numPr>
        <w:numId w:val="3"/>
      </w:numPr>
      <w:spacing w:before="0" w:after="0"/>
      <w:ind w:left="714" w:hanging="357"/>
    </w:pPr>
  </w:style>
  <w:style w:type="table" w:customStyle="1" w:styleId="TableGridLight1">
    <w:name w:val="Table Grid Light1"/>
    <w:basedOn w:val="TableNormal"/>
    <w:uiPriority w:val="40"/>
    <w:rsid w:val="00DD48D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DD48DB"/>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FE4046"/>
    <w:pPr>
      <w:keepNext/>
      <w:widowControl/>
      <w:spacing w:before="40" w:after="40"/>
      <w:jc w:val="left"/>
    </w:pPr>
    <w:rPr>
      <w:rFonts w:ascii="Arial Narrow" w:eastAsiaTheme="minorHAnsi" w:hAnsi="Arial Narrow" w:cstheme="minorBidi"/>
      <w:snapToGrid/>
      <w:sz w:val="20"/>
      <w:szCs w:val="22"/>
    </w:rPr>
  </w:style>
  <w:style w:type="paragraph" w:styleId="FootnoteText">
    <w:name w:val="footnote text"/>
    <w:basedOn w:val="Normal"/>
    <w:link w:val="FootnoteTextChar"/>
    <w:uiPriority w:val="99"/>
    <w:unhideWhenUsed/>
    <w:qFormat/>
    <w:rsid w:val="00DD48DB"/>
    <w:pPr>
      <w:widowControl/>
      <w:jc w:val="left"/>
    </w:pPr>
    <w:rPr>
      <w:rFonts w:asciiTheme="minorHAnsi" w:eastAsiaTheme="minorHAnsi" w:hAnsiTheme="minorHAnsi" w:cstheme="minorBidi"/>
      <w:snapToGrid/>
      <w:sz w:val="18"/>
    </w:rPr>
  </w:style>
  <w:style w:type="character" w:customStyle="1" w:styleId="FootnoteTextChar">
    <w:name w:val="Footnote Text Char"/>
    <w:basedOn w:val="DefaultParagraphFont"/>
    <w:link w:val="FootnoteText"/>
    <w:uiPriority w:val="99"/>
    <w:rsid w:val="00DD48DB"/>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DD48DB"/>
    <w:rPr>
      <w:vertAlign w:val="superscript"/>
    </w:rPr>
  </w:style>
  <w:style w:type="paragraph" w:customStyle="1" w:styleId="TableFigNoteLast">
    <w:name w:val="TableFigNote Last"/>
    <w:basedOn w:val="Normal"/>
    <w:qFormat/>
    <w:rsid w:val="00DD48DB"/>
    <w:pPr>
      <w:widowControl/>
      <w:spacing w:after="360"/>
      <w:jc w:val="left"/>
    </w:pPr>
    <w:rPr>
      <w:rFonts w:asciiTheme="minorHAnsi" w:eastAsiaTheme="minorHAnsi" w:hAnsiTheme="minorHAnsi" w:cstheme="minorBidi"/>
      <w:snapToGrid/>
      <w:sz w:val="18"/>
      <w:szCs w:val="22"/>
    </w:rPr>
  </w:style>
  <w:style w:type="character" w:styleId="Emphasis">
    <w:name w:val="Emphasis"/>
    <w:basedOn w:val="DefaultParagraphFont"/>
    <w:uiPriority w:val="20"/>
    <w:qFormat/>
    <w:rsid w:val="00DD48DB"/>
    <w:rPr>
      <w:b w:val="0"/>
      <w:i/>
      <w:iCs/>
    </w:rPr>
  </w:style>
  <w:style w:type="paragraph" w:customStyle="1" w:styleId="TableHeading">
    <w:name w:val="Table Heading"/>
    <w:basedOn w:val="Normal"/>
    <w:qFormat/>
    <w:rsid w:val="00DD48DB"/>
    <w:pPr>
      <w:keepNext/>
      <w:widowControl/>
      <w:spacing w:after="60"/>
      <w:jc w:val="left"/>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DD48DB"/>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DD48DB"/>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DD48DB"/>
    <w:pPr>
      <w:keepNext/>
    </w:pPr>
    <w:rPr>
      <w:b/>
    </w:rPr>
  </w:style>
  <w:style w:type="character" w:customStyle="1" w:styleId="V50TablenameChar">
    <w:name w:val="V5.0 Table name Char"/>
    <w:basedOn w:val="DefaultParagraphFont"/>
    <w:link w:val="V50Tablename"/>
    <w:rsid w:val="00DD48DB"/>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DD48DB"/>
    <w:pPr>
      <w:spacing w:after="120"/>
      <w:contextualSpacing/>
      <w:jc w:val="both"/>
    </w:pPr>
    <w:rPr>
      <w:sz w:val="18"/>
      <w:szCs w:val="18"/>
    </w:rPr>
  </w:style>
  <w:style w:type="character" w:customStyle="1" w:styleId="V50TablenoteChar">
    <w:name w:val="V5.0 Tablenote Char"/>
    <w:basedOn w:val="DefaultParagraphFont"/>
    <w:link w:val="V50Tablenote"/>
    <w:rsid w:val="00DD48DB"/>
    <w:rPr>
      <w:rFonts w:asciiTheme="minorHAnsi" w:eastAsiaTheme="minorHAnsi" w:hAnsiTheme="minorHAnsi" w:cstheme="minorBidi"/>
      <w:sz w:val="18"/>
      <w:szCs w:val="18"/>
      <w:lang w:val="en-US" w:eastAsia="en-US"/>
    </w:rPr>
  </w:style>
  <w:style w:type="character" w:customStyle="1" w:styleId="TableFooterChar">
    <w:name w:val="Table Footer Char"/>
    <w:link w:val="TableFooter"/>
    <w:rsid w:val="00DD48DB"/>
    <w:rPr>
      <w:rFonts w:ascii="Arial Narrow" w:hAnsi="Arial Narrow" w:cs="Arial"/>
      <w:snapToGrid w:val="0"/>
      <w:sz w:val="18"/>
      <w:lang w:eastAsia="en-US"/>
    </w:rPr>
  </w:style>
  <w:style w:type="paragraph" w:customStyle="1" w:styleId="TableNotes">
    <w:name w:val="TableNotes"/>
    <w:basedOn w:val="Normal"/>
    <w:link w:val="TableNotesChar"/>
    <w:qFormat/>
    <w:rsid w:val="00DD48DB"/>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DD48DB"/>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DD48DB"/>
    <w:rPr>
      <w:rFonts w:asciiTheme="minorHAnsi" w:eastAsiaTheme="minorHAnsi" w:hAnsiTheme="minorHAnsi" w:cs="Arial"/>
      <w:sz w:val="18"/>
      <w:szCs w:val="18"/>
      <w:lang w:val="en-US" w:eastAsia="en-US"/>
    </w:rPr>
  </w:style>
  <w:style w:type="paragraph" w:customStyle="1" w:styleId="Style1">
    <w:name w:val="Style1"/>
    <w:basedOn w:val="Normal"/>
    <w:rsid w:val="00DD48DB"/>
  </w:style>
  <w:style w:type="paragraph" w:customStyle="1" w:styleId="PBACheading10">
    <w:name w:val="PBAC heading 1"/>
    <w:qFormat/>
    <w:rsid w:val="00DD48DB"/>
    <w:pPr>
      <w:ind w:left="720" w:hanging="72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34"/>
    <w:locked/>
    <w:rsid w:val="00D366BE"/>
    <w:rPr>
      <w:rFonts w:ascii="Calibri" w:hAnsi="Calibri" w:cs="Arial"/>
      <w:snapToGrid w:val="0"/>
      <w:sz w:val="24"/>
      <w:lang w:eastAsia="en-US"/>
    </w:rPr>
  </w:style>
  <w:style w:type="numbering" w:customStyle="1" w:styleId="Headings">
    <w:name w:val="Headings"/>
    <w:uiPriority w:val="99"/>
    <w:rsid w:val="00DD48DB"/>
    <w:pPr>
      <w:numPr>
        <w:numId w:val="4"/>
      </w:numPr>
    </w:pPr>
  </w:style>
  <w:style w:type="character" w:styleId="FollowedHyperlink">
    <w:name w:val="FollowedHyperlink"/>
    <w:basedOn w:val="DefaultParagraphFont"/>
    <w:unhideWhenUsed/>
    <w:rsid w:val="00DD48DB"/>
    <w:rPr>
      <w:color w:val="800080" w:themeColor="followedHyperlink"/>
      <w:u w:val="single"/>
    </w:rPr>
  </w:style>
  <w:style w:type="paragraph" w:customStyle="1" w:styleId="BulletLast">
    <w:name w:val="Bullet Last"/>
    <w:basedOn w:val="Normal"/>
    <w:qFormat/>
    <w:rsid w:val="00DD48DB"/>
    <w:pPr>
      <w:widowControl/>
      <w:numPr>
        <w:numId w:val="5"/>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qFormat/>
    <w:rsid w:val="00DD48DB"/>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DD48DB"/>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D48DB"/>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DD48DB"/>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Left">
    <w:name w:val="Table Left"/>
    <w:basedOn w:val="Normal"/>
    <w:link w:val="TableLeftChar"/>
    <w:uiPriority w:val="99"/>
    <w:qFormat/>
    <w:rsid w:val="00985A34"/>
    <w:pPr>
      <w:widowControl/>
      <w:jc w:val="left"/>
    </w:pPr>
    <w:rPr>
      <w:rFonts w:ascii="Candara" w:hAnsi="Candara" w:cs="Times New Roman"/>
      <w:snapToGrid/>
      <w:sz w:val="20"/>
      <w:szCs w:val="22"/>
    </w:rPr>
  </w:style>
  <w:style w:type="character" w:customStyle="1" w:styleId="TableLeftChar">
    <w:name w:val="Table Left Char"/>
    <w:basedOn w:val="DefaultParagraphFont"/>
    <w:link w:val="TableLeft"/>
    <w:uiPriority w:val="99"/>
    <w:locked/>
    <w:rsid w:val="00985A34"/>
    <w:rPr>
      <w:rFonts w:ascii="Candara" w:hAnsi="Candara"/>
      <w:szCs w:val="22"/>
      <w:lang w:eastAsia="en-US"/>
    </w:rPr>
  </w:style>
  <w:style w:type="character" w:customStyle="1" w:styleId="TableNotesChar">
    <w:name w:val="TableNotes Char"/>
    <w:basedOn w:val="DefaultParagraphFont"/>
    <w:link w:val="TableNotes"/>
    <w:rsid w:val="00252D38"/>
    <w:rPr>
      <w:rFonts w:asciiTheme="minorHAnsi" w:eastAsiaTheme="minorHAnsi" w:hAnsiTheme="minorHAnsi" w:cstheme="minorBidi"/>
      <w:szCs w:val="22"/>
      <w:lang w:eastAsia="en-US"/>
    </w:rPr>
  </w:style>
  <w:style w:type="character" w:customStyle="1" w:styleId="TableTextChar0">
    <w:name w:val="TableText Char"/>
    <w:basedOn w:val="DefaultParagraphFont"/>
    <w:link w:val="TableText0"/>
    <w:rsid w:val="00252D38"/>
    <w:rPr>
      <w:rFonts w:ascii="Arial Narrow" w:hAnsi="Arial Narrow" w:cs="Arial Narrow"/>
      <w:lang w:eastAsia="en-US"/>
    </w:rPr>
  </w:style>
  <w:style w:type="paragraph" w:customStyle="1" w:styleId="BodyText1">
    <w:name w:val="Body Text1"/>
    <w:basedOn w:val="Normal"/>
    <w:rsid w:val="00501F44"/>
    <w:pPr>
      <w:widowControl/>
      <w:spacing w:before="120" w:after="200" w:line="360" w:lineRule="auto"/>
      <w:ind w:left="1152"/>
      <w:jc w:val="left"/>
    </w:pPr>
    <w:rPr>
      <w:snapToGrid/>
      <w:sz w:val="20"/>
      <w:lang w:eastAsia="en-AU"/>
    </w:rPr>
  </w:style>
  <w:style w:type="paragraph" w:customStyle="1" w:styleId="TableHeadingCentred">
    <w:name w:val="TableHeadingCentred"/>
    <w:basedOn w:val="TableHeadingRow"/>
    <w:next w:val="TableText0"/>
    <w:rsid w:val="00CE10EE"/>
    <w:pPr>
      <w:jc w:val="center"/>
    </w:pPr>
  </w:style>
  <w:style w:type="paragraph" w:customStyle="1" w:styleId="TableHeadingRow">
    <w:name w:val="TableHeadingRow"/>
    <w:basedOn w:val="TableText0"/>
    <w:next w:val="TableText0"/>
    <w:rsid w:val="00CE10EE"/>
    <w:rPr>
      <w:rFonts w:ascii="Calibri" w:hAnsi="Calibri" w:cs="Times New Roman"/>
      <w:b/>
      <w:bCs/>
      <w:iCs/>
      <w:szCs w:val="18"/>
    </w:rPr>
  </w:style>
  <w:style w:type="paragraph" w:customStyle="1" w:styleId="Question">
    <w:name w:val="Question"/>
    <w:basedOn w:val="Normal"/>
    <w:autoRedefine/>
    <w:rsid w:val="00CE10EE"/>
    <w:pPr>
      <w:widowControl/>
      <w:spacing w:line="360" w:lineRule="auto"/>
      <w:jc w:val="left"/>
    </w:pPr>
    <w:rPr>
      <w:rFonts w:ascii="Calibri" w:eastAsia="Arial Unicode MS" w:hAnsi="Calibri" w:cs="Times New Roman"/>
      <w:i/>
      <w:snapToGrid/>
      <w:color w:val="FF0000"/>
      <w:lang w:val="en-GB" w:eastAsia="zh-CN"/>
    </w:rPr>
  </w:style>
  <w:style w:type="paragraph" w:customStyle="1" w:styleId="Table9">
    <w:name w:val="Table9"/>
    <w:basedOn w:val="Normal"/>
    <w:next w:val="TableText0"/>
    <w:rsid w:val="00CE10EE"/>
    <w:pPr>
      <w:widowControl/>
      <w:spacing w:before="40" w:after="40"/>
      <w:jc w:val="left"/>
    </w:pPr>
    <w:rPr>
      <w:rFonts w:ascii="Calibri" w:eastAsia="SimSun" w:hAnsi="Calibri" w:cs="Times New Roman"/>
      <w:snapToGrid/>
      <w:szCs w:val="18"/>
      <w:lang w:eastAsia="zh-CN"/>
    </w:rPr>
  </w:style>
  <w:style w:type="character" w:styleId="PageNumber">
    <w:name w:val="page number"/>
    <w:basedOn w:val="DefaultParagraphFont"/>
    <w:rsid w:val="00CE10EE"/>
    <w:rPr>
      <w:rFonts w:ascii="Calibri" w:hAnsi="Calibri"/>
      <w:sz w:val="20"/>
    </w:rPr>
  </w:style>
  <w:style w:type="paragraph" w:customStyle="1" w:styleId="StyleHeading1Left0cmFirstline0cm">
    <w:name w:val="Style Heading 1 + Left:  0 cm First line:  0 cm"/>
    <w:basedOn w:val="Heading1"/>
    <w:rsid w:val="00CE10EE"/>
    <w:pPr>
      <w:shd w:val="clear" w:color="auto" w:fill="FFFFFF"/>
      <w:spacing w:before="0"/>
      <w:ind w:left="0" w:right="101" w:firstLine="0"/>
    </w:pPr>
    <w:rPr>
      <w:rFonts w:cs="Times New Roman"/>
      <w:bCs/>
      <w:smallCaps/>
      <w:snapToGrid/>
      <w:kern w:val="32"/>
      <w:sz w:val="28"/>
      <w:szCs w:val="28"/>
      <w:lang w:eastAsia="zh-CN"/>
    </w:rPr>
  </w:style>
  <w:style w:type="paragraph" w:customStyle="1" w:styleId="TableTitle">
    <w:name w:val="TableTitle"/>
    <w:basedOn w:val="BodyText"/>
    <w:next w:val="BodyText"/>
    <w:link w:val="TableTitleChar"/>
    <w:rsid w:val="00CE10EE"/>
    <w:pPr>
      <w:keepNext/>
      <w:widowControl/>
      <w:tabs>
        <w:tab w:val="left" w:pos="1559"/>
      </w:tabs>
      <w:spacing w:after="60"/>
      <w:ind w:left="1559" w:hanging="1559"/>
    </w:pPr>
    <w:rPr>
      <w:rFonts w:ascii="Calibri" w:hAnsi="Calibri"/>
      <w:b/>
      <w:snapToGrid/>
      <w:szCs w:val="24"/>
    </w:rPr>
  </w:style>
  <w:style w:type="character" w:customStyle="1" w:styleId="TableTitleChar">
    <w:name w:val="TableTitle Char"/>
    <w:basedOn w:val="BodyTextChar"/>
    <w:link w:val="TableTitle"/>
    <w:rsid w:val="00CE10EE"/>
    <w:rPr>
      <w:rFonts w:ascii="Calibri" w:hAnsi="Calibri" w:cs="Arial"/>
      <w:b/>
      <w:snapToGrid/>
      <w:sz w:val="22"/>
      <w:szCs w:val="24"/>
      <w:lang w:eastAsia="en-US"/>
    </w:rPr>
  </w:style>
  <w:style w:type="paragraph" w:customStyle="1" w:styleId="Bullet1">
    <w:name w:val="Bullet 1"/>
    <w:basedOn w:val="Normal"/>
    <w:next w:val="BodyText"/>
    <w:rsid w:val="00CE10EE"/>
    <w:pPr>
      <w:widowControl/>
      <w:tabs>
        <w:tab w:val="num" w:pos="360"/>
      </w:tabs>
      <w:spacing w:before="40" w:after="40" w:line="360" w:lineRule="auto"/>
      <w:ind w:left="360" w:hanging="360"/>
    </w:pPr>
    <w:rPr>
      <w:rFonts w:ascii="Calibri" w:hAnsi="Calibri" w:cs="Times New Roman"/>
      <w:snapToGrid/>
      <w:szCs w:val="24"/>
    </w:rPr>
  </w:style>
  <w:style w:type="paragraph" w:customStyle="1" w:styleId="Bullet2">
    <w:name w:val="Bullet 2"/>
    <w:basedOn w:val="Normal"/>
    <w:next w:val="Normal"/>
    <w:rsid w:val="00CE10EE"/>
    <w:pPr>
      <w:widowControl/>
      <w:tabs>
        <w:tab w:val="num" w:pos="800"/>
      </w:tabs>
      <w:spacing w:line="360" w:lineRule="auto"/>
      <w:ind w:left="800" w:hanging="400"/>
      <w:jc w:val="left"/>
    </w:pPr>
    <w:rPr>
      <w:rFonts w:ascii="Calibri" w:hAnsi="Calibri" w:cs="Times New Roman"/>
      <w:snapToGrid/>
      <w:szCs w:val="24"/>
    </w:rPr>
  </w:style>
  <w:style w:type="paragraph" w:customStyle="1" w:styleId="Footnote">
    <w:name w:val="Footnote"/>
    <w:basedOn w:val="Normal"/>
    <w:rsid w:val="00CE10EE"/>
    <w:pPr>
      <w:widowControl/>
      <w:spacing w:before="40"/>
      <w:jc w:val="left"/>
    </w:pPr>
    <w:rPr>
      <w:rFonts w:ascii="Calibri" w:eastAsia="SimSun" w:hAnsi="Calibri" w:cs="Times New Roman"/>
      <w:snapToGrid/>
      <w:sz w:val="18"/>
      <w:szCs w:val="18"/>
      <w:lang w:eastAsia="en-AU"/>
    </w:rPr>
  </w:style>
  <w:style w:type="paragraph" w:customStyle="1" w:styleId="Default">
    <w:name w:val="Default"/>
    <w:basedOn w:val="Normal"/>
    <w:next w:val="Normal"/>
    <w:link w:val="DefaultChar"/>
    <w:rsid w:val="00CE10EE"/>
    <w:pPr>
      <w:autoSpaceDE w:val="0"/>
      <w:autoSpaceDN w:val="0"/>
      <w:adjustRightInd w:val="0"/>
      <w:jc w:val="left"/>
    </w:pPr>
    <w:rPr>
      <w:rFonts w:eastAsia="SimSun"/>
      <w:snapToGrid/>
      <w:color w:val="000000"/>
      <w:szCs w:val="24"/>
      <w:lang w:eastAsia="zh-CN"/>
    </w:rPr>
  </w:style>
  <w:style w:type="character" w:customStyle="1" w:styleId="DefaultChar">
    <w:name w:val="Default Char"/>
    <w:basedOn w:val="DefaultParagraphFont"/>
    <w:link w:val="Default"/>
    <w:rsid w:val="00CE10EE"/>
    <w:rPr>
      <w:rFonts w:ascii="Arial" w:eastAsia="SimSun" w:hAnsi="Arial" w:cs="Arial"/>
      <w:color w:val="000000"/>
      <w:sz w:val="22"/>
      <w:szCs w:val="24"/>
      <w:lang w:eastAsia="zh-CN"/>
    </w:rPr>
  </w:style>
  <w:style w:type="paragraph" w:customStyle="1" w:styleId="H4">
    <w:name w:val="H4"/>
    <w:basedOn w:val="Heading4"/>
    <w:next w:val="Normal"/>
    <w:link w:val="H4Char"/>
    <w:rsid w:val="00CE10EE"/>
    <w:pPr>
      <w:widowControl/>
      <w:numPr>
        <w:ilvl w:val="3"/>
      </w:numPr>
      <w:tabs>
        <w:tab w:val="num" w:pos="864"/>
      </w:tabs>
      <w:spacing w:line="360" w:lineRule="auto"/>
      <w:ind w:left="864" w:hanging="864"/>
      <w:jc w:val="left"/>
    </w:pPr>
    <w:rPr>
      <w:rFonts w:ascii="Calibri" w:eastAsia="SimSun" w:hAnsi="Calibri"/>
      <w:i w:val="0"/>
      <w:snapToGrid/>
      <w:sz w:val="22"/>
      <w:lang w:eastAsia="zh-CN"/>
    </w:rPr>
  </w:style>
  <w:style w:type="paragraph" w:customStyle="1" w:styleId="StyleHeading2H2Calibri">
    <w:name w:val="Style Heading 2H2 + Calibri"/>
    <w:basedOn w:val="Heading2"/>
    <w:qFormat/>
    <w:rsid w:val="00CE10EE"/>
    <w:pPr>
      <w:keepNext/>
      <w:widowControl/>
      <w:numPr>
        <w:ilvl w:val="1"/>
      </w:numPr>
      <w:tabs>
        <w:tab w:val="num" w:pos="576"/>
      </w:tabs>
      <w:spacing w:after="60" w:line="360" w:lineRule="auto"/>
      <w:ind w:left="576" w:hanging="576"/>
      <w:jc w:val="left"/>
    </w:pPr>
    <w:rPr>
      <w:rFonts w:eastAsia="SimSun"/>
      <w:bCs/>
      <w:i w:val="0"/>
      <w:snapToGrid/>
      <w:sz w:val="22"/>
      <w:lang w:eastAsia="zh-CN"/>
    </w:rPr>
  </w:style>
  <w:style w:type="paragraph" w:customStyle="1" w:styleId="DefaultParagraphFontCharChar">
    <w:name w:val="Default Paragraph Font Char Char"/>
    <w:aliases w:val="Char Char Char Char Char Char Char Char"/>
    <w:basedOn w:val="Normal"/>
    <w:autoRedefine/>
    <w:semiHidden/>
    <w:rsid w:val="00CE10EE"/>
    <w:pPr>
      <w:widowControl/>
      <w:spacing w:after="160" w:line="360" w:lineRule="auto"/>
      <w:jc w:val="left"/>
    </w:pPr>
    <w:rPr>
      <w:rFonts w:ascii="Verdana" w:eastAsia="Arial Unicode MS" w:hAnsi="Verdana" w:cs="Tahoma"/>
      <w:snapToGrid/>
      <w:sz w:val="20"/>
      <w:lang w:val="en-US"/>
    </w:rPr>
  </w:style>
  <w:style w:type="paragraph" w:customStyle="1" w:styleId="StyleHeading3H3Calibri">
    <w:name w:val="Style Heading 3H3 + Calibri"/>
    <w:basedOn w:val="Heading3"/>
    <w:qFormat/>
    <w:rsid w:val="00CE10EE"/>
    <w:pPr>
      <w:keepNext/>
      <w:widowControl/>
      <w:numPr>
        <w:ilvl w:val="2"/>
      </w:numPr>
      <w:tabs>
        <w:tab w:val="num" w:pos="720"/>
      </w:tabs>
      <w:spacing w:before="240" w:after="60" w:line="360" w:lineRule="auto"/>
      <w:ind w:left="720" w:hanging="720"/>
      <w:jc w:val="left"/>
    </w:pPr>
    <w:rPr>
      <w:rFonts w:eastAsia="SimSun"/>
      <w:bCs/>
      <w:snapToGrid/>
      <w:sz w:val="22"/>
      <w:szCs w:val="26"/>
      <w:lang w:eastAsia="zh-CN"/>
    </w:rPr>
  </w:style>
  <w:style w:type="paragraph" w:customStyle="1" w:styleId="StyleH4Calibri">
    <w:name w:val="Style H4 + Calibri"/>
    <w:basedOn w:val="H4"/>
    <w:link w:val="StyleH4CalibriChar"/>
    <w:rsid w:val="00CE10EE"/>
  </w:style>
  <w:style w:type="paragraph" w:customStyle="1" w:styleId="StyleCaptionIBCaptionMedicalCaptionCaptionCharMedicalCapti">
    <w:name w:val="Style CaptionIB CaptionMedical CaptionCaption CharMedical Capti..."/>
    <w:basedOn w:val="Normal"/>
    <w:rsid w:val="00CE10EE"/>
    <w:pPr>
      <w:widowControl/>
      <w:spacing w:before="120" w:after="120"/>
      <w:jc w:val="left"/>
    </w:pPr>
    <w:rPr>
      <w:rFonts w:ascii="Calibri" w:eastAsia="SimSun" w:hAnsi="Calibri" w:cs="Times New Roman"/>
      <w:b/>
      <w:bCs/>
      <w:snapToGrid/>
    </w:rPr>
  </w:style>
  <w:style w:type="character" w:customStyle="1" w:styleId="StyleCalibri">
    <w:name w:val="Style Calibri"/>
    <w:basedOn w:val="DefaultParagraphFont"/>
    <w:rsid w:val="00CE10EE"/>
    <w:rPr>
      <w:rFonts w:ascii="Calibri" w:hAnsi="Calibri"/>
      <w:sz w:val="24"/>
    </w:rPr>
  </w:style>
  <w:style w:type="paragraph" w:customStyle="1" w:styleId="StyleTable9Calibri">
    <w:name w:val="Style Table9 + Calibri"/>
    <w:basedOn w:val="Table9"/>
    <w:autoRedefine/>
    <w:rsid w:val="00CE10EE"/>
    <w:pPr>
      <w:tabs>
        <w:tab w:val="left" w:pos="0"/>
      </w:tabs>
      <w:spacing w:before="0" w:after="0"/>
      <w:ind w:right="-108"/>
    </w:pPr>
    <w:rPr>
      <w:sz w:val="20"/>
    </w:rPr>
  </w:style>
  <w:style w:type="paragraph" w:customStyle="1" w:styleId="StyleTableTextLeft">
    <w:name w:val="Style TableText + Left"/>
    <w:basedOn w:val="TableText0"/>
    <w:rsid w:val="00CE10EE"/>
    <w:rPr>
      <w:rFonts w:ascii="Calibri" w:hAnsi="Calibri" w:cs="Times New Roman"/>
      <w:iCs/>
      <w:szCs w:val="18"/>
    </w:rPr>
  </w:style>
  <w:style w:type="paragraph" w:customStyle="1" w:styleId="TableNotes1">
    <w:name w:val="Table Notes"/>
    <w:basedOn w:val="Normal"/>
    <w:next w:val="Normal"/>
    <w:rsid w:val="00CE10EE"/>
    <w:pPr>
      <w:keepLines/>
      <w:widowControl/>
      <w:tabs>
        <w:tab w:val="left" w:pos="1134"/>
      </w:tabs>
      <w:ind w:left="1138" w:hanging="1138"/>
      <w:jc w:val="left"/>
    </w:pPr>
    <w:rPr>
      <w:rFonts w:cs="Arial Narrow"/>
      <w:snapToGrid/>
      <w:sz w:val="16"/>
      <w:szCs w:val="18"/>
      <w:lang w:val="fr-FR"/>
    </w:rPr>
  </w:style>
  <w:style w:type="paragraph" w:styleId="DocumentMap">
    <w:name w:val="Document Map"/>
    <w:basedOn w:val="Normal"/>
    <w:link w:val="DocumentMapChar"/>
    <w:rsid w:val="00CE10EE"/>
    <w:pPr>
      <w:widowControl/>
      <w:spacing w:line="360" w:lineRule="auto"/>
      <w:jc w:val="left"/>
    </w:pPr>
    <w:rPr>
      <w:rFonts w:ascii="Tahoma" w:eastAsia="SimSun" w:hAnsi="Tahoma" w:cs="Tahoma"/>
      <w:snapToGrid/>
      <w:sz w:val="16"/>
      <w:szCs w:val="16"/>
      <w:lang w:eastAsia="zh-CN"/>
    </w:rPr>
  </w:style>
  <w:style w:type="character" w:customStyle="1" w:styleId="DocumentMapChar">
    <w:name w:val="Document Map Char"/>
    <w:basedOn w:val="DefaultParagraphFont"/>
    <w:link w:val="DocumentMap"/>
    <w:rsid w:val="00CE10EE"/>
    <w:rPr>
      <w:rFonts w:ascii="Tahoma" w:eastAsia="SimSun" w:hAnsi="Tahoma" w:cs="Tahoma"/>
      <w:sz w:val="16"/>
      <w:szCs w:val="16"/>
      <w:lang w:eastAsia="zh-CN"/>
    </w:rPr>
  </w:style>
  <w:style w:type="paragraph" w:customStyle="1" w:styleId="TableFigureFootnote">
    <w:name w:val="Table &amp; Figure Footnote"/>
    <w:basedOn w:val="BodyText"/>
    <w:next w:val="BodyText"/>
    <w:qFormat/>
    <w:rsid w:val="00CE10EE"/>
    <w:pPr>
      <w:widowControl/>
      <w:spacing w:before="20" w:after="20"/>
      <w:jc w:val="both"/>
    </w:pPr>
    <w:rPr>
      <w:rFonts w:cs="Times New Roman"/>
      <w:snapToGrid/>
      <w:sz w:val="16"/>
      <w:szCs w:val="24"/>
    </w:rPr>
  </w:style>
  <w:style w:type="paragraph" w:customStyle="1" w:styleId="Tabletextcentred">
    <w:name w:val="Table text centred"/>
    <w:basedOn w:val="Tabletext"/>
    <w:rsid w:val="00CE10EE"/>
    <w:pPr>
      <w:tabs>
        <w:tab w:val="left" w:pos="900"/>
      </w:tabs>
      <w:spacing w:before="40" w:after="40"/>
      <w:jc w:val="center"/>
    </w:pPr>
    <w:rPr>
      <w:rFonts w:eastAsia="SimSun"/>
      <w:sz w:val="18"/>
    </w:rPr>
  </w:style>
  <w:style w:type="paragraph" w:customStyle="1" w:styleId="Header4">
    <w:name w:val="Header 4"/>
    <w:basedOn w:val="StyleH4Calibri"/>
    <w:link w:val="Header4Char"/>
    <w:qFormat/>
    <w:rsid w:val="00CE10EE"/>
    <w:rPr>
      <w:smallCaps/>
    </w:rPr>
  </w:style>
  <w:style w:type="character" w:customStyle="1" w:styleId="H4Char">
    <w:name w:val="H4 Char"/>
    <w:basedOn w:val="Heading4Char"/>
    <w:link w:val="H4"/>
    <w:rsid w:val="00CE10EE"/>
    <w:rPr>
      <w:rFonts w:ascii="Calibri" w:eastAsia="SimSun" w:hAnsi="Calibri" w:cs="Arial"/>
      <w:b/>
      <w:bCs/>
      <w:i w:val="0"/>
      <w:snapToGrid/>
      <w:sz w:val="22"/>
      <w:szCs w:val="28"/>
      <w:lang w:eastAsia="zh-CN"/>
    </w:rPr>
  </w:style>
  <w:style w:type="character" w:customStyle="1" w:styleId="StyleH4CalibriChar">
    <w:name w:val="Style H4 + Calibri Char"/>
    <w:basedOn w:val="H4Char"/>
    <w:link w:val="StyleH4Calibri"/>
    <w:rsid w:val="00CE10EE"/>
    <w:rPr>
      <w:rFonts w:ascii="Calibri" w:eastAsia="SimSun" w:hAnsi="Calibri" w:cs="Arial"/>
      <w:b/>
      <w:bCs/>
      <w:i w:val="0"/>
      <w:snapToGrid/>
      <w:sz w:val="22"/>
      <w:szCs w:val="28"/>
      <w:lang w:eastAsia="zh-CN"/>
    </w:rPr>
  </w:style>
  <w:style w:type="character" w:customStyle="1" w:styleId="Header4Char">
    <w:name w:val="Header 4 Char"/>
    <w:basedOn w:val="StyleH4CalibriChar"/>
    <w:link w:val="Header4"/>
    <w:rsid w:val="00CE10EE"/>
    <w:rPr>
      <w:rFonts w:ascii="Calibri" w:eastAsia="SimSun" w:hAnsi="Calibri" w:cs="Arial"/>
      <w:b/>
      <w:bCs/>
      <w:i w:val="0"/>
      <w:smallCaps/>
      <w:snapToGrid/>
      <w:sz w:val="22"/>
      <w:szCs w:val="28"/>
      <w:lang w:eastAsia="zh-CN"/>
    </w:rPr>
  </w:style>
  <w:style w:type="paragraph" w:styleId="TableofFigures">
    <w:name w:val="table of figures"/>
    <w:basedOn w:val="Normal"/>
    <w:next w:val="Normal"/>
    <w:uiPriority w:val="99"/>
    <w:rsid w:val="00CE10EE"/>
    <w:pPr>
      <w:widowControl/>
      <w:spacing w:line="360" w:lineRule="auto"/>
      <w:jc w:val="left"/>
    </w:pPr>
    <w:rPr>
      <w:rFonts w:ascii="Calibri" w:eastAsia="SimSun" w:hAnsi="Calibri" w:cs="Times New Roman"/>
      <w:snapToGrid/>
      <w:lang w:eastAsia="zh-CN"/>
    </w:rPr>
  </w:style>
  <w:style w:type="paragraph" w:customStyle="1" w:styleId="BoxNameInfo">
    <w:name w:val="BoxNameInfo"/>
    <w:basedOn w:val="Normal"/>
    <w:qFormat/>
    <w:rsid w:val="00CE10EE"/>
    <w:pPr>
      <w:keepNext/>
      <w:widowControl/>
      <w:pBdr>
        <w:top w:val="single" w:sz="4" w:space="4" w:color="000000"/>
        <w:left w:val="single" w:sz="4" w:space="4" w:color="000000"/>
        <w:bottom w:val="single" w:sz="4" w:space="4" w:color="000000"/>
        <w:right w:val="single" w:sz="4" w:space="4" w:color="000000"/>
      </w:pBdr>
      <w:spacing w:before="180" w:after="120"/>
      <w:ind w:left="1080" w:hanging="1080"/>
      <w:jc w:val="left"/>
    </w:pPr>
    <w:rPr>
      <w:rFonts w:ascii="Times New Roman" w:hAnsi="Times New Roman" w:cs="Times New Roman"/>
      <w:b/>
      <w:bCs/>
      <w:snapToGrid/>
      <w:color w:val="000000"/>
      <w:lang w:eastAsia="en-AU"/>
    </w:rPr>
  </w:style>
  <w:style w:type="paragraph" w:customStyle="1" w:styleId="BoxTextInfo">
    <w:name w:val="BoxTextInfo"/>
    <w:basedOn w:val="Normal"/>
    <w:qFormat/>
    <w:rsid w:val="00CE10EE"/>
    <w:pPr>
      <w:widowControl/>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lang w:eastAsia="en-AU"/>
    </w:rPr>
  </w:style>
  <w:style w:type="paragraph" w:customStyle="1" w:styleId="BoxHeadingInfo">
    <w:name w:val="BoxHeadingInfo"/>
    <w:basedOn w:val="Normal"/>
    <w:qFormat/>
    <w:rsid w:val="00CE10EE"/>
    <w:pPr>
      <w:keepNext/>
      <w:widowControl/>
      <w:pBdr>
        <w:top w:val="single" w:sz="4" w:space="4" w:color="000000"/>
        <w:left w:val="single" w:sz="4" w:space="4" w:color="000000"/>
        <w:bottom w:val="single" w:sz="4" w:space="4" w:color="000000"/>
        <w:right w:val="single" w:sz="4" w:space="4" w:color="000000"/>
      </w:pBdr>
      <w:spacing w:before="120" w:after="60"/>
      <w:jc w:val="left"/>
    </w:pPr>
    <w:rPr>
      <w:rFonts w:ascii="Times New Roman" w:hAnsi="Times New Roman" w:cs="Times New Roman"/>
      <w:b/>
      <w:bCs/>
      <w:snapToGrid/>
      <w:color w:val="000000"/>
      <w:lang w:eastAsia="en-AU"/>
    </w:rPr>
  </w:style>
  <w:style w:type="character" w:styleId="Strong">
    <w:name w:val="Strong"/>
    <w:basedOn w:val="DefaultParagraphFont"/>
    <w:uiPriority w:val="22"/>
    <w:qFormat/>
    <w:rsid w:val="00CE10EE"/>
    <w:rPr>
      <w:rFonts w:cs="Times New Roman"/>
      <w:b/>
      <w:bCs/>
    </w:rPr>
  </w:style>
  <w:style w:type="character" w:customStyle="1" w:styleId="CrossRef">
    <w:name w:val="CrossRef"/>
    <w:basedOn w:val="DefaultParagraphFont"/>
    <w:uiPriority w:val="1"/>
    <w:rsid w:val="00CE10EE"/>
    <w:rPr>
      <w:rFonts w:ascii="Times New Roman" w:hAnsi="Times New Roman" w:cs="Times New Roman"/>
      <w:b/>
      <w:noProof/>
      <w:color w:val="7030A0"/>
      <w:sz w:val="24"/>
    </w:rPr>
  </w:style>
  <w:style w:type="paragraph" w:customStyle="1" w:styleId="TFListNotes">
    <w:name w:val="TFListNotes"/>
    <w:basedOn w:val="Normal"/>
    <w:rsid w:val="00CE10EE"/>
    <w:pPr>
      <w:keepNext/>
      <w:keepLines/>
      <w:widowControl/>
      <w:ind w:left="170" w:hanging="170"/>
      <w:jc w:val="left"/>
    </w:pPr>
    <w:rPr>
      <w:rFonts w:cs="Times New Roman"/>
      <w:snapToGrid/>
      <w:color w:val="000000"/>
      <w:sz w:val="18"/>
      <w:szCs w:val="18"/>
      <w:lang w:eastAsia="en-AU"/>
    </w:rPr>
  </w:style>
  <w:style w:type="paragraph" w:customStyle="1" w:styleId="TFNoteSourceSpace">
    <w:name w:val="TFNoteSource+Space"/>
    <w:basedOn w:val="Normal"/>
    <w:next w:val="Normal"/>
    <w:rsid w:val="00CE10EE"/>
    <w:pPr>
      <w:keepLines/>
      <w:widowControl/>
      <w:spacing w:after="360"/>
      <w:ind w:left="624" w:hanging="624"/>
      <w:jc w:val="left"/>
    </w:pPr>
    <w:rPr>
      <w:rFonts w:cs="Times New Roman"/>
      <w:snapToGrid/>
      <w:color w:val="000000"/>
      <w:sz w:val="18"/>
      <w:szCs w:val="18"/>
      <w:lang w:eastAsia="en-AU"/>
    </w:rPr>
  </w:style>
  <w:style w:type="paragraph" w:customStyle="1" w:styleId="BoxBullet">
    <w:name w:val="BoxBullet"/>
    <w:basedOn w:val="Normal"/>
    <w:rsid w:val="00CE10EE"/>
    <w:pPr>
      <w:widowControl/>
      <w:numPr>
        <w:numId w:val="6"/>
      </w:numPr>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lang w:eastAsia="en-AU"/>
    </w:rPr>
  </w:style>
  <w:style w:type="paragraph" w:customStyle="1" w:styleId="BoxBulletInfo">
    <w:name w:val="BoxBulletInfo"/>
    <w:basedOn w:val="BoxBullet"/>
    <w:qFormat/>
    <w:rsid w:val="00CE10EE"/>
  </w:style>
  <w:style w:type="character" w:customStyle="1" w:styleId="SuperscriptItalics">
    <w:name w:val="SuperscriptItalics"/>
    <w:basedOn w:val="DefaultParagraphFont"/>
    <w:uiPriority w:val="1"/>
    <w:qFormat/>
    <w:rsid w:val="00CE10EE"/>
    <w:rPr>
      <w:rFonts w:cs="Times New Roman"/>
      <w:i/>
      <w:noProof/>
      <w:vertAlign w:val="superscript"/>
    </w:rPr>
  </w:style>
  <w:style w:type="paragraph" w:customStyle="1" w:styleId="BoxHeading">
    <w:name w:val="BoxHeading"/>
    <w:basedOn w:val="Normal"/>
    <w:rsid w:val="00CE10EE"/>
    <w:pPr>
      <w:keepNext/>
      <w:widowControl/>
      <w:pBdr>
        <w:top w:val="single" w:sz="4" w:space="4" w:color="000000"/>
        <w:left w:val="single" w:sz="4" w:space="4" w:color="000000"/>
        <w:bottom w:val="single" w:sz="4" w:space="4" w:color="000000"/>
        <w:right w:val="single" w:sz="4" w:space="4" w:color="000000"/>
      </w:pBdr>
      <w:spacing w:before="120" w:after="60"/>
      <w:jc w:val="left"/>
    </w:pPr>
    <w:rPr>
      <w:rFonts w:ascii="Times New Roman" w:hAnsi="Times New Roman" w:cs="Times New Roman"/>
      <w:b/>
      <w:bCs/>
      <w:snapToGrid/>
      <w:color w:val="000000"/>
      <w:lang w:eastAsia="en-AU"/>
    </w:rPr>
  </w:style>
  <w:style w:type="paragraph" w:customStyle="1" w:styleId="TableHeadingCA">
    <w:name w:val="TableHeadingCA"/>
    <w:basedOn w:val="TableHeading0"/>
    <w:rsid w:val="00CE10EE"/>
    <w:pPr>
      <w:spacing w:before="60"/>
      <w:jc w:val="center"/>
    </w:pPr>
    <w:rPr>
      <w:rFonts w:ascii="Arial" w:hAnsi="Arial" w:cs="Times New Roman"/>
      <w:color w:val="000000"/>
      <w:sz w:val="19"/>
      <w:szCs w:val="21"/>
      <w:lang w:eastAsia="en-AU"/>
    </w:rPr>
  </w:style>
  <w:style w:type="paragraph" w:customStyle="1" w:styleId="TableTextCA">
    <w:name w:val="TableTextCA"/>
    <w:basedOn w:val="TableText0"/>
    <w:rsid w:val="00CE10EE"/>
    <w:pPr>
      <w:spacing w:before="60" w:after="60"/>
      <w:jc w:val="center"/>
    </w:pPr>
    <w:rPr>
      <w:rFonts w:ascii="Arial" w:hAnsi="Arial" w:cs="Times New Roman"/>
      <w:color w:val="000000"/>
      <w:sz w:val="19"/>
      <w:szCs w:val="21"/>
      <w:lang w:eastAsia="en-AU"/>
    </w:rPr>
  </w:style>
  <w:style w:type="paragraph" w:customStyle="1" w:styleId="TFListNotesSpace">
    <w:name w:val="TFListNotes+Space"/>
    <w:basedOn w:val="TableText0"/>
    <w:next w:val="Normal"/>
    <w:rsid w:val="00CE10EE"/>
    <w:pPr>
      <w:keepNext w:val="0"/>
      <w:keepLines/>
      <w:spacing w:before="0" w:after="360"/>
      <w:ind w:left="170" w:hanging="170"/>
    </w:pPr>
    <w:rPr>
      <w:rFonts w:ascii="Arial" w:hAnsi="Arial" w:cs="Times New Roman"/>
      <w:color w:val="000000"/>
      <w:sz w:val="18"/>
      <w:szCs w:val="18"/>
      <w:lang w:eastAsia="en-AU"/>
    </w:rPr>
  </w:style>
  <w:style w:type="paragraph" w:customStyle="1" w:styleId="TFAbbrevs">
    <w:name w:val="TFAbbrevs"/>
    <w:basedOn w:val="TFListNotes"/>
    <w:rsid w:val="00CE10EE"/>
    <w:pPr>
      <w:ind w:left="0" w:firstLine="0"/>
    </w:pPr>
  </w:style>
  <w:style w:type="character" w:customStyle="1" w:styleId="Superscript">
    <w:name w:val="Superscript"/>
    <w:basedOn w:val="DefaultParagraphFont"/>
    <w:uiPriority w:val="1"/>
    <w:rsid w:val="00CE10EE"/>
    <w:rPr>
      <w:rFonts w:cs="Times New Roman"/>
      <w:noProof/>
      <w:vertAlign w:val="superscript"/>
    </w:rPr>
  </w:style>
  <w:style w:type="paragraph" w:customStyle="1" w:styleId="EndNoteBibliographyTitle">
    <w:name w:val="EndNote Bibliography Title"/>
    <w:basedOn w:val="Normal"/>
    <w:link w:val="EndNoteBibliographyTitleChar"/>
    <w:rsid w:val="00CE10EE"/>
    <w:pPr>
      <w:widowControl/>
      <w:spacing w:line="360" w:lineRule="auto"/>
      <w:jc w:val="center"/>
    </w:pPr>
    <w:rPr>
      <w:rFonts w:ascii="Calibri" w:eastAsia="SimSun" w:hAnsi="Calibri" w:cs="Arial Narrow"/>
      <w:noProof/>
      <w:snapToGrid/>
      <w:sz w:val="24"/>
      <w:lang w:eastAsia="zh-CN"/>
    </w:rPr>
  </w:style>
  <w:style w:type="character" w:customStyle="1" w:styleId="EndNoteBibliographyTitleChar">
    <w:name w:val="EndNote Bibliography Title Char"/>
    <w:basedOn w:val="TableTextChar0"/>
    <w:link w:val="EndNoteBibliographyTitle"/>
    <w:rsid w:val="00CE10EE"/>
    <w:rPr>
      <w:rFonts w:ascii="Calibri" w:eastAsia="SimSun" w:hAnsi="Calibri" w:cs="Arial Narrow"/>
      <w:noProof/>
      <w:sz w:val="24"/>
      <w:lang w:eastAsia="zh-CN"/>
    </w:rPr>
  </w:style>
  <w:style w:type="paragraph" w:customStyle="1" w:styleId="EndNoteBibliography">
    <w:name w:val="EndNote Bibliography"/>
    <w:basedOn w:val="Normal"/>
    <w:link w:val="EndNoteBibliographyChar"/>
    <w:rsid w:val="00CE10EE"/>
    <w:pPr>
      <w:widowControl/>
      <w:jc w:val="left"/>
    </w:pPr>
    <w:rPr>
      <w:rFonts w:ascii="Calibri" w:eastAsia="SimSun" w:hAnsi="Calibri" w:cs="Arial Narrow"/>
      <w:noProof/>
      <w:snapToGrid/>
      <w:sz w:val="24"/>
      <w:lang w:eastAsia="zh-CN"/>
    </w:rPr>
  </w:style>
  <w:style w:type="character" w:customStyle="1" w:styleId="EndNoteBibliographyChar">
    <w:name w:val="EndNote Bibliography Char"/>
    <w:basedOn w:val="TableTextChar0"/>
    <w:link w:val="EndNoteBibliography"/>
    <w:rsid w:val="00CE10EE"/>
    <w:rPr>
      <w:rFonts w:ascii="Calibri" w:eastAsia="SimSun" w:hAnsi="Calibri" w:cs="Arial Narrow"/>
      <w:noProof/>
      <w:sz w:val="24"/>
      <w:lang w:eastAsia="zh-CN"/>
    </w:rPr>
  </w:style>
  <w:style w:type="character" w:customStyle="1" w:styleId="apple-converted-space">
    <w:name w:val="apple-converted-space"/>
    <w:basedOn w:val="DefaultParagraphFont"/>
    <w:rsid w:val="00CE10EE"/>
  </w:style>
  <w:style w:type="character" w:customStyle="1" w:styleId="hitinf">
    <w:name w:val="hit_inf"/>
    <w:basedOn w:val="DefaultParagraphFont"/>
    <w:rsid w:val="00CE10EE"/>
  </w:style>
  <w:style w:type="character" w:customStyle="1" w:styleId="hitsyn">
    <w:name w:val="hit_syn"/>
    <w:basedOn w:val="DefaultParagraphFont"/>
    <w:rsid w:val="00CE10EE"/>
  </w:style>
  <w:style w:type="paragraph" w:customStyle="1" w:styleId="StyleTableNotesLeft0cmFirstline0cm">
    <w:name w:val="Style TableNotes + Left:  0 cm First line:  0 cm"/>
    <w:basedOn w:val="TableNotes"/>
    <w:rsid w:val="00CE10EE"/>
    <w:pPr>
      <w:keepNext/>
      <w:tabs>
        <w:tab w:val="left" w:pos="1559"/>
      </w:tabs>
      <w:spacing w:after="0"/>
    </w:pPr>
    <w:rPr>
      <w:rFonts w:ascii="Calibri" w:eastAsia="SimSun" w:hAnsi="Calibri" w:cs="Times New Roman"/>
      <w:sz w:val="16"/>
      <w:szCs w:val="20"/>
      <w:lang w:eastAsia="zh-CN"/>
    </w:rPr>
  </w:style>
  <w:style w:type="paragraph" w:customStyle="1" w:styleId="NICEnormal">
    <w:name w:val="NICE normal"/>
    <w:link w:val="NICEnormalChar"/>
    <w:rsid w:val="00CE10EE"/>
    <w:pPr>
      <w:jc w:val="both"/>
    </w:pPr>
    <w:rPr>
      <w:rFonts w:ascii="Arial" w:hAnsi="Arial"/>
      <w:sz w:val="22"/>
      <w:szCs w:val="24"/>
      <w:lang w:val="en-GB" w:eastAsia="en-US"/>
    </w:rPr>
  </w:style>
  <w:style w:type="character" w:customStyle="1" w:styleId="NICEnormalChar">
    <w:name w:val="NICE normal Char"/>
    <w:link w:val="NICEnormal"/>
    <w:rsid w:val="00CE10EE"/>
    <w:rPr>
      <w:rFonts w:ascii="Arial" w:hAnsi="Arial"/>
      <w:sz w:val="22"/>
      <w:szCs w:val="24"/>
      <w:lang w:val="en-GB" w:eastAsia="en-US"/>
    </w:rPr>
  </w:style>
  <w:style w:type="paragraph" w:customStyle="1" w:styleId="AlexionHeading991">
    <w:name w:val="Alexion Heading 9.9.1"/>
    <w:basedOn w:val="Normal"/>
    <w:qFormat/>
    <w:rsid w:val="00CE10EE"/>
    <w:pPr>
      <w:keepNext/>
      <w:widowControl/>
      <w:numPr>
        <w:numId w:val="7"/>
      </w:numPr>
      <w:spacing w:before="120" w:after="120"/>
      <w:ind w:left="1248" w:hanging="851"/>
      <w:outlineLvl w:val="3"/>
    </w:pPr>
    <w:rPr>
      <w:rFonts w:eastAsia="Verdana"/>
      <w:bCs/>
      <w:i/>
      <w:snapToGrid/>
      <w:kern w:val="32"/>
      <w:szCs w:val="18"/>
      <w:lang w:val="en-GB" w:eastAsia="en-GB"/>
    </w:rPr>
  </w:style>
  <w:style w:type="paragraph" w:customStyle="1" w:styleId="title1">
    <w:name w:val="title1"/>
    <w:basedOn w:val="Normal"/>
    <w:rsid w:val="00CE10EE"/>
    <w:pPr>
      <w:widowControl/>
      <w:jc w:val="left"/>
    </w:pPr>
    <w:rPr>
      <w:rFonts w:ascii="Times New Roman" w:hAnsi="Times New Roman" w:cs="Times New Roman"/>
      <w:snapToGrid/>
      <w:sz w:val="27"/>
      <w:szCs w:val="27"/>
      <w:lang w:val="en-US"/>
    </w:rPr>
  </w:style>
  <w:style w:type="character" w:customStyle="1" w:styleId="jrnl">
    <w:name w:val="jrnl"/>
    <w:basedOn w:val="DefaultParagraphFont"/>
    <w:rsid w:val="00CE10EE"/>
  </w:style>
  <w:style w:type="character" w:customStyle="1" w:styleId="st">
    <w:name w:val="st"/>
    <w:basedOn w:val="DefaultParagraphFont"/>
    <w:rsid w:val="00CE10EE"/>
  </w:style>
  <w:style w:type="character" w:customStyle="1" w:styleId="st1">
    <w:name w:val="st1"/>
    <w:basedOn w:val="DefaultParagraphFont"/>
    <w:rsid w:val="00CE10EE"/>
  </w:style>
  <w:style w:type="paragraph" w:styleId="ListBullet">
    <w:name w:val="List Bullet"/>
    <w:basedOn w:val="Normal"/>
    <w:rsid w:val="00CE10EE"/>
    <w:pPr>
      <w:widowControl/>
      <w:numPr>
        <w:numId w:val="8"/>
      </w:numPr>
      <w:spacing w:line="360" w:lineRule="auto"/>
      <w:contextualSpacing/>
      <w:jc w:val="left"/>
    </w:pPr>
    <w:rPr>
      <w:rFonts w:ascii="Calibri" w:eastAsia="SimSun" w:hAnsi="Calibri" w:cs="Times New Roman"/>
      <w:snapToGrid/>
      <w:lang w:eastAsia="zh-CN"/>
    </w:rPr>
  </w:style>
  <w:style w:type="table" w:customStyle="1" w:styleId="C-Table4">
    <w:name w:val="C-Table4"/>
    <w:basedOn w:val="TableNormal"/>
    <w:rsid w:val="00CE10EE"/>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5">
    <w:name w:val="C-Table5"/>
    <w:basedOn w:val="TableNormal"/>
    <w:rsid w:val="00CE10EE"/>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6">
    <w:name w:val="C-Table6"/>
    <w:basedOn w:val="TableNormal"/>
    <w:rsid w:val="00CE10EE"/>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7">
    <w:name w:val="C-Table7"/>
    <w:basedOn w:val="TableNormal"/>
    <w:rsid w:val="00CE10EE"/>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iPriority="7" w:unhideWhenUsed="0"/>
    <w:lsdException w:name="Body Text" w:qFormat="1"/>
    <w:lsdException w:name="Body Text Indent" w:uiPriority="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
    <w:lsdException w:name="Body Text 3" w:uiPriority="9"/>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7"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E6CBD"/>
    <w:pPr>
      <w:widowControl w:val="0"/>
      <w:jc w:val="both"/>
    </w:pPr>
    <w:rPr>
      <w:rFonts w:ascii="Arial" w:hAnsi="Arial" w:cs="Arial"/>
      <w:snapToGrid w:val="0"/>
      <w:sz w:val="22"/>
      <w:lang w:eastAsia="en-US"/>
    </w:rPr>
  </w:style>
  <w:style w:type="paragraph" w:styleId="Heading1">
    <w:name w:val="heading 1"/>
    <w:aliases w:val="H1,Header 1,Heading 12,Titre 1 Car Car,Titre 1 Car,Outline1,p1"/>
    <w:basedOn w:val="Normal"/>
    <w:next w:val="Normal"/>
    <w:link w:val="Heading1Char"/>
    <w:qFormat/>
    <w:rsid w:val="00E97842"/>
    <w:pPr>
      <w:keepNext/>
      <w:keepLines/>
      <w:widowControl/>
      <w:numPr>
        <w:numId w:val="2"/>
      </w:numPr>
      <w:spacing w:before="240" w:after="120"/>
      <w:jc w:val="left"/>
      <w:outlineLvl w:val="0"/>
    </w:pPr>
    <w:rPr>
      <w:rFonts w:asciiTheme="minorHAnsi" w:hAnsiTheme="minorHAnsi"/>
      <w:b/>
      <w:sz w:val="32"/>
    </w:rPr>
  </w:style>
  <w:style w:type="paragraph" w:styleId="Heading2">
    <w:name w:val="heading 2"/>
    <w:aliases w:val="H2,Heading h2,h2,Heading 2x,p2 Char"/>
    <w:basedOn w:val="Normal"/>
    <w:next w:val="Normal"/>
    <w:link w:val="Heading2Char"/>
    <w:qFormat/>
    <w:rsid w:val="00D366BE"/>
    <w:pPr>
      <w:spacing w:before="240" w:after="120"/>
      <w:outlineLvl w:val="1"/>
    </w:pPr>
    <w:rPr>
      <w:rFonts w:ascii="Calibri" w:hAnsi="Calibri"/>
      <w:b/>
      <w:i/>
      <w:sz w:val="28"/>
    </w:rPr>
  </w:style>
  <w:style w:type="paragraph" w:styleId="Heading3">
    <w:name w:val="heading 3"/>
    <w:aliases w:val="H3,Heading h3,h3,Don 3,Heading 3x,p3 Char"/>
    <w:basedOn w:val="Normal"/>
    <w:next w:val="Normal"/>
    <w:link w:val="Heading3Char"/>
    <w:qFormat/>
    <w:rsid w:val="00703BAF"/>
    <w:pPr>
      <w:spacing w:before="120" w:after="120"/>
      <w:outlineLvl w:val="2"/>
    </w:pPr>
    <w:rPr>
      <w:rFonts w:ascii="Calibri" w:hAnsi="Calibri"/>
      <w:b/>
      <w:sz w:val="24"/>
    </w:rPr>
  </w:style>
  <w:style w:type="paragraph" w:styleId="Heading4">
    <w:name w:val="heading 4"/>
    <w:aliases w:val="Heading 1 - Body, Char,p4"/>
    <w:basedOn w:val="Normal"/>
    <w:next w:val="Normal"/>
    <w:link w:val="Heading4Char"/>
    <w:qFormat/>
    <w:rsid w:val="00124A51"/>
    <w:pPr>
      <w:keepNext/>
      <w:spacing w:before="240" w:after="60"/>
      <w:outlineLvl w:val="3"/>
    </w:pPr>
    <w:rPr>
      <w:b/>
      <w:bCs/>
      <w:i/>
      <w:sz w:val="26"/>
      <w:szCs w:val="28"/>
    </w:rPr>
  </w:style>
  <w:style w:type="paragraph" w:styleId="Heading5">
    <w:name w:val="heading 5"/>
    <w:aliases w:val="Heading 2 - Body,p5"/>
    <w:basedOn w:val="Normal"/>
    <w:next w:val="Normal"/>
    <w:link w:val="Heading5Char"/>
    <w:qFormat/>
    <w:rsid w:val="00124A51"/>
    <w:pPr>
      <w:spacing w:before="240" w:after="60"/>
      <w:outlineLvl w:val="4"/>
    </w:pPr>
    <w:rPr>
      <w:b/>
      <w:bCs/>
      <w:iCs/>
      <w:sz w:val="26"/>
      <w:szCs w:val="26"/>
    </w:rPr>
  </w:style>
  <w:style w:type="paragraph" w:styleId="Heading6">
    <w:name w:val="heading 6"/>
    <w:aliases w:val="Heading 3 - Body"/>
    <w:basedOn w:val="Normal"/>
    <w:next w:val="Normal"/>
    <w:link w:val="Heading6Char"/>
    <w:qFormat/>
    <w:rsid w:val="00124A51"/>
    <w:pPr>
      <w:spacing w:before="240" w:after="60"/>
      <w:outlineLvl w:val="5"/>
    </w:pPr>
    <w:rPr>
      <w:b/>
      <w:bCs/>
      <w:i/>
      <w:szCs w:val="22"/>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qFormat/>
    <w:rsid w:val="00124A51"/>
    <w:pPr>
      <w:keepNext/>
      <w:jc w:val="right"/>
      <w:outlineLvl w:val="7"/>
    </w:pPr>
    <w:rPr>
      <w:b/>
    </w:rPr>
  </w:style>
  <w:style w:type="paragraph" w:styleId="Heading9">
    <w:name w:val="heading 9"/>
    <w:aliases w:val="Section heading - Body"/>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qFormat/>
    <w:rsid w:val="00A83916"/>
    <w:pPr>
      <w:spacing w:after="60"/>
    </w:pPr>
    <w:rPr>
      <w:rFonts w:ascii="Arial Narrow" w:hAnsi="Arial Narrow"/>
      <w:b/>
      <w:sz w:val="20"/>
    </w:rPr>
  </w:style>
  <w:style w:type="character" w:customStyle="1" w:styleId="Heading2Char">
    <w:name w:val="Heading 2 Char"/>
    <w:aliases w:val="H2 Char,Heading h2 Char,h2 Char,Heading 2x Char,p2 Char Char"/>
    <w:link w:val="Heading2"/>
    <w:rsid w:val="00D366BE"/>
    <w:rPr>
      <w:rFonts w:ascii="Calibri" w:hAnsi="Calibri" w:cs="Arial"/>
      <w:b/>
      <w:i/>
      <w:snapToGrid w:val="0"/>
      <w:sz w:val="28"/>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aliases w:val="Section heading - Body Char"/>
    <w:basedOn w:val="DefaultParagraphFont"/>
    <w:link w:val="Heading9"/>
    <w:rsid w:val="00124A51"/>
    <w:rPr>
      <w:rFonts w:ascii="Arial" w:hAnsi="Arial"/>
      <w:b/>
      <w:snapToGrid w:val="0"/>
      <w:color w:val="000000"/>
      <w:lang w:eastAsia="en-US"/>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iPriority w:val="35"/>
    <w:unhideWhenUsed/>
    <w:qFormat/>
    <w:rsid w:val="002757CE"/>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2757CE"/>
    <w:rPr>
      <w:rFonts w:ascii="Arial Narrow" w:eastAsiaTheme="minorHAnsi" w:hAnsi="Arial Narrow" w:cstheme="minorBidi"/>
      <w:b/>
      <w:szCs w:val="22"/>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D366BE"/>
    <w:pPr>
      <w:spacing w:after="120"/>
      <w:ind w:left="720"/>
      <w:contextualSpacing/>
    </w:pPr>
    <w:rPr>
      <w:rFonts w:ascii="Calibri" w:hAnsi="Calibri"/>
      <w:sz w:val="24"/>
    </w:rPr>
  </w:style>
  <w:style w:type="paragraph" w:customStyle="1" w:styleId="RegularText">
    <w:name w:val="Regular Text"/>
    <w:basedOn w:val="BodyText"/>
    <w:link w:val="RegularTextChar"/>
    <w:uiPriority w:val="9"/>
    <w:rsid w:val="00124A51"/>
    <w:rPr>
      <w:b/>
    </w:rPr>
  </w:style>
  <w:style w:type="paragraph" w:styleId="NoSpacing">
    <w:name w:val="No Spacing"/>
    <w:uiPriority w:val="7"/>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0">
    <w:name w:val="TableHeading"/>
    <w:basedOn w:val="Normal"/>
    <w:qFormat/>
    <w:rsid w:val="00A83916"/>
    <w:pPr>
      <w:keepNext/>
      <w:widowControl/>
      <w:spacing w:after="6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E41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
      </w:numPr>
    </w:pPr>
    <w:rPr>
      <w:rFonts w:ascii="Arial" w:hAnsi="Arial" w:cs="Arial"/>
      <w:b/>
      <w:snapToGrid w:val="0"/>
      <w:sz w:val="22"/>
      <w:szCs w:val="22"/>
      <w:lang w:eastAsia="en-US"/>
    </w:rPr>
  </w:style>
  <w:style w:type="character" w:customStyle="1" w:styleId="Heading1Char">
    <w:name w:val="Heading 1 Char"/>
    <w:aliases w:val="H1 Char,Header 1 Char,Heading 12 Char,Titre 1 Car Car Char,Titre 1 Car Char,Outline1 Char,p1 Char"/>
    <w:basedOn w:val="DefaultParagraphFont"/>
    <w:link w:val="Heading1"/>
    <w:rsid w:val="00E97842"/>
    <w:rPr>
      <w:rFonts w:asciiTheme="minorHAnsi" w:hAnsiTheme="minorHAnsi" w:cs="Arial"/>
      <w:b/>
      <w:snapToGrid w:val="0"/>
      <w:sz w:val="32"/>
      <w:lang w:eastAsia="en-US"/>
    </w:rPr>
  </w:style>
  <w:style w:type="character" w:customStyle="1" w:styleId="Heading3Char">
    <w:name w:val="Heading 3 Char"/>
    <w:aliases w:val="H3 Char,Heading h3 Char,h3 Char,Don 3 Char,Heading 3x Char,p3 Char Char"/>
    <w:basedOn w:val="DefaultParagraphFont"/>
    <w:link w:val="Heading3"/>
    <w:rsid w:val="00703BAF"/>
    <w:rPr>
      <w:rFonts w:ascii="Calibri" w:hAnsi="Calibri" w:cs="Arial"/>
      <w:b/>
      <w:snapToGrid w:val="0"/>
      <w:sz w:val="24"/>
      <w:lang w:eastAsia="en-US"/>
    </w:rPr>
  </w:style>
  <w:style w:type="paragraph" w:customStyle="1" w:styleId="V50Heading2nonumbers">
    <w:name w:val="V5.0 Heading 2 no numbers"/>
    <w:basedOn w:val="Heading2"/>
    <w:qFormat/>
    <w:rsid w:val="00DD48DB"/>
    <w:pPr>
      <w:keepNext/>
      <w:keepLines/>
      <w:widowControl/>
      <w:ind w:left="578" w:hanging="578"/>
      <w:jc w:val="left"/>
    </w:pPr>
    <w:rPr>
      <w:rFonts w:asciiTheme="minorHAnsi" w:eastAsiaTheme="majorEastAsia" w:hAnsiTheme="minorHAnsi" w:cstheme="majorBidi"/>
      <w:i w:val="0"/>
      <w:snapToGrid/>
      <w:szCs w:val="28"/>
    </w:rPr>
  </w:style>
  <w:style w:type="paragraph" w:customStyle="1" w:styleId="V50Instructions">
    <w:name w:val="V5.0 Instructions"/>
    <w:basedOn w:val="Normal"/>
    <w:link w:val="V50InstructionsChar"/>
    <w:qFormat/>
    <w:rsid w:val="00DD48DB"/>
    <w:pPr>
      <w:widowControl/>
      <w:spacing w:before="120" w:after="160"/>
      <w:jc w:val="left"/>
    </w:pPr>
    <w:rPr>
      <w:rFonts w:asciiTheme="minorHAnsi" w:eastAsiaTheme="minorHAnsi" w:hAnsiTheme="minorHAnsi" w:cstheme="minorBidi"/>
      <w:snapToGrid/>
      <w:color w:val="4BACC6" w:themeColor="accent5"/>
      <w:sz w:val="24"/>
      <w:szCs w:val="22"/>
    </w:rPr>
  </w:style>
  <w:style w:type="character" w:customStyle="1" w:styleId="Heading4Char">
    <w:name w:val="Heading 4 Char"/>
    <w:aliases w:val="Heading 1 - Body Char, Char Char,p4 Char"/>
    <w:basedOn w:val="DefaultParagraphFont"/>
    <w:link w:val="Heading4"/>
    <w:rsid w:val="00DD48DB"/>
    <w:rPr>
      <w:rFonts w:ascii="Arial" w:hAnsi="Arial" w:cs="Arial"/>
      <w:b/>
      <w:bCs/>
      <w:i/>
      <w:snapToGrid w:val="0"/>
      <w:sz w:val="26"/>
      <w:szCs w:val="28"/>
      <w:lang w:eastAsia="en-US"/>
    </w:rPr>
  </w:style>
  <w:style w:type="character" w:customStyle="1" w:styleId="Heading5Char">
    <w:name w:val="Heading 5 Char"/>
    <w:aliases w:val="Heading 2 - Body Char,p5 Char"/>
    <w:basedOn w:val="DefaultParagraphFont"/>
    <w:link w:val="Heading5"/>
    <w:rsid w:val="00DD48DB"/>
    <w:rPr>
      <w:rFonts w:ascii="Arial" w:hAnsi="Arial" w:cs="Arial"/>
      <w:b/>
      <w:bCs/>
      <w:iCs/>
      <w:snapToGrid w:val="0"/>
      <w:sz w:val="26"/>
      <w:szCs w:val="26"/>
      <w:lang w:eastAsia="en-US"/>
    </w:rPr>
  </w:style>
  <w:style w:type="character" w:customStyle="1" w:styleId="Heading6Char">
    <w:name w:val="Heading 6 Char"/>
    <w:aliases w:val="Heading 3 - Body Char"/>
    <w:basedOn w:val="DefaultParagraphFont"/>
    <w:link w:val="Heading6"/>
    <w:rsid w:val="00DD48DB"/>
    <w:rPr>
      <w:rFonts w:ascii="Arial" w:hAnsi="Arial" w:cs="Arial"/>
      <w:b/>
      <w:bCs/>
      <w:i/>
      <w:snapToGrid w:val="0"/>
      <w:sz w:val="22"/>
      <w:szCs w:val="22"/>
      <w:lang w:eastAsia="en-US"/>
    </w:rPr>
  </w:style>
  <w:style w:type="paragraph" w:customStyle="1" w:styleId="V50Heading1nonumbers">
    <w:name w:val="V5.0 Heading 1 no numbers"/>
    <w:basedOn w:val="Heading1"/>
    <w:qFormat/>
    <w:rsid w:val="00DD48DB"/>
    <w:pPr>
      <w:ind w:left="0" w:firstLine="0"/>
    </w:pPr>
    <w:rPr>
      <w:rFonts w:eastAsiaTheme="majorEastAsia" w:cstheme="majorBidi"/>
      <w:caps/>
      <w:snapToGrid/>
      <w:szCs w:val="28"/>
    </w:rPr>
  </w:style>
  <w:style w:type="paragraph" w:customStyle="1" w:styleId="V50TableText">
    <w:name w:val="V5.0 TableText"/>
    <w:link w:val="V50TableTextChar"/>
    <w:qFormat/>
    <w:rsid w:val="00DD48DB"/>
    <w:rPr>
      <w:rFonts w:asciiTheme="minorHAnsi" w:eastAsiaTheme="minorHAnsi" w:hAnsiTheme="minorHAnsi" w:cstheme="minorBidi"/>
      <w:szCs w:val="24"/>
      <w:lang w:val="en-US" w:eastAsia="en-US"/>
    </w:rPr>
  </w:style>
  <w:style w:type="paragraph" w:customStyle="1" w:styleId="V50TableTextInstruction">
    <w:name w:val="V5.0 TableText Instruction"/>
    <w:basedOn w:val="V50TableText"/>
    <w:qFormat/>
    <w:rsid w:val="00DD48DB"/>
    <w:rPr>
      <w:b/>
      <w:color w:val="4BACC6" w:themeColor="accent5"/>
    </w:rPr>
  </w:style>
  <w:style w:type="paragraph" w:customStyle="1" w:styleId="V50InstructionsBullets">
    <w:name w:val="V5.0 Instructions Bullets"/>
    <w:basedOn w:val="V50Instructions"/>
    <w:qFormat/>
    <w:rsid w:val="00DD48DB"/>
    <w:pPr>
      <w:numPr>
        <w:numId w:val="3"/>
      </w:numPr>
      <w:spacing w:before="0" w:after="0"/>
      <w:ind w:left="714" w:hanging="357"/>
    </w:pPr>
  </w:style>
  <w:style w:type="table" w:customStyle="1" w:styleId="TableGridLight1">
    <w:name w:val="Table Grid Light1"/>
    <w:basedOn w:val="TableNormal"/>
    <w:uiPriority w:val="40"/>
    <w:rsid w:val="00DD48D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DD48DB"/>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1">
    <w:name w:val="Table Text"/>
    <w:basedOn w:val="Normal"/>
    <w:qFormat/>
    <w:rsid w:val="00FE4046"/>
    <w:pPr>
      <w:keepNext/>
      <w:widowControl/>
      <w:spacing w:before="40" w:after="40"/>
      <w:jc w:val="left"/>
    </w:pPr>
    <w:rPr>
      <w:rFonts w:ascii="Arial Narrow" w:eastAsiaTheme="minorHAnsi" w:hAnsi="Arial Narrow" w:cstheme="minorBidi"/>
      <w:snapToGrid/>
      <w:sz w:val="20"/>
      <w:szCs w:val="22"/>
    </w:rPr>
  </w:style>
  <w:style w:type="paragraph" w:styleId="FootnoteText">
    <w:name w:val="footnote text"/>
    <w:basedOn w:val="Normal"/>
    <w:link w:val="FootnoteTextChar"/>
    <w:uiPriority w:val="99"/>
    <w:unhideWhenUsed/>
    <w:qFormat/>
    <w:rsid w:val="00DD48DB"/>
    <w:pPr>
      <w:widowControl/>
      <w:jc w:val="left"/>
    </w:pPr>
    <w:rPr>
      <w:rFonts w:asciiTheme="minorHAnsi" w:eastAsiaTheme="minorHAnsi" w:hAnsiTheme="minorHAnsi" w:cstheme="minorBidi"/>
      <w:snapToGrid/>
      <w:sz w:val="18"/>
    </w:rPr>
  </w:style>
  <w:style w:type="character" w:customStyle="1" w:styleId="FootnoteTextChar">
    <w:name w:val="Footnote Text Char"/>
    <w:basedOn w:val="DefaultParagraphFont"/>
    <w:link w:val="FootnoteText"/>
    <w:uiPriority w:val="99"/>
    <w:rsid w:val="00DD48DB"/>
    <w:rPr>
      <w:rFonts w:asciiTheme="minorHAnsi" w:eastAsiaTheme="minorHAnsi" w:hAnsiTheme="minorHAnsi" w:cstheme="minorBidi"/>
      <w:sz w:val="18"/>
      <w:lang w:eastAsia="en-US"/>
    </w:rPr>
  </w:style>
  <w:style w:type="character" w:styleId="FootnoteReference">
    <w:name w:val="footnote reference"/>
    <w:basedOn w:val="DefaultParagraphFont"/>
    <w:unhideWhenUsed/>
    <w:rsid w:val="00DD48DB"/>
    <w:rPr>
      <w:vertAlign w:val="superscript"/>
    </w:rPr>
  </w:style>
  <w:style w:type="paragraph" w:customStyle="1" w:styleId="TableFigNoteLast">
    <w:name w:val="TableFigNote Last"/>
    <w:basedOn w:val="Normal"/>
    <w:qFormat/>
    <w:rsid w:val="00DD48DB"/>
    <w:pPr>
      <w:widowControl/>
      <w:spacing w:after="360"/>
      <w:jc w:val="left"/>
    </w:pPr>
    <w:rPr>
      <w:rFonts w:asciiTheme="minorHAnsi" w:eastAsiaTheme="minorHAnsi" w:hAnsiTheme="minorHAnsi" w:cstheme="minorBidi"/>
      <w:snapToGrid/>
      <w:sz w:val="18"/>
      <w:szCs w:val="22"/>
    </w:rPr>
  </w:style>
  <w:style w:type="character" w:styleId="Emphasis">
    <w:name w:val="Emphasis"/>
    <w:basedOn w:val="DefaultParagraphFont"/>
    <w:uiPriority w:val="20"/>
    <w:qFormat/>
    <w:rsid w:val="00DD48DB"/>
    <w:rPr>
      <w:b w:val="0"/>
      <w:i/>
      <w:iCs/>
    </w:rPr>
  </w:style>
  <w:style w:type="paragraph" w:customStyle="1" w:styleId="TableHeading">
    <w:name w:val="Table Heading"/>
    <w:basedOn w:val="Normal"/>
    <w:qFormat/>
    <w:rsid w:val="00DD48DB"/>
    <w:pPr>
      <w:keepNext/>
      <w:widowControl/>
      <w:spacing w:after="60"/>
      <w:jc w:val="left"/>
    </w:pPr>
    <w:rPr>
      <w:rFonts w:ascii="Arial Narrow" w:eastAsiaTheme="minorHAnsi" w:hAnsi="Arial Narrow" w:cstheme="minorBidi"/>
      <w:b/>
      <w:snapToGrid/>
      <w:sz w:val="20"/>
      <w:szCs w:val="22"/>
    </w:rPr>
  </w:style>
  <w:style w:type="character" w:customStyle="1" w:styleId="V50InstructionsChar">
    <w:name w:val="V5.0 Instructions Char"/>
    <w:basedOn w:val="DefaultParagraphFont"/>
    <w:link w:val="V50Instructions"/>
    <w:rsid w:val="00DD48DB"/>
    <w:rPr>
      <w:rFonts w:asciiTheme="minorHAnsi" w:eastAsiaTheme="minorHAnsi" w:hAnsiTheme="minorHAnsi" w:cstheme="minorBidi"/>
      <w:color w:val="4BACC6" w:themeColor="accent5"/>
      <w:sz w:val="24"/>
      <w:szCs w:val="22"/>
      <w:lang w:eastAsia="en-US"/>
    </w:rPr>
  </w:style>
  <w:style w:type="character" w:customStyle="1" w:styleId="V50TableTextChar">
    <w:name w:val="V5.0 TableText Char"/>
    <w:basedOn w:val="DefaultParagraphFont"/>
    <w:link w:val="V50TableText"/>
    <w:rsid w:val="00DD48DB"/>
    <w:rPr>
      <w:rFonts w:asciiTheme="minorHAnsi" w:eastAsiaTheme="minorHAnsi" w:hAnsiTheme="minorHAnsi" w:cstheme="minorBidi"/>
      <w:szCs w:val="24"/>
      <w:lang w:val="en-US" w:eastAsia="en-US"/>
    </w:rPr>
  </w:style>
  <w:style w:type="paragraph" w:customStyle="1" w:styleId="V50Tablename">
    <w:name w:val="V5.0 Table name"/>
    <w:basedOn w:val="V50TableText"/>
    <w:link w:val="V50TablenameChar"/>
    <w:qFormat/>
    <w:rsid w:val="00DD48DB"/>
    <w:pPr>
      <w:keepNext/>
    </w:pPr>
    <w:rPr>
      <w:b/>
    </w:rPr>
  </w:style>
  <w:style w:type="character" w:customStyle="1" w:styleId="V50TablenameChar">
    <w:name w:val="V5.0 Table name Char"/>
    <w:basedOn w:val="DefaultParagraphFont"/>
    <w:link w:val="V50Tablename"/>
    <w:rsid w:val="00DD48DB"/>
    <w:rPr>
      <w:rFonts w:asciiTheme="minorHAnsi" w:eastAsiaTheme="minorHAnsi" w:hAnsiTheme="minorHAnsi" w:cstheme="minorBidi"/>
      <w:b/>
      <w:szCs w:val="24"/>
      <w:lang w:val="en-US" w:eastAsia="en-US"/>
    </w:rPr>
  </w:style>
  <w:style w:type="paragraph" w:customStyle="1" w:styleId="V50Tablenote">
    <w:name w:val="V5.0 Tablenote"/>
    <w:basedOn w:val="V50TableText"/>
    <w:link w:val="V50TablenoteChar"/>
    <w:qFormat/>
    <w:rsid w:val="00DD48DB"/>
    <w:pPr>
      <w:spacing w:after="120"/>
      <w:contextualSpacing/>
      <w:jc w:val="both"/>
    </w:pPr>
    <w:rPr>
      <w:sz w:val="18"/>
      <w:szCs w:val="18"/>
    </w:rPr>
  </w:style>
  <w:style w:type="character" w:customStyle="1" w:styleId="V50TablenoteChar">
    <w:name w:val="V5.0 Tablenote Char"/>
    <w:basedOn w:val="DefaultParagraphFont"/>
    <w:link w:val="V50Tablenote"/>
    <w:rsid w:val="00DD48DB"/>
    <w:rPr>
      <w:rFonts w:asciiTheme="minorHAnsi" w:eastAsiaTheme="minorHAnsi" w:hAnsiTheme="minorHAnsi" w:cstheme="minorBidi"/>
      <w:sz w:val="18"/>
      <w:szCs w:val="18"/>
      <w:lang w:val="en-US" w:eastAsia="en-US"/>
    </w:rPr>
  </w:style>
  <w:style w:type="character" w:customStyle="1" w:styleId="TableFooterChar">
    <w:name w:val="Table Footer Char"/>
    <w:link w:val="TableFooter"/>
    <w:rsid w:val="00DD48DB"/>
    <w:rPr>
      <w:rFonts w:ascii="Arial Narrow" w:hAnsi="Arial Narrow" w:cs="Arial"/>
      <w:snapToGrid w:val="0"/>
      <w:sz w:val="18"/>
      <w:lang w:eastAsia="en-US"/>
    </w:rPr>
  </w:style>
  <w:style w:type="paragraph" w:customStyle="1" w:styleId="TableNotes">
    <w:name w:val="TableNotes"/>
    <w:basedOn w:val="Normal"/>
    <w:link w:val="TableNotesChar"/>
    <w:qFormat/>
    <w:rsid w:val="00DD48DB"/>
    <w:pPr>
      <w:widowControl/>
      <w:spacing w:after="60"/>
      <w:jc w:val="left"/>
    </w:pPr>
    <w:rPr>
      <w:rFonts w:asciiTheme="minorHAnsi" w:eastAsiaTheme="minorHAnsi" w:hAnsiTheme="minorHAnsi" w:cstheme="minorBidi"/>
      <w:snapToGrid/>
      <w:sz w:val="20"/>
      <w:szCs w:val="22"/>
    </w:rPr>
  </w:style>
  <w:style w:type="paragraph" w:customStyle="1" w:styleId="oldTablefooter">
    <w:name w:val="old Table footer"/>
    <w:basedOn w:val="Normal"/>
    <w:link w:val="oldTablefooterChar"/>
    <w:qFormat/>
    <w:rsid w:val="00DD48DB"/>
    <w:pPr>
      <w:widowControl/>
    </w:pPr>
    <w:rPr>
      <w:rFonts w:asciiTheme="minorHAnsi" w:eastAsiaTheme="minorHAnsi" w:hAnsiTheme="minorHAnsi"/>
      <w:snapToGrid/>
      <w:sz w:val="18"/>
      <w:szCs w:val="18"/>
      <w:lang w:val="en-US"/>
    </w:rPr>
  </w:style>
  <w:style w:type="character" w:customStyle="1" w:styleId="oldTablefooterChar">
    <w:name w:val="old Table footer Char"/>
    <w:basedOn w:val="V50TableTextChar"/>
    <w:link w:val="oldTablefooter"/>
    <w:rsid w:val="00DD48DB"/>
    <w:rPr>
      <w:rFonts w:asciiTheme="minorHAnsi" w:eastAsiaTheme="minorHAnsi" w:hAnsiTheme="minorHAnsi" w:cs="Arial"/>
      <w:sz w:val="18"/>
      <w:szCs w:val="18"/>
      <w:lang w:val="en-US" w:eastAsia="en-US"/>
    </w:rPr>
  </w:style>
  <w:style w:type="paragraph" w:customStyle="1" w:styleId="Style1">
    <w:name w:val="Style1"/>
    <w:basedOn w:val="Normal"/>
    <w:rsid w:val="00DD48DB"/>
  </w:style>
  <w:style w:type="paragraph" w:customStyle="1" w:styleId="PBACheading10">
    <w:name w:val="PBAC heading 1"/>
    <w:qFormat/>
    <w:rsid w:val="00DD48DB"/>
    <w:pPr>
      <w:ind w:left="720" w:hanging="720"/>
    </w:pPr>
    <w:rPr>
      <w:rFonts w:ascii="Arial" w:hAnsi="Arial" w:cs="Arial"/>
      <w:snapToGrid w:val="0"/>
      <w:sz w:val="22"/>
      <w:szCs w:val="22"/>
      <w:lang w:eastAsia="en-US"/>
    </w:rPr>
  </w:style>
  <w:style w:type="character" w:customStyle="1" w:styleId="ListParagraphChar">
    <w:name w:val="List Paragraph Char"/>
    <w:aliases w:val="BulletPoints Char"/>
    <w:basedOn w:val="DefaultParagraphFont"/>
    <w:link w:val="ListParagraph"/>
    <w:uiPriority w:val="34"/>
    <w:locked/>
    <w:rsid w:val="00D366BE"/>
    <w:rPr>
      <w:rFonts w:ascii="Calibri" w:hAnsi="Calibri" w:cs="Arial"/>
      <w:snapToGrid w:val="0"/>
      <w:sz w:val="24"/>
      <w:lang w:eastAsia="en-US"/>
    </w:rPr>
  </w:style>
  <w:style w:type="numbering" w:customStyle="1" w:styleId="Headings">
    <w:name w:val="Headings"/>
    <w:uiPriority w:val="99"/>
    <w:rsid w:val="00DD48DB"/>
    <w:pPr>
      <w:numPr>
        <w:numId w:val="4"/>
      </w:numPr>
    </w:pPr>
  </w:style>
  <w:style w:type="character" w:styleId="FollowedHyperlink">
    <w:name w:val="FollowedHyperlink"/>
    <w:basedOn w:val="DefaultParagraphFont"/>
    <w:unhideWhenUsed/>
    <w:rsid w:val="00DD48DB"/>
    <w:rPr>
      <w:color w:val="800080" w:themeColor="followedHyperlink"/>
      <w:u w:val="single"/>
    </w:rPr>
  </w:style>
  <w:style w:type="paragraph" w:customStyle="1" w:styleId="BulletLast">
    <w:name w:val="Bullet Last"/>
    <w:basedOn w:val="Normal"/>
    <w:qFormat/>
    <w:rsid w:val="00DD48DB"/>
    <w:pPr>
      <w:widowControl/>
      <w:numPr>
        <w:numId w:val="5"/>
      </w:numPr>
      <w:spacing w:after="240"/>
      <w:ind w:left="357" w:hanging="357"/>
      <w:jc w:val="left"/>
    </w:pPr>
    <w:rPr>
      <w:rFonts w:asciiTheme="minorHAnsi" w:eastAsiaTheme="minorHAnsi" w:hAnsiTheme="minorHAnsi" w:cstheme="minorBidi"/>
      <w:snapToGrid/>
      <w:szCs w:val="22"/>
    </w:rPr>
  </w:style>
  <w:style w:type="paragraph" w:customStyle="1" w:styleId="TableFigNote">
    <w:name w:val="TableFigNote"/>
    <w:basedOn w:val="Normal"/>
    <w:qFormat/>
    <w:rsid w:val="00DD48DB"/>
    <w:pPr>
      <w:widowControl/>
      <w:jc w:val="left"/>
    </w:pPr>
    <w:rPr>
      <w:rFonts w:asciiTheme="minorHAnsi" w:eastAsiaTheme="minorHAnsi" w:hAnsiTheme="minorHAnsi" w:cstheme="minorBidi"/>
      <w:snapToGrid/>
      <w:sz w:val="18"/>
      <w:szCs w:val="22"/>
    </w:rPr>
  </w:style>
  <w:style w:type="character" w:customStyle="1" w:styleId="StyleArial11pt">
    <w:name w:val="Style Arial 11 pt"/>
    <w:basedOn w:val="DefaultParagraphFont"/>
    <w:rsid w:val="00DD48DB"/>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DD48DB"/>
    <w:pPr>
      <w:widowControl/>
      <w:spacing w:after="160" w:line="240" w:lineRule="exact"/>
      <w:jc w:val="left"/>
    </w:pPr>
    <w:rPr>
      <w:rFonts w:ascii="Verdana" w:eastAsia="MS Mincho" w:hAnsi="Verdana" w:cs="Verdana"/>
      <w:snapToGrid/>
      <w:sz w:val="20"/>
      <w:lang w:val="en-US"/>
    </w:rPr>
  </w:style>
  <w:style w:type="paragraph" w:customStyle="1" w:styleId="tabletext00">
    <w:name w:val="tabletext0"/>
    <w:basedOn w:val="Normal"/>
    <w:rsid w:val="00DD48DB"/>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Left">
    <w:name w:val="Table Left"/>
    <w:basedOn w:val="Normal"/>
    <w:link w:val="TableLeftChar"/>
    <w:uiPriority w:val="99"/>
    <w:qFormat/>
    <w:rsid w:val="00985A34"/>
    <w:pPr>
      <w:widowControl/>
      <w:jc w:val="left"/>
    </w:pPr>
    <w:rPr>
      <w:rFonts w:ascii="Candara" w:hAnsi="Candara" w:cs="Times New Roman"/>
      <w:snapToGrid/>
      <w:sz w:val="20"/>
      <w:szCs w:val="22"/>
    </w:rPr>
  </w:style>
  <w:style w:type="character" w:customStyle="1" w:styleId="TableLeftChar">
    <w:name w:val="Table Left Char"/>
    <w:basedOn w:val="DefaultParagraphFont"/>
    <w:link w:val="TableLeft"/>
    <w:uiPriority w:val="99"/>
    <w:locked/>
    <w:rsid w:val="00985A34"/>
    <w:rPr>
      <w:rFonts w:ascii="Candara" w:hAnsi="Candara"/>
      <w:szCs w:val="22"/>
      <w:lang w:eastAsia="en-US"/>
    </w:rPr>
  </w:style>
  <w:style w:type="character" w:customStyle="1" w:styleId="TableNotesChar">
    <w:name w:val="TableNotes Char"/>
    <w:basedOn w:val="DefaultParagraphFont"/>
    <w:link w:val="TableNotes"/>
    <w:rsid w:val="00252D38"/>
    <w:rPr>
      <w:rFonts w:asciiTheme="minorHAnsi" w:eastAsiaTheme="minorHAnsi" w:hAnsiTheme="minorHAnsi" w:cstheme="minorBidi"/>
      <w:szCs w:val="22"/>
      <w:lang w:eastAsia="en-US"/>
    </w:rPr>
  </w:style>
  <w:style w:type="character" w:customStyle="1" w:styleId="TableTextChar0">
    <w:name w:val="TableText Char"/>
    <w:basedOn w:val="DefaultParagraphFont"/>
    <w:link w:val="TableText0"/>
    <w:rsid w:val="00252D38"/>
    <w:rPr>
      <w:rFonts w:ascii="Arial Narrow" w:hAnsi="Arial Narrow" w:cs="Arial Narrow"/>
      <w:lang w:eastAsia="en-US"/>
    </w:rPr>
  </w:style>
  <w:style w:type="paragraph" w:customStyle="1" w:styleId="BodyText1">
    <w:name w:val="Body Text1"/>
    <w:basedOn w:val="Normal"/>
    <w:rsid w:val="00501F44"/>
    <w:pPr>
      <w:widowControl/>
      <w:spacing w:before="120" w:after="200" w:line="360" w:lineRule="auto"/>
      <w:ind w:left="1152"/>
      <w:jc w:val="left"/>
    </w:pPr>
    <w:rPr>
      <w:snapToGrid/>
      <w:sz w:val="20"/>
      <w:lang w:eastAsia="en-AU"/>
    </w:rPr>
  </w:style>
  <w:style w:type="paragraph" w:customStyle="1" w:styleId="TableHeadingCentred">
    <w:name w:val="TableHeadingCentred"/>
    <w:basedOn w:val="TableHeadingRow"/>
    <w:next w:val="TableText0"/>
    <w:rsid w:val="00CE10EE"/>
    <w:pPr>
      <w:jc w:val="center"/>
    </w:pPr>
  </w:style>
  <w:style w:type="paragraph" w:customStyle="1" w:styleId="TableHeadingRow">
    <w:name w:val="TableHeadingRow"/>
    <w:basedOn w:val="TableText0"/>
    <w:next w:val="TableText0"/>
    <w:rsid w:val="00CE10EE"/>
    <w:rPr>
      <w:rFonts w:ascii="Calibri" w:hAnsi="Calibri" w:cs="Times New Roman"/>
      <w:b/>
      <w:bCs/>
      <w:iCs/>
      <w:szCs w:val="18"/>
    </w:rPr>
  </w:style>
  <w:style w:type="paragraph" w:customStyle="1" w:styleId="Question">
    <w:name w:val="Question"/>
    <w:basedOn w:val="Normal"/>
    <w:autoRedefine/>
    <w:rsid w:val="00CE10EE"/>
    <w:pPr>
      <w:widowControl/>
      <w:spacing w:line="360" w:lineRule="auto"/>
      <w:jc w:val="left"/>
    </w:pPr>
    <w:rPr>
      <w:rFonts w:ascii="Calibri" w:eastAsia="Arial Unicode MS" w:hAnsi="Calibri" w:cs="Times New Roman"/>
      <w:i/>
      <w:snapToGrid/>
      <w:color w:val="FF0000"/>
      <w:lang w:val="en-GB" w:eastAsia="zh-CN"/>
    </w:rPr>
  </w:style>
  <w:style w:type="paragraph" w:customStyle="1" w:styleId="Table9">
    <w:name w:val="Table9"/>
    <w:basedOn w:val="Normal"/>
    <w:next w:val="TableText0"/>
    <w:rsid w:val="00CE10EE"/>
    <w:pPr>
      <w:widowControl/>
      <w:spacing w:before="40" w:after="40"/>
      <w:jc w:val="left"/>
    </w:pPr>
    <w:rPr>
      <w:rFonts w:ascii="Calibri" w:eastAsia="SimSun" w:hAnsi="Calibri" w:cs="Times New Roman"/>
      <w:snapToGrid/>
      <w:szCs w:val="18"/>
      <w:lang w:eastAsia="zh-CN"/>
    </w:rPr>
  </w:style>
  <w:style w:type="character" w:styleId="PageNumber">
    <w:name w:val="page number"/>
    <w:basedOn w:val="DefaultParagraphFont"/>
    <w:rsid w:val="00CE10EE"/>
    <w:rPr>
      <w:rFonts w:ascii="Calibri" w:hAnsi="Calibri"/>
      <w:sz w:val="20"/>
    </w:rPr>
  </w:style>
  <w:style w:type="paragraph" w:customStyle="1" w:styleId="StyleHeading1Left0cmFirstline0cm">
    <w:name w:val="Style Heading 1 + Left:  0 cm First line:  0 cm"/>
    <w:basedOn w:val="Heading1"/>
    <w:rsid w:val="00CE10EE"/>
    <w:pPr>
      <w:shd w:val="clear" w:color="auto" w:fill="FFFFFF"/>
      <w:spacing w:before="0"/>
      <w:ind w:left="0" w:right="101" w:firstLine="0"/>
    </w:pPr>
    <w:rPr>
      <w:rFonts w:cs="Times New Roman"/>
      <w:bCs/>
      <w:smallCaps/>
      <w:snapToGrid/>
      <w:kern w:val="32"/>
      <w:sz w:val="28"/>
      <w:szCs w:val="28"/>
      <w:lang w:eastAsia="zh-CN"/>
    </w:rPr>
  </w:style>
  <w:style w:type="paragraph" w:customStyle="1" w:styleId="TableTitle">
    <w:name w:val="TableTitle"/>
    <w:basedOn w:val="BodyText"/>
    <w:next w:val="BodyText"/>
    <w:link w:val="TableTitleChar"/>
    <w:rsid w:val="00CE10EE"/>
    <w:pPr>
      <w:keepNext/>
      <w:widowControl/>
      <w:tabs>
        <w:tab w:val="left" w:pos="1559"/>
      </w:tabs>
      <w:spacing w:after="60"/>
      <w:ind w:left="1559" w:hanging="1559"/>
    </w:pPr>
    <w:rPr>
      <w:rFonts w:ascii="Calibri" w:hAnsi="Calibri"/>
      <w:b/>
      <w:snapToGrid/>
      <w:szCs w:val="24"/>
    </w:rPr>
  </w:style>
  <w:style w:type="character" w:customStyle="1" w:styleId="TableTitleChar">
    <w:name w:val="TableTitle Char"/>
    <w:basedOn w:val="BodyTextChar"/>
    <w:link w:val="TableTitle"/>
    <w:rsid w:val="00CE10EE"/>
    <w:rPr>
      <w:rFonts w:ascii="Calibri" w:hAnsi="Calibri" w:cs="Arial"/>
      <w:b/>
      <w:snapToGrid/>
      <w:sz w:val="22"/>
      <w:szCs w:val="24"/>
      <w:lang w:eastAsia="en-US"/>
    </w:rPr>
  </w:style>
  <w:style w:type="paragraph" w:customStyle="1" w:styleId="Bullet1">
    <w:name w:val="Bullet 1"/>
    <w:basedOn w:val="Normal"/>
    <w:next w:val="BodyText"/>
    <w:rsid w:val="00CE10EE"/>
    <w:pPr>
      <w:widowControl/>
      <w:tabs>
        <w:tab w:val="num" w:pos="360"/>
      </w:tabs>
      <w:spacing w:before="40" w:after="40" w:line="360" w:lineRule="auto"/>
      <w:ind w:left="360" w:hanging="360"/>
    </w:pPr>
    <w:rPr>
      <w:rFonts w:ascii="Calibri" w:hAnsi="Calibri" w:cs="Times New Roman"/>
      <w:snapToGrid/>
      <w:szCs w:val="24"/>
    </w:rPr>
  </w:style>
  <w:style w:type="paragraph" w:customStyle="1" w:styleId="Bullet2">
    <w:name w:val="Bullet 2"/>
    <w:basedOn w:val="Normal"/>
    <w:next w:val="Normal"/>
    <w:rsid w:val="00CE10EE"/>
    <w:pPr>
      <w:widowControl/>
      <w:tabs>
        <w:tab w:val="num" w:pos="800"/>
      </w:tabs>
      <w:spacing w:line="360" w:lineRule="auto"/>
      <w:ind w:left="800" w:hanging="400"/>
      <w:jc w:val="left"/>
    </w:pPr>
    <w:rPr>
      <w:rFonts w:ascii="Calibri" w:hAnsi="Calibri" w:cs="Times New Roman"/>
      <w:snapToGrid/>
      <w:szCs w:val="24"/>
    </w:rPr>
  </w:style>
  <w:style w:type="paragraph" w:customStyle="1" w:styleId="Footnote">
    <w:name w:val="Footnote"/>
    <w:basedOn w:val="Normal"/>
    <w:rsid w:val="00CE10EE"/>
    <w:pPr>
      <w:widowControl/>
      <w:spacing w:before="40"/>
      <w:jc w:val="left"/>
    </w:pPr>
    <w:rPr>
      <w:rFonts w:ascii="Calibri" w:eastAsia="SimSun" w:hAnsi="Calibri" w:cs="Times New Roman"/>
      <w:snapToGrid/>
      <w:sz w:val="18"/>
      <w:szCs w:val="18"/>
      <w:lang w:eastAsia="en-AU"/>
    </w:rPr>
  </w:style>
  <w:style w:type="paragraph" w:customStyle="1" w:styleId="Default">
    <w:name w:val="Default"/>
    <w:basedOn w:val="Normal"/>
    <w:next w:val="Normal"/>
    <w:link w:val="DefaultChar"/>
    <w:rsid w:val="00CE10EE"/>
    <w:pPr>
      <w:autoSpaceDE w:val="0"/>
      <w:autoSpaceDN w:val="0"/>
      <w:adjustRightInd w:val="0"/>
      <w:jc w:val="left"/>
    </w:pPr>
    <w:rPr>
      <w:rFonts w:eastAsia="SimSun"/>
      <w:snapToGrid/>
      <w:color w:val="000000"/>
      <w:szCs w:val="24"/>
      <w:lang w:eastAsia="zh-CN"/>
    </w:rPr>
  </w:style>
  <w:style w:type="character" w:customStyle="1" w:styleId="DefaultChar">
    <w:name w:val="Default Char"/>
    <w:basedOn w:val="DefaultParagraphFont"/>
    <w:link w:val="Default"/>
    <w:rsid w:val="00CE10EE"/>
    <w:rPr>
      <w:rFonts w:ascii="Arial" w:eastAsia="SimSun" w:hAnsi="Arial" w:cs="Arial"/>
      <w:color w:val="000000"/>
      <w:sz w:val="22"/>
      <w:szCs w:val="24"/>
      <w:lang w:eastAsia="zh-CN"/>
    </w:rPr>
  </w:style>
  <w:style w:type="paragraph" w:customStyle="1" w:styleId="H4">
    <w:name w:val="H4"/>
    <w:basedOn w:val="Heading4"/>
    <w:next w:val="Normal"/>
    <w:link w:val="H4Char"/>
    <w:rsid w:val="00CE10EE"/>
    <w:pPr>
      <w:widowControl/>
      <w:numPr>
        <w:ilvl w:val="3"/>
      </w:numPr>
      <w:tabs>
        <w:tab w:val="num" w:pos="864"/>
      </w:tabs>
      <w:spacing w:line="360" w:lineRule="auto"/>
      <w:ind w:left="864" w:hanging="864"/>
      <w:jc w:val="left"/>
    </w:pPr>
    <w:rPr>
      <w:rFonts w:ascii="Calibri" w:eastAsia="SimSun" w:hAnsi="Calibri"/>
      <w:i w:val="0"/>
      <w:snapToGrid/>
      <w:sz w:val="22"/>
      <w:lang w:eastAsia="zh-CN"/>
    </w:rPr>
  </w:style>
  <w:style w:type="paragraph" w:customStyle="1" w:styleId="StyleHeading2H2Calibri">
    <w:name w:val="Style Heading 2H2 + Calibri"/>
    <w:basedOn w:val="Heading2"/>
    <w:qFormat/>
    <w:rsid w:val="00CE10EE"/>
    <w:pPr>
      <w:keepNext/>
      <w:widowControl/>
      <w:numPr>
        <w:ilvl w:val="1"/>
      </w:numPr>
      <w:tabs>
        <w:tab w:val="num" w:pos="576"/>
      </w:tabs>
      <w:spacing w:after="60" w:line="360" w:lineRule="auto"/>
      <w:ind w:left="576" w:hanging="576"/>
      <w:jc w:val="left"/>
    </w:pPr>
    <w:rPr>
      <w:rFonts w:eastAsia="SimSun"/>
      <w:bCs/>
      <w:i w:val="0"/>
      <w:snapToGrid/>
      <w:sz w:val="22"/>
      <w:lang w:eastAsia="zh-CN"/>
    </w:rPr>
  </w:style>
  <w:style w:type="paragraph" w:customStyle="1" w:styleId="DefaultParagraphFontCharChar">
    <w:name w:val="Default Paragraph Font Char Char"/>
    <w:aliases w:val="Char Char Char Char Char Char Char Char"/>
    <w:basedOn w:val="Normal"/>
    <w:autoRedefine/>
    <w:semiHidden/>
    <w:rsid w:val="00CE10EE"/>
    <w:pPr>
      <w:widowControl/>
      <w:spacing w:after="160" w:line="360" w:lineRule="auto"/>
      <w:jc w:val="left"/>
    </w:pPr>
    <w:rPr>
      <w:rFonts w:ascii="Verdana" w:eastAsia="Arial Unicode MS" w:hAnsi="Verdana" w:cs="Tahoma"/>
      <w:snapToGrid/>
      <w:sz w:val="20"/>
      <w:lang w:val="en-US"/>
    </w:rPr>
  </w:style>
  <w:style w:type="paragraph" w:customStyle="1" w:styleId="StyleHeading3H3Calibri">
    <w:name w:val="Style Heading 3H3 + Calibri"/>
    <w:basedOn w:val="Heading3"/>
    <w:qFormat/>
    <w:rsid w:val="00CE10EE"/>
    <w:pPr>
      <w:keepNext/>
      <w:widowControl/>
      <w:numPr>
        <w:ilvl w:val="2"/>
      </w:numPr>
      <w:tabs>
        <w:tab w:val="num" w:pos="720"/>
      </w:tabs>
      <w:spacing w:before="240" w:after="60" w:line="360" w:lineRule="auto"/>
      <w:ind w:left="720" w:hanging="720"/>
      <w:jc w:val="left"/>
    </w:pPr>
    <w:rPr>
      <w:rFonts w:eastAsia="SimSun"/>
      <w:bCs/>
      <w:snapToGrid/>
      <w:sz w:val="22"/>
      <w:szCs w:val="26"/>
      <w:lang w:eastAsia="zh-CN"/>
    </w:rPr>
  </w:style>
  <w:style w:type="paragraph" w:customStyle="1" w:styleId="StyleH4Calibri">
    <w:name w:val="Style H4 + Calibri"/>
    <w:basedOn w:val="H4"/>
    <w:link w:val="StyleH4CalibriChar"/>
    <w:rsid w:val="00CE10EE"/>
  </w:style>
  <w:style w:type="paragraph" w:customStyle="1" w:styleId="StyleCaptionIBCaptionMedicalCaptionCaptionCharMedicalCapti">
    <w:name w:val="Style CaptionIB CaptionMedical CaptionCaption CharMedical Capti..."/>
    <w:basedOn w:val="Normal"/>
    <w:rsid w:val="00CE10EE"/>
    <w:pPr>
      <w:widowControl/>
      <w:spacing w:before="120" w:after="120"/>
      <w:jc w:val="left"/>
    </w:pPr>
    <w:rPr>
      <w:rFonts w:ascii="Calibri" w:eastAsia="SimSun" w:hAnsi="Calibri" w:cs="Times New Roman"/>
      <w:b/>
      <w:bCs/>
      <w:snapToGrid/>
    </w:rPr>
  </w:style>
  <w:style w:type="character" w:customStyle="1" w:styleId="StyleCalibri">
    <w:name w:val="Style Calibri"/>
    <w:basedOn w:val="DefaultParagraphFont"/>
    <w:rsid w:val="00CE10EE"/>
    <w:rPr>
      <w:rFonts w:ascii="Calibri" w:hAnsi="Calibri"/>
      <w:sz w:val="24"/>
    </w:rPr>
  </w:style>
  <w:style w:type="paragraph" w:customStyle="1" w:styleId="StyleTable9Calibri">
    <w:name w:val="Style Table9 + Calibri"/>
    <w:basedOn w:val="Table9"/>
    <w:autoRedefine/>
    <w:rsid w:val="00CE10EE"/>
    <w:pPr>
      <w:tabs>
        <w:tab w:val="left" w:pos="0"/>
      </w:tabs>
      <w:spacing w:before="0" w:after="0"/>
      <w:ind w:right="-108"/>
    </w:pPr>
    <w:rPr>
      <w:sz w:val="20"/>
    </w:rPr>
  </w:style>
  <w:style w:type="paragraph" w:customStyle="1" w:styleId="StyleTableTextLeft">
    <w:name w:val="Style TableText + Left"/>
    <w:basedOn w:val="TableText0"/>
    <w:rsid w:val="00CE10EE"/>
    <w:rPr>
      <w:rFonts w:ascii="Calibri" w:hAnsi="Calibri" w:cs="Times New Roman"/>
      <w:iCs/>
      <w:szCs w:val="18"/>
    </w:rPr>
  </w:style>
  <w:style w:type="paragraph" w:customStyle="1" w:styleId="TableNotes1">
    <w:name w:val="Table Notes"/>
    <w:basedOn w:val="Normal"/>
    <w:next w:val="Normal"/>
    <w:rsid w:val="00CE10EE"/>
    <w:pPr>
      <w:keepLines/>
      <w:widowControl/>
      <w:tabs>
        <w:tab w:val="left" w:pos="1134"/>
      </w:tabs>
      <w:ind w:left="1138" w:hanging="1138"/>
      <w:jc w:val="left"/>
    </w:pPr>
    <w:rPr>
      <w:rFonts w:cs="Arial Narrow"/>
      <w:snapToGrid/>
      <w:sz w:val="16"/>
      <w:szCs w:val="18"/>
      <w:lang w:val="fr-FR"/>
    </w:rPr>
  </w:style>
  <w:style w:type="paragraph" w:styleId="DocumentMap">
    <w:name w:val="Document Map"/>
    <w:basedOn w:val="Normal"/>
    <w:link w:val="DocumentMapChar"/>
    <w:rsid w:val="00CE10EE"/>
    <w:pPr>
      <w:widowControl/>
      <w:spacing w:line="360" w:lineRule="auto"/>
      <w:jc w:val="left"/>
    </w:pPr>
    <w:rPr>
      <w:rFonts w:ascii="Tahoma" w:eastAsia="SimSun" w:hAnsi="Tahoma" w:cs="Tahoma"/>
      <w:snapToGrid/>
      <w:sz w:val="16"/>
      <w:szCs w:val="16"/>
      <w:lang w:eastAsia="zh-CN"/>
    </w:rPr>
  </w:style>
  <w:style w:type="character" w:customStyle="1" w:styleId="DocumentMapChar">
    <w:name w:val="Document Map Char"/>
    <w:basedOn w:val="DefaultParagraphFont"/>
    <w:link w:val="DocumentMap"/>
    <w:rsid w:val="00CE10EE"/>
    <w:rPr>
      <w:rFonts w:ascii="Tahoma" w:eastAsia="SimSun" w:hAnsi="Tahoma" w:cs="Tahoma"/>
      <w:sz w:val="16"/>
      <w:szCs w:val="16"/>
      <w:lang w:eastAsia="zh-CN"/>
    </w:rPr>
  </w:style>
  <w:style w:type="paragraph" w:customStyle="1" w:styleId="TableFigureFootnote">
    <w:name w:val="Table &amp; Figure Footnote"/>
    <w:basedOn w:val="BodyText"/>
    <w:next w:val="BodyText"/>
    <w:qFormat/>
    <w:rsid w:val="00CE10EE"/>
    <w:pPr>
      <w:widowControl/>
      <w:spacing w:before="20" w:after="20"/>
      <w:jc w:val="both"/>
    </w:pPr>
    <w:rPr>
      <w:rFonts w:cs="Times New Roman"/>
      <w:snapToGrid/>
      <w:sz w:val="16"/>
      <w:szCs w:val="24"/>
    </w:rPr>
  </w:style>
  <w:style w:type="paragraph" w:customStyle="1" w:styleId="Tabletextcentred">
    <w:name w:val="Table text centred"/>
    <w:basedOn w:val="Tabletext"/>
    <w:rsid w:val="00CE10EE"/>
    <w:pPr>
      <w:tabs>
        <w:tab w:val="left" w:pos="900"/>
      </w:tabs>
      <w:spacing w:before="40" w:after="40"/>
      <w:jc w:val="center"/>
    </w:pPr>
    <w:rPr>
      <w:rFonts w:eastAsia="SimSun"/>
      <w:sz w:val="18"/>
    </w:rPr>
  </w:style>
  <w:style w:type="paragraph" w:customStyle="1" w:styleId="Header4">
    <w:name w:val="Header 4"/>
    <w:basedOn w:val="StyleH4Calibri"/>
    <w:link w:val="Header4Char"/>
    <w:qFormat/>
    <w:rsid w:val="00CE10EE"/>
    <w:rPr>
      <w:smallCaps/>
    </w:rPr>
  </w:style>
  <w:style w:type="character" w:customStyle="1" w:styleId="H4Char">
    <w:name w:val="H4 Char"/>
    <w:basedOn w:val="Heading4Char"/>
    <w:link w:val="H4"/>
    <w:rsid w:val="00CE10EE"/>
    <w:rPr>
      <w:rFonts w:ascii="Calibri" w:eastAsia="SimSun" w:hAnsi="Calibri" w:cs="Arial"/>
      <w:b/>
      <w:bCs/>
      <w:i w:val="0"/>
      <w:snapToGrid/>
      <w:sz w:val="22"/>
      <w:szCs w:val="28"/>
      <w:lang w:eastAsia="zh-CN"/>
    </w:rPr>
  </w:style>
  <w:style w:type="character" w:customStyle="1" w:styleId="StyleH4CalibriChar">
    <w:name w:val="Style H4 + Calibri Char"/>
    <w:basedOn w:val="H4Char"/>
    <w:link w:val="StyleH4Calibri"/>
    <w:rsid w:val="00CE10EE"/>
    <w:rPr>
      <w:rFonts w:ascii="Calibri" w:eastAsia="SimSun" w:hAnsi="Calibri" w:cs="Arial"/>
      <w:b/>
      <w:bCs/>
      <w:i w:val="0"/>
      <w:snapToGrid/>
      <w:sz w:val="22"/>
      <w:szCs w:val="28"/>
      <w:lang w:eastAsia="zh-CN"/>
    </w:rPr>
  </w:style>
  <w:style w:type="character" w:customStyle="1" w:styleId="Header4Char">
    <w:name w:val="Header 4 Char"/>
    <w:basedOn w:val="StyleH4CalibriChar"/>
    <w:link w:val="Header4"/>
    <w:rsid w:val="00CE10EE"/>
    <w:rPr>
      <w:rFonts w:ascii="Calibri" w:eastAsia="SimSun" w:hAnsi="Calibri" w:cs="Arial"/>
      <w:b/>
      <w:bCs/>
      <w:i w:val="0"/>
      <w:smallCaps/>
      <w:snapToGrid/>
      <w:sz w:val="22"/>
      <w:szCs w:val="28"/>
      <w:lang w:eastAsia="zh-CN"/>
    </w:rPr>
  </w:style>
  <w:style w:type="paragraph" w:styleId="TableofFigures">
    <w:name w:val="table of figures"/>
    <w:basedOn w:val="Normal"/>
    <w:next w:val="Normal"/>
    <w:uiPriority w:val="99"/>
    <w:rsid w:val="00CE10EE"/>
    <w:pPr>
      <w:widowControl/>
      <w:spacing w:line="360" w:lineRule="auto"/>
      <w:jc w:val="left"/>
    </w:pPr>
    <w:rPr>
      <w:rFonts w:ascii="Calibri" w:eastAsia="SimSun" w:hAnsi="Calibri" w:cs="Times New Roman"/>
      <w:snapToGrid/>
      <w:lang w:eastAsia="zh-CN"/>
    </w:rPr>
  </w:style>
  <w:style w:type="paragraph" w:customStyle="1" w:styleId="BoxNameInfo">
    <w:name w:val="BoxNameInfo"/>
    <w:basedOn w:val="Normal"/>
    <w:qFormat/>
    <w:rsid w:val="00CE10EE"/>
    <w:pPr>
      <w:keepNext/>
      <w:widowControl/>
      <w:pBdr>
        <w:top w:val="single" w:sz="4" w:space="4" w:color="000000"/>
        <w:left w:val="single" w:sz="4" w:space="4" w:color="000000"/>
        <w:bottom w:val="single" w:sz="4" w:space="4" w:color="000000"/>
        <w:right w:val="single" w:sz="4" w:space="4" w:color="000000"/>
      </w:pBdr>
      <w:spacing w:before="180" w:after="120"/>
      <w:ind w:left="1080" w:hanging="1080"/>
      <w:jc w:val="left"/>
    </w:pPr>
    <w:rPr>
      <w:rFonts w:ascii="Times New Roman" w:hAnsi="Times New Roman" w:cs="Times New Roman"/>
      <w:b/>
      <w:bCs/>
      <w:snapToGrid/>
      <w:color w:val="000000"/>
      <w:lang w:eastAsia="en-AU"/>
    </w:rPr>
  </w:style>
  <w:style w:type="paragraph" w:customStyle="1" w:styleId="BoxTextInfo">
    <w:name w:val="BoxTextInfo"/>
    <w:basedOn w:val="Normal"/>
    <w:qFormat/>
    <w:rsid w:val="00CE10EE"/>
    <w:pPr>
      <w:widowControl/>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lang w:eastAsia="en-AU"/>
    </w:rPr>
  </w:style>
  <w:style w:type="paragraph" w:customStyle="1" w:styleId="BoxHeadingInfo">
    <w:name w:val="BoxHeadingInfo"/>
    <w:basedOn w:val="Normal"/>
    <w:qFormat/>
    <w:rsid w:val="00CE10EE"/>
    <w:pPr>
      <w:keepNext/>
      <w:widowControl/>
      <w:pBdr>
        <w:top w:val="single" w:sz="4" w:space="4" w:color="000000"/>
        <w:left w:val="single" w:sz="4" w:space="4" w:color="000000"/>
        <w:bottom w:val="single" w:sz="4" w:space="4" w:color="000000"/>
        <w:right w:val="single" w:sz="4" w:space="4" w:color="000000"/>
      </w:pBdr>
      <w:spacing w:before="120" w:after="60"/>
      <w:jc w:val="left"/>
    </w:pPr>
    <w:rPr>
      <w:rFonts w:ascii="Times New Roman" w:hAnsi="Times New Roman" w:cs="Times New Roman"/>
      <w:b/>
      <w:bCs/>
      <w:snapToGrid/>
      <w:color w:val="000000"/>
      <w:lang w:eastAsia="en-AU"/>
    </w:rPr>
  </w:style>
  <w:style w:type="character" w:styleId="Strong">
    <w:name w:val="Strong"/>
    <w:basedOn w:val="DefaultParagraphFont"/>
    <w:uiPriority w:val="22"/>
    <w:qFormat/>
    <w:rsid w:val="00CE10EE"/>
    <w:rPr>
      <w:rFonts w:cs="Times New Roman"/>
      <w:b/>
      <w:bCs/>
    </w:rPr>
  </w:style>
  <w:style w:type="character" w:customStyle="1" w:styleId="CrossRef">
    <w:name w:val="CrossRef"/>
    <w:basedOn w:val="DefaultParagraphFont"/>
    <w:uiPriority w:val="1"/>
    <w:rsid w:val="00CE10EE"/>
    <w:rPr>
      <w:rFonts w:ascii="Times New Roman" w:hAnsi="Times New Roman" w:cs="Times New Roman"/>
      <w:b/>
      <w:noProof/>
      <w:color w:val="7030A0"/>
      <w:sz w:val="24"/>
    </w:rPr>
  </w:style>
  <w:style w:type="paragraph" w:customStyle="1" w:styleId="TFListNotes">
    <w:name w:val="TFListNotes"/>
    <w:basedOn w:val="Normal"/>
    <w:rsid w:val="00CE10EE"/>
    <w:pPr>
      <w:keepNext/>
      <w:keepLines/>
      <w:widowControl/>
      <w:ind w:left="170" w:hanging="170"/>
      <w:jc w:val="left"/>
    </w:pPr>
    <w:rPr>
      <w:rFonts w:cs="Times New Roman"/>
      <w:snapToGrid/>
      <w:color w:val="000000"/>
      <w:sz w:val="18"/>
      <w:szCs w:val="18"/>
      <w:lang w:eastAsia="en-AU"/>
    </w:rPr>
  </w:style>
  <w:style w:type="paragraph" w:customStyle="1" w:styleId="TFNoteSourceSpace">
    <w:name w:val="TFNoteSource+Space"/>
    <w:basedOn w:val="Normal"/>
    <w:next w:val="Normal"/>
    <w:rsid w:val="00CE10EE"/>
    <w:pPr>
      <w:keepLines/>
      <w:widowControl/>
      <w:spacing w:after="360"/>
      <w:ind w:left="624" w:hanging="624"/>
      <w:jc w:val="left"/>
    </w:pPr>
    <w:rPr>
      <w:rFonts w:cs="Times New Roman"/>
      <w:snapToGrid/>
      <w:color w:val="000000"/>
      <w:sz w:val="18"/>
      <w:szCs w:val="18"/>
      <w:lang w:eastAsia="en-AU"/>
    </w:rPr>
  </w:style>
  <w:style w:type="paragraph" w:customStyle="1" w:styleId="BoxBullet">
    <w:name w:val="BoxBullet"/>
    <w:basedOn w:val="Normal"/>
    <w:rsid w:val="00CE10EE"/>
    <w:pPr>
      <w:widowControl/>
      <w:numPr>
        <w:numId w:val="6"/>
      </w:numPr>
      <w:pBdr>
        <w:top w:val="single" w:sz="4" w:space="4" w:color="000000"/>
        <w:left w:val="single" w:sz="4" w:space="4" w:color="000000"/>
        <w:bottom w:val="single" w:sz="4" w:space="4" w:color="000000"/>
        <w:right w:val="single" w:sz="4" w:space="4" w:color="000000"/>
      </w:pBdr>
      <w:spacing w:after="120"/>
      <w:jc w:val="left"/>
    </w:pPr>
    <w:rPr>
      <w:rFonts w:ascii="Times New Roman" w:hAnsi="Times New Roman" w:cs="Times New Roman"/>
      <w:snapToGrid/>
      <w:color w:val="000000"/>
      <w:lang w:eastAsia="en-AU"/>
    </w:rPr>
  </w:style>
  <w:style w:type="paragraph" w:customStyle="1" w:styleId="BoxBulletInfo">
    <w:name w:val="BoxBulletInfo"/>
    <w:basedOn w:val="BoxBullet"/>
    <w:qFormat/>
    <w:rsid w:val="00CE10EE"/>
  </w:style>
  <w:style w:type="character" w:customStyle="1" w:styleId="SuperscriptItalics">
    <w:name w:val="SuperscriptItalics"/>
    <w:basedOn w:val="DefaultParagraphFont"/>
    <w:uiPriority w:val="1"/>
    <w:qFormat/>
    <w:rsid w:val="00CE10EE"/>
    <w:rPr>
      <w:rFonts w:cs="Times New Roman"/>
      <w:i/>
      <w:noProof/>
      <w:vertAlign w:val="superscript"/>
    </w:rPr>
  </w:style>
  <w:style w:type="paragraph" w:customStyle="1" w:styleId="BoxHeading">
    <w:name w:val="BoxHeading"/>
    <w:basedOn w:val="Normal"/>
    <w:rsid w:val="00CE10EE"/>
    <w:pPr>
      <w:keepNext/>
      <w:widowControl/>
      <w:pBdr>
        <w:top w:val="single" w:sz="4" w:space="4" w:color="000000"/>
        <w:left w:val="single" w:sz="4" w:space="4" w:color="000000"/>
        <w:bottom w:val="single" w:sz="4" w:space="4" w:color="000000"/>
        <w:right w:val="single" w:sz="4" w:space="4" w:color="000000"/>
      </w:pBdr>
      <w:spacing w:before="120" w:after="60"/>
      <w:jc w:val="left"/>
    </w:pPr>
    <w:rPr>
      <w:rFonts w:ascii="Times New Roman" w:hAnsi="Times New Roman" w:cs="Times New Roman"/>
      <w:b/>
      <w:bCs/>
      <w:snapToGrid/>
      <w:color w:val="000000"/>
      <w:lang w:eastAsia="en-AU"/>
    </w:rPr>
  </w:style>
  <w:style w:type="paragraph" w:customStyle="1" w:styleId="TableHeadingCA">
    <w:name w:val="TableHeadingCA"/>
    <w:basedOn w:val="TableHeading0"/>
    <w:rsid w:val="00CE10EE"/>
    <w:pPr>
      <w:spacing w:before="60"/>
      <w:jc w:val="center"/>
    </w:pPr>
    <w:rPr>
      <w:rFonts w:ascii="Arial" w:hAnsi="Arial" w:cs="Times New Roman"/>
      <w:color w:val="000000"/>
      <w:sz w:val="19"/>
      <w:szCs w:val="21"/>
      <w:lang w:eastAsia="en-AU"/>
    </w:rPr>
  </w:style>
  <w:style w:type="paragraph" w:customStyle="1" w:styleId="TableTextCA">
    <w:name w:val="TableTextCA"/>
    <w:basedOn w:val="TableText0"/>
    <w:rsid w:val="00CE10EE"/>
    <w:pPr>
      <w:spacing w:before="60" w:after="60"/>
      <w:jc w:val="center"/>
    </w:pPr>
    <w:rPr>
      <w:rFonts w:ascii="Arial" w:hAnsi="Arial" w:cs="Times New Roman"/>
      <w:color w:val="000000"/>
      <w:sz w:val="19"/>
      <w:szCs w:val="21"/>
      <w:lang w:eastAsia="en-AU"/>
    </w:rPr>
  </w:style>
  <w:style w:type="paragraph" w:customStyle="1" w:styleId="TFListNotesSpace">
    <w:name w:val="TFListNotes+Space"/>
    <w:basedOn w:val="TableText0"/>
    <w:next w:val="Normal"/>
    <w:rsid w:val="00CE10EE"/>
    <w:pPr>
      <w:keepNext w:val="0"/>
      <w:keepLines/>
      <w:spacing w:before="0" w:after="360"/>
      <w:ind w:left="170" w:hanging="170"/>
    </w:pPr>
    <w:rPr>
      <w:rFonts w:ascii="Arial" w:hAnsi="Arial" w:cs="Times New Roman"/>
      <w:color w:val="000000"/>
      <w:sz w:val="18"/>
      <w:szCs w:val="18"/>
      <w:lang w:eastAsia="en-AU"/>
    </w:rPr>
  </w:style>
  <w:style w:type="paragraph" w:customStyle="1" w:styleId="TFAbbrevs">
    <w:name w:val="TFAbbrevs"/>
    <w:basedOn w:val="TFListNotes"/>
    <w:rsid w:val="00CE10EE"/>
    <w:pPr>
      <w:ind w:left="0" w:firstLine="0"/>
    </w:pPr>
  </w:style>
  <w:style w:type="character" w:customStyle="1" w:styleId="Superscript">
    <w:name w:val="Superscript"/>
    <w:basedOn w:val="DefaultParagraphFont"/>
    <w:uiPriority w:val="1"/>
    <w:rsid w:val="00CE10EE"/>
    <w:rPr>
      <w:rFonts w:cs="Times New Roman"/>
      <w:noProof/>
      <w:vertAlign w:val="superscript"/>
    </w:rPr>
  </w:style>
  <w:style w:type="paragraph" w:customStyle="1" w:styleId="EndNoteBibliographyTitle">
    <w:name w:val="EndNote Bibliography Title"/>
    <w:basedOn w:val="Normal"/>
    <w:link w:val="EndNoteBibliographyTitleChar"/>
    <w:rsid w:val="00CE10EE"/>
    <w:pPr>
      <w:widowControl/>
      <w:spacing w:line="360" w:lineRule="auto"/>
      <w:jc w:val="center"/>
    </w:pPr>
    <w:rPr>
      <w:rFonts w:ascii="Calibri" w:eastAsia="SimSun" w:hAnsi="Calibri" w:cs="Arial Narrow"/>
      <w:noProof/>
      <w:snapToGrid/>
      <w:sz w:val="24"/>
      <w:lang w:eastAsia="zh-CN"/>
    </w:rPr>
  </w:style>
  <w:style w:type="character" w:customStyle="1" w:styleId="EndNoteBibliographyTitleChar">
    <w:name w:val="EndNote Bibliography Title Char"/>
    <w:basedOn w:val="TableTextChar0"/>
    <w:link w:val="EndNoteBibliographyTitle"/>
    <w:rsid w:val="00CE10EE"/>
    <w:rPr>
      <w:rFonts w:ascii="Calibri" w:eastAsia="SimSun" w:hAnsi="Calibri" w:cs="Arial Narrow"/>
      <w:noProof/>
      <w:sz w:val="24"/>
      <w:lang w:eastAsia="zh-CN"/>
    </w:rPr>
  </w:style>
  <w:style w:type="paragraph" w:customStyle="1" w:styleId="EndNoteBibliography">
    <w:name w:val="EndNote Bibliography"/>
    <w:basedOn w:val="Normal"/>
    <w:link w:val="EndNoteBibliographyChar"/>
    <w:rsid w:val="00CE10EE"/>
    <w:pPr>
      <w:widowControl/>
      <w:jc w:val="left"/>
    </w:pPr>
    <w:rPr>
      <w:rFonts w:ascii="Calibri" w:eastAsia="SimSun" w:hAnsi="Calibri" w:cs="Arial Narrow"/>
      <w:noProof/>
      <w:snapToGrid/>
      <w:sz w:val="24"/>
      <w:lang w:eastAsia="zh-CN"/>
    </w:rPr>
  </w:style>
  <w:style w:type="character" w:customStyle="1" w:styleId="EndNoteBibliographyChar">
    <w:name w:val="EndNote Bibliography Char"/>
    <w:basedOn w:val="TableTextChar0"/>
    <w:link w:val="EndNoteBibliography"/>
    <w:rsid w:val="00CE10EE"/>
    <w:rPr>
      <w:rFonts w:ascii="Calibri" w:eastAsia="SimSun" w:hAnsi="Calibri" w:cs="Arial Narrow"/>
      <w:noProof/>
      <w:sz w:val="24"/>
      <w:lang w:eastAsia="zh-CN"/>
    </w:rPr>
  </w:style>
  <w:style w:type="character" w:customStyle="1" w:styleId="apple-converted-space">
    <w:name w:val="apple-converted-space"/>
    <w:basedOn w:val="DefaultParagraphFont"/>
    <w:rsid w:val="00CE10EE"/>
  </w:style>
  <w:style w:type="character" w:customStyle="1" w:styleId="hitinf">
    <w:name w:val="hit_inf"/>
    <w:basedOn w:val="DefaultParagraphFont"/>
    <w:rsid w:val="00CE10EE"/>
  </w:style>
  <w:style w:type="character" w:customStyle="1" w:styleId="hitsyn">
    <w:name w:val="hit_syn"/>
    <w:basedOn w:val="DefaultParagraphFont"/>
    <w:rsid w:val="00CE10EE"/>
  </w:style>
  <w:style w:type="paragraph" w:customStyle="1" w:styleId="StyleTableNotesLeft0cmFirstline0cm">
    <w:name w:val="Style TableNotes + Left:  0 cm First line:  0 cm"/>
    <w:basedOn w:val="TableNotes"/>
    <w:rsid w:val="00CE10EE"/>
    <w:pPr>
      <w:keepNext/>
      <w:tabs>
        <w:tab w:val="left" w:pos="1559"/>
      </w:tabs>
      <w:spacing w:after="0"/>
    </w:pPr>
    <w:rPr>
      <w:rFonts w:ascii="Calibri" w:eastAsia="SimSun" w:hAnsi="Calibri" w:cs="Times New Roman"/>
      <w:sz w:val="16"/>
      <w:szCs w:val="20"/>
      <w:lang w:eastAsia="zh-CN"/>
    </w:rPr>
  </w:style>
  <w:style w:type="paragraph" w:customStyle="1" w:styleId="NICEnormal">
    <w:name w:val="NICE normal"/>
    <w:link w:val="NICEnormalChar"/>
    <w:rsid w:val="00CE10EE"/>
    <w:pPr>
      <w:jc w:val="both"/>
    </w:pPr>
    <w:rPr>
      <w:rFonts w:ascii="Arial" w:hAnsi="Arial"/>
      <w:sz w:val="22"/>
      <w:szCs w:val="24"/>
      <w:lang w:val="en-GB" w:eastAsia="en-US"/>
    </w:rPr>
  </w:style>
  <w:style w:type="character" w:customStyle="1" w:styleId="NICEnormalChar">
    <w:name w:val="NICE normal Char"/>
    <w:link w:val="NICEnormal"/>
    <w:rsid w:val="00CE10EE"/>
    <w:rPr>
      <w:rFonts w:ascii="Arial" w:hAnsi="Arial"/>
      <w:sz w:val="22"/>
      <w:szCs w:val="24"/>
      <w:lang w:val="en-GB" w:eastAsia="en-US"/>
    </w:rPr>
  </w:style>
  <w:style w:type="paragraph" w:customStyle="1" w:styleId="AlexionHeading991">
    <w:name w:val="Alexion Heading 9.9.1"/>
    <w:basedOn w:val="Normal"/>
    <w:qFormat/>
    <w:rsid w:val="00CE10EE"/>
    <w:pPr>
      <w:keepNext/>
      <w:widowControl/>
      <w:numPr>
        <w:numId w:val="7"/>
      </w:numPr>
      <w:spacing w:before="120" w:after="120"/>
      <w:ind w:left="1248" w:hanging="851"/>
      <w:outlineLvl w:val="3"/>
    </w:pPr>
    <w:rPr>
      <w:rFonts w:eastAsia="Verdana"/>
      <w:bCs/>
      <w:i/>
      <w:snapToGrid/>
      <w:kern w:val="32"/>
      <w:szCs w:val="18"/>
      <w:lang w:val="en-GB" w:eastAsia="en-GB"/>
    </w:rPr>
  </w:style>
  <w:style w:type="paragraph" w:customStyle="1" w:styleId="title1">
    <w:name w:val="title1"/>
    <w:basedOn w:val="Normal"/>
    <w:rsid w:val="00CE10EE"/>
    <w:pPr>
      <w:widowControl/>
      <w:jc w:val="left"/>
    </w:pPr>
    <w:rPr>
      <w:rFonts w:ascii="Times New Roman" w:hAnsi="Times New Roman" w:cs="Times New Roman"/>
      <w:snapToGrid/>
      <w:sz w:val="27"/>
      <w:szCs w:val="27"/>
      <w:lang w:val="en-US"/>
    </w:rPr>
  </w:style>
  <w:style w:type="character" w:customStyle="1" w:styleId="jrnl">
    <w:name w:val="jrnl"/>
    <w:basedOn w:val="DefaultParagraphFont"/>
    <w:rsid w:val="00CE10EE"/>
  </w:style>
  <w:style w:type="character" w:customStyle="1" w:styleId="st">
    <w:name w:val="st"/>
    <w:basedOn w:val="DefaultParagraphFont"/>
    <w:rsid w:val="00CE10EE"/>
  </w:style>
  <w:style w:type="character" w:customStyle="1" w:styleId="st1">
    <w:name w:val="st1"/>
    <w:basedOn w:val="DefaultParagraphFont"/>
    <w:rsid w:val="00CE10EE"/>
  </w:style>
  <w:style w:type="paragraph" w:styleId="ListBullet">
    <w:name w:val="List Bullet"/>
    <w:basedOn w:val="Normal"/>
    <w:rsid w:val="00CE10EE"/>
    <w:pPr>
      <w:widowControl/>
      <w:numPr>
        <w:numId w:val="8"/>
      </w:numPr>
      <w:spacing w:line="360" w:lineRule="auto"/>
      <w:contextualSpacing/>
      <w:jc w:val="left"/>
    </w:pPr>
    <w:rPr>
      <w:rFonts w:ascii="Calibri" w:eastAsia="SimSun" w:hAnsi="Calibri" w:cs="Times New Roman"/>
      <w:snapToGrid/>
      <w:lang w:eastAsia="zh-CN"/>
    </w:rPr>
  </w:style>
  <w:style w:type="table" w:customStyle="1" w:styleId="C-Table4">
    <w:name w:val="C-Table4"/>
    <w:basedOn w:val="TableNormal"/>
    <w:rsid w:val="00CE10EE"/>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5">
    <w:name w:val="C-Table5"/>
    <w:basedOn w:val="TableNormal"/>
    <w:rsid w:val="00CE10EE"/>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6">
    <w:name w:val="C-Table6"/>
    <w:basedOn w:val="TableNormal"/>
    <w:rsid w:val="00CE10EE"/>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C-Table7">
    <w:name w:val="C-Table7"/>
    <w:basedOn w:val="TableNormal"/>
    <w:rsid w:val="00CE10EE"/>
    <w:rPr>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99531">
      <w:bodyDiv w:val="1"/>
      <w:marLeft w:val="0"/>
      <w:marRight w:val="0"/>
      <w:marTop w:val="0"/>
      <w:marBottom w:val="0"/>
      <w:divBdr>
        <w:top w:val="none" w:sz="0" w:space="0" w:color="auto"/>
        <w:left w:val="none" w:sz="0" w:space="0" w:color="auto"/>
        <w:bottom w:val="none" w:sz="0" w:space="0" w:color="auto"/>
        <w:right w:val="none" w:sz="0" w:space="0" w:color="auto"/>
      </w:divBdr>
    </w:div>
    <w:div w:id="831334810">
      <w:bodyDiv w:val="1"/>
      <w:marLeft w:val="0"/>
      <w:marRight w:val="0"/>
      <w:marTop w:val="0"/>
      <w:marBottom w:val="0"/>
      <w:divBdr>
        <w:top w:val="none" w:sz="0" w:space="0" w:color="auto"/>
        <w:left w:val="none" w:sz="0" w:space="0" w:color="auto"/>
        <w:bottom w:val="none" w:sz="0" w:space="0" w:color="auto"/>
        <w:right w:val="none" w:sz="0" w:space="0" w:color="auto"/>
      </w:divBdr>
      <w:divsChild>
        <w:div w:id="1644846665">
          <w:marLeft w:val="288"/>
          <w:marRight w:val="0"/>
          <w:marTop w:val="86"/>
          <w:marBottom w:val="0"/>
          <w:divBdr>
            <w:top w:val="none" w:sz="0" w:space="0" w:color="auto"/>
            <w:left w:val="none" w:sz="0" w:space="0" w:color="auto"/>
            <w:bottom w:val="none" w:sz="0" w:space="0" w:color="auto"/>
            <w:right w:val="none" w:sz="0" w:space="0" w:color="auto"/>
          </w:divBdr>
        </w:div>
        <w:div w:id="364525607">
          <w:marLeft w:val="720"/>
          <w:marRight w:val="0"/>
          <w:marTop w:val="67"/>
          <w:marBottom w:val="0"/>
          <w:divBdr>
            <w:top w:val="none" w:sz="0" w:space="0" w:color="auto"/>
            <w:left w:val="none" w:sz="0" w:space="0" w:color="auto"/>
            <w:bottom w:val="none" w:sz="0" w:space="0" w:color="auto"/>
            <w:right w:val="none" w:sz="0" w:space="0" w:color="auto"/>
          </w:divBdr>
        </w:div>
        <w:div w:id="307637777">
          <w:marLeft w:val="720"/>
          <w:marRight w:val="0"/>
          <w:marTop w:val="67"/>
          <w:marBottom w:val="0"/>
          <w:divBdr>
            <w:top w:val="none" w:sz="0" w:space="0" w:color="auto"/>
            <w:left w:val="none" w:sz="0" w:space="0" w:color="auto"/>
            <w:bottom w:val="none" w:sz="0" w:space="0" w:color="auto"/>
            <w:right w:val="none" w:sz="0" w:space="0" w:color="auto"/>
          </w:divBdr>
        </w:div>
        <w:div w:id="13314075">
          <w:marLeft w:val="720"/>
          <w:marRight w:val="0"/>
          <w:marTop w:val="67"/>
          <w:marBottom w:val="0"/>
          <w:divBdr>
            <w:top w:val="none" w:sz="0" w:space="0" w:color="auto"/>
            <w:left w:val="none" w:sz="0" w:space="0" w:color="auto"/>
            <w:bottom w:val="none" w:sz="0" w:space="0" w:color="auto"/>
            <w:right w:val="none" w:sz="0" w:space="0" w:color="auto"/>
          </w:divBdr>
        </w:div>
        <w:div w:id="1854372430">
          <w:marLeft w:val="288"/>
          <w:marRight w:val="0"/>
          <w:marTop w:val="86"/>
          <w:marBottom w:val="0"/>
          <w:divBdr>
            <w:top w:val="none" w:sz="0" w:space="0" w:color="auto"/>
            <w:left w:val="none" w:sz="0" w:space="0" w:color="auto"/>
            <w:bottom w:val="none" w:sz="0" w:space="0" w:color="auto"/>
            <w:right w:val="none" w:sz="0" w:space="0" w:color="auto"/>
          </w:divBdr>
        </w:div>
        <w:div w:id="239676089">
          <w:marLeft w:val="720"/>
          <w:marRight w:val="0"/>
          <w:marTop w:val="67"/>
          <w:marBottom w:val="0"/>
          <w:divBdr>
            <w:top w:val="none" w:sz="0" w:space="0" w:color="auto"/>
            <w:left w:val="none" w:sz="0" w:space="0" w:color="auto"/>
            <w:bottom w:val="none" w:sz="0" w:space="0" w:color="auto"/>
            <w:right w:val="none" w:sz="0" w:space="0" w:color="auto"/>
          </w:divBdr>
        </w:div>
        <w:div w:id="472676261">
          <w:marLeft w:val="720"/>
          <w:marRight w:val="0"/>
          <w:marTop w:val="67"/>
          <w:marBottom w:val="0"/>
          <w:divBdr>
            <w:top w:val="none" w:sz="0" w:space="0" w:color="auto"/>
            <w:left w:val="none" w:sz="0" w:space="0" w:color="auto"/>
            <w:bottom w:val="none" w:sz="0" w:space="0" w:color="auto"/>
            <w:right w:val="none" w:sz="0" w:space="0" w:color="auto"/>
          </w:divBdr>
        </w:div>
        <w:div w:id="1152137517">
          <w:marLeft w:val="720"/>
          <w:marRight w:val="0"/>
          <w:marTop w:val="67"/>
          <w:marBottom w:val="0"/>
          <w:divBdr>
            <w:top w:val="none" w:sz="0" w:space="0" w:color="auto"/>
            <w:left w:val="none" w:sz="0" w:space="0" w:color="auto"/>
            <w:bottom w:val="none" w:sz="0" w:space="0" w:color="auto"/>
            <w:right w:val="none" w:sz="0" w:space="0" w:color="auto"/>
          </w:divBdr>
        </w:div>
        <w:div w:id="545415180">
          <w:marLeft w:val="720"/>
          <w:marRight w:val="0"/>
          <w:marTop w:val="67"/>
          <w:marBottom w:val="0"/>
          <w:divBdr>
            <w:top w:val="none" w:sz="0" w:space="0" w:color="auto"/>
            <w:left w:val="none" w:sz="0" w:space="0" w:color="auto"/>
            <w:bottom w:val="none" w:sz="0" w:space="0" w:color="auto"/>
            <w:right w:val="none" w:sz="0" w:space="0" w:color="auto"/>
          </w:divBdr>
        </w:div>
        <w:div w:id="1605192134">
          <w:marLeft w:val="720"/>
          <w:marRight w:val="0"/>
          <w:marTop w:val="67"/>
          <w:marBottom w:val="0"/>
          <w:divBdr>
            <w:top w:val="none" w:sz="0" w:space="0" w:color="auto"/>
            <w:left w:val="none" w:sz="0" w:space="0" w:color="auto"/>
            <w:bottom w:val="none" w:sz="0" w:space="0" w:color="auto"/>
            <w:right w:val="none" w:sz="0" w:space="0" w:color="auto"/>
          </w:divBdr>
        </w:div>
        <w:div w:id="1966160856">
          <w:marLeft w:val="288"/>
          <w:marRight w:val="0"/>
          <w:marTop w:val="86"/>
          <w:marBottom w:val="0"/>
          <w:divBdr>
            <w:top w:val="none" w:sz="0" w:space="0" w:color="auto"/>
            <w:left w:val="none" w:sz="0" w:space="0" w:color="auto"/>
            <w:bottom w:val="none" w:sz="0" w:space="0" w:color="auto"/>
            <w:right w:val="none" w:sz="0" w:space="0" w:color="auto"/>
          </w:divBdr>
        </w:div>
        <w:div w:id="1870757070">
          <w:marLeft w:val="720"/>
          <w:marRight w:val="0"/>
          <w:marTop w:val="67"/>
          <w:marBottom w:val="0"/>
          <w:divBdr>
            <w:top w:val="none" w:sz="0" w:space="0" w:color="auto"/>
            <w:left w:val="none" w:sz="0" w:space="0" w:color="auto"/>
            <w:bottom w:val="none" w:sz="0" w:space="0" w:color="auto"/>
            <w:right w:val="none" w:sz="0" w:space="0" w:color="auto"/>
          </w:divBdr>
        </w:div>
        <w:div w:id="971599210">
          <w:marLeft w:val="720"/>
          <w:marRight w:val="0"/>
          <w:marTop w:val="67"/>
          <w:marBottom w:val="0"/>
          <w:divBdr>
            <w:top w:val="none" w:sz="0" w:space="0" w:color="auto"/>
            <w:left w:val="none" w:sz="0" w:space="0" w:color="auto"/>
            <w:bottom w:val="none" w:sz="0" w:space="0" w:color="auto"/>
            <w:right w:val="none" w:sz="0" w:space="0" w:color="auto"/>
          </w:divBdr>
        </w:div>
        <w:div w:id="2074233538">
          <w:marLeft w:val="720"/>
          <w:marRight w:val="0"/>
          <w:marTop w:val="67"/>
          <w:marBottom w:val="0"/>
          <w:divBdr>
            <w:top w:val="none" w:sz="0" w:space="0" w:color="auto"/>
            <w:left w:val="none" w:sz="0" w:space="0" w:color="auto"/>
            <w:bottom w:val="none" w:sz="0" w:space="0" w:color="auto"/>
            <w:right w:val="none" w:sz="0" w:space="0" w:color="auto"/>
          </w:divBdr>
        </w:div>
        <w:div w:id="1452088687">
          <w:marLeft w:val="720"/>
          <w:marRight w:val="0"/>
          <w:marTop w:val="67"/>
          <w:marBottom w:val="0"/>
          <w:divBdr>
            <w:top w:val="none" w:sz="0" w:space="0" w:color="auto"/>
            <w:left w:val="none" w:sz="0" w:space="0" w:color="auto"/>
            <w:bottom w:val="none" w:sz="0" w:space="0" w:color="auto"/>
            <w:right w:val="none" w:sz="0" w:space="0" w:color="auto"/>
          </w:divBdr>
        </w:div>
        <w:div w:id="948658482">
          <w:marLeft w:val="720"/>
          <w:marRight w:val="0"/>
          <w:marTop w:val="67"/>
          <w:marBottom w:val="0"/>
          <w:divBdr>
            <w:top w:val="none" w:sz="0" w:space="0" w:color="auto"/>
            <w:left w:val="none" w:sz="0" w:space="0" w:color="auto"/>
            <w:bottom w:val="none" w:sz="0" w:space="0" w:color="auto"/>
            <w:right w:val="none" w:sz="0" w:space="0" w:color="auto"/>
          </w:divBdr>
        </w:div>
        <w:div w:id="1724402690">
          <w:marLeft w:val="288"/>
          <w:marRight w:val="0"/>
          <w:marTop w:val="86"/>
          <w:marBottom w:val="0"/>
          <w:divBdr>
            <w:top w:val="none" w:sz="0" w:space="0" w:color="auto"/>
            <w:left w:val="none" w:sz="0" w:space="0" w:color="auto"/>
            <w:bottom w:val="none" w:sz="0" w:space="0" w:color="auto"/>
            <w:right w:val="none" w:sz="0" w:space="0" w:color="auto"/>
          </w:divBdr>
        </w:div>
        <w:div w:id="257717030">
          <w:marLeft w:val="720"/>
          <w:marRight w:val="0"/>
          <w:marTop w:val="67"/>
          <w:marBottom w:val="0"/>
          <w:divBdr>
            <w:top w:val="none" w:sz="0" w:space="0" w:color="auto"/>
            <w:left w:val="none" w:sz="0" w:space="0" w:color="auto"/>
            <w:bottom w:val="none" w:sz="0" w:space="0" w:color="auto"/>
            <w:right w:val="none" w:sz="0" w:space="0" w:color="auto"/>
          </w:divBdr>
        </w:div>
        <w:div w:id="1004939631">
          <w:marLeft w:val="720"/>
          <w:marRight w:val="0"/>
          <w:marTop w:val="67"/>
          <w:marBottom w:val="0"/>
          <w:divBdr>
            <w:top w:val="none" w:sz="0" w:space="0" w:color="auto"/>
            <w:left w:val="none" w:sz="0" w:space="0" w:color="auto"/>
            <w:bottom w:val="none" w:sz="0" w:space="0" w:color="auto"/>
            <w:right w:val="none" w:sz="0" w:space="0" w:color="auto"/>
          </w:divBdr>
        </w:div>
        <w:div w:id="138377212">
          <w:marLeft w:val="720"/>
          <w:marRight w:val="0"/>
          <w:marTop w:val="67"/>
          <w:marBottom w:val="0"/>
          <w:divBdr>
            <w:top w:val="none" w:sz="0" w:space="0" w:color="auto"/>
            <w:left w:val="none" w:sz="0" w:space="0" w:color="auto"/>
            <w:bottom w:val="none" w:sz="0" w:space="0" w:color="auto"/>
            <w:right w:val="none" w:sz="0" w:space="0" w:color="auto"/>
          </w:divBdr>
        </w:div>
        <w:div w:id="1091313330">
          <w:marLeft w:val="720"/>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077EE-4B6A-4F0A-9638-CDF097DE9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13333</Words>
  <Characters>75142</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2017-10-19T01:11:00Z</dcterms:created>
  <dcterms:modified xsi:type="dcterms:W3CDTF">2017-10-19T01:25:00Z</dcterms:modified>
</cp:coreProperties>
</file>