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E7020" w:rsidRDefault="00CB0E77" w:rsidP="00CD33B2">
      <w:pPr>
        <w:pStyle w:val="Title"/>
        <w:ind w:left="720" w:hanging="720"/>
        <w:rPr>
          <w:rFonts w:asciiTheme="minorHAnsi" w:hAnsiTheme="minorHAnsi"/>
          <w:sz w:val="36"/>
          <w:szCs w:val="36"/>
        </w:rPr>
      </w:pPr>
      <w:r w:rsidRPr="002E7020">
        <w:rPr>
          <w:rFonts w:asciiTheme="minorHAnsi" w:hAnsiTheme="minorHAnsi"/>
          <w:sz w:val="36"/>
          <w:szCs w:val="36"/>
        </w:rPr>
        <w:t>5.15</w:t>
      </w:r>
      <w:r w:rsidR="007C0F57" w:rsidRPr="002E7020">
        <w:rPr>
          <w:rFonts w:asciiTheme="minorHAnsi" w:hAnsiTheme="minorHAnsi"/>
          <w:sz w:val="36"/>
          <w:szCs w:val="36"/>
        </w:rPr>
        <w:tab/>
      </w:r>
      <w:r w:rsidRPr="002E7020">
        <w:rPr>
          <w:rFonts w:asciiTheme="minorHAnsi" w:hAnsiTheme="minorHAnsi"/>
          <w:sz w:val="36"/>
          <w:szCs w:val="36"/>
        </w:rPr>
        <w:t>ABIRATERONE</w:t>
      </w:r>
      <w:r w:rsidR="008A50F1" w:rsidRPr="002E7020">
        <w:rPr>
          <w:rFonts w:asciiTheme="minorHAnsi" w:hAnsiTheme="minorHAnsi"/>
          <w:sz w:val="36"/>
          <w:szCs w:val="36"/>
        </w:rPr>
        <w:t xml:space="preserve"> </w:t>
      </w:r>
      <w:r w:rsidR="008A50F1" w:rsidRPr="002E7020">
        <w:rPr>
          <w:rFonts w:asciiTheme="minorHAnsi" w:hAnsiTheme="minorHAnsi"/>
          <w:sz w:val="36"/>
          <w:szCs w:val="36"/>
        </w:rPr>
        <w:br/>
      </w:r>
      <w:r w:rsidR="005C1A14" w:rsidRPr="002E7020">
        <w:rPr>
          <w:rFonts w:asciiTheme="minorHAnsi" w:hAnsiTheme="minorHAnsi"/>
          <w:sz w:val="36"/>
          <w:szCs w:val="36"/>
        </w:rPr>
        <w:t>500</w:t>
      </w:r>
      <w:r w:rsidRPr="002E7020">
        <w:rPr>
          <w:rFonts w:asciiTheme="minorHAnsi" w:hAnsiTheme="minorHAnsi"/>
          <w:sz w:val="36"/>
          <w:szCs w:val="36"/>
        </w:rPr>
        <w:t xml:space="preserve"> mg tablet,</w:t>
      </w:r>
      <w:r w:rsidR="008A50F1" w:rsidRPr="002E7020">
        <w:rPr>
          <w:rFonts w:asciiTheme="minorHAnsi" w:hAnsiTheme="minorHAnsi"/>
          <w:sz w:val="36"/>
          <w:szCs w:val="36"/>
        </w:rPr>
        <w:t xml:space="preserve"> </w:t>
      </w:r>
      <w:r w:rsidR="008A50F1" w:rsidRPr="002E7020">
        <w:rPr>
          <w:rFonts w:asciiTheme="minorHAnsi" w:hAnsiTheme="minorHAnsi"/>
          <w:sz w:val="36"/>
          <w:szCs w:val="36"/>
        </w:rPr>
        <w:br/>
      </w:r>
      <w:r w:rsidRPr="002E7020">
        <w:rPr>
          <w:rFonts w:asciiTheme="minorHAnsi" w:hAnsiTheme="minorHAnsi"/>
          <w:sz w:val="36"/>
          <w:szCs w:val="36"/>
        </w:rPr>
        <w:t xml:space="preserve">ZYTIGA </w:t>
      </w:r>
      <w:r w:rsidR="0004240E" w:rsidRPr="002E7020">
        <w:rPr>
          <w:rFonts w:asciiTheme="minorHAnsi" w:hAnsiTheme="minorHAnsi"/>
          <w:sz w:val="36"/>
          <w:szCs w:val="36"/>
          <w:vertAlign w:val="superscript"/>
        </w:rPr>
        <w:t>®</w:t>
      </w:r>
      <w:r w:rsidRPr="002E7020">
        <w:rPr>
          <w:rFonts w:asciiTheme="minorHAnsi" w:hAnsiTheme="minorHAnsi"/>
          <w:sz w:val="36"/>
          <w:szCs w:val="36"/>
        </w:rPr>
        <w:t>, Janssen-Cilag Pty Ltd</w:t>
      </w:r>
      <w:bookmarkStart w:id="0" w:name="_GoBack"/>
      <w:bookmarkEnd w:id="0"/>
    </w:p>
    <w:p w:rsidR="00E15627" w:rsidRPr="002E7020" w:rsidRDefault="00CE10C4" w:rsidP="002E7020">
      <w:pPr>
        <w:pStyle w:val="PBACHeading1"/>
      </w:pPr>
      <w:r w:rsidRPr="002E7020">
        <w:t xml:space="preserve">Purpose of </w:t>
      </w:r>
      <w:r w:rsidR="0004240E" w:rsidRPr="002E7020">
        <w:t>Application</w:t>
      </w:r>
    </w:p>
    <w:p w:rsidR="00EF44A0" w:rsidRPr="00FB7045" w:rsidRDefault="00EF44A0"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 mi</w:t>
      </w:r>
      <w:r w:rsidR="00FF2801" w:rsidRPr="00FB7045">
        <w:rPr>
          <w:rFonts w:asciiTheme="minorHAnsi" w:hAnsiTheme="minorHAnsi"/>
          <w:sz w:val="24"/>
          <w:szCs w:val="24"/>
        </w:rPr>
        <w:t>nor submission sought to</w:t>
      </w:r>
      <w:r w:rsidR="005C1A14" w:rsidRPr="00FB7045">
        <w:rPr>
          <w:rFonts w:asciiTheme="minorHAnsi" w:hAnsiTheme="minorHAnsi"/>
          <w:sz w:val="24"/>
          <w:szCs w:val="24"/>
        </w:rPr>
        <w:t xml:space="preserve"> request </w:t>
      </w:r>
      <w:r w:rsidR="00E54C3C" w:rsidRPr="00FB7045">
        <w:rPr>
          <w:rFonts w:asciiTheme="minorHAnsi" w:hAnsiTheme="minorHAnsi"/>
          <w:sz w:val="24"/>
          <w:szCs w:val="24"/>
        </w:rPr>
        <w:t>the</w:t>
      </w:r>
      <w:r w:rsidR="005C1A14" w:rsidRPr="00FB7045">
        <w:rPr>
          <w:rFonts w:asciiTheme="minorHAnsi" w:hAnsiTheme="minorHAnsi"/>
          <w:sz w:val="24"/>
          <w:szCs w:val="24"/>
        </w:rPr>
        <w:t xml:space="preserve"> listing of </w:t>
      </w:r>
      <w:r w:rsidR="00D37F73" w:rsidRPr="00FB7045">
        <w:rPr>
          <w:rFonts w:asciiTheme="minorHAnsi" w:hAnsiTheme="minorHAnsi"/>
          <w:sz w:val="24"/>
          <w:szCs w:val="24"/>
        </w:rPr>
        <w:t>an additional strength</w:t>
      </w:r>
      <w:r w:rsidR="00B911E3" w:rsidRPr="00FB7045">
        <w:rPr>
          <w:rFonts w:asciiTheme="minorHAnsi" w:hAnsiTheme="minorHAnsi"/>
          <w:sz w:val="24"/>
          <w:szCs w:val="24"/>
        </w:rPr>
        <w:t>, 500</w:t>
      </w:r>
      <w:r w:rsidR="00D37F73" w:rsidRPr="00FB7045">
        <w:rPr>
          <w:rFonts w:asciiTheme="minorHAnsi" w:hAnsiTheme="minorHAnsi"/>
          <w:sz w:val="24"/>
          <w:szCs w:val="24"/>
        </w:rPr>
        <w:t xml:space="preserve"> </w:t>
      </w:r>
      <w:r w:rsidR="005C1A14" w:rsidRPr="00FB7045">
        <w:rPr>
          <w:rFonts w:asciiTheme="minorHAnsi" w:hAnsiTheme="minorHAnsi"/>
          <w:sz w:val="24"/>
          <w:szCs w:val="24"/>
        </w:rPr>
        <w:t xml:space="preserve">mg </w:t>
      </w:r>
      <w:r w:rsidR="00D37F73" w:rsidRPr="00FB7045">
        <w:rPr>
          <w:rFonts w:asciiTheme="minorHAnsi" w:hAnsiTheme="minorHAnsi"/>
          <w:sz w:val="24"/>
          <w:szCs w:val="24"/>
        </w:rPr>
        <w:t xml:space="preserve">abiraterone </w:t>
      </w:r>
      <w:r w:rsidR="005C1A14" w:rsidRPr="00FB7045">
        <w:rPr>
          <w:rFonts w:asciiTheme="minorHAnsi" w:hAnsiTheme="minorHAnsi"/>
          <w:sz w:val="24"/>
          <w:szCs w:val="24"/>
        </w:rPr>
        <w:t xml:space="preserve">tablet for use in combination with </w:t>
      </w:r>
      <w:r w:rsidR="00E54C3C" w:rsidRPr="00FB7045">
        <w:rPr>
          <w:rFonts w:asciiTheme="minorHAnsi" w:hAnsiTheme="minorHAnsi"/>
          <w:sz w:val="24"/>
          <w:szCs w:val="24"/>
        </w:rPr>
        <w:t>a corticosteroid</w:t>
      </w:r>
      <w:r w:rsidR="005C1A14" w:rsidRPr="00FB7045">
        <w:rPr>
          <w:rFonts w:asciiTheme="minorHAnsi" w:hAnsiTheme="minorHAnsi"/>
          <w:sz w:val="24"/>
          <w:szCs w:val="24"/>
        </w:rPr>
        <w:t xml:space="preserve"> for the treatment of metastatic castration</w:t>
      </w:r>
      <w:r w:rsidR="00EB6429" w:rsidRPr="00FB7045">
        <w:rPr>
          <w:rFonts w:asciiTheme="minorHAnsi" w:hAnsiTheme="minorHAnsi"/>
          <w:sz w:val="24"/>
          <w:szCs w:val="24"/>
        </w:rPr>
        <w:t xml:space="preserve"> </w:t>
      </w:r>
      <w:r w:rsidR="005C1A14" w:rsidRPr="00FB7045">
        <w:rPr>
          <w:rFonts w:asciiTheme="minorHAnsi" w:hAnsiTheme="minorHAnsi"/>
          <w:sz w:val="24"/>
          <w:szCs w:val="24"/>
        </w:rPr>
        <w:t>resistant</w:t>
      </w:r>
      <w:r w:rsidR="00D37F73" w:rsidRPr="00FB7045">
        <w:rPr>
          <w:rFonts w:asciiTheme="minorHAnsi" w:hAnsiTheme="minorHAnsi"/>
          <w:sz w:val="24"/>
          <w:szCs w:val="24"/>
        </w:rPr>
        <w:t xml:space="preserve"> carcinoma of the</w:t>
      </w:r>
      <w:r w:rsidR="005C1A14" w:rsidRPr="00FB7045">
        <w:rPr>
          <w:rFonts w:asciiTheme="minorHAnsi" w:hAnsiTheme="minorHAnsi"/>
          <w:sz w:val="24"/>
          <w:szCs w:val="24"/>
        </w:rPr>
        <w:t xml:space="preserve"> prostate</w:t>
      </w:r>
      <w:r w:rsidR="00D37F73" w:rsidRPr="00FB7045">
        <w:rPr>
          <w:rFonts w:asciiTheme="minorHAnsi" w:hAnsiTheme="minorHAnsi"/>
          <w:sz w:val="24"/>
          <w:szCs w:val="24"/>
        </w:rPr>
        <w:t>.</w:t>
      </w:r>
    </w:p>
    <w:p w:rsidR="00962223" w:rsidRPr="00FB7045" w:rsidRDefault="006A12A5" w:rsidP="002E7020">
      <w:pPr>
        <w:pStyle w:val="PBACHeading1"/>
      </w:pPr>
      <w:r w:rsidRPr="00FB7045">
        <w:t>Requested listing</w:t>
      </w:r>
    </w:p>
    <w:p w:rsidR="005C1A14" w:rsidRPr="00FB7045" w:rsidRDefault="005C1A14"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submission sought to list the 500 mg tablets on the PBS under Section 85 General Schedule as per the current listing for </w:t>
      </w:r>
      <w:r w:rsidR="00BE6B35" w:rsidRPr="00FB7045">
        <w:rPr>
          <w:rFonts w:asciiTheme="minorHAnsi" w:hAnsiTheme="minorHAnsi"/>
          <w:sz w:val="24"/>
          <w:szCs w:val="24"/>
        </w:rPr>
        <w:t>a</w:t>
      </w:r>
      <w:r w:rsidRPr="00FB7045">
        <w:rPr>
          <w:rFonts w:asciiTheme="minorHAnsi" w:hAnsiTheme="minorHAnsi"/>
          <w:sz w:val="24"/>
          <w:szCs w:val="24"/>
        </w:rPr>
        <w:t>biraterone 250mg.</w:t>
      </w:r>
    </w:p>
    <w:p w:rsidR="00F418D8" w:rsidRPr="00FB7045" w:rsidRDefault="00F418D8"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No changes to the wording of the current a</w:t>
      </w:r>
      <w:r w:rsidR="00714238" w:rsidRPr="00FB7045">
        <w:rPr>
          <w:rFonts w:asciiTheme="minorHAnsi" w:hAnsiTheme="minorHAnsi"/>
          <w:sz w:val="24"/>
          <w:szCs w:val="24"/>
        </w:rPr>
        <w:t>bira</w:t>
      </w:r>
      <w:r w:rsidRPr="00FB7045">
        <w:rPr>
          <w:rFonts w:asciiTheme="minorHAnsi" w:hAnsiTheme="minorHAnsi"/>
          <w:sz w:val="24"/>
          <w:szCs w:val="24"/>
        </w:rPr>
        <w:t>terone restriction</w:t>
      </w:r>
      <w:r w:rsidR="00174200" w:rsidRPr="00FB7045">
        <w:rPr>
          <w:rFonts w:asciiTheme="minorHAnsi" w:hAnsiTheme="minorHAnsi"/>
          <w:sz w:val="24"/>
          <w:szCs w:val="24"/>
        </w:rPr>
        <w:t xml:space="preserve"> </w:t>
      </w:r>
      <w:r w:rsidR="00CD33B2">
        <w:rPr>
          <w:rFonts w:asciiTheme="minorHAnsi" w:hAnsiTheme="minorHAnsi"/>
          <w:sz w:val="24"/>
          <w:szCs w:val="24"/>
        </w:rPr>
        <w:t>were</w:t>
      </w:r>
      <w:r w:rsidRPr="00FB7045">
        <w:rPr>
          <w:rFonts w:asciiTheme="minorHAnsi" w:hAnsiTheme="minorHAnsi"/>
          <w:sz w:val="24"/>
          <w:szCs w:val="24"/>
        </w:rPr>
        <w:t xml:space="preserve"> proposed.</w:t>
      </w:r>
    </w:p>
    <w:p w:rsidR="00CE10C4" w:rsidRPr="00FB7045" w:rsidRDefault="00CE10C4" w:rsidP="002E7020">
      <w:pPr>
        <w:pStyle w:val="PBACHeading1"/>
      </w:pPr>
      <w:r w:rsidRPr="00FB7045">
        <w:t>Background</w:t>
      </w:r>
    </w:p>
    <w:p w:rsidR="002B1AE6" w:rsidRPr="00FB7045" w:rsidRDefault="003F29B0"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Abiraterone</w:t>
      </w:r>
      <w:r w:rsidR="00476245" w:rsidRPr="00FB7045">
        <w:rPr>
          <w:rFonts w:asciiTheme="minorHAnsi" w:hAnsiTheme="minorHAnsi"/>
          <w:sz w:val="24"/>
          <w:szCs w:val="24"/>
        </w:rPr>
        <w:t xml:space="preserve"> is TGA registered for</w:t>
      </w:r>
      <w:r w:rsidRPr="00FB7045">
        <w:rPr>
          <w:rFonts w:asciiTheme="minorHAnsi" w:hAnsiTheme="minorHAnsi"/>
          <w:sz w:val="24"/>
          <w:szCs w:val="24"/>
        </w:rPr>
        <w:t xml:space="preserve"> </w:t>
      </w:r>
      <w:r w:rsidR="00B67D64" w:rsidRPr="00FB7045">
        <w:rPr>
          <w:rFonts w:asciiTheme="minorHAnsi" w:hAnsiTheme="minorHAnsi"/>
          <w:sz w:val="24"/>
          <w:szCs w:val="24"/>
        </w:rPr>
        <w:t xml:space="preserve">the treatment of patients with metastatic advanced prostate cancer </w:t>
      </w:r>
      <w:r w:rsidR="00620D30" w:rsidRPr="00FB7045">
        <w:rPr>
          <w:rFonts w:asciiTheme="minorHAnsi" w:hAnsiTheme="minorHAnsi"/>
          <w:sz w:val="24"/>
          <w:szCs w:val="24"/>
        </w:rPr>
        <w:t>in combination with prednisone or prednisolone.</w:t>
      </w:r>
      <w:r w:rsidR="002B1AE6" w:rsidRPr="00FB7045">
        <w:rPr>
          <w:rFonts w:asciiTheme="minorHAnsi" w:hAnsiTheme="minorHAnsi"/>
          <w:sz w:val="24"/>
          <w:szCs w:val="24"/>
        </w:rPr>
        <w:t xml:space="preserve"> </w:t>
      </w:r>
    </w:p>
    <w:p w:rsidR="00B67D64" w:rsidRPr="00FB7045" w:rsidRDefault="00B67D64"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Abiraterone 500 mg tablet was TGA registered on 17 February 2017. </w:t>
      </w:r>
    </w:p>
    <w:p w:rsidR="00E54C3C" w:rsidRPr="00FB7045" w:rsidRDefault="00E54C3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At its March 2017 meeting, the PBAC recommended </w:t>
      </w:r>
      <w:r w:rsidR="00627405" w:rsidRPr="00FB7045">
        <w:rPr>
          <w:rFonts w:asciiTheme="minorHAnsi" w:hAnsiTheme="minorHAnsi"/>
          <w:sz w:val="24"/>
          <w:szCs w:val="24"/>
        </w:rPr>
        <w:t xml:space="preserve">amending the PBS Authority Required listing for abiraterone to enable treatment in combination with steroids other than prednisone or prenisolone. </w:t>
      </w:r>
    </w:p>
    <w:p w:rsidR="00835880" w:rsidRPr="00FB7045" w:rsidRDefault="000E17D9" w:rsidP="002E7020">
      <w:pPr>
        <w:pStyle w:val="PBACHeading1"/>
      </w:pPr>
      <w:r w:rsidRPr="00FB7045">
        <w:t xml:space="preserve">Current situation </w:t>
      </w:r>
    </w:p>
    <w:p w:rsidR="007553F1" w:rsidRPr="00FB7045" w:rsidRDefault="007553F1"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submission claimed that the </w:t>
      </w:r>
      <w:r w:rsidR="000E17D9" w:rsidRPr="00FB7045">
        <w:rPr>
          <w:rFonts w:asciiTheme="minorHAnsi" w:hAnsiTheme="minorHAnsi"/>
          <w:sz w:val="24"/>
          <w:szCs w:val="24"/>
        </w:rPr>
        <w:t xml:space="preserve">listing </w:t>
      </w:r>
      <w:r w:rsidRPr="00FB7045">
        <w:rPr>
          <w:rFonts w:asciiTheme="minorHAnsi" w:hAnsiTheme="minorHAnsi"/>
          <w:sz w:val="24"/>
          <w:szCs w:val="24"/>
        </w:rPr>
        <w:t xml:space="preserve">of </w:t>
      </w:r>
      <w:r w:rsidR="000E17D9" w:rsidRPr="00FB7045">
        <w:rPr>
          <w:rFonts w:asciiTheme="minorHAnsi" w:hAnsiTheme="minorHAnsi"/>
          <w:sz w:val="24"/>
          <w:szCs w:val="24"/>
        </w:rPr>
        <w:t xml:space="preserve">the </w:t>
      </w:r>
      <w:r w:rsidRPr="00FB7045">
        <w:rPr>
          <w:rFonts w:asciiTheme="minorHAnsi" w:hAnsiTheme="minorHAnsi"/>
          <w:sz w:val="24"/>
          <w:szCs w:val="24"/>
        </w:rPr>
        <w:t xml:space="preserve">500 mg tablet </w:t>
      </w:r>
      <w:r w:rsidR="000E17D9" w:rsidRPr="00FB7045">
        <w:rPr>
          <w:rFonts w:asciiTheme="minorHAnsi" w:hAnsiTheme="minorHAnsi"/>
          <w:sz w:val="24"/>
          <w:szCs w:val="24"/>
        </w:rPr>
        <w:t xml:space="preserve">with a </w:t>
      </w:r>
      <w:r w:rsidR="007E4074" w:rsidRPr="00FB7045">
        <w:rPr>
          <w:rFonts w:asciiTheme="minorHAnsi" w:hAnsiTheme="minorHAnsi"/>
          <w:sz w:val="24"/>
          <w:szCs w:val="24"/>
        </w:rPr>
        <w:t xml:space="preserve">2 x 500mg tablet once-daily </w:t>
      </w:r>
      <w:r w:rsidR="000E17D9" w:rsidRPr="00FB7045">
        <w:rPr>
          <w:rFonts w:asciiTheme="minorHAnsi" w:hAnsiTheme="minorHAnsi"/>
          <w:sz w:val="24"/>
          <w:szCs w:val="24"/>
        </w:rPr>
        <w:t>dosing regimen is intended to</w:t>
      </w:r>
      <w:r w:rsidRPr="00FB7045">
        <w:rPr>
          <w:rFonts w:asciiTheme="minorHAnsi" w:hAnsiTheme="minorHAnsi"/>
          <w:sz w:val="24"/>
          <w:szCs w:val="24"/>
        </w:rPr>
        <w:t xml:space="preserve"> replace the current</w:t>
      </w:r>
      <w:r w:rsidR="000E17D9" w:rsidRPr="00FB7045">
        <w:rPr>
          <w:rFonts w:asciiTheme="minorHAnsi" w:hAnsiTheme="minorHAnsi"/>
          <w:sz w:val="24"/>
          <w:szCs w:val="24"/>
        </w:rPr>
        <w:t xml:space="preserve"> listing of</w:t>
      </w:r>
      <w:r w:rsidRPr="00FB7045">
        <w:rPr>
          <w:rFonts w:asciiTheme="minorHAnsi" w:hAnsiTheme="minorHAnsi"/>
          <w:sz w:val="24"/>
          <w:szCs w:val="24"/>
        </w:rPr>
        <w:t xml:space="preserve"> </w:t>
      </w:r>
      <w:r w:rsidR="000E17D9" w:rsidRPr="00FB7045">
        <w:rPr>
          <w:rFonts w:asciiTheme="minorHAnsi" w:hAnsiTheme="minorHAnsi"/>
          <w:sz w:val="24"/>
          <w:szCs w:val="24"/>
        </w:rPr>
        <w:t xml:space="preserve">abiraterone 250 mg tablets with a </w:t>
      </w:r>
      <w:r w:rsidR="007E4074" w:rsidRPr="00FB7045">
        <w:rPr>
          <w:rFonts w:asciiTheme="minorHAnsi" w:hAnsiTheme="minorHAnsi"/>
          <w:sz w:val="24"/>
          <w:szCs w:val="24"/>
        </w:rPr>
        <w:t xml:space="preserve">4 x 250 mg tablet once-daily </w:t>
      </w:r>
      <w:r w:rsidR="000E17D9" w:rsidRPr="00FB7045">
        <w:rPr>
          <w:rFonts w:asciiTheme="minorHAnsi" w:hAnsiTheme="minorHAnsi"/>
          <w:sz w:val="24"/>
          <w:szCs w:val="24"/>
        </w:rPr>
        <w:t xml:space="preserve">dosing regimen. The sponsor claimed that the 500 mg tablets would </w:t>
      </w:r>
      <w:r w:rsidRPr="00FB7045">
        <w:rPr>
          <w:rFonts w:asciiTheme="minorHAnsi" w:hAnsiTheme="minorHAnsi"/>
          <w:sz w:val="24"/>
          <w:szCs w:val="24"/>
        </w:rPr>
        <w:t xml:space="preserve">reduce the patient pill burden and may improve compliance for a group of patients with multiple comorbidities who receive multiple treatments. </w:t>
      </w:r>
      <w:r w:rsidR="000E17D9" w:rsidRPr="00FB7045">
        <w:rPr>
          <w:rFonts w:asciiTheme="minorHAnsi" w:hAnsiTheme="minorHAnsi"/>
          <w:sz w:val="24"/>
          <w:szCs w:val="24"/>
        </w:rPr>
        <w:t>The sponsor claime</w:t>
      </w:r>
      <w:r w:rsidR="00000C5A" w:rsidRPr="00FB7045">
        <w:rPr>
          <w:rFonts w:asciiTheme="minorHAnsi" w:hAnsiTheme="minorHAnsi"/>
          <w:sz w:val="24"/>
          <w:szCs w:val="24"/>
        </w:rPr>
        <w:t xml:space="preserve">d that </w:t>
      </w:r>
      <w:r w:rsidRPr="00FB7045">
        <w:rPr>
          <w:rFonts w:asciiTheme="minorHAnsi" w:hAnsiTheme="minorHAnsi"/>
          <w:sz w:val="24"/>
          <w:szCs w:val="24"/>
        </w:rPr>
        <w:t>the improved film-coated formulation</w:t>
      </w:r>
      <w:r w:rsidR="00913D21" w:rsidRPr="00FB7045">
        <w:rPr>
          <w:rFonts w:asciiTheme="minorHAnsi" w:hAnsiTheme="minorHAnsi"/>
          <w:sz w:val="24"/>
          <w:szCs w:val="24"/>
        </w:rPr>
        <w:t xml:space="preserve"> of the 500 mg tablets</w:t>
      </w:r>
      <w:r w:rsidRPr="00FB7045">
        <w:rPr>
          <w:rFonts w:asciiTheme="minorHAnsi" w:hAnsiTheme="minorHAnsi"/>
          <w:sz w:val="24"/>
          <w:szCs w:val="24"/>
        </w:rPr>
        <w:t xml:space="preserve"> may aid swallowing for patients who are older and may have difficulty swallowing, while masking the undesirable taste of the tablet</w:t>
      </w:r>
      <w:r w:rsidR="00913D21" w:rsidRPr="00FB7045">
        <w:rPr>
          <w:rFonts w:asciiTheme="minorHAnsi" w:hAnsiTheme="minorHAnsi"/>
          <w:sz w:val="24"/>
          <w:szCs w:val="24"/>
        </w:rPr>
        <w:t xml:space="preserve">. </w:t>
      </w:r>
    </w:p>
    <w:p w:rsidR="00703895" w:rsidRPr="00FB7045" w:rsidRDefault="00703895"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sponsor stated that the 250mg tablet listings would be maintained for a period of time to ensure continuity of supply while patients transition to the new 500 mg form.  </w:t>
      </w:r>
    </w:p>
    <w:p w:rsidR="003D3E05" w:rsidRPr="00FB7045" w:rsidRDefault="003D3E05" w:rsidP="00CD33B2">
      <w:pPr>
        <w:pStyle w:val="ListParagraph"/>
        <w:widowControl/>
        <w:rPr>
          <w:rFonts w:asciiTheme="minorHAnsi" w:hAnsiTheme="minorHAnsi"/>
          <w:sz w:val="24"/>
          <w:szCs w:val="24"/>
        </w:rPr>
      </w:pPr>
      <w:r w:rsidRPr="00FB7045">
        <w:rPr>
          <w:rFonts w:asciiTheme="minorHAnsi" w:hAnsiTheme="minorHAnsi"/>
          <w:i/>
          <w:sz w:val="24"/>
          <w:szCs w:val="24"/>
        </w:rPr>
        <w:t xml:space="preserve">For more detail on PBAC’s view, see section </w:t>
      </w:r>
      <w:r w:rsidR="00B456AB">
        <w:rPr>
          <w:rFonts w:asciiTheme="minorHAnsi" w:hAnsiTheme="minorHAnsi"/>
          <w:i/>
          <w:sz w:val="24"/>
          <w:szCs w:val="24"/>
        </w:rPr>
        <w:t>6</w:t>
      </w:r>
      <w:r w:rsidRPr="00FB7045">
        <w:rPr>
          <w:rFonts w:asciiTheme="minorHAnsi" w:hAnsiTheme="minorHAnsi"/>
          <w:i/>
          <w:sz w:val="24"/>
          <w:szCs w:val="24"/>
        </w:rPr>
        <w:t xml:space="preserve"> “PBAC outcome.”</w:t>
      </w:r>
    </w:p>
    <w:p w:rsidR="00835880" w:rsidRPr="00FB7045" w:rsidRDefault="00835880" w:rsidP="002E7020">
      <w:pPr>
        <w:pStyle w:val="PBACHeading1"/>
      </w:pPr>
      <w:r w:rsidRPr="00FB7045">
        <w:lastRenderedPageBreak/>
        <w:t>Consideration of the evidence</w:t>
      </w:r>
    </w:p>
    <w:p w:rsidR="003D3E05" w:rsidRPr="00FB7045" w:rsidRDefault="003D3E05" w:rsidP="00CD33B2">
      <w:pPr>
        <w:pStyle w:val="Heading2"/>
        <w:spacing w:after="120"/>
        <w:rPr>
          <w:rFonts w:asciiTheme="minorHAnsi" w:hAnsiTheme="minorHAnsi"/>
          <w:sz w:val="28"/>
        </w:rPr>
      </w:pPr>
      <w:r w:rsidRPr="00FB7045">
        <w:rPr>
          <w:rFonts w:asciiTheme="minorHAnsi" w:hAnsiTheme="minorHAnsi"/>
          <w:sz w:val="28"/>
        </w:rPr>
        <w:t xml:space="preserve">Sponsor hearing </w:t>
      </w:r>
    </w:p>
    <w:p w:rsidR="003D3E05" w:rsidRPr="00FB7045" w:rsidRDefault="003D3E05"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There was no hearing for this item as it was a minor submission.</w:t>
      </w:r>
    </w:p>
    <w:p w:rsidR="003D3E05" w:rsidRPr="00FB7045" w:rsidRDefault="003D3E05" w:rsidP="00CD33B2">
      <w:pPr>
        <w:pStyle w:val="Heading2"/>
        <w:spacing w:after="120"/>
        <w:rPr>
          <w:rFonts w:asciiTheme="minorHAnsi" w:hAnsiTheme="minorHAnsi"/>
          <w:sz w:val="28"/>
        </w:rPr>
      </w:pPr>
      <w:r w:rsidRPr="00FB7045">
        <w:rPr>
          <w:rFonts w:asciiTheme="minorHAnsi" w:hAnsiTheme="minorHAnsi"/>
          <w:sz w:val="28"/>
        </w:rPr>
        <w:t xml:space="preserve">Consumer comments </w:t>
      </w:r>
    </w:p>
    <w:p w:rsidR="003D3E05" w:rsidRPr="00FB7045" w:rsidRDefault="003D3E05"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PBAC noted that no consumer comments were received for this item. </w:t>
      </w:r>
    </w:p>
    <w:p w:rsidR="00D84934" w:rsidRPr="00FB7045" w:rsidRDefault="00D84934" w:rsidP="00CD33B2">
      <w:pPr>
        <w:pStyle w:val="Heading2"/>
        <w:spacing w:after="120"/>
        <w:rPr>
          <w:rFonts w:asciiTheme="minorHAnsi" w:hAnsiTheme="minorHAnsi"/>
          <w:sz w:val="28"/>
        </w:rPr>
      </w:pPr>
      <w:r w:rsidRPr="00FB7045">
        <w:rPr>
          <w:rFonts w:asciiTheme="minorHAnsi" w:hAnsiTheme="minorHAnsi"/>
          <w:sz w:val="28"/>
        </w:rPr>
        <w:t>Clinical trials</w:t>
      </w:r>
    </w:p>
    <w:p w:rsidR="0076420C" w:rsidRPr="00FB7045" w:rsidRDefault="00835880"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As a minor submission, no new </w:t>
      </w:r>
      <w:r w:rsidR="0076420C" w:rsidRPr="00FB7045">
        <w:rPr>
          <w:rFonts w:asciiTheme="minorHAnsi" w:hAnsiTheme="minorHAnsi"/>
          <w:sz w:val="24"/>
          <w:szCs w:val="24"/>
        </w:rPr>
        <w:t xml:space="preserve">clinical trials </w:t>
      </w:r>
      <w:r w:rsidR="00FF2801" w:rsidRPr="00FB7045">
        <w:rPr>
          <w:rFonts w:asciiTheme="minorHAnsi" w:hAnsiTheme="minorHAnsi"/>
          <w:sz w:val="24"/>
          <w:szCs w:val="24"/>
        </w:rPr>
        <w:t>were</w:t>
      </w:r>
      <w:r w:rsidRPr="00FB7045">
        <w:rPr>
          <w:rFonts w:asciiTheme="minorHAnsi" w:hAnsiTheme="minorHAnsi"/>
          <w:sz w:val="24"/>
          <w:szCs w:val="24"/>
        </w:rPr>
        <w:t xml:space="preserve"> presented in the </w:t>
      </w:r>
      <w:r w:rsidR="0076420C" w:rsidRPr="00FB7045">
        <w:rPr>
          <w:rFonts w:asciiTheme="minorHAnsi" w:hAnsiTheme="minorHAnsi"/>
          <w:sz w:val="24"/>
          <w:szCs w:val="24"/>
        </w:rPr>
        <w:t>submission.</w:t>
      </w:r>
    </w:p>
    <w:p w:rsidR="005A3173" w:rsidRPr="00FB7045" w:rsidRDefault="005A3173" w:rsidP="00CD33B2">
      <w:pPr>
        <w:pStyle w:val="Heading2"/>
        <w:spacing w:after="120"/>
        <w:rPr>
          <w:rFonts w:asciiTheme="minorHAnsi" w:hAnsiTheme="minorHAnsi"/>
          <w:sz w:val="28"/>
        </w:rPr>
      </w:pPr>
      <w:r w:rsidRPr="00FB7045">
        <w:rPr>
          <w:rFonts w:asciiTheme="minorHAnsi" w:hAnsiTheme="minorHAnsi"/>
          <w:sz w:val="28"/>
        </w:rPr>
        <w:t>Economic analysis</w:t>
      </w:r>
    </w:p>
    <w:p w:rsidR="00835880" w:rsidRPr="00FB7045" w:rsidRDefault="00835880"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As a minor submission, there was no economic comparison presented.</w:t>
      </w:r>
    </w:p>
    <w:p w:rsidR="005A3173" w:rsidRPr="00FB7045" w:rsidRDefault="005A3173" w:rsidP="00CD33B2">
      <w:pPr>
        <w:pStyle w:val="Heading2"/>
        <w:spacing w:after="120"/>
        <w:rPr>
          <w:rFonts w:asciiTheme="minorHAnsi" w:hAnsiTheme="minorHAnsi"/>
          <w:sz w:val="28"/>
        </w:rPr>
      </w:pPr>
      <w:r w:rsidRPr="00FB7045">
        <w:rPr>
          <w:rFonts w:asciiTheme="minorHAnsi" w:hAnsiTheme="minorHAnsi"/>
          <w:sz w:val="28"/>
        </w:rPr>
        <w:t>Estimated PBS usage &amp; financial implications</w:t>
      </w:r>
    </w:p>
    <w:p w:rsidR="00E04875" w:rsidRPr="00FB7045" w:rsidRDefault="00E04875"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No change to the published or effective price or to the current deed of agreement for abiraterone</w:t>
      </w:r>
      <w:r w:rsidR="004724E9" w:rsidRPr="00FB7045">
        <w:rPr>
          <w:rFonts w:asciiTheme="minorHAnsi" w:hAnsiTheme="minorHAnsi"/>
          <w:sz w:val="24"/>
          <w:szCs w:val="24"/>
        </w:rPr>
        <w:t xml:space="preserve"> was</w:t>
      </w:r>
      <w:r w:rsidRPr="00FB7045">
        <w:rPr>
          <w:rFonts w:asciiTheme="minorHAnsi" w:hAnsiTheme="minorHAnsi"/>
          <w:sz w:val="24"/>
          <w:szCs w:val="24"/>
        </w:rPr>
        <w:t xml:space="preserve"> </w:t>
      </w:r>
      <w:r w:rsidR="00746E9A" w:rsidRPr="00FB7045">
        <w:rPr>
          <w:rFonts w:asciiTheme="minorHAnsi" w:hAnsiTheme="minorHAnsi"/>
          <w:sz w:val="24"/>
          <w:szCs w:val="24"/>
        </w:rPr>
        <w:t>proposed by</w:t>
      </w:r>
      <w:r w:rsidR="004724E9" w:rsidRPr="00FB7045">
        <w:rPr>
          <w:rFonts w:asciiTheme="minorHAnsi" w:hAnsiTheme="minorHAnsi"/>
          <w:sz w:val="24"/>
          <w:szCs w:val="24"/>
        </w:rPr>
        <w:t xml:space="preserve"> the sponsor</w:t>
      </w:r>
      <w:r w:rsidRPr="00FB7045">
        <w:rPr>
          <w:rFonts w:asciiTheme="minorHAnsi" w:hAnsiTheme="minorHAnsi"/>
          <w:sz w:val="24"/>
          <w:szCs w:val="24"/>
        </w:rPr>
        <w:t>. The proposed (published and effective) price for the 60 tablet pack of abiraterone 500mg is equivalent to the 120 tablet pack of abiraterone 250mg tablets</w:t>
      </w:r>
      <w:r w:rsidR="004724E9" w:rsidRPr="00FB7045">
        <w:rPr>
          <w:rFonts w:asciiTheme="minorHAnsi" w:hAnsiTheme="minorHAnsi"/>
          <w:sz w:val="24"/>
          <w:szCs w:val="24"/>
        </w:rPr>
        <w:t xml:space="preserve">. </w:t>
      </w:r>
    </w:p>
    <w:p w:rsidR="004F071D" w:rsidRPr="00FB7045" w:rsidRDefault="004F071D"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sponsor claimed that there would be no impact to commonwealth expenditure with the listing of the 500 mg tablet. </w:t>
      </w:r>
    </w:p>
    <w:p w:rsidR="004F071D" w:rsidRPr="00FB7045" w:rsidRDefault="003B6737" w:rsidP="00CD33B2">
      <w:pPr>
        <w:pStyle w:val="Heading2"/>
        <w:spacing w:after="120"/>
        <w:rPr>
          <w:rFonts w:asciiTheme="minorHAnsi" w:hAnsiTheme="minorHAnsi"/>
          <w:sz w:val="28"/>
        </w:rPr>
      </w:pPr>
      <w:r w:rsidRPr="00FB7045">
        <w:rPr>
          <w:rFonts w:asciiTheme="minorHAnsi" w:hAnsiTheme="minorHAnsi"/>
          <w:sz w:val="28"/>
        </w:rPr>
        <w:t xml:space="preserve">Quality use of medicines </w:t>
      </w:r>
    </w:p>
    <w:p w:rsidR="004F071D" w:rsidRPr="00FB7045" w:rsidRDefault="004F071D"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sponsor claimed that it was developing a quality of use medicines programme to be rolled out one month prior to listing </w:t>
      </w:r>
      <w:r w:rsidR="005A6EED" w:rsidRPr="00FB7045">
        <w:rPr>
          <w:rFonts w:asciiTheme="minorHAnsi" w:hAnsiTheme="minorHAnsi"/>
          <w:sz w:val="24"/>
          <w:szCs w:val="24"/>
        </w:rPr>
        <w:t xml:space="preserve">to aid in patients transitioning to the 500 mg tablet. </w:t>
      </w:r>
    </w:p>
    <w:p w:rsidR="003D3E05" w:rsidRPr="00FB7045" w:rsidRDefault="003D3E05" w:rsidP="002E7020">
      <w:pPr>
        <w:pStyle w:val="PBACHeading1"/>
        <w:keepNext/>
      </w:pPr>
      <w:r w:rsidRPr="00FB7045">
        <w:t xml:space="preserve">PBAC Outcome </w:t>
      </w:r>
    </w:p>
    <w:p w:rsidR="00906E29" w:rsidRPr="00FB7045" w:rsidRDefault="00F162E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 PBAC recommended the Authority Required (STREAMLINED) listing of</w:t>
      </w:r>
      <w:r w:rsidR="0071386C" w:rsidRPr="00FB7045">
        <w:rPr>
          <w:rFonts w:asciiTheme="minorHAnsi" w:hAnsiTheme="minorHAnsi"/>
          <w:sz w:val="24"/>
          <w:szCs w:val="24"/>
        </w:rPr>
        <w:t xml:space="preserve"> abiraterone acetate </w:t>
      </w:r>
      <w:r w:rsidR="006A3DAC" w:rsidRPr="00FB7045">
        <w:rPr>
          <w:rFonts w:asciiTheme="minorHAnsi" w:hAnsiTheme="minorHAnsi"/>
          <w:sz w:val="24"/>
          <w:szCs w:val="24"/>
        </w:rPr>
        <w:t xml:space="preserve">500 mg </w:t>
      </w:r>
      <w:r w:rsidR="0071386C" w:rsidRPr="00FB7045">
        <w:rPr>
          <w:rFonts w:asciiTheme="minorHAnsi" w:hAnsiTheme="minorHAnsi"/>
          <w:sz w:val="24"/>
          <w:szCs w:val="24"/>
        </w:rPr>
        <w:t>tablet</w:t>
      </w:r>
      <w:r w:rsidR="006A3DAC" w:rsidRPr="00FB7045">
        <w:rPr>
          <w:rFonts w:asciiTheme="minorHAnsi" w:hAnsiTheme="minorHAnsi"/>
          <w:sz w:val="24"/>
          <w:szCs w:val="24"/>
        </w:rPr>
        <w:t>s</w:t>
      </w:r>
      <w:r w:rsidR="0071386C" w:rsidRPr="00FB7045">
        <w:rPr>
          <w:rFonts w:asciiTheme="minorHAnsi" w:hAnsiTheme="minorHAnsi"/>
          <w:sz w:val="24"/>
          <w:szCs w:val="24"/>
        </w:rPr>
        <w:t xml:space="preserve"> for use in combination with prednisone or prednisolone for the treatment of metastatic castration-resistant carcinoma of the prostate</w:t>
      </w:r>
      <w:r w:rsidR="006A3DAC" w:rsidRPr="00FB7045">
        <w:rPr>
          <w:rFonts w:asciiTheme="minorHAnsi" w:hAnsiTheme="minorHAnsi"/>
          <w:sz w:val="24"/>
          <w:szCs w:val="24"/>
        </w:rPr>
        <w:t>.</w:t>
      </w:r>
    </w:p>
    <w:p w:rsidR="00F162EC" w:rsidRPr="00FB7045" w:rsidRDefault="00906E29"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PBAC noted that the proposed maximum quantity and number of repeats provides an equivalent amount of abiraterone acetate as the current PBS listed 250 mg strength. </w:t>
      </w:r>
    </w:p>
    <w:p w:rsidR="00F162EC" w:rsidRPr="00FB7045" w:rsidRDefault="00F162E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PBAC noted that the </w:t>
      </w:r>
      <w:r w:rsidR="0071386C" w:rsidRPr="00FB7045">
        <w:rPr>
          <w:rFonts w:asciiTheme="minorHAnsi" w:hAnsiTheme="minorHAnsi"/>
          <w:sz w:val="24"/>
          <w:szCs w:val="24"/>
        </w:rPr>
        <w:t>500 mg strength tablet was considered bioequivalent to 2 x 250 mg strength tablets by the TGA.</w:t>
      </w:r>
    </w:p>
    <w:p w:rsidR="00F162EC" w:rsidRPr="00FB7045" w:rsidRDefault="00F162E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 PBAC noted that the listing of the 500 mg strength would reduce the pill burden</w:t>
      </w:r>
      <w:r w:rsidR="00555019" w:rsidRPr="00FB7045">
        <w:rPr>
          <w:rFonts w:asciiTheme="minorHAnsi" w:hAnsiTheme="minorHAnsi"/>
          <w:sz w:val="24"/>
          <w:szCs w:val="24"/>
        </w:rPr>
        <w:t xml:space="preserve"> and may improve compliance</w:t>
      </w:r>
      <w:r w:rsidRPr="00FB7045">
        <w:rPr>
          <w:rFonts w:asciiTheme="minorHAnsi" w:hAnsiTheme="minorHAnsi"/>
          <w:sz w:val="24"/>
          <w:szCs w:val="24"/>
        </w:rPr>
        <w:t xml:space="preserve"> for some patients. </w:t>
      </w:r>
    </w:p>
    <w:p w:rsidR="00647321" w:rsidRPr="00FB7045" w:rsidRDefault="00647321"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lastRenderedPageBreak/>
        <w:t xml:space="preserve">The PBAC noted that the listing of the 500 mg strength would be </w:t>
      </w:r>
      <w:r w:rsidR="00F566C1" w:rsidRPr="00FB7045">
        <w:rPr>
          <w:rFonts w:asciiTheme="minorHAnsi" w:hAnsiTheme="minorHAnsi"/>
          <w:sz w:val="24"/>
          <w:szCs w:val="24"/>
        </w:rPr>
        <w:t xml:space="preserve">cost neutral to the PBS as the proposed AEMP is the same as the price of the current listed 250 mg strength. </w:t>
      </w:r>
    </w:p>
    <w:p w:rsidR="0071386C" w:rsidRPr="00FB7045" w:rsidRDefault="0071386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 PBAC recalled its previous advice that abiraterone acetate is not suitable for prescribing by nurse practitioners.</w:t>
      </w:r>
    </w:p>
    <w:p w:rsidR="00F162EC" w:rsidRPr="00FB7045" w:rsidRDefault="00F162E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 xml:space="preserve">The PBAC </w:t>
      </w:r>
      <w:r w:rsidR="00CE111D" w:rsidRPr="00FB7045">
        <w:rPr>
          <w:rFonts w:asciiTheme="minorHAnsi" w:hAnsiTheme="minorHAnsi"/>
          <w:sz w:val="24"/>
          <w:szCs w:val="24"/>
        </w:rPr>
        <w:t>advised</w:t>
      </w:r>
      <w:r w:rsidR="004A0B82" w:rsidRPr="00FB7045">
        <w:rPr>
          <w:rFonts w:asciiTheme="minorHAnsi" w:hAnsiTheme="minorHAnsi"/>
          <w:sz w:val="24"/>
          <w:szCs w:val="24"/>
        </w:rPr>
        <w:t xml:space="preserve"> </w:t>
      </w:r>
      <w:r w:rsidRPr="00FB7045">
        <w:rPr>
          <w:rFonts w:asciiTheme="minorHAnsi" w:hAnsiTheme="minorHAnsi"/>
          <w:sz w:val="24"/>
          <w:szCs w:val="24"/>
        </w:rPr>
        <w:t xml:space="preserve">that the Early Supply Rule should apply as it </w:t>
      </w:r>
      <w:r w:rsidR="004A0B82" w:rsidRPr="00FB7045">
        <w:rPr>
          <w:rFonts w:asciiTheme="minorHAnsi" w:hAnsiTheme="minorHAnsi"/>
          <w:sz w:val="24"/>
          <w:szCs w:val="24"/>
        </w:rPr>
        <w:t>currently applies</w:t>
      </w:r>
      <w:r w:rsidRPr="00FB7045">
        <w:rPr>
          <w:rFonts w:asciiTheme="minorHAnsi" w:hAnsiTheme="minorHAnsi"/>
          <w:sz w:val="24"/>
          <w:szCs w:val="24"/>
        </w:rPr>
        <w:t xml:space="preserve"> to the current listed 250 mg strength. </w:t>
      </w:r>
    </w:p>
    <w:p w:rsidR="00F162EC" w:rsidRPr="00FB7045" w:rsidRDefault="00F162EC"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The PBAC noted that this submission is not eligible for an Independent Review because it received a positive recommendation.</w:t>
      </w:r>
    </w:p>
    <w:p w:rsidR="00914F05" w:rsidRPr="00FB7045" w:rsidRDefault="00914F05" w:rsidP="00CD33B2">
      <w:pPr>
        <w:spacing w:before="240"/>
        <w:jc w:val="both"/>
        <w:rPr>
          <w:rFonts w:asciiTheme="minorHAnsi" w:hAnsiTheme="minorHAnsi" w:cs="Arial"/>
          <w:b/>
          <w:bCs/>
          <w:snapToGrid w:val="0"/>
          <w:lang w:val="en-GB" w:eastAsia="en-US"/>
        </w:rPr>
      </w:pPr>
      <w:r w:rsidRPr="00FB7045">
        <w:rPr>
          <w:rFonts w:asciiTheme="minorHAnsi" w:hAnsiTheme="minorHAnsi" w:cs="Arial"/>
          <w:b/>
          <w:bCs/>
          <w:snapToGrid w:val="0"/>
          <w:lang w:val="en-GB" w:eastAsia="en-US"/>
        </w:rPr>
        <w:t>Outcome:</w:t>
      </w:r>
    </w:p>
    <w:p w:rsidR="00914F05" w:rsidRPr="00FB7045" w:rsidRDefault="002A111E" w:rsidP="00CD33B2">
      <w:pPr>
        <w:spacing w:after="120"/>
        <w:jc w:val="both"/>
        <w:rPr>
          <w:rFonts w:asciiTheme="minorHAnsi" w:hAnsiTheme="minorHAnsi" w:cs="Arial"/>
          <w:bCs/>
          <w:snapToGrid w:val="0"/>
          <w:lang w:val="en-GB" w:eastAsia="en-US"/>
        </w:rPr>
      </w:pPr>
      <w:r w:rsidRPr="00FB7045">
        <w:rPr>
          <w:rFonts w:asciiTheme="minorHAnsi" w:hAnsiTheme="minorHAnsi" w:cs="Arial"/>
          <w:bCs/>
          <w:snapToGrid w:val="0"/>
          <w:lang w:val="en-GB" w:eastAsia="en-US"/>
        </w:rPr>
        <w:t xml:space="preserve">Recommended </w:t>
      </w:r>
    </w:p>
    <w:p w:rsidR="00914F05" w:rsidRPr="00FB7045" w:rsidRDefault="00914F05" w:rsidP="002E7020">
      <w:pPr>
        <w:pStyle w:val="PBACHeading1"/>
      </w:pPr>
      <w:r w:rsidRPr="00FB7045">
        <w:t>Recommended listing</w:t>
      </w:r>
    </w:p>
    <w:p w:rsidR="00914F05" w:rsidRPr="00FB7045" w:rsidRDefault="00914F05" w:rsidP="00CD33B2">
      <w:pPr>
        <w:pStyle w:val="ListParagraph"/>
        <w:widowControl/>
        <w:numPr>
          <w:ilvl w:val="1"/>
          <w:numId w:val="5"/>
        </w:numPr>
        <w:spacing w:after="120"/>
        <w:contextualSpacing w:val="0"/>
        <w:rPr>
          <w:rFonts w:asciiTheme="minorHAnsi" w:hAnsiTheme="minorHAnsi"/>
          <w:sz w:val="24"/>
          <w:szCs w:val="24"/>
        </w:rPr>
      </w:pPr>
      <w:r w:rsidRPr="00FB7045">
        <w:rPr>
          <w:rFonts w:asciiTheme="minorHAnsi" w:hAnsiTheme="minorHAnsi"/>
          <w:sz w:val="24"/>
          <w:szCs w:val="24"/>
        </w:rPr>
        <w:t>Add new item:</w:t>
      </w:r>
    </w:p>
    <w:p w:rsidR="00DE7C12" w:rsidRDefault="00DE7C12" w:rsidP="00CD33B2"/>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1C7C93" w:rsidRPr="00FB7045" w:rsidTr="00D11C4C">
        <w:trPr>
          <w:cantSplit/>
          <w:trHeight w:val="471"/>
        </w:trPr>
        <w:tc>
          <w:tcPr>
            <w:tcW w:w="3119" w:type="dxa"/>
            <w:gridSpan w:val="2"/>
            <w:tcBorders>
              <w:bottom w:val="single" w:sz="4" w:space="0" w:color="auto"/>
            </w:tcBorders>
          </w:tcPr>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Name, Restriction,</w:t>
            </w:r>
          </w:p>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Manner of administration and form</w:t>
            </w:r>
          </w:p>
        </w:tc>
        <w:tc>
          <w:tcPr>
            <w:tcW w:w="850" w:type="dxa"/>
            <w:tcBorders>
              <w:bottom w:val="single" w:sz="4" w:space="0" w:color="auto"/>
            </w:tcBorders>
          </w:tcPr>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Max.</w:t>
            </w:r>
          </w:p>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Qty</w:t>
            </w:r>
          </w:p>
        </w:tc>
        <w:tc>
          <w:tcPr>
            <w:tcW w:w="709" w:type="dxa"/>
            <w:tcBorders>
              <w:bottom w:val="single" w:sz="4" w:space="0" w:color="auto"/>
            </w:tcBorders>
          </w:tcPr>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№.of</w:t>
            </w:r>
          </w:p>
          <w:p w:rsidR="001C7C93" w:rsidRPr="00FB7045" w:rsidRDefault="001C7C93" w:rsidP="00CD33B2">
            <w:pPr>
              <w:keepNext/>
              <w:ind w:left="-108"/>
              <w:jc w:val="both"/>
              <w:rPr>
                <w:rFonts w:ascii="Arial Narrow" w:hAnsi="Arial Narrow" w:cs="Arial"/>
                <w:b/>
                <w:sz w:val="20"/>
                <w:szCs w:val="20"/>
              </w:rPr>
            </w:pPr>
            <w:r w:rsidRPr="00FB7045">
              <w:rPr>
                <w:rFonts w:ascii="Arial Narrow" w:hAnsi="Arial Narrow" w:cs="Arial"/>
                <w:b/>
                <w:sz w:val="20"/>
                <w:szCs w:val="20"/>
              </w:rPr>
              <w:t>Rpts</w:t>
            </w:r>
          </w:p>
        </w:tc>
        <w:tc>
          <w:tcPr>
            <w:tcW w:w="3685" w:type="dxa"/>
            <w:gridSpan w:val="2"/>
            <w:tcBorders>
              <w:bottom w:val="single" w:sz="4" w:space="0" w:color="auto"/>
            </w:tcBorders>
          </w:tcPr>
          <w:p w:rsidR="001C7C93" w:rsidRPr="00FB7045" w:rsidRDefault="001C7C93" w:rsidP="00CD33B2">
            <w:pPr>
              <w:keepNext/>
              <w:jc w:val="both"/>
              <w:rPr>
                <w:rFonts w:ascii="Arial Narrow" w:hAnsi="Arial Narrow" w:cs="Arial"/>
                <w:b/>
                <w:sz w:val="20"/>
                <w:szCs w:val="20"/>
              </w:rPr>
            </w:pPr>
            <w:r w:rsidRPr="00FB7045">
              <w:rPr>
                <w:rFonts w:ascii="Arial Narrow" w:hAnsi="Arial Narrow" w:cs="Arial"/>
                <w:b/>
                <w:sz w:val="20"/>
                <w:szCs w:val="20"/>
              </w:rPr>
              <w:t>Proprietary Name and Manufacturer</w:t>
            </w:r>
          </w:p>
        </w:tc>
      </w:tr>
      <w:tr w:rsidR="001C7C93" w:rsidRPr="00FB7045" w:rsidTr="00D11C4C">
        <w:trPr>
          <w:cantSplit/>
          <w:trHeight w:val="577"/>
        </w:trPr>
        <w:tc>
          <w:tcPr>
            <w:tcW w:w="3119" w:type="dxa"/>
            <w:gridSpan w:val="2"/>
          </w:tcPr>
          <w:p w:rsidR="001C7C93" w:rsidRPr="00FB7045" w:rsidRDefault="001C7C93" w:rsidP="00CD33B2">
            <w:pPr>
              <w:keepNext/>
              <w:ind w:left="-108"/>
              <w:jc w:val="both"/>
              <w:rPr>
                <w:rFonts w:ascii="Arial Narrow" w:hAnsi="Arial Narrow" w:cs="Arial"/>
                <w:sz w:val="20"/>
                <w:szCs w:val="20"/>
              </w:rPr>
            </w:pPr>
            <w:r w:rsidRPr="00FB7045">
              <w:rPr>
                <w:rFonts w:ascii="Arial Narrow" w:hAnsi="Arial Narrow" w:cs="Arial"/>
                <w:smallCaps/>
                <w:sz w:val="20"/>
                <w:szCs w:val="20"/>
              </w:rPr>
              <w:t>ABIRATERONE ACETATE</w:t>
            </w:r>
          </w:p>
          <w:p w:rsidR="001C7C93" w:rsidRPr="00FB7045" w:rsidRDefault="001C7C93" w:rsidP="00CD33B2">
            <w:pPr>
              <w:keepNext/>
              <w:ind w:left="-108"/>
              <w:jc w:val="both"/>
              <w:rPr>
                <w:rFonts w:ascii="Arial Narrow" w:hAnsi="Arial Narrow" w:cs="Arial"/>
                <w:sz w:val="20"/>
                <w:szCs w:val="20"/>
              </w:rPr>
            </w:pPr>
            <w:r w:rsidRPr="00FB7045">
              <w:rPr>
                <w:rFonts w:ascii="Arial Narrow" w:hAnsi="Arial Narrow" w:cs="Arial"/>
                <w:sz w:val="20"/>
                <w:szCs w:val="20"/>
              </w:rPr>
              <w:t>abiraterone acetate 500 mg tablet, 120</w:t>
            </w:r>
          </w:p>
        </w:tc>
        <w:tc>
          <w:tcPr>
            <w:tcW w:w="850" w:type="dxa"/>
          </w:tcPr>
          <w:p w:rsidR="001C7C93" w:rsidRPr="00FB7045" w:rsidRDefault="001C7C93" w:rsidP="00CD33B2">
            <w:pPr>
              <w:keepNext/>
              <w:ind w:left="-108"/>
              <w:jc w:val="both"/>
              <w:rPr>
                <w:rFonts w:ascii="Arial Narrow" w:hAnsi="Arial Narrow" w:cs="Arial"/>
                <w:sz w:val="20"/>
                <w:szCs w:val="20"/>
              </w:rPr>
            </w:pPr>
          </w:p>
          <w:p w:rsidR="001C7C93" w:rsidRPr="00FB7045" w:rsidRDefault="001C7C93" w:rsidP="00CD33B2">
            <w:pPr>
              <w:keepNext/>
              <w:ind w:left="-108"/>
              <w:jc w:val="both"/>
              <w:rPr>
                <w:rFonts w:ascii="Arial Narrow" w:hAnsi="Arial Narrow" w:cs="Arial"/>
                <w:sz w:val="20"/>
                <w:szCs w:val="20"/>
              </w:rPr>
            </w:pPr>
            <w:r w:rsidRPr="00FB7045">
              <w:rPr>
                <w:rFonts w:ascii="Arial Narrow" w:hAnsi="Arial Narrow" w:cs="Arial"/>
                <w:sz w:val="20"/>
                <w:szCs w:val="20"/>
              </w:rPr>
              <w:t>1</w:t>
            </w:r>
          </w:p>
        </w:tc>
        <w:tc>
          <w:tcPr>
            <w:tcW w:w="709" w:type="dxa"/>
          </w:tcPr>
          <w:p w:rsidR="001C7C93" w:rsidRPr="00FB7045" w:rsidRDefault="001C7C93" w:rsidP="00CD33B2">
            <w:pPr>
              <w:keepNext/>
              <w:ind w:left="-108"/>
              <w:jc w:val="both"/>
              <w:rPr>
                <w:rFonts w:ascii="Arial Narrow" w:hAnsi="Arial Narrow" w:cs="Arial"/>
                <w:sz w:val="20"/>
                <w:szCs w:val="20"/>
              </w:rPr>
            </w:pPr>
          </w:p>
          <w:p w:rsidR="001C7C93" w:rsidRPr="00FB7045" w:rsidRDefault="001C7C93" w:rsidP="00CD33B2">
            <w:pPr>
              <w:keepNext/>
              <w:ind w:left="-108"/>
              <w:jc w:val="both"/>
              <w:rPr>
                <w:rFonts w:ascii="Arial Narrow" w:hAnsi="Arial Narrow" w:cs="Arial"/>
                <w:sz w:val="20"/>
                <w:szCs w:val="20"/>
              </w:rPr>
            </w:pPr>
            <w:r w:rsidRPr="00FB7045">
              <w:rPr>
                <w:rFonts w:ascii="Arial Narrow" w:hAnsi="Arial Narrow" w:cs="Arial"/>
                <w:sz w:val="20"/>
                <w:szCs w:val="20"/>
              </w:rPr>
              <w:t>2</w:t>
            </w:r>
          </w:p>
        </w:tc>
        <w:tc>
          <w:tcPr>
            <w:tcW w:w="1275" w:type="dxa"/>
          </w:tcPr>
          <w:p w:rsidR="001C7C93" w:rsidRPr="00FB7045" w:rsidRDefault="001C7C93" w:rsidP="00CD33B2">
            <w:pPr>
              <w:keepNext/>
              <w:jc w:val="both"/>
              <w:rPr>
                <w:rFonts w:ascii="Arial Narrow" w:hAnsi="Arial Narrow" w:cs="Arial"/>
                <w:sz w:val="20"/>
                <w:szCs w:val="20"/>
              </w:rPr>
            </w:pPr>
          </w:p>
          <w:p w:rsidR="001C7C93" w:rsidRPr="00FB7045" w:rsidRDefault="001C7C93" w:rsidP="00CD33B2">
            <w:pPr>
              <w:keepNext/>
              <w:jc w:val="both"/>
              <w:rPr>
                <w:rFonts w:ascii="Arial Narrow" w:hAnsi="Arial Narrow" w:cs="Arial"/>
                <w:sz w:val="20"/>
                <w:szCs w:val="20"/>
              </w:rPr>
            </w:pPr>
            <w:r w:rsidRPr="00FB7045">
              <w:rPr>
                <w:rFonts w:ascii="Arial Narrow" w:hAnsi="Arial Narrow" w:cs="Arial"/>
                <w:sz w:val="20"/>
                <w:szCs w:val="20"/>
              </w:rPr>
              <w:t>Zytiga</w:t>
            </w:r>
            <w:r w:rsidRPr="00FB7045">
              <w:rPr>
                <w:rFonts w:ascii="Arial Narrow" w:hAnsi="Arial Narrow"/>
                <w:sz w:val="20"/>
                <w:szCs w:val="20"/>
                <w:vertAlign w:val="superscript"/>
              </w:rPr>
              <w:t>®</w:t>
            </w:r>
          </w:p>
        </w:tc>
        <w:tc>
          <w:tcPr>
            <w:tcW w:w="2410" w:type="dxa"/>
          </w:tcPr>
          <w:p w:rsidR="001C7C93" w:rsidRPr="00FB7045" w:rsidRDefault="001C7C93" w:rsidP="00CD33B2">
            <w:pPr>
              <w:keepNext/>
              <w:jc w:val="both"/>
              <w:rPr>
                <w:rFonts w:ascii="Arial Narrow" w:hAnsi="Arial Narrow" w:cs="Arial"/>
                <w:sz w:val="20"/>
                <w:szCs w:val="20"/>
              </w:rPr>
            </w:pPr>
          </w:p>
          <w:p w:rsidR="001C7C93" w:rsidRPr="00FB7045" w:rsidRDefault="001C7C93" w:rsidP="00CD33B2">
            <w:pPr>
              <w:keepNext/>
              <w:jc w:val="both"/>
              <w:rPr>
                <w:rFonts w:ascii="Arial Narrow" w:hAnsi="Arial Narrow" w:cs="Arial"/>
                <w:sz w:val="20"/>
                <w:szCs w:val="20"/>
              </w:rPr>
            </w:pPr>
            <w:r w:rsidRPr="00FB7045">
              <w:rPr>
                <w:rFonts w:ascii="Arial Narrow" w:hAnsi="Arial Narrow" w:cs="Arial"/>
                <w:sz w:val="20"/>
                <w:szCs w:val="20"/>
              </w:rPr>
              <w:t>Janssen-Cilag Pty Ltd</w:t>
            </w:r>
          </w:p>
        </w:tc>
      </w:tr>
      <w:tr w:rsidR="001C7C93" w:rsidRPr="00FB7045" w:rsidTr="00D11C4C">
        <w:trPr>
          <w:cantSplit/>
          <w:trHeight w:val="360"/>
        </w:trPr>
        <w:tc>
          <w:tcPr>
            <w:tcW w:w="8363" w:type="dxa"/>
            <w:gridSpan w:val="6"/>
            <w:tcBorders>
              <w:bottom w:val="single" w:sz="4" w:space="0" w:color="auto"/>
            </w:tcBorders>
          </w:tcPr>
          <w:p w:rsidR="001C7C93" w:rsidRPr="00FB7045" w:rsidRDefault="001C7C93" w:rsidP="00CD33B2">
            <w:pPr>
              <w:jc w:val="both"/>
              <w:rPr>
                <w:rFonts w:ascii="Arial Narrow" w:hAnsi="Arial Narrow" w:cs="Arial"/>
                <w:sz w:val="20"/>
                <w:szCs w:val="20"/>
              </w:rPr>
            </w:pP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 xml:space="preserve">Category / </w:t>
            </w:r>
          </w:p>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GENERAL – General Schedule (Code GE)</w:t>
            </w: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1"/>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 xml:space="preserve">Dental  </w:t>
            </w:r>
            <w:r w:rsidRPr="00FB7045">
              <w:rPr>
                <w:rFonts w:ascii="Arial Narrow" w:hAnsi="Arial Narrow" w:cs="Arial"/>
                <w:sz w:val="20"/>
                <w:szCs w:val="20"/>
              </w:rPr>
              <w:fldChar w:fldCharType="begin">
                <w:ffData>
                  <w:name w:val=""/>
                  <w:enabled/>
                  <w:calcOnExit w:val="0"/>
                  <w:checkBox>
                    <w:sizeAuto/>
                    <w:default w:val="1"/>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 xml:space="preserve">Medical Practitioners  </w:t>
            </w:r>
            <w:r w:rsidRPr="00FB7045">
              <w:rPr>
                <w:rFonts w:ascii="Arial Narrow" w:hAnsi="Arial Narrow" w:cs="Arial"/>
                <w:sz w:val="20"/>
                <w:szCs w:val="20"/>
              </w:rPr>
              <w:fldChar w:fldCharType="begin">
                <w:ffData>
                  <w:name w:val="Check3"/>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 xml:space="preserve">Nurse practitioners  </w:t>
            </w:r>
            <w:r w:rsidRPr="00FB7045">
              <w:rPr>
                <w:rFonts w:ascii="Arial Narrow" w:hAnsi="Arial Narrow" w:cs="Arial"/>
                <w:sz w:val="20"/>
                <w:szCs w:val="20"/>
              </w:rPr>
              <w:fldChar w:fldCharType="begin">
                <w:ffData>
                  <w:name w:val=""/>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Optometrists</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5"/>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Midwives</w:t>
            </w: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Prostate cancer</w:t>
            </w: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Castration resistant metastatic carcinoma of the prostate</w:t>
            </w: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Restriction Level / Method:</w:t>
            </w:r>
          </w:p>
          <w:p w:rsidR="001C7C93" w:rsidRPr="00FB7045" w:rsidRDefault="001C7C93" w:rsidP="00CD33B2">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1"/>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Restricted benefit</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
                  <w:enabled/>
                  <w:calcOnExit w:val="0"/>
                  <w:checkBox>
                    <w:sizeAuto/>
                    <w:default w:val="1"/>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Authority Required - In Writing</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3"/>
                  <w:enabled/>
                  <w:calcOnExit w:val="0"/>
                  <w:checkBox>
                    <w:sizeAuto/>
                    <w:default w:val="1"/>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Authority Required - Telephone</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
                  <w:enabled/>
                  <w:calcOnExit w:val="0"/>
                  <w:checkBox>
                    <w:sizeAuto/>
                    <w:default w:val="1"/>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Authority Required – Emergency</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5"/>
                  <w:enabled/>
                  <w:calcOnExit w:val="0"/>
                  <w:checkBox>
                    <w:sizeAuto/>
                    <w:default w:val="1"/>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Authority Required - Electronic</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fldChar w:fldCharType="begin">
                <w:ffData>
                  <w:name w:val="Check5"/>
                  <w:enabled/>
                  <w:calcOnExit w:val="0"/>
                  <w:checkBox>
                    <w:sizeAuto/>
                    <w:default w:val="0"/>
                  </w:checkBox>
                </w:ffData>
              </w:fldChar>
            </w:r>
            <w:r w:rsidRPr="00FB7045">
              <w:rPr>
                <w:rFonts w:ascii="Arial Narrow" w:hAnsi="Arial Narrow" w:cs="Arial"/>
                <w:sz w:val="20"/>
                <w:szCs w:val="20"/>
              </w:rPr>
              <w:instrText xml:space="preserve"> FORMCHECKBOX </w:instrText>
            </w:r>
            <w:r w:rsidR="00B7151A">
              <w:rPr>
                <w:rFonts w:ascii="Arial Narrow" w:hAnsi="Arial Narrow" w:cs="Arial"/>
                <w:sz w:val="20"/>
                <w:szCs w:val="20"/>
              </w:rPr>
            </w:r>
            <w:r w:rsidR="00B7151A">
              <w:rPr>
                <w:rFonts w:ascii="Arial Narrow" w:hAnsi="Arial Narrow" w:cs="Arial"/>
                <w:sz w:val="20"/>
                <w:szCs w:val="20"/>
              </w:rPr>
              <w:fldChar w:fldCharType="separate"/>
            </w:r>
            <w:r w:rsidRPr="00FB7045">
              <w:rPr>
                <w:rFonts w:ascii="Arial Narrow" w:hAnsi="Arial Narrow" w:cs="Arial"/>
                <w:sz w:val="20"/>
                <w:szCs w:val="20"/>
              </w:rPr>
              <w:fldChar w:fldCharType="end"/>
            </w:r>
            <w:r w:rsidRPr="00FB7045">
              <w:rPr>
                <w:rFonts w:ascii="Arial Narrow" w:hAnsi="Arial Narrow" w:cs="Arial"/>
                <w:sz w:val="20"/>
                <w:szCs w:val="20"/>
              </w:rPr>
              <w:t>Streamlined</w:t>
            </w:r>
          </w:p>
        </w:tc>
      </w:tr>
      <w:tr w:rsidR="001C7C93"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1C7C93" w:rsidRPr="00FB7045" w:rsidRDefault="001C7C93" w:rsidP="00CD33B2">
            <w:pPr>
              <w:jc w:val="both"/>
              <w:rPr>
                <w:rFonts w:ascii="Arial Narrow" w:hAnsi="Arial Narrow" w:cs="Arial"/>
                <w:b/>
                <w:sz w:val="20"/>
                <w:szCs w:val="20"/>
              </w:rPr>
            </w:pPr>
            <w:r w:rsidRPr="00FB7045">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The treatment must be in combination with a corticosteroid,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AND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The treatment must not be used in combination with chemotherapy,</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AND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have failed treatment with docetaxel du</w:t>
            </w:r>
            <w:r w:rsidR="009E0384">
              <w:rPr>
                <w:rFonts w:ascii="Arial Narrow" w:hAnsi="Arial Narrow" w:cs="Arial"/>
                <w:sz w:val="20"/>
                <w:szCs w:val="20"/>
              </w:rPr>
              <w:t xml:space="preserve">e to resistance or intolerance, </w:t>
            </w:r>
            <w:r w:rsidRPr="00FB7045">
              <w:rPr>
                <w:rFonts w:ascii="Arial Narrow" w:hAnsi="Arial Narrow" w:cs="Arial"/>
                <w:sz w:val="20"/>
                <w:szCs w:val="20"/>
              </w:rPr>
              <w:t>OR</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be unsuitable for docetaxel treatment on the basis of predicted intolerance to docetaxel,</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AND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have a WHO performance status of 2 or less,</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AND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not receive PBS-subsidised abiraterone if progressive disease develops while on abiraterone,</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AND</w:t>
            </w:r>
          </w:p>
          <w:p w:rsidR="001C7C93" w:rsidRPr="00FB7045" w:rsidRDefault="001C7C93" w:rsidP="00CD33B2">
            <w:pPr>
              <w:rPr>
                <w:rFonts w:ascii="Arial Narrow" w:hAnsi="Arial Narrow" w:cs="Arial"/>
                <w:sz w:val="20"/>
                <w:szCs w:val="20"/>
              </w:rPr>
            </w:pP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not have received pri</w:t>
            </w:r>
            <w:r w:rsidR="009E0384">
              <w:rPr>
                <w:rFonts w:ascii="Arial Narrow" w:hAnsi="Arial Narrow" w:cs="Arial"/>
                <w:sz w:val="20"/>
                <w:szCs w:val="20"/>
              </w:rPr>
              <w:t xml:space="preserve">or treatment with enzalutamide, </w:t>
            </w:r>
            <w:r w:rsidRPr="00FB7045">
              <w:rPr>
                <w:rFonts w:ascii="Arial Narrow" w:hAnsi="Arial Narrow" w:cs="Arial"/>
                <w:sz w:val="20"/>
                <w:szCs w:val="20"/>
              </w:rPr>
              <w:t>OR</w:t>
            </w:r>
          </w:p>
          <w:p w:rsidR="001C7C93" w:rsidRPr="00FB7045" w:rsidRDefault="001C7C93" w:rsidP="00CD33B2">
            <w:pPr>
              <w:rPr>
                <w:rFonts w:ascii="Arial Narrow" w:hAnsi="Arial Narrow" w:cs="Arial"/>
                <w:sz w:val="20"/>
                <w:szCs w:val="20"/>
              </w:rPr>
            </w:pPr>
            <w:r w:rsidRPr="00FB7045">
              <w:rPr>
                <w:rFonts w:ascii="Arial Narrow" w:hAnsi="Arial Narrow" w:cs="Arial"/>
                <w:sz w:val="20"/>
                <w:szCs w:val="20"/>
              </w:rPr>
              <w:t>Patient must have developed intolerance to enzalutamide of a severity necessitating permanent treatment withdrawal.</w:t>
            </w:r>
          </w:p>
        </w:tc>
      </w:tr>
      <w:tr w:rsidR="003A69C0" w:rsidRPr="00FB7045" w:rsidTr="00D11C4C">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69C0" w:rsidRPr="00FB7045" w:rsidRDefault="003A69C0" w:rsidP="00CD33B2">
            <w:pPr>
              <w:jc w:val="both"/>
              <w:rPr>
                <w:rFonts w:ascii="Arial Narrow" w:hAnsi="Arial Narrow" w:cs="Arial"/>
                <w:b/>
                <w:sz w:val="20"/>
                <w:szCs w:val="20"/>
              </w:rPr>
            </w:pPr>
            <w:r w:rsidRPr="00FB7045">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3A69C0" w:rsidRPr="00FB7045" w:rsidRDefault="003A69C0" w:rsidP="00CD33B2">
            <w:pPr>
              <w:rPr>
                <w:rFonts w:ascii="Arial Narrow" w:hAnsi="Arial Narrow" w:cs="Arial"/>
                <w:sz w:val="20"/>
                <w:szCs w:val="20"/>
              </w:rPr>
            </w:pPr>
            <w:r w:rsidRPr="00FB7045">
              <w:rPr>
                <w:rFonts w:ascii="Arial Narrow" w:hAnsi="Arial Narrow" w:cs="Arial"/>
                <w:sz w:val="20"/>
                <w:szCs w:val="20"/>
              </w:rPr>
              <w:t xml:space="preserve">Special Pricing Arrangements apply. </w:t>
            </w:r>
          </w:p>
        </w:tc>
      </w:tr>
    </w:tbl>
    <w:p w:rsidR="00DE7C12" w:rsidRDefault="00DE7C12" w:rsidP="00CD33B2"/>
    <w:p w:rsidR="00AC3F72" w:rsidRPr="00AC3F72" w:rsidRDefault="00AC3F72" w:rsidP="00AC3F72">
      <w:pPr>
        <w:pStyle w:val="PBACHeading1"/>
      </w:pPr>
      <w:r w:rsidRPr="00AC3F72">
        <w:t>Context for Decision</w:t>
      </w:r>
    </w:p>
    <w:p w:rsidR="00AC3F72" w:rsidRPr="00AC3F72" w:rsidRDefault="00AC3F72" w:rsidP="00AC3F72"/>
    <w:p w:rsidR="00AC3F72" w:rsidRPr="00B456AB" w:rsidRDefault="00AC3F72" w:rsidP="00AC3F72">
      <w:pPr>
        <w:rPr>
          <w:rFonts w:asciiTheme="minorHAnsi" w:hAnsiTheme="minorHAnsi"/>
        </w:rPr>
      </w:pPr>
      <w:r w:rsidRPr="00B456AB">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C3F72" w:rsidRPr="00AC3F72" w:rsidRDefault="00AC3F72" w:rsidP="00AC3F72"/>
    <w:p w:rsidR="00AC3F72" w:rsidRPr="00AC3F72" w:rsidRDefault="00AC3F72" w:rsidP="00AC3F72">
      <w:pPr>
        <w:pStyle w:val="PBACHeading1"/>
      </w:pPr>
      <w:r w:rsidRPr="00AC3F72">
        <w:t>Sponsor’s Comment</w:t>
      </w:r>
    </w:p>
    <w:p w:rsidR="00AC3F72" w:rsidRPr="00AC3F72" w:rsidRDefault="00AC3F72" w:rsidP="00AC3F72">
      <w:pPr>
        <w:rPr>
          <w:bCs/>
          <w:lang w:val="en-GB"/>
        </w:rPr>
      </w:pPr>
    </w:p>
    <w:p w:rsidR="00AC3F72" w:rsidRPr="00B456AB" w:rsidRDefault="00AC3F72" w:rsidP="00AC3F72">
      <w:pPr>
        <w:rPr>
          <w:rFonts w:asciiTheme="minorHAnsi" w:hAnsiTheme="minorHAnsi"/>
          <w:bCs/>
        </w:rPr>
      </w:pPr>
      <w:r w:rsidRPr="00B456AB">
        <w:rPr>
          <w:rFonts w:asciiTheme="minorHAnsi" w:hAnsiTheme="minorHAnsi"/>
          <w:bCs/>
        </w:rPr>
        <w:t>The sponsor had no comment.</w:t>
      </w:r>
    </w:p>
    <w:p w:rsidR="00AC3F72" w:rsidRPr="00DE7C12" w:rsidRDefault="00AC3F72" w:rsidP="00CD33B2"/>
    <w:sectPr w:rsidR="00AC3F72" w:rsidRPr="00DE7C1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1A" w:rsidRDefault="00B7151A">
      <w:r>
        <w:separator/>
      </w:r>
    </w:p>
    <w:p w:rsidR="00B7151A" w:rsidRDefault="00B7151A"/>
  </w:endnote>
  <w:endnote w:type="continuationSeparator" w:id="0">
    <w:p w:rsidR="00B7151A" w:rsidRDefault="00B7151A">
      <w:r>
        <w:continuationSeparator/>
      </w:r>
    </w:p>
    <w:p w:rsidR="00B7151A" w:rsidRDefault="00B71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B0E77" w:rsidTr="005A3173">
      <w:trPr>
        <w:trHeight w:val="151"/>
      </w:trPr>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0E77" w:rsidRPr="005A3173" w:rsidRDefault="00CB0E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r>
    <w:tr w:rsidR="00CB0E77" w:rsidTr="005A3173">
      <w:trPr>
        <w:trHeight w:val="150"/>
      </w:trPr>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0" w:type="auto"/>
          <w:vMerge/>
          <w:vAlign w:val="center"/>
          <w:hideMark/>
        </w:tcPr>
        <w:p w:rsidR="00CB0E77" w:rsidRPr="005A3173" w:rsidRDefault="00CB0E7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r>
  </w:tbl>
  <w:p w:rsidR="00CB0E77" w:rsidRDefault="00CB0E7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E77" w:rsidRDefault="00CB0E77">
    <w:pPr>
      <w:pStyle w:val="Footer"/>
    </w:pPr>
  </w:p>
  <w:p w:rsidR="00CB0E77" w:rsidRDefault="00CB0E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77" w:rsidRDefault="00CB0E77" w:rsidP="00EF44A0">
    <w:pPr>
      <w:pStyle w:val="Footer"/>
      <w:jc w:val="center"/>
      <w:rPr>
        <w:rFonts w:ascii="Arial" w:hAnsi="Arial" w:cs="Arial"/>
        <w:b/>
        <w:sz w:val="20"/>
        <w:szCs w:val="20"/>
      </w:rPr>
    </w:pPr>
  </w:p>
  <w:p w:rsidR="003D3E05" w:rsidRPr="003D3E05" w:rsidRDefault="003D3E05" w:rsidP="003D3E05">
    <w:pPr>
      <w:tabs>
        <w:tab w:val="center" w:pos="4153"/>
        <w:tab w:val="right" w:pos="8306"/>
      </w:tabs>
      <w:spacing w:after="120"/>
      <w:ind w:left="360"/>
      <w:jc w:val="center"/>
      <w:rPr>
        <w:rFonts w:asciiTheme="minorHAnsi" w:hAnsiTheme="minorHAnsi" w:cs="Arial"/>
        <w:lang w:eastAsia="en-US"/>
      </w:rPr>
    </w:pPr>
    <w:r w:rsidRPr="003D3E05">
      <w:rPr>
        <w:rFonts w:asciiTheme="minorHAnsi" w:hAnsiTheme="minorHAnsi" w:cs="Arial"/>
        <w:lang w:eastAsia="en-US"/>
      </w:rPr>
      <w:fldChar w:fldCharType="begin"/>
    </w:r>
    <w:r w:rsidRPr="003D3E05">
      <w:rPr>
        <w:rFonts w:asciiTheme="minorHAnsi" w:hAnsiTheme="minorHAnsi" w:cs="Arial"/>
        <w:lang w:eastAsia="en-US"/>
      </w:rPr>
      <w:instrText xml:space="preserve"> PAGE   \* MERGEFORMAT </w:instrText>
    </w:r>
    <w:r w:rsidRPr="003D3E05">
      <w:rPr>
        <w:rFonts w:asciiTheme="minorHAnsi" w:hAnsiTheme="minorHAnsi" w:cs="Arial"/>
        <w:lang w:eastAsia="en-US"/>
      </w:rPr>
      <w:fldChar w:fldCharType="separate"/>
    </w:r>
    <w:r w:rsidR="00B7151A">
      <w:rPr>
        <w:rFonts w:asciiTheme="minorHAnsi" w:hAnsiTheme="minorHAnsi" w:cs="Arial"/>
        <w:noProof/>
        <w:lang w:eastAsia="en-US"/>
      </w:rPr>
      <w:t>1</w:t>
    </w:r>
    <w:r w:rsidRPr="003D3E05">
      <w:rPr>
        <w:rFonts w:asciiTheme="minorHAnsi" w:hAnsiTheme="minorHAnsi" w:cs="Arial"/>
        <w:noProof/>
        <w:lang w:eastAsia="en-US"/>
      </w:rPr>
      <w:fldChar w:fldCharType="end"/>
    </w:r>
  </w:p>
  <w:p w:rsidR="00CB0E77" w:rsidRDefault="00CB0E77" w:rsidP="003D3E05">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B0E77" w:rsidTr="005A3173">
      <w:trPr>
        <w:trHeight w:val="151"/>
      </w:trPr>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0E77" w:rsidRPr="005A3173" w:rsidRDefault="00CB0E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r>
    <w:tr w:rsidR="00CB0E77" w:rsidTr="005A3173">
      <w:trPr>
        <w:trHeight w:val="150"/>
      </w:trPr>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0" w:type="auto"/>
          <w:vMerge/>
          <w:vAlign w:val="center"/>
          <w:hideMark/>
        </w:tcPr>
        <w:p w:rsidR="00CB0E77" w:rsidRPr="005A3173" w:rsidRDefault="00CB0E7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B0E77" w:rsidTr="005A3173">
      <w:trPr>
        <w:trHeight w:val="151"/>
      </w:trPr>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0E77" w:rsidRPr="005A3173" w:rsidRDefault="00CB0E7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0E77" w:rsidRPr="005A3173" w:rsidRDefault="00CB0E77" w:rsidP="005A3173">
          <w:pPr>
            <w:pStyle w:val="Header"/>
            <w:spacing w:line="276" w:lineRule="auto"/>
            <w:rPr>
              <w:rFonts w:ascii="Calibri" w:eastAsia="MS Gothic" w:hAnsi="Calibri"/>
              <w:b/>
              <w:bCs/>
              <w:color w:val="4F81BD"/>
            </w:rPr>
          </w:pPr>
        </w:p>
      </w:tc>
    </w:tr>
    <w:tr w:rsidR="00CB0E77" w:rsidTr="005A3173">
      <w:trPr>
        <w:trHeight w:val="150"/>
      </w:trPr>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c>
        <w:tcPr>
          <w:tcW w:w="0" w:type="auto"/>
          <w:vMerge/>
          <w:vAlign w:val="center"/>
          <w:hideMark/>
        </w:tcPr>
        <w:p w:rsidR="00CB0E77" w:rsidRPr="005A3173" w:rsidRDefault="00CB0E77"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0E77" w:rsidRPr="005A3173" w:rsidRDefault="00CB0E77" w:rsidP="005A3173">
          <w:pPr>
            <w:pStyle w:val="Header"/>
            <w:spacing w:line="276" w:lineRule="auto"/>
            <w:rPr>
              <w:rFonts w:ascii="Calibri" w:eastAsia="MS Gothic" w:hAnsi="Calibri"/>
              <w:b/>
              <w:bCs/>
              <w:color w:val="4F81BD"/>
            </w:rPr>
          </w:pPr>
        </w:p>
      </w:tc>
    </w:tr>
  </w:tbl>
  <w:p w:rsidR="00CB0E77" w:rsidRPr="007C0F57" w:rsidRDefault="00CB0E7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B0E77" w:rsidRPr="007C0F57" w:rsidRDefault="00CB0E77" w:rsidP="007C0F57">
    <w:pPr>
      <w:pStyle w:val="Footer"/>
      <w:jc w:val="center"/>
      <w:rPr>
        <w:b/>
        <w:i/>
        <w:sz w:val="20"/>
        <w:szCs w:val="20"/>
      </w:rPr>
    </w:pPr>
    <w:r w:rsidRPr="007C0F57">
      <w:rPr>
        <w:b/>
        <w:i/>
        <w:sz w:val="20"/>
        <w:szCs w:val="20"/>
      </w:rPr>
      <w:t>Commercial-in-Confidence</w:t>
    </w:r>
  </w:p>
  <w:p w:rsidR="00CB0E77" w:rsidRDefault="00CB0E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1A" w:rsidRDefault="00B7151A">
      <w:r>
        <w:separator/>
      </w:r>
    </w:p>
    <w:p w:rsidR="00B7151A" w:rsidRDefault="00B7151A"/>
  </w:footnote>
  <w:footnote w:type="continuationSeparator" w:id="0">
    <w:p w:rsidR="00B7151A" w:rsidRDefault="00B7151A">
      <w:r>
        <w:continuationSeparator/>
      </w:r>
    </w:p>
    <w:p w:rsidR="00B7151A" w:rsidRDefault="00B71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B0E77" w:rsidRPr="008E0D90" w:rsidTr="00A06225">
      <w:trPr>
        <w:trHeight w:val="151"/>
      </w:trPr>
      <w:tc>
        <w:tcPr>
          <w:tcW w:w="2389" w:type="pct"/>
          <w:tcBorders>
            <w:top w:val="nil"/>
            <w:left w:val="nil"/>
            <w:bottom w:val="single" w:sz="4" w:space="0" w:color="4F81BD"/>
            <w:right w:val="nil"/>
          </w:tcBorders>
        </w:tcPr>
        <w:p w:rsidR="00CB0E77" w:rsidRPr="00A06225" w:rsidRDefault="00CB0E77">
          <w:pPr>
            <w:pStyle w:val="Header"/>
            <w:spacing w:line="276" w:lineRule="auto"/>
            <w:rPr>
              <w:rFonts w:ascii="Cambria" w:eastAsia="MS Gothic" w:hAnsi="Cambria"/>
              <w:b/>
              <w:bCs/>
              <w:color w:val="4F81BD"/>
            </w:rPr>
          </w:pPr>
        </w:p>
      </w:tc>
      <w:tc>
        <w:tcPr>
          <w:tcW w:w="333" w:type="pct"/>
          <w:vMerge w:val="restart"/>
          <w:noWrap/>
          <w:vAlign w:val="center"/>
          <w:hideMark/>
        </w:tcPr>
        <w:p w:rsidR="00CB0E77" w:rsidRPr="00A06225" w:rsidRDefault="00CB0E7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B0E77" w:rsidRPr="00A06225" w:rsidRDefault="00CB0E77">
          <w:pPr>
            <w:pStyle w:val="Header"/>
            <w:spacing w:line="276" w:lineRule="auto"/>
            <w:rPr>
              <w:rFonts w:ascii="Cambria" w:eastAsia="MS Gothic" w:hAnsi="Cambria"/>
              <w:b/>
              <w:bCs/>
              <w:color w:val="4F81BD"/>
            </w:rPr>
          </w:pPr>
        </w:p>
      </w:tc>
    </w:tr>
    <w:tr w:rsidR="00CB0E77" w:rsidRPr="008E0D90" w:rsidTr="00A06225">
      <w:trPr>
        <w:trHeight w:val="150"/>
      </w:trPr>
      <w:tc>
        <w:tcPr>
          <w:tcW w:w="2389" w:type="pct"/>
          <w:tcBorders>
            <w:top w:val="single" w:sz="4" w:space="0" w:color="4F81BD"/>
            <w:left w:val="nil"/>
            <w:bottom w:val="nil"/>
            <w:right w:val="nil"/>
          </w:tcBorders>
        </w:tcPr>
        <w:p w:rsidR="00CB0E77" w:rsidRPr="00A06225" w:rsidRDefault="00CB0E77">
          <w:pPr>
            <w:pStyle w:val="Header"/>
            <w:spacing w:line="276" w:lineRule="auto"/>
            <w:rPr>
              <w:rFonts w:ascii="Cambria" w:eastAsia="MS Gothic" w:hAnsi="Cambria"/>
              <w:b/>
              <w:bCs/>
              <w:color w:val="4F81BD"/>
            </w:rPr>
          </w:pPr>
        </w:p>
      </w:tc>
      <w:tc>
        <w:tcPr>
          <w:tcW w:w="0" w:type="auto"/>
          <w:vMerge/>
          <w:vAlign w:val="center"/>
          <w:hideMark/>
        </w:tcPr>
        <w:p w:rsidR="00CB0E77" w:rsidRPr="00A06225" w:rsidRDefault="00CB0E77">
          <w:pPr>
            <w:rPr>
              <w:rFonts w:ascii="Cambria" w:hAnsi="Cambria"/>
              <w:color w:val="4F81BD"/>
              <w:sz w:val="22"/>
              <w:szCs w:val="22"/>
            </w:rPr>
          </w:pPr>
        </w:p>
      </w:tc>
      <w:tc>
        <w:tcPr>
          <w:tcW w:w="2278" w:type="pct"/>
          <w:tcBorders>
            <w:top w:val="single" w:sz="4" w:space="0" w:color="4F81BD"/>
            <w:left w:val="nil"/>
            <w:bottom w:val="nil"/>
            <w:right w:val="nil"/>
          </w:tcBorders>
        </w:tcPr>
        <w:p w:rsidR="00CB0E77" w:rsidRPr="00A06225" w:rsidRDefault="00CB0E77">
          <w:pPr>
            <w:pStyle w:val="Header"/>
            <w:spacing w:line="276" w:lineRule="auto"/>
            <w:rPr>
              <w:rFonts w:ascii="Cambria" w:eastAsia="MS Gothic" w:hAnsi="Cambria"/>
              <w:b/>
              <w:bCs/>
              <w:color w:val="4F81BD"/>
            </w:rPr>
          </w:pPr>
        </w:p>
      </w:tc>
    </w:tr>
  </w:tbl>
  <w:p w:rsidR="00CB0E77" w:rsidRDefault="00CB0E77">
    <w:pPr>
      <w:pStyle w:val="Header"/>
    </w:pPr>
  </w:p>
  <w:p w:rsidR="00CB0E77" w:rsidRDefault="00CB0E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05" w:rsidRPr="003D3E05" w:rsidRDefault="00FF1C7D" w:rsidP="00FB7045">
    <w:pPr>
      <w:tabs>
        <w:tab w:val="center" w:pos="4153"/>
        <w:tab w:val="right" w:pos="8306"/>
      </w:tabs>
      <w:ind w:left="357"/>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3D3E05" w:rsidRPr="003D3E05">
      <w:rPr>
        <w:rFonts w:asciiTheme="minorHAnsi" w:hAnsiTheme="minorHAnsi" w:cs="Arial"/>
        <w:i/>
        <w:color w:val="808080"/>
        <w:lang w:eastAsia="en-US"/>
      </w:rPr>
      <w:t xml:space="preserve"> – </w:t>
    </w:r>
    <w:r w:rsidR="002F1E60">
      <w:rPr>
        <w:rFonts w:asciiTheme="minorHAnsi" w:hAnsiTheme="minorHAnsi" w:cs="Arial"/>
        <w:i/>
        <w:color w:val="808080"/>
        <w:lang w:eastAsia="en-US"/>
      </w:rPr>
      <w:t>July 2017</w:t>
    </w:r>
    <w:r w:rsidR="003D3E05" w:rsidRPr="003D3E05">
      <w:rPr>
        <w:rFonts w:asciiTheme="minorHAnsi" w:hAnsiTheme="minorHAnsi" w:cs="Arial"/>
        <w:i/>
        <w:color w:val="808080"/>
        <w:lang w:eastAsia="en-US"/>
      </w:rPr>
      <w:t xml:space="preserve"> PBAC Meeting</w:t>
    </w:r>
  </w:p>
  <w:p w:rsidR="00CB0E77" w:rsidRDefault="00CB0E77"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1A" w:rsidRDefault="00B71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0744626"/>
    <w:multiLevelType w:val="multilevel"/>
    <w:tmpl w:val="3B769148"/>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E47A48"/>
    <w:multiLevelType w:val="hybridMultilevel"/>
    <w:tmpl w:val="CA40A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0E680A"/>
    <w:multiLevelType w:val="hybridMultilevel"/>
    <w:tmpl w:val="3252BB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AC310F"/>
    <w:multiLevelType w:val="multilevel"/>
    <w:tmpl w:val="EC00486E"/>
    <w:lvl w:ilvl="0">
      <w:start w:val="1"/>
      <w:numFmt w:val="decimal"/>
      <w:pStyle w:val="TableTitleA"/>
      <w:lvlText w:val="Table %1"/>
      <w:lvlJc w:val="left"/>
      <w:pPr>
        <w:tabs>
          <w:tab w:val="num" w:pos="1080"/>
        </w:tabs>
        <w:ind w:left="851" w:hanging="851"/>
      </w:pPr>
      <w:rPr>
        <w:rFonts w:ascii="Arial" w:hAnsi="Arial" w:hint="default"/>
        <w:b/>
        <w:i w:val="0"/>
        <w:caps w:val="0"/>
        <w:sz w:val="20"/>
        <w:vertAlign w:val="baseline"/>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84D033C"/>
    <w:multiLevelType w:val="multilevel"/>
    <w:tmpl w:val="53D22FB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7"/>
  </w:num>
  <w:num w:numId="5">
    <w:abstractNumId w:val="20"/>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16"/>
  </w:num>
  <w:num w:numId="16">
    <w:abstractNumId w:val="19"/>
  </w:num>
  <w:num w:numId="17">
    <w:abstractNumId w:val="15"/>
  </w:num>
  <w:num w:numId="18">
    <w:abstractNumId w:val="20"/>
  </w:num>
  <w:num w:numId="19">
    <w:abstractNumId w:val="18"/>
  </w:num>
  <w:num w:numId="20">
    <w:abstractNumId w:val="5"/>
  </w:num>
  <w:num w:numId="21">
    <w:abstractNumId w:val="2"/>
  </w:num>
  <w:num w:numId="22">
    <w:abstractNumId w:val="10"/>
  </w:num>
  <w:num w:numId="23">
    <w:abstractNumId w:val="9"/>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C5A"/>
    <w:rsid w:val="000025AD"/>
    <w:rsid w:val="0002464A"/>
    <w:rsid w:val="0003106B"/>
    <w:rsid w:val="000421A1"/>
    <w:rsid w:val="0004240E"/>
    <w:rsid w:val="00045E26"/>
    <w:rsid w:val="000514B5"/>
    <w:rsid w:val="00060E64"/>
    <w:rsid w:val="00066755"/>
    <w:rsid w:val="00077143"/>
    <w:rsid w:val="000969AD"/>
    <w:rsid w:val="000A42C8"/>
    <w:rsid w:val="000B558D"/>
    <w:rsid w:val="000C6996"/>
    <w:rsid w:val="000D23BA"/>
    <w:rsid w:val="000E17D9"/>
    <w:rsid w:val="000E681E"/>
    <w:rsid w:val="000F4E6A"/>
    <w:rsid w:val="001107BF"/>
    <w:rsid w:val="0012417C"/>
    <w:rsid w:val="00142395"/>
    <w:rsid w:val="00142714"/>
    <w:rsid w:val="001452ED"/>
    <w:rsid w:val="00174200"/>
    <w:rsid w:val="00180D7F"/>
    <w:rsid w:val="001830CE"/>
    <w:rsid w:val="0018643B"/>
    <w:rsid w:val="00196307"/>
    <w:rsid w:val="001A33EA"/>
    <w:rsid w:val="001B017F"/>
    <w:rsid w:val="001B5129"/>
    <w:rsid w:val="001C0132"/>
    <w:rsid w:val="001C1195"/>
    <w:rsid w:val="001C7C93"/>
    <w:rsid w:val="001F39A1"/>
    <w:rsid w:val="00213CFB"/>
    <w:rsid w:val="00271BA1"/>
    <w:rsid w:val="002762FA"/>
    <w:rsid w:val="00277505"/>
    <w:rsid w:val="0029458F"/>
    <w:rsid w:val="002A104C"/>
    <w:rsid w:val="002A111E"/>
    <w:rsid w:val="002A4960"/>
    <w:rsid w:val="002B1AE6"/>
    <w:rsid w:val="002B30F8"/>
    <w:rsid w:val="002B499F"/>
    <w:rsid w:val="002C212F"/>
    <w:rsid w:val="002E3153"/>
    <w:rsid w:val="002E7020"/>
    <w:rsid w:val="002E72CA"/>
    <w:rsid w:val="002F1E60"/>
    <w:rsid w:val="002F710E"/>
    <w:rsid w:val="00300AD6"/>
    <w:rsid w:val="00326B9F"/>
    <w:rsid w:val="00326E79"/>
    <w:rsid w:val="003367EF"/>
    <w:rsid w:val="00341AE4"/>
    <w:rsid w:val="00367CCC"/>
    <w:rsid w:val="00383728"/>
    <w:rsid w:val="003872CF"/>
    <w:rsid w:val="0039782C"/>
    <w:rsid w:val="003A5B4A"/>
    <w:rsid w:val="003A69C0"/>
    <w:rsid w:val="003B23C5"/>
    <w:rsid w:val="003B2A75"/>
    <w:rsid w:val="003B6737"/>
    <w:rsid w:val="003D2A15"/>
    <w:rsid w:val="003D3E05"/>
    <w:rsid w:val="003D4AC4"/>
    <w:rsid w:val="003D63B7"/>
    <w:rsid w:val="003E468B"/>
    <w:rsid w:val="003F29B0"/>
    <w:rsid w:val="003F5C8C"/>
    <w:rsid w:val="004146BF"/>
    <w:rsid w:val="00415B09"/>
    <w:rsid w:val="00421FE2"/>
    <w:rsid w:val="004465BD"/>
    <w:rsid w:val="00466ADA"/>
    <w:rsid w:val="00472416"/>
    <w:rsid w:val="004724E9"/>
    <w:rsid w:val="00476245"/>
    <w:rsid w:val="00485940"/>
    <w:rsid w:val="004A0B82"/>
    <w:rsid w:val="004A2484"/>
    <w:rsid w:val="004A5A85"/>
    <w:rsid w:val="004B5640"/>
    <w:rsid w:val="004C1BD7"/>
    <w:rsid w:val="004C691D"/>
    <w:rsid w:val="004E692D"/>
    <w:rsid w:val="004F071D"/>
    <w:rsid w:val="00501554"/>
    <w:rsid w:val="00514CD7"/>
    <w:rsid w:val="0051518E"/>
    <w:rsid w:val="005319B2"/>
    <w:rsid w:val="00532C74"/>
    <w:rsid w:val="00534E2E"/>
    <w:rsid w:val="00544552"/>
    <w:rsid w:val="00555019"/>
    <w:rsid w:val="00581932"/>
    <w:rsid w:val="005963BB"/>
    <w:rsid w:val="005A3173"/>
    <w:rsid w:val="005A3223"/>
    <w:rsid w:val="005A3DA3"/>
    <w:rsid w:val="005A52C4"/>
    <w:rsid w:val="005A6EED"/>
    <w:rsid w:val="005C1A14"/>
    <w:rsid w:val="005D03AB"/>
    <w:rsid w:val="005D5017"/>
    <w:rsid w:val="005D5D24"/>
    <w:rsid w:val="00601A91"/>
    <w:rsid w:val="00602BA3"/>
    <w:rsid w:val="00614159"/>
    <w:rsid w:val="00617C00"/>
    <w:rsid w:val="00620D30"/>
    <w:rsid w:val="006263BF"/>
    <w:rsid w:val="00627405"/>
    <w:rsid w:val="0062748A"/>
    <w:rsid w:val="00630A2C"/>
    <w:rsid w:val="006426A0"/>
    <w:rsid w:val="006436CD"/>
    <w:rsid w:val="00647321"/>
    <w:rsid w:val="00651169"/>
    <w:rsid w:val="00653D69"/>
    <w:rsid w:val="00670A76"/>
    <w:rsid w:val="006711AA"/>
    <w:rsid w:val="00672B57"/>
    <w:rsid w:val="00675622"/>
    <w:rsid w:val="006906DB"/>
    <w:rsid w:val="006A12A5"/>
    <w:rsid w:val="006A3DAC"/>
    <w:rsid w:val="006B0D94"/>
    <w:rsid w:val="006B485D"/>
    <w:rsid w:val="006C708E"/>
    <w:rsid w:val="006D6EC7"/>
    <w:rsid w:val="006D6F09"/>
    <w:rsid w:val="006F5125"/>
    <w:rsid w:val="00703895"/>
    <w:rsid w:val="0071386C"/>
    <w:rsid w:val="00714238"/>
    <w:rsid w:val="007174BB"/>
    <w:rsid w:val="00746E9A"/>
    <w:rsid w:val="007553F1"/>
    <w:rsid w:val="0076420C"/>
    <w:rsid w:val="007753C2"/>
    <w:rsid w:val="007801F2"/>
    <w:rsid w:val="007838B8"/>
    <w:rsid w:val="007A1BDA"/>
    <w:rsid w:val="007C0F57"/>
    <w:rsid w:val="007C40B6"/>
    <w:rsid w:val="007C729F"/>
    <w:rsid w:val="007C7FE1"/>
    <w:rsid w:val="007E1D28"/>
    <w:rsid w:val="007E4074"/>
    <w:rsid w:val="007F2641"/>
    <w:rsid w:val="007F7C36"/>
    <w:rsid w:val="00806796"/>
    <w:rsid w:val="008151D6"/>
    <w:rsid w:val="008162E4"/>
    <w:rsid w:val="00826F6D"/>
    <w:rsid w:val="00835880"/>
    <w:rsid w:val="00837C29"/>
    <w:rsid w:val="00856DDD"/>
    <w:rsid w:val="00863E68"/>
    <w:rsid w:val="008735CA"/>
    <w:rsid w:val="00882085"/>
    <w:rsid w:val="00883188"/>
    <w:rsid w:val="00897D58"/>
    <w:rsid w:val="008A1956"/>
    <w:rsid w:val="008A4937"/>
    <w:rsid w:val="008A50F1"/>
    <w:rsid w:val="008B4FA2"/>
    <w:rsid w:val="008D1B5C"/>
    <w:rsid w:val="008D3C82"/>
    <w:rsid w:val="008D447E"/>
    <w:rsid w:val="008D7A41"/>
    <w:rsid w:val="008E3680"/>
    <w:rsid w:val="008E5870"/>
    <w:rsid w:val="008F1434"/>
    <w:rsid w:val="008F7355"/>
    <w:rsid w:val="009067B7"/>
    <w:rsid w:val="00906E29"/>
    <w:rsid w:val="00913D21"/>
    <w:rsid w:val="00914F05"/>
    <w:rsid w:val="00930937"/>
    <w:rsid w:val="00933E6C"/>
    <w:rsid w:val="00942160"/>
    <w:rsid w:val="0094396D"/>
    <w:rsid w:val="00950D42"/>
    <w:rsid w:val="0095146F"/>
    <w:rsid w:val="009602C5"/>
    <w:rsid w:val="00962223"/>
    <w:rsid w:val="00974C21"/>
    <w:rsid w:val="00977B2A"/>
    <w:rsid w:val="00991DAF"/>
    <w:rsid w:val="009B0F67"/>
    <w:rsid w:val="009C703C"/>
    <w:rsid w:val="009D0EB6"/>
    <w:rsid w:val="009D3CAA"/>
    <w:rsid w:val="009E0384"/>
    <w:rsid w:val="009E4A65"/>
    <w:rsid w:val="009F4E46"/>
    <w:rsid w:val="009F5B65"/>
    <w:rsid w:val="009F5F2E"/>
    <w:rsid w:val="00A06225"/>
    <w:rsid w:val="00A128E6"/>
    <w:rsid w:val="00A37C8D"/>
    <w:rsid w:val="00A5273B"/>
    <w:rsid w:val="00A53A9D"/>
    <w:rsid w:val="00A55FEE"/>
    <w:rsid w:val="00A62C1A"/>
    <w:rsid w:val="00A6426D"/>
    <w:rsid w:val="00A70622"/>
    <w:rsid w:val="00A70977"/>
    <w:rsid w:val="00A77613"/>
    <w:rsid w:val="00A8390C"/>
    <w:rsid w:val="00A928BD"/>
    <w:rsid w:val="00AA4D1C"/>
    <w:rsid w:val="00AB3B15"/>
    <w:rsid w:val="00AC193C"/>
    <w:rsid w:val="00AC3F72"/>
    <w:rsid w:val="00AC5206"/>
    <w:rsid w:val="00AE11A5"/>
    <w:rsid w:val="00AE13E2"/>
    <w:rsid w:val="00AF68CC"/>
    <w:rsid w:val="00B1059E"/>
    <w:rsid w:val="00B15E76"/>
    <w:rsid w:val="00B205AA"/>
    <w:rsid w:val="00B22E84"/>
    <w:rsid w:val="00B25F75"/>
    <w:rsid w:val="00B43E90"/>
    <w:rsid w:val="00B456AB"/>
    <w:rsid w:val="00B467DC"/>
    <w:rsid w:val="00B56118"/>
    <w:rsid w:val="00B6773F"/>
    <w:rsid w:val="00B67D64"/>
    <w:rsid w:val="00B7151A"/>
    <w:rsid w:val="00B801BA"/>
    <w:rsid w:val="00B911E3"/>
    <w:rsid w:val="00BB69F5"/>
    <w:rsid w:val="00BB7EC3"/>
    <w:rsid w:val="00BC4B9A"/>
    <w:rsid w:val="00BD784C"/>
    <w:rsid w:val="00BE6B35"/>
    <w:rsid w:val="00BF4CB6"/>
    <w:rsid w:val="00C00DA7"/>
    <w:rsid w:val="00C12768"/>
    <w:rsid w:val="00C27B58"/>
    <w:rsid w:val="00C35996"/>
    <w:rsid w:val="00C5342C"/>
    <w:rsid w:val="00C603D4"/>
    <w:rsid w:val="00C6256A"/>
    <w:rsid w:val="00C91449"/>
    <w:rsid w:val="00C92D10"/>
    <w:rsid w:val="00CB0E77"/>
    <w:rsid w:val="00CD33B2"/>
    <w:rsid w:val="00CE10C4"/>
    <w:rsid w:val="00CE111D"/>
    <w:rsid w:val="00CE27B5"/>
    <w:rsid w:val="00D0321E"/>
    <w:rsid w:val="00D1455A"/>
    <w:rsid w:val="00D3138B"/>
    <w:rsid w:val="00D3280C"/>
    <w:rsid w:val="00D3406A"/>
    <w:rsid w:val="00D37F73"/>
    <w:rsid w:val="00D469B2"/>
    <w:rsid w:val="00D741EB"/>
    <w:rsid w:val="00D83605"/>
    <w:rsid w:val="00D84934"/>
    <w:rsid w:val="00D91271"/>
    <w:rsid w:val="00DA2CB5"/>
    <w:rsid w:val="00DA4BAC"/>
    <w:rsid w:val="00DE6D27"/>
    <w:rsid w:val="00DE7C12"/>
    <w:rsid w:val="00DF217D"/>
    <w:rsid w:val="00DF26A7"/>
    <w:rsid w:val="00E004AD"/>
    <w:rsid w:val="00E04875"/>
    <w:rsid w:val="00E15627"/>
    <w:rsid w:val="00E164B3"/>
    <w:rsid w:val="00E16910"/>
    <w:rsid w:val="00E42003"/>
    <w:rsid w:val="00E54C3C"/>
    <w:rsid w:val="00E65E54"/>
    <w:rsid w:val="00E80155"/>
    <w:rsid w:val="00E848C0"/>
    <w:rsid w:val="00E91B96"/>
    <w:rsid w:val="00E941A1"/>
    <w:rsid w:val="00E95CE3"/>
    <w:rsid w:val="00EA2825"/>
    <w:rsid w:val="00EB5088"/>
    <w:rsid w:val="00EB6429"/>
    <w:rsid w:val="00ED1644"/>
    <w:rsid w:val="00ED2593"/>
    <w:rsid w:val="00EF44A0"/>
    <w:rsid w:val="00EF4FED"/>
    <w:rsid w:val="00F050BD"/>
    <w:rsid w:val="00F05657"/>
    <w:rsid w:val="00F162EC"/>
    <w:rsid w:val="00F25578"/>
    <w:rsid w:val="00F258E5"/>
    <w:rsid w:val="00F300BC"/>
    <w:rsid w:val="00F3334E"/>
    <w:rsid w:val="00F36CCB"/>
    <w:rsid w:val="00F418D8"/>
    <w:rsid w:val="00F50EC4"/>
    <w:rsid w:val="00F566C1"/>
    <w:rsid w:val="00F57A6D"/>
    <w:rsid w:val="00F638CC"/>
    <w:rsid w:val="00F64CC1"/>
    <w:rsid w:val="00F76B2C"/>
    <w:rsid w:val="00F8247A"/>
    <w:rsid w:val="00F9629A"/>
    <w:rsid w:val="00FA5883"/>
    <w:rsid w:val="00FA6055"/>
    <w:rsid w:val="00FB322F"/>
    <w:rsid w:val="00FB442F"/>
    <w:rsid w:val="00FB7045"/>
    <w:rsid w:val="00FC1929"/>
    <w:rsid w:val="00FC5B46"/>
    <w:rsid w:val="00FE0E94"/>
    <w:rsid w:val="00FF00BD"/>
    <w:rsid w:val="00FF1C7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2E7020"/>
    <w:pPr>
      <w:numPr>
        <w:numId w:val="5"/>
      </w:numPr>
      <w:spacing w:before="240" w:after="120"/>
      <w:outlineLvl w:val="0"/>
    </w:pPr>
    <w:rPr>
      <w:rFonts w:asciiTheme="minorHAnsi" w:hAnsiTheme="minorHAnsi" w:cs="Arial"/>
      <w:b/>
      <w:snapToGrid w:val="0"/>
      <w:sz w:val="32"/>
      <w:szCs w:val="32"/>
      <w:lang w:eastAsia="en-US"/>
    </w:rPr>
  </w:style>
  <w:style w:type="paragraph" w:styleId="BodyText">
    <w:name w:val="Body Text"/>
    <w:basedOn w:val="Normal"/>
    <w:link w:val="BodyTextChar"/>
    <w:rsid w:val="00E04875"/>
    <w:pPr>
      <w:spacing w:after="120"/>
    </w:pPr>
  </w:style>
  <w:style w:type="character" w:customStyle="1" w:styleId="BodyTextChar">
    <w:name w:val="Body Text Char"/>
    <w:basedOn w:val="DefaultParagraphFont"/>
    <w:link w:val="BodyText"/>
    <w:rsid w:val="00E04875"/>
    <w:rPr>
      <w:sz w:val="24"/>
      <w:szCs w:val="24"/>
    </w:rPr>
  </w:style>
  <w:style w:type="paragraph" w:customStyle="1" w:styleId="TableFigureFootnote">
    <w:name w:val="Table &amp; Figure Footnote"/>
    <w:basedOn w:val="BodyText"/>
    <w:next w:val="BodyText"/>
    <w:qFormat/>
    <w:rsid w:val="00E04875"/>
    <w:pPr>
      <w:spacing w:before="20" w:after="20"/>
      <w:jc w:val="both"/>
    </w:pPr>
    <w:rPr>
      <w:rFonts w:ascii="Arial" w:hAnsi="Arial"/>
      <w:sz w:val="16"/>
      <w:lang w:eastAsia="en-US"/>
    </w:rPr>
  </w:style>
  <w:style w:type="paragraph" w:customStyle="1" w:styleId="TableTitleA">
    <w:name w:val="Table Title A"/>
    <w:next w:val="BodyText"/>
    <w:qFormat/>
    <w:rsid w:val="00E04875"/>
    <w:pPr>
      <w:numPr>
        <w:numId w:val="16"/>
      </w:numPr>
      <w:tabs>
        <w:tab w:val="left" w:pos="1134"/>
      </w:tabs>
      <w:spacing w:after="120"/>
      <w:jc w:val="both"/>
    </w:pPr>
    <w:rPr>
      <w:rFonts w:ascii="Arial" w:hAnsi="Arial"/>
      <w:b/>
      <w:lang w:eastAsia="en-US"/>
    </w:rPr>
  </w:style>
  <w:style w:type="character" w:customStyle="1" w:styleId="TabletextChar">
    <w:name w:val="Table text Char"/>
    <w:link w:val="Tabletext"/>
    <w:rsid w:val="00E04875"/>
    <w:rPr>
      <w:rFonts w:ascii="Arial" w:hAnsi="Arial"/>
      <w:lang w:eastAsia="en-US"/>
    </w:rPr>
  </w:style>
  <w:style w:type="paragraph" w:styleId="Revision">
    <w:name w:val="Revision"/>
    <w:hidden/>
    <w:uiPriority w:val="71"/>
    <w:rsid w:val="003837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2E7020"/>
    <w:pPr>
      <w:numPr>
        <w:numId w:val="5"/>
      </w:numPr>
      <w:spacing w:before="240" w:after="120"/>
      <w:outlineLvl w:val="0"/>
    </w:pPr>
    <w:rPr>
      <w:rFonts w:asciiTheme="minorHAnsi" w:hAnsiTheme="minorHAnsi" w:cs="Arial"/>
      <w:b/>
      <w:snapToGrid w:val="0"/>
      <w:sz w:val="32"/>
      <w:szCs w:val="32"/>
      <w:lang w:eastAsia="en-US"/>
    </w:rPr>
  </w:style>
  <w:style w:type="paragraph" w:styleId="BodyText">
    <w:name w:val="Body Text"/>
    <w:basedOn w:val="Normal"/>
    <w:link w:val="BodyTextChar"/>
    <w:rsid w:val="00E04875"/>
    <w:pPr>
      <w:spacing w:after="120"/>
    </w:pPr>
  </w:style>
  <w:style w:type="character" w:customStyle="1" w:styleId="BodyTextChar">
    <w:name w:val="Body Text Char"/>
    <w:basedOn w:val="DefaultParagraphFont"/>
    <w:link w:val="BodyText"/>
    <w:rsid w:val="00E04875"/>
    <w:rPr>
      <w:sz w:val="24"/>
      <w:szCs w:val="24"/>
    </w:rPr>
  </w:style>
  <w:style w:type="paragraph" w:customStyle="1" w:styleId="TableFigureFootnote">
    <w:name w:val="Table &amp; Figure Footnote"/>
    <w:basedOn w:val="BodyText"/>
    <w:next w:val="BodyText"/>
    <w:qFormat/>
    <w:rsid w:val="00E04875"/>
    <w:pPr>
      <w:spacing w:before="20" w:after="20"/>
      <w:jc w:val="both"/>
    </w:pPr>
    <w:rPr>
      <w:rFonts w:ascii="Arial" w:hAnsi="Arial"/>
      <w:sz w:val="16"/>
      <w:lang w:eastAsia="en-US"/>
    </w:rPr>
  </w:style>
  <w:style w:type="paragraph" w:customStyle="1" w:styleId="TableTitleA">
    <w:name w:val="Table Title A"/>
    <w:next w:val="BodyText"/>
    <w:qFormat/>
    <w:rsid w:val="00E04875"/>
    <w:pPr>
      <w:numPr>
        <w:numId w:val="16"/>
      </w:numPr>
      <w:tabs>
        <w:tab w:val="left" w:pos="1134"/>
      </w:tabs>
      <w:spacing w:after="120"/>
      <w:jc w:val="both"/>
    </w:pPr>
    <w:rPr>
      <w:rFonts w:ascii="Arial" w:hAnsi="Arial"/>
      <w:b/>
      <w:lang w:eastAsia="en-US"/>
    </w:rPr>
  </w:style>
  <w:style w:type="character" w:customStyle="1" w:styleId="TabletextChar">
    <w:name w:val="Table text Char"/>
    <w:link w:val="Tabletext"/>
    <w:rsid w:val="00E04875"/>
    <w:rPr>
      <w:rFonts w:ascii="Arial" w:hAnsi="Arial"/>
      <w:lang w:eastAsia="en-US"/>
    </w:rPr>
  </w:style>
  <w:style w:type="paragraph" w:styleId="Revision">
    <w:name w:val="Revision"/>
    <w:hidden/>
    <w:uiPriority w:val="71"/>
    <w:rsid w:val="00383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3730-260A-4357-BC2F-32546F3E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2017-10-10T23:32:00Z</dcterms:created>
  <dcterms:modified xsi:type="dcterms:W3CDTF">2017-10-10T23:37:00Z</dcterms:modified>
</cp:coreProperties>
</file>