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280C" w:rsidRPr="00110AAD" w:rsidRDefault="00531E9E" w:rsidP="008A50F1">
      <w:pPr>
        <w:pStyle w:val="Title"/>
        <w:ind w:left="720" w:hanging="720"/>
        <w:rPr>
          <w:szCs w:val="28"/>
        </w:rPr>
      </w:pPr>
      <w:bookmarkStart w:id="0" w:name="_GoBack"/>
      <w:bookmarkEnd w:id="0"/>
      <w:r w:rsidRPr="00110AAD">
        <w:rPr>
          <w:szCs w:val="28"/>
        </w:rPr>
        <w:t>4</w:t>
      </w:r>
      <w:r w:rsidR="0004240E" w:rsidRPr="00110AAD">
        <w:rPr>
          <w:szCs w:val="28"/>
        </w:rPr>
        <w:t>.</w:t>
      </w:r>
      <w:r w:rsidRPr="00110AAD">
        <w:rPr>
          <w:szCs w:val="28"/>
        </w:rPr>
        <w:t>03</w:t>
      </w:r>
      <w:r w:rsidR="007C0F57" w:rsidRPr="00110AAD">
        <w:rPr>
          <w:szCs w:val="28"/>
        </w:rPr>
        <w:tab/>
      </w:r>
      <w:r w:rsidR="00EC39E6" w:rsidRPr="00110AAD">
        <w:rPr>
          <w:szCs w:val="28"/>
        </w:rPr>
        <w:t>VO</w:t>
      </w:r>
      <w:r w:rsidRPr="00110AAD">
        <w:rPr>
          <w:szCs w:val="28"/>
        </w:rPr>
        <w:t>RINOSTAT</w:t>
      </w:r>
      <w:r w:rsidR="008A50F1" w:rsidRPr="00110AAD">
        <w:rPr>
          <w:szCs w:val="28"/>
        </w:rPr>
        <w:t xml:space="preserve"> </w:t>
      </w:r>
      <w:r w:rsidR="008A50F1" w:rsidRPr="00110AAD">
        <w:rPr>
          <w:szCs w:val="28"/>
        </w:rPr>
        <w:br/>
      </w:r>
      <w:r w:rsidRPr="00110AAD">
        <w:rPr>
          <w:szCs w:val="28"/>
        </w:rPr>
        <w:t>capsule</w:t>
      </w:r>
      <w:r w:rsidR="0004240E" w:rsidRPr="00110AAD">
        <w:rPr>
          <w:szCs w:val="28"/>
        </w:rPr>
        <w:t xml:space="preserve">, </w:t>
      </w:r>
      <w:r w:rsidR="00E9076C" w:rsidRPr="00110AAD">
        <w:rPr>
          <w:szCs w:val="28"/>
        </w:rPr>
        <w:t>100 mg,</w:t>
      </w:r>
      <w:r w:rsidR="008A50F1" w:rsidRPr="00110AAD">
        <w:rPr>
          <w:szCs w:val="28"/>
        </w:rPr>
        <w:br/>
      </w:r>
      <w:r w:rsidRPr="00110AAD">
        <w:rPr>
          <w:szCs w:val="28"/>
        </w:rPr>
        <w:t>Zolinza</w:t>
      </w:r>
      <w:r w:rsidR="0004240E" w:rsidRPr="00110AAD">
        <w:rPr>
          <w:szCs w:val="28"/>
          <w:vertAlign w:val="superscript"/>
        </w:rPr>
        <w:t>®</w:t>
      </w:r>
      <w:r w:rsidR="00EF44A0" w:rsidRPr="00110AAD">
        <w:rPr>
          <w:szCs w:val="28"/>
        </w:rPr>
        <w:t xml:space="preserve">, </w:t>
      </w:r>
      <w:r w:rsidR="008D2B1B" w:rsidRPr="00110AAD">
        <w:rPr>
          <w:szCs w:val="28"/>
        </w:rPr>
        <w:t>Merck Sharp &amp; Dohme (Australia) Pty Ltd</w:t>
      </w:r>
    </w:p>
    <w:p w:rsidR="00E15627" w:rsidRPr="00110AAD" w:rsidRDefault="00CE10C4" w:rsidP="00E15627">
      <w:pPr>
        <w:pStyle w:val="PBACHeading1"/>
      </w:pPr>
      <w:r w:rsidRPr="00110AAD">
        <w:t xml:space="preserve">Purpose of </w:t>
      </w:r>
      <w:r w:rsidR="0004240E" w:rsidRPr="00110AAD">
        <w:t>Application</w:t>
      </w:r>
    </w:p>
    <w:p w:rsidR="008A50F1" w:rsidRPr="00110AAD" w:rsidRDefault="008A50F1" w:rsidP="00E15627"/>
    <w:p w:rsidR="00F9629A" w:rsidRPr="00110AAD" w:rsidRDefault="00EF44A0" w:rsidP="00516629">
      <w:pPr>
        <w:pStyle w:val="ListParagraph"/>
        <w:numPr>
          <w:ilvl w:val="1"/>
          <w:numId w:val="5"/>
        </w:numPr>
      </w:pPr>
      <w:r w:rsidRPr="00110AAD">
        <w:rPr>
          <w:szCs w:val="22"/>
        </w:rPr>
        <w:t>The mi</w:t>
      </w:r>
      <w:r w:rsidR="00FF2801" w:rsidRPr="00110AAD">
        <w:rPr>
          <w:szCs w:val="22"/>
        </w:rPr>
        <w:t xml:space="preserve">nor </w:t>
      </w:r>
      <w:r w:rsidR="002C0877" w:rsidRPr="00110AAD">
        <w:rPr>
          <w:szCs w:val="22"/>
        </w:rPr>
        <w:t>re</w:t>
      </w:r>
      <w:r w:rsidR="00FF2801" w:rsidRPr="00110AAD">
        <w:rPr>
          <w:szCs w:val="22"/>
        </w:rPr>
        <w:t xml:space="preserve">submission </w:t>
      </w:r>
      <w:r w:rsidR="002C0877" w:rsidRPr="00110AAD">
        <w:rPr>
          <w:szCs w:val="22"/>
        </w:rPr>
        <w:t>provided an updated proposed restriction, patient number</w:t>
      </w:r>
      <w:r w:rsidR="00E9076C" w:rsidRPr="00110AAD">
        <w:rPr>
          <w:szCs w:val="22"/>
        </w:rPr>
        <w:t>s</w:t>
      </w:r>
      <w:r w:rsidR="002C0877" w:rsidRPr="00110AAD">
        <w:rPr>
          <w:szCs w:val="22"/>
        </w:rPr>
        <w:t xml:space="preserve"> </w:t>
      </w:r>
      <w:r w:rsidR="00942992" w:rsidRPr="00110AAD">
        <w:rPr>
          <w:szCs w:val="22"/>
        </w:rPr>
        <w:t>and financial estimates, and a r</w:t>
      </w:r>
      <w:r w:rsidR="002C0877" w:rsidRPr="00110AAD">
        <w:rPr>
          <w:szCs w:val="22"/>
        </w:rPr>
        <w:t xml:space="preserve">isk </w:t>
      </w:r>
      <w:r w:rsidR="00942992" w:rsidRPr="00110AAD">
        <w:rPr>
          <w:szCs w:val="22"/>
        </w:rPr>
        <w:t>s</w:t>
      </w:r>
      <w:r w:rsidR="002C0877" w:rsidRPr="00110AAD">
        <w:rPr>
          <w:szCs w:val="22"/>
        </w:rPr>
        <w:t>har</w:t>
      </w:r>
      <w:r w:rsidR="00F001D5" w:rsidRPr="00110AAD">
        <w:rPr>
          <w:szCs w:val="22"/>
        </w:rPr>
        <w:t>ing</w:t>
      </w:r>
      <w:r w:rsidR="002C0877" w:rsidRPr="00110AAD">
        <w:rPr>
          <w:szCs w:val="22"/>
        </w:rPr>
        <w:t xml:space="preserve"> </w:t>
      </w:r>
      <w:r w:rsidR="00942992" w:rsidRPr="00110AAD">
        <w:rPr>
          <w:szCs w:val="22"/>
        </w:rPr>
        <w:t>a</w:t>
      </w:r>
      <w:r w:rsidR="002C0877" w:rsidRPr="00110AAD">
        <w:rPr>
          <w:szCs w:val="22"/>
        </w:rPr>
        <w:t xml:space="preserve">rrangement proposal </w:t>
      </w:r>
      <w:r w:rsidR="00516629" w:rsidRPr="00110AAD">
        <w:rPr>
          <w:szCs w:val="22"/>
        </w:rPr>
        <w:t>in response to the PBAC November 2016 deferral of an application to list vorinostat for cutaneous T-cell lymphoma (CTCL).</w:t>
      </w:r>
    </w:p>
    <w:p w:rsidR="00EF44A0" w:rsidRPr="00110AAD" w:rsidRDefault="00EF44A0" w:rsidP="00C27B58">
      <w:pPr>
        <w:pStyle w:val="NoSpacing"/>
      </w:pPr>
    </w:p>
    <w:p w:rsidR="00962223" w:rsidRPr="00110AAD" w:rsidRDefault="006A12A5" w:rsidP="008A50F1">
      <w:pPr>
        <w:pStyle w:val="PBACHeading1"/>
      </w:pPr>
      <w:r w:rsidRPr="00110AAD">
        <w:t>Requested listing</w:t>
      </w:r>
    </w:p>
    <w:p w:rsidR="006A12A5" w:rsidRPr="00110AAD" w:rsidRDefault="006A12A5" w:rsidP="00882085">
      <w:pPr>
        <w:jc w:val="both"/>
        <w:rPr>
          <w:rFonts w:ascii="Arial" w:hAnsi="Arial"/>
          <w:b/>
          <w:sz w:val="22"/>
          <w:szCs w:val="22"/>
        </w:rPr>
      </w:pPr>
    </w:p>
    <w:p w:rsidR="00826F6D" w:rsidRPr="00110AAD" w:rsidRDefault="00EF44A0" w:rsidP="00516629">
      <w:pPr>
        <w:pStyle w:val="ListParagraph"/>
        <w:numPr>
          <w:ilvl w:val="1"/>
          <w:numId w:val="5"/>
        </w:numPr>
        <w:rPr>
          <w:szCs w:val="22"/>
        </w:rPr>
      </w:pPr>
      <w:r w:rsidRPr="00110AAD">
        <w:rPr>
          <w:szCs w:val="22"/>
        </w:rPr>
        <w:t xml:space="preserve">The submission </w:t>
      </w:r>
      <w:r w:rsidR="00516629" w:rsidRPr="00110AAD">
        <w:rPr>
          <w:szCs w:val="22"/>
        </w:rPr>
        <w:t>proposed</w:t>
      </w:r>
      <w:r w:rsidR="00834623" w:rsidRPr="00110AAD">
        <w:rPr>
          <w:szCs w:val="22"/>
        </w:rPr>
        <w:t xml:space="preserve"> that the </w:t>
      </w:r>
      <w:r w:rsidR="00516629" w:rsidRPr="00110AAD">
        <w:rPr>
          <w:szCs w:val="22"/>
        </w:rPr>
        <w:t>restriction</w:t>
      </w:r>
      <w:r w:rsidR="00834623" w:rsidRPr="00110AAD">
        <w:rPr>
          <w:szCs w:val="22"/>
        </w:rPr>
        <w:t xml:space="preserve"> be</w:t>
      </w:r>
      <w:r w:rsidR="00516629" w:rsidRPr="00110AAD">
        <w:rPr>
          <w:szCs w:val="22"/>
        </w:rPr>
        <w:t xml:space="preserve"> consistent with</w:t>
      </w:r>
      <w:r w:rsidR="00B63A05" w:rsidRPr="00110AAD">
        <w:rPr>
          <w:szCs w:val="22"/>
        </w:rPr>
        <w:t xml:space="preserve"> the</w:t>
      </w:r>
      <w:r w:rsidR="00516629" w:rsidRPr="00110AAD">
        <w:rPr>
          <w:szCs w:val="22"/>
        </w:rPr>
        <w:t xml:space="preserve"> </w:t>
      </w:r>
      <w:r w:rsidR="00224AE9" w:rsidRPr="00110AAD">
        <w:rPr>
          <w:szCs w:val="22"/>
        </w:rPr>
        <w:t>secretariat</w:t>
      </w:r>
      <w:r w:rsidR="00516629" w:rsidRPr="00110AAD">
        <w:rPr>
          <w:szCs w:val="22"/>
        </w:rPr>
        <w:t xml:space="preserve"> proposed</w:t>
      </w:r>
      <w:r w:rsidR="00224AE9" w:rsidRPr="00110AAD">
        <w:rPr>
          <w:szCs w:val="22"/>
        </w:rPr>
        <w:t xml:space="preserve"> wording from the November 2016</w:t>
      </w:r>
      <w:r w:rsidR="00834623" w:rsidRPr="00110AAD">
        <w:rPr>
          <w:szCs w:val="22"/>
        </w:rPr>
        <w:t xml:space="preserve"> PBAC</w:t>
      </w:r>
      <w:r w:rsidR="00224AE9" w:rsidRPr="00110AAD">
        <w:rPr>
          <w:szCs w:val="22"/>
        </w:rPr>
        <w:t xml:space="preserve"> meeting.</w:t>
      </w:r>
      <w:r w:rsidR="00516629" w:rsidRPr="00110AAD">
        <w:rPr>
          <w:szCs w:val="22"/>
        </w:rPr>
        <w:t xml:space="preserve"> </w:t>
      </w:r>
      <w:r w:rsidR="00942992" w:rsidRPr="00110AAD">
        <w:t>However</w:t>
      </w:r>
      <w:r w:rsidR="00B63A05" w:rsidRPr="00110AAD">
        <w:t xml:space="preserve"> the submission did not include </w:t>
      </w:r>
      <w:r w:rsidR="00834623" w:rsidRPr="00110AAD">
        <w:t xml:space="preserve">additional amendments </w:t>
      </w:r>
      <w:r w:rsidR="00224AE9" w:rsidRPr="00110AAD">
        <w:rPr>
          <w:szCs w:val="22"/>
        </w:rPr>
        <w:t xml:space="preserve">recommended by the PBAC (vorinostat </w:t>
      </w:r>
      <w:r w:rsidR="002877BC">
        <w:rPr>
          <w:szCs w:val="22"/>
        </w:rPr>
        <w:t>Public Summary Document</w:t>
      </w:r>
      <w:r w:rsidR="003F7126">
        <w:rPr>
          <w:szCs w:val="22"/>
        </w:rPr>
        <w:t xml:space="preserve"> (PSD)</w:t>
      </w:r>
      <w:r w:rsidR="002877BC">
        <w:rPr>
          <w:szCs w:val="22"/>
        </w:rPr>
        <w:t xml:space="preserve">, </w:t>
      </w:r>
      <w:r w:rsidR="00224AE9" w:rsidRPr="00110AAD">
        <w:rPr>
          <w:szCs w:val="22"/>
        </w:rPr>
        <w:t>November 2016, paragraph</w:t>
      </w:r>
      <w:r w:rsidR="00942992" w:rsidRPr="00110AAD">
        <w:rPr>
          <w:szCs w:val="22"/>
        </w:rPr>
        <w:t>s</w:t>
      </w:r>
      <w:r w:rsidR="00224AE9" w:rsidRPr="00110AAD">
        <w:rPr>
          <w:szCs w:val="22"/>
        </w:rPr>
        <w:t xml:space="preserve"> 2.7</w:t>
      </w:r>
      <w:r w:rsidR="00942992" w:rsidRPr="00110AAD">
        <w:rPr>
          <w:szCs w:val="22"/>
        </w:rPr>
        <w:t xml:space="preserve"> and 7.10</w:t>
      </w:r>
      <w:r w:rsidR="00224AE9" w:rsidRPr="00110AAD">
        <w:rPr>
          <w:szCs w:val="22"/>
        </w:rPr>
        <w:t>)</w:t>
      </w:r>
      <w:r w:rsidR="00B63CA2" w:rsidRPr="00110AAD">
        <w:rPr>
          <w:szCs w:val="22"/>
        </w:rPr>
        <w:t>;</w:t>
      </w:r>
      <w:r w:rsidR="00942992" w:rsidRPr="00110AAD">
        <w:rPr>
          <w:szCs w:val="22"/>
        </w:rPr>
        <w:t xml:space="preserve"> these</w:t>
      </w:r>
      <w:r w:rsidR="00224AE9" w:rsidRPr="00110AAD">
        <w:rPr>
          <w:szCs w:val="22"/>
        </w:rPr>
        <w:t xml:space="preserve"> have been indicated</w:t>
      </w:r>
      <w:r w:rsidR="00942992" w:rsidRPr="00110AAD">
        <w:rPr>
          <w:szCs w:val="22"/>
        </w:rPr>
        <w:t xml:space="preserve"> below</w:t>
      </w:r>
      <w:r w:rsidR="00224AE9" w:rsidRPr="00110AAD">
        <w:rPr>
          <w:szCs w:val="22"/>
        </w:rPr>
        <w:t xml:space="preserve"> in italics for additions and strikethrough for deletions.</w:t>
      </w:r>
      <w:r w:rsidRPr="00110AAD">
        <w:rPr>
          <w:szCs w:val="22"/>
        </w:rPr>
        <w:t xml:space="preserve"> </w:t>
      </w:r>
      <w:r w:rsidR="00516629" w:rsidRPr="00110AAD">
        <w:rPr>
          <w:szCs w:val="22"/>
        </w:rPr>
        <w:t>An abridged version of the proposed listing, which omits the Administrative Advice, including the notes that no increase to the maximum quantity or repeats will be authorised, is presented.</w:t>
      </w:r>
    </w:p>
    <w:p w:rsidR="00D17654" w:rsidRDefault="00D17654">
      <w:pPr>
        <w:rPr>
          <w:rFonts w:ascii="Arial" w:hAnsi="Arial" w:cs="Arial"/>
          <w:snapToGrid w:val="0"/>
          <w:sz w:val="22"/>
          <w:szCs w:val="20"/>
          <w:lang w:eastAsia="en-US"/>
        </w:rPr>
      </w:pPr>
      <w:r>
        <w:br w:type="page"/>
      </w:r>
    </w:p>
    <w:tbl>
      <w:tblPr>
        <w:tblW w:w="8501" w:type="dxa"/>
        <w:tblInd w:w="817" w:type="dxa"/>
        <w:tblLayout w:type="fixed"/>
        <w:tblLook w:val="04A0" w:firstRow="1" w:lastRow="0" w:firstColumn="1" w:lastColumn="0" w:noHBand="0" w:noVBand="1"/>
      </w:tblPr>
      <w:tblGrid>
        <w:gridCol w:w="1559"/>
        <w:gridCol w:w="566"/>
        <w:gridCol w:w="285"/>
        <w:gridCol w:w="2126"/>
        <w:gridCol w:w="1132"/>
        <w:gridCol w:w="1278"/>
        <w:gridCol w:w="1555"/>
      </w:tblGrid>
      <w:tr w:rsidR="002C0877" w:rsidRPr="00110AAD" w:rsidTr="002C0877">
        <w:trPr>
          <w:cantSplit/>
          <w:trHeight w:val="20"/>
        </w:trPr>
        <w:tc>
          <w:tcPr>
            <w:tcW w:w="1559" w:type="dxa"/>
            <w:tcBorders>
              <w:top w:val="nil"/>
              <w:left w:val="nil"/>
              <w:bottom w:val="single" w:sz="4" w:space="0" w:color="auto"/>
              <w:right w:val="nil"/>
            </w:tcBorders>
            <w:shd w:val="clear" w:color="auto" w:fill="auto"/>
            <w:hideMark/>
          </w:tcPr>
          <w:p w:rsidR="002C0877" w:rsidRPr="00110AAD" w:rsidRDefault="002C0877" w:rsidP="002C0877">
            <w:pPr>
              <w:keepNext/>
              <w:ind w:left="-108"/>
              <w:rPr>
                <w:rFonts w:ascii="Arial Narrow" w:hAnsi="Arial Narrow"/>
                <w:sz w:val="20"/>
              </w:rPr>
            </w:pPr>
            <w:r w:rsidRPr="00110AAD">
              <w:rPr>
                <w:rFonts w:ascii="Arial Narrow" w:hAnsi="Arial Narrow"/>
                <w:sz w:val="20"/>
              </w:rPr>
              <w:lastRenderedPageBreak/>
              <w:t>Name, Restriction,</w:t>
            </w:r>
          </w:p>
          <w:p w:rsidR="002C0877" w:rsidRPr="00110AAD" w:rsidRDefault="002C0877" w:rsidP="002C0877">
            <w:pPr>
              <w:keepNext/>
              <w:ind w:left="-108"/>
              <w:rPr>
                <w:rFonts w:ascii="Arial Narrow" w:hAnsi="Arial Narrow"/>
                <w:sz w:val="20"/>
              </w:rPr>
            </w:pPr>
            <w:r w:rsidRPr="00110AAD">
              <w:rPr>
                <w:rFonts w:ascii="Arial Narrow" w:hAnsi="Arial Narrow"/>
                <w:sz w:val="20"/>
              </w:rPr>
              <w:t>Manner of administration and form</w:t>
            </w:r>
          </w:p>
        </w:tc>
        <w:tc>
          <w:tcPr>
            <w:tcW w:w="851" w:type="dxa"/>
            <w:gridSpan w:val="2"/>
            <w:tcBorders>
              <w:top w:val="nil"/>
              <w:left w:val="nil"/>
              <w:bottom w:val="single" w:sz="4" w:space="0" w:color="auto"/>
              <w:right w:val="nil"/>
            </w:tcBorders>
            <w:shd w:val="clear" w:color="auto" w:fill="auto"/>
            <w:vAlign w:val="center"/>
            <w:hideMark/>
          </w:tcPr>
          <w:p w:rsidR="002C0877" w:rsidRPr="00110AAD" w:rsidRDefault="002C0877" w:rsidP="002C0877">
            <w:pPr>
              <w:keepNext/>
              <w:ind w:left="-108"/>
              <w:jc w:val="center"/>
              <w:rPr>
                <w:rFonts w:ascii="Arial Narrow" w:hAnsi="Arial Narrow"/>
                <w:sz w:val="20"/>
              </w:rPr>
            </w:pPr>
            <w:r w:rsidRPr="00110AAD">
              <w:rPr>
                <w:rFonts w:ascii="Arial Narrow" w:hAnsi="Arial Narrow"/>
                <w:sz w:val="20"/>
              </w:rPr>
              <w:t>Max.</w:t>
            </w:r>
          </w:p>
          <w:p w:rsidR="002C0877" w:rsidRPr="00110AAD" w:rsidRDefault="002C0877" w:rsidP="002C0877">
            <w:pPr>
              <w:keepNext/>
              <w:ind w:left="-108"/>
              <w:jc w:val="center"/>
              <w:rPr>
                <w:rFonts w:ascii="Arial Narrow" w:hAnsi="Arial Narrow"/>
                <w:sz w:val="20"/>
              </w:rPr>
            </w:pPr>
            <w:r w:rsidRPr="00110AAD">
              <w:rPr>
                <w:rFonts w:ascii="Arial Narrow" w:hAnsi="Arial Narrow"/>
                <w:sz w:val="20"/>
              </w:rPr>
              <w:t>Qty.</w:t>
            </w:r>
          </w:p>
          <w:p w:rsidR="002C0877" w:rsidRPr="00110AAD" w:rsidRDefault="002C0877" w:rsidP="002C0877">
            <w:pPr>
              <w:keepNext/>
              <w:ind w:left="-108"/>
              <w:jc w:val="center"/>
              <w:rPr>
                <w:rFonts w:ascii="Arial Narrow" w:hAnsi="Arial Narrow"/>
                <w:strike/>
                <w:sz w:val="20"/>
              </w:rPr>
            </w:pPr>
            <w:r w:rsidRPr="00110AAD">
              <w:rPr>
                <w:rFonts w:ascii="Arial Narrow" w:hAnsi="Arial Narrow"/>
                <w:strike/>
                <w:sz w:val="20"/>
              </w:rPr>
              <w:t>(units)</w:t>
            </w:r>
          </w:p>
        </w:tc>
        <w:tc>
          <w:tcPr>
            <w:tcW w:w="2126" w:type="dxa"/>
            <w:tcBorders>
              <w:top w:val="nil"/>
              <w:left w:val="nil"/>
              <w:bottom w:val="single" w:sz="4" w:space="0" w:color="auto"/>
              <w:right w:val="nil"/>
            </w:tcBorders>
            <w:shd w:val="clear" w:color="auto" w:fill="auto"/>
            <w:vAlign w:val="center"/>
            <w:hideMark/>
          </w:tcPr>
          <w:p w:rsidR="002C0877" w:rsidRPr="00110AAD" w:rsidRDefault="002C0877" w:rsidP="002C0877">
            <w:pPr>
              <w:keepNext/>
              <w:ind w:left="-108"/>
              <w:jc w:val="center"/>
              <w:rPr>
                <w:rFonts w:ascii="Arial Narrow" w:hAnsi="Arial Narrow"/>
                <w:sz w:val="20"/>
              </w:rPr>
            </w:pPr>
            <w:r w:rsidRPr="00110AAD">
              <w:rPr>
                <w:rFonts w:ascii="Arial Narrow" w:hAnsi="Arial Narrow"/>
                <w:sz w:val="20"/>
              </w:rPr>
              <w:t>№.of</w:t>
            </w:r>
          </w:p>
          <w:p w:rsidR="002C0877" w:rsidRPr="00110AAD" w:rsidRDefault="002C0877" w:rsidP="002C0877">
            <w:pPr>
              <w:keepNext/>
              <w:ind w:left="-108"/>
              <w:jc w:val="center"/>
              <w:rPr>
                <w:rFonts w:ascii="Arial Narrow" w:hAnsi="Arial Narrow"/>
                <w:sz w:val="20"/>
              </w:rPr>
            </w:pPr>
            <w:r w:rsidRPr="00110AAD">
              <w:rPr>
                <w:rFonts w:ascii="Arial Narrow" w:hAnsi="Arial Narrow"/>
                <w:sz w:val="20"/>
              </w:rPr>
              <w:t>Rpts</w:t>
            </w:r>
          </w:p>
        </w:tc>
        <w:tc>
          <w:tcPr>
            <w:tcW w:w="1132" w:type="dxa"/>
            <w:tcBorders>
              <w:top w:val="nil"/>
              <w:left w:val="nil"/>
              <w:bottom w:val="single" w:sz="4" w:space="0" w:color="auto"/>
              <w:right w:val="nil"/>
            </w:tcBorders>
            <w:shd w:val="clear" w:color="auto" w:fill="auto"/>
            <w:vAlign w:val="center"/>
            <w:hideMark/>
          </w:tcPr>
          <w:p w:rsidR="002C0877" w:rsidRPr="00110AAD" w:rsidRDefault="002C0877" w:rsidP="002C0877">
            <w:pPr>
              <w:keepNext/>
              <w:ind w:left="-108"/>
              <w:jc w:val="center"/>
              <w:rPr>
                <w:rFonts w:ascii="Arial Narrow" w:hAnsi="Arial Narrow"/>
                <w:sz w:val="20"/>
              </w:rPr>
            </w:pPr>
            <w:r w:rsidRPr="00110AAD">
              <w:rPr>
                <w:rFonts w:ascii="Arial Narrow" w:hAnsi="Arial Narrow"/>
                <w:sz w:val="20"/>
              </w:rPr>
              <w:t>Dispensed Price for Max. Qty</w:t>
            </w:r>
          </w:p>
        </w:tc>
        <w:tc>
          <w:tcPr>
            <w:tcW w:w="2833" w:type="dxa"/>
            <w:gridSpan w:val="2"/>
            <w:tcBorders>
              <w:top w:val="nil"/>
              <w:left w:val="nil"/>
              <w:bottom w:val="single" w:sz="4" w:space="0" w:color="auto"/>
              <w:right w:val="nil"/>
            </w:tcBorders>
            <w:shd w:val="clear" w:color="auto" w:fill="auto"/>
            <w:vAlign w:val="center"/>
            <w:hideMark/>
          </w:tcPr>
          <w:p w:rsidR="002C0877" w:rsidRPr="00110AAD" w:rsidRDefault="002C0877" w:rsidP="002C0877">
            <w:pPr>
              <w:keepNext/>
              <w:jc w:val="center"/>
              <w:rPr>
                <w:rFonts w:ascii="Arial Narrow" w:hAnsi="Arial Narrow"/>
                <w:sz w:val="20"/>
              </w:rPr>
            </w:pPr>
            <w:r w:rsidRPr="00110AAD">
              <w:rPr>
                <w:rFonts w:ascii="Arial Narrow" w:hAnsi="Arial Narrow"/>
                <w:sz w:val="20"/>
              </w:rPr>
              <w:t>Proprietary Name and Manufacturer</w:t>
            </w:r>
          </w:p>
        </w:tc>
      </w:tr>
      <w:tr w:rsidR="002C0877" w:rsidRPr="00110AAD" w:rsidTr="002C0877">
        <w:trPr>
          <w:cantSplit/>
          <w:trHeight w:val="20"/>
        </w:trPr>
        <w:tc>
          <w:tcPr>
            <w:tcW w:w="1559" w:type="dxa"/>
            <w:shd w:val="clear" w:color="auto" w:fill="auto"/>
            <w:hideMark/>
          </w:tcPr>
          <w:p w:rsidR="002C0877" w:rsidRPr="00110AAD" w:rsidRDefault="002C0877" w:rsidP="002C0877">
            <w:pPr>
              <w:keepNext/>
              <w:ind w:left="-108"/>
              <w:rPr>
                <w:rFonts w:ascii="Arial Narrow" w:hAnsi="Arial Narrow"/>
                <w:sz w:val="20"/>
              </w:rPr>
            </w:pPr>
            <w:r w:rsidRPr="00110AAD">
              <w:rPr>
                <w:rFonts w:ascii="Arial Narrow" w:hAnsi="Arial Narrow"/>
                <w:smallCaps/>
                <w:sz w:val="20"/>
              </w:rPr>
              <w:t>VORINOSTAT</w:t>
            </w:r>
          </w:p>
          <w:p w:rsidR="002C0877" w:rsidRPr="00110AAD" w:rsidRDefault="002C0877" w:rsidP="002C0877">
            <w:pPr>
              <w:keepNext/>
              <w:ind w:left="-108"/>
              <w:rPr>
                <w:rFonts w:ascii="Arial Narrow" w:hAnsi="Arial Narrow"/>
                <w:sz w:val="20"/>
              </w:rPr>
            </w:pPr>
            <w:r w:rsidRPr="00110AAD">
              <w:rPr>
                <w:rFonts w:ascii="Arial Narrow" w:hAnsi="Arial Narrow"/>
                <w:sz w:val="20"/>
              </w:rPr>
              <w:t>vorinostat 100 mg capsule, 120</w:t>
            </w:r>
          </w:p>
        </w:tc>
        <w:tc>
          <w:tcPr>
            <w:tcW w:w="851" w:type="dxa"/>
            <w:gridSpan w:val="2"/>
            <w:shd w:val="clear" w:color="auto" w:fill="auto"/>
            <w:vAlign w:val="center"/>
          </w:tcPr>
          <w:p w:rsidR="002C0877" w:rsidRPr="00110AAD" w:rsidRDefault="002C0877" w:rsidP="002C0877">
            <w:pPr>
              <w:keepNext/>
              <w:ind w:left="-108"/>
              <w:jc w:val="center"/>
              <w:rPr>
                <w:rFonts w:ascii="Arial Narrow" w:hAnsi="Arial Narrow"/>
                <w:sz w:val="20"/>
              </w:rPr>
            </w:pPr>
            <w:r w:rsidRPr="00110AAD">
              <w:rPr>
                <w:rFonts w:ascii="Arial Narrow" w:hAnsi="Arial Narrow"/>
                <w:sz w:val="20"/>
              </w:rPr>
              <w:t>1</w:t>
            </w:r>
            <w:r w:rsidRPr="00110AAD">
              <w:rPr>
                <w:rFonts w:ascii="Arial Narrow" w:hAnsi="Arial Narrow"/>
                <w:strike/>
                <w:sz w:val="20"/>
              </w:rPr>
              <w:t>20</w:t>
            </w:r>
          </w:p>
        </w:tc>
        <w:tc>
          <w:tcPr>
            <w:tcW w:w="2126" w:type="dxa"/>
            <w:shd w:val="clear" w:color="auto" w:fill="auto"/>
            <w:vAlign w:val="center"/>
          </w:tcPr>
          <w:p w:rsidR="002C0877" w:rsidRPr="00110AAD" w:rsidRDefault="002C0877" w:rsidP="002C0877">
            <w:pPr>
              <w:keepNext/>
              <w:ind w:left="-108"/>
              <w:jc w:val="center"/>
              <w:rPr>
                <w:rFonts w:ascii="Arial Narrow" w:hAnsi="Arial Narrow"/>
                <w:sz w:val="20"/>
              </w:rPr>
            </w:pPr>
            <w:r w:rsidRPr="00110AAD">
              <w:rPr>
                <w:rFonts w:ascii="Arial Narrow" w:hAnsi="Arial Narrow"/>
                <w:sz w:val="20"/>
              </w:rPr>
              <w:t>Initial therapy: 2</w:t>
            </w:r>
          </w:p>
          <w:p w:rsidR="002C0877" w:rsidRPr="00110AAD" w:rsidRDefault="002C0877" w:rsidP="002C0877">
            <w:pPr>
              <w:keepNext/>
              <w:ind w:left="-108"/>
              <w:jc w:val="center"/>
              <w:rPr>
                <w:rFonts w:ascii="Arial Narrow" w:hAnsi="Arial Narrow"/>
                <w:sz w:val="20"/>
              </w:rPr>
            </w:pPr>
            <w:r w:rsidRPr="00110AAD">
              <w:rPr>
                <w:rFonts w:ascii="Arial Narrow" w:hAnsi="Arial Narrow"/>
                <w:sz w:val="20"/>
              </w:rPr>
              <w:t>Continuing therapy: 1</w:t>
            </w:r>
          </w:p>
          <w:p w:rsidR="002C0877" w:rsidRPr="00110AAD" w:rsidRDefault="002C0877" w:rsidP="002C0877">
            <w:pPr>
              <w:keepNext/>
              <w:ind w:left="-108"/>
              <w:jc w:val="center"/>
              <w:rPr>
                <w:rFonts w:ascii="Arial Narrow" w:hAnsi="Arial Narrow"/>
                <w:sz w:val="20"/>
              </w:rPr>
            </w:pPr>
          </w:p>
        </w:tc>
        <w:tc>
          <w:tcPr>
            <w:tcW w:w="1132" w:type="dxa"/>
            <w:shd w:val="clear" w:color="auto" w:fill="auto"/>
            <w:vAlign w:val="center"/>
          </w:tcPr>
          <w:p w:rsidR="002C0877" w:rsidRPr="00110AAD" w:rsidRDefault="002C0877" w:rsidP="00EB3AE6">
            <w:pPr>
              <w:keepNext/>
              <w:ind w:left="-108"/>
              <w:jc w:val="center"/>
              <w:rPr>
                <w:rFonts w:ascii="Arial Narrow" w:hAnsi="Arial Narrow"/>
                <w:sz w:val="20"/>
              </w:rPr>
            </w:pPr>
            <w:r w:rsidRPr="00110AAD">
              <w:rPr>
                <w:rFonts w:ascii="Arial Narrow" w:hAnsi="Arial Narrow"/>
                <w:sz w:val="20"/>
              </w:rPr>
              <w:t>$</w:t>
            </w:r>
            <w:r w:rsidR="00655C1D">
              <w:rPr>
                <w:rFonts w:ascii="Arial Narrow" w:hAnsi="Arial Narrow"/>
                <w:noProof/>
                <w:color w:val="000000"/>
                <w:sz w:val="20"/>
                <w:highlight w:val="black"/>
              </w:rPr>
              <w:t>''''''''''''</w:t>
            </w:r>
          </w:p>
        </w:tc>
        <w:tc>
          <w:tcPr>
            <w:tcW w:w="1278" w:type="dxa"/>
            <w:shd w:val="clear" w:color="auto" w:fill="auto"/>
            <w:vAlign w:val="center"/>
            <w:hideMark/>
          </w:tcPr>
          <w:p w:rsidR="002C0877" w:rsidRPr="00110AAD" w:rsidRDefault="002C0877" w:rsidP="002C0877">
            <w:pPr>
              <w:keepNext/>
              <w:jc w:val="center"/>
              <w:rPr>
                <w:rFonts w:ascii="Arial Narrow" w:hAnsi="Arial Narrow"/>
                <w:sz w:val="20"/>
              </w:rPr>
            </w:pPr>
            <w:r w:rsidRPr="00110AAD">
              <w:rPr>
                <w:rFonts w:ascii="Arial Narrow" w:hAnsi="Arial Narrow"/>
                <w:sz w:val="20"/>
              </w:rPr>
              <w:t>Zolinza®</w:t>
            </w:r>
          </w:p>
        </w:tc>
        <w:tc>
          <w:tcPr>
            <w:tcW w:w="1555" w:type="dxa"/>
            <w:shd w:val="clear" w:color="auto" w:fill="auto"/>
            <w:vAlign w:val="center"/>
            <w:hideMark/>
          </w:tcPr>
          <w:p w:rsidR="002C0877" w:rsidRPr="00110AAD" w:rsidRDefault="002C0877" w:rsidP="002C0877">
            <w:pPr>
              <w:keepNext/>
              <w:jc w:val="center"/>
              <w:rPr>
                <w:rFonts w:ascii="Arial Narrow" w:hAnsi="Arial Narrow"/>
                <w:sz w:val="20"/>
              </w:rPr>
            </w:pPr>
            <w:r w:rsidRPr="00110AAD">
              <w:rPr>
                <w:rFonts w:ascii="Arial Narrow" w:hAnsi="Arial Narrow"/>
                <w:sz w:val="20"/>
              </w:rPr>
              <w:t>Merck Sharp &amp; Dohme (Australia) Pty Ltd</w:t>
            </w:r>
          </w:p>
        </w:tc>
      </w:tr>
      <w:tr w:rsidR="002C0877" w:rsidRPr="00110AAD" w:rsidTr="002C0877">
        <w:trPr>
          <w:cantSplit/>
          <w:trHeight w:val="20"/>
        </w:trPr>
        <w:tc>
          <w:tcPr>
            <w:tcW w:w="8501" w:type="dxa"/>
            <w:gridSpan w:val="7"/>
            <w:tcBorders>
              <w:top w:val="nil"/>
              <w:left w:val="nil"/>
              <w:bottom w:val="single" w:sz="4" w:space="0" w:color="auto"/>
              <w:right w:val="nil"/>
            </w:tcBorders>
          </w:tcPr>
          <w:p w:rsidR="002C0877" w:rsidRPr="00110AAD" w:rsidRDefault="002C0877" w:rsidP="002C0877">
            <w:pPr>
              <w:rPr>
                <w:rFonts w:ascii="Arial Narrow" w:hAnsi="Arial Narrow"/>
                <w:sz w:val="20"/>
              </w:rPr>
            </w:pPr>
          </w:p>
        </w:tc>
      </w:tr>
      <w:tr w:rsidR="002C0877" w:rsidRPr="00110AAD" w:rsidTr="002C0877">
        <w:trPr>
          <w:cantSplit/>
          <w:trHeight w:val="20"/>
        </w:trPr>
        <w:tc>
          <w:tcPr>
            <w:tcW w:w="2125" w:type="dxa"/>
            <w:gridSpan w:val="2"/>
            <w:tcBorders>
              <w:top w:val="single" w:sz="4" w:space="0" w:color="auto"/>
              <w:left w:val="single" w:sz="4" w:space="0" w:color="auto"/>
              <w:bottom w:val="single" w:sz="4" w:space="0" w:color="auto"/>
              <w:right w:val="single" w:sz="4" w:space="0" w:color="auto"/>
            </w:tcBorders>
            <w:hideMark/>
          </w:tcPr>
          <w:p w:rsidR="002C0877" w:rsidRPr="00110AAD" w:rsidRDefault="002C0877" w:rsidP="002C0877">
            <w:pPr>
              <w:rPr>
                <w:rFonts w:ascii="Arial Narrow" w:hAnsi="Arial Narrow"/>
                <w:b/>
                <w:sz w:val="20"/>
              </w:rPr>
            </w:pPr>
            <w:r w:rsidRPr="00110AAD">
              <w:rPr>
                <w:rFonts w:ascii="Arial Narrow" w:hAnsi="Arial Narrow"/>
                <w:b/>
                <w:sz w:val="20"/>
              </w:rPr>
              <w:t>Category / Program</w:t>
            </w:r>
          </w:p>
        </w:tc>
        <w:tc>
          <w:tcPr>
            <w:tcW w:w="6376" w:type="dxa"/>
            <w:gridSpan w:val="5"/>
            <w:tcBorders>
              <w:top w:val="single" w:sz="4" w:space="0" w:color="auto"/>
              <w:left w:val="single" w:sz="4" w:space="0" w:color="auto"/>
              <w:bottom w:val="single" w:sz="4" w:space="0" w:color="auto"/>
              <w:right w:val="single" w:sz="4" w:space="0" w:color="auto"/>
            </w:tcBorders>
            <w:hideMark/>
          </w:tcPr>
          <w:p w:rsidR="002C0877" w:rsidRPr="00110AAD" w:rsidRDefault="002C0877" w:rsidP="002C0877">
            <w:pPr>
              <w:rPr>
                <w:rFonts w:ascii="Arial Narrow" w:hAnsi="Arial Narrow"/>
                <w:sz w:val="20"/>
              </w:rPr>
            </w:pPr>
            <w:r w:rsidRPr="00110AAD">
              <w:rPr>
                <w:rFonts w:ascii="Arial Narrow" w:hAnsi="Arial Narrow"/>
                <w:sz w:val="20"/>
              </w:rPr>
              <w:t>General Schedule</w:t>
            </w:r>
          </w:p>
        </w:tc>
      </w:tr>
      <w:tr w:rsidR="002C0877" w:rsidRPr="00110AAD" w:rsidTr="002C0877">
        <w:trPr>
          <w:cantSplit/>
          <w:trHeight w:val="20"/>
        </w:trPr>
        <w:tc>
          <w:tcPr>
            <w:tcW w:w="2125" w:type="dxa"/>
            <w:gridSpan w:val="2"/>
            <w:tcBorders>
              <w:top w:val="single" w:sz="4" w:space="0" w:color="auto"/>
              <w:left w:val="single" w:sz="4" w:space="0" w:color="auto"/>
              <w:bottom w:val="single" w:sz="4" w:space="0" w:color="auto"/>
              <w:right w:val="single" w:sz="4" w:space="0" w:color="auto"/>
            </w:tcBorders>
          </w:tcPr>
          <w:p w:rsidR="002C0877" w:rsidRPr="00110AAD" w:rsidRDefault="002C0877" w:rsidP="002C0877">
            <w:pPr>
              <w:rPr>
                <w:rFonts w:ascii="Arial Narrow" w:hAnsi="Arial Narrow"/>
                <w:b/>
                <w:sz w:val="20"/>
              </w:rPr>
            </w:pPr>
            <w:r w:rsidRPr="00110AAD">
              <w:rPr>
                <w:rFonts w:ascii="Arial Narrow" w:hAnsi="Arial Narrow"/>
                <w:b/>
                <w:sz w:val="20"/>
              </w:rPr>
              <w:t>Prescriber type:</w:t>
            </w:r>
          </w:p>
          <w:p w:rsidR="002C0877" w:rsidRPr="00110AAD" w:rsidRDefault="002C0877" w:rsidP="002C0877">
            <w:pPr>
              <w:rPr>
                <w:rFonts w:ascii="Arial Narrow" w:hAnsi="Arial Narrow"/>
                <w:b/>
                <w:sz w:val="20"/>
              </w:rPr>
            </w:pPr>
          </w:p>
        </w:tc>
        <w:tc>
          <w:tcPr>
            <w:tcW w:w="6376" w:type="dxa"/>
            <w:gridSpan w:val="5"/>
            <w:tcBorders>
              <w:top w:val="single" w:sz="4" w:space="0" w:color="auto"/>
              <w:left w:val="single" w:sz="4" w:space="0" w:color="auto"/>
              <w:bottom w:val="single" w:sz="4" w:space="0" w:color="auto"/>
              <w:right w:val="single" w:sz="4" w:space="0" w:color="auto"/>
            </w:tcBorders>
            <w:hideMark/>
          </w:tcPr>
          <w:p w:rsidR="002C0877" w:rsidRPr="00110AAD" w:rsidRDefault="002C0877" w:rsidP="002C0877">
            <w:pPr>
              <w:rPr>
                <w:rFonts w:ascii="Arial Narrow" w:hAnsi="Arial Narrow"/>
                <w:sz w:val="20"/>
              </w:rPr>
            </w:pPr>
            <w:r w:rsidRPr="00110AAD">
              <w:rPr>
                <w:rFonts w:ascii="Arial Narrow" w:hAnsi="Arial Narrow"/>
                <w:sz w:val="20"/>
              </w:rPr>
              <w:fldChar w:fldCharType="begin">
                <w:ffData>
                  <w:name w:val="Check1"/>
                  <w:enabled/>
                  <w:calcOnExit w:val="0"/>
                  <w:checkBox>
                    <w:sizeAuto/>
                    <w:default w:val="0"/>
                  </w:checkBox>
                </w:ffData>
              </w:fldChar>
            </w:r>
            <w:r w:rsidRPr="00110AAD">
              <w:rPr>
                <w:rFonts w:ascii="Arial Narrow" w:hAnsi="Arial Narrow"/>
                <w:sz w:val="20"/>
              </w:rPr>
              <w:instrText xml:space="preserve"> FORMCHECKBOX </w:instrText>
            </w:r>
            <w:r w:rsidR="00655C1D">
              <w:rPr>
                <w:rFonts w:ascii="Arial Narrow" w:hAnsi="Arial Narrow"/>
                <w:sz w:val="20"/>
              </w:rPr>
            </w:r>
            <w:r w:rsidR="00655C1D">
              <w:rPr>
                <w:rFonts w:ascii="Arial Narrow" w:hAnsi="Arial Narrow"/>
                <w:sz w:val="20"/>
              </w:rPr>
              <w:fldChar w:fldCharType="separate"/>
            </w:r>
            <w:r w:rsidRPr="00110AAD">
              <w:rPr>
                <w:rFonts w:ascii="Arial Narrow" w:hAnsi="Arial Narrow"/>
                <w:sz w:val="20"/>
              </w:rPr>
              <w:fldChar w:fldCharType="end"/>
            </w:r>
            <w:r w:rsidRPr="00110AAD">
              <w:rPr>
                <w:rFonts w:ascii="Arial Narrow" w:hAnsi="Arial Narrow"/>
                <w:sz w:val="20"/>
              </w:rPr>
              <w:t xml:space="preserve">Dental  </w:t>
            </w:r>
            <w:r w:rsidRPr="00110AAD">
              <w:rPr>
                <w:rFonts w:ascii="Arial Narrow" w:hAnsi="Arial Narrow"/>
                <w:sz w:val="20"/>
              </w:rPr>
              <w:fldChar w:fldCharType="begin">
                <w:ffData>
                  <w:name w:val=""/>
                  <w:enabled/>
                  <w:calcOnExit w:val="0"/>
                  <w:checkBox>
                    <w:sizeAuto/>
                    <w:default w:val="1"/>
                  </w:checkBox>
                </w:ffData>
              </w:fldChar>
            </w:r>
            <w:r w:rsidRPr="00110AAD">
              <w:rPr>
                <w:rFonts w:ascii="Arial Narrow" w:hAnsi="Arial Narrow"/>
                <w:sz w:val="20"/>
              </w:rPr>
              <w:instrText xml:space="preserve"> FORMCHECKBOX </w:instrText>
            </w:r>
            <w:r w:rsidR="00655C1D">
              <w:rPr>
                <w:rFonts w:ascii="Arial Narrow" w:hAnsi="Arial Narrow"/>
                <w:sz w:val="20"/>
              </w:rPr>
            </w:r>
            <w:r w:rsidR="00655C1D">
              <w:rPr>
                <w:rFonts w:ascii="Arial Narrow" w:hAnsi="Arial Narrow"/>
                <w:sz w:val="20"/>
              </w:rPr>
              <w:fldChar w:fldCharType="separate"/>
            </w:r>
            <w:r w:rsidRPr="00110AAD">
              <w:rPr>
                <w:rFonts w:ascii="Arial Narrow" w:hAnsi="Arial Narrow"/>
                <w:sz w:val="20"/>
              </w:rPr>
              <w:fldChar w:fldCharType="end"/>
            </w:r>
            <w:r w:rsidRPr="00110AAD">
              <w:rPr>
                <w:rFonts w:ascii="Arial Narrow" w:hAnsi="Arial Narrow"/>
                <w:sz w:val="20"/>
              </w:rPr>
              <w:t xml:space="preserve">Medical Practitioners  </w:t>
            </w:r>
            <w:r w:rsidRPr="00110AAD">
              <w:rPr>
                <w:rFonts w:ascii="Arial Narrow" w:hAnsi="Arial Narrow"/>
                <w:sz w:val="20"/>
              </w:rPr>
              <w:fldChar w:fldCharType="begin">
                <w:ffData>
                  <w:name w:val="Check3"/>
                  <w:enabled/>
                  <w:calcOnExit w:val="0"/>
                  <w:checkBox>
                    <w:sizeAuto/>
                    <w:default w:val="0"/>
                  </w:checkBox>
                </w:ffData>
              </w:fldChar>
            </w:r>
            <w:r w:rsidRPr="00110AAD">
              <w:rPr>
                <w:rFonts w:ascii="Arial Narrow" w:hAnsi="Arial Narrow"/>
                <w:sz w:val="20"/>
              </w:rPr>
              <w:instrText xml:space="preserve"> FORMCHECKBOX </w:instrText>
            </w:r>
            <w:r w:rsidR="00655C1D">
              <w:rPr>
                <w:rFonts w:ascii="Arial Narrow" w:hAnsi="Arial Narrow"/>
                <w:sz w:val="20"/>
              </w:rPr>
            </w:r>
            <w:r w:rsidR="00655C1D">
              <w:rPr>
                <w:rFonts w:ascii="Arial Narrow" w:hAnsi="Arial Narrow"/>
                <w:sz w:val="20"/>
              </w:rPr>
              <w:fldChar w:fldCharType="separate"/>
            </w:r>
            <w:r w:rsidRPr="00110AAD">
              <w:rPr>
                <w:rFonts w:ascii="Arial Narrow" w:hAnsi="Arial Narrow"/>
                <w:sz w:val="20"/>
              </w:rPr>
              <w:fldChar w:fldCharType="end"/>
            </w:r>
            <w:r w:rsidRPr="00110AAD">
              <w:rPr>
                <w:rFonts w:ascii="Arial Narrow" w:hAnsi="Arial Narrow"/>
                <w:sz w:val="20"/>
              </w:rPr>
              <w:t xml:space="preserve">Nurse practitioners  </w:t>
            </w:r>
            <w:r w:rsidRPr="00110AAD">
              <w:rPr>
                <w:rFonts w:ascii="Arial Narrow" w:hAnsi="Arial Narrow"/>
                <w:sz w:val="20"/>
              </w:rPr>
              <w:fldChar w:fldCharType="begin">
                <w:ffData>
                  <w:name w:val=""/>
                  <w:enabled/>
                  <w:calcOnExit w:val="0"/>
                  <w:checkBox>
                    <w:sizeAuto/>
                    <w:default w:val="0"/>
                  </w:checkBox>
                </w:ffData>
              </w:fldChar>
            </w:r>
            <w:r w:rsidRPr="00110AAD">
              <w:rPr>
                <w:rFonts w:ascii="Arial Narrow" w:hAnsi="Arial Narrow"/>
                <w:sz w:val="20"/>
              </w:rPr>
              <w:instrText xml:space="preserve"> FORMCHECKBOX </w:instrText>
            </w:r>
            <w:r w:rsidR="00655C1D">
              <w:rPr>
                <w:rFonts w:ascii="Arial Narrow" w:hAnsi="Arial Narrow"/>
                <w:sz w:val="20"/>
              </w:rPr>
            </w:r>
            <w:r w:rsidR="00655C1D">
              <w:rPr>
                <w:rFonts w:ascii="Arial Narrow" w:hAnsi="Arial Narrow"/>
                <w:sz w:val="20"/>
              </w:rPr>
              <w:fldChar w:fldCharType="separate"/>
            </w:r>
            <w:r w:rsidRPr="00110AAD">
              <w:rPr>
                <w:rFonts w:ascii="Arial Narrow" w:hAnsi="Arial Narrow"/>
                <w:sz w:val="20"/>
              </w:rPr>
              <w:fldChar w:fldCharType="end"/>
            </w:r>
            <w:r w:rsidRPr="00110AAD">
              <w:rPr>
                <w:rFonts w:ascii="Arial Narrow" w:hAnsi="Arial Narrow"/>
                <w:sz w:val="20"/>
              </w:rPr>
              <w:t>Optometrists</w:t>
            </w:r>
          </w:p>
          <w:p w:rsidR="002C0877" w:rsidRPr="00110AAD" w:rsidRDefault="002C0877" w:rsidP="002C0877">
            <w:pPr>
              <w:rPr>
                <w:rFonts w:ascii="Arial Narrow" w:hAnsi="Arial Narrow"/>
                <w:sz w:val="20"/>
              </w:rPr>
            </w:pPr>
            <w:r w:rsidRPr="00110AAD">
              <w:rPr>
                <w:rFonts w:ascii="Arial Narrow" w:hAnsi="Arial Narrow"/>
                <w:sz w:val="20"/>
              </w:rPr>
              <w:fldChar w:fldCharType="begin">
                <w:ffData>
                  <w:name w:val="Check5"/>
                  <w:enabled/>
                  <w:calcOnExit w:val="0"/>
                  <w:checkBox>
                    <w:sizeAuto/>
                    <w:default w:val="0"/>
                  </w:checkBox>
                </w:ffData>
              </w:fldChar>
            </w:r>
            <w:r w:rsidRPr="00110AAD">
              <w:rPr>
                <w:rFonts w:ascii="Arial Narrow" w:hAnsi="Arial Narrow"/>
                <w:sz w:val="20"/>
              </w:rPr>
              <w:instrText xml:space="preserve"> FORMCHECKBOX </w:instrText>
            </w:r>
            <w:r w:rsidR="00655C1D">
              <w:rPr>
                <w:rFonts w:ascii="Arial Narrow" w:hAnsi="Arial Narrow"/>
                <w:sz w:val="20"/>
              </w:rPr>
            </w:r>
            <w:r w:rsidR="00655C1D">
              <w:rPr>
                <w:rFonts w:ascii="Arial Narrow" w:hAnsi="Arial Narrow"/>
                <w:sz w:val="20"/>
              </w:rPr>
              <w:fldChar w:fldCharType="separate"/>
            </w:r>
            <w:r w:rsidRPr="00110AAD">
              <w:rPr>
                <w:rFonts w:ascii="Arial Narrow" w:hAnsi="Arial Narrow"/>
                <w:sz w:val="20"/>
              </w:rPr>
              <w:fldChar w:fldCharType="end"/>
            </w:r>
            <w:r w:rsidRPr="00110AAD">
              <w:rPr>
                <w:rFonts w:ascii="Arial Narrow" w:hAnsi="Arial Narrow"/>
                <w:sz w:val="20"/>
              </w:rPr>
              <w:t>Midwives</w:t>
            </w:r>
          </w:p>
        </w:tc>
      </w:tr>
      <w:tr w:rsidR="002C0877" w:rsidRPr="00110AAD" w:rsidTr="002C0877">
        <w:trPr>
          <w:cantSplit/>
          <w:trHeight w:val="20"/>
        </w:trPr>
        <w:tc>
          <w:tcPr>
            <w:tcW w:w="2125" w:type="dxa"/>
            <w:gridSpan w:val="2"/>
            <w:tcBorders>
              <w:top w:val="single" w:sz="4" w:space="0" w:color="auto"/>
              <w:left w:val="single" w:sz="4" w:space="0" w:color="auto"/>
              <w:bottom w:val="single" w:sz="4" w:space="0" w:color="auto"/>
              <w:right w:val="single" w:sz="4" w:space="0" w:color="auto"/>
            </w:tcBorders>
            <w:hideMark/>
          </w:tcPr>
          <w:p w:rsidR="002C0877" w:rsidRPr="00110AAD" w:rsidRDefault="002C0877" w:rsidP="002C0877">
            <w:pPr>
              <w:rPr>
                <w:rFonts w:ascii="Arial Narrow" w:hAnsi="Arial Narrow"/>
                <w:b/>
                <w:sz w:val="20"/>
              </w:rPr>
            </w:pPr>
            <w:r w:rsidRPr="00110AAD">
              <w:rPr>
                <w:rFonts w:ascii="Arial Narrow" w:hAnsi="Arial Narrow"/>
                <w:b/>
                <w:sz w:val="20"/>
              </w:rPr>
              <w:t>Condition:</w:t>
            </w:r>
          </w:p>
        </w:tc>
        <w:tc>
          <w:tcPr>
            <w:tcW w:w="6376" w:type="dxa"/>
            <w:gridSpan w:val="5"/>
            <w:tcBorders>
              <w:top w:val="single" w:sz="4" w:space="0" w:color="auto"/>
              <w:left w:val="single" w:sz="4" w:space="0" w:color="auto"/>
              <w:bottom w:val="single" w:sz="4" w:space="0" w:color="auto"/>
              <w:right w:val="single" w:sz="4" w:space="0" w:color="auto"/>
            </w:tcBorders>
            <w:hideMark/>
          </w:tcPr>
          <w:p w:rsidR="002C0877" w:rsidRPr="00110AAD" w:rsidRDefault="002C0877" w:rsidP="002C0877">
            <w:pPr>
              <w:rPr>
                <w:rFonts w:ascii="Arial Narrow" w:hAnsi="Arial Narrow"/>
                <w:sz w:val="20"/>
              </w:rPr>
            </w:pPr>
            <w:r w:rsidRPr="00110AAD">
              <w:rPr>
                <w:rFonts w:ascii="Arial Narrow" w:hAnsi="Arial Narrow"/>
                <w:sz w:val="20"/>
              </w:rPr>
              <w:t>Cutaneous T-cell lymphoma</w:t>
            </w:r>
          </w:p>
        </w:tc>
      </w:tr>
      <w:tr w:rsidR="002C0877" w:rsidRPr="00110AAD" w:rsidTr="002C0877">
        <w:trPr>
          <w:cantSplit/>
          <w:trHeight w:val="20"/>
        </w:trPr>
        <w:tc>
          <w:tcPr>
            <w:tcW w:w="2125" w:type="dxa"/>
            <w:gridSpan w:val="2"/>
            <w:tcBorders>
              <w:top w:val="single" w:sz="4" w:space="0" w:color="auto"/>
              <w:left w:val="single" w:sz="4" w:space="0" w:color="auto"/>
              <w:bottom w:val="single" w:sz="4" w:space="0" w:color="auto"/>
              <w:right w:val="single" w:sz="4" w:space="0" w:color="auto"/>
            </w:tcBorders>
            <w:hideMark/>
          </w:tcPr>
          <w:p w:rsidR="002C0877" w:rsidRPr="00110AAD" w:rsidRDefault="002C0877" w:rsidP="002C0877">
            <w:pPr>
              <w:rPr>
                <w:rFonts w:ascii="Arial Narrow" w:hAnsi="Arial Narrow"/>
                <w:b/>
                <w:sz w:val="20"/>
              </w:rPr>
            </w:pPr>
            <w:r w:rsidRPr="00110AAD">
              <w:rPr>
                <w:rFonts w:ascii="Arial Narrow" w:hAnsi="Arial Narrow"/>
                <w:b/>
                <w:sz w:val="20"/>
              </w:rPr>
              <w:t>PBS Indication:</w:t>
            </w:r>
          </w:p>
        </w:tc>
        <w:tc>
          <w:tcPr>
            <w:tcW w:w="6376" w:type="dxa"/>
            <w:gridSpan w:val="5"/>
            <w:tcBorders>
              <w:top w:val="single" w:sz="4" w:space="0" w:color="auto"/>
              <w:left w:val="single" w:sz="4" w:space="0" w:color="auto"/>
              <w:bottom w:val="single" w:sz="4" w:space="0" w:color="auto"/>
              <w:right w:val="single" w:sz="4" w:space="0" w:color="auto"/>
            </w:tcBorders>
            <w:hideMark/>
          </w:tcPr>
          <w:p w:rsidR="002C0877" w:rsidRPr="00110AAD" w:rsidRDefault="009919E3" w:rsidP="002C0877">
            <w:pPr>
              <w:rPr>
                <w:rFonts w:ascii="Arial Narrow" w:hAnsi="Arial Narrow"/>
                <w:sz w:val="20"/>
              </w:rPr>
            </w:pPr>
            <w:r w:rsidRPr="00110AAD">
              <w:rPr>
                <w:rFonts w:ascii="Arial Narrow" w:hAnsi="Arial Narrow"/>
                <w:sz w:val="20"/>
              </w:rPr>
              <w:t>C</w:t>
            </w:r>
            <w:r w:rsidR="002C0877" w:rsidRPr="00110AAD">
              <w:rPr>
                <w:rFonts w:ascii="Arial Narrow" w:hAnsi="Arial Narrow"/>
                <w:sz w:val="20"/>
              </w:rPr>
              <w:t>utaneous T-cell lymphoma</w:t>
            </w:r>
          </w:p>
        </w:tc>
      </w:tr>
      <w:tr w:rsidR="002C0877" w:rsidRPr="00110AAD" w:rsidTr="002C0877">
        <w:trPr>
          <w:cantSplit/>
          <w:trHeight w:val="20"/>
        </w:trPr>
        <w:tc>
          <w:tcPr>
            <w:tcW w:w="2125" w:type="dxa"/>
            <w:gridSpan w:val="2"/>
            <w:tcBorders>
              <w:top w:val="single" w:sz="4" w:space="0" w:color="auto"/>
              <w:left w:val="single" w:sz="4" w:space="0" w:color="auto"/>
              <w:bottom w:val="single" w:sz="4" w:space="0" w:color="auto"/>
              <w:right w:val="single" w:sz="4" w:space="0" w:color="auto"/>
            </w:tcBorders>
            <w:hideMark/>
          </w:tcPr>
          <w:p w:rsidR="002C0877" w:rsidRPr="00110AAD" w:rsidRDefault="002C0877" w:rsidP="002C0877">
            <w:pPr>
              <w:rPr>
                <w:rFonts w:ascii="Arial Narrow" w:hAnsi="Arial Narrow"/>
                <w:sz w:val="20"/>
              </w:rPr>
            </w:pPr>
            <w:r w:rsidRPr="00110AAD">
              <w:rPr>
                <w:rFonts w:ascii="Arial Narrow" w:hAnsi="Arial Narrow"/>
                <w:b/>
                <w:sz w:val="20"/>
              </w:rPr>
              <w:t>Treatment phase:</w:t>
            </w:r>
          </w:p>
        </w:tc>
        <w:tc>
          <w:tcPr>
            <w:tcW w:w="6376" w:type="dxa"/>
            <w:gridSpan w:val="5"/>
            <w:tcBorders>
              <w:top w:val="single" w:sz="4" w:space="0" w:color="auto"/>
              <w:left w:val="single" w:sz="4" w:space="0" w:color="auto"/>
              <w:bottom w:val="single" w:sz="4" w:space="0" w:color="auto"/>
              <w:right w:val="single" w:sz="4" w:space="0" w:color="auto"/>
            </w:tcBorders>
            <w:hideMark/>
          </w:tcPr>
          <w:p w:rsidR="002C0877" w:rsidRPr="00110AAD" w:rsidRDefault="002C0877" w:rsidP="002C0877">
            <w:pPr>
              <w:rPr>
                <w:rFonts w:ascii="Arial Narrow" w:hAnsi="Arial Narrow"/>
                <w:sz w:val="20"/>
              </w:rPr>
            </w:pPr>
            <w:r w:rsidRPr="00110AAD">
              <w:rPr>
                <w:rFonts w:ascii="Arial Narrow" w:hAnsi="Arial Narrow"/>
                <w:sz w:val="20"/>
              </w:rPr>
              <w:t>Initial treatment</w:t>
            </w:r>
          </w:p>
        </w:tc>
      </w:tr>
      <w:tr w:rsidR="002C0877" w:rsidRPr="00110AAD" w:rsidTr="002C0877">
        <w:trPr>
          <w:cantSplit/>
          <w:trHeight w:val="20"/>
        </w:trPr>
        <w:tc>
          <w:tcPr>
            <w:tcW w:w="2125" w:type="dxa"/>
            <w:gridSpan w:val="2"/>
            <w:tcBorders>
              <w:top w:val="single" w:sz="4" w:space="0" w:color="auto"/>
              <w:left w:val="single" w:sz="4" w:space="0" w:color="auto"/>
              <w:bottom w:val="single" w:sz="4" w:space="0" w:color="auto"/>
              <w:right w:val="single" w:sz="4" w:space="0" w:color="auto"/>
            </w:tcBorders>
            <w:hideMark/>
          </w:tcPr>
          <w:p w:rsidR="002C0877" w:rsidRPr="00110AAD" w:rsidRDefault="002C0877" w:rsidP="002C0877">
            <w:pPr>
              <w:rPr>
                <w:rFonts w:ascii="Arial Narrow" w:hAnsi="Arial Narrow"/>
                <w:sz w:val="20"/>
              </w:rPr>
            </w:pPr>
            <w:r w:rsidRPr="00110AAD">
              <w:rPr>
                <w:rFonts w:ascii="Arial Narrow" w:hAnsi="Arial Narrow"/>
                <w:b/>
                <w:sz w:val="20"/>
              </w:rPr>
              <w:t>Restriction Level / Method:</w:t>
            </w:r>
          </w:p>
        </w:tc>
        <w:tc>
          <w:tcPr>
            <w:tcW w:w="6376" w:type="dxa"/>
            <w:gridSpan w:val="5"/>
            <w:tcBorders>
              <w:top w:val="single" w:sz="4" w:space="0" w:color="auto"/>
              <w:left w:val="single" w:sz="4" w:space="0" w:color="auto"/>
              <w:bottom w:val="single" w:sz="4" w:space="0" w:color="auto"/>
              <w:right w:val="single" w:sz="4" w:space="0" w:color="auto"/>
            </w:tcBorders>
            <w:hideMark/>
          </w:tcPr>
          <w:p w:rsidR="002C0877" w:rsidRPr="00110AAD" w:rsidRDefault="002C0877" w:rsidP="002C0877">
            <w:pPr>
              <w:rPr>
                <w:rFonts w:ascii="Arial Narrow" w:hAnsi="Arial Narrow"/>
                <w:sz w:val="20"/>
              </w:rPr>
            </w:pPr>
            <w:r w:rsidRPr="00110AAD">
              <w:rPr>
                <w:rFonts w:ascii="Arial Narrow" w:hAnsi="Arial Narrow"/>
                <w:sz w:val="20"/>
              </w:rPr>
              <w:fldChar w:fldCharType="begin">
                <w:ffData>
                  <w:name w:val=""/>
                  <w:enabled/>
                  <w:calcOnExit w:val="0"/>
                  <w:checkBox>
                    <w:sizeAuto/>
                    <w:default w:val="1"/>
                  </w:checkBox>
                </w:ffData>
              </w:fldChar>
            </w:r>
            <w:r w:rsidRPr="00110AAD">
              <w:rPr>
                <w:rFonts w:ascii="Arial Narrow" w:hAnsi="Arial Narrow"/>
                <w:sz w:val="20"/>
              </w:rPr>
              <w:instrText xml:space="preserve"> FORMCHECKBOX </w:instrText>
            </w:r>
            <w:r w:rsidR="00655C1D">
              <w:rPr>
                <w:rFonts w:ascii="Arial Narrow" w:hAnsi="Arial Narrow"/>
                <w:sz w:val="20"/>
              </w:rPr>
            </w:r>
            <w:r w:rsidR="00655C1D">
              <w:rPr>
                <w:rFonts w:ascii="Arial Narrow" w:hAnsi="Arial Narrow"/>
                <w:sz w:val="20"/>
              </w:rPr>
              <w:fldChar w:fldCharType="separate"/>
            </w:r>
            <w:r w:rsidRPr="00110AAD">
              <w:rPr>
                <w:rFonts w:ascii="Arial Narrow" w:hAnsi="Arial Narrow"/>
                <w:sz w:val="20"/>
              </w:rPr>
              <w:fldChar w:fldCharType="end"/>
            </w:r>
            <w:r w:rsidRPr="00110AAD">
              <w:rPr>
                <w:rFonts w:ascii="Arial Narrow" w:hAnsi="Arial Narrow"/>
                <w:sz w:val="20"/>
              </w:rPr>
              <w:t>Authority Required - In Writing</w:t>
            </w:r>
          </w:p>
        </w:tc>
      </w:tr>
      <w:tr w:rsidR="002C0877" w:rsidRPr="00110AAD" w:rsidTr="002C0877">
        <w:trPr>
          <w:cantSplit/>
          <w:trHeight w:val="20"/>
        </w:trPr>
        <w:tc>
          <w:tcPr>
            <w:tcW w:w="2125" w:type="dxa"/>
            <w:gridSpan w:val="2"/>
            <w:tcBorders>
              <w:top w:val="single" w:sz="4" w:space="0" w:color="auto"/>
              <w:left w:val="single" w:sz="4" w:space="0" w:color="auto"/>
              <w:bottom w:val="single" w:sz="4" w:space="0" w:color="auto"/>
              <w:right w:val="single" w:sz="4" w:space="0" w:color="auto"/>
            </w:tcBorders>
          </w:tcPr>
          <w:p w:rsidR="002C0877" w:rsidRPr="00110AAD" w:rsidRDefault="002C0877" w:rsidP="002C0877">
            <w:pPr>
              <w:rPr>
                <w:rFonts w:ascii="Arial Narrow" w:hAnsi="Arial Narrow"/>
                <w:b/>
                <w:sz w:val="20"/>
              </w:rPr>
            </w:pPr>
            <w:r w:rsidRPr="00110AAD">
              <w:rPr>
                <w:rFonts w:ascii="Arial Narrow" w:hAnsi="Arial Narrow"/>
                <w:b/>
                <w:sz w:val="20"/>
              </w:rPr>
              <w:t>Clinical criteria:</w:t>
            </w:r>
          </w:p>
          <w:p w:rsidR="002C0877" w:rsidRPr="00110AAD" w:rsidRDefault="002C0877" w:rsidP="002C0877">
            <w:pPr>
              <w:rPr>
                <w:rFonts w:ascii="Arial Narrow" w:hAnsi="Arial Narrow"/>
                <w:sz w:val="20"/>
              </w:rPr>
            </w:pPr>
          </w:p>
        </w:tc>
        <w:tc>
          <w:tcPr>
            <w:tcW w:w="6376" w:type="dxa"/>
            <w:gridSpan w:val="5"/>
            <w:tcBorders>
              <w:top w:val="single" w:sz="4" w:space="0" w:color="auto"/>
              <w:left w:val="single" w:sz="4" w:space="0" w:color="auto"/>
              <w:bottom w:val="single" w:sz="4" w:space="0" w:color="auto"/>
              <w:right w:val="single" w:sz="4" w:space="0" w:color="auto"/>
            </w:tcBorders>
          </w:tcPr>
          <w:p w:rsidR="002C0877" w:rsidRPr="00110AAD" w:rsidRDefault="002C0877" w:rsidP="002C0877">
            <w:pPr>
              <w:rPr>
                <w:rFonts w:ascii="Arial Narrow" w:hAnsi="Arial Narrow"/>
                <w:strike/>
                <w:sz w:val="20"/>
              </w:rPr>
            </w:pPr>
            <w:r w:rsidRPr="00110AAD">
              <w:rPr>
                <w:rFonts w:ascii="Arial Narrow" w:hAnsi="Arial Narrow"/>
                <w:strike/>
                <w:sz w:val="20"/>
              </w:rPr>
              <w:t>The treatment must be for curative intent,</w:t>
            </w:r>
          </w:p>
          <w:p w:rsidR="002C0877" w:rsidRPr="00110AAD" w:rsidRDefault="002C0877" w:rsidP="002C0877">
            <w:pPr>
              <w:rPr>
                <w:rFonts w:ascii="Arial Narrow" w:hAnsi="Arial Narrow"/>
                <w:strike/>
                <w:sz w:val="20"/>
              </w:rPr>
            </w:pPr>
            <w:r w:rsidRPr="00110AAD">
              <w:rPr>
                <w:rFonts w:ascii="Arial Narrow" w:hAnsi="Arial Narrow"/>
                <w:strike/>
                <w:sz w:val="20"/>
              </w:rPr>
              <w:t>AND</w:t>
            </w:r>
          </w:p>
          <w:p w:rsidR="002C0877" w:rsidRPr="00110AAD" w:rsidRDefault="002C0877" w:rsidP="002C0877">
            <w:pPr>
              <w:rPr>
                <w:rFonts w:ascii="Arial Narrow" w:hAnsi="Arial Narrow"/>
                <w:sz w:val="20"/>
              </w:rPr>
            </w:pPr>
            <w:r w:rsidRPr="00110AAD">
              <w:rPr>
                <w:rFonts w:ascii="Arial Narrow" w:hAnsi="Arial Narrow"/>
                <w:sz w:val="20"/>
              </w:rPr>
              <w:t xml:space="preserve">Patient must have </w:t>
            </w:r>
            <w:r w:rsidR="00454AA7" w:rsidRPr="00454AA7">
              <w:rPr>
                <w:rFonts w:ascii="Arial Narrow" w:hAnsi="Arial Narrow"/>
                <w:i/>
                <w:sz w:val="20"/>
              </w:rPr>
              <w:t>received systemic treatment with chemotherapy</w:t>
            </w:r>
            <w:r w:rsidR="00454AA7" w:rsidRPr="00454AA7" w:rsidDel="00454AA7">
              <w:rPr>
                <w:rFonts w:ascii="Arial Narrow" w:hAnsi="Arial Narrow"/>
                <w:sz w:val="20"/>
              </w:rPr>
              <w:t xml:space="preserve"> </w:t>
            </w:r>
            <w:r w:rsidRPr="00110AAD">
              <w:rPr>
                <w:rFonts w:ascii="Arial Narrow" w:hAnsi="Arial Narrow"/>
                <w:strike/>
                <w:sz w:val="20"/>
              </w:rPr>
              <w:t>curative intent chemotherapy</w:t>
            </w:r>
            <w:r w:rsidRPr="00110AAD">
              <w:rPr>
                <w:rFonts w:ascii="Arial Narrow" w:hAnsi="Arial Narrow"/>
                <w:sz w:val="20"/>
              </w:rPr>
              <w:t>,</w:t>
            </w:r>
          </w:p>
          <w:p w:rsidR="002C0877" w:rsidRPr="00110AAD" w:rsidRDefault="002C0877" w:rsidP="002C0877">
            <w:pPr>
              <w:rPr>
                <w:rFonts w:ascii="Arial Narrow" w:hAnsi="Arial Narrow"/>
                <w:sz w:val="20"/>
              </w:rPr>
            </w:pPr>
            <w:r w:rsidRPr="00110AAD">
              <w:rPr>
                <w:rFonts w:ascii="Arial Narrow" w:hAnsi="Arial Narrow"/>
                <w:sz w:val="20"/>
              </w:rPr>
              <w:t>AND</w:t>
            </w:r>
          </w:p>
          <w:p w:rsidR="002C0877" w:rsidRPr="00110AAD" w:rsidRDefault="002C0877" w:rsidP="002C0877">
            <w:pPr>
              <w:rPr>
                <w:rFonts w:ascii="Arial Narrow" w:hAnsi="Arial Narrow"/>
                <w:sz w:val="20"/>
              </w:rPr>
            </w:pPr>
            <w:r w:rsidRPr="00110AAD">
              <w:rPr>
                <w:rFonts w:ascii="Arial Narrow" w:hAnsi="Arial Narrow"/>
                <w:sz w:val="20"/>
              </w:rPr>
              <w:t>Patient must demonstrate relapsed or chemotherapy-refractory disease,</w:t>
            </w:r>
          </w:p>
          <w:p w:rsidR="002C0877" w:rsidRPr="005A1D63" w:rsidRDefault="002C0877" w:rsidP="002C0877">
            <w:pPr>
              <w:rPr>
                <w:rFonts w:ascii="Arial Narrow" w:hAnsi="Arial Narrow"/>
                <w:sz w:val="20"/>
              </w:rPr>
            </w:pPr>
            <w:r w:rsidRPr="005A1D63">
              <w:rPr>
                <w:rFonts w:ascii="Arial Narrow" w:hAnsi="Arial Narrow"/>
                <w:sz w:val="20"/>
              </w:rPr>
              <w:t>AND</w:t>
            </w:r>
          </w:p>
          <w:p w:rsidR="002C0877" w:rsidRPr="005A1D63" w:rsidRDefault="002C0877" w:rsidP="002C0877">
            <w:pPr>
              <w:rPr>
                <w:rFonts w:ascii="Arial Narrow" w:hAnsi="Arial Narrow"/>
                <w:sz w:val="20"/>
              </w:rPr>
            </w:pPr>
            <w:r w:rsidRPr="005A1D63">
              <w:rPr>
                <w:rFonts w:ascii="Arial Narrow" w:hAnsi="Arial Narrow"/>
                <w:sz w:val="20"/>
              </w:rPr>
              <w:t>Patient must be ineligible for a stem cell transplantation,</w:t>
            </w:r>
          </w:p>
          <w:p w:rsidR="002C0877" w:rsidRPr="00110AAD" w:rsidRDefault="002C0877" w:rsidP="002C0877">
            <w:pPr>
              <w:rPr>
                <w:rFonts w:ascii="Arial Narrow" w:hAnsi="Arial Narrow"/>
                <w:sz w:val="20"/>
              </w:rPr>
            </w:pPr>
            <w:r w:rsidRPr="00110AAD">
              <w:rPr>
                <w:rFonts w:ascii="Arial Narrow" w:hAnsi="Arial Narrow"/>
                <w:sz w:val="20"/>
              </w:rPr>
              <w:t>AND</w:t>
            </w:r>
          </w:p>
          <w:p w:rsidR="002C0877" w:rsidRPr="00110AAD" w:rsidRDefault="002C0877" w:rsidP="002C0877">
            <w:pPr>
              <w:rPr>
                <w:rFonts w:ascii="Arial Narrow" w:hAnsi="Arial Narrow"/>
                <w:sz w:val="20"/>
              </w:rPr>
            </w:pPr>
            <w:r w:rsidRPr="00110AAD">
              <w:rPr>
                <w:rFonts w:ascii="Arial Narrow" w:hAnsi="Arial Narrow"/>
                <w:sz w:val="20"/>
              </w:rPr>
              <w:t xml:space="preserve">The treatment must be the sole PBS-subsidised </w:t>
            </w:r>
            <w:r w:rsidRPr="005A1D63">
              <w:rPr>
                <w:rFonts w:ascii="Arial Narrow" w:hAnsi="Arial Narrow"/>
                <w:strike/>
                <w:sz w:val="20"/>
              </w:rPr>
              <w:t>therapy</w:t>
            </w:r>
            <w:r w:rsidR="00E32096">
              <w:rPr>
                <w:rFonts w:ascii="Arial Narrow" w:hAnsi="Arial Narrow"/>
                <w:sz w:val="20"/>
              </w:rPr>
              <w:t xml:space="preserve"> </w:t>
            </w:r>
            <w:r w:rsidR="00E32096" w:rsidRPr="005A1D63">
              <w:rPr>
                <w:rFonts w:ascii="Arial Narrow" w:hAnsi="Arial Narrow"/>
                <w:i/>
                <w:sz w:val="20"/>
              </w:rPr>
              <w:t>treatment</w:t>
            </w:r>
            <w:r w:rsidRPr="00110AAD">
              <w:rPr>
                <w:rFonts w:ascii="Arial Narrow" w:hAnsi="Arial Narrow"/>
                <w:sz w:val="20"/>
              </w:rPr>
              <w:t xml:space="preserve"> for this condition.</w:t>
            </w:r>
          </w:p>
        </w:tc>
      </w:tr>
      <w:tr w:rsidR="002C0877" w:rsidRPr="00110AAD" w:rsidTr="002C0877">
        <w:trPr>
          <w:cantSplit/>
          <w:trHeight w:val="20"/>
        </w:trPr>
        <w:tc>
          <w:tcPr>
            <w:tcW w:w="2125" w:type="dxa"/>
            <w:gridSpan w:val="2"/>
            <w:tcBorders>
              <w:top w:val="single" w:sz="4" w:space="0" w:color="auto"/>
              <w:left w:val="single" w:sz="4" w:space="0" w:color="auto"/>
              <w:bottom w:val="single" w:sz="4" w:space="0" w:color="auto"/>
              <w:right w:val="single" w:sz="4" w:space="0" w:color="auto"/>
            </w:tcBorders>
          </w:tcPr>
          <w:p w:rsidR="002C0877" w:rsidRPr="00110AAD" w:rsidRDefault="002C0877" w:rsidP="002C0877">
            <w:pPr>
              <w:rPr>
                <w:rFonts w:ascii="Arial Narrow" w:hAnsi="Arial Narrow"/>
                <w:b/>
                <w:sz w:val="20"/>
              </w:rPr>
            </w:pPr>
            <w:r w:rsidRPr="00110AAD">
              <w:rPr>
                <w:rFonts w:ascii="Arial Narrow" w:hAnsi="Arial Narrow"/>
                <w:b/>
                <w:sz w:val="20"/>
              </w:rPr>
              <w:t>Prescriber Instructions</w:t>
            </w:r>
          </w:p>
          <w:p w:rsidR="002C0877" w:rsidRPr="00110AAD" w:rsidRDefault="002C0877" w:rsidP="002C0877">
            <w:pPr>
              <w:rPr>
                <w:rFonts w:ascii="Arial Narrow" w:hAnsi="Arial Narrow"/>
                <w:sz w:val="20"/>
              </w:rPr>
            </w:pPr>
          </w:p>
        </w:tc>
        <w:tc>
          <w:tcPr>
            <w:tcW w:w="6376" w:type="dxa"/>
            <w:gridSpan w:val="5"/>
            <w:tcBorders>
              <w:top w:val="single" w:sz="4" w:space="0" w:color="auto"/>
              <w:left w:val="single" w:sz="4" w:space="0" w:color="auto"/>
              <w:bottom w:val="single" w:sz="4" w:space="0" w:color="auto"/>
              <w:right w:val="single" w:sz="4" w:space="0" w:color="auto"/>
            </w:tcBorders>
            <w:hideMark/>
          </w:tcPr>
          <w:p w:rsidR="002C0877" w:rsidRPr="00110AAD" w:rsidRDefault="002C0877" w:rsidP="002C0877">
            <w:pPr>
              <w:rPr>
                <w:rFonts w:ascii="Arial Narrow" w:hAnsi="Arial Narrow"/>
                <w:sz w:val="20"/>
              </w:rPr>
            </w:pPr>
            <w:r w:rsidRPr="00110AAD">
              <w:rPr>
                <w:rFonts w:ascii="Arial Narrow" w:hAnsi="Arial Narrow"/>
                <w:sz w:val="20"/>
              </w:rPr>
              <w:t>Applications for authorisation of initial treatment must be in writing and must include:</w:t>
            </w:r>
          </w:p>
          <w:p w:rsidR="002C0877" w:rsidRPr="00110AAD" w:rsidRDefault="002C0877" w:rsidP="002C0877">
            <w:pPr>
              <w:rPr>
                <w:rFonts w:ascii="Arial Narrow" w:hAnsi="Arial Narrow"/>
                <w:sz w:val="20"/>
              </w:rPr>
            </w:pPr>
            <w:r w:rsidRPr="00110AAD">
              <w:rPr>
                <w:rFonts w:ascii="Arial Narrow" w:hAnsi="Arial Narrow"/>
                <w:sz w:val="20"/>
              </w:rPr>
              <w:t>(a) a completed authority prescription form; and</w:t>
            </w:r>
          </w:p>
          <w:p w:rsidR="002C0877" w:rsidRPr="00110AAD" w:rsidRDefault="002C0877" w:rsidP="002C0877">
            <w:pPr>
              <w:rPr>
                <w:rFonts w:ascii="Arial Narrow" w:hAnsi="Arial Narrow"/>
                <w:sz w:val="20"/>
              </w:rPr>
            </w:pPr>
            <w:r w:rsidRPr="00110AAD">
              <w:rPr>
                <w:rFonts w:ascii="Arial Narrow" w:hAnsi="Arial Narrow"/>
                <w:sz w:val="20"/>
              </w:rPr>
              <w:t xml:space="preserve">(b) a completed </w:t>
            </w:r>
            <w:r w:rsidR="00D31EC3" w:rsidRPr="005A1D63">
              <w:rPr>
                <w:rFonts w:ascii="Arial Narrow" w:hAnsi="Arial Narrow"/>
                <w:i/>
                <w:sz w:val="20"/>
              </w:rPr>
              <w:t>cutaneous T-cell lymphoma</w:t>
            </w:r>
            <w:r w:rsidR="00D31EC3">
              <w:rPr>
                <w:rFonts w:ascii="Arial Narrow" w:hAnsi="Arial Narrow"/>
                <w:sz w:val="20"/>
              </w:rPr>
              <w:t xml:space="preserve"> (</w:t>
            </w:r>
            <w:r w:rsidRPr="00110AAD">
              <w:rPr>
                <w:rFonts w:ascii="Arial Narrow" w:hAnsi="Arial Narrow"/>
                <w:sz w:val="20"/>
              </w:rPr>
              <w:t>CTCL</w:t>
            </w:r>
            <w:r w:rsidR="00D31EC3">
              <w:rPr>
                <w:rFonts w:ascii="Arial Narrow" w:hAnsi="Arial Narrow"/>
                <w:sz w:val="20"/>
              </w:rPr>
              <w:t>)</w:t>
            </w:r>
            <w:r w:rsidRPr="00110AAD">
              <w:rPr>
                <w:rFonts w:ascii="Arial Narrow" w:hAnsi="Arial Narrow"/>
                <w:sz w:val="20"/>
              </w:rPr>
              <w:t xml:space="preserve"> vorinostat PBS Authority Application - Supporting Information Form </w:t>
            </w:r>
            <w:r w:rsidRPr="005A1D63">
              <w:rPr>
                <w:rFonts w:ascii="Arial Narrow" w:hAnsi="Arial Narrow"/>
                <w:strike/>
                <w:sz w:val="20"/>
              </w:rPr>
              <w:t>[to be determined]</w:t>
            </w:r>
            <w:r w:rsidRPr="00110AAD">
              <w:rPr>
                <w:rFonts w:ascii="Arial Narrow" w:hAnsi="Arial Narrow"/>
                <w:sz w:val="20"/>
              </w:rPr>
              <w:t xml:space="preserve"> which includes the following:</w:t>
            </w:r>
          </w:p>
          <w:p w:rsidR="002C0877" w:rsidRDefault="002C0877" w:rsidP="002C0877">
            <w:pPr>
              <w:rPr>
                <w:rFonts w:ascii="Arial Narrow" w:hAnsi="Arial Narrow"/>
                <w:sz w:val="20"/>
              </w:rPr>
            </w:pPr>
            <w:r w:rsidRPr="00454AA7">
              <w:rPr>
                <w:rFonts w:ascii="Arial Narrow" w:hAnsi="Arial Narrow"/>
                <w:sz w:val="20"/>
              </w:rPr>
              <w:t>(i) A</w:t>
            </w:r>
            <w:r w:rsidR="00E43037" w:rsidRPr="00454AA7">
              <w:rPr>
                <w:rFonts w:ascii="Arial Narrow" w:hAnsi="Arial Narrow"/>
                <w:sz w:val="20"/>
              </w:rPr>
              <w:t xml:space="preserve"> </w:t>
            </w:r>
            <w:r w:rsidR="00E43037" w:rsidRPr="00454AA7">
              <w:rPr>
                <w:rFonts w:ascii="Arial Narrow" w:hAnsi="Arial Narrow"/>
                <w:i/>
                <w:sz w:val="20"/>
              </w:rPr>
              <w:t>copy of the histology report</w:t>
            </w:r>
            <w:r w:rsidR="00CA7CDC">
              <w:rPr>
                <w:rFonts w:ascii="Arial Narrow" w:hAnsi="Arial Narrow"/>
                <w:i/>
                <w:sz w:val="20"/>
              </w:rPr>
              <w:t>;</w:t>
            </w:r>
            <w:r w:rsidR="00E43037" w:rsidRPr="00454AA7">
              <w:rPr>
                <w:rFonts w:ascii="Arial Narrow" w:hAnsi="Arial Narrow"/>
                <w:i/>
                <w:sz w:val="20"/>
              </w:rPr>
              <w:t xml:space="preserve"> </w:t>
            </w:r>
            <w:r w:rsidR="00E43037" w:rsidRPr="00CA7CDC">
              <w:rPr>
                <w:rFonts w:ascii="Arial Narrow" w:hAnsi="Arial Narrow"/>
                <w:i/>
                <w:strike/>
                <w:sz w:val="20"/>
              </w:rPr>
              <w:t xml:space="preserve">with the </w:t>
            </w:r>
            <w:r w:rsidRPr="00CA7CDC">
              <w:rPr>
                <w:rFonts w:ascii="Arial Narrow" w:hAnsi="Arial Narrow"/>
                <w:strike/>
                <w:sz w:val="20"/>
              </w:rPr>
              <w:t xml:space="preserve"> histological diagnosis of relapsed or chemotherapy-refractory </w:t>
            </w:r>
            <w:r w:rsidR="00055240" w:rsidRPr="00CA7CDC">
              <w:rPr>
                <w:rFonts w:ascii="Arial Narrow" w:hAnsi="Arial Narrow"/>
                <w:i/>
                <w:strike/>
                <w:sz w:val="20"/>
              </w:rPr>
              <w:t>cutaneous</w:t>
            </w:r>
            <w:r w:rsidR="00055240" w:rsidRPr="00CA7CDC">
              <w:rPr>
                <w:rFonts w:ascii="Arial Narrow" w:hAnsi="Arial Narrow"/>
                <w:strike/>
                <w:sz w:val="20"/>
              </w:rPr>
              <w:t xml:space="preserve"> </w:t>
            </w:r>
            <w:r w:rsidRPr="00CA7CDC">
              <w:rPr>
                <w:rFonts w:ascii="Arial Narrow" w:hAnsi="Arial Narrow"/>
                <w:strike/>
                <w:sz w:val="20"/>
              </w:rPr>
              <w:t>T-cell lymphoma</w:t>
            </w:r>
            <w:r w:rsidRPr="00454AA7">
              <w:rPr>
                <w:rFonts w:ascii="Arial Narrow" w:hAnsi="Arial Narrow"/>
                <w:sz w:val="20"/>
              </w:rPr>
              <w:t>;</w:t>
            </w:r>
          </w:p>
          <w:p w:rsidR="00CA7CDC" w:rsidRPr="00454AA7" w:rsidRDefault="00CA7CDC" w:rsidP="002C0877">
            <w:pPr>
              <w:rPr>
                <w:rFonts w:ascii="Arial Narrow" w:hAnsi="Arial Narrow"/>
                <w:sz w:val="20"/>
              </w:rPr>
            </w:pPr>
            <w:r>
              <w:rPr>
                <w:rFonts w:ascii="Arial Narrow" w:hAnsi="Arial Narrow"/>
                <w:sz w:val="20"/>
              </w:rPr>
              <w:t xml:space="preserve">(ii) </w:t>
            </w:r>
            <w:r w:rsidRPr="00CA7CDC">
              <w:rPr>
                <w:rFonts w:ascii="Arial Narrow" w:hAnsi="Arial Narrow"/>
                <w:i/>
                <w:sz w:val="20"/>
              </w:rPr>
              <w:t>a declaration of whether the patient's disease is relapsed or refractory, and the date and means by which the patient's disease was assessed as being relapsed or refractory</w:t>
            </w:r>
            <w:r>
              <w:rPr>
                <w:rFonts w:ascii="Arial Narrow" w:hAnsi="Arial Narrow"/>
                <w:i/>
                <w:sz w:val="20"/>
              </w:rPr>
              <w:t>;</w:t>
            </w:r>
          </w:p>
          <w:p w:rsidR="002C0877" w:rsidRPr="00454AA7" w:rsidRDefault="00CA7CDC" w:rsidP="002C0877">
            <w:pPr>
              <w:rPr>
                <w:rFonts w:ascii="Arial Narrow" w:hAnsi="Arial Narrow"/>
                <w:strike/>
                <w:sz w:val="20"/>
              </w:rPr>
            </w:pPr>
            <w:r>
              <w:rPr>
                <w:rFonts w:ascii="Arial Narrow" w:hAnsi="Arial Narrow"/>
                <w:sz w:val="20"/>
              </w:rPr>
              <w:t>(iii) d</w:t>
            </w:r>
            <w:r w:rsidR="002C0877" w:rsidRPr="00454AA7">
              <w:rPr>
                <w:rFonts w:ascii="Arial Narrow" w:hAnsi="Arial Narrow"/>
                <w:sz w:val="20"/>
              </w:rPr>
              <w:t xml:space="preserve">etails of prior </w:t>
            </w:r>
            <w:r w:rsidR="001C3EB3" w:rsidRPr="00454AA7">
              <w:rPr>
                <w:rFonts w:ascii="Arial Narrow" w:hAnsi="Arial Narrow"/>
                <w:i/>
                <w:sz w:val="20"/>
              </w:rPr>
              <w:t>chemotherapy</w:t>
            </w:r>
            <w:r w:rsidR="001C3EB3" w:rsidRPr="00454AA7">
              <w:rPr>
                <w:rFonts w:ascii="Arial Narrow" w:hAnsi="Arial Narrow"/>
                <w:sz w:val="20"/>
              </w:rPr>
              <w:t xml:space="preserve"> </w:t>
            </w:r>
            <w:r w:rsidR="002C0877" w:rsidRPr="00454AA7">
              <w:rPr>
                <w:rFonts w:ascii="Arial Narrow" w:hAnsi="Arial Narrow"/>
                <w:sz w:val="20"/>
              </w:rPr>
              <w:t>treatment</w:t>
            </w:r>
            <w:r w:rsidR="002C0877" w:rsidRPr="00454AA7">
              <w:rPr>
                <w:rFonts w:ascii="Arial Narrow" w:hAnsi="Arial Narrow"/>
                <w:strike/>
                <w:sz w:val="20"/>
              </w:rPr>
              <w:t xml:space="preserve"> including name(s) of drug(s) and date of most recent treatment cycle; and</w:t>
            </w:r>
          </w:p>
          <w:p w:rsidR="002C0877" w:rsidRPr="00454AA7" w:rsidRDefault="002C0877" w:rsidP="002C0877">
            <w:pPr>
              <w:rPr>
                <w:rFonts w:ascii="Arial Narrow" w:hAnsi="Arial Narrow"/>
                <w:sz w:val="20"/>
              </w:rPr>
            </w:pPr>
            <w:r w:rsidRPr="00454AA7">
              <w:rPr>
                <w:rFonts w:ascii="Arial Narrow" w:hAnsi="Arial Narrow"/>
                <w:sz w:val="20"/>
              </w:rPr>
              <w:t>(</w:t>
            </w:r>
            <w:r w:rsidR="00CA7CDC">
              <w:rPr>
                <w:rFonts w:ascii="Arial Narrow" w:hAnsi="Arial Narrow"/>
                <w:sz w:val="20"/>
              </w:rPr>
              <w:t>iv</w:t>
            </w:r>
            <w:r w:rsidRPr="00454AA7">
              <w:rPr>
                <w:rFonts w:ascii="Arial Narrow" w:hAnsi="Arial Narrow"/>
                <w:sz w:val="20"/>
              </w:rPr>
              <w:t xml:space="preserve">) a declaration of the </w:t>
            </w:r>
            <w:r w:rsidR="00E90B8F" w:rsidRPr="00454AA7">
              <w:rPr>
                <w:rFonts w:ascii="Arial Narrow" w:hAnsi="Arial Narrow"/>
                <w:sz w:val="20"/>
              </w:rPr>
              <w:t>patient’s</w:t>
            </w:r>
            <w:r w:rsidRPr="00454AA7">
              <w:rPr>
                <w:rFonts w:ascii="Arial Narrow" w:hAnsi="Arial Narrow"/>
                <w:sz w:val="20"/>
              </w:rPr>
              <w:t xml:space="preserve"> ineligibility for stem cell transplant</w:t>
            </w:r>
            <w:r w:rsidR="00E32096" w:rsidRPr="00454AA7">
              <w:rPr>
                <w:rFonts w:ascii="Arial Narrow" w:hAnsi="Arial Narrow"/>
                <w:sz w:val="20"/>
              </w:rPr>
              <w:t xml:space="preserve">, </w:t>
            </w:r>
            <w:r w:rsidR="00E32096" w:rsidRPr="00454AA7">
              <w:rPr>
                <w:rFonts w:ascii="Arial Narrow" w:hAnsi="Arial Narrow"/>
                <w:i/>
                <w:sz w:val="20"/>
              </w:rPr>
              <w:t>and</w:t>
            </w:r>
            <w:r w:rsidRPr="00454AA7">
              <w:rPr>
                <w:rFonts w:ascii="Arial Narrow" w:hAnsi="Arial Narrow"/>
                <w:sz w:val="20"/>
              </w:rPr>
              <w:t xml:space="preserve"> </w:t>
            </w:r>
          </w:p>
          <w:p w:rsidR="00E32096" w:rsidRPr="005A1D63" w:rsidRDefault="00E32096" w:rsidP="005A1D63">
            <w:pPr>
              <w:rPr>
                <w:rFonts w:ascii="Arial Narrow" w:hAnsi="Arial Narrow"/>
                <w:i/>
                <w:sz w:val="20"/>
              </w:rPr>
            </w:pPr>
            <w:r w:rsidRPr="00454AA7">
              <w:rPr>
                <w:rFonts w:ascii="Arial Narrow" w:hAnsi="Arial Narrow"/>
                <w:i/>
                <w:sz w:val="20"/>
              </w:rPr>
              <w:t>(</w:t>
            </w:r>
            <w:r w:rsidR="001C3EB3" w:rsidRPr="00454AA7">
              <w:rPr>
                <w:rFonts w:ascii="Arial Narrow" w:hAnsi="Arial Narrow"/>
                <w:i/>
                <w:sz w:val="20"/>
              </w:rPr>
              <w:t>v</w:t>
            </w:r>
            <w:r w:rsidRPr="00454AA7">
              <w:rPr>
                <w:rFonts w:ascii="Arial Narrow" w:hAnsi="Arial Narrow"/>
                <w:i/>
                <w:sz w:val="20"/>
              </w:rPr>
              <w:t>) a signed patient acknowledgement.</w:t>
            </w:r>
          </w:p>
        </w:tc>
      </w:tr>
    </w:tbl>
    <w:p w:rsidR="00826F6D" w:rsidRPr="00110AAD" w:rsidRDefault="00826F6D" w:rsidP="00826F6D">
      <w:pPr>
        <w:pStyle w:val="ListParagraph"/>
        <w:rPr>
          <w:szCs w:val="22"/>
        </w:rPr>
      </w:pPr>
    </w:p>
    <w:tbl>
      <w:tblPr>
        <w:tblW w:w="8517" w:type="dxa"/>
        <w:tblInd w:w="817" w:type="dxa"/>
        <w:tblLayout w:type="fixed"/>
        <w:tblLook w:val="04A0" w:firstRow="1" w:lastRow="0" w:firstColumn="1" w:lastColumn="0" w:noHBand="0" w:noVBand="1"/>
      </w:tblPr>
      <w:tblGrid>
        <w:gridCol w:w="2183"/>
        <w:gridCol w:w="6334"/>
      </w:tblGrid>
      <w:tr w:rsidR="002C0877" w:rsidRPr="00110AAD" w:rsidTr="00E90B8F">
        <w:trPr>
          <w:cantSplit/>
          <w:trHeight w:val="20"/>
        </w:trPr>
        <w:tc>
          <w:tcPr>
            <w:tcW w:w="2183" w:type="dxa"/>
            <w:tcBorders>
              <w:top w:val="single" w:sz="4" w:space="0" w:color="auto"/>
              <w:left w:val="single" w:sz="4" w:space="0" w:color="auto"/>
              <w:bottom w:val="single" w:sz="4" w:space="0" w:color="auto"/>
              <w:right w:val="single" w:sz="4" w:space="0" w:color="auto"/>
            </w:tcBorders>
            <w:hideMark/>
          </w:tcPr>
          <w:p w:rsidR="002C0877" w:rsidRPr="00110AAD" w:rsidRDefault="002C0877" w:rsidP="002C0877">
            <w:pPr>
              <w:rPr>
                <w:rFonts w:ascii="Arial Narrow" w:hAnsi="Arial Narrow"/>
                <w:sz w:val="20"/>
              </w:rPr>
            </w:pPr>
            <w:r w:rsidRPr="00110AAD">
              <w:rPr>
                <w:rFonts w:ascii="Arial Narrow" w:hAnsi="Arial Narrow"/>
                <w:b/>
                <w:sz w:val="20"/>
              </w:rPr>
              <w:t>Treatment phase:</w:t>
            </w:r>
          </w:p>
        </w:tc>
        <w:tc>
          <w:tcPr>
            <w:tcW w:w="6334" w:type="dxa"/>
            <w:tcBorders>
              <w:top w:val="single" w:sz="4" w:space="0" w:color="auto"/>
              <w:left w:val="single" w:sz="4" w:space="0" w:color="auto"/>
              <w:bottom w:val="single" w:sz="4" w:space="0" w:color="auto"/>
              <w:right w:val="single" w:sz="4" w:space="0" w:color="auto"/>
            </w:tcBorders>
            <w:hideMark/>
          </w:tcPr>
          <w:p w:rsidR="002C0877" w:rsidRPr="00110AAD" w:rsidRDefault="002C0877" w:rsidP="002C0877">
            <w:pPr>
              <w:rPr>
                <w:rFonts w:ascii="Arial Narrow" w:hAnsi="Arial Narrow"/>
                <w:sz w:val="20"/>
              </w:rPr>
            </w:pPr>
            <w:r w:rsidRPr="00110AAD">
              <w:rPr>
                <w:rFonts w:ascii="Arial Narrow" w:hAnsi="Arial Narrow"/>
                <w:sz w:val="20"/>
              </w:rPr>
              <w:t>Continuing treatment</w:t>
            </w:r>
          </w:p>
        </w:tc>
      </w:tr>
      <w:tr w:rsidR="002C0877" w:rsidRPr="00110AAD" w:rsidTr="00E90B8F">
        <w:trPr>
          <w:cantSplit/>
          <w:trHeight w:val="656"/>
        </w:trPr>
        <w:tc>
          <w:tcPr>
            <w:tcW w:w="2183" w:type="dxa"/>
            <w:tcBorders>
              <w:top w:val="single" w:sz="4" w:space="0" w:color="auto"/>
              <w:left w:val="single" w:sz="4" w:space="0" w:color="auto"/>
              <w:bottom w:val="single" w:sz="4" w:space="0" w:color="auto"/>
              <w:right w:val="single" w:sz="4" w:space="0" w:color="auto"/>
            </w:tcBorders>
          </w:tcPr>
          <w:p w:rsidR="002C0877" w:rsidRPr="00110AAD" w:rsidRDefault="002C0877" w:rsidP="002C0877">
            <w:pPr>
              <w:rPr>
                <w:rFonts w:ascii="Arial Narrow" w:hAnsi="Arial Narrow"/>
                <w:sz w:val="20"/>
              </w:rPr>
            </w:pPr>
            <w:r w:rsidRPr="00110AAD">
              <w:rPr>
                <w:rFonts w:ascii="Arial Narrow" w:hAnsi="Arial Narrow"/>
                <w:b/>
                <w:sz w:val="20"/>
              </w:rPr>
              <w:t>Restriction Level / Method:</w:t>
            </w:r>
          </w:p>
        </w:tc>
        <w:tc>
          <w:tcPr>
            <w:tcW w:w="6334" w:type="dxa"/>
            <w:tcBorders>
              <w:top w:val="single" w:sz="4" w:space="0" w:color="auto"/>
              <w:left w:val="single" w:sz="4" w:space="0" w:color="auto"/>
              <w:bottom w:val="single" w:sz="4" w:space="0" w:color="auto"/>
              <w:right w:val="single" w:sz="4" w:space="0" w:color="auto"/>
            </w:tcBorders>
            <w:hideMark/>
          </w:tcPr>
          <w:p w:rsidR="002C0877" w:rsidRPr="00110AAD" w:rsidRDefault="002C0877" w:rsidP="002C0877">
            <w:pPr>
              <w:keepNext/>
              <w:rPr>
                <w:rFonts w:ascii="Arial Narrow" w:hAnsi="Arial Narrow"/>
                <w:sz w:val="20"/>
              </w:rPr>
            </w:pPr>
            <w:r w:rsidRPr="00110AAD">
              <w:rPr>
                <w:rFonts w:ascii="Arial Narrow" w:hAnsi="Arial Narrow"/>
                <w:sz w:val="20"/>
              </w:rPr>
              <w:fldChar w:fldCharType="begin">
                <w:ffData>
                  <w:name w:val=""/>
                  <w:enabled/>
                  <w:calcOnExit w:val="0"/>
                  <w:checkBox>
                    <w:sizeAuto/>
                    <w:default w:val="1"/>
                  </w:checkBox>
                </w:ffData>
              </w:fldChar>
            </w:r>
            <w:r w:rsidRPr="00110AAD">
              <w:rPr>
                <w:rFonts w:ascii="Arial Narrow" w:hAnsi="Arial Narrow"/>
                <w:sz w:val="20"/>
              </w:rPr>
              <w:instrText xml:space="preserve"> FORMCHECKBOX </w:instrText>
            </w:r>
            <w:r w:rsidR="00655C1D">
              <w:rPr>
                <w:rFonts w:ascii="Arial Narrow" w:hAnsi="Arial Narrow"/>
                <w:sz w:val="20"/>
              </w:rPr>
            </w:r>
            <w:r w:rsidR="00655C1D">
              <w:rPr>
                <w:rFonts w:ascii="Arial Narrow" w:hAnsi="Arial Narrow"/>
                <w:sz w:val="20"/>
              </w:rPr>
              <w:fldChar w:fldCharType="separate"/>
            </w:r>
            <w:r w:rsidRPr="00110AAD">
              <w:rPr>
                <w:rFonts w:ascii="Arial Narrow" w:hAnsi="Arial Narrow"/>
                <w:sz w:val="20"/>
              </w:rPr>
              <w:fldChar w:fldCharType="end"/>
            </w:r>
            <w:r w:rsidRPr="00110AAD">
              <w:rPr>
                <w:rFonts w:ascii="Arial Narrow" w:hAnsi="Arial Narrow"/>
                <w:sz w:val="20"/>
              </w:rPr>
              <w:t>Authority Required - In Writing</w:t>
            </w:r>
          </w:p>
          <w:p w:rsidR="002C0877" w:rsidRPr="00110AAD" w:rsidRDefault="002C0877" w:rsidP="002C0877">
            <w:pPr>
              <w:keepNext/>
              <w:rPr>
                <w:rFonts w:ascii="Arial Narrow" w:hAnsi="Arial Narrow"/>
                <w:sz w:val="20"/>
              </w:rPr>
            </w:pPr>
            <w:r w:rsidRPr="00110AAD">
              <w:rPr>
                <w:rFonts w:ascii="Arial Narrow" w:hAnsi="Arial Narrow"/>
                <w:sz w:val="20"/>
              </w:rPr>
              <w:fldChar w:fldCharType="begin">
                <w:ffData>
                  <w:name w:val=""/>
                  <w:enabled w:val="0"/>
                  <w:calcOnExit w:val="0"/>
                  <w:checkBox>
                    <w:sizeAuto/>
                    <w:default w:val="1"/>
                  </w:checkBox>
                </w:ffData>
              </w:fldChar>
            </w:r>
            <w:r w:rsidRPr="00110AAD">
              <w:rPr>
                <w:rFonts w:ascii="Arial Narrow" w:hAnsi="Arial Narrow"/>
                <w:sz w:val="20"/>
              </w:rPr>
              <w:instrText xml:space="preserve"> FORMCHECKBOX </w:instrText>
            </w:r>
            <w:r w:rsidR="00655C1D">
              <w:rPr>
                <w:rFonts w:ascii="Arial Narrow" w:hAnsi="Arial Narrow"/>
                <w:sz w:val="20"/>
              </w:rPr>
            </w:r>
            <w:r w:rsidR="00655C1D">
              <w:rPr>
                <w:rFonts w:ascii="Arial Narrow" w:hAnsi="Arial Narrow"/>
                <w:sz w:val="20"/>
              </w:rPr>
              <w:fldChar w:fldCharType="separate"/>
            </w:r>
            <w:r w:rsidRPr="00110AAD">
              <w:rPr>
                <w:rFonts w:ascii="Arial Narrow" w:hAnsi="Arial Narrow"/>
                <w:sz w:val="20"/>
              </w:rPr>
              <w:fldChar w:fldCharType="end"/>
            </w:r>
            <w:r w:rsidRPr="00110AAD">
              <w:rPr>
                <w:rFonts w:ascii="Arial Narrow" w:hAnsi="Arial Narrow"/>
                <w:sz w:val="20"/>
              </w:rPr>
              <w:t>Authority Required - Telephone</w:t>
            </w:r>
          </w:p>
        </w:tc>
      </w:tr>
      <w:tr w:rsidR="002C0877" w:rsidRPr="00110AAD" w:rsidTr="00E90B8F">
        <w:trPr>
          <w:cantSplit/>
          <w:trHeight w:val="20"/>
        </w:trPr>
        <w:tc>
          <w:tcPr>
            <w:tcW w:w="2183" w:type="dxa"/>
            <w:tcBorders>
              <w:top w:val="single" w:sz="4" w:space="0" w:color="auto"/>
              <w:left w:val="single" w:sz="4" w:space="0" w:color="auto"/>
              <w:bottom w:val="single" w:sz="4" w:space="0" w:color="auto"/>
              <w:right w:val="single" w:sz="4" w:space="0" w:color="auto"/>
            </w:tcBorders>
          </w:tcPr>
          <w:p w:rsidR="002C0877" w:rsidRPr="00110AAD" w:rsidRDefault="002C0877" w:rsidP="002C0877">
            <w:pPr>
              <w:rPr>
                <w:rFonts w:ascii="Arial Narrow" w:hAnsi="Arial Narrow"/>
                <w:b/>
                <w:sz w:val="20"/>
              </w:rPr>
            </w:pPr>
            <w:r w:rsidRPr="00110AAD">
              <w:rPr>
                <w:rFonts w:ascii="Arial Narrow" w:hAnsi="Arial Narrow"/>
                <w:b/>
                <w:sz w:val="20"/>
              </w:rPr>
              <w:t>Clinical criteria:</w:t>
            </w:r>
          </w:p>
          <w:p w:rsidR="002C0877" w:rsidRPr="00110AAD" w:rsidRDefault="002C0877" w:rsidP="002C0877">
            <w:pPr>
              <w:rPr>
                <w:rFonts w:ascii="Arial Narrow" w:hAnsi="Arial Narrow"/>
                <w:sz w:val="20"/>
              </w:rPr>
            </w:pPr>
          </w:p>
        </w:tc>
        <w:tc>
          <w:tcPr>
            <w:tcW w:w="6334" w:type="dxa"/>
            <w:tcBorders>
              <w:top w:val="single" w:sz="4" w:space="0" w:color="auto"/>
              <w:left w:val="single" w:sz="4" w:space="0" w:color="auto"/>
              <w:bottom w:val="single" w:sz="4" w:space="0" w:color="auto"/>
              <w:right w:val="single" w:sz="4" w:space="0" w:color="auto"/>
            </w:tcBorders>
            <w:hideMark/>
          </w:tcPr>
          <w:p w:rsidR="002C0877" w:rsidRPr="00110AAD" w:rsidRDefault="002C0877" w:rsidP="002C0877">
            <w:pPr>
              <w:rPr>
                <w:rFonts w:ascii="Arial Narrow" w:hAnsi="Arial Narrow"/>
                <w:sz w:val="20"/>
              </w:rPr>
            </w:pPr>
            <w:r w:rsidRPr="00110AAD">
              <w:rPr>
                <w:rFonts w:ascii="Arial Narrow" w:hAnsi="Arial Narrow"/>
                <w:sz w:val="20"/>
              </w:rPr>
              <w:t>Patient must have previously received PBS-subsidised treatment with this drug for this condition,</w:t>
            </w:r>
          </w:p>
          <w:p w:rsidR="002C0877" w:rsidRPr="00110AAD" w:rsidRDefault="002C0877" w:rsidP="002C0877">
            <w:pPr>
              <w:rPr>
                <w:rFonts w:ascii="Arial Narrow" w:hAnsi="Arial Narrow"/>
                <w:sz w:val="20"/>
              </w:rPr>
            </w:pPr>
            <w:r w:rsidRPr="00110AAD">
              <w:rPr>
                <w:rFonts w:ascii="Arial Narrow" w:hAnsi="Arial Narrow"/>
                <w:sz w:val="20"/>
              </w:rPr>
              <w:t>AND</w:t>
            </w:r>
          </w:p>
          <w:p w:rsidR="002C0877" w:rsidRPr="00110AAD" w:rsidRDefault="002C0877" w:rsidP="002C0877">
            <w:pPr>
              <w:rPr>
                <w:rFonts w:ascii="Arial Narrow" w:hAnsi="Arial Narrow"/>
                <w:sz w:val="20"/>
              </w:rPr>
            </w:pPr>
            <w:r w:rsidRPr="00110AAD">
              <w:rPr>
                <w:rFonts w:ascii="Arial Narrow" w:hAnsi="Arial Narrow"/>
                <w:sz w:val="20"/>
              </w:rPr>
              <w:t>Patient must not have progressive disease</w:t>
            </w:r>
            <w:r w:rsidRPr="00110AAD">
              <w:rPr>
                <w:rFonts w:ascii="Arial Narrow" w:hAnsi="Arial Narrow"/>
                <w:color w:val="FF0000"/>
                <w:sz w:val="20"/>
              </w:rPr>
              <w:t xml:space="preserve"> </w:t>
            </w:r>
            <w:r w:rsidRPr="00110AAD">
              <w:rPr>
                <w:rFonts w:ascii="Arial Narrow" w:hAnsi="Arial Narrow"/>
                <w:sz w:val="20"/>
              </w:rPr>
              <w:t>while receiving PBS-subsidised treatment with this drug for this condition,</w:t>
            </w:r>
          </w:p>
          <w:p w:rsidR="002C0877" w:rsidRPr="00110AAD" w:rsidRDefault="002C0877" w:rsidP="002C0877">
            <w:pPr>
              <w:rPr>
                <w:rFonts w:ascii="Arial Narrow" w:hAnsi="Arial Narrow"/>
                <w:sz w:val="20"/>
              </w:rPr>
            </w:pPr>
            <w:r w:rsidRPr="00110AAD">
              <w:rPr>
                <w:rFonts w:ascii="Arial Narrow" w:hAnsi="Arial Narrow"/>
                <w:sz w:val="20"/>
              </w:rPr>
              <w:t>AND</w:t>
            </w:r>
          </w:p>
          <w:p w:rsidR="002C0877" w:rsidRPr="00110AAD" w:rsidRDefault="002C0877" w:rsidP="002C0877">
            <w:pPr>
              <w:rPr>
                <w:rFonts w:ascii="Arial Narrow" w:hAnsi="Arial Narrow"/>
                <w:sz w:val="20"/>
              </w:rPr>
            </w:pPr>
            <w:r w:rsidRPr="00110AAD">
              <w:rPr>
                <w:rFonts w:ascii="Arial Narrow" w:hAnsi="Arial Narrow"/>
                <w:sz w:val="20"/>
              </w:rPr>
              <w:t xml:space="preserve">The treatment must be </w:t>
            </w:r>
            <w:r w:rsidRPr="00B84CB3">
              <w:rPr>
                <w:rFonts w:ascii="Arial Narrow" w:hAnsi="Arial Narrow"/>
                <w:strike/>
                <w:sz w:val="20"/>
              </w:rPr>
              <w:t>a</w:t>
            </w:r>
            <w:r w:rsidR="00B84CB3">
              <w:rPr>
                <w:rFonts w:ascii="Arial Narrow" w:hAnsi="Arial Narrow"/>
                <w:sz w:val="20"/>
              </w:rPr>
              <w:t xml:space="preserve"> </w:t>
            </w:r>
            <w:r w:rsidR="00B84CB3" w:rsidRPr="00B84CB3">
              <w:rPr>
                <w:rFonts w:ascii="Arial Narrow" w:hAnsi="Arial Narrow"/>
                <w:i/>
                <w:sz w:val="20"/>
              </w:rPr>
              <w:t>the</w:t>
            </w:r>
            <w:r w:rsidRPr="00110AAD">
              <w:rPr>
                <w:rFonts w:ascii="Arial Narrow" w:hAnsi="Arial Narrow"/>
                <w:sz w:val="20"/>
              </w:rPr>
              <w:t xml:space="preserve"> sole PBS-subsidised treatment with this drug for this condition.</w:t>
            </w:r>
          </w:p>
        </w:tc>
      </w:tr>
    </w:tbl>
    <w:p w:rsidR="006A6C28" w:rsidRPr="00110AAD" w:rsidRDefault="006A6C28" w:rsidP="00A92B17">
      <w:pPr>
        <w:ind w:firstLine="720"/>
        <w:rPr>
          <w:rFonts w:ascii="Arial" w:hAnsi="Arial" w:cs="Arial"/>
          <w:bCs/>
          <w:i/>
          <w:snapToGrid w:val="0"/>
          <w:sz w:val="22"/>
          <w:szCs w:val="22"/>
        </w:rPr>
      </w:pPr>
    </w:p>
    <w:p w:rsidR="00A92B17" w:rsidRPr="00110AAD" w:rsidRDefault="00A92B17" w:rsidP="00A92B17">
      <w:pPr>
        <w:ind w:firstLine="720"/>
        <w:rPr>
          <w:rFonts w:ascii="Arial" w:hAnsi="Arial" w:cs="Arial"/>
          <w:bCs/>
          <w:snapToGrid w:val="0"/>
          <w:sz w:val="22"/>
          <w:szCs w:val="22"/>
        </w:rPr>
      </w:pPr>
      <w:r w:rsidRPr="00110AAD">
        <w:rPr>
          <w:rFonts w:ascii="Arial" w:hAnsi="Arial" w:cs="Arial"/>
          <w:bCs/>
          <w:i/>
          <w:snapToGrid w:val="0"/>
          <w:sz w:val="22"/>
          <w:szCs w:val="22"/>
        </w:rPr>
        <w:t xml:space="preserve">For more detail on PBAC’s view, see section </w:t>
      </w:r>
      <w:r w:rsidR="00E3356F" w:rsidRPr="00110AAD">
        <w:rPr>
          <w:rFonts w:ascii="Arial" w:hAnsi="Arial" w:cs="Arial"/>
          <w:bCs/>
          <w:i/>
          <w:snapToGrid w:val="0"/>
          <w:sz w:val="22"/>
          <w:szCs w:val="22"/>
        </w:rPr>
        <w:t>5</w:t>
      </w:r>
      <w:r w:rsidRPr="00110AAD">
        <w:rPr>
          <w:rFonts w:ascii="Arial" w:hAnsi="Arial" w:cs="Arial"/>
          <w:bCs/>
          <w:i/>
          <w:snapToGrid w:val="0"/>
          <w:sz w:val="22"/>
          <w:szCs w:val="22"/>
        </w:rPr>
        <w:t xml:space="preserve"> “PBAC outcome”</w:t>
      </w:r>
      <w:r w:rsidR="00D17654">
        <w:rPr>
          <w:rFonts w:ascii="Arial" w:hAnsi="Arial" w:cs="Arial"/>
          <w:bCs/>
          <w:i/>
          <w:snapToGrid w:val="0"/>
          <w:sz w:val="22"/>
          <w:szCs w:val="22"/>
        </w:rPr>
        <w:t>.</w:t>
      </w:r>
    </w:p>
    <w:p w:rsidR="00BB7EC3" w:rsidRPr="00110AAD" w:rsidRDefault="00BB7EC3" w:rsidP="00882085">
      <w:pPr>
        <w:jc w:val="both"/>
        <w:rPr>
          <w:rFonts w:ascii="Arial" w:hAnsi="Arial"/>
          <w:b/>
          <w:sz w:val="22"/>
          <w:szCs w:val="22"/>
        </w:rPr>
      </w:pPr>
    </w:p>
    <w:p w:rsidR="00CE10C4" w:rsidRPr="00110AAD" w:rsidRDefault="00CE10C4" w:rsidP="008A50F1">
      <w:pPr>
        <w:pStyle w:val="PBACHeading1"/>
      </w:pPr>
      <w:r w:rsidRPr="00110AAD">
        <w:t>Background</w:t>
      </w:r>
    </w:p>
    <w:p w:rsidR="00C603D4" w:rsidRPr="00110AAD" w:rsidRDefault="00C603D4" w:rsidP="00C603D4">
      <w:pPr>
        <w:pStyle w:val="ListParagraph"/>
        <w:rPr>
          <w:szCs w:val="22"/>
        </w:rPr>
      </w:pPr>
    </w:p>
    <w:p w:rsidR="00BB7EC3" w:rsidRPr="00110AAD" w:rsidRDefault="00964897" w:rsidP="00964897">
      <w:pPr>
        <w:pStyle w:val="ListParagraph"/>
        <w:numPr>
          <w:ilvl w:val="1"/>
          <w:numId w:val="5"/>
        </w:numPr>
        <w:rPr>
          <w:szCs w:val="22"/>
        </w:rPr>
      </w:pPr>
      <w:r w:rsidRPr="00110AAD">
        <w:rPr>
          <w:szCs w:val="22"/>
        </w:rPr>
        <w:t xml:space="preserve">At the November 2016 </w:t>
      </w:r>
      <w:r w:rsidR="00110AAD" w:rsidRPr="00110AAD">
        <w:rPr>
          <w:szCs w:val="22"/>
        </w:rPr>
        <w:t>meeting,</w:t>
      </w:r>
      <w:r w:rsidRPr="00110AAD">
        <w:rPr>
          <w:szCs w:val="22"/>
        </w:rPr>
        <w:t xml:space="preserve"> t</w:t>
      </w:r>
      <w:r w:rsidRPr="00110AAD">
        <w:t xml:space="preserve">he PBAC deferred its decision on whether to recommend the </w:t>
      </w:r>
      <w:r w:rsidR="009919E3" w:rsidRPr="00110AAD">
        <w:t>General Schedule</w:t>
      </w:r>
      <w:r w:rsidRPr="00110AAD">
        <w:t xml:space="preserve"> Authority Required listing of vorinostat for the treatment of </w:t>
      </w:r>
      <w:r w:rsidR="00C44810" w:rsidRPr="00110AAD">
        <w:t>CTCL</w:t>
      </w:r>
      <w:r w:rsidRPr="00110AAD">
        <w:t>. The PBAC considered that the uncertainty of the cost-effectiveness analysis presented in the</w:t>
      </w:r>
      <w:r w:rsidR="00977251" w:rsidRPr="00110AAD">
        <w:t xml:space="preserve"> original March 2011</w:t>
      </w:r>
      <w:r w:rsidRPr="00110AAD">
        <w:t xml:space="preserve"> </w:t>
      </w:r>
      <w:r w:rsidR="002342B2" w:rsidRPr="00110AAD">
        <w:t>submission</w:t>
      </w:r>
      <w:r w:rsidRPr="00110AAD">
        <w:t xml:space="preserve"> was diminished in the context of </w:t>
      </w:r>
      <w:r w:rsidR="00513B97" w:rsidRPr="00110AAD">
        <w:t xml:space="preserve">the </w:t>
      </w:r>
      <w:r w:rsidRPr="00110AAD">
        <w:t xml:space="preserve">substantial price reduction offered in the </w:t>
      </w:r>
      <w:r w:rsidR="00513B97" w:rsidRPr="00110AAD">
        <w:t xml:space="preserve">November 2016 </w:t>
      </w:r>
      <w:r w:rsidRPr="00110AAD">
        <w:t>resubmission. The PBAC considered that given the high and unmet clinical need in a small group of patients, the reasonable evidence of some clinical benefit, and the modest overall financial impact, it would be appropriate to seek further clarification from the sponsor regarding the financial impact of listing on the PBS, specifically, the patient numbers and a</w:t>
      </w:r>
      <w:r w:rsidR="009070BF" w:rsidRPr="00110AAD">
        <w:t xml:space="preserve"> proposed</w:t>
      </w:r>
      <w:r w:rsidRPr="00110AAD">
        <w:t xml:space="preserve"> </w:t>
      </w:r>
      <w:r w:rsidR="00F001D5" w:rsidRPr="00110AAD">
        <w:t>risk sharing arrangement</w:t>
      </w:r>
      <w:r w:rsidRPr="00110AAD">
        <w:t>.</w:t>
      </w:r>
    </w:p>
    <w:p w:rsidR="00A92B17" w:rsidRPr="00110AAD" w:rsidRDefault="00A92B17" w:rsidP="00A92B17">
      <w:pPr>
        <w:pStyle w:val="ListParagraph"/>
      </w:pPr>
    </w:p>
    <w:p w:rsidR="00A92B17" w:rsidRPr="00110AAD" w:rsidRDefault="00A92B17" w:rsidP="00A92B17">
      <w:pPr>
        <w:ind w:firstLine="720"/>
        <w:rPr>
          <w:rFonts w:ascii="Arial" w:hAnsi="Arial" w:cs="Arial"/>
          <w:bCs/>
          <w:snapToGrid w:val="0"/>
          <w:sz w:val="22"/>
          <w:szCs w:val="22"/>
        </w:rPr>
      </w:pPr>
      <w:r w:rsidRPr="00110AAD">
        <w:rPr>
          <w:rFonts w:ascii="Arial" w:hAnsi="Arial" w:cs="Arial"/>
          <w:bCs/>
          <w:i/>
          <w:snapToGrid w:val="0"/>
          <w:sz w:val="22"/>
          <w:szCs w:val="22"/>
        </w:rPr>
        <w:t xml:space="preserve">For more detail on PBAC’s view, see section </w:t>
      </w:r>
      <w:r w:rsidR="00E3356F" w:rsidRPr="00110AAD">
        <w:rPr>
          <w:rFonts w:ascii="Arial" w:hAnsi="Arial" w:cs="Arial"/>
          <w:bCs/>
          <w:i/>
          <w:snapToGrid w:val="0"/>
          <w:sz w:val="22"/>
          <w:szCs w:val="22"/>
        </w:rPr>
        <w:t>5</w:t>
      </w:r>
      <w:r w:rsidRPr="00110AAD">
        <w:rPr>
          <w:rFonts w:ascii="Arial" w:hAnsi="Arial" w:cs="Arial"/>
          <w:bCs/>
          <w:i/>
          <w:snapToGrid w:val="0"/>
          <w:sz w:val="22"/>
          <w:szCs w:val="22"/>
        </w:rPr>
        <w:t xml:space="preserve"> “PBAC outcome”</w:t>
      </w:r>
      <w:r w:rsidR="00D17654">
        <w:rPr>
          <w:rFonts w:ascii="Arial" w:hAnsi="Arial" w:cs="Arial"/>
          <w:bCs/>
          <w:i/>
          <w:snapToGrid w:val="0"/>
          <w:sz w:val="22"/>
          <w:szCs w:val="22"/>
        </w:rPr>
        <w:t>.</w:t>
      </w:r>
    </w:p>
    <w:p w:rsidR="00C748A6" w:rsidRPr="00110AAD" w:rsidRDefault="00C748A6">
      <w:pPr>
        <w:rPr>
          <w:rFonts w:ascii="Arial" w:hAnsi="Arial" w:cs="Arial"/>
          <w:b/>
          <w:snapToGrid w:val="0"/>
          <w:sz w:val="22"/>
          <w:szCs w:val="22"/>
          <w:lang w:eastAsia="en-US"/>
        </w:rPr>
      </w:pPr>
    </w:p>
    <w:p w:rsidR="00516629" w:rsidRPr="00110AAD" w:rsidRDefault="00516629" w:rsidP="005D306C">
      <w:pPr>
        <w:pStyle w:val="PBACHeading1"/>
      </w:pPr>
      <w:r w:rsidRPr="00110AAD">
        <w:t>Current Submission</w:t>
      </w:r>
    </w:p>
    <w:p w:rsidR="000F0F89" w:rsidRPr="00110AAD" w:rsidRDefault="000F0F89" w:rsidP="00FA63EC"/>
    <w:p w:rsidR="000F0F89" w:rsidRPr="003C2CE6" w:rsidRDefault="000F0F89" w:rsidP="000F0F89">
      <w:pPr>
        <w:rPr>
          <w:rFonts w:ascii="Arial" w:hAnsi="Arial" w:cs="Arial"/>
          <w:b/>
          <w:bCs/>
          <w:i/>
          <w:snapToGrid w:val="0"/>
          <w:sz w:val="22"/>
          <w:szCs w:val="22"/>
        </w:rPr>
      </w:pPr>
      <w:r w:rsidRPr="003C2CE6">
        <w:rPr>
          <w:rFonts w:ascii="Arial" w:hAnsi="Arial" w:cs="Arial"/>
          <w:b/>
          <w:bCs/>
          <w:i/>
          <w:snapToGrid w:val="0"/>
          <w:sz w:val="22"/>
          <w:szCs w:val="22"/>
        </w:rPr>
        <w:t>Sponsor hearing</w:t>
      </w:r>
    </w:p>
    <w:p w:rsidR="000F0F89" w:rsidRPr="00110AAD" w:rsidRDefault="000F0F89" w:rsidP="000F0F89">
      <w:pPr>
        <w:rPr>
          <w:rFonts w:ascii="Arial" w:hAnsi="Arial" w:cs="Arial"/>
          <w:b/>
          <w:bCs/>
          <w:snapToGrid w:val="0"/>
          <w:sz w:val="22"/>
          <w:szCs w:val="22"/>
          <w:highlight w:val="yellow"/>
        </w:rPr>
      </w:pPr>
    </w:p>
    <w:p w:rsidR="000F0F89" w:rsidRPr="00110AAD" w:rsidRDefault="000F0F89" w:rsidP="000F0F89">
      <w:pPr>
        <w:numPr>
          <w:ilvl w:val="1"/>
          <w:numId w:val="5"/>
        </w:numPr>
        <w:rPr>
          <w:rFonts w:ascii="Arial" w:hAnsi="Arial" w:cs="Arial"/>
          <w:bCs/>
          <w:snapToGrid w:val="0"/>
          <w:sz w:val="22"/>
          <w:szCs w:val="22"/>
        </w:rPr>
      </w:pPr>
      <w:r w:rsidRPr="00110AAD">
        <w:rPr>
          <w:rFonts w:ascii="Arial" w:hAnsi="Arial" w:cs="Arial"/>
          <w:bCs/>
          <w:snapToGrid w:val="0"/>
          <w:sz w:val="22"/>
          <w:szCs w:val="22"/>
        </w:rPr>
        <w:t>There was no hearing for this item as it was a minor su</w:t>
      </w:r>
      <w:r w:rsidR="007D1CED" w:rsidRPr="00110AAD">
        <w:rPr>
          <w:rFonts w:ascii="Arial" w:hAnsi="Arial" w:cs="Arial"/>
          <w:bCs/>
          <w:snapToGrid w:val="0"/>
          <w:sz w:val="22"/>
          <w:szCs w:val="22"/>
        </w:rPr>
        <w:t>bmission.</w:t>
      </w:r>
    </w:p>
    <w:p w:rsidR="007D1CED" w:rsidRPr="00110AAD" w:rsidRDefault="007D1CED" w:rsidP="007D1CED">
      <w:pPr>
        <w:rPr>
          <w:rFonts w:ascii="Arial" w:hAnsi="Arial" w:cs="Arial"/>
          <w:bCs/>
          <w:snapToGrid w:val="0"/>
          <w:sz w:val="22"/>
          <w:szCs w:val="22"/>
        </w:rPr>
      </w:pPr>
    </w:p>
    <w:p w:rsidR="000F0F89" w:rsidRPr="003C2CE6" w:rsidRDefault="000F0F89" w:rsidP="000F0F89">
      <w:pPr>
        <w:rPr>
          <w:rFonts w:ascii="Arial" w:hAnsi="Arial" w:cs="Arial"/>
          <w:b/>
          <w:bCs/>
          <w:i/>
          <w:snapToGrid w:val="0"/>
          <w:sz w:val="22"/>
          <w:szCs w:val="22"/>
        </w:rPr>
      </w:pPr>
      <w:r w:rsidRPr="003C2CE6">
        <w:rPr>
          <w:rFonts w:ascii="Arial" w:hAnsi="Arial" w:cs="Arial"/>
          <w:b/>
          <w:bCs/>
          <w:i/>
          <w:snapToGrid w:val="0"/>
          <w:sz w:val="22"/>
          <w:szCs w:val="22"/>
        </w:rPr>
        <w:t>Consumer comments</w:t>
      </w:r>
    </w:p>
    <w:p w:rsidR="000F0F89" w:rsidRPr="00110AAD" w:rsidRDefault="000F0F89" w:rsidP="000F0F89">
      <w:pPr>
        <w:rPr>
          <w:rFonts w:ascii="Arial" w:hAnsi="Arial" w:cs="Arial"/>
          <w:b/>
          <w:bCs/>
          <w:snapToGrid w:val="0"/>
          <w:sz w:val="22"/>
          <w:szCs w:val="22"/>
        </w:rPr>
      </w:pPr>
    </w:p>
    <w:p w:rsidR="00506383" w:rsidRPr="00110AAD" w:rsidRDefault="00506383" w:rsidP="00506383">
      <w:pPr>
        <w:numPr>
          <w:ilvl w:val="1"/>
          <w:numId w:val="5"/>
        </w:numPr>
        <w:rPr>
          <w:rFonts w:ascii="Arial" w:hAnsi="Arial" w:cs="Arial"/>
          <w:bCs/>
          <w:snapToGrid w:val="0"/>
          <w:sz w:val="22"/>
          <w:szCs w:val="22"/>
        </w:rPr>
      </w:pPr>
      <w:r w:rsidRPr="00110AAD">
        <w:rPr>
          <w:rFonts w:ascii="Arial" w:hAnsi="Arial" w:cs="Arial"/>
          <w:bCs/>
          <w:snapToGrid w:val="0"/>
          <w:sz w:val="22"/>
          <w:szCs w:val="22"/>
        </w:rPr>
        <w:t>The PBAC noted that no consumer comme</w:t>
      </w:r>
      <w:r w:rsidR="007D1CED" w:rsidRPr="00110AAD">
        <w:rPr>
          <w:rFonts w:ascii="Arial" w:hAnsi="Arial" w:cs="Arial"/>
          <w:bCs/>
          <w:snapToGrid w:val="0"/>
          <w:sz w:val="22"/>
          <w:szCs w:val="22"/>
        </w:rPr>
        <w:t>nts were received for this item</w:t>
      </w:r>
      <w:r w:rsidRPr="00110AAD">
        <w:rPr>
          <w:rFonts w:ascii="Arial" w:hAnsi="Arial" w:cs="Arial"/>
          <w:bCs/>
          <w:snapToGrid w:val="0"/>
          <w:sz w:val="22"/>
          <w:szCs w:val="22"/>
        </w:rPr>
        <w:t>.</w:t>
      </w:r>
    </w:p>
    <w:p w:rsidR="00A92B17" w:rsidRPr="00110AAD" w:rsidRDefault="00A92B17" w:rsidP="00FA63EC"/>
    <w:p w:rsidR="00A92B17" w:rsidRPr="00110AAD" w:rsidRDefault="00A92B17" w:rsidP="00A92B17">
      <w:pPr>
        <w:pStyle w:val="Heading2"/>
      </w:pPr>
      <w:r w:rsidRPr="00110AAD">
        <w:t>Clinical claim</w:t>
      </w:r>
    </w:p>
    <w:p w:rsidR="00516629" w:rsidRPr="00110AAD" w:rsidRDefault="00516629" w:rsidP="00516629"/>
    <w:p w:rsidR="00CB7D61" w:rsidRPr="00110AAD" w:rsidRDefault="00977251" w:rsidP="00CB7D61">
      <w:pPr>
        <w:pStyle w:val="ListParagraph"/>
        <w:numPr>
          <w:ilvl w:val="1"/>
          <w:numId w:val="5"/>
        </w:numPr>
        <w:pBdr>
          <w:top w:val="nil"/>
          <w:left w:val="nil"/>
          <w:bottom w:val="nil"/>
          <w:right w:val="nil"/>
          <w:between w:val="nil"/>
          <w:bar w:val="nil"/>
        </w:pBdr>
        <w:contextualSpacing w:val="0"/>
        <w:rPr>
          <w:bCs/>
        </w:rPr>
      </w:pPr>
      <w:r w:rsidRPr="00110AAD">
        <w:rPr>
          <w:bCs/>
        </w:rPr>
        <w:t>Unchanged from the November 2016 submission.</w:t>
      </w:r>
    </w:p>
    <w:p w:rsidR="00A92B17" w:rsidRPr="00110AAD" w:rsidRDefault="00A92B17" w:rsidP="00516629"/>
    <w:p w:rsidR="00D66F1D" w:rsidRPr="00110AAD" w:rsidRDefault="00D66F1D" w:rsidP="00D66F1D">
      <w:pPr>
        <w:pStyle w:val="Heading2"/>
      </w:pPr>
      <w:r w:rsidRPr="00110AAD">
        <w:t>Price</w:t>
      </w:r>
    </w:p>
    <w:p w:rsidR="002342B2" w:rsidRPr="00110AAD" w:rsidRDefault="002342B2" w:rsidP="00B63CA2"/>
    <w:p w:rsidR="00D66F1D" w:rsidRPr="00110AAD" w:rsidRDefault="00CB7D61" w:rsidP="00CB7D61">
      <w:pPr>
        <w:pStyle w:val="ListParagraph"/>
        <w:numPr>
          <w:ilvl w:val="1"/>
          <w:numId w:val="5"/>
        </w:numPr>
        <w:rPr>
          <w:szCs w:val="22"/>
        </w:rPr>
      </w:pPr>
      <w:r w:rsidRPr="00110AAD">
        <w:rPr>
          <w:szCs w:val="22"/>
        </w:rPr>
        <w:t>Merck Sharp &amp; Dohme (</w:t>
      </w:r>
      <w:r w:rsidR="00D66F1D" w:rsidRPr="00110AAD">
        <w:rPr>
          <w:szCs w:val="22"/>
        </w:rPr>
        <w:t>MSD</w:t>
      </w:r>
      <w:r w:rsidRPr="00110AAD">
        <w:rPr>
          <w:szCs w:val="22"/>
        </w:rPr>
        <w:t>)</w:t>
      </w:r>
      <w:r w:rsidR="00D66F1D" w:rsidRPr="00110AAD">
        <w:rPr>
          <w:szCs w:val="22"/>
        </w:rPr>
        <w:t xml:space="preserve"> confirmed an ex-manufacturer price for vorinostat 100 mg x 120 of $</w:t>
      </w:r>
      <w:r w:rsidR="00655C1D">
        <w:rPr>
          <w:noProof/>
          <w:color w:val="000000"/>
          <w:szCs w:val="22"/>
          <w:highlight w:val="black"/>
        </w:rPr>
        <w:t>'''''''''''''''''''''</w:t>
      </w:r>
      <w:r w:rsidR="00D66F1D" w:rsidRPr="00110AAD">
        <w:rPr>
          <w:szCs w:val="22"/>
        </w:rPr>
        <w:t>.  This correspond</w:t>
      </w:r>
      <w:r w:rsidR="00516629" w:rsidRPr="00110AAD">
        <w:rPr>
          <w:szCs w:val="22"/>
        </w:rPr>
        <w:t>s</w:t>
      </w:r>
      <w:r w:rsidR="00D66F1D" w:rsidRPr="00110AAD">
        <w:rPr>
          <w:szCs w:val="22"/>
        </w:rPr>
        <w:t xml:space="preserve"> to a </w:t>
      </w:r>
      <w:r w:rsidR="0014492A" w:rsidRPr="00110AAD">
        <w:rPr>
          <w:szCs w:val="22"/>
        </w:rPr>
        <w:t>Dispensed Price for Maximum Quantity (</w:t>
      </w:r>
      <w:r w:rsidR="00D66F1D" w:rsidRPr="00110AAD">
        <w:rPr>
          <w:szCs w:val="22"/>
        </w:rPr>
        <w:t>DPMQ</w:t>
      </w:r>
      <w:r w:rsidR="0014492A" w:rsidRPr="00110AAD">
        <w:rPr>
          <w:szCs w:val="22"/>
        </w:rPr>
        <w:t>)</w:t>
      </w:r>
      <w:r w:rsidR="00D66F1D" w:rsidRPr="00110AAD">
        <w:rPr>
          <w:szCs w:val="22"/>
        </w:rPr>
        <w:t xml:space="preserve"> of $</w:t>
      </w:r>
      <w:r w:rsidR="00655C1D">
        <w:rPr>
          <w:noProof/>
          <w:color w:val="000000"/>
          <w:szCs w:val="22"/>
          <w:highlight w:val="black"/>
        </w:rPr>
        <w:t>''''''''''''</w:t>
      </w:r>
      <w:r w:rsidR="00D66F1D" w:rsidRPr="00110AAD">
        <w:rPr>
          <w:szCs w:val="22"/>
        </w:rPr>
        <w:t xml:space="preserve">, which </w:t>
      </w:r>
      <w:r w:rsidR="00804ECC" w:rsidRPr="00110AAD">
        <w:rPr>
          <w:szCs w:val="22"/>
        </w:rPr>
        <w:t>wa</w:t>
      </w:r>
      <w:r w:rsidR="00D66F1D" w:rsidRPr="00110AAD">
        <w:rPr>
          <w:szCs w:val="22"/>
        </w:rPr>
        <w:t xml:space="preserve">s the same as the </w:t>
      </w:r>
      <w:r w:rsidR="00516629" w:rsidRPr="00110AAD">
        <w:rPr>
          <w:szCs w:val="22"/>
        </w:rPr>
        <w:t>DPMQ</w:t>
      </w:r>
      <w:r w:rsidR="00D66F1D" w:rsidRPr="00110AAD">
        <w:rPr>
          <w:szCs w:val="22"/>
        </w:rPr>
        <w:t xml:space="preserve"> proposed </w:t>
      </w:r>
      <w:r w:rsidR="00516629" w:rsidRPr="00110AAD">
        <w:rPr>
          <w:szCs w:val="22"/>
        </w:rPr>
        <w:t>in the November 2016 submission.</w:t>
      </w:r>
    </w:p>
    <w:p w:rsidR="00D66F1D" w:rsidRPr="00110AAD" w:rsidRDefault="00D66F1D" w:rsidP="005D306C">
      <w:pPr>
        <w:pStyle w:val="ListParagraph"/>
        <w:rPr>
          <w:szCs w:val="22"/>
        </w:rPr>
      </w:pPr>
    </w:p>
    <w:p w:rsidR="00D66F1D" w:rsidRPr="00110AAD" w:rsidRDefault="00C8722B" w:rsidP="005D306C">
      <w:pPr>
        <w:pStyle w:val="ListParagraph"/>
        <w:numPr>
          <w:ilvl w:val="1"/>
          <w:numId w:val="5"/>
        </w:numPr>
        <w:rPr>
          <w:szCs w:val="22"/>
        </w:rPr>
      </w:pPr>
      <w:r w:rsidRPr="00110AAD">
        <w:rPr>
          <w:szCs w:val="22"/>
        </w:rPr>
        <w:t>At</w:t>
      </w:r>
      <w:r w:rsidR="00516629" w:rsidRPr="00110AAD">
        <w:rPr>
          <w:szCs w:val="22"/>
        </w:rPr>
        <w:t xml:space="preserve"> the price proposed in the 2011 submission for vorinostat and with</w:t>
      </w:r>
      <w:r w:rsidR="00D66F1D" w:rsidRPr="00110AAD">
        <w:rPr>
          <w:szCs w:val="22"/>
        </w:rPr>
        <w:t xml:space="preserve"> </w:t>
      </w:r>
      <w:r w:rsidRPr="00110AAD">
        <w:rPr>
          <w:szCs w:val="22"/>
        </w:rPr>
        <w:t xml:space="preserve">a </w:t>
      </w:r>
      <w:r w:rsidR="00D66F1D" w:rsidRPr="00110AAD">
        <w:rPr>
          <w:szCs w:val="22"/>
        </w:rPr>
        <w:t xml:space="preserve">responder rate of 49% based on </w:t>
      </w:r>
      <w:r w:rsidR="00516629" w:rsidRPr="00110AAD">
        <w:rPr>
          <w:szCs w:val="22"/>
        </w:rPr>
        <w:t>≥</w:t>
      </w:r>
      <w:r w:rsidR="00D66F1D" w:rsidRPr="00110AAD">
        <w:rPr>
          <w:szCs w:val="22"/>
        </w:rPr>
        <w:t xml:space="preserve"> 25% decrease in</w:t>
      </w:r>
      <w:r w:rsidR="00315849" w:rsidRPr="00110AAD">
        <w:rPr>
          <w:szCs w:val="22"/>
        </w:rPr>
        <w:t xml:space="preserve"> the modified Severity-Weighted Assessment Tool</w:t>
      </w:r>
      <w:r w:rsidR="00D66F1D" w:rsidRPr="00110AAD">
        <w:rPr>
          <w:szCs w:val="22"/>
        </w:rPr>
        <w:t xml:space="preserve"> </w:t>
      </w:r>
      <w:r w:rsidR="00315849" w:rsidRPr="00110AAD">
        <w:rPr>
          <w:szCs w:val="22"/>
        </w:rPr>
        <w:t>(</w:t>
      </w:r>
      <w:r w:rsidR="00D66F1D" w:rsidRPr="00110AAD">
        <w:rPr>
          <w:szCs w:val="22"/>
        </w:rPr>
        <w:t>mSWAT</w:t>
      </w:r>
      <w:r w:rsidR="00315849" w:rsidRPr="00110AAD">
        <w:rPr>
          <w:szCs w:val="22"/>
        </w:rPr>
        <w:t>)</w:t>
      </w:r>
      <w:r w:rsidR="00D66F1D" w:rsidRPr="00110AAD">
        <w:rPr>
          <w:szCs w:val="22"/>
        </w:rPr>
        <w:t>, the cost per responder was $</w:t>
      </w:r>
      <w:r w:rsidR="00655C1D">
        <w:rPr>
          <w:noProof/>
          <w:color w:val="000000"/>
          <w:szCs w:val="22"/>
          <w:highlight w:val="black"/>
        </w:rPr>
        <w:t>''''''''''''''''</w:t>
      </w:r>
      <w:r w:rsidR="00516629" w:rsidRPr="00110AAD">
        <w:rPr>
          <w:szCs w:val="22"/>
        </w:rPr>
        <w:t>.</w:t>
      </w:r>
    </w:p>
    <w:p w:rsidR="00D66F1D" w:rsidRPr="00110AAD" w:rsidRDefault="00D66F1D" w:rsidP="005D306C">
      <w:pPr>
        <w:pStyle w:val="ListParagraph"/>
        <w:rPr>
          <w:szCs w:val="22"/>
        </w:rPr>
      </w:pPr>
    </w:p>
    <w:p w:rsidR="00C85261" w:rsidRPr="00110AAD" w:rsidRDefault="00804ECC" w:rsidP="005D306C">
      <w:pPr>
        <w:pStyle w:val="ListParagraph"/>
        <w:numPr>
          <w:ilvl w:val="1"/>
          <w:numId w:val="5"/>
        </w:numPr>
        <w:rPr>
          <w:szCs w:val="22"/>
        </w:rPr>
      </w:pPr>
      <w:r w:rsidRPr="00110AAD">
        <w:rPr>
          <w:szCs w:val="22"/>
        </w:rPr>
        <w:t xml:space="preserve">When </w:t>
      </w:r>
      <w:r w:rsidR="00D66F1D" w:rsidRPr="00110AAD">
        <w:rPr>
          <w:szCs w:val="22"/>
        </w:rPr>
        <w:t>the price in the Nov</w:t>
      </w:r>
      <w:r w:rsidR="002342B2" w:rsidRPr="00110AAD">
        <w:rPr>
          <w:szCs w:val="22"/>
        </w:rPr>
        <w:t>ember</w:t>
      </w:r>
      <w:r w:rsidR="00D66F1D" w:rsidRPr="00110AAD">
        <w:rPr>
          <w:szCs w:val="22"/>
        </w:rPr>
        <w:t xml:space="preserve"> </w:t>
      </w:r>
      <w:r w:rsidR="002342B2" w:rsidRPr="00110AAD">
        <w:rPr>
          <w:szCs w:val="22"/>
        </w:rPr>
        <w:t>20</w:t>
      </w:r>
      <w:r w:rsidR="00D66F1D" w:rsidRPr="00110AAD">
        <w:rPr>
          <w:szCs w:val="22"/>
        </w:rPr>
        <w:t>16 submission (DPMQ of $</w:t>
      </w:r>
      <w:r w:rsidR="00655C1D">
        <w:rPr>
          <w:noProof/>
          <w:color w:val="000000"/>
          <w:szCs w:val="22"/>
          <w:highlight w:val="black"/>
        </w:rPr>
        <w:t>'''''''''''''''</w:t>
      </w:r>
      <w:r w:rsidR="00D66F1D" w:rsidRPr="00110AAD">
        <w:rPr>
          <w:szCs w:val="22"/>
        </w:rPr>
        <w:t xml:space="preserve">) </w:t>
      </w:r>
      <w:r w:rsidRPr="00110AAD">
        <w:rPr>
          <w:szCs w:val="22"/>
        </w:rPr>
        <w:t>wa</w:t>
      </w:r>
      <w:r w:rsidR="00516629" w:rsidRPr="00110AAD">
        <w:rPr>
          <w:szCs w:val="22"/>
        </w:rPr>
        <w:t xml:space="preserve">s used in the 2011 economic model, </w:t>
      </w:r>
      <w:r w:rsidR="00D66F1D" w:rsidRPr="00110AAD">
        <w:rPr>
          <w:szCs w:val="22"/>
        </w:rPr>
        <w:t>the cost per responder decrease</w:t>
      </w:r>
      <w:r w:rsidRPr="00110AAD">
        <w:rPr>
          <w:szCs w:val="22"/>
        </w:rPr>
        <w:t>d</w:t>
      </w:r>
      <w:r w:rsidR="00D66F1D" w:rsidRPr="00110AAD">
        <w:rPr>
          <w:szCs w:val="22"/>
        </w:rPr>
        <w:t xml:space="preserve"> to $</w:t>
      </w:r>
      <w:r w:rsidR="00655C1D">
        <w:rPr>
          <w:noProof/>
          <w:color w:val="000000"/>
          <w:szCs w:val="22"/>
          <w:highlight w:val="black"/>
        </w:rPr>
        <w:t>''''''''''''''''''</w:t>
      </w:r>
      <w:r w:rsidR="00D66F1D" w:rsidRPr="00110AAD">
        <w:rPr>
          <w:szCs w:val="22"/>
        </w:rPr>
        <w:t>.</w:t>
      </w:r>
    </w:p>
    <w:p w:rsidR="008A1956" w:rsidRPr="00110AAD" w:rsidRDefault="008A1956" w:rsidP="00882085">
      <w:pPr>
        <w:jc w:val="both"/>
        <w:rPr>
          <w:rFonts w:ascii="Arial" w:hAnsi="Arial"/>
          <w:b/>
          <w:sz w:val="22"/>
          <w:szCs w:val="22"/>
        </w:rPr>
      </w:pPr>
    </w:p>
    <w:p w:rsidR="005A3173" w:rsidRPr="00110AAD" w:rsidRDefault="005A3173" w:rsidP="00B1059E">
      <w:pPr>
        <w:pStyle w:val="Heading2"/>
      </w:pPr>
      <w:r w:rsidRPr="00110AAD">
        <w:t xml:space="preserve">Estimated PBS </w:t>
      </w:r>
      <w:r w:rsidR="0076163C" w:rsidRPr="00110AAD">
        <w:t>Usage &amp; F</w:t>
      </w:r>
      <w:r w:rsidRPr="00110AAD">
        <w:t xml:space="preserve">inancial </w:t>
      </w:r>
      <w:r w:rsidR="0076163C" w:rsidRPr="00110AAD">
        <w:t>I</w:t>
      </w:r>
      <w:r w:rsidRPr="00110AAD">
        <w:t>mplications</w:t>
      </w:r>
    </w:p>
    <w:p w:rsidR="005A3173" w:rsidRPr="00110AAD" w:rsidRDefault="005A3173" w:rsidP="00882085">
      <w:pPr>
        <w:ind w:left="720" w:hanging="720"/>
        <w:jc w:val="both"/>
        <w:rPr>
          <w:rFonts w:ascii="Arial" w:hAnsi="Arial"/>
          <w:b/>
          <w:i/>
          <w:sz w:val="22"/>
          <w:szCs w:val="22"/>
        </w:rPr>
      </w:pPr>
    </w:p>
    <w:p w:rsidR="00C00DA7" w:rsidRPr="00110AAD" w:rsidRDefault="00FF2801" w:rsidP="009070BF">
      <w:pPr>
        <w:pStyle w:val="ListParagraph"/>
        <w:numPr>
          <w:ilvl w:val="1"/>
          <w:numId w:val="5"/>
        </w:numPr>
        <w:rPr>
          <w:szCs w:val="22"/>
        </w:rPr>
      </w:pPr>
      <w:r w:rsidRPr="00110AAD">
        <w:rPr>
          <w:szCs w:val="22"/>
        </w:rPr>
        <w:t>The minor submission estimated</w:t>
      </w:r>
      <w:r w:rsidR="00C00DA7" w:rsidRPr="00110AAD">
        <w:rPr>
          <w:szCs w:val="22"/>
        </w:rPr>
        <w:t xml:space="preserve"> a net cost to the PBS of </w:t>
      </w:r>
      <w:r w:rsidR="005A59B7">
        <w:rPr>
          <w:szCs w:val="22"/>
        </w:rPr>
        <w:t xml:space="preserve">less than $10 million </w:t>
      </w:r>
      <w:r w:rsidR="00C00DA7" w:rsidRPr="00110AAD">
        <w:rPr>
          <w:szCs w:val="22"/>
        </w:rPr>
        <w:t>in Year 5 of listing, with a total net cost</w:t>
      </w:r>
      <w:r w:rsidR="009070BF" w:rsidRPr="00110AAD">
        <w:rPr>
          <w:szCs w:val="22"/>
        </w:rPr>
        <w:t xml:space="preserve"> to the PBS of </w:t>
      </w:r>
      <w:r w:rsidR="005A59B7">
        <w:rPr>
          <w:szCs w:val="22"/>
        </w:rPr>
        <w:t xml:space="preserve">less than $10 million </w:t>
      </w:r>
      <w:r w:rsidR="00C00DA7" w:rsidRPr="00110AAD">
        <w:rPr>
          <w:szCs w:val="22"/>
        </w:rPr>
        <w:t xml:space="preserve">over the first 5 years of listing. This is summarised in </w:t>
      </w:r>
      <w:r w:rsidR="00C8722B" w:rsidRPr="00110AAD">
        <w:rPr>
          <w:szCs w:val="22"/>
        </w:rPr>
        <w:t>T</w:t>
      </w:r>
      <w:r w:rsidR="00C00DA7" w:rsidRPr="00110AAD">
        <w:rPr>
          <w:szCs w:val="22"/>
        </w:rPr>
        <w:t>able</w:t>
      </w:r>
      <w:r w:rsidR="00C8722B" w:rsidRPr="00110AAD">
        <w:rPr>
          <w:szCs w:val="22"/>
        </w:rPr>
        <w:t xml:space="preserve">1 </w:t>
      </w:r>
      <w:r w:rsidR="00C00DA7" w:rsidRPr="00110AAD">
        <w:rPr>
          <w:szCs w:val="22"/>
        </w:rPr>
        <w:t>below</w:t>
      </w:r>
      <w:r w:rsidR="00C8722B" w:rsidRPr="00110AAD">
        <w:rPr>
          <w:szCs w:val="22"/>
        </w:rPr>
        <w:t>,</w:t>
      </w:r>
      <w:r w:rsidR="00C00DA7" w:rsidRPr="00110AAD">
        <w:rPr>
          <w:szCs w:val="22"/>
        </w:rPr>
        <w:t xml:space="preserve"> </w:t>
      </w:r>
      <w:r w:rsidR="00804ECC" w:rsidRPr="00110AAD">
        <w:rPr>
          <w:szCs w:val="22"/>
        </w:rPr>
        <w:t>along with</w:t>
      </w:r>
      <w:r w:rsidR="00C00DA7" w:rsidRPr="00110AAD">
        <w:rPr>
          <w:szCs w:val="22"/>
        </w:rPr>
        <w:t xml:space="preserve"> the expected patient/prescription numbers. </w:t>
      </w:r>
    </w:p>
    <w:p w:rsidR="00BF259C" w:rsidRPr="00110AAD" w:rsidRDefault="00BF259C" w:rsidP="00BF259C">
      <w:pPr>
        <w:pStyle w:val="ListParagraph"/>
        <w:rPr>
          <w:szCs w:val="22"/>
        </w:rPr>
      </w:pPr>
    </w:p>
    <w:p w:rsidR="00BB7EC3" w:rsidRPr="00110AAD" w:rsidRDefault="00BF259C" w:rsidP="00C00DA7">
      <w:pPr>
        <w:pStyle w:val="ListParagraph"/>
        <w:numPr>
          <w:ilvl w:val="1"/>
          <w:numId w:val="5"/>
        </w:numPr>
        <w:rPr>
          <w:szCs w:val="22"/>
        </w:rPr>
      </w:pPr>
      <w:r w:rsidRPr="00110AAD">
        <w:rPr>
          <w:szCs w:val="22"/>
        </w:rPr>
        <w:t xml:space="preserve">The November 2016 submission indicated that </w:t>
      </w:r>
      <w:r w:rsidRPr="00110AAD">
        <w:t xml:space="preserve">there </w:t>
      </w:r>
      <w:r w:rsidR="00C8722B" w:rsidRPr="00110AAD">
        <w:t>we</w:t>
      </w:r>
      <w:r w:rsidRPr="00110AAD">
        <w:t xml:space="preserve">re </w:t>
      </w:r>
      <w:r w:rsidR="0080435B">
        <w:t xml:space="preserve">less than 10,000 </w:t>
      </w:r>
      <w:r w:rsidRPr="00110AAD">
        <w:t xml:space="preserve">active patients with CTCL receiving vorinostat treatment through the MSD </w:t>
      </w:r>
      <w:r w:rsidR="002233F3" w:rsidRPr="00110AAD">
        <w:t>Expanded Access Program</w:t>
      </w:r>
      <w:r w:rsidR="00ED23EE" w:rsidRPr="00110AAD">
        <w:t xml:space="preserve"> (EAP)</w:t>
      </w:r>
      <w:r w:rsidRPr="00110AAD">
        <w:t>. However, the sponsor propose</w:t>
      </w:r>
      <w:r w:rsidR="00C8722B" w:rsidRPr="00110AAD">
        <w:t>d</w:t>
      </w:r>
      <w:r w:rsidRPr="00110AAD">
        <w:t xml:space="preserve"> that only </w:t>
      </w:r>
      <w:r w:rsidR="0080435B">
        <w:t xml:space="preserve">less than 10,000 </w:t>
      </w:r>
      <w:r w:rsidRPr="00110AAD">
        <w:t>pa</w:t>
      </w:r>
      <w:r w:rsidR="00942992" w:rsidRPr="00110AAD">
        <w:t>tients would be eligible for PBS</w:t>
      </w:r>
      <w:r w:rsidRPr="00110AAD">
        <w:t xml:space="preserve"> subsidy if the proposed PBS restriction was applied. </w:t>
      </w:r>
      <w:r w:rsidR="008A7765" w:rsidRPr="00110AAD">
        <w:t>In the pre-PBAC response</w:t>
      </w:r>
      <w:r w:rsidR="004D48E9" w:rsidRPr="00110AAD">
        <w:t xml:space="preserve"> </w:t>
      </w:r>
      <w:r w:rsidR="008A7765" w:rsidRPr="00110AAD">
        <w:t xml:space="preserve">the sponsor confirmed </w:t>
      </w:r>
      <w:r w:rsidR="004D48E9" w:rsidRPr="00110AAD">
        <w:t>that the</w:t>
      </w:r>
      <w:r w:rsidR="0076163C" w:rsidRPr="00110AAD">
        <w:t xml:space="preserve"> </w:t>
      </w:r>
      <w:r w:rsidRPr="00110AAD">
        <w:t xml:space="preserve">additional amendments to the restriction (outlined above) would </w:t>
      </w:r>
      <w:r w:rsidR="004D48E9" w:rsidRPr="00110AAD">
        <w:t xml:space="preserve">not </w:t>
      </w:r>
      <w:r w:rsidRPr="00110AAD">
        <w:t>affect this number.</w:t>
      </w:r>
    </w:p>
    <w:p w:rsidR="002233F3" w:rsidRPr="00110AAD" w:rsidRDefault="002233F3" w:rsidP="00D51E5C">
      <w:pPr>
        <w:pStyle w:val="ListParagraph"/>
        <w:rPr>
          <w:szCs w:val="22"/>
        </w:rPr>
      </w:pPr>
    </w:p>
    <w:p w:rsidR="002233F3" w:rsidRPr="00110AAD" w:rsidRDefault="002233F3" w:rsidP="00C00DA7">
      <w:pPr>
        <w:pStyle w:val="ListParagraph"/>
        <w:numPr>
          <w:ilvl w:val="1"/>
          <w:numId w:val="5"/>
        </w:numPr>
        <w:rPr>
          <w:szCs w:val="22"/>
        </w:rPr>
      </w:pPr>
      <w:r w:rsidRPr="00110AAD">
        <w:rPr>
          <w:szCs w:val="22"/>
        </w:rPr>
        <w:t xml:space="preserve">The PBAC noted the number of patients </w:t>
      </w:r>
      <w:r w:rsidR="004D48E9" w:rsidRPr="00110AAD">
        <w:rPr>
          <w:szCs w:val="22"/>
        </w:rPr>
        <w:t>as outlined in the submission appear</w:t>
      </w:r>
      <w:r w:rsidR="00F001D5" w:rsidRPr="00110AAD">
        <w:rPr>
          <w:szCs w:val="22"/>
        </w:rPr>
        <w:t>ed</w:t>
      </w:r>
      <w:r w:rsidR="004D48E9" w:rsidRPr="00110AAD">
        <w:rPr>
          <w:szCs w:val="22"/>
        </w:rPr>
        <w:t xml:space="preserve"> to be</w:t>
      </w:r>
      <w:r w:rsidRPr="00110AAD">
        <w:rPr>
          <w:szCs w:val="22"/>
        </w:rPr>
        <w:t xml:space="preserve"> </w:t>
      </w:r>
      <w:r w:rsidR="00F001D5" w:rsidRPr="00110AAD">
        <w:rPr>
          <w:szCs w:val="22"/>
        </w:rPr>
        <w:t xml:space="preserve">a </w:t>
      </w:r>
      <w:r w:rsidRPr="00110AAD">
        <w:rPr>
          <w:szCs w:val="22"/>
        </w:rPr>
        <w:t>reasonable</w:t>
      </w:r>
      <w:r w:rsidR="004D48E9" w:rsidRPr="00110AAD">
        <w:rPr>
          <w:szCs w:val="22"/>
        </w:rPr>
        <w:t xml:space="preserve"> estimation of the expected </w:t>
      </w:r>
      <w:r w:rsidR="00C8722B" w:rsidRPr="00110AAD">
        <w:rPr>
          <w:szCs w:val="22"/>
        </w:rPr>
        <w:t xml:space="preserve">numbers </w:t>
      </w:r>
      <w:r w:rsidRPr="00110AAD">
        <w:rPr>
          <w:szCs w:val="22"/>
        </w:rPr>
        <w:t xml:space="preserve">and </w:t>
      </w:r>
      <w:r w:rsidR="004D48E9" w:rsidRPr="00110AAD">
        <w:rPr>
          <w:szCs w:val="22"/>
        </w:rPr>
        <w:t xml:space="preserve">noted that a </w:t>
      </w:r>
      <w:r w:rsidRPr="00110AAD">
        <w:rPr>
          <w:szCs w:val="22"/>
        </w:rPr>
        <w:t xml:space="preserve">grandfathering arrangement </w:t>
      </w:r>
      <w:r w:rsidR="00F001D5" w:rsidRPr="00110AAD">
        <w:rPr>
          <w:szCs w:val="22"/>
        </w:rPr>
        <w:t>wa</w:t>
      </w:r>
      <w:r w:rsidRPr="00110AAD">
        <w:rPr>
          <w:szCs w:val="22"/>
        </w:rPr>
        <w:t xml:space="preserve">s not required for </w:t>
      </w:r>
      <w:r w:rsidR="004D48E9" w:rsidRPr="00110AAD">
        <w:rPr>
          <w:szCs w:val="22"/>
        </w:rPr>
        <w:t>this indication</w:t>
      </w:r>
      <w:r w:rsidRPr="00110AAD">
        <w:rPr>
          <w:szCs w:val="22"/>
        </w:rPr>
        <w:t>.</w:t>
      </w:r>
    </w:p>
    <w:p w:rsidR="004D48E9" w:rsidRPr="00110AAD" w:rsidRDefault="004D48E9" w:rsidP="0076163C">
      <w:pPr>
        <w:pStyle w:val="ListParagraph"/>
        <w:rPr>
          <w:szCs w:val="22"/>
        </w:rPr>
      </w:pPr>
    </w:p>
    <w:p w:rsidR="004D48E9" w:rsidRPr="00110AAD" w:rsidRDefault="004D48E9" w:rsidP="004D48E9">
      <w:pPr>
        <w:pStyle w:val="ListParagraph"/>
        <w:numPr>
          <w:ilvl w:val="1"/>
          <w:numId w:val="5"/>
        </w:numPr>
        <w:rPr>
          <w:szCs w:val="22"/>
        </w:rPr>
      </w:pPr>
      <w:r w:rsidRPr="00110AAD">
        <w:rPr>
          <w:szCs w:val="22"/>
        </w:rPr>
        <w:t xml:space="preserve">The PBAC considered that there remained a risk </w:t>
      </w:r>
      <w:r w:rsidR="00F001D5" w:rsidRPr="00110AAD">
        <w:rPr>
          <w:szCs w:val="22"/>
        </w:rPr>
        <w:t>of</w:t>
      </w:r>
      <w:r w:rsidRPr="00110AAD">
        <w:rPr>
          <w:szCs w:val="22"/>
        </w:rPr>
        <w:t xml:space="preserve"> use beyond progression and in patients with other indications where cost effectiveness had not been established.</w:t>
      </w:r>
    </w:p>
    <w:p w:rsidR="007B2731" w:rsidRPr="00110AAD" w:rsidRDefault="007B2731" w:rsidP="00C00DA7">
      <w:pPr>
        <w:jc w:val="both"/>
        <w:rPr>
          <w:rFonts w:ascii="Arial" w:hAnsi="Arial"/>
          <w:sz w:val="22"/>
          <w:szCs w:val="22"/>
        </w:rPr>
      </w:pPr>
    </w:p>
    <w:p w:rsidR="00C8722B" w:rsidRPr="00CB5DDE" w:rsidRDefault="00C8722B" w:rsidP="00CB5DDE">
      <w:pPr>
        <w:pStyle w:val="Caption"/>
        <w:keepNext/>
        <w:spacing w:after="0"/>
        <w:ind w:left="720"/>
        <w:rPr>
          <w:rFonts w:ascii="Arial Narrow" w:hAnsi="Arial Narrow" w:cs="Arial"/>
          <w:color w:val="auto"/>
          <w:sz w:val="20"/>
          <w:szCs w:val="20"/>
        </w:rPr>
      </w:pPr>
      <w:r w:rsidRPr="00CB5DDE">
        <w:rPr>
          <w:rFonts w:ascii="Arial Narrow" w:hAnsi="Arial Narrow" w:cs="Arial"/>
          <w:color w:val="auto"/>
          <w:sz w:val="20"/>
          <w:szCs w:val="20"/>
        </w:rPr>
        <w:t>Table 1. Proposed patient numbers and financial impact of listing vorinostat</w:t>
      </w:r>
    </w:p>
    <w:tbl>
      <w:tblPr>
        <w:tblW w:w="8012" w:type="dxa"/>
        <w:tblInd w:w="720" w:type="dxa"/>
        <w:tblLook w:val="04A0" w:firstRow="1" w:lastRow="0" w:firstColumn="1" w:lastColumn="0" w:noHBand="0" w:noVBand="1"/>
      </w:tblPr>
      <w:tblGrid>
        <w:gridCol w:w="2709"/>
        <w:gridCol w:w="1051"/>
        <w:gridCol w:w="1075"/>
        <w:gridCol w:w="1051"/>
        <w:gridCol w:w="1075"/>
        <w:gridCol w:w="1051"/>
      </w:tblGrid>
      <w:tr w:rsidR="009070BF" w:rsidRPr="00CB5DDE" w:rsidTr="00EC39E6">
        <w:trPr>
          <w:trHeight w:val="315"/>
        </w:trPr>
        <w:tc>
          <w:tcPr>
            <w:tcW w:w="270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9070BF" w:rsidRPr="00CB5DDE" w:rsidRDefault="009070BF" w:rsidP="00CB5DDE">
            <w:pPr>
              <w:rPr>
                <w:rFonts w:ascii="Arial Narrow" w:hAnsi="Arial Narrow" w:cs="Arial"/>
                <w:b/>
                <w:bCs/>
                <w:color w:val="000000"/>
                <w:sz w:val="20"/>
                <w:szCs w:val="20"/>
              </w:rPr>
            </w:pPr>
            <w:r w:rsidRPr="00CB5DDE">
              <w:rPr>
                <w:rFonts w:ascii="Arial Narrow" w:hAnsi="Arial Narrow" w:cs="Arial"/>
                <w:b/>
                <w:bCs/>
                <w:color w:val="000000"/>
                <w:sz w:val="20"/>
                <w:szCs w:val="20"/>
              </w:rPr>
              <w:t>Item</w:t>
            </w:r>
          </w:p>
        </w:tc>
        <w:tc>
          <w:tcPr>
            <w:tcW w:w="1051" w:type="dxa"/>
            <w:tcBorders>
              <w:top w:val="single" w:sz="8" w:space="0" w:color="auto"/>
              <w:left w:val="nil"/>
              <w:bottom w:val="single" w:sz="8" w:space="0" w:color="auto"/>
              <w:right w:val="single" w:sz="8" w:space="0" w:color="auto"/>
            </w:tcBorders>
            <w:shd w:val="clear" w:color="auto" w:fill="auto"/>
            <w:noWrap/>
            <w:vAlign w:val="center"/>
            <w:hideMark/>
          </w:tcPr>
          <w:p w:rsidR="009070BF" w:rsidRPr="00CB5DDE" w:rsidRDefault="009070BF" w:rsidP="00CB5DDE">
            <w:pPr>
              <w:jc w:val="center"/>
              <w:rPr>
                <w:rFonts w:ascii="Arial Narrow" w:hAnsi="Arial Narrow" w:cs="Arial"/>
                <w:b/>
                <w:bCs/>
                <w:color w:val="000000"/>
                <w:sz w:val="20"/>
                <w:szCs w:val="20"/>
              </w:rPr>
            </w:pPr>
            <w:r w:rsidRPr="00CB5DDE">
              <w:rPr>
                <w:rFonts w:ascii="Arial Narrow" w:hAnsi="Arial Narrow" w:cs="Arial"/>
                <w:b/>
                <w:bCs/>
                <w:color w:val="000000"/>
                <w:sz w:val="20"/>
                <w:szCs w:val="20"/>
              </w:rPr>
              <w:t>2017</w:t>
            </w:r>
          </w:p>
        </w:tc>
        <w:tc>
          <w:tcPr>
            <w:tcW w:w="1075" w:type="dxa"/>
            <w:tcBorders>
              <w:top w:val="single" w:sz="8" w:space="0" w:color="auto"/>
              <w:left w:val="nil"/>
              <w:bottom w:val="single" w:sz="8" w:space="0" w:color="auto"/>
              <w:right w:val="single" w:sz="8" w:space="0" w:color="auto"/>
            </w:tcBorders>
            <w:shd w:val="clear" w:color="auto" w:fill="auto"/>
            <w:noWrap/>
            <w:vAlign w:val="center"/>
            <w:hideMark/>
          </w:tcPr>
          <w:p w:rsidR="009070BF" w:rsidRPr="00CB5DDE" w:rsidRDefault="009070BF" w:rsidP="00CB5DDE">
            <w:pPr>
              <w:jc w:val="center"/>
              <w:rPr>
                <w:rFonts w:ascii="Arial Narrow" w:hAnsi="Arial Narrow" w:cs="Arial"/>
                <w:b/>
                <w:bCs/>
                <w:color w:val="000000"/>
                <w:sz w:val="20"/>
                <w:szCs w:val="20"/>
              </w:rPr>
            </w:pPr>
            <w:r w:rsidRPr="00CB5DDE">
              <w:rPr>
                <w:rFonts w:ascii="Arial Narrow" w:hAnsi="Arial Narrow" w:cs="Arial"/>
                <w:b/>
                <w:bCs/>
                <w:color w:val="000000"/>
                <w:sz w:val="20"/>
                <w:szCs w:val="20"/>
              </w:rPr>
              <w:t>2018</w:t>
            </w:r>
          </w:p>
        </w:tc>
        <w:tc>
          <w:tcPr>
            <w:tcW w:w="1051" w:type="dxa"/>
            <w:tcBorders>
              <w:top w:val="single" w:sz="8" w:space="0" w:color="auto"/>
              <w:left w:val="nil"/>
              <w:bottom w:val="single" w:sz="8" w:space="0" w:color="auto"/>
              <w:right w:val="single" w:sz="8" w:space="0" w:color="auto"/>
            </w:tcBorders>
            <w:shd w:val="clear" w:color="auto" w:fill="auto"/>
            <w:noWrap/>
            <w:vAlign w:val="center"/>
            <w:hideMark/>
          </w:tcPr>
          <w:p w:rsidR="009070BF" w:rsidRPr="00CB5DDE" w:rsidRDefault="009070BF" w:rsidP="00CB5DDE">
            <w:pPr>
              <w:jc w:val="center"/>
              <w:rPr>
                <w:rFonts w:ascii="Arial Narrow" w:hAnsi="Arial Narrow" w:cs="Arial"/>
                <w:b/>
                <w:bCs/>
                <w:color w:val="000000"/>
                <w:sz w:val="20"/>
                <w:szCs w:val="20"/>
              </w:rPr>
            </w:pPr>
            <w:r w:rsidRPr="00CB5DDE">
              <w:rPr>
                <w:rFonts w:ascii="Arial Narrow" w:hAnsi="Arial Narrow" w:cs="Arial"/>
                <w:b/>
                <w:bCs/>
                <w:color w:val="000000"/>
                <w:sz w:val="20"/>
                <w:szCs w:val="20"/>
              </w:rPr>
              <w:t>2019</w:t>
            </w:r>
          </w:p>
        </w:tc>
        <w:tc>
          <w:tcPr>
            <w:tcW w:w="1075" w:type="dxa"/>
            <w:tcBorders>
              <w:top w:val="single" w:sz="8" w:space="0" w:color="auto"/>
              <w:left w:val="nil"/>
              <w:bottom w:val="single" w:sz="8" w:space="0" w:color="auto"/>
              <w:right w:val="single" w:sz="8" w:space="0" w:color="auto"/>
            </w:tcBorders>
            <w:shd w:val="clear" w:color="auto" w:fill="auto"/>
            <w:noWrap/>
            <w:vAlign w:val="center"/>
            <w:hideMark/>
          </w:tcPr>
          <w:p w:rsidR="009070BF" w:rsidRPr="00CB5DDE" w:rsidRDefault="009070BF" w:rsidP="00CB5DDE">
            <w:pPr>
              <w:jc w:val="center"/>
              <w:rPr>
                <w:rFonts w:ascii="Arial Narrow" w:hAnsi="Arial Narrow" w:cs="Arial"/>
                <w:b/>
                <w:bCs/>
                <w:color w:val="000000"/>
                <w:sz w:val="20"/>
                <w:szCs w:val="20"/>
              </w:rPr>
            </w:pPr>
            <w:r w:rsidRPr="00CB5DDE">
              <w:rPr>
                <w:rFonts w:ascii="Arial Narrow" w:hAnsi="Arial Narrow" w:cs="Arial"/>
                <w:b/>
                <w:bCs/>
                <w:color w:val="000000"/>
                <w:sz w:val="20"/>
                <w:szCs w:val="20"/>
              </w:rPr>
              <w:t>2020</w:t>
            </w:r>
          </w:p>
        </w:tc>
        <w:tc>
          <w:tcPr>
            <w:tcW w:w="1051" w:type="dxa"/>
            <w:tcBorders>
              <w:top w:val="single" w:sz="8" w:space="0" w:color="auto"/>
              <w:left w:val="nil"/>
              <w:bottom w:val="single" w:sz="8" w:space="0" w:color="auto"/>
              <w:right w:val="single" w:sz="8" w:space="0" w:color="auto"/>
            </w:tcBorders>
            <w:shd w:val="clear" w:color="auto" w:fill="auto"/>
            <w:noWrap/>
            <w:vAlign w:val="center"/>
            <w:hideMark/>
          </w:tcPr>
          <w:p w:rsidR="009070BF" w:rsidRPr="00CB5DDE" w:rsidRDefault="009070BF" w:rsidP="00CB5DDE">
            <w:pPr>
              <w:jc w:val="center"/>
              <w:rPr>
                <w:rFonts w:ascii="Arial Narrow" w:hAnsi="Arial Narrow" w:cs="Arial"/>
                <w:b/>
                <w:bCs/>
                <w:color w:val="000000"/>
                <w:sz w:val="20"/>
                <w:szCs w:val="20"/>
              </w:rPr>
            </w:pPr>
            <w:r w:rsidRPr="00CB5DDE">
              <w:rPr>
                <w:rFonts w:ascii="Arial Narrow" w:hAnsi="Arial Narrow" w:cs="Arial"/>
                <w:b/>
                <w:bCs/>
                <w:color w:val="000000"/>
                <w:sz w:val="20"/>
                <w:szCs w:val="20"/>
              </w:rPr>
              <w:t>2021</w:t>
            </w:r>
          </w:p>
        </w:tc>
      </w:tr>
      <w:tr w:rsidR="009070BF" w:rsidRPr="00CB5DDE" w:rsidTr="00EC39E6">
        <w:trPr>
          <w:trHeight w:val="315"/>
        </w:trPr>
        <w:tc>
          <w:tcPr>
            <w:tcW w:w="2709" w:type="dxa"/>
            <w:tcBorders>
              <w:top w:val="nil"/>
              <w:left w:val="single" w:sz="8" w:space="0" w:color="auto"/>
              <w:bottom w:val="single" w:sz="8" w:space="0" w:color="auto"/>
              <w:right w:val="single" w:sz="8" w:space="0" w:color="auto"/>
            </w:tcBorders>
            <w:shd w:val="clear" w:color="auto" w:fill="auto"/>
            <w:noWrap/>
            <w:vAlign w:val="center"/>
            <w:hideMark/>
          </w:tcPr>
          <w:p w:rsidR="009070BF" w:rsidRPr="00CB5DDE" w:rsidRDefault="009070BF" w:rsidP="00CB5DDE">
            <w:pPr>
              <w:rPr>
                <w:rFonts w:ascii="Arial Narrow" w:hAnsi="Arial Narrow" w:cs="Arial"/>
                <w:color w:val="000000"/>
                <w:sz w:val="20"/>
                <w:szCs w:val="20"/>
              </w:rPr>
            </w:pPr>
            <w:r w:rsidRPr="00CB5DDE">
              <w:rPr>
                <w:rFonts w:ascii="Arial Narrow" w:hAnsi="Arial Narrow" w:cs="Arial"/>
                <w:color w:val="000000"/>
                <w:sz w:val="20"/>
                <w:szCs w:val="20"/>
              </w:rPr>
              <w:t>New PBS eligible CTCL patients</w:t>
            </w:r>
            <w:r w:rsidRPr="00CB5DDE">
              <w:rPr>
                <w:rFonts w:ascii="Arial Narrow" w:hAnsi="Arial Narrow" w:cs="Arial"/>
                <w:color w:val="000000"/>
                <w:sz w:val="20"/>
                <w:szCs w:val="20"/>
                <w:vertAlign w:val="superscript"/>
              </w:rPr>
              <w:t>a</w:t>
            </w:r>
          </w:p>
        </w:tc>
        <w:tc>
          <w:tcPr>
            <w:tcW w:w="1051" w:type="dxa"/>
            <w:tcBorders>
              <w:top w:val="nil"/>
              <w:left w:val="nil"/>
              <w:bottom w:val="single" w:sz="8" w:space="0" w:color="auto"/>
              <w:right w:val="single" w:sz="8" w:space="0" w:color="auto"/>
            </w:tcBorders>
            <w:shd w:val="clear" w:color="auto" w:fill="auto"/>
            <w:noWrap/>
            <w:vAlign w:val="center"/>
            <w:hideMark/>
          </w:tcPr>
          <w:p w:rsidR="009070BF" w:rsidRPr="00655C1D" w:rsidRDefault="00655C1D" w:rsidP="00CB5DDE">
            <w:pPr>
              <w:jc w:val="center"/>
              <w:rPr>
                <w:rFonts w:ascii="Arial Narrow" w:hAnsi="Arial Narrow" w:cs="Arial"/>
                <w:color w:val="000000"/>
                <w:sz w:val="20"/>
                <w:szCs w:val="20"/>
                <w:highlight w:val="black"/>
              </w:rPr>
            </w:pPr>
            <w:r>
              <w:rPr>
                <w:rFonts w:ascii="Arial Narrow" w:hAnsi="Arial Narrow" w:cs="Arial"/>
                <w:noProof/>
                <w:color w:val="000000"/>
                <w:sz w:val="20"/>
                <w:szCs w:val="20"/>
                <w:highlight w:val="black"/>
              </w:rPr>
              <w:t>''''''</w:t>
            </w:r>
          </w:p>
        </w:tc>
        <w:tc>
          <w:tcPr>
            <w:tcW w:w="1075" w:type="dxa"/>
            <w:tcBorders>
              <w:top w:val="nil"/>
              <w:left w:val="nil"/>
              <w:bottom w:val="single" w:sz="8" w:space="0" w:color="auto"/>
              <w:right w:val="single" w:sz="8" w:space="0" w:color="auto"/>
            </w:tcBorders>
            <w:shd w:val="clear" w:color="auto" w:fill="auto"/>
            <w:noWrap/>
            <w:vAlign w:val="center"/>
            <w:hideMark/>
          </w:tcPr>
          <w:p w:rsidR="009070BF" w:rsidRPr="00655C1D" w:rsidRDefault="00655C1D" w:rsidP="00CB5DDE">
            <w:pPr>
              <w:jc w:val="center"/>
              <w:rPr>
                <w:rFonts w:ascii="Arial Narrow" w:hAnsi="Arial Narrow" w:cs="Arial"/>
                <w:color w:val="000000"/>
                <w:sz w:val="20"/>
                <w:szCs w:val="20"/>
                <w:highlight w:val="black"/>
              </w:rPr>
            </w:pPr>
            <w:r>
              <w:rPr>
                <w:rFonts w:ascii="Arial Narrow" w:hAnsi="Arial Narrow" w:cs="Arial"/>
                <w:noProof/>
                <w:color w:val="000000"/>
                <w:sz w:val="20"/>
                <w:szCs w:val="20"/>
                <w:highlight w:val="black"/>
              </w:rPr>
              <w:t>''''''</w:t>
            </w:r>
          </w:p>
        </w:tc>
        <w:tc>
          <w:tcPr>
            <w:tcW w:w="1051" w:type="dxa"/>
            <w:tcBorders>
              <w:top w:val="nil"/>
              <w:left w:val="nil"/>
              <w:bottom w:val="single" w:sz="8" w:space="0" w:color="auto"/>
              <w:right w:val="single" w:sz="8" w:space="0" w:color="auto"/>
            </w:tcBorders>
            <w:shd w:val="clear" w:color="auto" w:fill="auto"/>
            <w:noWrap/>
            <w:vAlign w:val="center"/>
            <w:hideMark/>
          </w:tcPr>
          <w:p w:rsidR="009070BF" w:rsidRPr="00655C1D" w:rsidRDefault="00655C1D" w:rsidP="00CB5DDE">
            <w:pPr>
              <w:jc w:val="center"/>
              <w:rPr>
                <w:rFonts w:ascii="Arial Narrow" w:hAnsi="Arial Narrow" w:cs="Arial"/>
                <w:color w:val="000000"/>
                <w:sz w:val="20"/>
                <w:szCs w:val="20"/>
                <w:highlight w:val="black"/>
              </w:rPr>
            </w:pPr>
            <w:r>
              <w:rPr>
                <w:rFonts w:ascii="Arial Narrow" w:hAnsi="Arial Narrow" w:cs="Arial"/>
                <w:noProof/>
                <w:color w:val="000000"/>
                <w:sz w:val="20"/>
                <w:szCs w:val="20"/>
                <w:highlight w:val="black"/>
              </w:rPr>
              <w:t>'''''</w:t>
            </w:r>
          </w:p>
        </w:tc>
        <w:tc>
          <w:tcPr>
            <w:tcW w:w="1075" w:type="dxa"/>
            <w:tcBorders>
              <w:top w:val="nil"/>
              <w:left w:val="nil"/>
              <w:bottom w:val="single" w:sz="8" w:space="0" w:color="auto"/>
              <w:right w:val="single" w:sz="8" w:space="0" w:color="auto"/>
            </w:tcBorders>
            <w:shd w:val="clear" w:color="auto" w:fill="auto"/>
            <w:noWrap/>
            <w:vAlign w:val="center"/>
            <w:hideMark/>
          </w:tcPr>
          <w:p w:rsidR="009070BF" w:rsidRPr="00655C1D" w:rsidRDefault="00655C1D" w:rsidP="00CB5DDE">
            <w:pPr>
              <w:jc w:val="center"/>
              <w:rPr>
                <w:rFonts w:ascii="Arial Narrow" w:hAnsi="Arial Narrow" w:cs="Arial"/>
                <w:color w:val="000000"/>
                <w:sz w:val="20"/>
                <w:szCs w:val="20"/>
                <w:highlight w:val="black"/>
              </w:rPr>
            </w:pPr>
            <w:r>
              <w:rPr>
                <w:rFonts w:ascii="Arial Narrow" w:hAnsi="Arial Narrow" w:cs="Arial"/>
                <w:noProof/>
                <w:color w:val="000000"/>
                <w:sz w:val="20"/>
                <w:szCs w:val="20"/>
                <w:highlight w:val="black"/>
              </w:rPr>
              <w:t>''''''</w:t>
            </w:r>
          </w:p>
        </w:tc>
        <w:tc>
          <w:tcPr>
            <w:tcW w:w="1051" w:type="dxa"/>
            <w:tcBorders>
              <w:top w:val="nil"/>
              <w:left w:val="nil"/>
              <w:bottom w:val="single" w:sz="8" w:space="0" w:color="auto"/>
              <w:right w:val="single" w:sz="8" w:space="0" w:color="auto"/>
            </w:tcBorders>
            <w:shd w:val="clear" w:color="auto" w:fill="auto"/>
            <w:noWrap/>
            <w:vAlign w:val="center"/>
            <w:hideMark/>
          </w:tcPr>
          <w:p w:rsidR="009070BF" w:rsidRPr="00655C1D" w:rsidRDefault="00655C1D" w:rsidP="00CB5DDE">
            <w:pPr>
              <w:jc w:val="center"/>
              <w:rPr>
                <w:rFonts w:ascii="Arial Narrow" w:hAnsi="Arial Narrow" w:cs="Arial"/>
                <w:color w:val="000000"/>
                <w:sz w:val="20"/>
                <w:szCs w:val="20"/>
                <w:highlight w:val="black"/>
              </w:rPr>
            </w:pPr>
            <w:r>
              <w:rPr>
                <w:rFonts w:ascii="Arial Narrow" w:hAnsi="Arial Narrow" w:cs="Arial"/>
                <w:noProof/>
                <w:color w:val="000000"/>
                <w:sz w:val="20"/>
                <w:szCs w:val="20"/>
                <w:highlight w:val="black"/>
              </w:rPr>
              <w:t>'''''''</w:t>
            </w:r>
          </w:p>
        </w:tc>
      </w:tr>
      <w:tr w:rsidR="009070BF" w:rsidRPr="00CB5DDE" w:rsidTr="00EC39E6">
        <w:trPr>
          <w:trHeight w:val="315"/>
        </w:trPr>
        <w:tc>
          <w:tcPr>
            <w:tcW w:w="2709" w:type="dxa"/>
            <w:tcBorders>
              <w:top w:val="nil"/>
              <w:left w:val="single" w:sz="8" w:space="0" w:color="auto"/>
              <w:bottom w:val="single" w:sz="8" w:space="0" w:color="auto"/>
              <w:right w:val="single" w:sz="8" w:space="0" w:color="auto"/>
            </w:tcBorders>
            <w:shd w:val="clear" w:color="auto" w:fill="auto"/>
            <w:noWrap/>
            <w:vAlign w:val="center"/>
            <w:hideMark/>
          </w:tcPr>
          <w:p w:rsidR="009070BF" w:rsidRPr="00CB5DDE" w:rsidRDefault="009070BF" w:rsidP="00CB5DDE">
            <w:pPr>
              <w:rPr>
                <w:rFonts w:ascii="Arial Narrow" w:hAnsi="Arial Narrow" w:cs="Arial"/>
                <w:b/>
                <w:bCs/>
                <w:color w:val="000000"/>
                <w:sz w:val="20"/>
                <w:szCs w:val="20"/>
              </w:rPr>
            </w:pPr>
            <w:r w:rsidRPr="00CB5DDE">
              <w:rPr>
                <w:rFonts w:ascii="Arial Narrow" w:hAnsi="Arial Narrow" w:cs="Arial"/>
                <w:b/>
                <w:bCs/>
                <w:color w:val="000000"/>
                <w:sz w:val="20"/>
                <w:szCs w:val="20"/>
              </w:rPr>
              <w:t>MSD EAP patients</w:t>
            </w:r>
            <w:r w:rsidRPr="00CB5DDE">
              <w:rPr>
                <w:rFonts w:ascii="Arial Narrow" w:hAnsi="Arial Narrow" w:cs="Arial"/>
                <w:b/>
                <w:bCs/>
                <w:color w:val="000000"/>
                <w:sz w:val="20"/>
                <w:szCs w:val="20"/>
                <w:vertAlign w:val="superscript"/>
              </w:rPr>
              <w:t>b</w:t>
            </w:r>
            <w:r w:rsidRPr="00CB5DDE">
              <w:rPr>
                <w:rFonts w:ascii="Arial Narrow" w:hAnsi="Arial Narrow" w:cs="Arial"/>
                <w:b/>
                <w:bCs/>
                <w:color w:val="000000"/>
                <w:sz w:val="20"/>
                <w:szCs w:val="20"/>
              </w:rPr>
              <w:t xml:space="preserve"> </w:t>
            </w:r>
          </w:p>
        </w:tc>
        <w:tc>
          <w:tcPr>
            <w:tcW w:w="1051" w:type="dxa"/>
            <w:tcBorders>
              <w:top w:val="nil"/>
              <w:left w:val="nil"/>
              <w:bottom w:val="single" w:sz="8" w:space="0" w:color="auto"/>
              <w:right w:val="single" w:sz="8" w:space="0" w:color="auto"/>
            </w:tcBorders>
            <w:shd w:val="clear" w:color="auto" w:fill="auto"/>
            <w:noWrap/>
            <w:vAlign w:val="center"/>
            <w:hideMark/>
          </w:tcPr>
          <w:p w:rsidR="009070BF" w:rsidRPr="00655C1D" w:rsidRDefault="00655C1D" w:rsidP="00CB5DDE">
            <w:pPr>
              <w:jc w:val="center"/>
              <w:rPr>
                <w:rFonts w:ascii="Arial Narrow" w:hAnsi="Arial Narrow" w:cs="Arial"/>
                <w:b/>
                <w:bCs/>
                <w:color w:val="000000"/>
                <w:sz w:val="20"/>
                <w:szCs w:val="20"/>
                <w:highlight w:val="black"/>
              </w:rPr>
            </w:pPr>
            <w:r>
              <w:rPr>
                <w:rFonts w:ascii="Arial Narrow" w:hAnsi="Arial Narrow" w:cs="Arial"/>
                <w:b/>
                <w:bCs/>
                <w:noProof/>
                <w:color w:val="000000"/>
                <w:sz w:val="20"/>
                <w:szCs w:val="20"/>
                <w:highlight w:val="black"/>
              </w:rPr>
              <w:t>'''''</w:t>
            </w:r>
          </w:p>
        </w:tc>
        <w:tc>
          <w:tcPr>
            <w:tcW w:w="1075" w:type="dxa"/>
            <w:tcBorders>
              <w:top w:val="nil"/>
              <w:left w:val="nil"/>
              <w:bottom w:val="single" w:sz="8" w:space="0" w:color="auto"/>
              <w:right w:val="single" w:sz="8" w:space="0" w:color="auto"/>
            </w:tcBorders>
            <w:shd w:val="clear" w:color="auto" w:fill="auto"/>
            <w:noWrap/>
            <w:vAlign w:val="center"/>
            <w:hideMark/>
          </w:tcPr>
          <w:p w:rsidR="009070BF" w:rsidRPr="00655C1D" w:rsidRDefault="00655C1D" w:rsidP="00CB5DDE">
            <w:pPr>
              <w:jc w:val="center"/>
              <w:rPr>
                <w:rFonts w:ascii="Arial Narrow" w:hAnsi="Arial Narrow" w:cs="Arial"/>
                <w:b/>
                <w:bCs/>
                <w:color w:val="000000"/>
                <w:sz w:val="20"/>
                <w:szCs w:val="20"/>
                <w:highlight w:val="black"/>
              </w:rPr>
            </w:pPr>
            <w:r>
              <w:rPr>
                <w:rFonts w:ascii="Arial Narrow" w:hAnsi="Arial Narrow" w:cs="Arial"/>
                <w:b/>
                <w:bCs/>
                <w:noProof/>
                <w:color w:val="000000"/>
                <w:sz w:val="20"/>
                <w:szCs w:val="20"/>
                <w:highlight w:val="black"/>
              </w:rPr>
              <w:t>'''''</w:t>
            </w:r>
          </w:p>
        </w:tc>
        <w:tc>
          <w:tcPr>
            <w:tcW w:w="1051" w:type="dxa"/>
            <w:tcBorders>
              <w:top w:val="nil"/>
              <w:left w:val="nil"/>
              <w:bottom w:val="single" w:sz="8" w:space="0" w:color="auto"/>
              <w:right w:val="single" w:sz="8" w:space="0" w:color="auto"/>
            </w:tcBorders>
            <w:shd w:val="clear" w:color="auto" w:fill="auto"/>
            <w:noWrap/>
            <w:vAlign w:val="center"/>
            <w:hideMark/>
          </w:tcPr>
          <w:p w:rsidR="009070BF" w:rsidRPr="00655C1D" w:rsidRDefault="00655C1D" w:rsidP="00CB5DDE">
            <w:pPr>
              <w:jc w:val="center"/>
              <w:rPr>
                <w:rFonts w:ascii="Arial Narrow" w:hAnsi="Arial Narrow" w:cs="Arial"/>
                <w:b/>
                <w:bCs/>
                <w:color w:val="000000"/>
                <w:sz w:val="20"/>
                <w:szCs w:val="20"/>
                <w:highlight w:val="black"/>
              </w:rPr>
            </w:pPr>
            <w:r>
              <w:rPr>
                <w:rFonts w:ascii="Arial Narrow" w:hAnsi="Arial Narrow" w:cs="Arial"/>
                <w:b/>
                <w:bCs/>
                <w:noProof/>
                <w:color w:val="000000"/>
                <w:sz w:val="20"/>
                <w:szCs w:val="20"/>
                <w:highlight w:val="black"/>
              </w:rPr>
              <w:t>'''''</w:t>
            </w:r>
          </w:p>
        </w:tc>
        <w:tc>
          <w:tcPr>
            <w:tcW w:w="1075" w:type="dxa"/>
            <w:tcBorders>
              <w:top w:val="nil"/>
              <w:left w:val="nil"/>
              <w:bottom w:val="single" w:sz="8" w:space="0" w:color="auto"/>
              <w:right w:val="single" w:sz="8" w:space="0" w:color="auto"/>
            </w:tcBorders>
            <w:shd w:val="clear" w:color="auto" w:fill="auto"/>
            <w:noWrap/>
            <w:vAlign w:val="center"/>
            <w:hideMark/>
          </w:tcPr>
          <w:p w:rsidR="009070BF" w:rsidRPr="00655C1D" w:rsidRDefault="00655C1D" w:rsidP="00CB5DDE">
            <w:pPr>
              <w:jc w:val="center"/>
              <w:rPr>
                <w:rFonts w:ascii="Arial Narrow" w:hAnsi="Arial Narrow" w:cs="Arial"/>
                <w:b/>
                <w:bCs/>
                <w:color w:val="000000"/>
                <w:sz w:val="20"/>
                <w:szCs w:val="20"/>
                <w:highlight w:val="black"/>
              </w:rPr>
            </w:pPr>
            <w:r>
              <w:rPr>
                <w:rFonts w:ascii="Arial Narrow" w:hAnsi="Arial Narrow" w:cs="Arial"/>
                <w:b/>
                <w:bCs/>
                <w:noProof/>
                <w:color w:val="000000"/>
                <w:sz w:val="20"/>
                <w:szCs w:val="20"/>
                <w:highlight w:val="black"/>
              </w:rPr>
              <w:t>'''''</w:t>
            </w:r>
          </w:p>
        </w:tc>
        <w:tc>
          <w:tcPr>
            <w:tcW w:w="1051" w:type="dxa"/>
            <w:tcBorders>
              <w:top w:val="nil"/>
              <w:left w:val="nil"/>
              <w:bottom w:val="single" w:sz="8" w:space="0" w:color="auto"/>
              <w:right w:val="single" w:sz="8" w:space="0" w:color="auto"/>
            </w:tcBorders>
            <w:shd w:val="clear" w:color="auto" w:fill="auto"/>
            <w:noWrap/>
            <w:vAlign w:val="center"/>
            <w:hideMark/>
          </w:tcPr>
          <w:p w:rsidR="009070BF" w:rsidRPr="00655C1D" w:rsidRDefault="00655C1D" w:rsidP="00CB5DDE">
            <w:pPr>
              <w:jc w:val="center"/>
              <w:rPr>
                <w:rFonts w:ascii="Arial Narrow" w:hAnsi="Arial Narrow" w:cs="Arial"/>
                <w:b/>
                <w:bCs/>
                <w:color w:val="000000"/>
                <w:sz w:val="20"/>
                <w:szCs w:val="20"/>
                <w:highlight w:val="black"/>
              </w:rPr>
            </w:pPr>
            <w:r>
              <w:rPr>
                <w:rFonts w:ascii="Arial Narrow" w:hAnsi="Arial Narrow" w:cs="Arial"/>
                <w:b/>
                <w:bCs/>
                <w:noProof/>
                <w:color w:val="000000"/>
                <w:sz w:val="20"/>
                <w:szCs w:val="20"/>
                <w:highlight w:val="black"/>
              </w:rPr>
              <w:t>''''</w:t>
            </w:r>
          </w:p>
        </w:tc>
      </w:tr>
      <w:tr w:rsidR="009070BF" w:rsidRPr="00CB5DDE" w:rsidTr="00EC39E6">
        <w:trPr>
          <w:trHeight w:val="315"/>
        </w:trPr>
        <w:tc>
          <w:tcPr>
            <w:tcW w:w="2709" w:type="dxa"/>
            <w:tcBorders>
              <w:top w:val="nil"/>
              <w:left w:val="single" w:sz="8" w:space="0" w:color="auto"/>
              <w:bottom w:val="single" w:sz="8" w:space="0" w:color="auto"/>
              <w:right w:val="single" w:sz="8" w:space="0" w:color="auto"/>
            </w:tcBorders>
            <w:shd w:val="clear" w:color="auto" w:fill="auto"/>
            <w:noWrap/>
            <w:vAlign w:val="center"/>
            <w:hideMark/>
          </w:tcPr>
          <w:p w:rsidR="009070BF" w:rsidRPr="00CB5DDE" w:rsidRDefault="009070BF" w:rsidP="00CB5DDE">
            <w:pPr>
              <w:rPr>
                <w:rFonts w:ascii="Arial Narrow" w:hAnsi="Arial Narrow" w:cs="Arial"/>
                <w:b/>
                <w:bCs/>
                <w:color w:val="000000"/>
                <w:sz w:val="20"/>
                <w:szCs w:val="20"/>
              </w:rPr>
            </w:pPr>
            <w:r w:rsidRPr="00CB5DDE">
              <w:rPr>
                <w:rFonts w:ascii="Arial Narrow" w:hAnsi="Arial Narrow" w:cs="Arial"/>
                <w:b/>
                <w:bCs/>
                <w:color w:val="000000"/>
                <w:sz w:val="20"/>
                <w:szCs w:val="20"/>
              </w:rPr>
              <w:t>TOTAL patient numbers</w:t>
            </w:r>
          </w:p>
        </w:tc>
        <w:tc>
          <w:tcPr>
            <w:tcW w:w="1051" w:type="dxa"/>
            <w:tcBorders>
              <w:top w:val="nil"/>
              <w:left w:val="nil"/>
              <w:bottom w:val="single" w:sz="8" w:space="0" w:color="auto"/>
              <w:right w:val="single" w:sz="8" w:space="0" w:color="auto"/>
            </w:tcBorders>
            <w:shd w:val="clear" w:color="auto" w:fill="auto"/>
            <w:noWrap/>
            <w:vAlign w:val="center"/>
            <w:hideMark/>
          </w:tcPr>
          <w:p w:rsidR="009070BF" w:rsidRPr="00655C1D" w:rsidRDefault="00655C1D" w:rsidP="00CB5DDE">
            <w:pPr>
              <w:jc w:val="center"/>
              <w:rPr>
                <w:rFonts w:ascii="Arial Narrow" w:hAnsi="Arial Narrow" w:cs="Arial"/>
                <w:b/>
                <w:bCs/>
                <w:color w:val="000000"/>
                <w:sz w:val="20"/>
                <w:szCs w:val="20"/>
                <w:highlight w:val="black"/>
              </w:rPr>
            </w:pPr>
            <w:r>
              <w:rPr>
                <w:rFonts w:ascii="Arial Narrow" w:hAnsi="Arial Narrow" w:cs="Arial"/>
                <w:b/>
                <w:bCs/>
                <w:noProof/>
                <w:color w:val="000000"/>
                <w:sz w:val="20"/>
                <w:szCs w:val="20"/>
                <w:highlight w:val="black"/>
              </w:rPr>
              <w:t>''''''</w:t>
            </w:r>
          </w:p>
        </w:tc>
        <w:tc>
          <w:tcPr>
            <w:tcW w:w="1075" w:type="dxa"/>
            <w:tcBorders>
              <w:top w:val="nil"/>
              <w:left w:val="nil"/>
              <w:bottom w:val="single" w:sz="8" w:space="0" w:color="auto"/>
              <w:right w:val="single" w:sz="8" w:space="0" w:color="auto"/>
            </w:tcBorders>
            <w:shd w:val="clear" w:color="auto" w:fill="auto"/>
            <w:noWrap/>
            <w:vAlign w:val="center"/>
            <w:hideMark/>
          </w:tcPr>
          <w:p w:rsidR="009070BF" w:rsidRPr="00655C1D" w:rsidRDefault="00655C1D" w:rsidP="00CB5DDE">
            <w:pPr>
              <w:jc w:val="center"/>
              <w:rPr>
                <w:rFonts w:ascii="Arial Narrow" w:hAnsi="Arial Narrow" w:cs="Arial"/>
                <w:b/>
                <w:bCs/>
                <w:color w:val="000000"/>
                <w:sz w:val="20"/>
                <w:szCs w:val="20"/>
                <w:highlight w:val="black"/>
              </w:rPr>
            </w:pPr>
            <w:r>
              <w:rPr>
                <w:rFonts w:ascii="Arial Narrow" w:hAnsi="Arial Narrow" w:cs="Arial"/>
                <w:b/>
                <w:bCs/>
                <w:noProof/>
                <w:color w:val="000000"/>
                <w:sz w:val="20"/>
                <w:szCs w:val="20"/>
                <w:highlight w:val="black"/>
              </w:rPr>
              <w:t>''''</w:t>
            </w:r>
          </w:p>
        </w:tc>
        <w:tc>
          <w:tcPr>
            <w:tcW w:w="1051" w:type="dxa"/>
            <w:tcBorders>
              <w:top w:val="nil"/>
              <w:left w:val="nil"/>
              <w:bottom w:val="single" w:sz="8" w:space="0" w:color="auto"/>
              <w:right w:val="single" w:sz="8" w:space="0" w:color="auto"/>
            </w:tcBorders>
            <w:shd w:val="clear" w:color="auto" w:fill="auto"/>
            <w:noWrap/>
            <w:vAlign w:val="center"/>
            <w:hideMark/>
          </w:tcPr>
          <w:p w:rsidR="009070BF" w:rsidRPr="00655C1D" w:rsidRDefault="00655C1D" w:rsidP="00CB5DDE">
            <w:pPr>
              <w:jc w:val="center"/>
              <w:rPr>
                <w:rFonts w:ascii="Arial Narrow" w:hAnsi="Arial Narrow" w:cs="Arial"/>
                <w:b/>
                <w:bCs/>
                <w:color w:val="000000"/>
                <w:sz w:val="20"/>
                <w:szCs w:val="20"/>
                <w:highlight w:val="black"/>
              </w:rPr>
            </w:pPr>
            <w:r>
              <w:rPr>
                <w:rFonts w:ascii="Arial Narrow" w:hAnsi="Arial Narrow" w:cs="Arial"/>
                <w:b/>
                <w:bCs/>
                <w:noProof/>
                <w:color w:val="000000"/>
                <w:sz w:val="20"/>
                <w:szCs w:val="20"/>
                <w:highlight w:val="black"/>
              </w:rPr>
              <w:t>'''''</w:t>
            </w:r>
          </w:p>
        </w:tc>
        <w:tc>
          <w:tcPr>
            <w:tcW w:w="1075" w:type="dxa"/>
            <w:tcBorders>
              <w:top w:val="nil"/>
              <w:left w:val="nil"/>
              <w:bottom w:val="single" w:sz="8" w:space="0" w:color="auto"/>
              <w:right w:val="single" w:sz="8" w:space="0" w:color="auto"/>
            </w:tcBorders>
            <w:shd w:val="clear" w:color="auto" w:fill="auto"/>
            <w:noWrap/>
            <w:vAlign w:val="center"/>
            <w:hideMark/>
          </w:tcPr>
          <w:p w:rsidR="009070BF" w:rsidRPr="00655C1D" w:rsidRDefault="00655C1D" w:rsidP="00CB5DDE">
            <w:pPr>
              <w:jc w:val="center"/>
              <w:rPr>
                <w:rFonts w:ascii="Arial Narrow" w:hAnsi="Arial Narrow" w:cs="Arial"/>
                <w:b/>
                <w:bCs/>
                <w:color w:val="000000"/>
                <w:sz w:val="20"/>
                <w:szCs w:val="20"/>
                <w:highlight w:val="black"/>
              </w:rPr>
            </w:pPr>
            <w:r>
              <w:rPr>
                <w:rFonts w:ascii="Arial Narrow" w:hAnsi="Arial Narrow" w:cs="Arial"/>
                <w:b/>
                <w:bCs/>
                <w:noProof/>
                <w:color w:val="000000"/>
                <w:sz w:val="20"/>
                <w:szCs w:val="20"/>
                <w:highlight w:val="black"/>
              </w:rPr>
              <w:t>''''''</w:t>
            </w:r>
          </w:p>
        </w:tc>
        <w:tc>
          <w:tcPr>
            <w:tcW w:w="1051" w:type="dxa"/>
            <w:tcBorders>
              <w:top w:val="nil"/>
              <w:left w:val="nil"/>
              <w:bottom w:val="single" w:sz="8" w:space="0" w:color="auto"/>
              <w:right w:val="single" w:sz="8" w:space="0" w:color="auto"/>
            </w:tcBorders>
            <w:shd w:val="clear" w:color="auto" w:fill="auto"/>
            <w:noWrap/>
            <w:vAlign w:val="center"/>
            <w:hideMark/>
          </w:tcPr>
          <w:p w:rsidR="009070BF" w:rsidRPr="00655C1D" w:rsidRDefault="00655C1D" w:rsidP="00CB5DDE">
            <w:pPr>
              <w:jc w:val="center"/>
              <w:rPr>
                <w:rFonts w:ascii="Arial Narrow" w:hAnsi="Arial Narrow" w:cs="Arial"/>
                <w:b/>
                <w:bCs/>
                <w:color w:val="000000"/>
                <w:sz w:val="20"/>
                <w:szCs w:val="20"/>
                <w:highlight w:val="black"/>
              </w:rPr>
            </w:pPr>
            <w:r>
              <w:rPr>
                <w:rFonts w:ascii="Arial Narrow" w:hAnsi="Arial Narrow" w:cs="Arial"/>
                <w:b/>
                <w:bCs/>
                <w:noProof/>
                <w:color w:val="000000"/>
                <w:sz w:val="20"/>
                <w:szCs w:val="20"/>
                <w:highlight w:val="black"/>
              </w:rPr>
              <w:t>'''''</w:t>
            </w:r>
          </w:p>
        </w:tc>
      </w:tr>
      <w:tr w:rsidR="009070BF" w:rsidRPr="00CB5DDE" w:rsidTr="00EC39E6">
        <w:trPr>
          <w:trHeight w:val="315"/>
        </w:trPr>
        <w:tc>
          <w:tcPr>
            <w:tcW w:w="2709" w:type="dxa"/>
            <w:tcBorders>
              <w:top w:val="nil"/>
              <w:left w:val="single" w:sz="8" w:space="0" w:color="auto"/>
              <w:bottom w:val="single" w:sz="8" w:space="0" w:color="auto"/>
              <w:right w:val="single" w:sz="8" w:space="0" w:color="auto"/>
            </w:tcBorders>
            <w:shd w:val="clear" w:color="auto" w:fill="auto"/>
            <w:noWrap/>
            <w:vAlign w:val="center"/>
            <w:hideMark/>
          </w:tcPr>
          <w:p w:rsidR="009070BF" w:rsidRPr="00CB5DDE" w:rsidRDefault="009070BF" w:rsidP="00CB5DDE">
            <w:pPr>
              <w:rPr>
                <w:rFonts w:ascii="Arial Narrow" w:hAnsi="Arial Narrow" w:cs="Arial"/>
                <w:b/>
                <w:bCs/>
                <w:i/>
                <w:iCs/>
                <w:color w:val="000000"/>
                <w:sz w:val="20"/>
                <w:szCs w:val="20"/>
              </w:rPr>
            </w:pPr>
            <w:r w:rsidRPr="00CB5DDE">
              <w:rPr>
                <w:rFonts w:ascii="Arial Narrow" w:hAnsi="Arial Narrow" w:cs="Arial"/>
                <w:b/>
                <w:bCs/>
                <w:i/>
                <w:iCs/>
                <w:color w:val="000000"/>
                <w:sz w:val="20"/>
                <w:szCs w:val="20"/>
              </w:rPr>
              <w:t> </w:t>
            </w:r>
          </w:p>
        </w:tc>
        <w:tc>
          <w:tcPr>
            <w:tcW w:w="1051" w:type="dxa"/>
            <w:tcBorders>
              <w:top w:val="nil"/>
              <w:left w:val="nil"/>
              <w:bottom w:val="single" w:sz="8" w:space="0" w:color="auto"/>
              <w:right w:val="single" w:sz="8" w:space="0" w:color="auto"/>
            </w:tcBorders>
            <w:shd w:val="clear" w:color="auto" w:fill="auto"/>
            <w:noWrap/>
            <w:vAlign w:val="center"/>
            <w:hideMark/>
          </w:tcPr>
          <w:p w:rsidR="009070BF" w:rsidRPr="00CB5DDE" w:rsidRDefault="009070BF" w:rsidP="00CB5DDE">
            <w:pPr>
              <w:jc w:val="center"/>
              <w:rPr>
                <w:rFonts w:ascii="Arial Narrow" w:hAnsi="Arial Narrow" w:cs="Arial"/>
                <w:b/>
                <w:bCs/>
                <w:i/>
                <w:iCs/>
                <w:color w:val="000000"/>
                <w:sz w:val="20"/>
                <w:szCs w:val="20"/>
              </w:rPr>
            </w:pPr>
          </w:p>
        </w:tc>
        <w:tc>
          <w:tcPr>
            <w:tcW w:w="1075" w:type="dxa"/>
            <w:tcBorders>
              <w:top w:val="nil"/>
              <w:left w:val="nil"/>
              <w:bottom w:val="single" w:sz="8" w:space="0" w:color="auto"/>
              <w:right w:val="single" w:sz="8" w:space="0" w:color="auto"/>
            </w:tcBorders>
            <w:shd w:val="clear" w:color="auto" w:fill="auto"/>
            <w:noWrap/>
            <w:vAlign w:val="center"/>
            <w:hideMark/>
          </w:tcPr>
          <w:p w:rsidR="009070BF" w:rsidRPr="00CB5DDE" w:rsidRDefault="009070BF" w:rsidP="00CB5DDE">
            <w:pPr>
              <w:jc w:val="center"/>
              <w:rPr>
                <w:rFonts w:ascii="Arial Narrow" w:hAnsi="Arial Narrow" w:cs="Arial"/>
                <w:b/>
                <w:bCs/>
                <w:i/>
                <w:iCs/>
                <w:color w:val="000000"/>
                <w:sz w:val="20"/>
                <w:szCs w:val="20"/>
              </w:rPr>
            </w:pPr>
          </w:p>
        </w:tc>
        <w:tc>
          <w:tcPr>
            <w:tcW w:w="1051" w:type="dxa"/>
            <w:tcBorders>
              <w:top w:val="nil"/>
              <w:left w:val="nil"/>
              <w:bottom w:val="single" w:sz="8" w:space="0" w:color="auto"/>
              <w:right w:val="single" w:sz="8" w:space="0" w:color="auto"/>
            </w:tcBorders>
            <w:shd w:val="clear" w:color="auto" w:fill="auto"/>
            <w:noWrap/>
            <w:vAlign w:val="center"/>
            <w:hideMark/>
          </w:tcPr>
          <w:p w:rsidR="009070BF" w:rsidRPr="00CB5DDE" w:rsidRDefault="009070BF" w:rsidP="00CB5DDE">
            <w:pPr>
              <w:jc w:val="center"/>
              <w:rPr>
                <w:rFonts w:ascii="Arial Narrow" w:hAnsi="Arial Narrow" w:cs="Arial"/>
                <w:b/>
                <w:bCs/>
                <w:i/>
                <w:iCs/>
                <w:color w:val="000000"/>
                <w:sz w:val="20"/>
                <w:szCs w:val="20"/>
              </w:rPr>
            </w:pPr>
          </w:p>
        </w:tc>
        <w:tc>
          <w:tcPr>
            <w:tcW w:w="1075" w:type="dxa"/>
            <w:tcBorders>
              <w:top w:val="nil"/>
              <w:left w:val="nil"/>
              <w:bottom w:val="single" w:sz="8" w:space="0" w:color="auto"/>
              <w:right w:val="single" w:sz="8" w:space="0" w:color="auto"/>
            </w:tcBorders>
            <w:shd w:val="clear" w:color="auto" w:fill="auto"/>
            <w:noWrap/>
            <w:vAlign w:val="center"/>
            <w:hideMark/>
          </w:tcPr>
          <w:p w:rsidR="009070BF" w:rsidRPr="00CB5DDE" w:rsidRDefault="009070BF" w:rsidP="00CB5DDE">
            <w:pPr>
              <w:jc w:val="center"/>
              <w:rPr>
                <w:rFonts w:ascii="Arial Narrow" w:hAnsi="Arial Narrow" w:cs="Arial"/>
                <w:b/>
                <w:bCs/>
                <w:i/>
                <w:iCs/>
                <w:color w:val="000000"/>
                <w:sz w:val="20"/>
                <w:szCs w:val="20"/>
              </w:rPr>
            </w:pPr>
          </w:p>
        </w:tc>
        <w:tc>
          <w:tcPr>
            <w:tcW w:w="1051" w:type="dxa"/>
            <w:tcBorders>
              <w:top w:val="nil"/>
              <w:left w:val="nil"/>
              <w:bottom w:val="single" w:sz="8" w:space="0" w:color="auto"/>
              <w:right w:val="single" w:sz="8" w:space="0" w:color="auto"/>
            </w:tcBorders>
            <w:shd w:val="clear" w:color="auto" w:fill="auto"/>
            <w:noWrap/>
            <w:vAlign w:val="center"/>
            <w:hideMark/>
          </w:tcPr>
          <w:p w:rsidR="009070BF" w:rsidRPr="00CB5DDE" w:rsidRDefault="009070BF" w:rsidP="00CB5DDE">
            <w:pPr>
              <w:jc w:val="center"/>
              <w:rPr>
                <w:rFonts w:ascii="Arial Narrow" w:hAnsi="Arial Narrow" w:cs="Arial"/>
                <w:b/>
                <w:bCs/>
                <w:i/>
                <w:iCs/>
                <w:color w:val="000000"/>
                <w:sz w:val="20"/>
                <w:szCs w:val="20"/>
              </w:rPr>
            </w:pPr>
          </w:p>
        </w:tc>
      </w:tr>
      <w:tr w:rsidR="009070BF" w:rsidRPr="00CB5DDE" w:rsidTr="00EC39E6">
        <w:trPr>
          <w:trHeight w:val="315"/>
        </w:trPr>
        <w:tc>
          <w:tcPr>
            <w:tcW w:w="2709" w:type="dxa"/>
            <w:tcBorders>
              <w:top w:val="nil"/>
              <w:left w:val="single" w:sz="8" w:space="0" w:color="auto"/>
              <w:bottom w:val="single" w:sz="8" w:space="0" w:color="auto"/>
              <w:right w:val="single" w:sz="8" w:space="0" w:color="auto"/>
            </w:tcBorders>
            <w:shd w:val="clear" w:color="auto" w:fill="auto"/>
            <w:noWrap/>
            <w:vAlign w:val="center"/>
            <w:hideMark/>
          </w:tcPr>
          <w:p w:rsidR="009070BF" w:rsidRPr="00CB5DDE" w:rsidRDefault="009070BF" w:rsidP="00CB5DDE">
            <w:pPr>
              <w:rPr>
                <w:rFonts w:ascii="Arial Narrow" w:hAnsi="Arial Narrow" w:cs="Arial"/>
                <w:color w:val="000000"/>
                <w:sz w:val="20"/>
                <w:szCs w:val="20"/>
              </w:rPr>
            </w:pPr>
            <w:r w:rsidRPr="00CB5DDE">
              <w:rPr>
                <w:rFonts w:ascii="Arial Narrow" w:hAnsi="Arial Narrow" w:cs="Arial"/>
                <w:color w:val="000000"/>
                <w:sz w:val="20"/>
                <w:szCs w:val="20"/>
              </w:rPr>
              <w:t>Vorinostat uptake</w:t>
            </w:r>
            <w:r w:rsidRPr="00CB5DDE">
              <w:rPr>
                <w:rFonts w:ascii="Arial Narrow" w:hAnsi="Arial Narrow" w:cs="Arial"/>
                <w:color w:val="000000"/>
                <w:sz w:val="20"/>
                <w:szCs w:val="20"/>
                <w:vertAlign w:val="superscript"/>
              </w:rPr>
              <w:t>c</w:t>
            </w:r>
          </w:p>
        </w:tc>
        <w:tc>
          <w:tcPr>
            <w:tcW w:w="1051" w:type="dxa"/>
            <w:tcBorders>
              <w:top w:val="nil"/>
              <w:left w:val="nil"/>
              <w:bottom w:val="single" w:sz="8" w:space="0" w:color="auto"/>
              <w:right w:val="single" w:sz="8" w:space="0" w:color="auto"/>
            </w:tcBorders>
            <w:shd w:val="clear" w:color="auto" w:fill="auto"/>
            <w:noWrap/>
            <w:vAlign w:val="center"/>
            <w:hideMark/>
          </w:tcPr>
          <w:p w:rsidR="009070BF" w:rsidRPr="00CB5DDE" w:rsidRDefault="009070BF" w:rsidP="00CB5DDE">
            <w:pPr>
              <w:jc w:val="center"/>
              <w:rPr>
                <w:rFonts w:ascii="Arial Narrow" w:hAnsi="Arial Narrow" w:cs="Arial"/>
                <w:color w:val="000000"/>
                <w:sz w:val="20"/>
                <w:szCs w:val="20"/>
              </w:rPr>
            </w:pPr>
            <w:r w:rsidRPr="00A56EB7">
              <w:rPr>
                <w:rFonts w:ascii="Arial Narrow" w:hAnsi="Arial Narrow" w:cs="Arial"/>
                <w:color w:val="000000"/>
                <w:sz w:val="20"/>
                <w:szCs w:val="20"/>
              </w:rPr>
              <w:t>100</w:t>
            </w:r>
            <w:r w:rsidRPr="00CB5DDE">
              <w:rPr>
                <w:rFonts w:ascii="Arial Narrow" w:hAnsi="Arial Narrow" w:cs="Arial"/>
                <w:color w:val="000000"/>
                <w:sz w:val="20"/>
                <w:szCs w:val="20"/>
              </w:rPr>
              <w:t>%</w:t>
            </w:r>
          </w:p>
        </w:tc>
        <w:tc>
          <w:tcPr>
            <w:tcW w:w="1075" w:type="dxa"/>
            <w:tcBorders>
              <w:top w:val="nil"/>
              <w:left w:val="nil"/>
              <w:bottom w:val="single" w:sz="8" w:space="0" w:color="auto"/>
              <w:right w:val="single" w:sz="8" w:space="0" w:color="auto"/>
            </w:tcBorders>
            <w:shd w:val="clear" w:color="auto" w:fill="auto"/>
            <w:noWrap/>
            <w:vAlign w:val="center"/>
            <w:hideMark/>
          </w:tcPr>
          <w:p w:rsidR="009070BF" w:rsidRPr="00CB5DDE" w:rsidRDefault="009070BF" w:rsidP="00CB5DDE">
            <w:pPr>
              <w:jc w:val="center"/>
              <w:rPr>
                <w:rFonts w:ascii="Arial Narrow" w:hAnsi="Arial Narrow" w:cs="Arial"/>
                <w:color w:val="000000"/>
                <w:sz w:val="20"/>
                <w:szCs w:val="20"/>
              </w:rPr>
            </w:pPr>
            <w:r w:rsidRPr="00A56EB7">
              <w:rPr>
                <w:rFonts w:ascii="Arial Narrow" w:hAnsi="Arial Narrow" w:cs="Arial"/>
                <w:color w:val="000000"/>
                <w:sz w:val="20"/>
                <w:szCs w:val="20"/>
              </w:rPr>
              <w:t>100</w:t>
            </w:r>
            <w:r w:rsidRPr="00CB5DDE">
              <w:rPr>
                <w:rFonts w:ascii="Arial Narrow" w:hAnsi="Arial Narrow" w:cs="Arial"/>
                <w:color w:val="000000"/>
                <w:sz w:val="20"/>
                <w:szCs w:val="20"/>
              </w:rPr>
              <w:t>%</w:t>
            </w:r>
          </w:p>
        </w:tc>
        <w:tc>
          <w:tcPr>
            <w:tcW w:w="1051" w:type="dxa"/>
            <w:tcBorders>
              <w:top w:val="nil"/>
              <w:left w:val="nil"/>
              <w:bottom w:val="single" w:sz="8" w:space="0" w:color="auto"/>
              <w:right w:val="single" w:sz="8" w:space="0" w:color="auto"/>
            </w:tcBorders>
            <w:shd w:val="clear" w:color="auto" w:fill="auto"/>
            <w:noWrap/>
            <w:vAlign w:val="center"/>
            <w:hideMark/>
          </w:tcPr>
          <w:p w:rsidR="009070BF" w:rsidRPr="00CB5DDE" w:rsidRDefault="009070BF" w:rsidP="00CB5DDE">
            <w:pPr>
              <w:jc w:val="center"/>
              <w:rPr>
                <w:rFonts w:ascii="Arial Narrow" w:hAnsi="Arial Narrow" w:cs="Arial"/>
                <w:color w:val="000000"/>
                <w:sz w:val="20"/>
                <w:szCs w:val="20"/>
              </w:rPr>
            </w:pPr>
            <w:r w:rsidRPr="00A56EB7">
              <w:rPr>
                <w:rFonts w:ascii="Arial Narrow" w:hAnsi="Arial Narrow" w:cs="Arial"/>
                <w:color w:val="000000"/>
                <w:sz w:val="20"/>
                <w:szCs w:val="20"/>
              </w:rPr>
              <w:t>100</w:t>
            </w:r>
            <w:r w:rsidRPr="00CB5DDE">
              <w:rPr>
                <w:rFonts w:ascii="Arial Narrow" w:hAnsi="Arial Narrow" w:cs="Arial"/>
                <w:color w:val="000000"/>
                <w:sz w:val="20"/>
                <w:szCs w:val="20"/>
              </w:rPr>
              <w:t>%</w:t>
            </w:r>
          </w:p>
        </w:tc>
        <w:tc>
          <w:tcPr>
            <w:tcW w:w="1075" w:type="dxa"/>
            <w:tcBorders>
              <w:top w:val="nil"/>
              <w:left w:val="nil"/>
              <w:bottom w:val="single" w:sz="8" w:space="0" w:color="auto"/>
              <w:right w:val="single" w:sz="8" w:space="0" w:color="auto"/>
            </w:tcBorders>
            <w:shd w:val="clear" w:color="auto" w:fill="auto"/>
            <w:noWrap/>
            <w:vAlign w:val="center"/>
            <w:hideMark/>
          </w:tcPr>
          <w:p w:rsidR="009070BF" w:rsidRPr="00CB5DDE" w:rsidRDefault="009070BF" w:rsidP="00CB5DDE">
            <w:pPr>
              <w:jc w:val="center"/>
              <w:rPr>
                <w:rFonts w:ascii="Arial Narrow" w:hAnsi="Arial Narrow" w:cs="Arial"/>
                <w:color w:val="000000"/>
                <w:sz w:val="20"/>
                <w:szCs w:val="20"/>
              </w:rPr>
            </w:pPr>
            <w:r w:rsidRPr="00A56EB7">
              <w:rPr>
                <w:rFonts w:ascii="Arial Narrow" w:hAnsi="Arial Narrow" w:cs="Arial"/>
                <w:color w:val="000000"/>
                <w:sz w:val="20"/>
                <w:szCs w:val="20"/>
              </w:rPr>
              <w:t>100</w:t>
            </w:r>
            <w:r w:rsidRPr="00CB5DDE">
              <w:rPr>
                <w:rFonts w:ascii="Arial Narrow" w:hAnsi="Arial Narrow" w:cs="Arial"/>
                <w:color w:val="000000"/>
                <w:sz w:val="20"/>
                <w:szCs w:val="20"/>
              </w:rPr>
              <w:t>%</w:t>
            </w:r>
          </w:p>
        </w:tc>
        <w:tc>
          <w:tcPr>
            <w:tcW w:w="1051" w:type="dxa"/>
            <w:tcBorders>
              <w:top w:val="nil"/>
              <w:left w:val="nil"/>
              <w:bottom w:val="single" w:sz="8" w:space="0" w:color="auto"/>
              <w:right w:val="single" w:sz="8" w:space="0" w:color="auto"/>
            </w:tcBorders>
            <w:shd w:val="clear" w:color="auto" w:fill="auto"/>
            <w:noWrap/>
            <w:vAlign w:val="center"/>
            <w:hideMark/>
          </w:tcPr>
          <w:p w:rsidR="009070BF" w:rsidRPr="00CB5DDE" w:rsidRDefault="009070BF" w:rsidP="00CB5DDE">
            <w:pPr>
              <w:jc w:val="center"/>
              <w:rPr>
                <w:rFonts w:ascii="Arial Narrow" w:hAnsi="Arial Narrow" w:cs="Arial"/>
                <w:color w:val="000000"/>
                <w:sz w:val="20"/>
                <w:szCs w:val="20"/>
              </w:rPr>
            </w:pPr>
            <w:r w:rsidRPr="00A56EB7">
              <w:rPr>
                <w:rFonts w:ascii="Arial Narrow" w:hAnsi="Arial Narrow" w:cs="Arial"/>
                <w:color w:val="000000"/>
                <w:sz w:val="20"/>
                <w:szCs w:val="20"/>
              </w:rPr>
              <w:t>100</w:t>
            </w:r>
            <w:r w:rsidRPr="00CB5DDE">
              <w:rPr>
                <w:rFonts w:ascii="Arial Narrow" w:hAnsi="Arial Narrow" w:cs="Arial"/>
                <w:color w:val="000000"/>
                <w:sz w:val="20"/>
                <w:szCs w:val="20"/>
              </w:rPr>
              <w:t>%</w:t>
            </w:r>
          </w:p>
        </w:tc>
      </w:tr>
      <w:tr w:rsidR="009070BF" w:rsidRPr="00CB5DDE" w:rsidTr="00EC39E6">
        <w:trPr>
          <w:trHeight w:val="315"/>
        </w:trPr>
        <w:tc>
          <w:tcPr>
            <w:tcW w:w="2709" w:type="dxa"/>
            <w:tcBorders>
              <w:top w:val="nil"/>
              <w:left w:val="single" w:sz="8" w:space="0" w:color="auto"/>
              <w:bottom w:val="single" w:sz="8" w:space="0" w:color="auto"/>
              <w:right w:val="single" w:sz="8" w:space="0" w:color="auto"/>
            </w:tcBorders>
            <w:shd w:val="clear" w:color="auto" w:fill="auto"/>
            <w:noWrap/>
            <w:vAlign w:val="center"/>
            <w:hideMark/>
          </w:tcPr>
          <w:p w:rsidR="009070BF" w:rsidRPr="00CB5DDE" w:rsidRDefault="009070BF" w:rsidP="00CB5DDE">
            <w:pPr>
              <w:rPr>
                <w:rFonts w:ascii="Arial Narrow" w:hAnsi="Arial Narrow" w:cs="Arial"/>
                <w:color w:val="000000"/>
                <w:sz w:val="20"/>
                <w:szCs w:val="20"/>
              </w:rPr>
            </w:pPr>
            <w:r w:rsidRPr="00CB5DDE">
              <w:rPr>
                <w:rFonts w:ascii="Arial Narrow" w:hAnsi="Arial Narrow" w:cs="Arial"/>
                <w:color w:val="000000"/>
                <w:sz w:val="20"/>
                <w:szCs w:val="20"/>
              </w:rPr>
              <w:t>Vorinostat patients</w:t>
            </w:r>
            <w:r w:rsidRPr="00CB5DDE">
              <w:rPr>
                <w:rFonts w:ascii="Arial Narrow" w:hAnsi="Arial Narrow" w:cs="Arial"/>
                <w:color w:val="000000"/>
                <w:sz w:val="20"/>
                <w:szCs w:val="20"/>
                <w:vertAlign w:val="superscript"/>
              </w:rPr>
              <w:t>d</w:t>
            </w:r>
          </w:p>
        </w:tc>
        <w:tc>
          <w:tcPr>
            <w:tcW w:w="1051" w:type="dxa"/>
            <w:tcBorders>
              <w:top w:val="nil"/>
              <w:left w:val="nil"/>
              <w:bottom w:val="single" w:sz="8" w:space="0" w:color="auto"/>
              <w:right w:val="single" w:sz="8" w:space="0" w:color="auto"/>
            </w:tcBorders>
            <w:shd w:val="clear" w:color="auto" w:fill="auto"/>
            <w:noWrap/>
            <w:vAlign w:val="center"/>
            <w:hideMark/>
          </w:tcPr>
          <w:p w:rsidR="009070BF" w:rsidRPr="00655C1D" w:rsidRDefault="00655C1D" w:rsidP="00CB5DDE">
            <w:pPr>
              <w:jc w:val="center"/>
              <w:rPr>
                <w:rFonts w:ascii="Arial Narrow" w:hAnsi="Arial Narrow" w:cs="Arial"/>
                <w:color w:val="000000"/>
                <w:sz w:val="20"/>
                <w:szCs w:val="20"/>
                <w:highlight w:val="black"/>
              </w:rPr>
            </w:pPr>
            <w:r>
              <w:rPr>
                <w:rFonts w:ascii="Arial Narrow" w:hAnsi="Arial Narrow" w:cs="Arial"/>
                <w:noProof/>
                <w:color w:val="000000"/>
                <w:sz w:val="20"/>
                <w:szCs w:val="20"/>
                <w:highlight w:val="black"/>
              </w:rPr>
              <w:t>'''''</w:t>
            </w:r>
          </w:p>
        </w:tc>
        <w:tc>
          <w:tcPr>
            <w:tcW w:w="1075" w:type="dxa"/>
            <w:tcBorders>
              <w:top w:val="nil"/>
              <w:left w:val="nil"/>
              <w:bottom w:val="single" w:sz="8" w:space="0" w:color="auto"/>
              <w:right w:val="single" w:sz="8" w:space="0" w:color="auto"/>
            </w:tcBorders>
            <w:shd w:val="clear" w:color="auto" w:fill="auto"/>
            <w:noWrap/>
            <w:vAlign w:val="center"/>
            <w:hideMark/>
          </w:tcPr>
          <w:p w:rsidR="009070BF" w:rsidRPr="00655C1D" w:rsidRDefault="00655C1D" w:rsidP="00CB5DDE">
            <w:pPr>
              <w:jc w:val="center"/>
              <w:rPr>
                <w:rFonts w:ascii="Arial Narrow" w:hAnsi="Arial Narrow" w:cs="Arial"/>
                <w:color w:val="000000"/>
                <w:sz w:val="20"/>
                <w:szCs w:val="20"/>
                <w:highlight w:val="black"/>
              </w:rPr>
            </w:pPr>
            <w:r>
              <w:rPr>
                <w:rFonts w:ascii="Arial Narrow" w:hAnsi="Arial Narrow" w:cs="Arial"/>
                <w:noProof/>
                <w:color w:val="000000"/>
                <w:sz w:val="20"/>
                <w:szCs w:val="20"/>
                <w:highlight w:val="black"/>
              </w:rPr>
              <w:t>''''''</w:t>
            </w:r>
          </w:p>
        </w:tc>
        <w:tc>
          <w:tcPr>
            <w:tcW w:w="1051" w:type="dxa"/>
            <w:tcBorders>
              <w:top w:val="nil"/>
              <w:left w:val="nil"/>
              <w:bottom w:val="single" w:sz="8" w:space="0" w:color="auto"/>
              <w:right w:val="single" w:sz="8" w:space="0" w:color="auto"/>
            </w:tcBorders>
            <w:shd w:val="clear" w:color="auto" w:fill="auto"/>
            <w:noWrap/>
            <w:vAlign w:val="center"/>
            <w:hideMark/>
          </w:tcPr>
          <w:p w:rsidR="009070BF" w:rsidRPr="00655C1D" w:rsidRDefault="00655C1D" w:rsidP="00CB5DDE">
            <w:pPr>
              <w:jc w:val="center"/>
              <w:rPr>
                <w:rFonts w:ascii="Arial Narrow" w:hAnsi="Arial Narrow" w:cs="Arial"/>
                <w:color w:val="000000"/>
                <w:sz w:val="20"/>
                <w:szCs w:val="20"/>
                <w:highlight w:val="black"/>
              </w:rPr>
            </w:pPr>
            <w:r>
              <w:rPr>
                <w:rFonts w:ascii="Arial Narrow" w:hAnsi="Arial Narrow" w:cs="Arial"/>
                <w:noProof/>
                <w:color w:val="000000"/>
                <w:sz w:val="20"/>
                <w:szCs w:val="20"/>
                <w:highlight w:val="black"/>
              </w:rPr>
              <w:t>'''''</w:t>
            </w:r>
          </w:p>
        </w:tc>
        <w:tc>
          <w:tcPr>
            <w:tcW w:w="1075" w:type="dxa"/>
            <w:tcBorders>
              <w:top w:val="nil"/>
              <w:left w:val="nil"/>
              <w:bottom w:val="single" w:sz="8" w:space="0" w:color="auto"/>
              <w:right w:val="single" w:sz="8" w:space="0" w:color="auto"/>
            </w:tcBorders>
            <w:shd w:val="clear" w:color="auto" w:fill="auto"/>
            <w:noWrap/>
            <w:vAlign w:val="center"/>
            <w:hideMark/>
          </w:tcPr>
          <w:p w:rsidR="009070BF" w:rsidRPr="00655C1D" w:rsidRDefault="00655C1D" w:rsidP="00CB5DDE">
            <w:pPr>
              <w:jc w:val="center"/>
              <w:rPr>
                <w:rFonts w:ascii="Arial Narrow" w:hAnsi="Arial Narrow" w:cs="Arial"/>
                <w:color w:val="000000"/>
                <w:sz w:val="20"/>
                <w:szCs w:val="20"/>
                <w:highlight w:val="black"/>
              </w:rPr>
            </w:pPr>
            <w:r>
              <w:rPr>
                <w:rFonts w:ascii="Arial Narrow" w:hAnsi="Arial Narrow" w:cs="Arial"/>
                <w:noProof/>
                <w:color w:val="000000"/>
                <w:sz w:val="20"/>
                <w:szCs w:val="20"/>
                <w:highlight w:val="black"/>
              </w:rPr>
              <w:t>''''''</w:t>
            </w:r>
          </w:p>
        </w:tc>
        <w:tc>
          <w:tcPr>
            <w:tcW w:w="1051" w:type="dxa"/>
            <w:tcBorders>
              <w:top w:val="nil"/>
              <w:left w:val="nil"/>
              <w:bottom w:val="single" w:sz="8" w:space="0" w:color="auto"/>
              <w:right w:val="single" w:sz="8" w:space="0" w:color="auto"/>
            </w:tcBorders>
            <w:shd w:val="clear" w:color="auto" w:fill="auto"/>
            <w:noWrap/>
            <w:vAlign w:val="center"/>
            <w:hideMark/>
          </w:tcPr>
          <w:p w:rsidR="009070BF" w:rsidRPr="00655C1D" w:rsidRDefault="00655C1D" w:rsidP="00CB5DDE">
            <w:pPr>
              <w:jc w:val="center"/>
              <w:rPr>
                <w:rFonts w:ascii="Arial Narrow" w:hAnsi="Arial Narrow" w:cs="Arial"/>
                <w:color w:val="000000"/>
                <w:sz w:val="20"/>
                <w:szCs w:val="20"/>
                <w:highlight w:val="black"/>
              </w:rPr>
            </w:pPr>
            <w:r>
              <w:rPr>
                <w:rFonts w:ascii="Arial Narrow" w:hAnsi="Arial Narrow" w:cs="Arial"/>
                <w:noProof/>
                <w:color w:val="000000"/>
                <w:sz w:val="20"/>
                <w:szCs w:val="20"/>
                <w:highlight w:val="black"/>
              </w:rPr>
              <w:t>''''''</w:t>
            </w:r>
          </w:p>
        </w:tc>
      </w:tr>
      <w:tr w:rsidR="009070BF" w:rsidRPr="00CB5DDE" w:rsidTr="00EC39E6">
        <w:trPr>
          <w:trHeight w:val="315"/>
        </w:trPr>
        <w:tc>
          <w:tcPr>
            <w:tcW w:w="2709"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rsidR="009070BF" w:rsidRPr="00CB5DDE" w:rsidRDefault="009070BF" w:rsidP="00CB5DDE">
            <w:pPr>
              <w:rPr>
                <w:rFonts w:ascii="Arial Narrow" w:hAnsi="Arial Narrow" w:cs="Arial"/>
                <w:b/>
                <w:bCs/>
                <w:i/>
                <w:iCs/>
                <w:color w:val="000000"/>
                <w:sz w:val="20"/>
                <w:szCs w:val="20"/>
              </w:rPr>
            </w:pPr>
            <w:r w:rsidRPr="00CB5DDE">
              <w:rPr>
                <w:rFonts w:ascii="Arial Narrow" w:hAnsi="Arial Narrow" w:cs="Arial"/>
                <w:b/>
                <w:bCs/>
                <w:i/>
                <w:iCs/>
                <w:color w:val="000000"/>
                <w:sz w:val="20"/>
                <w:szCs w:val="20"/>
              </w:rPr>
              <w:t>Financial Impact to PBS (net of co</w:t>
            </w:r>
            <w:r w:rsidR="00942992" w:rsidRPr="00CB5DDE">
              <w:rPr>
                <w:rFonts w:ascii="Arial Narrow" w:hAnsi="Arial Narrow" w:cs="Arial"/>
                <w:b/>
                <w:bCs/>
                <w:i/>
                <w:iCs/>
                <w:color w:val="000000"/>
                <w:sz w:val="20"/>
                <w:szCs w:val="20"/>
              </w:rPr>
              <w:t>-</w:t>
            </w:r>
            <w:r w:rsidRPr="00CB5DDE">
              <w:rPr>
                <w:rFonts w:ascii="Arial Narrow" w:hAnsi="Arial Narrow" w:cs="Arial"/>
                <w:b/>
                <w:bCs/>
                <w:i/>
                <w:iCs/>
                <w:color w:val="000000"/>
                <w:sz w:val="20"/>
                <w:szCs w:val="20"/>
              </w:rPr>
              <w:t>pay</w:t>
            </w:r>
            <w:r w:rsidR="00942992" w:rsidRPr="00CB5DDE">
              <w:rPr>
                <w:rFonts w:ascii="Arial Narrow" w:hAnsi="Arial Narrow" w:cs="Arial"/>
                <w:b/>
                <w:bCs/>
                <w:i/>
                <w:iCs/>
                <w:color w:val="000000"/>
                <w:sz w:val="20"/>
                <w:szCs w:val="20"/>
              </w:rPr>
              <w:t>ment</w:t>
            </w:r>
            <w:r w:rsidRPr="00CB5DDE">
              <w:rPr>
                <w:rFonts w:ascii="Arial Narrow" w:hAnsi="Arial Narrow" w:cs="Arial"/>
                <w:b/>
                <w:bCs/>
                <w:i/>
                <w:iCs/>
                <w:color w:val="000000"/>
                <w:sz w:val="20"/>
                <w:szCs w:val="20"/>
              </w:rPr>
              <w:t>s)</w:t>
            </w:r>
            <w:r w:rsidRPr="00CB5DDE">
              <w:rPr>
                <w:rFonts w:ascii="Arial Narrow" w:hAnsi="Arial Narrow" w:cs="Arial"/>
                <w:b/>
                <w:bCs/>
                <w:i/>
                <w:iCs/>
                <w:color w:val="000000"/>
                <w:sz w:val="20"/>
                <w:szCs w:val="20"/>
                <w:vertAlign w:val="superscript"/>
              </w:rPr>
              <w:t>e</w:t>
            </w:r>
          </w:p>
        </w:tc>
        <w:tc>
          <w:tcPr>
            <w:tcW w:w="1051" w:type="dxa"/>
            <w:tcBorders>
              <w:top w:val="nil"/>
              <w:left w:val="nil"/>
              <w:bottom w:val="single" w:sz="8" w:space="0" w:color="auto"/>
              <w:right w:val="single" w:sz="8" w:space="0" w:color="auto"/>
            </w:tcBorders>
            <w:shd w:val="clear" w:color="auto" w:fill="auto"/>
            <w:noWrap/>
            <w:vAlign w:val="center"/>
            <w:hideMark/>
          </w:tcPr>
          <w:p w:rsidR="009070BF" w:rsidRPr="00CB5DDE" w:rsidRDefault="009070BF" w:rsidP="00CB5DDE">
            <w:pPr>
              <w:jc w:val="center"/>
              <w:rPr>
                <w:rFonts w:ascii="Arial Narrow" w:hAnsi="Arial Narrow" w:cs="Arial"/>
                <w:b/>
                <w:bCs/>
                <w:i/>
                <w:iCs/>
                <w:color w:val="000000"/>
                <w:sz w:val="20"/>
                <w:szCs w:val="20"/>
              </w:rPr>
            </w:pPr>
            <w:r w:rsidRPr="00CB5DDE">
              <w:rPr>
                <w:rFonts w:ascii="Arial Narrow" w:hAnsi="Arial Narrow" w:cs="Arial"/>
                <w:b/>
                <w:bCs/>
                <w:i/>
                <w:iCs/>
                <w:color w:val="000000"/>
                <w:sz w:val="20"/>
                <w:szCs w:val="20"/>
              </w:rPr>
              <w:t>$</w:t>
            </w:r>
            <w:r w:rsidR="00655C1D">
              <w:rPr>
                <w:rFonts w:ascii="Arial Narrow" w:hAnsi="Arial Narrow" w:cs="Arial"/>
                <w:b/>
                <w:bCs/>
                <w:i/>
                <w:iCs/>
                <w:noProof/>
                <w:color w:val="000000"/>
                <w:sz w:val="20"/>
                <w:szCs w:val="20"/>
                <w:highlight w:val="black"/>
              </w:rPr>
              <w:t>''''''''''''''''</w:t>
            </w:r>
          </w:p>
        </w:tc>
        <w:tc>
          <w:tcPr>
            <w:tcW w:w="1075" w:type="dxa"/>
            <w:tcBorders>
              <w:top w:val="nil"/>
              <w:left w:val="nil"/>
              <w:bottom w:val="single" w:sz="8" w:space="0" w:color="auto"/>
              <w:right w:val="single" w:sz="8" w:space="0" w:color="auto"/>
            </w:tcBorders>
            <w:shd w:val="clear" w:color="auto" w:fill="auto"/>
            <w:noWrap/>
            <w:vAlign w:val="center"/>
            <w:hideMark/>
          </w:tcPr>
          <w:p w:rsidR="009070BF" w:rsidRPr="00CB5DDE" w:rsidRDefault="009070BF" w:rsidP="00CB5DDE">
            <w:pPr>
              <w:jc w:val="center"/>
              <w:rPr>
                <w:rFonts w:ascii="Arial Narrow" w:hAnsi="Arial Narrow" w:cs="Arial"/>
                <w:b/>
                <w:bCs/>
                <w:i/>
                <w:iCs/>
                <w:color w:val="000000"/>
                <w:sz w:val="20"/>
                <w:szCs w:val="20"/>
              </w:rPr>
            </w:pPr>
            <w:r w:rsidRPr="00CB5DDE">
              <w:rPr>
                <w:rFonts w:ascii="Arial Narrow" w:hAnsi="Arial Narrow" w:cs="Arial"/>
                <w:b/>
                <w:bCs/>
                <w:i/>
                <w:iCs/>
                <w:color w:val="000000"/>
                <w:sz w:val="20"/>
                <w:szCs w:val="20"/>
              </w:rPr>
              <w:t>$</w:t>
            </w:r>
            <w:r w:rsidR="00655C1D">
              <w:rPr>
                <w:rFonts w:ascii="Arial Narrow" w:hAnsi="Arial Narrow" w:cs="Arial"/>
                <w:b/>
                <w:bCs/>
                <w:i/>
                <w:iCs/>
                <w:noProof/>
                <w:color w:val="000000"/>
                <w:sz w:val="20"/>
                <w:szCs w:val="20"/>
                <w:highlight w:val="black"/>
              </w:rPr>
              <w:t>'''''''''''''''</w:t>
            </w:r>
          </w:p>
        </w:tc>
        <w:tc>
          <w:tcPr>
            <w:tcW w:w="1051" w:type="dxa"/>
            <w:tcBorders>
              <w:top w:val="nil"/>
              <w:left w:val="nil"/>
              <w:bottom w:val="single" w:sz="8" w:space="0" w:color="auto"/>
              <w:right w:val="single" w:sz="8" w:space="0" w:color="auto"/>
            </w:tcBorders>
            <w:shd w:val="clear" w:color="auto" w:fill="auto"/>
            <w:noWrap/>
            <w:vAlign w:val="center"/>
            <w:hideMark/>
          </w:tcPr>
          <w:p w:rsidR="009070BF" w:rsidRPr="00CB5DDE" w:rsidRDefault="009070BF" w:rsidP="00CB5DDE">
            <w:pPr>
              <w:jc w:val="center"/>
              <w:rPr>
                <w:rFonts w:ascii="Arial Narrow" w:hAnsi="Arial Narrow" w:cs="Arial"/>
                <w:b/>
                <w:bCs/>
                <w:i/>
                <w:iCs/>
                <w:color w:val="000000"/>
                <w:sz w:val="20"/>
                <w:szCs w:val="20"/>
              </w:rPr>
            </w:pPr>
            <w:r w:rsidRPr="00CB5DDE">
              <w:rPr>
                <w:rFonts w:ascii="Arial Narrow" w:hAnsi="Arial Narrow" w:cs="Arial"/>
                <w:b/>
                <w:bCs/>
                <w:i/>
                <w:iCs/>
                <w:color w:val="000000"/>
                <w:sz w:val="20"/>
                <w:szCs w:val="20"/>
              </w:rPr>
              <w:t>$</w:t>
            </w:r>
            <w:r w:rsidR="00655C1D">
              <w:rPr>
                <w:rFonts w:ascii="Arial Narrow" w:hAnsi="Arial Narrow" w:cs="Arial"/>
                <w:b/>
                <w:bCs/>
                <w:i/>
                <w:iCs/>
                <w:noProof/>
                <w:color w:val="000000"/>
                <w:sz w:val="20"/>
                <w:szCs w:val="20"/>
                <w:highlight w:val="black"/>
              </w:rPr>
              <w:t>''''''''''''''''''</w:t>
            </w:r>
          </w:p>
        </w:tc>
        <w:tc>
          <w:tcPr>
            <w:tcW w:w="1075" w:type="dxa"/>
            <w:tcBorders>
              <w:top w:val="nil"/>
              <w:left w:val="nil"/>
              <w:bottom w:val="single" w:sz="8" w:space="0" w:color="auto"/>
              <w:right w:val="single" w:sz="8" w:space="0" w:color="auto"/>
            </w:tcBorders>
            <w:shd w:val="clear" w:color="auto" w:fill="auto"/>
            <w:noWrap/>
            <w:vAlign w:val="center"/>
            <w:hideMark/>
          </w:tcPr>
          <w:p w:rsidR="009070BF" w:rsidRPr="00CB5DDE" w:rsidRDefault="009070BF" w:rsidP="00CB5DDE">
            <w:pPr>
              <w:jc w:val="center"/>
              <w:rPr>
                <w:rFonts w:ascii="Arial Narrow" w:hAnsi="Arial Narrow" w:cs="Arial"/>
                <w:b/>
                <w:bCs/>
                <w:i/>
                <w:iCs/>
                <w:color w:val="000000"/>
                <w:sz w:val="20"/>
                <w:szCs w:val="20"/>
              </w:rPr>
            </w:pPr>
            <w:r w:rsidRPr="00CB5DDE">
              <w:rPr>
                <w:rFonts w:ascii="Arial Narrow" w:hAnsi="Arial Narrow" w:cs="Arial"/>
                <w:b/>
                <w:bCs/>
                <w:i/>
                <w:iCs/>
                <w:color w:val="000000"/>
                <w:sz w:val="20"/>
                <w:szCs w:val="20"/>
              </w:rPr>
              <w:t>$</w:t>
            </w:r>
            <w:r w:rsidR="00655C1D">
              <w:rPr>
                <w:rFonts w:ascii="Arial Narrow" w:hAnsi="Arial Narrow" w:cs="Arial"/>
                <w:b/>
                <w:bCs/>
                <w:i/>
                <w:iCs/>
                <w:noProof/>
                <w:color w:val="000000"/>
                <w:sz w:val="20"/>
                <w:szCs w:val="20"/>
                <w:highlight w:val="black"/>
              </w:rPr>
              <w:t>''''''''''''''''</w:t>
            </w:r>
          </w:p>
        </w:tc>
        <w:tc>
          <w:tcPr>
            <w:tcW w:w="1051" w:type="dxa"/>
            <w:tcBorders>
              <w:top w:val="nil"/>
              <w:left w:val="nil"/>
              <w:bottom w:val="single" w:sz="8" w:space="0" w:color="auto"/>
              <w:right w:val="single" w:sz="8" w:space="0" w:color="auto"/>
            </w:tcBorders>
            <w:shd w:val="clear" w:color="auto" w:fill="auto"/>
            <w:noWrap/>
            <w:vAlign w:val="center"/>
            <w:hideMark/>
          </w:tcPr>
          <w:p w:rsidR="009070BF" w:rsidRPr="00CB5DDE" w:rsidRDefault="009070BF" w:rsidP="00CB5DDE">
            <w:pPr>
              <w:jc w:val="center"/>
              <w:rPr>
                <w:rFonts w:ascii="Arial Narrow" w:hAnsi="Arial Narrow" w:cs="Arial"/>
                <w:b/>
                <w:bCs/>
                <w:i/>
                <w:iCs/>
                <w:color w:val="000000"/>
                <w:sz w:val="20"/>
                <w:szCs w:val="20"/>
              </w:rPr>
            </w:pPr>
            <w:r w:rsidRPr="00CB5DDE">
              <w:rPr>
                <w:rFonts w:ascii="Arial Narrow" w:hAnsi="Arial Narrow" w:cs="Arial"/>
                <w:b/>
                <w:bCs/>
                <w:i/>
                <w:iCs/>
                <w:color w:val="000000"/>
                <w:sz w:val="20"/>
                <w:szCs w:val="20"/>
              </w:rPr>
              <w:t>$</w:t>
            </w:r>
            <w:r w:rsidR="00655C1D">
              <w:rPr>
                <w:rFonts w:ascii="Arial Narrow" w:hAnsi="Arial Narrow" w:cs="Arial"/>
                <w:b/>
                <w:bCs/>
                <w:i/>
                <w:iCs/>
                <w:noProof/>
                <w:color w:val="000000"/>
                <w:sz w:val="20"/>
                <w:szCs w:val="20"/>
                <w:highlight w:val="black"/>
              </w:rPr>
              <w:t>'''''''''''''''''</w:t>
            </w:r>
          </w:p>
        </w:tc>
      </w:tr>
    </w:tbl>
    <w:p w:rsidR="009070BF" w:rsidRPr="00110AAD" w:rsidRDefault="009070BF" w:rsidP="00EC39E6">
      <w:pPr>
        <w:ind w:left="720"/>
        <w:rPr>
          <w:rFonts w:ascii="Arial" w:hAnsi="Arial" w:cs="Arial"/>
          <w:i/>
          <w:iCs/>
          <w:color w:val="000000"/>
          <w:sz w:val="16"/>
          <w:szCs w:val="16"/>
        </w:rPr>
      </w:pPr>
      <w:r w:rsidRPr="00110AAD">
        <w:rPr>
          <w:rFonts w:ascii="Arial" w:hAnsi="Arial" w:cs="Arial"/>
          <w:i/>
          <w:iCs/>
          <w:color w:val="000000"/>
          <w:sz w:val="16"/>
          <w:szCs w:val="16"/>
        </w:rPr>
        <w:t>Source: adapted from submission</w:t>
      </w:r>
    </w:p>
    <w:p w:rsidR="00964897" w:rsidRPr="00110AAD" w:rsidRDefault="00964897" w:rsidP="00EC39E6">
      <w:pPr>
        <w:ind w:left="720"/>
        <w:rPr>
          <w:rFonts w:ascii="Arial" w:hAnsi="Arial" w:cs="Arial"/>
          <w:i/>
          <w:iCs/>
          <w:color w:val="000000"/>
          <w:sz w:val="16"/>
          <w:szCs w:val="16"/>
        </w:rPr>
      </w:pPr>
      <w:r w:rsidRPr="00110AAD">
        <w:rPr>
          <w:rFonts w:ascii="Arial" w:hAnsi="Arial" w:cs="Arial"/>
          <w:i/>
          <w:iCs/>
          <w:color w:val="000000"/>
          <w:sz w:val="16"/>
          <w:szCs w:val="16"/>
        </w:rPr>
        <w:t>Assumptions:</w:t>
      </w:r>
    </w:p>
    <w:p w:rsidR="00964897" w:rsidRPr="00110AAD" w:rsidRDefault="00964897" w:rsidP="00EC39E6">
      <w:pPr>
        <w:ind w:left="720"/>
        <w:rPr>
          <w:rFonts w:ascii="Arial" w:hAnsi="Arial" w:cs="Arial"/>
          <w:color w:val="000000"/>
          <w:sz w:val="16"/>
          <w:szCs w:val="16"/>
        </w:rPr>
      </w:pPr>
      <w:r w:rsidRPr="00110AAD">
        <w:rPr>
          <w:rFonts w:ascii="Arial" w:hAnsi="Arial" w:cs="Arial"/>
          <w:color w:val="000000"/>
          <w:sz w:val="16"/>
          <w:szCs w:val="16"/>
          <w:vertAlign w:val="superscript"/>
        </w:rPr>
        <w:t>a</w:t>
      </w:r>
      <w:r w:rsidRPr="00110AAD">
        <w:rPr>
          <w:rFonts w:ascii="Arial" w:hAnsi="Arial" w:cs="Arial"/>
          <w:color w:val="000000"/>
          <w:sz w:val="16"/>
          <w:szCs w:val="16"/>
        </w:rPr>
        <w:t xml:space="preserve"> </w:t>
      </w:r>
      <w:r w:rsidR="009070BF" w:rsidRPr="00110AAD">
        <w:rPr>
          <w:rFonts w:ascii="Arial" w:hAnsi="Arial" w:cs="Arial"/>
          <w:color w:val="000000"/>
          <w:sz w:val="16"/>
          <w:szCs w:val="16"/>
        </w:rPr>
        <w:t>CTCL r</w:t>
      </w:r>
      <w:r w:rsidRPr="00110AAD">
        <w:rPr>
          <w:rFonts w:ascii="Arial" w:hAnsi="Arial" w:cs="Arial"/>
          <w:color w:val="000000"/>
          <w:sz w:val="16"/>
          <w:szCs w:val="16"/>
        </w:rPr>
        <w:t xml:space="preserve">ate of </w:t>
      </w:r>
      <w:r w:rsidR="00655C1D">
        <w:rPr>
          <w:rFonts w:ascii="Arial" w:hAnsi="Arial" w:cs="Arial"/>
          <w:noProof/>
          <w:color w:val="000000"/>
          <w:sz w:val="16"/>
          <w:szCs w:val="16"/>
          <w:highlight w:val="black"/>
        </w:rPr>
        <w:t>''''''' ''''''' '''''''''''''''''''''</w:t>
      </w:r>
      <w:r w:rsidRPr="00110AAD">
        <w:rPr>
          <w:rFonts w:ascii="Arial" w:hAnsi="Arial" w:cs="Arial"/>
          <w:color w:val="000000"/>
          <w:sz w:val="16"/>
          <w:szCs w:val="16"/>
        </w:rPr>
        <w:t xml:space="preserve"> population, </w:t>
      </w:r>
      <w:r w:rsidR="00655C1D">
        <w:rPr>
          <w:rFonts w:ascii="Arial" w:hAnsi="Arial" w:cs="Arial"/>
          <w:noProof/>
          <w:color w:val="000000"/>
          <w:sz w:val="16"/>
          <w:szCs w:val="16"/>
          <w:highlight w:val="black"/>
        </w:rPr>
        <w:t>'''''''''''</w:t>
      </w:r>
      <w:r w:rsidRPr="00110AAD">
        <w:rPr>
          <w:rFonts w:ascii="Arial" w:hAnsi="Arial" w:cs="Arial"/>
          <w:color w:val="000000"/>
          <w:sz w:val="16"/>
          <w:szCs w:val="16"/>
        </w:rPr>
        <w:t>% successfully treated with curative intent. Eligible patients (</w:t>
      </w:r>
      <w:r w:rsidR="00655C1D">
        <w:rPr>
          <w:rFonts w:ascii="Arial" w:hAnsi="Arial" w:cs="Arial"/>
          <w:noProof/>
          <w:color w:val="000000"/>
          <w:sz w:val="16"/>
          <w:szCs w:val="16"/>
          <w:highlight w:val="black"/>
        </w:rPr>
        <w:t>''''''''''</w:t>
      </w:r>
      <w:r w:rsidRPr="00110AAD">
        <w:rPr>
          <w:rFonts w:ascii="Arial" w:hAnsi="Arial" w:cs="Arial"/>
          <w:color w:val="000000"/>
          <w:sz w:val="16"/>
          <w:szCs w:val="16"/>
        </w:rPr>
        <w:t xml:space="preserve">%) × New CTCL Patients. Assumption that all eligible patients will be treated with vorinostat at some stage during the course of their disease. </w:t>
      </w:r>
    </w:p>
    <w:p w:rsidR="00964897" w:rsidRPr="00110AAD" w:rsidRDefault="00964897" w:rsidP="00EC39E6">
      <w:pPr>
        <w:ind w:left="720"/>
        <w:rPr>
          <w:rFonts w:ascii="Arial" w:hAnsi="Arial" w:cs="Arial"/>
          <w:color w:val="000000"/>
          <w:sz w:val="16"/>
          <w:szCs w:val="16"/>
        </w:rPr>
      </w:pPr>
      <w:r w:rsidRPr="00110AAD">
        <w:rPr>
          <w:rFonts w:ascii="Arial" w:hAnsi="Arial" w:cs="Arial"/>
          <w:color w:val="000000"/>
          <w:sz w:val="16"/>
          <w:szCs w:val="16"/>
          <w:vertAlign w:val="superscript"/>
        </w:rPr>
        <w:t>b</w:t>
      </w:r>
      <w:r w:rsidRPr="00110AAD">
        <w:rPr>
          <w:rFonts w:ascii="Arial" w:hAnsi="Arial" w:cs="Arial"/>
          <w:color w:val="000000"/>
          <w:sz w:val="16"/>
          <w:szCs w:val="16"/>
        </w:rPr>
        <w:t xml:space="preserve"> MSD EAP database accessed 12 January 2017. Patients included in EAP eligible for ZOLINZA as per proposed PBS restriction who commenced ZOLINZA therapy within the last 12 months.</w:t>
      </w:r>
    </w:p>
    <w:p w:rsidR="00964897" w:rsidRPr="00110AAD" w:rsidRDefault="00964897" w:rsidP="00EC39E6">
      <w:pPr>
        <w:ind w:left="720"/>
        <w:rPr>
          <w:rFonts w:ascii="Arial" w:hAnsi="Arial" w:cs="Arial"/>
          <w:color w:val="000000"/>
          <w:sz w:val="16"/>
          <w:szCs w:val="16"/>
        </w:rPr>
      </w:pPr>
      <w:r w:rsidRPr="00110AAD">
        <w:rPr>
          <w:rFonts w:ascii="Arial" w:hAnsi="Arial" w:cs="Arial"/>
          <w:color w:val="000000"/>
          <w:sz w:val="16"/>
          <w:szCs w:val="16"/>
          <w:vertAlign w:val="superscript"/>
        </w:rPr>
        <w:t>c</w:t>
      </w:r>
      <w:r w:rsidRPr="00110AAD">
        <w:rPr>
          <w:rFonts w:ascii="Arial" w:hAnsi="Arial" w:cs="Arial"/>
          <w:color w:val="000000"/>
          <w:sz w:val="16"/>
          <w:szCs w:val="16"/>
        </w:rPr>
        <w:t xml:space="preserve"> MSD assumption</w:t>
      </w:r>
    </w:p>
    <w:p w:rsidR="00964897" w:rsidRPr="00110AAD" w:rsidRDefault="009070BF" w:rsidP="00EC39E6">
      <w:pPr>
        <w:ind w:left="720"/>
        <w:rPr>
          <w:rFonts w:ascii="Arial" w:hAnsi="Arial" w:cs="Arial"/>
          <w:color w:val="000000"/>
          <w:sz w:val="16"/>
          <w:szCs w:val="16"/>
        </w:rPr>
      </w:pPr>
      <w:r w:rsidRPr="00110AAD">
        <w:rPr>
          <w:rFonts w:ascii="Arial" w:hAnsi="Arial" w:cs="Arial"/>
          <w:color w:val="000000"/>
          <w:sz w:val="16"/>
          <w:szCs w:val="16"/>
          <w:vertAlign w:val="superscript"/>
        </w:rPr>
        <w:t>d</w:t>
      </w:r>
      <w:r w:rsidR="00964897" w:rsidRPr="00110AAD">
        <w:rPr>
          <w:rFonts w:ascii="Arial" w:hAnsi="Arial" w:cs="Arial"/>
          <w:color w:val="000000"/>
          <w:sz w:val="16"/>
          <w:szCs w:val="16"/>
          <w:vertAlign w:val="superscript"/>
        </w:rPr>
        <w:t xml:space="preserve"> </w:t>
      </w:r>
      <w:r w:rsidR="00964897" w:rsidRPr="00110AAD">
        <w:rPr>
          <w:rFonts w:ascii="Arial" w:hAnsi="Arial" w:cs="Arial"/>
          <w:color w:val="000000"/>
          <w:sz w:val="16"/>
          <w:szCs w:val="16"/>
        </w:rPr>
        <w:t>Assumption on patient utilisation of vorinostat at any point of CTCL treatment</w:t>
      </w:r>
    </w:p>
    <w:p w:rsidR="00964897" w:rsidRPr="00110AAD" w:rsidRDefault="009070BF" w:rsidP="00EC39E6">
      <w:pPr>
        <w:ind w:left="720"/>
        <w:rPr>
          <w:rFonts w:ascii="Arial" w:hAnsi="Arial" w:cs="Arial"/>
          <w:color w:val="000000"/>
          <w:sz w:val="16"/>
          <w:szCs w:val="16"/>
        </w:rPr>
      </w:pPr>
      <w:r w:rsidRPr="00110AAD">
        <w:rPr>
          <w:rFonts w:ascii="Arial" w:hAnsi="Arial" w:cs="Arial"/>
          <w:color w:val="000000"/>
          <w:sz w:val="16"/>
          <w:szCs w:val="16"/>
          <w:vertAlign w:val="superscript"/>
        </w:rPr>
        <w:t>e</w:t>
      </w:r>
      <w:r w:rsidR="00964897" w:rsidRPr="00110AAD">
        <w:rPr>
          <w:rFonts w:ascii="Arial" w:hAnsi="Arial" w:cs="Arial"/>
          <w:color w:val="000000"/>
          <w:sz w:val="16"/>
          <w:szCs w:val="16"/>
        </w:rPr>
        <w:t xml:space="preserve"> Vorinostat PBS pack price here is equal to DPMQ - Average Co-payment ($</w:t>
      </w:r>
      <w:r w:rsidR="00964897" w:rsidRPr="001C4D71">
        <w:rPr>
          <w:rFonts w:ascii="Arial" w:hAnsi="Arial" w:cs="Arial"/>
          <w:color w:val="000000"/>
          <w:sz w:val="16"/>
          <w:szCs w:val="16"/>
        </w:rPr>
        <w:t>21.10</w:t>
      </w:r>
      <w:r w:rsidR="00964897" w:rsidRPr="00110AAD">
        <w:rPr>
          <w:rFonts w:ascii="Arial" w:hAnsi="Arial" w:cs="Arial"/>
          <w:color w:val="000000"/>
          <w:sz w:val="16"/>
          <w:szCs w:val="16"/>
        </w:rPr>
        <w:t xml:space="preserve"> determined by data analysis for Brentuximab between 2015 and 2016.  PBS online, 2016. (www.pbsonline.gov.au) presented in Section E, ZOLINZA PBAC Submission 7.11) </w:t>
      </w:r>
    </w:p>
    <w:p w:rsidR="009070BF" w:rsidRDefault="009070BF">
      <w:pPr>
        <w:rPr>
          <w:rFonts w:ascii="Arial" w:hAnsi="Arial"/>
          <w:sz w:val="22"/>
          <w:szCs w:val="22"/>
        </w:rPr>
      </w:pPr>
    </w:p>
    <w:p w:rsidR="008248B0" w:rsidRDefault="008248B0">
      <w:pPr>
        <w:rPr>
          <w:rFonts w:ascii="Arial" w:hAnsi="Arial"/>
          <w:sz w:val="22"/>
          <w:szCs w:val="22"/>
        </w:rPr>
      </w:pPr>
      <w:r>
        <w:rPr>
          <w:rFonts w:ascii="Arial" w:hAnsi="Arial"/>
          <w:sz w:val="22"/>
          <w:szCs w:val="22"/>
        </w:rPr>
        <w:t>The redacted table shows that at year 5, the estimated number of patients was less than 10,000 and the net cost to the PBS would be less than $10 million.</w:t>
      </w:r>
    </w:p>
    <w:p w:rsidR="00E678F1" w:rsidRPr="00110AAD" w:rsidRDefault="00E678F1">
      <w:pPr>
        <w:rPr>
          <w:rFonts w:ascii="Arial" w:hAnsi="Arial"/>
          <w:sz w:val="22"/>
          <w:szCs w:val="22"/>
        </w:rPr>
      </w:pPr>
    </w:p>
    <w:p w:rsidR="009070BF" w:rsidRPr="00110AAD" w:rsidRDefault="009070BF" w:rsidP="00224AE9">
      <w:pPr>
        <w:pStyle w:val="Heading2"/>
      </w:pPr>
      <w:r w:rsidRPr="00110AAD">
        <w:t>Risk Sharing Arrangements</w:t>
      </w:r>
    </w:p>
    <w:p w:rsidR="00224AE9" w:rsidRPr="00110AAD" w:rsidRDefault="00224AE9" w:rsidP="00224AE9"/>
    <w:p w:rsidR="002233F3" w:rsidRPr="00110AAD" w:rsidRDefault="00C8722B" w:rsidP="00513B97">
      <w:pPr>
        <w:pStyle w:val="ListParagraph"/>
        <w:rPr>
          <w:szCs w:val="22"/>
        </w:rPr>
      </w:pPr>
      <w:r w:rsidRPr="00110AAD">
        <w:rPr>
          <w:szCs w:val="22"/>
        </w:rPr>
        <w:t xml:space="preserve">The sponsor </w:t>
      </w:r>
      <w:r w:rsidR="009070BF" w:rsidRPr="00110AAD">
        <w:rPr>
          <w:szCs w:val="22"/>
        </w:rPr>
        <w:t>proposed a</w:t>
      </w:r>
      <w:r w:rsidR="006A6C28" w:rsidRPr="00110AAD">
        <w:rPr>
          <w:szCs w:val="22"/>
        </w:rPr>
        <w:t xml:space="preserve"> </w:t>
      </w:r>
      <w:r w:rsidR="00F001D5" w:rsidRPr="00110AAD">
        <w:rPr>
          <w:szCs w:val="22"/>
        </w:rPr>
        <w:t xml:space="preserve">risk sharing </w:t>
      </w:r>
      <w:r w:rsidR="0076163C" w:rsidRPr="00110AAD">
        <w:rPr>
          <w:szCs w:val="22"/>
        </w:rPr>
        <w:t>arrangement</w:t>
      </w:r>
      <w:r w:rsidR="009070BF" w:rsidRPr="00110AAD">
        <w:rPr>
          <w:szCs w:val="22"/>
        </w:rPr>
        <w:t xml:space="preserve"> with a patient number cap of </w:t>
      </w:r>
      <w:r w:rsidR="00A737B5">
        <w:rPr>
          <w:szCs w:val="22"/>
        </w:rPr>
        <w:t>less than 10,000</w:t>
      </w:r>
      <w:r w:rsidR="00A737B5" w:rsidRPr="00110AAD">
        <w:rPr>
          <w:szCs w:val="22"/>
        </w:rPr>
        <w:t xml:space="preserve"> </w:t>
      </w:r>
      <w:r w:rsidR="009070BF" w:rsidRPr="00110AAD">
        <w:rPr>
          <w:szCs w:val="22"/>
        </w:rPr>
        <w:t xml:space="preserve">in the first year of listing, increasing by </w:t>
      </w:r>
      <w:r w:rsidR="00A737B5">
        <w:rPr>
          <w:szCs w:val="22"/>
        </w:rPr>
        <w:t>less than 10,000</w:t>
      </w:r>
      <w:r w:rsidR="00A737B5" w:rsidRPr="00110AAD">
        <w:rPr>
          <w:szCs w:val="22"/>
        </w:rPr>
        <w:t xml:space="preserve"> </w:t>
      </w:r>
      <w:r w:rsidR="009070BF" w:rsidRPr="00110AAD">
        <w:rPr>
          <w:szCs w:val="22"/>
        </w:rPr>
        <w:t>patient per year for the fir</w:t>
      </w:r>
      <w:r w:rsidRPr="00110AAD">
        <w:rPr>
          <w:szCs w:val="22"/>
        </w:rPr>
        <w:t>st five years of listing. This wa</w:t>
      </w:r>
      <w:r w:rsidR="009070BF" w:rsidRPr="00110AAD">
        <w:rPr>
          <w:szCs w:val="22"/>
        </w:rPr>
        <w:t xml:space="preserve">s </w:t>
      </w:r>
      <w:r w:rsidR="00FE09A1">
        <w:rPr>
          <w:szCs w:val="22"/>
        </w:rPr>
        <w:t xml:space="preserve">less than 10,000 </w:t>
      </w:r>
      <w:r w:rsidR="009070BF" w:rsidRPr="00110AAD">
        <w:rPr>
          <w:szCs w:val="22"/>
        </w:rPr>
        <w:t xml:space="preserve">patients per year higher than the estimated utilisation. The sponsor proposed a rebate of </w:t>
      </w:r>
      <w:r w:rsidR="009070BF" w:rsidRPr="001C4D71">
        <w:rPr>
          <w:szCs w:val="22"/>
        </w:rPr>
        <w:t>50</w:t>
      </w:r>
      <w:r w:rsidR="009070BF" w:rsidRPr="00110AAD">
        <w:rPr>
          <w:szCs w:val="22"/>
        </w:rPr>
        <w:t xml:space="preserve">% for any patients exceeding these caps. The submission claimed that this </w:t>
      </w:r>
      <w:r w:rsidRPr="00110AAD">
        <w:rPr>
          <w:szCs w:val="22"/>
        </w:rPr>
        <w:t>wa</w:t>
      </w:r>
      <w:r w:rsidR="009070BF" w:rsidRPr="00110AAD">
        <w:rPr>
          <w:szCs w:val="22"/>
        </w:rPr>
        <w:t xml:space="preserve">s similar to other RSAs that the company has with the Department and that a rebate of this amount would allow </w:t>
      </w:r>
      <w:r w:rsidR="00897FEE" w:rsidRPr="00110AAD">
        <w:rPr>
          <w:szCs w:val="22"/>
        </w:rPr>
        <w:t>it</w:t>
      </w:r>
      <w:r w:rsidR="009070BF" w:rsidRPr="00110AAD">
        <w:rPr>
          <w:szCs w:val="22"/>
        </w:rPr>
        <w:t xml:space="preserve"> to cover costs.</w:t>
      </w:r>
      <w:r w:rsidR="00524B05" w:rsidRPr="00110AAD">
        <w:t xml:space="preserve"> </w:t>
      </w:r>
    </w:p>
    <w:p w:rsidR="00D17654" w:rsidRDefault="00D17654">
      <w:pPr>
        <w:rPr>
          <w:rFonts w:ascii="Arial" w:hAnsi="Arial" w:cs="Arial"/>
          <w:snapToGrid w:val="0"/>
          <w:sz w:val="22"/>
          <w:szCs w:val="22"/>
          <w:lang w:eastAsia="en-US"/>
        </w:rPr>
      </w:pPr>
      <w:r>
        <w:rPr>
          <w:szCs w:val="22"/>
        </w:rPr>
        <w:br w:type="page"/>
      </w:r>
    </w:p>
    <w:p w:rsidR="00F57C87" w:rsidRPr="00110AAD" w:rsidRDefault="00F57C87" w:rsidP="00513B97">
      <w:pPr>
        <w:pStyle w:val="ListParagraph"/>
        <w:rPr>
          <w:szCs w:val="22"/>
        </w:rPr>
      </w:pPr>
    </w:p>
    <w:p w:rsidR="002233F3" w:rsidRPr="00110AAD" w:rsidRDefault="002233F3" w:rsidP="004D48E9">
      <w:pPr>
        <w:pStyle w:val="ListParagraph"/>
        <w:numPr>
          <w:ilvl w:val="1"/>
          <w:numId w:val="5"/>
        </w:numPr>
        <w:rPr>
          <w:szCs w:val="22"/>
        </w:rPr>
      </w:pPr>
      <w:r w:rsidRPr="00110AAD">
        <w:rPr>
          <w:szCs w:val="22"/>
        </w:rPr>
        <w:t>The PBAC considered</w:t>
      </w:r>
      <w:r w:rsidR="004D48E9" w:rsidRPr="00110AAD">
        <w:rPr>
          <w:szCs w:val="22"/>
        </w:rPr>
        <w:t xml:space="preserve"> that</w:t>
      </w:r>
      <w:r w:rsidRPr="00110AAD">
        <w:rPr>
          <w:szCs w:val="22"/>
        </w:rPr>
        <w:t xml:space="preserve"> </w:t>
      </w:r>
      <w:r w:rsidR="00FC43E2">
        <w:rPr>
          <w:szCs w:val="22"/>
        </w:rPr>
        <w:t xml:space="preserve">a </w:t>
      </w:r>
      <w:r w:rsidR="004D48E9" w:rsidRPr="00110AAD">
        <w:rPr>
          <w:szCs w:val="22"/>
        </w:rPr>
        <w:t xml:space="preserve">patient cap </w:t>
      </w:r>
      <w:r w:rsidR="00FC43E2">
        <w:rPr>
          <w:szCs w:val="22"/>
        </w:rPr>
        <w:t>based on the eligible CTCL patients and grandfathering the MSD EAP patients (</w:t>
      </w:r>
      <w:r w:rsidR="00FE09A1">
        <w:rPr>
          <w:szCs w:val="22"/>
        </w:rPr>
        <w:t xml:space="preserve">less than 10,000 </w:t>
      </w:r>
      <w:r w:rsidR="00FC43E2">
        <w:rPr>
          <w:szCs w:val="22"/>
        </w:rPr>
        <w:t>in Year 1)</w:t>
      </w:r>
      <w:r w:rsidR="005038F5">
        <w:rPr>
          <w:szCs w:val="22"/>
        </w:rPr>
        <w:t xml:space="preserve"> of </w:t>
      </w:r>
      <w:r w:rsidR="00FE09A1">
        <w:rPr>
          <w:szCs w:val="22"/>
        </w:rPr>
        <w:t xml:space="preserve">less than 10,000 </w:t>
      </w:r>
      <w:r w:rsidR="004D48E9" w:rsidRPr="00110AAD">
        <w:rPr>
          <w:szCs w:val="22"/>
        </w:rPr>
        <w:t>was reasonable</w:t>
      </w:r>
      <w:r w:rsidR="00FC43E2">
        <w:rPr>
          <w:szCs w:val="22"/>
        </w:rPr>
        <w:t xml:space="preserve">. The PBAC noted that </w:t>
      </w:r>
      <w:r w:rsidR="0074227E">
        <w:rPr>
          <w:szCs w:val="22"/>
        </w:rPr>
        <w:t xml:space="preserve">the sponsor had included </w:t>
      </w:r>
      <w:r w:rsidR="005038F5">
        <w:rPr>
          <w:szCs w:val="22"/>
        </w:rPr>
        <w:t xml:space="preserve">an increasing </w:t>
      </w:r>
      <w:r w:rsidR="0074227E">
        <w:rPr>
          <w:szCs w:val="22"/>
        </w:rPr>
        <w:t>number of grandfathered patients beyond Year 1.</w:t>
      </w:r>
      <w:r w:rsidR="005038F5">
        <w:rPr>
          <w:szCs w:val="22"/>
        </w:rPr>
        <w:t xml:space="preserve"> The PBAC recommended that the grandfathered patients should only be included in Year 1. This results in </w:t>
      </w:r>
      <w:r w:rsidR="00B5679A">
        <w:rPr>
          <w:szCs w:val="22"/>
        </w:rPr>
        <w:t xml:space="preserve">less than 10,000 </w:t>
      </w:r>
      <w:r w:rsidR="005038F5">
        <w:rPr>
          <w:szCs w:val="22"/>
        </w:rPr>
        <w:t xml:space="preserve">patients in Year 1 and </w:t>
      </w:r>
      <w:r w:rsidR="00B5679A">
        <w:rPr>
          <w:szCs w:val="22"/>
        </w:rPr>
        <w:t xml:space="preserve">less than 10,000 </w:t>
      </w:r>
      <w:r w:rsidR="005038F5">
        <w:rPr>
          <w:szCs w:val="22"/>
        </w:rPr>
        <w:t>patients in year 5.</w:t>
      </w:r>
      <w:r w:rsidR="004D48E9" w:rsidRPr="00110AAD">
        <w:rPr>
          <w:szCs w:val="22"/>
        </w:rPr>
        <w:t xml:space="preserve"> </w:t>
      </w:r>
      <w:r w:rsidR="005038F5">
        <w:rPr>
          <w:szCs w:val="22"/>
        </w:rPr>
        <w:t>In addition</w:t>
      </w:r>
      <w:r w:rsidR="004D48E9" w:rsidRPr="00110AAD">
        <w:rPr>
          <w:szCs w:val="22"/>
        </w:rPr>
        <w:t xml:space="preserve">, </w:t>
      </w:r>
      <w:r w:rsidR="005038F5">
        <w:rPr>
          <w:szCs w:val="22"/>
        </w:rPr>
        <w:t xml:space="preserve">the PBAC </w:t>
      </w:r>
      <w:r w:rsidR="004D48E9" w:rsidRPr="00110AAD">
        <w:rPr>
          <w:szCs w:val="22"/>
        </w:rPr>
        <w:t>considered that there remained a concern of use beyond progression or in other indications where cost-effectiveness was not established</w:t>
      </w:r>
      <w:r w:rsidR="00ED23EE" w:rsidRPr="00110AAD">
        <w:rPr>
          <w:szCs w:val="22"/>
        </w:rPr>
        <w:t xml:space="preserve"> and</w:t>
      </w:r>
      <w:r w:rsidR="004D48E9" w:rsidRPr="00110AAD">
        <w:rPr>
          <w:szCs w:val="22"/>
        </w:rPr>
        <w:t xml:space="preserve"> therefore a rebate</w:t>
      </w:r>
      <w:r w:rsidR="00513B97" w:rsidRPr="00110AAD">
        <w:rPr>
          <w:szCs w:val="22"/>
        </w:rPr>
        <w:t xml:space="preserve"> </w:t>
      </w:r>
      <w:r w:rsidR="00FC43E2">
        <w:rPr>
          <w:szCs w:val="22"/>
        </w:rPr>
        <w:t xml:space="preserve">in the order of </w:t>
      </w:r>
      <w:r w:rsidR="00FC43E2" w:rsidRPr="001C4D71">
        <w:rPr>
          <w:szCs w:val="22"/>
        </w:rPr>
        <w:t>70</w:t>
      </w:r>
      <w:r w:rsidR="004D48E9" w:rsidRPr="00110AAD">
        <w:rPr>
          <w:szCs w:val="22"/>
        </w:rPr>
        <w:t xml:space="preserve">% </w:t>
      </w:r>
      <w:r w:rsidR="00513B97" w:rsidRPr="00110AAD">
        <w:rPr>
          <w:szCs w:val="22"/>
        </w:rPr>
        <w:t xml:space="preserve">for expenditure </w:t>
      </w:r>
      <w:r w:rsidR="004D48E9" w:rsidRPr="00110AAD">
        <w:rPr>
          <w:szCs w:val="22"/>
        </w:rPr>
        <w:t xml:space="preserve">above the cap </w:t>
      </w:r>
      <w:r w:rsidR="00FC43E2">
        <w:rPr>
          <w:szCs w:val="22"/>
        </w:rPr>
        <w:t>was required</w:t>
      </w:r>
      <w:r w:rsidR="005A19AE" w:rsidRPr="00110AAD">
        <w:rPr>
          <w:szCs w:val="22"/>
        </w:rPr>
        <w:t>.</w:t>
      </w:r>
    </w:p>
    <w:p w:rsidR="00A92B17" w:rsidRPr="00110AAD" w:rsidRDefault="00A92B17" w:rsidP="00FA63EC"/>
    <w:p w:rsidR="00A92B17" w:rsidRPr="00110AAD" w:rsidRDefault="00A92B17" w:rsidP="00A92B17">
      <w:pPr>
        <w:ind w:firstLine="720"/>
        <w:rPr>
          <w:rFonts w:ascii="Arial" w:hAnsi="Arial" w:cs="Arial"/>
          <w:bCs/>
          <w:snapToGrid w:val="0"/>
          <w:sz w:val="22"/>
          <w:szCs w:val="22"/>
        </w:rPr>
      </w:pPr>
      <w:r w:rsidRPr="00110AAD">
        <w:rPr>
          <w:rFonts w:ascii="Arial" w:hAnsi="Arial" w:cs="Arial"/>
          <w:bCs/>
          <w:i/>
          <w:snapToGrid w:val="0"/>
          <w:sz w:val="22"/>
          <w:szCs w:val="22"/>
        </w:rPr>
        <w:t xml:space="preserve">For more detail on PBAC’s view, see section </w:t>
      </w:r>
      <w:r w:rsidR="00E3356F" w:rsidRPr="00110AAD">
        <w:rPr>
          <w:rFonts w:ascii="Arial" w:hAnsi="Arial" w:cs="Arial"/>
          <w:bCs/>
          <w:i/>
          <w:snapToGrid w:val="0"/>
          <w:sz w:val="22"/>
          <w:szCs w:val="22"/>
        </w:rPr>
        <w:t>5</w:t>
      </w:r>
      <w:r w:rsidRPr="00110AAD">
        <w:rPr>
          <w:rFonts w:ascii="Arial" w:hAnsi="Arial" w:cs="Arial"/>
          <w:bCs/>
          <w:i/>
          <w:snapToGrid w:val="0"/>
          <w:sz w:val="22"/>
          <w:szCs w:val="22"/>
        </w:rPr>
        <w:t xml:space="preserve"> “PBAC outcome”</w:t>
      </w:r>
      <w:r w:rsidR="00D17654">
        <w:rPr>
          <w:rFonts w:ascii="Arial" w:hAnsi="Arial" w:cs="Arial"/>
          <w:bCs/>
          <w:i/>
          <w:snapToGrid w:val="0"/>
          <w:sz w:val="22"/>
          <w:szCs w:val="22"/>
        </w:rPr>
        <w:t>.</w:t>
      </w:r>
    </w:p>
    <w:p w:rsidR="00ED23EE" w:rsidRPr="00110AAD" w:rsidRDefault="00ED23EE" w:rsidP="00FA63EC"/>
    <w:p w:rsidR="00A92B17" w:rsidRPr="00FA63EC" w:rsidRDefault="00A92B17" w:rsidP="00FA63EC">
      <w:pPr>
        <w:pStyle w:val="PBACHeading1"/>
      </w:pPr>
      <w:r w:rsidRPr="00FA63EC">
        <w:t>PBAC Outcome</w:t>
      </w:r>
    </w:p>
    <w:p w:rsidR="00A92B17" w:rsidRPr="00110AAD" w:rsidRDefault="00A92B17" w:rsidP="00D51E5C">
      <w:pPr>
        <w:pStyle w:val="ListParagraph"/>
        <w:rPr>
          <w:szCs w:val="22"/>
        </w:rPr>
      </w:pPr>
    </w:p>
    <w:p w:rsidR="00FE0FBD" w:rsidRPr="00110AAD" w:rsidRDefault="00FE0FBD" w:rsidP="002E7521">
      <w:pPr>
        <w:pStyle w:val="ListParagraph"/>
        <w:numPr>
          <w:ilvl w:val="1"/>
          <w:numId w:val="5"/>
        </w:numPr>
        <w:rPr>
          <w:szCs w:val="22"/>
        </w:rPr>
      </w:pPr>
      <w:r w:rsidRPr="00110AAD">
        <w:rPr>
          <w:szCs w:val="22"/>
        </w:rPr>
        <w:t xml:space="preserve">The </w:t>
      </w:r>
      <w:r w:rsidR="00D036E0" w:rsidRPr="00110AAD">
        <w:rPr>
          <w:szCs w:val="22"/>
        </w:rPr>
        <w:t>PBAC recommended the Authority Required listing of vorinostat for the treatment of cutaneous T-cell lymphoma (CTCL)</w:t>
      </w:r>
      <w:r w:rsidR="00AB1158">
        <w:rPr>
          <w:szCs w:val="22"/>
        </w:rPr>
        <w:t xml:space="preserve"> in the General Schedule</w:t>
      </w:r>
      <w:r w:rsidR="00D036E0" w:rsidRPr="00110AAD">
        <w:rPr>
          <w:szCs w:val="22"/>
        </w:rPr>
        <w:t>.</w:t>
      </w:r>
    </w:p>
    <w:p w:rsidR="00D036E0" w:rsidRPr="00110AAD" w:rsidRDefault="00D036E0" w:rsidP="00D51E5C">
      <w:pPr>
        <w:pStyle w:val="ListParagraph"/>
        <w:rPr>
          <w:szCs w:val="22"/>
        </w:rPr>
      </w:pPr>
    </w:p>
    <w:p w:rsidR="00D036E0" w:rsidRPr="00110AAD" w:rsidRDefault="007574C3" w:rsidP="007574C3">
      <w:pPr>
        <w:pStyle w:val="ListParagraph"/>
        <w:numPr>
          <w:ilvl w:val="1"/>
          <w:numId w:val="5"/>
        </w:numPr>
        <w:rPr>
          <w:szCs w:val="22"/>
        </w:rPr>
      </w:pPr>
      <w:r w:rsidRPr="00110AAD">
        <w:rPr>
          <w:szCs w:val="22"/>
        </w:rPr>
        <w:t>The PBAC recommendation</w:t>
      </w:r>
      <w:r w:rsidRPr="00110AAD">
        <w:t xml:space="preserve"> </w:t>
      </w:r>
      <w:r w:rsidRPr="00110AAD">
        <w:rPr>
          <w:szCs w:val="22"/>
        </w:rPr>
        <w:t>for listing was based on, among other matters, its assessment,</w:t>
      </w:r>
      <w:r w:rsidRPr="00110AAD">
        <w:t xml:space="preserve"> </w:t>
      </w:r>
      <w:r w:rsidRPr="00110AAD">
        <w:rPr>
          <w:szCs w:val="22"/>
        </w:rPr>
        <w:t>as described above, that the cost-effectiveness of vorinostat</w:t>
      </w:r>
      <w:r w:rsidR="00F57C87" w:rsidRPr="00110AAD">
        <w:rPr>
          <w:szCs w:val="22"/>
        </w:rPr>
        <w:t xml:space="preserve"> </w:t>
      </w:r>
      <w:r w:rsidRPr="00110AAD">
        <w:rPr>
          <w:szCs w:val="22"/>
        </w:rPr>
        <w:t xml:space="preserve">would be acceptable at the price proposed in the submission. </w:t>
      </w:r>
    </w:p>
    <w:p w:rsidR="007F6A17" w:rsidRPr="00110AAD" w:rsidRDefault="007F6A17" w:rsidP="00D51E5C">
      <w:pPr>
        <w:pStyle w:val="ListParagraph"/>
        <w:rPr>
          <w:szCs w:val="22"/>
        </w:rPr>
      </w:pPr>
    </w:p>
    <w:p w:rsidR="007F6A17" w:rsidRPr="00110AAD" w:rsidRDefault="005038F5" w:rsidP="00513B97">
      <w:pPr>
        <w:pStyle w:val="ListParagraph"/>
        <w:numPr>
          <w:ilvl w:val="1"/>
          <w:numId w:val="5"/>
        </w:numPr>
        <w:rPr>
          <w:szCs w:val="22"/>
        </w:rPr>
      </w:pPr>
      <w:r w:rsidRPr="00110AAD">
        <w:rPr>
          <w:szCs w:val="22"/>
        </w:rPr>
        <w:t xml:space="preserve">The PBAC considered that </w:t>
      </w:r>
      <w:r>
        <w:rPr>
          <w:szCs w:val="22"/>
        </w:rPr>
        <w:t xml:space="preserve">a </w:t>
      </w:r>
      <w:r w:rsidRPr="00110AAD">
        <w:rPr>
          <w:szCs w:val="22"/>
        </w:rPr>
        <w:t xml:space="preserve">patient cap </w:t>
      </w:r>
      <w:r>
        <w:rPr>
          <w:szCs w:val="22"/>
        </w:rPr>
        <w:t>based on the eligible CTCL patients and grandfathering the MSD EAP patients (</w:t>
      </w:r>
      <w:r w:rsidR="00B5679A">
        <w:rPr>
          <w:szCs w:val="22"/>
        </w:rPr>
        <w:t xml:space="preserve">less than 10,000 </w:t>
      </w:r>
      <w:r>
        <w:rPr>
          <w:szCs w:val="22"/>
        </w:rPr>
        <w:t xml:space="preserve">in Year 1) of </w:t>
      </w:r>
      <w:r w:rsidR="00B5679A">
        <w:rPr>
          <w:szCs w:val="22"/>
        </w:rPr>
        <w:t>less than 10,000</w:t>
      </w:r>
      <w:r w:rsidR="004135EF">
        <w:rPr>
          <w:szCs w:val="22"/>
        </w:rPr>
        <w:t xml:space="preserve"> </w:t>
      </w:r>
      <w:r w:rsidRPr="00110AAD">
        <w:rPr>
          <w:szCs w:val="22"/>
        </w:rPr>
        <w:t>was reasonable</w:t>
      </w:r>
      <w:r>
        <w:rPr>
          <w:szCs w:val="22"/>
        </w:rPr>
        <w:t>. The PBAC noted that the sponsor had included an increasing number of grandfathered patients beyond Year 1. The PBAC recommended that the grandfathered patients should only be included in Year 1. This result</w:t>
      </w:r>
      <w:r w:rsidR="007C76AE">
        <w:rPr>
          <w:szCs w:val="22"/>
        </w:rPr>
        <w:t>ed</w:t>
      </w:r>
      <w:r>
        <w:rPr>
          <w:szCs w:val="22"/>
        </w:rPr>
        <w:t xml:space="preserve"> in </w:t>
      </w:r>
      <w:r w:rsidR="007C76AE">
        <w:rPr>
          <w:szCs w:val="22"/>
        </w:rPr>
        <w:t xml:space="preserve">patient caps of </w:t>
      </w:r>
      <w:r w:rsidR="008248B0">
        <w:rPr>
          <w:szCs w:val="22"/>
        </w:rPr>
        <w:t>less than 10,000</w:t>
      </w:r>
      <w:r w:rsidR="004135EF">
        <w:rPr>
          <w:szCs w:val="22"/>
        </w:rPr>
        <w:t xml:space="preserve"> </w:t>
      </w:r>
      <w:r>
        <w:rPr>
          <w:szCs w:val="22"/>
        </w:rPr>
        <w:t xml:space="preserve">patients in Year 1 and </w:t>
      </w:r>
      <w:r w:rsidR="008248B0">
        <w:rPr>
          <w:szCs w:val="22"/>
        </w:rPr>
        <w:t xml:space="preserve">less than 10,000 </w:t>
      </w:r>
      <w:r>
        <w:rPr>
          <w:szCs w:val="22"/>
        </w:rPr>
        <w:t>patients in year 5.</w:t>
      </w:r>
      <w:r w:rsidRPr="00110AAD">
        <w:rPr>
          <w:szCs w:val="22"/>
        </w:rPr>
        <w:t xml:space="preserve"> </w:t>
      </w:r>
      <w:r>
        <w:rPr>
          <w:szCs w:val="22"/>
        </w:rPr>
        <w:t>In addition</w:t>
      </w:r>
      <w:r w:rsidRPr="00110AAD">
        <w:rPr>
          <w:szCs w:val="22"/>
        </w:rPr>
        <w:t xml:space="preserve">, </w:t>
      </w:r>
      <w:r>
        <w:rPr>
          <w:szCs w:val="22"/>
        </w:rPr>
        <w:t xml:space="preserve">the PBAC </w:t>
      </w:r>
      <w:r w:rsidRPr="00110AAD">
        <w:rPr>
          <w:szCs w:val="22"/>
        </w:rPr>
        <w:t xml:space="preserve">considered that there remained a concern of use beyond progression or in other indications where cost-effectiveness was not established and therefore a rebate </w:t>
      </w:r>
      <w:r>
        <w:rPr>
          <w:szCs w:val="22"/>
        </w:rPr>
        <w:t xml:space="preserve">in the order of </w:t>
      </w:r>
      <w:r w:rsidRPr="001C4D71">
        <w:rPr>
          <w:szCs w:val="22"/>
        </w:rPr>
        <w:t>70</w:t>
      </w:r>
      <w:r w:rsidRPr="00110AAD">
        <w:rPr>
          <w:szCs w:val="22"/>
        </w:rPr>
        <w:t xml:space="preserve">% for expenditure above the cap </w:t>
      </w:r>
      <w:r>
        <w:rPr>
          <w:szCs w:val="22"/>
        </w:rPr>
        <w:t>was required</w:t>
      </w:r>
      <w:r w:rsidRPr="00110AAD">
        <w:rPr>
          <w:szCs w:val="22"/>
        </w:rPr>
        <w:t>.</w:t>
      </w:r>
    </w:p>
    <w:p w:rsidR="007F6A17" w:rsidRPr="00110AAD" w:rsidRDefault="007F6A17" w:rsidP="00D51E5C">
      <w:pPr>
        <w:pStyle w:val="ListParagraph"/>
        <w:rPr>
          <w:szCs w:val="22"/>
        </w:rPr>
      </w:pPr>
    </w:p>
    <w:p w:rsidR="00E54D36" w:rsidRDefault="00E54D36" w:rsidP="00A86F1B">
      <w:pPr>
        <w:pStyle w:val="ListParagraph"/>
        <w:numPr>
          <w:ilvl w:val="1"/>
          <w:numId w:val="5"/>
        </w:numPr>
        <w:rPr>
          <w:szCs w:val="22"/>
        </w:rPr>
      </w:pPr>
      <w:r>
        <w:rPr>
          <w:szCs w:val="22"/>
        </w:rPr>
        <w:t>The PBAC previously considered that the restriction criterion “Patient must be ineligible for a stem cell transplantation” might not be appropriate, as vorinostat may be used as a bridging therapy to transplantation (</w:t>
      </w:r>
      <w:r w:rsidRPr="00110AAD">
        <w:rPr>
          <w:szCs w:val="22"/>
        </w:rPr>
        <w:t xml:space="preserve">vorinostat </w:t>
      </w:r>
      <w:r w:rsidR="005411E2">
        <w:rPr>
          <w:szCs w:val="22"/>
        </w:rPr>
        <w:t xml:space="preserve">PSD, </w:t>
      </w:r>
      <w:r w:rsidRPr="00110AAD">
        <w:rPr>
          <w:szCs w:val="22"/>
        </w:rPr>
        <w:t>November 2016, paragraphs 7.10</w:t>
      </w:r>
      <w:r>
        <w:rPr>
          <w:szCs w:val="22"/>
        </w:rPr>
        <w:t xml:space="preserve">). Therefore, the PBAC recommended </w:t>
      </w:r>
      <w:r w:rsidR="00603D6B">
        <w:rPr>
          <w:szCs w:val="22"/>
        </w:rPr>
        <w:t>that the p</w:t>
      </w:r>
      <w:r>
        <w:rPr>
          <w:szCs w:val="22"/>
        </w:rPr>
        <w:t>at</w:t>
      </w:r>
      <w:r w:rsidR="00C0653B">
        <w:rPr>
          <w:szCs w:val="22"/>
        </w:rPr>
        <w:t xml:space="preserve">ient must be ineligible for </w:t>
      </w:r>
      <w:r>
        <w:rPr>
          <w:szCs w:val="22"/>
        </w:rPr>
        <w:t>stem cell transplantation</w:t>
      </w:r>
      <w:r w:rsidR="00603D6B">
        <w:rPr>
          <w:szCs w:val="22"/>
        </w:rPr>
        <w:t xml:space="preserve"> at the </w:t>
      </w:r>
      <w:r w:rsidR="007C76AE">
        <w:rPr>
          <w:szCs w:val="22"/>
        </w:rPr>
        <w:t xml:space="preserve">time of </w:t>
      </w:r>
      <w:r w:rsidR="00603D6B">
        <w:rPr>
          <w:szCs w:val="22"/>
        </w:rPr>
        <w:t>initiation</w:t>
      </w:r>
      <w:r>
        <w:rPr>
          <w:szCs w:val="22"/>
        </w:rPr>
        <w:t xml:space="preserve">. </w:t>
      </w:r>
    </w:p>
    <w:p w:rsidR="00E54D36" w:rsidRPr="00E54D36" w:rsidRDefault="00E54D36" w:rsidP="00913898">
      <w:pPr>
        <w:pStyle w:val="ListParagraph"/>
        <w:rPr>
          <w:szCs w:val="22"/>
        </w:rPr>
      </w:pPr>
    </w:p>
    <w:p w:rsidR="007F6A17" w:rsidRPr="00110AAD" w:rsidRDefault="006307BB" w:rsidP="00A86F1B">
      <w:pPr>
        <w:pStyle w:val="ListParagraph"/>
        <w:numPr>
          <w:ilvl w:val="1"/>
          <w:numId w:val="5"/>
        </w:numPr>
        <w:rPr>
          <w:szCs w:val="22"/>
        </w:rPr>
      </w:pPr>
      <w:r>
        <w:rPr>
          <w:szCs w:val="22"/>
        </w:rPr>
        <w:t xml:space="preserve">The PBAC recommended that the restriction for initiation of treatment be an Authority Required in writing benefit and the continuing treatment restriction an Authority Required telephone benefit. </w:t>
      </w:r>
      <w:r w:rsidR="007F6A17" w:rsidRPr="00110AAD">
        <w:rPr>
          <w:szCs w:val="22"/>
        </w:rPr>
        <w:t>The PBAC considered that a grandfathering restriction was not required for this indication.</w:t>
      </w:r>
    </w:p>
    <w:p w:rsidR="00D036E0" w:rsidRPr="00110AAD" w:rsidRDefault="00D036E0" w:rsidP="00D51E5C">
      <w:pPr>
        <w:pStyle w:val="ListParagraph"/>
        <w:rPr>
          <w:szCs w:val="22"/>
        </w:rPr>
      </w:pPr>
    </w:p>
    <w:p w:rsidR="002E7521" w:rsidRPr="00110AAD" w:rsidRDefault="002233F3" w:rsidP="002E7521">
      <w:pPr>
        <w:pStyle w:val="ListParagraph"/>
        <w:numPr>
          <w:ilvl w:val="1"/>
          <w:numId w:val="5"/>
        </w:numPr>
        <w:rPr>
          <w:szCs w:val="22"/>
        </w:rPr>
      </w:pPr>
      <w:r w:rsidRPr="00110AAD">
        <w:rPr>
          <w:szCs w:val="22"/>
        </w:rPr>
        <w:t xml:space="preserve">The PBAC </w:t>
      </w:r>
      <w:r w:rsidR="00996D29" w:rsidRPr="00110AAD">
        <w:rPr>
          <w:szCs w:val="22"/>
        </w:rPr>
        <w:t>recommended that Early Supply Rule should apply to the listing of</w:t>
      </w:r>
      <w:r w:rsidRPr="00110AAD">
        <w:rPr>
          <w:szCs w:val="22"/>
        </w:rPr>
        <w:t xml:space="preserve"> v</w:t>
      </w:r>
      <w:r w:rsidR="002E7521" w:rsidRPr="00110AAD">
        <w:rPr>
          <w:szCs w:val="22"/>
        </w:rPr>
        <w:t>orinostat. It has a standard dosing regimen, and the proposed maximum quantity is sufficient for one month’s treatment.</w:t>
      </w:r>
    </w:p>
    <w:p w:rsidR="002E7521" w:rsidRPr="00110AAD" w:rsidRDefault="002E7521" w:rsidP="002E7521">
      <w:pPr>
        <w:pStyle w:val="ListParagraph"/>
        <w:rPr>
          <w:szCs w:val="22"/>
        </w:rPr>
      </w:pPr>
    </w:p>
    <w:p w:rsidR="00996D29" w:rsidRPr="00110AAD" w:rsidRDefault="00996D29" w:rsidP="00996D29">
      <w:pPr>
        <w:pStyle w:val="ListParagraph"/>
        <w:numPr>
          <w:ilvl w:val="1"/>
          <w:numId w:val="5"/>
        </w:numPr>
        <w:rPr>
          <w:szCs w:val="22"/>
        </w:rPr>
      </w:pPr>
      <w:r w:rsidRPr="00110AAD">
        <w:rPr>
          <w:szCs w:val="22"/>
        </w:rPr>
        <w:t xml:space="preserve">The PBAC advised that under subsection 101(3BA) of the </w:t>
      </w:r>
      <w:r w:rsidRPr="00110AAD">
        <w:rPr>
          <w:i/>
          <w:szCs w:val="22"/>
        </w:rPr>
        <w:t>National Health Act, 1953</w:t>
      </w:r>
      <w:r w:rsidRPr="00110AAD">
        <w:rPr>
          <w:szCs w:val="22"/>
        </w:rPr>
        <w:t xml:space="preserve"> that vorinostat should not be treated as interchangeable on an individual patient basis with any other drugs.</w:t>
      </w:r>
    </w:p>
    <w:p w:rsidR="00996D29" w:rsidRPr="00110AAD" w:rsidRDefault="00996D29" w:rsidP="00D51E5C">
      <w:pPr>
        <w:pStyle w:val="ListParagraph"/>
        <w:rPr>
          <w:szCs w:val="22"/>
        </w:rPr>
      </w:pPr>
    </w:p>
    <w:p w:rsidR="00996D29" w:rsidRPr="00110AAD" w:rsidRDefault="00996D29" w:rsidP="00A86F1B">
      <w:pPr>
        <w:pStyle w:val="ListParagraph"/>
        <w:numPr>
          <w:ilvl w:val="1"/>
          <w:numId w:val="5"/>
        </w:numPr>
        <w:rPr>
          <w:szCs w:val="22"/>
        </w:rPr>
      </w:pPr>
      <w:r w:rsidRPr="00110AAD">
        <w:rPr>
          <w:szCs w:val="22"/>
        </w:rPr>
        <w:t xml:space="preserve">The PBAC advised that vorinostat for CTCL is not suitable for prescribing by nurse practitioners. </w:t>
      </w:r>
    </w:p>
    <w:p w:rsidR="00996D29" w:rsidRPr="00110AAD" w:rsidRDefault="00996D29" w:rsidP="00D51E5C">
      <w:pPr>
        <w:pStyle w:val="ListParagraph"/>
        <w:rPr>
          <w:szCs w:val="22"/>
        </w:rPr>
      </w:pPr>
    </w:p>
    <w:p w:rsidR="00996D29" w:rsidRPr="00110AAD" w:rsidRDefault="00996D29" w:rsidP="00D51E5C">
      <w:pPr>
        <w:pStyle w:val="ListParagraph"/>
        <w:numPr>
          <w:ilvl w:val="1"/>
          <w:numId w:val="5"/>
        </w:numPr>
        <w:rPr>
          <w:szCs w:val="22"/>
        </w:rPr>
      </w:pPr>
      <w:r w:rsidRPr="00110AAD">
        <w:rPr>
          <w:szCs w:val="22"/>
        </w:rPr>
        <w:t xml:space="preserve">The PBAC noted that this submission was not eligible for an Independent Review because it received a positive recommendation. </w:t>
      </w:r>
    </w:p>
    <w:p w:rsidR="00A92B17" w:rsidRPr="00110AAD" w:rsidRDefault="00A92B17" w:rsidP="00A92B17">
      <w:pPr>
        <w:widowControl w:val="0"/>
        <w:jc w:val="both"/>
        <w:rPr>
          <w:rFonts w:ascii="Arial" w:hAnsi="Arial" w:cs="Arial"/>
          <w:b/>
          <w:bCs/>
          <w:snapToGrid w:val="0"/>
          <w:sz w:val="22"/>
          <w:szCs w:val="20"/>
          <w:highlight w:val="yellow"/>
        </w:rPr>
      </w:pPr>
    </w:p>
    <w:p w:rsidR="00A92B17" w:rsidRPr="00110AAD" w:rsidRDefault="00A92B17" w:rsidP="00A92B17">
      <w:pPr>
        <w:widowControl w:val="0"/>
        <w:jc w:val="both"/>
        <w:rPr>
          <w:rFonts w:ascii="Arial" w:hAnsi="Arial" w:cs="Arial"/>
          <w:b/>
          <w:bCs/>
          <w:snapToGrid w:val="0"/>
          <w:sz w:val="22"/>
          <w:szCs w:val="20"/>
        </w:rPr>
      </w:pPr>
      <w:r w:rsidRPr="00110AAD">
        <w:rPr>
          <w:rFonts w:ascii="Arial" w:hAnsi="Arial" w:cs="Arial"/>
          <w:b/>
          <w:bCs/>
          <w:snapToGrid w:val="0"/>
          <w:sz w:val="22"/>
          <w:szCs w:val="20"/>
        </w:rPr>
        <w:t>Outcome:</w:t>
      </w:r>
    </w:p>
    <w:p w:rsidR="00A92B17" w:rsidRPr="00110AAD" w:rsidRDefault="00A92B17" w:rsidP="00A92B17">
      <w:pPr>
        <w:widowControl w:val="0"/>
        <w:jc w:val="both"/>
        <w:rPr>
          <w:rFonts w:ascii="Arial" w:hAnsi="Arial" w:cs="Arial"/>
          <w:bCs/>
          <w:snapToGrid w:val="0"/>
          <w:sz w:val="22"/>
          <w:szCs w:val="20"/>
        </w:rPr>
      </w:pPr>
      <w:r w:rsidRPr="00110AAD">
        <w:rPr>
          <w:rFonts w:ascii="Arial" w:hAnsi="Arial" w:cs="Arial"/>
          <w:bCs/>
          <w:snapToGrid w:val="0"/>
          <w:sz w:val="22"/>
          <w:szCs w:val="20"/>
        </w:rPr>
        <w:t xml:space="preserve">Recommended </w:t>
      </w:r>
    </w:p>
    <w:p w:rsidR="00D17654" w:rsidRDefault="00D17654">
      <w:pPr>
        <w:rPr>
          <w:rFonts w:ascii="Arial" w:hAnsi="Arial" w:cs="Arial"/>
          <w:b/>
          <w:bCs/>
          <w:snapToGrid w:val="0"/>
          <w:sz w:val="22"/>
          <w:szCs w:val="20"/>
        </w:rPr>
      </w:pPr>
    </w:p>
    <w:p w:rsidR="00A92B17" w:rsidRPr="00FA63EC" w:rsidRDefault="00A92B17" w:rsidP="00FA63EC">
      <w:pPr>
        <w:pStyle w:val="PBACHeading1"/>
      </w:pPr>
      <w:r w:rsidRPr="00FA63EC">
        <w:t>Recommended listing</w:t>
      </w:r>
    </w:p>
    <w:p w:rsidR="00A92B17" w:rsidRPr="00110AAD" w:rsidRDefault="00A92B17" w:rsidP="00A92B17">
      <w:pPr>
        <w:widowControl w:val="0"/>
        <w:jc w:val="both"/>
        <w:rPr>
          <w:rFonts w:ascii="Arial" w:hAnsi="Arial" w:cs="Arial"/>
          <w:b/>
          <w:bCs/>
          <w:i/>
          <w:snapToGrid w:val="0"/>
          <w:sz w:val="22"/>
          <w:szCs w:val="20"/>
          <w:highlight w:val="yellow"/>
        </w:rPr>
      </w:pPr>
    </w:p>
    <w:p w:rsidR="00A92B17" w:rsidRPr="00110AAD" w:rsidRDefault="00A92B17" w:rsidP="007D1CED">
      <w:pPr>
        <w:widowControl w:val="0"/>
        <w:numPr>
          <w:ilvl w:val="1"/>
          <w:numId w:val="5"/>
        </w:numPr>
        <w:jc w:val="both"/>
        <w:rPr>
          <w:rFonts w:ascii="Arial" w:hAnsi="Arial" w:cs="Arial"/>
          <w:bCs/>
          <w:snapToGrid w:val="0"/>
          <w:sz w:val="22"/>
          <w:szCs w:val="20"/>
        </w:rPr>
      </w:pPr>
      <w:r w:rsidRPr="00110AAD">
        <w:rPr>
          <w:rFonts w:ascii="Arial" w:hAnsi="Arial" w:cs="Arial"/>
          <w:bCs/>
          <w:snapToGrid w:val="0"/>
          <w:sz w:val="22"/>
          <w:szCs w:val="20"/>
        </w:rPr>
        <w:t>Add new item:</w:t>
      </w:r>
    </w:p>
    <w:p w:rsidR="00A92B17" w:rsidRPr="00110AAD" w:rsidRDefault="00A92B17" w:rsidP="00A92B17">
      <w:pPr>
        <w:widowControl w:val="0"/>
        <w:jc w:val="both"/>
        <w:rPr>
          <w:rFonts w:ascii="Arial" w:hAnsi="Arial" w:cs="Arial"/>
          <w:b/>
          <w:bCs/>
          <w:snapToGrid w:val="0"/>
          <w:sz w:val="22"/>
          <w:szCs w:val="20"/>
          <w:highlight w:val="yellow"/>
        </w:rPr>
      </w:pPr>
    </w:p>
    <w:tbl>
      <w:tblPr>
        <w:tblW w:w="8505" w:type="dxa"/>
        <w:tblInd w:w="817" w:type="dxa"/>
        <w:tblLayout w:type="fixed"/>
        <w:tblLook w:val="04A0" w:firstRow="1" w:lastRow="0" w:firstColumn="1" w:lastColumn="0" w:noHBand="0" w:noVBand="1"/>
      </w:tblPr>
      <w:tblGrid>
        <w:gridCol w:w="1559"/>
        <w:gridCol w:w="566"/>
        <w:gridCol w:w="285"/>
        <w:gridCol w:w="2126"/>
        <w:gridCol w:w="1278"/>
        <w:gridCol w:w="2691"/>
      </w:tblGrid>
      <w:tr w:rsidR="007D1CED" w:rsidRPr="00110AAD" w:rsidTr="007D1CED">
        <w:trPr>
          <w:cantSplit/>
          <w:trHeight w:val="20"/>
        </w:trPr>
        <w:tc>
          <w:tcPr>
            <w:tcW w:w="1559" w:type="dxa"/>
            <w:tcBorders>
              <w:top w:val="nil"/>
              <w:left w:val="nil"/>
              <w:bottom w:val="single" w:sz="4" w:space="0" w:color="auto"/>
              <w:right w:val="nil"/>
            </w:tcBorders>
            <w:shd w:val="clear" w:color="auto" w:fill="auto"/>
            <w:hideMark/>
          </w:tcPr>
          <w:p w:rsidR="007D1CED" w:rsidRPr="00110AAD" w:rsidRDefault="007D1CED" w:rsidP="00996D29">
            <w:pPr>
              <w:keepNext/>
              <w:ind w:left="-108"/>
              <w:rPr>
                <w:rFonts w:ascii="Arial Narrow" w:hAnsi="Arial Narrow"/>
                <w:sz w:val="20"/>
              </w:rPr>
            </w:pPr>
            <w:r w:rsidRPr="00110AAD">
              <w:rPr>
                <w:rFonts w:ascii="Arial Narrow" w:hAnsi="Arial Narrow"/>
                <w:sz w:val="20"/>
              </w:rPr>
              <w:t>Name, Restriction,</w:t>
            </w:r>
          </w:p>
          <w:p w:rsidR="007D1CED" w:rsidRPr="00110AAD" w:rsidRDefault="007D1CED" w:rsidP="00996D29">
            <w:pPr>
              <w:keepNext/>
              <w:ind w:left="-108"/>
              <w:rPr>
                <w:rFonts w:ascii="Arial Narrow" w:hAnsi="Arial Narrow"/>
                <w:sz w:val="20"/>
              </w:rPr>
            </w:pPr>
            <w:r w:rsidRPr="00110AAD">
              <w:rPr>
                <w:rFonts w:ascii="Arial Narrow" w:hAnsi="Arial Narrow"/>
                <w:sz w:val="20"/>
              </w:rPr>
              <w:t>Manner of administration and form</w:t>
            </w:r>
          </w:p>
        </w:tc>
        <w:tc>
          <w:tcPr>
            <w:tcW w:w="851" w:type="dxa"/>
            <w:gridSpan w:val="2"/>
            <w:tcBorders>
              <w:top w:val="nil"/>
              <w:left w:val="nil"/>
              <w:bottom w:val="single" w:sz="4" w:space="0" w:color="auto"/>
              <w:right w:val="nil"/>
            </w:tcBorders>
            <w:shd w:val="clear" w:color="auto" w:fill="auto"/>
            <w:vAlign w:val="center"/>
            <w:hideMark/>
          </w:tcPr>
          <w:p w:rsidR="007D1CED" w:rsidRPr="00110AAD" w:rsidRDefault="007D1CED" w:rsidP="00996D29">
            <w:pPr>
              <w:keepNext/>
              <w:ind w:left="-108"/>
              <w:jc w:val="center"/>
              <w:rPr>
                <w:rFonts w:ascii="Arial Narrow" w:hAnsi="Arial Narrow"/>
                <w:sz w:val="20"/>
              </w:rPr>
            </w:pPr>
            <w:r w:rsidRPr="00110AAD">
              <w:rPr>
                <w:rFonts w:ascii="Arial Narrow" w:hAnsi="Arial Narrow"/>
                <w:sz w:val="20"/>
              </w:rPr>
              <w:t>Max.</w:t>
            </w:r>
          </w:p>
          <w:p w:rsidR="007D1CED" w:rsidRPr="00110AAD" w:rsidRDefault="007D1CED" w:rsidP="00996D29">
            <w:pPr>
              <w:keepNext/>
              <w:ind w:left="-108"/>
              <w:jc w:val="center"/>
              <w:rPr>
                <w:rFonts w:ascii="Arial Narrow" w:hAnsi="Arial Narrow"/>
                <w:sz w:val="20"/>
              </w:rPr>
            </w:pPr>
            <w:r w:rsidRPr="00110AAD">
              <w:rPr>
                <w:rFonts w:ascii="Arial Narrow" w:hAnsi="Arial Narrow"/>
                <w:sz w:val="20"/>
              </w:rPr>
              <w:t>Qty.</w:t>
            </w:r>
          </w:p>
        </w:tc>
        <w:tc>
          <w:tcPr>
            <w:tcW w:w="2126" w:type="dxa"/>
            <w:tcBorders>
              <w:top w:val="nil"/>
              <w:left w:val="nil"/>
              <w:bottom w:val="single" w:sz="4" w:space="0" w:color="auto"/>
              <w:right w:val="nil"/>
            </w:tcBorders>
            <w:shd w:val="clear" w:color="auto" w:fill="auto"/>
            <w:vAlign w:val="center"/>
            <w:hideMark/>
          </w:tcPr>
          <w:p w:rsidR="007D1CED" w:rsidRPr="00110AAD" w:rsidRDefault="007D1CED" w:rsidP="00996D29">
            <w:pPr>
              <w:keepNext/>
              <w:ind w:left="-108"/>
              <w:jc w:val="center"/>
              <w:rPr>
                <w:rFonts w:ascii="Arial Narrow" w:hAnsi="Arial Narrow"/>
                <w:sz w:val="20"/>
              </w:rPr>
            </w:pPr>
            <w:r w:rsidRPr="00110AAD">
              <w:rPr>
                <w:rFonts w:ascii="Arial Narrow" w:hAnsi="Arial Narrow"/>
                <w:sz w:val="20"/>
              </w:rPr>
              <w:t>№.of</w:t>
            </w:r>
          </w:p>
          <w:p w:rsidR="007D1CED" w:rsidRPr="00110AAD" w:rsidRDefault="007D1CED" w:rsidP="00996D29">
            <w:pPr>
              <w:keepNext/>
              <w:ind w:left="-108"/>
              <w:jc w:val="center"/>
              <w:rPr>
                <w:rFonts w:ascii="Arial Narrow" w:hAnsi="Arial Narrow"/>
                <w:sz w:val="20"/>
              </w:rPr>
            </w:pPr>
            <w:r w:rsidRPr="00110AAD">
              <w:rPr>
                <w:rFonts w:ascii="Arial Narrow" w:hAnsi="Arial Narrow"/>
                <w:sz w:val="20"/>
              </w:rPr>
              <w:t>Rpts</w:t>
            </w:r>
          </w:p>
        </w:tc>
        <w:tc>
          <w:tcPr>
            <w:tcW w:w="3969" w:type="dxa"/>
            <w:gridSpan w:val="2"/>
            <w:tcBorders>
              <w:top w:val="nil"/>
              <w:left w:val="nil"/>
              <w:bottom w:val="single" w:sz="4" w:space="0" w:color="auto"/>
              <w:right w:val="nil"/>
            </w:tcBorders>
            <w:shd w:val="clear" w:color="auto" w:fill="auto"/>
            <w:vAlign w:val="center"/>
            <w:hideMark/>
          </w:tcPr>
          <w:p w:rsidR="007D1CED" w:rsidRPr="00110AAD" w:rsidRDefault="007D1CED" w:rsidP="00996D29">
            <w:pPr>
              <w:keepNext/>
              <w:jc w:val="center"/>
              <w:rPr>
                <w:rFonts w:ascii="Arial Narrow" w:hAnsi="Arial Narrow"/>
                <w:sz w:val="20"/>
              </w:rPr>
            </w:pPr>
            <w:r w:rsidRPr="00110AAD">
              <w:rPr>
                <w:rFonts w:ascii="Arial Narrow" w:hAnsi="Arial Narrow"/>
                <w:sz w:val="20"/>
              </w:rPr>
              <w:t>Proprietary Name and Manufacturer</w:t>
            </w:r>
          </w:p>
        </w:tc>
      </w:tr>
      <w:tr w:rsidR="007D1CED" w:rsidRPr="00110AAD" w:rsidTr="007D1CED">
        <w:trPr>
          <w:cantSplit/>
          <w:trHeight w:val="20"/>
        </w:trPr>
        <w:tc>
          <w:tcPr>
            <w:tcW w:w="1559" w:type="dxa"/>
            <w:shd w:val="clear" w:color="auto" w:fill="auto"/>
            <w:hideMark/>
          </w:tcPr>
          <w:p w:rsidR="007D1CED" w:rsidRPr="00110AAD" w:rsidRDefault="007D1CED" w:rsidP="00996D29">
            <w:pPr>
              <w:keepNext/>
              <w:ind w:left="-108"/>
              <w:rPr>
                <w:rFonts w:ascii="Arial Narrow" w:hAnsi="Arial Narrow"/>
                <w:sz w:val="20"/>
              </w:rPr>
            </w:pPr>
            <w:r w:rsidRPr="00110AAD">
              <w:rPr>
                <w:rFonts w:ascii="Arial Narrow" w:hAnsi="Arial Narrow"/>
                <w:smallCaps/>
                <w:sz w:val="20"/>
              </w:rPr>
              <w:t>VORINOSTAT</w:t>
            </w:r>
          </w:p>
          <w:p w:rsidR="007D1CED" w:rsidRPr="00110AAD" w:rsidRDefault="007D1CED" w:rsidP="00996D29">
            <w:pPr>
              <w:keepNext/>
              <w:ind w:left="-108"/>
              <w:rPr>
                <w:rFonts w:ascii="Arial Narrow" w:hAnsi="Arial Narrow"/>
                <w:sz w:val="20"/>
              </w:rPr>
            </w:pPr>
            <w:r w:rsidRPr="00110AAD">
              <w:rPr>
                <w:rFonts w:ascii="Arial Narrow" w:hAnsi="Arial Narrow"/>
                <w:sz w:val="20"/>
              </w:rPr>
              <w:t>vorinostat 100 mg capsule, 120</w:t>
            </w:r>
          </w:p>
        </w:tc>
        <w:tc>
          <w:tcPr>
            <w:tcW w:w="851" w:type="dxa"/>
            <w:gridSpan w:val="2"/>
            <w:shd w:val="clear" w:color="auto" w:fill="auto"/>
            <w:vAlign w:val="center"/>
          </w:tcPr>
          <w:p w:rsidR="007D1CED" w:rsidRPr="00110AAD" w:rsidRDefault="007D1CED" w:rsidP="00996D29">
            <w:pPr>
              <w:keepNext/>
              <w:ind w:left="-108"/>
              <w:jc w:val="center"/>
              <w:rPr>
                <w:rFonts w:ascii="Arial Narrow" w:hAnsi="Arial Narrow"/>
                <w:sz w:val="20"/>
              </w:rPr>
            </w:pPr>
            <w:r w:rsidRPr="00110AAD">
              <w:rPr>
                <w:rFonts w:ascii="Arial Narrow" w:hAnsi="Arial Narrow"/>
                <w:sz w:val="20"/>
              </w:rPr>
              <w:t>1</w:t>
            </w:r>
          </w:p>
        </w:tc>
        <w:tc>
          <w:tcPr>
            <w:tcW w:w="2126" w:type="dxa"/>
            <w:shd w:val="clear" w:color="auto" w:fill="auto"/>
            <w:vAlign w:val="center"/>
          </w:tcPr>
          <w:p w:rsidR="007D1CED" w:rsidRPr="00110AAD" w:rsidRDefault="007D1CED" w:rsidP="00996D29">
            <w:pPr>
              <w:keepNext/>
              <w:ind w:left="-108"/>
              <w:jc w:val="center"/>
              <w:rPr>
                <w:rFonts w:ascii="Arial Narrow" w:hAnsi="Arial Narrow"/>
                <w:sz w:val="20"/>
              </w:rPr>
            </w:pPr>
            <w:r w:rsidRPr="00110AAD">
              <w:rPr>
                <w:rFonts w:ascii="Arial Narrow" w:hAnsi="Arial Narrow"/>
                <w:sz w:val="20"/>
              </w:rPr>
              <w:t>Initial therapy: 2</w:t>
            </w:r>
          </w:p>
          <w:p w:rsidR="007D1CED" w:rsidRPr="00110AAD" w:rsidRDefault="007D1CED" w:rsidP="00996D29">
            <w:pPr>
              <w:keepNext/>
              <w:ind w:left="-108"/>
              <w:jc w:val="center"/>
              <w:rPr>
                <w:rFonts w:ascii="Arial Narrow" w:hAnsi="Arial Narrow"/>
                <w:sz w:val="20"/>
              </w:rPr>
            </w:pPr>
            <w:r w:rsidRPr="00110AAD">
              <w:rPr>
                <w:rFonts w:ascii="Arial Narrow" w:hAnsi="Arial Narrow"/>
                <w:sz w:val="20"/>
              </w:rPr>
              <w:t>Continuing therapy: 1</w:t>
            </w:r>
          </w:p>
          <w:p w:rsidR="007D1CED" w:rsidRPr="00110AAD" w:rsidRDefault="007D1CED" w:rsidP="00996D29">
            <w:pPr>
              <w:keepNext/>
              <w:ind w:left="-108"/>
              <w:jc w:val="center"/>
              <w:rPr>
                <w:rFonts w:ascii="Arial Narrow" w:hAnsi="Arial Narrow"/>
                <w:sz w:val="20"/>
              </w:rPr>
            </w:pPr>
          </w:p>
        </w:tc>
        <w:tc>
          <w:tcPr>
            <w:tcW w:w="1278" w:type="dxa"/>
            <w:shd w:val="clear" w:color="auto" w:fill="auto"/>
            <w:vAlign w:val="center"/>
            <w:hideMark/>
          </w:tcPr>
          <w:p w:rsidR="007D1CED" w:rsidRPr="00110AAD" w:rsidRDefault="007D1CED" w:rsidP="00996D29">
            <w:pPr>
              <w:keepNext/>
              <w:jc w:val="center"/>
              <w:rPr>
                <w:rFonts w:ascii="Arial Narrow" w:hAnsi="Arial Narrow"/>
                <w:sz w:val="20"/>
              </w:rPr>
            </w:pPr>
            <w:r w:rsidRPr="00110AAD">
              <w:rPr>
                <w:rFonts w:ascii="Arial Narrow" w:hAnsi="Arial Narrow"/>
                <w:sz w:val="20"/>
              </w:rPr>
              <w:t>Zolinza®</w:t>
            </w:r>
          </w:p>
        </w:tc>
        <w:tc>
          <w:tcPr>
            <w:tcW w:w="2691" w:type="dxa"/>
            <w:shd w:val="clear" w:color="auto" w:fill="auto"/>
            <w:vAlign w:val="center"/>
            <w:hideMark/>
          </w:tcPr>
          <w:p w:rsidR="007D1CED" w:rsidRPr="00110AAD" w:rsidRDefault="007D1CED" w:rsidP="00996D29">
            <w:pPr>
              <w:keepNext/>
              <w:jc w:val="center"/>
              <w:rPr>
                <w:rFonts w:ascii="Arial Narrow" w:hAnsi="Arial Narrow"/>
                <w:sz w:val="20"/>
              </w:rPr>
            </w:pPr>
            <w:r w:rsidRPr="00110AAD">
              <w:rPr>
                <w:rFonts w:ascii="Arial Narrow" w:hAnsi="Arial Narrow"/>
                <w:sz w:val="20"/>
              </w:rPr>
              <w:t>Merck Sharp &amp; Dohme (Australia) Pty Ltd</w:t>
            </w:r>
          </w:p>
        </w:tc>
      </w:tr>
      <w:tr w:rsidR="007D1CED" w:rsidRPr="00110AAD" w:rsidTr="007D1CED">
        <w:trPr>
          <w:cantSplit/>
          <w:trHeight w:val="20"/>
        </w:trPr>
        <w:tc>
          <w:tcPr>
            <w:tcW w:w="8501" w:type="dxa"/>
            <w:gridSpan w:val="6"/>
            <w:tcBorders>
              <w:top w:val="nil"/>
              <w:left w:val="nil"/>
              <w:bottom w:val="single" w:sz="4" w:space="0" w:color="auto"/>
              <w:right w:val="nil"/>
            </w:tcBorders>
          </w:tcPr>
          <w:p w:rsidR="007D1CED" w:rsidRPr="00110AAD" w:rsidRDefault="007D1CED" w:rsidP="00996D29">
            <w:pPr>
              <w:rPr>
                <w:rFonts w:ascii="Arial Narrow" w:hAnsi="Arial Narrow"/>
                <w:sz w:val="20"/>
              </w:rPr>
            </w:pPr>
          </w:p>
        </w:tc>
      </w:tr>
      <w:tr w:rsidR="007D1CED" w:rsidRPr="00110AAD" w:rsidTr="007D1CED">
        <w:trPr>
          <w:cantSplit/>
          <w:trHeight w:val="20"/>
        </w:trPr>
        <w:tc>
          <w:tcPr>
            <w:tcW w:w="2125" w:type="dxa"/>
            <w:gridSpan w:val="2"/>
            <w:tcBorders>
              <w:top w:val="single" w:sz="4" w:space="0" w:color="auto"/>
              <w:left w:val="single" w:sz="4" w:space="0" w:color="auto"/>
              <w:bottom w:val="single" w:sz="4" w:space="0" w:color="auto"/>
              <w:right w:val="single" w:sz="4" w:space="0" w:color="auto"/>
            </w:tcBorders>
            <w:hideMark/>
          </w:tcPr>
          <w:p w:rsidR="007D1CED" w:rsidRPr="00110AAD" w:rsidRDefault="007D1CED" w:rsidP="00996D29">
            <w:pPr>
              <w:rPr>
                <w:rFonts w:ascii="Arial Narrow" w:hAnsi="Arial Narrow"/>
                <w:b/>
                <w:sz w:val="20"/>
              </w:rPr>
            </w:pPr>
            <w:r w:rsidRPr="00110AAD">
              <w:rPr>
                <w:rFonts w:ascii="Arial Narrow" w:hAnsi="Arial Narrow"/>
                <w:b/>
                <w:sz w:val="20"/>
              </w:rPr>
              <w:t>Category / Program</w:t>
            </w:r>
          </w:p>
        </w:tc>
        <w:tc>
          <w:tcPr>
            <w:tcW w:w="6376" w:type="dxa"/>
            <w:gridSpan w:val="4"/>
            <w:tcBorders>
              <w:top w:val="single" w:sz="4" w:space="0" w:color="auto"/>
              <w:left w:val="single" w:sz="4" w:space="0" w:color="auto"/>
              <w:bottom w:val="single" w:sz="4" w:space="0" w:color="auto"/>
              <w:right w:val="single" w:sz="4" w:space="0" w:color="auto"/>
            </w:tcBorders>
            <w:hideMark/>
          </w:tcPr>
          <w:p w:rsidR="007D1CED" w:rsidRPr="00110AAD" w:rsidRDefault="007D1CED" w:rsidP="00996D29">
            <w:pPr>
              <w:rPr>
                <w:rFonts w:ascii="Arial Narrow" w:hAnsi="Arial Narrow"/>
                <w:sz w:val="20"/>
              </w:rPr>
            </w:pPr>
            <w:r w:rsidRPr="00110AAD">
              <w:rPr>
                <w:rFonts w:ascii="Arial Narrow" w:hAnsi="Arial Narrow"/>
                <w:sz w:val="20"/>
              </w:rPr>
              <w:t>Section 85 – General Schedule</w:t>
            </w:r>
          </w:p>
        </w:tc>
      </w:tr>
      <w:tr w:rsidR="007D1CED" w:rsidRPr="00110AAD" w:rsidTr="007D1CED">
        <w:trPr>
          <w:cantSplit/>
          <w:trHeight w:val="20"/>
        </w:trPr>
        <w:tc>
          <w:tcPr>
            <w:tcW w:w="2125" w:type="dxa"/>
            <w:gridSpan w:val="2"/>
            <w:tcBorders>
              <w:top w:val="single" w:sz="4" w:space="0" w:color="auto"/>
              <w:left w:val="single" w:sz="4" w:space="0" w:color="auto"/>
              <w:bottom w:val="single" w:sz="4" w:space="0" w:color="auto"/>
              <w:right w:val="single" w:sz="4" w:space="0" w:color="auto"/>
            </w:tcBorders>
          </w:tcPr>
          <w:p w:rsidR="007D1CED" w:rsidRPr="00110AAD" w:rsidRDefault="007D1CED" w:rsidP="00996D29">
            <w:pPr>
              <w:rPr>
                <w:rFonts w:ascii="Arial Narrow" w:hAnsi="Arial Narrow"/>
                <w:b/>
                <w:sz w:val="20"/>
              </w:rPr>
            </w:pPr>
            <w:r w:rsidRPr="00110AAD">
              <w:rPr>
                <w:rFonts w:ascii="Arial Narrow" w:hAnsi="Arial Narrow"/>
                <w:b/>
                <w:sz w:val="20"/>
              </w:rPr>
              <w:t>Prescriber type:</w:t>
            </w:r>
          </w:p>
          <w:p w:rsidR="007D1CED" w:rsidRPr="00110AAD" w:rsidRDefault="007D1CED" w:rsidP="00996D29">
            <w:pPr>
              <w:rPr>
                <w:rFonts w:ascii="Arial Narrow" w:hAnsi="Arial Narrow"/>
                <w:b/>
                <w:sz w:val="20"/>
              </w:rPr>
            </w:pPr>
          </w:p>
        </w:tc>
        <w:tc>
          <w:tcPr>
            <w:tcW w:w="6376" w:type="dxa"/>
            <w:gridSpan w:val="4"/>
            <w:tcBorders>
              <w:top w:val="single" w:sz="4" w:space="0" w:color="auto"/>
              <w:left w:val="single" w:sz="4" w:space="0" w:color="auto"/>
              <w:bottom w:val="single" w:sz="4" w:space="0" w:color="auto"/>
              <w:right w:val="single" w:sz="4" w:space="0" w:color="auto"/>
            </w:tcBorders>
            <w:hideMark/>
          </w:tcPr>
          <w:p w:rsidR="007D1CED" w:rsidRPr="00110AAD" w:rsidRDefault="007D1CED" w:rsidP="00996D29">
            <w:pPr>
              <w:rPr>
                <w:rFonts w:ascii="Arial Narrow" w:hAnsi="Arial Narrow"/>
                <w:sz w:val="20"/>
              </w:rPr>
            </w:pPr>
            <w:r w:rsidRPr="00110AAD">
              <w:rPr>
                <w:rFonts w:ascii="Arial Narrow" w:hAnsi="Arial Narrow"/>
                <w:sz w:val="20"/>
              </w:rPr>
              <w:fldChar w:fldCharType="begin">
                <w:ffData>
                  <w:name w:val="Check1"/>
                  <w:enabled/>
                  <w:calcOnExit w:val="0"/>
                  <w:checkBox>
                    <w:sizeAuto/>
                    <w:default w:val="0"/>
                  </w:checkBox>
                </w:ffData>
              </w:fldChar>
            </w:r>
            <w:r w:rsidRPr="00110AAD">
              <w:rPr>
                <w:rFonts w:ascii="Arial Narrow" w:hAnsi="Arial Narrow"/>
                <w:sz w:val="20"/>
              </w:rPr>
              <w:instrText xml:space="preserve"> FORMCHECKBOX </w:instrText>
            </w:r>
            <w:r w:rsidR="00655C1D">
              <w:rPr>
                <w:rFonts w:ascii="Arial Narrow" w:hAnsi="Arial Narrow"/>
                <w:sz w:val="20"/>
              </w:rPr>
            </w:r>
            <w:r w:rsidR="00655C1D">
              <w:rPr>
                <w:rFonts w:ascii="Arial Narrow" w:hAnsi="Arial Narrow"/>
                <w:sz w:val="20"/>
              </w:rPr>
              <w:fldChar w:fldCharType="separate"/>
            </w:r>
            <w:r w:rsidRPr="00110AAD">
              <w:rPr>
                <w:rFonts w:ascii="Arial Narrow" w:hAnsi="Arial Narrow"/>
                <w:sz w:val="20"/>
              </w:rPr>
              <w:fldChar w:fldCharType="end"/>
            </w:r>
            <w:r w:rsidRPr="00110AAD">
              <w:rPr>
                <w:rFonts w:ascii="Arial Narrow" w:hAnsi="Arial Narrow"/>
                <w:sz w:val="20"/>
              </w:rPr>
              <w:t xml:space="preserve">Dental  </w:t>
            </w:r>
            <w:r w:rsidRPr="00110AAD">
              <w:rPr>
                <w:rFonts w:ascii="Arial Narrow" w:hAnsi="Arial Narrow"/>
                <w:sz w:val="20"/>
              </w:rPr>
              <w:fldChar w:fldCharType="begin">
                <w:ffData>
                  <w:name w:val=""/>
                  <w:enabled/>
                  <w:calcOnExit w:val="0"/>
                  <w:checkBox>
                    <w:sizeAuto/>
                    <w:default w:val="1"/>
                  </w:checkBox>
                </w:ffData>
              </w:fldChar>
            </w:r>
            <w:r w:rsidRPr="00110AAD">
              <w:rPr>
                <w:rFonts w:ascii="Arial Narrow" w:hAnsi="Arial Narrow"/>
                <w:sz w:val="20"/>
              </w:rPr>
              <w:instrText xml:space="preserve"> FORMCHECKBOX </w:instrText>
            </w:r>
            <w:r w:rsidR="00655C1D">
              <w:rPr>
                <w:rFonts w:ascii="Arial Narrow" w:hAnsi="Arial Narrow"/>
                <w:sz w:val="20"/>
              </w:rPr>
            </w:r>
            <w:r w:rsidR="00655C1D">
              <w:rPr>
                <w:rFonts w:ascii="Arial Narrow" w:hAnsi="Arial Narrow"/>
                <w:sz w:val="20"/>
              </w:rPr>
              <w:fldChar w:fldCharType="separate"/>
            </w:r>
            <w:r w:rsidRPr="00110AAD">
              <w:rPr>
                <w:rFonts w:ascii="Arial Narrow" w:hAnsi="Arial Narrow"/>
                <w:sz w:val="20"/>
              </w:rPr>
              <w:fldChar w:fldCharType="end"/>
            </w:r>
            <w:r w:rsidRPr="00110AAD">
              <w:rPr>
                <w:rFonts w:ascii="Arial Narrow" w:hAnsi="Arial Narrow"/>
                <w:sz w:val="20"/>
              </w:rPr>
              <w:t xml:space="preserve">Medical Practitioners  </w:t>
            </w:r>
            <w:r w:rsidRPr="00110AAD">
              <w:rPr>
                <w:rFonts w:ascii="Arial Narrow" w:hAnsi="Arial Narrow"/>
                <w:sz w:val="20"/>
              </w:rPr>
              <w:fldChar w:fldCharType="begin">
                <w:ffData>
                  <w:name w:val="Check3"/>
                  <w:enabled/>
                  <w:calcOnExit w:val="0"/>
                  <w:checkBox>
                    <w:sizeAuto/>
                    <w:default w:val="0"/>
                  </w:checkBox>
                </w:ffData>
              </w:fldChar>
            </w:r>
            <w:r w:rsidRPr="00110AAD">
              <w:rPr>
                <w:rFonts w:ascii="Arial Narrow" w:hAnsi="Arial Narrow"/>
                <w:sz w:val="20"/>
              </w:rPr>
              <w:instrText xml:space="preserve"> FORMCHECKBOX </w:instrText>
            </w:r>
            <w:r w:rsidR="00655C1D">
              <w:rPr>
                <w:rFonts w:ascii="Arial Narrow" w:hAnsi="Arial Narrow"/>
                <w:sz w:val="20"/>
              </w:rPr>
            </w:r>
            <w:r w:rsidR="00655C1D">
              <w:rPr>
                <w:rFonts w:ascii="Arial Narrow" w:hAnsi="Arial Narrow"/>
                <w:sz w:val="20"/>
              </w:rPr>
              <w:fldChar w:fldCharType="separate"/>
            </w:r>
            <w:r w:rsidRPr="00110AAD">
              <w:rPr>
                <w:rFonts w:ascii="Arial Narrow" w:hAnsi="Arial Narrow"/>
                <w:sz w:val="20"/>
              </w:rPr>
              <w:fldChar w:fldCharType="end"/>
            </w:r>
            <w:r w:rsidRPr="00110AAD">
              <w:rPr>
                <w:rFonts w:ascii="Arial Narrow" w:hAnsi="Arial Narrow"/>
                <w:sz w:val="20"/>
              </w:rPr>
              <w:t xml:space="preserve">Nurse practitioners  </w:t>
            </w:r>
            <w:r w:rsidRPr="00110AAD">
              <w:rPr>
                <w:rFonts w:ascii="Arial Narrow" w:hAnsi="Arial Narrow"/>
                <w:sz w:val="20"/>
              </w:rPr>
              <w:fldChar w:fldCharType="begin">
                <w:ffData>
                  <w:name w:val=""/>
                  <w:enabled/>
                  <w:calcOnExit w:val="0"/>
                  <w:checkBox>
                    <w:sizeAuto/>
                    <w:default w:val="0"/>
                  </w:checkBox>
                </w:ffData>
              </w:fldChar>
            </w:r>
            <w:r w:rsidRPr="00110AAD">
              <w:rPr>
                <w:rFonts w:ascii="Arial Narrow" w:hAnsi="Arial Narrow"/>
                <w:sz w:val="20"/>
              </w:rPr>
              <w:instrText xml:space="preserve"> FORMCHECKBOX </w:instrText>
            </w:r>
            <w:r w:rsidR="00655C1D">
              <w:rPr>
                <w:rFonts w:ascii="Arial Narrow" w:hAnsi="Arial Narrow"/>
                <w:sz w:val="20"/>
              </w:rPr>
            </w:r>
            <w:r w:rsidR="00655C1D">
              <w:rPr>
                <w:rFonts w:ascii="Arial Narrow" w:hAnsi="Arial Narrow"/>
                <w:sz w:val="20"/>
              </w:rPr>
              <w:fldChar w:fldCharType="separate"/>
            </w:r>
            <w:r w:rsidRPr="00110AAD">
              <w:rPr>
                <w:rFonts w:ascii="Arial Narrow" w:hAnsi="Arial Narrow"/>
                <w:sz w:val="20"/>
              </w:rPr>
              <w:fldChar w:fldCharType="end"/>
            </w:r>
            <w:r w:rsidRPr="00110AAD">
              <w:rPr>
                <w:rFonts w:ascii="Arial Narrow" w:hAnsi="Arial Narrow"/>
                <w:sz w:val="20"/>
              </w:rPr>
              <w:t>Optometrists</w:t>
            </w:r>
          </w:p>
          <w:p w:rsidR="007D1CED" w:rsidRPr="00110AAD" w:rsidRDefault="007D1CED" w:rsidP="00996D29">
            <w:pPr>
              <w:rPr>
                <w:rFonts w:ascii="Arial Narrow" w:hAnsi="Arial Narrow"/>
                <w:sz w:val="20"/>
              </w:rPr>
            </w:pPr>
            <w:r w:rsidRPr="00110AAD">
              <w:rPr>
                <w:rFonts w:ascii="Arial Narrow" w:hAnsi="Arial Narrow"/>
                <w:sz w:val="20"/>
              </w:rPr>
              <w:fldChar w:fldCharType="begin">
                <w:ffData>
                  <w:name w:val="Check5"/>
                  <w:enabled/>
                  <w:calcOnExit w:val="0"/>
                  <w:checkBox>
                    <w:sizeAuto/>
                    <w:default w:val="0"/>
                  </w:checkBox>
                </w:ffData>
              </w:fldChar>
            </w:r>
            <w:r w:rsidRPr="00110AAD">
              <w:rPr>
                <w:rFonts w:ascii="Arial Narrow" w:hAnsi="Arial Narrow"/>
                <w:sz w:val="20"/>
              </w:rPr>
              <w:instrText xml:space="preserve"> FORMCHECKBOX </w:instrText>
            </w:r>
            <w:r w:rsidR="00655C1D">
              <w:rPr>
                <w:rFonts w:ascii="Arial Narrow" w:hAnsi="Arial Narrow"/>
                <w:sz w:val="20"/>
              </w:rPr>
            </w:r>
            <w:r w:rsidR="00655C1D">
              <w:rPr>
                <w:rFonts w:ascii="Arial Narrow" w:hAnsi="Arial Narrow"/>
                <w:sz w:val="20"/>
              </w:rPr>
              <w:fldChar w:fldCharType="separate"/>
            </w:r>
            <w:r w:rsidRPr="00110AAD">
              <w:rPr>
                <w:rFonts w:ascii="Arial Narrow" w:hAnsi="Arial Narrow"/>
                <w:sz w:val="20"/>
              </w:rPr>
              <w:fldChar w:fldCharType="end"/>
            </w:r>
            <w:r w:rsidRPr="00110AAD">
              <w:rPr>
                <w:rFonts w:ascii="Arial Narrow" w:hAnsi="Arial Narrow"/>
                <w:sz w:val="20"/>
              </w:rPr>
              <w:t>Midwives</w:t>
            </w:r>
          </w:p>
        </w:tc>
      </w:tr>
      <w:tr w:rsidR="007D1CED" w:rsidRPr="00110AAD" w:rsidTr="007D1CED">
        <w:trPr>
          <w:cantSplit/>
          <w:trHeight w:val="20"/>
        </w:trPr>
        <w:tc>
          <w:tcPr>
            <w:tcW w:w="2125" w:type="dxa"/>
            <w:gridSpan w:val="2"/>
            <w:tcBorders>
              <w:top w:val="single" w:sz="4" w:space="0" w:color="auto"/>
              <w:left w:val="single" w:sz="4" w:space="0" w:color="auto"/>
              <w:bottom w:val="single" w:sz="4" w:space="0" w:color="auto"/>
              <w:right w:val="single" w:sz="4" w:space="0" w:color="auto"/>
            </w:tcBorders>
            <w:hideMark/>
          </w:tcPr>
          <w:p w:rsidR="007D1CED" w:rsidRPr="00110AAD" w:rsidRDefault="007D1CED" w:rsidP="00996D29">
            <w:pPr>
              <w:rPr>
                <w:rFonts w:ascii="Arial Narrow" w:hAnsi="Arial Narrow"/>
                <w:b/>
                <w:sz w:val="20"/>
              </w:rPr>
            </w:pPr>
            <w:r w:rsidRPr="00110AAD">
              <w:rPr>
                <w:rFonts w:ascii="Arial Narrow" w:hAnsi="Arial Narrow"/>
                <w:b/>
                <w:sz w:val="20"/>
              </w:rPr>
              <w:t>Condition:</w:t>
            </w:r>
          </w:p>
        </w:tc>
        <w:tc>
          <w:tcPr>
            <w:tcW w:w="6376" w:type="dxa"/>
            <w:gridSpan w:val="4"/>
            <w:tcBorders>
              <w:top w:val="single" w:sz="4" w:space="0" w:color="auto"/>
              <w:left w:val="single" w:sz="4" w:space="0" w:color="auto"/>
              <w:bottom w:val="single" w:sz="4" w:space="0" w:color="auto"/>
              <w:right w:val="single" w:sz="4" w:space="0" w:color="auto"/>
            </w:tcBorders>
            <w:hideMark/>
          </w:tcPr>
          <w:p w:rsidR="007D1CED" w:rsidRPr="00110AAD" w:rsidRDefault="007D1CED" w:rsidP="00996D29">
            <w:pPr>
              <w:rPr>
                <w:rFonts w:ascii="Arial Narrow" w:hAnsi="Arial Narrow"/>
                <w:sz w:val="20"/>
              </w:rPr>
            </w:pPr>
            <w:r w:rsidRPr="00110AAD">
              <w:rPr>
                <w:rFonts w:ascii="Arial Narrow" w:hAnsi="Arial Narrow"/>
                <w:sz w:val="20"/>
              </w:rPr>
              <w:t>Cutaneous T-cell lymphoma</w:t>
            </w:r>
          </w:p>
        </w:tc>
      </w:tr>
      <w:tr w:rsidR="007D1CED" w:rsidRPr="00110AAD" w:rsidTr="007D1CED">
        <w:trPr>
          <w:cantSplit/>
          <w:trHeight w:val="20"/>
        </w:trPr>
        <w:tc>
          <w:tcPr>
            <w:tcW w:w="2125" w:type="dxa"/>
            <w:gridSpan w:val="2"/>
            <w:tcBorders>
              <w:top w:val="single" w:sz="4" w:space="0" w:color="auto"/>
              <w:left w:val="single" w:sz="4" w:space="0" w:color="auto"/>
              <w:bottom w:val="single" w:sz="4" w:space="0" w:color="auto"/>
              <w:right w:val="single" w:sz="4" w:space="0" w:color="auto"/>
            </w:tcBorders>
            <w:hideMark/>
          </w:tcPr>
          <w:p w:rsidR="007D1CED" w:rsidRPr="00110AAD" w:rsidRDefault="007D1CED" w:rsidP="00996D29">
            <w:pPr>
              <w:rPr>
                <w:rFonts w:ascii="Arial Narrow" w:hAnsi="Arial Narrow"/>
                <w:b/>
                <w:sz w:val="20"/>
              </w:rPr>
            </w:pPr>
            <w:r w:rsidRPr="00110AAD">
              <w:rPr>
                <w:rFonts w:ascii="Arial Narrow" w:hAnsi="Arial Narrow"/>
                <w:b/>
                <w:sz w:val="20"/>
              </w:rPr>
              <w:t>PBS Indication:</w:t>
            </w:r>
          </w:p>
        </w:tc>
        <w:tc>
          <w:tcPr>
            <w:tcW w:w="6376" w:type="dxa"/>
            <w:gridSpan w:val="4"/>
            <w:tcBorders>
              <w:top w:val="single" w:sz="4" w:space="0" w:color="auto"/>
              <w:left w:val="single" w:sz="4" w:space="0" w:color="auto"/>
              <w:bottom w:val="single" w:sz="4" w:space="0" w:color="auto"/>
              <w:right w:val="single" w:sz="4" w:space="0" w:color="auto"/>
            </w:tcBorders>
            <w:hideMark/>
          </w:tcPr>
          <w:p w:rsidR="007D1CED" w:rsidRPr="00110AAD" w:rsidRDefault="007D1CED" w:rsidP="00996D29">
            <w:pPr>
              <w:rPr>
                <w:rFonts w:ascii="Arial Narrow" w:hAnsi="Arial Narrow"/>
                <w:sz w:val="20"/>
              </w:rPr>
            </w:pPr>
            <w:r w:rsidRPr="00110AAD">
              <w:rPr>
                <w:rFonts w:ascii="Arial Narrow" w:hAnsi="Arial Narrow"/>
                <w:sz w:val="20"/>
              </w:rPr>
              <w:t>cutaneous T-cell lymphoma</w:t>
            </w:r>
          </w:p>
        </w:tc>
      </w:tr>
      <w:tr w:rsidR="007D1CED" w:rsidRPr="00110AAD" w:rsidTr="007D1CED">
        <w:trPr>
          <w:cantSplit/>
          <w:trHeight w:val="20"/>
        </w:trPr>
        <w:tc>
          <w:tcPr>
            <w:tcW w:w="2125" w:type="dxa"/>
            <w:gridSpan w:val="2"/>
            <w:tcBorders>
              <w:top w:val="single" w:sz="4" w:space="0" w:color="auto"/>
              <w:left w:val="single" w:sz="4" w:space="0" w:color="auto"/>
              <w:bottom w:val="single" w:sz="4" w:space="0" w:color="auto"/>
              <w:right w:val="single" w:sz="4" w:space="0" w:color="auto"/>
            </w:tcBorders>
            <w:hideMark/>
          </w:tcPr>
          <w:p w:rsidR="007D1CED" w:rsidRPr="00110AAD" w:rsidRDefault="007D1CED" w:rsidP="00996D29">
            <w:pPr>
              <w:rPr>
                <w:rFonts w:ascii="Arial Narrow" w:hAnsi="Arial Narrow"/>
                <w:sz w:val="20"/>
              </w:rPr>
            </w:pPr>
            <w:r w:rsidRPr="00110AAD">
              <w:rPr>
                <w:rFonts w:ascii="Arial Narrow" w:hAnsi="Arial Narrow"/>
                <w:b/>
                <w:sz w:val="20"/>
              </w:rPr>
              <w:t>Treatment phase:</w:t>
            </w:r>
          </w:p>
        </w:tc>
        <w:tc>
          <w:tcPr>
            <w:tcW w:w="6376" w:type="dxa"/>
            <w:gridSpan w:val="4"/>
            <w:tcBorders>
              <w:top w:val="single" w:sz="4" w:space="0" w:color="auto"/>
              <w:left w:val="single" w:sz="4" w:space="0" w:color="auto"/>
              <w:bottom w:val="single" w:sz="4" w:space="0" w:color="auto"/>
              <w:right w:val="single" w:sz="4" w:space="0" w:color="auto"/>
            </w:tcBorders>
            <w:hideMark/>
          </w:tcPr>
          <w:p w:rsidR="007D1CED" w:rsidRPr="00110AAD" w:rsidRDefault="007D1CED" w:rsidP="00996D29">
            <w:pPr>
              <w:rPr>
                <w:rFonts w:ascii="Arial Narrow" w:hAnsi="Arial Narrow"/>
                <w:sz w:val="20"/>
              </w:rPr>
            </w:pPr>
            <w:r w:rsidRPr="00110AAD">
              <w:rPr>
                <w:rFonts w:ascii="Arial Narrow" w:hAnsi="Arial Narrow"/>
                <w:sz w:val="20"/>
              </w:rPr>
              <w:t>Initial treatment</w:t>
            </w:r>
          </w:p>
        </w:tc>
      </w:tr>
      <w:tr w:rsidR="007D1CED" w:rsidRPr="00110AAD" w:rsidTr="007D1CED">
        <w:trPr>
          <w:cantSplit/>
          <w:trHeight w:val="20"/>
        </w:trPr>
        <w:tc>
          <w:tcPr>
            <w:tcW w:w="2125" w:type="dxa"/>
            <w:gridSpan w:val="2"/>
            <w:tcBorders>
              <w:top w:val="single" w:sz="4" w:space="0" w:color="auto"/>
              <w:left w:val="single" w:sz="4" w:space="0" w:color="auto"/>
              <w:bottom w:val="single" w:sz="4" w:space="0" w:color="auto"/>
              <w:right w:val="single" w:sz="4" w:space="0" w:color="auto"/>
            </w:tcBorders>
            <w:hideMark/>
          </w:tcPr>
          <w:p w:rsidR="007D1CED" w:rsidRPr="00110AAD" w:rsidRDefault="007D1CED" w:rsidP="00996D29">
            <w:pPr>
              <w:rPr>
                <w:rFonts w:ascii="Arial Narrow" w:hAnsi="Arial Narrow"/>
                <w:sz w:val="20"/>
              </w:rPr>
            </w:pPr>
            <w:r w:rsidRPr="00110AAD">
              <w:rPr>
                <w:rFonts w:ascii="Arial Narrow" w:hAnsi="Arial Narrow"/>
                <w:b/>
                <w:sz w:val="20"/>
              </w:rPr>
              <w:t>Restriction Level / Method:</w:t>
            </w:r>
          </w:p>
        </w:tc>
        <w:tc>
          <w:tcPr>
            <w:tcW w:w="6376" w:type="dxa"/>
            <w:gridSpan w:val="4"/>
            <w:tcBorders>
              <w:top w:val="single" w:sz="4" w:space="0" w:color="auto"/>
              <w:left w:val="single" w:sz="4" w:space="0" w:color="auto"/>
              <w:bottom w:val="single" w:sz="4" w:space="0" w:color="auto"/>
              <w:right w:val="single" w:sz="4" w:space="0" w:color="auto"/>
            </w:tcBorders>
            <w:hideMark/>
          </w:tcPr>
          <w:p w:rsidR="007D1CED" w:rsidRPr="00110AAD" w:rsidRDefault="007D1CED" w:rsidP="00996D29">
            <w:pPr>
              <w:rPr>
                <w:rFonts w:ascii="Arial Narrow" w:hAnsi="Arial Narrow"/>
                <w:sz w:val="20"/>
              </w:rPr>
            </w:pPr>
            <w:r w:rsidRPr="00110AAD">
              <w:rPr>
                <w:rFonts w:ascii="Arial Narrow" w:hAnsi="Arial Narrow"/>
                <w:sz w:val="20"/>
              </w:rPr>
              <w:fldChar w:fldCharType="begin">
                <w:ffData>
                  <w:name w:val=""/>
                  <w:enabled/>
                  <w:calcOnExit w:val="0"/>
                  <w:checkBox>
                    <w:sizeAuto/>
                    <w:default w:val="1"/>
                  </w:checkBox>
                </w:ffData>
              </w:fldChar>
            </w:r>
            <w:r w:rsidRPr="00110AAD">
              <w:rPr>
                <w:rFonts w:ascii="Arial Narrow" w:hAnsi="Arial Narrow"/>
                <w:sz w:val="20"/>
              </w:rPr>
              <w:instrText xml:space="preserve"> FORMCHECKBOX </w:instrText>
            </w:r>
            <w:r w:rsidR="00655C1D">
              <w:rPr>
                <w:rFonts w:ascii="Arial Narrow" w:hAnsi="Arial Narrow"/>
                <w:sz w:val="20"/>
              </w:rPr>
            </w:r>
            <w:r w:rsidR="00655C1D">
              <w:rPr>
                <w:rFonts w:ascii="Arial Narrow" w:hAnsi="Arial Narrow"/>
                <w:sz w:val="20"/>
              </w:rPr>
              <w:fldChar w:fldCharType="separate"/>
            </w:r>
            <w:r w:rsidRPr="00110AAD">
              <w:rPr>
                <w:rFonts w:ascii="Arial Narrow" w:hAnsi="Arial Narrow"/>
                <w:sz w:val="20"/>
              </w:rPr>
              <w:fldChar w:fldCharType="end"/>
            </w:r>
            <w:r w:rsidRPr="00110AAD">
              <w:rPr>
                <w:rFonts w:ascii="Arial Narrow" w:hAnsi="Arial Narrow"/>
                <w:sz w:val="20"/>
              </w:rPr>
              <w:t>Authority Required - In Writing</w:t>
            </w:r>
          </w:p>
        </w:tc>
      </w:tr>
      <w:tr w:rsidR="007D1CED" w:rsidRPr="00110AAD" w:rsidTr="007D1CED">
        <w:trPr>
          <w:cantSplit/>
          <w:trHeight w:val="20"/>
        </w:trPr>
        <w:tc>
          <w:tcPr>
            <w:tcW w:w="2125" w:type="dxa"/>
            <w:gridSpan w:val="2"/>
            <w:tcBorders>
              <w:top w:val="single" w:sz="4" w:space="0" w:color="auto"/>
              <w:left w:val="single" w:sz="4" w:space="0" w:color="auto"/>
              <w:bottom w:val="single" w:sz="4" w:space="0" w:color="auto"/>
              <w:right w:val="single" w:sz="4" w:space="0" w:color="auto"/>
            </w:tcBorders>
          </w:tcPr>
          <w:p w:rsidR="007D1CED" w:rsidRPr="00110AAD" w:rsidRDefault="007D1CED" w:rsidP="00996D29">
            <w:pPr>
              <w:rPr>
                <w:rFonts w:ascii="Arial Narrow" w:hAnsi="Arial Narrow"/>
                <w:b/>
                <w:sz w:val="20"/>
              </w:rPr>
            </w:pPr>
            <w:r w:rsidRPr="00110AAD">
              <w:rPr>
                <w:rFonts w:ascii="Arial Narrow" w:hAnsi="Arial Narrow"/>
                <w:b/>
                <w:sz w:val="20"/>
              </w:rPr>
              <w:t>Clinical criteria:</w:t>
            </w:r>
          </w:p>
          <w:p w:rsidR="007D1CED" w:rsidRPr="00110AAD" w:rsidRDefault="007D1CED" w:rsidP="00996D29">
            <w:pPr>
              <w:rPr>
                <w:rFonts w:ascii="Arial Narrow" w:hAnsi="Arial Narrow"/>
                <w:sz w:val="20"/>
              </w:rPr>
            </w:pPr>
          </w:p>
        </w:tc>
        <w:tc>
          <w:tcPr>
            <w:tcW w:w="6376" w:type="dxa"/>
            <w:gridSpan w:val="4"/>
            <w:tcBorders>
              <w:top w:val="single" w:sz="4" w:space="0" w:color="auto"/>
              <w:left w:val="single" w:sz="4" w:space="0" w:color="auto"/>
              <w:bottom w:val="single" w:sz="4" w:space="0" w:color="auto"/>
              <w:right w:val="single" w:sz="4" w:space="0" w:color="auto"/>
            </w:tcBorders>
          </w:tcPr>
          <w:p w:rsidR="007D1CED" w:rsidRPr="00110AAD" w:rsidRDefault="007D1CED" w:rsidP="00996D29">
            <w:pPr>
              <w:rPr>
                <w:rFonts w:ascii="Arial Narrow" w:hAnsi="Arial Narrow"/>
                <w:sz w:val="20"/>
              </w:rPr>
            </w:pPr>
            <w:r w:rsidRPr="00110AAD">
              <w:rPr>
                <w:rFonts w:ascii="Arial Narrow" w:hAnsi="Arial Narrow"/>
                <w:sz w:val="20"/>
              </w:rPr>
              <w:t xml:space="preserve">Patient must have </w:t>
            </w:r>
            <w:r w:rsidR="00454AA7" w:rsidRPr="00454AA7">
              <w:rPr>
                <w:rFonts w:ascii="Arial Narrow" w:hAnsi="Arial Narrow"/>
                <w:sz w:val="20"/>
              </w:rPr>
              <w:t>received systemic treatment with chemotherapy</w:t>
            </w:r>
            <w:r w:rsidR="006619FF">
              <w:rPr>
                <w:rFonts w:ascii="Arial Narrow" w:hAnsi="Arial Narrow"/>
                <w:sz w:val="20"/>
              </w:rPr>
              <w:t>,</w:t>
            </w:r>
          </w:p>
          <w:p w:rsidR="00BF32B1" w:rsidRPr="00110AAD" w:rsidRDefault="00BF32B1" w:rsidP="00996D29">
            <w:pPr>
              <w:rPr>
                <w:rFonts w:ascii="Arial Narrow" w:hAnsi="Arial Narrow"/>
                <w:sz w:val="20"/>
              </w:rPr>
            </w:pPr>
          </w:p>
          <w:p w:rsidR="007D1CED" w:rsidRPr="00110AAD" w:rsidRDefault="007D1CED" w:rsidP="00996D29">
            <w:pPr>
              <w:rPr>
                <w:rFonts w:ascii="Arial Narrow" w:hAnsi="Arial Narrow"/>
                <w:sz w:val="20"/>
              </w:rPr>
            </w:pPr>
            <w:r w:rsidRPr="00110AAD">
              <w:rPr>
                <w:rFonts w:ascii="Arial Narrow" w:hAnsi="Arial Narrow"/>
                <w:sz w:val="20"/>
              </w:rPr>
              <w:t>AND</w:t>
            </w:r>
          </w:p>
          <w:p w:rsidR="00BF32B1" w:rsidRPr="00110AAD" w:rsidRDefault="00BF32B1" w:rsidP="00996D29">
            <w:pPr>
              <w:rPr>
                <w:rFonts w:ascii="Arial Narrow" w:hAnsi="Arial Narrow"/>
                <w:sz w:val="20"/>
              </w:rPr>
            </w:pPr>
          </w:p>
          <w:p w:rsidR="007D1CED" w:rsidRPr="00110AAD" w:rsidRDefault="007D1CED" w:rsidP="00996D29">
            <w:pPr>
              <w:rPr>
                <w:rFonts w:ascii="Arial Narrow" w:hAnsi="Arial Narrow"/>
                <w:sz w:val="20"/>
              </w:rPr>
            </w:pPr>
            <w:r w:rsidRPr="00110AAD">
              <w:rPr>
                <w:rFonts w:ascii="Arial Narrow" w:hAnsi="Arial Narrow"/>
                <w:sz w:val="20"/>
              </w:rPr>
              <w:t>Patient must demonstrate relapsed or chemotherapy-refractory disease,</w:t>
            </w:r>
          </w:p>
          <w:p w:rsidR="00BF32B1" w:rsidRPr="00110AAD" w:rsidRDefault="00BF32B1" w:rsidP="00996D29">
            <w:pPr>
              <w:rPr>
                <w:rFonts w:ascii="Arial Narrow" w:hAnsi="Arial Narrow"/>
                <w:sz w:val="20"/>
              </w:rPr>
            </w:pPr>
          </w:p>
          <w:p w:rsidR="007D1CED" w:rsidRDefault="007D1CED" w:rsidP="00996D29">
            <w:pPr>
              <w:rPr>
                <w:rFonts w:ascii="Arial Narrow" w:hAnsi="Arial Narrow"/>
                <w:sz w:val="20"/>
              </w:rPr>
            </w:pPr>
            <w:r w:rsidRPr="00110AAD">
              <w:rPr>
                <w:rFonts w:ascii="Arial Narrow" w:hAnsi="Arial Narrow"/>
                <w:sz w:val="20"/>
              </w:rPr>
              <w:t>AND</w:t>
            </w:r>
          </w:p>
          <w:p w:rsidR="00114524" w:rsidRDefault="00114524" w:rsidP="00996D29">
            <w:pPr>
              <w:rPr>
                <w:rFonts w:ascii="Arial Narrow" w:hAnsi="Arial Narrow"/>
                <w:sz w:val="20"/>
              </w:rPr>
            </w:pPr>
          </w:p>
          <w:p w:rsidR="00114524" w:rsidRPr="00110AAD" w:rsidRDefault="00114524" w:rsidP="00996D29">
            <w:pPr>
              <w:rPr>
                <w:rFonts w:ascii="Arial Narrow" w:hAnsi="Arial Narrow"/>
                <w:sz w:val="20"/>
              </w:rPr>
            </w:pPr>
            <w:r>
              <w:rPr>
                <w:rFonts w:ascii="Arial Narrow" w:hAnsi="Arial Narrow"/>
                <w:sz w:val="20"/>
              </w:rPr>
              <w:t>Patient must be ineligible for stem cell transplant</w:t>
            </w:r>
          </w:p>
          <w:p w:rsidR="00084554" w:rsidRDefault="00084554" w:rsidP="00996D29">
            <w:pPr>
              <w:rPr>
                <w:rFonts w:ascii="Arial Narrow" w:hAnsi="Arial Narrow"/>
                <w:sz w:val="20"/>
              </w:rPr>
            </w:pPr>
          </w:p>
          <w:p w:rsidR="00BF32B1" w:rsidRDefault="00084554" w:rsidP="00996D29">
            <w:pPr>
              <w:rPr>
                <w:rFonts w:ascii="Arial Narrow" w:hAnsi="Arial Narrow"/>
                <w:sz w:val="20"/>
              </w:rPr>
            </w:pPr>
            <w:r>
              <w:rPr>
                <w:rFonts w:ascii="Arial Narrow" w:hAnsi="Arial Narrow"/>
                <w:sz w:val="20"/>
              </w:rPr>
              <w:t xml:space="preserve">AND </w:t>
            </w:r>
          </w:p>
          <w:p w:rsidR="00084554" w:rsidRPr="00110AAD" w:rsidRDefault="00084554" w:rsidP="00996D29">
            <w:pPr>
              <w:rPr>
                <w:rFonts w:ascii="Arial Narrow" w:hAnsi="Arial Narrow"/>
                <w:sz w:val="20"/>
              </w:rPr>
            </w:pPr>
          </w:p>
          <w:p w:rsidR="007D1CED" w:rsidRPr="00110AAD" w:rsidRDefault="007D1CED" w:rsidP="00513B97">
            <w:pPr>
              <w:rPr>
                <w:rFonts w:ascii="Arial Narrow" w:hAnsi="Arial Narrow"/>
                <w:sz w:val="20"/>
              </w:rPr>
            </w:pPr>
            <w:r w:rsidRPr="00110AAD">
              <w:rPr>
                <w:rFonts w:ascii="Arial Narrow" w:hAnsi="Arial Narrow"/>
                <w:sz w:val="20"/>
              </w:rPr>
              <w:t>The treatment must be the sole PBS-subsidised</w:t>
            </w:r>
            <w:r w:rsidR="00513B97" w:rsidRPr="00110AAD">
              <w:rPr>
                <w:rFonts w:ascii="Arial Narrow" w:hAnsi="Arial Narrow"/>
                <w:sz w:val="20"/>
              </w:rPr>
              <w:t xml:space="preserve"> </w:t>
            </w:r>
            <w:r w:rsidRPr="00110AAD">
              <w:rPr>
                <w:rFonts w:ascii="Arial Narrow" w:hAnsi="Arial Narrow"/>
                <w:sz w:val="20"/>
              </w:rPr>
              <w:t>t</w:t>
            </w:r>
            <w:r w:rsidR="004B688B">
              <w:rPr>
                <w:rFonts w:ascii="Arial Narrow" w:hAnsi="Arial Narrow"/>
                <w:sz w:val="20"/>
              </w:rPr>
              <w:t>reatment</w:t>
            </w:r>
            <w:r w:rsidRPr="00110AAD">
              <w:rPr>
                <w:rFonts w:ascii="Arial Narrow" w:hAnsi="Arial Narrow"/>
                <w:sz w:val="20"/>
              </w:rPr>
              <w:t xml:space="preserve"> for this condition.</w:t>
            </w:r>
          </w:p>
        </w:tc>
      </w:tr>
      <w:tr w:rsidR="007D1CED" w:rsidRPr="00110AAD" w:rsidTr="007D1CED">
        <w:trPr>
          <w:cantSplit/>
          <w:trHeight w:val="20"/>
        </w:trPr>
        <w:tc>
          <w:tcPr>
            <w:tcW w:w="2125" w:type="dxa"/>
            <w:gridSpan w:val="2"/>
            <w:tcBorders>
              <w:top w:val="single" w:sz="4" w:space="0" w:color="auto"/>
              <w:left w:val="single" w:sz="4" w:space="0" w:color="auto"/>
              <w:bottom w:val="single" w:sz="4" w:space="0" w:color="auto"/>
              <w:right w:val="single" w:sz="4" w:space="0" w:color="auto"/>
            </w:tcBorders>
          </w:tcPr>
          <w:p w:rsidR="007D1CED" w:rsidRPr="00110AAD" w:rsidRDefault="007D1CED" w:rsidP="00996D29">
            <w:pPr>
              <w:rPr>
                <w:rFonts w:ascii="Arial Narrow" w:hAnsi="Arial Narrow"/>
                <w:b/>
                <w:sz w:val="20"/>
              </w:rPr>
            </w:pPr>
            <w:r w:rsidRPr="00110AAD">
              <w:rPr>
                <w:rFonts w:ascii="Arial Narrow" w:hAnsi="Arial Narrow"/>
                <w:b/>
                <w:sz w:val="20"/>
              </w:rPr>
              <w:t>Prescriber Instructions</w:t>
            </w:r>
          </w:p>
          <w:p w:rsidR="007D1CED" w:rsidRPr="00110AAD" w:rsidRDefault="007D1CED" w:rsidP="00996D29">
            <w:pPr>
              <w:rPr>
                <w:rFonts w:ascii="Arial Narrow" w:hAnsi="Arial Narrow"/>
                <w:sz w:val="20"/>
              </w:rPr>
            </w:pPr>
          </w:p>
        </w:tc>
        <w:tc>
          <w:tcPr>
            <w:tcW w:w="6376" w:type="dxa"/>
            <w:gridSpan w:val="4"/>
            <w:tcBorders>
              <w:top w:val="single" w:sz="4" w:space="0" w:color="auto"/>
              <w:left w:val="single" w:sz="4" w:space="0" w:color="auto"/>
              <w:bottom w:val="single" w:sz="4" w:space="0" w:color="auto"/>
              <w:right w:val="single" w:sz="4" w:space="0" w:color="auto"/>
            </w:tcBorders>
            <w:hideMark/>
          </w:tcPr>
          <w:p w:rsidR="007D1CED" w:rsidRPr="00110AAD" w:rsidRDefault="007D1CED" w:rsidP="00996D29">
            <w:pPr>
              <w:rPr>
                <w:rFonts w:ascii="Arial Narrow" w:hAnsi="Arial Narrow"/>
                <w:sz w:val="20"/>
              </w:rPr>
            </w:pPr>
            <w:r w:rsidRPr="00110AAD">
              <w:rPr>
                <w:rFonts w:ascii="Arial Narrow" w:hAnsi="Arial Narrow"/>
                <w:sz w:val="20"/>
              </w:rPr>
              <w:t>Applications for authorisation of initial treatment must be in writing and must include:</w:t>
            </w:r>
          </w:p>
          <w:p w:rsidR="007D1CED" w:rsidRPr="00110AAD" w:rsidRDefault="007D1CED" w:rsidP="00996D29">
            <w:pPr>
              <w:rPr>
                <w:rFonts w:ascii="Arial Narrow" w:hAnsi="Arial Narrow"/>
                <w:sz w:val="20"/>
              </w:rPr>
            </w:pPr>
            <w:r w:rsidRPr="00110AAD">
              <w:rPr>
                <w:rFonts w:ascii="Arial Narrow" w:hAnsi="Arial Narrow"/>
                <w:sz w:val="20"/>
              </w:rPr>
              <w:t>(a) a completed authority prescription form; and</w:t>
            </w:r>
          </w:p>
          <w:p w:rsidR="007D1CED" w:rsidRPr="00110AAD" w:rsidRDefault="007D1CED" w:rsidP="00996D29">
            <w:pPr>
              <w:rPr>
                <w:rFonts w:ascii="Arial Narrow" w:hAnsi="Arial Narrow"/>
                <w:sz w:val="20"/>
              </w:rPr>
            </w:pPr>
            <w:r w:rsidRPr="00110AAD">
              <w:rPr>
                <w:rFonts w:ascii="Arial Narrow" w:hAnsi="Arial Narrow"/>
                <w:sz w:val="20"/>
              </w:rPr>
              <w:t xml:space="preserve">(b) a completed </w:t>
            </w:r>
            <w:r w:rsidR="00B30469" w:rsidRPr="00110AAD">
              <w:rPr>
                <w:rFonts w:ascii="Arial Narrow" w:hAnsi="Arial Narrow"/>
                <w:sz w:val="20"/>
              </w:rPr>
              <w:t xml:space="preserve">cutaneous T-cell lymphoma </w:t>
            </w:r>
            <w:r w:rsidR="003058E8">
              <w:rPr>
                <w:rFonts w:ascii="Arial Narrow" w:hAnsi="Arial Narrow"/>
                <w:sz w:val="20"/>
              </w:rPr>
              <w:t>(</w:t>
            </w:r>
            <w:r w:rsidRPr="00110AAD">
              <w:rPr>
                <w:rFonts w:ascii="Arial Narrow" w:hAnsi="Arial Narrow"/>
                <w:sz w:val="20"/>
              </w:rPr>
              <w:t>CTCL</w:t>
            </w:r>
            <w:r w:rsidR="003058E8">
              <w:rPr>
                <w:rFonts w:ascii="Arial Narrow" w:hAnsi="Arial Narrow"/>
                <w:sz w:val="20"/>
              </w:rPr>
              <w:t>)</w:t>
            </w:r>
            <w:r w:rsidRPr="00110AAD">
              <w:rPr>
                <w:rFonts w:ascii="Arial Narrow" w:hAnsi="Arial Narrow"/>
                <w:sz w:val="20"/>
              </w:rPr>
              <w:t xml:space="preserve"> vorinostat PBS Authority Application - Supporting Information Form which includes the following:</w:t>
            </w:r>
          </w:p>
          <w:p w:rsidR="006619FF" w:rsidRDefault="007D1CED" w:rsidP="00996D29">
            <w:pPr>
              <w:rPr>
                <w:rFonts w:ascii="Arial Narrow" w:hAnsi="Arial Narrow"/>
                <w:sz w:val="20"/>
              </w:rPr>
            </w:pPr>
            <w:r w:rsidRPr="00110AAD">
              <w:rPr>
                <w:rFonts w:ascii="Arial Narrow" w:hAnsi="Arial Narrow"/>
                <w:sz w:val="20"/>
              </w:rPr>
              <w:t xml:space="preserve">(i) A </w:t>
            </w:r>
            <w:r w:rsidR="005C4862">
              <w:rPr>
                <w:rFonts w:ascii="Arial Narrow" w:hAnsi="Arial Narrow"/>
                <w:sz w:val="20"/>
              </w:rPr>
              <w:t>copy of the histology report</w:t>
            </w:r>
            <w:r w:rsidR="006619FF">
              <w:rPr>
                <w:rFonts w:ascii="Arial Narrow" w:hAnsi="Arial Narrow"/>
                <w:sz w:val="20"/>
              </w:rPr>
              <w:t>;</w:t>
            </w:r>
          </w:p>
          <w:p w:rsidR="007D1CED" w:rsidRDefault="006619FF" w:rsidP="00996D29">
            <w:pPr>
              <w:rPr>
                <w:rFonts w:ascii="Arial Narrow" w:hAnsi="Arial Narrow"/>
                <w:sz w:val="20"/>
              </w:rPr>
            </w:pPr>
            <w:r>
              <w:rPr>
                <w:rFonts w:ascii="Arial Narrow" w:hAnsi="Arial Narrow"/>
                <w:sz w:val="20"/>
              </w:rPr>
              <w:t xml:space="preserve">(ii) </w:t>
            </w:r>
            <w:r w:rsidRPr="006619FF">
              <w:rPr>
                <w:rFonts w:ascii="Arial Narrow" w:hAnsi="Arial Narrow"/>
                <w:sz w:val="20"/>
              </w:rPr>
              <w:t>a declaration of whether the patient's disease is relapsed or refractory, and the date and means by which the patient's disease was assessed as being relapsed or refractory</w:t>
            </w:r>
            <w:r w:rsidR="007D1CED" w:rsidRPr="00110AAD">
              <w:rPr>
                <w:rFonts w:ascii="Arial Narrow" w:hAnsi="Arial Narrow"/>
                <w:sz w:val="20"/>
              </w:rPr>
              <w:t>;</w:t>
            </w:r>
          </w:p>
          <w:p w:rsidR="00454AA7" w:rsidRPr="00110AAD" w:rsidRDefault="00454AA7" w:rsidP="00996D29">
            <w:pPr>
              <w:rPr>
                <w:rFonts w:ascii="Arial Narrow" w:hAnsi="Arial Narrow"/>
                <w:sz w:val="20"/>
              </w:rPr>
            </w:pPr>
            <w:r>
              <w:rPr>
                <w:rFonts w:ascii="Arial Narrow" w:hAnsi="Arial Narrow"/>
                <w:sz w:val="20"/>
              </w:rPr>
              <w:t>(i</w:t>
            </w:r>
            <w:r w:rsidR="00CA7CDC">
              <w:rPr>
                <w:rFonts w:ascii="Arial Narrow" w:hAnsi="Arial Narrow"/>
                <w:sz w:val="20"/>
              </w:rPr>
              <w:t>i</w:t>
            </w:r>
            <w:r>
              <w:rPr>
                <w:rFonts w:ascii="Arial Narrow" w:hAnsi="Arial Narrow"/>
                <w:sz w:val="20"/>
              </w:rPr>
              <w:t>i) d</w:t>
            </w:r>
            <w:r w:rsidRPr="00454AA7">
              <w:rPr>
                <w:rFonts w:ascii="Arial Narrow" w:hAnsi="Arial Narrow"/>
                <w:sz w:val="20"/>
              </w:rPr>
              <w:t xml:space="preserve">etails of prior </w:t>
            </w:r>
            <w:r w:rsidRPr="006619FF">
              <w:rPr>
                <w:rFonts w:ascii="Arial Narrow" w:hAnsi="Arial Narrow"/>
                <w:sz w:val="20"/>
              </w:rPr>
              <w:t xml:space="preserve">chemotherapy </w:t>
            </w:r>
            <w:r w:rsidRPr="00454AA7">
              <w:rPr>
                <w:rFonts w:ascii="Arial Narrow" w:hAnsi="Arial Narrow"/>
                <w:sz w:val="20"/>
              </w:rPr>
              <w:t>treatment</w:t>
            </w:r>
            <w:r w:rsidR="006619FF">
              <w:rPr>
                <w:rFonts w:ascii="Arial Narrow" w:hAnsi="Arial Narrow"/>
                <w:sz w:val="20"/>
              </w:rPr>
              <w:t>;</w:t>
            </w:r>
          </w:p>
          <w:p w:rsidR="00301374" w:rsidRDefault="007D1CED" w:rsidP="001B6F41">
            <w:pPr>
              <w:rPr>
                <w:rFonts w:ascii="Arial Narrow" w:hAnsi="Arial Narrow"/>
                <w:sz w:val="20"/>
              </w:rPr>
            </w:pPr>
            <w:r w:rsidRPr="00110AAD">
              <w:rPr>
                <w:rFonts w:ascii="Arial Narrow" w:hAnsi="Arial Narrow"/>
                <w:sz w:val="20"/>
              </w:rPr>
              <w:t>(i</w:t>
            </w:r>
            <w:r w:rsidR="00CA7CDC">
              <w:rPr>
                <w:rFonts w:ascii="Arial Narrow" w:hAnsi="Arial Narrow"/>
                <w:sz w:val="20"/>
              </w:rPr>
              <w:t>v</w:t>
            </w:r>
            <w:r w:rsidRPr="00110AAD">
              <w:rPr>
                <w:rFonts w:ascii="Arial Narrow" w:hAnsi="Arial Narrow"/>
                <w:sz w:val="20"/>
              </w:rPr>
              <w:t>) a declaration of the patient’s ineligi</w:t>
            </w:r>
            <w:r w:rsidR="00B84CB3">
              <w:rPr>
                <w:rFonts w:ascii="Arial Narrow" w:hAnsi="Arial Narrow"/>
                <w:sz w:val="20"/>
              </w:rPr>
              <w:t>bility for stem cell transplant, and</w:t>
            </w:r>
            <w:r w:rsidRPr="00110AAD">
              <w:rPr>
                <w:rFonts w:ascii="Arial Narrow" w:hAnsi="Arial Narrow"/>
                <w:sz w:val="20"/>
              </w:rPr>
              <w:t xml:space="preserve"> </w:t>
            </w:r>
          </w:p>
          <w:p w:rsidR="001B6F41" w:rsidRPr="00110AAD" w:rsidRDefault="00EB4203" w:rsidP="006E3B60">
            <w:pPr>
              <w:rPr>
                <w:rFonts w:ascii="Arial Narrow" w:hAnsi="Arial Narrow"/>
                <w:sz w:val="20"/>
              </w:rPr>
            </w:pPr>
            <w:r>
              <w:rPr>
                <w:rFonts w:ascii="Arial Narrow" w:hAnsi="Arial Narrow"/>
                <w:sz w:val="20"/>
              </w:rPr>
              <w:t>(</w:t>
            </w:r>
            <w:r w:rsidR="00454AA7">
              <w:rPr>
                <w:rFonts w:ascii="Arial Narrow" w:hAnsi="Arial Narrow"/>
                <w:sz w:val="20"/>
              </w:rPr>
              <w:t>v</w:t>
            </w:r>
            <w:r w:rsidR="001B6F41">
              <w:rPr>
                <w:rFonts w:ascii="Arial Narrow" w:hAnsi="Arial Narrow"/>
                <w:sz w:val="20"/>
              </w:rPr>
              <w:t>) a</w:t>
            </w:r>
            <w:r w:rsidR="001B6F41" w:rsidRPr="001B6F41">
              <w:rPr>
                <w:rFonts w:ascii="Arial Narrow" w:hAnsi="Arial Narrow"/>
                <w:sz w:val="20"/>
              </w:rPr>
              <w:t xml:space="preserve"> signed patient acknowledgement.</w:t>
            </w:r>
          </w:p>
        </w:tc>
      </w:tr>
      <w:tr w:rsidR="00BF32B1" w:rsidRPr="00110AAD" w:rsidTr="007D1CED">
        <w:trPr>
          <w:cantSplit/>
          <w:trHeight w:val="20"/>
        </w:trPr>
        <w:tc>
          <w:tcPr>
            <w:tcW w:w="2125" w:type="dxa"/>
            <w:gridSpan w:val="2"/>
            <w:tcBorders>
              <w:top w:val="single" w:sz="4" w:space="0" w:color="auto"/>
              <w:left w:val="single" w:sz="4" w:space="0" w:color="auto"/>
              <w:bottom w:val="single" w:sz="4" w:space="0" w:color="auto"/>
              <w:right w:val="single" w:sz="4" w:space="0" w:color="auto"/>
            </w:tcBorders>
          </w:tcPr>
          <w:p w:rsidR="00BF32B1" w:rsidRPr="00110AAD" w:rsidRDefault="00BF32B1" w:rsidP="00996D29">
            <w:pPr>
              <w:rPr>
                <w:rFonts w:ascii="Arial Narrow" w:hAnsi="Arial Narrow"/>
                <w:b/>
                <w:sz w:val="20"/>
              </w:rPr>
            </w:pPr>
            <w:r w:rsidRPr="00110AAD">
              <w:rPr>
                <w:rFonts w:ascii="Arial Narrow" w:hAnsi="Arial Narrow"/>
                <w:b/>
                <w:sz w:val="20"/>
              </w:rPr>
              <w:t>Administrative Advice</w:t>
            </w:r>
          </w:p>
        </w:tc>
        <w:tc>
          <w:tcPr>
            <w:tcW w:w="6376" w:type="dxa"/>
            <w:gridSpan w:val="4"/>
            <w:tcBorders>
              <w:top w:val="single" w:sz="4" w:space="0" w:color="auto"/>
              <w:left w:val="single" w:sz="4" w:space="0" w:color="auto"/>
              <w:bottom w:val="single" w:sz="4" w:space="0" w:color="auto"/>
              <w:right w:val="single" w:sz="4" w:space="0" w:color="auto"/>
            </w:tcBorders>
          </w:tcPr>
          <w:p w:rsidR="00BF32B1" w:rsidRPr="00110AAD" w:rsidRDefault="007574C3" w:rsidP="00996D29">
            <w:pPr>
              <w:rPr>
                <w:rFonts w:ascii="Arial Narrow" w:hAnsi="Arial Narrow"/>
                <w:sz w:val="20"/>
              </w:rPr>
            </w:pPr>
            <w:r w:rsidRPr="00110AAD">
              <w:rPr>
                <w:rFonts w:ascii="Arial Narrow" w:hAnsi="Arial Narrow"/>
                <w:sz w:val="20"/>
              </w:rPr>
              <w:t>No increase in the maximum quantity or number of units may be authorised.</w:t>
            </w:r>
          </w:p>
          <w:p w:rsidR="007574C3" w:rsidRPr="00110AAD" w:rsidRDefault="007574C3" w:rsidP="00996D29">
            <w:pPr>
              <w:rPr>
                <w:rFonts w:ascii="Arial Narrow" w:hAnsi="Arial Narrow"/>
                <w:sz w:val="20"/>
              </w:rPr>
            </w:pPr>
          </w:p>
          <w:p w:rsidR="007574C3" w:rsidRPr="00110AAD" w:rsidRDefault="007574C3" w:rsidP="00996D29">
            <w:pPr>
              <w:rPr>
                <w:rFonts w:ascii="Arial Narrow" w:hAnsi="Arial Narrow"/>
                <w:sz w:val="20"/>
              </w:rPr>
            </w:pPr>
            <w:r w:rsidRPr="00110AAD">
              <w:rPr>
                <w:rFonts w:ascii="Arial Narrow" w:hAnsi="Arial Narrow"/>
                <w:sz w:val="20"/>
              </w:rPr>
              <w:t>No increase in the maximum number of repeats may be authorised.</w:t>
            </w:r>
          </w:p>
        </w:tc>
      </w:tr>
    </w:tbl>
    <w:p w:rsidR="00D17654" w:rsidRDefault="00D17654" w:rsidP="007D1CED">
      <w:pPr>
        <w:pStyle w:val="ListParagraph"/>
        <w:rPr>
          <w:szCs w:val="22"/>
        </w:rPr>
      </w:pPr>
    </w:p>
    <w:tbl>
      <w:tblPr>
        <w:tblW w:w="4552" w:type="pct"/>
        <w:tblInd w:w="817" w:type="dxa"/>
        <w:tblLook w:val="04A0" w:firstRow="1" w:lastRow="0" w:firstColumn="1" w:lastColumn="0" w:noHBand="0" w:noVBand="1"/>
      </w:tblPr>
      <w:tblGrid>
        <w:gridCol w:w="2127"/>
        <w:gridCol w:w="6287"/>
      </w:tblGrid>
      <w:tr w:rsidR="007D1CED" w:rsidRPr="00110AAD" w:rsidTr="00A3735A">
        <w:trPr>
          <w:cantSplit/>
          <w:trHeight w:val="20"/>
        </w:trPr>
        <w:tc>
          <w:tcPr>
            <w:tcW w:w="1264" w:type="pct"/>
            <w:tcBorders>
              <w:top w:val="single" w:sz="4" w:space="0" w:color="auto"/>
              <w:left w:val="single" w:sz="4" w:space="0" w:color="auto"/>
              <w:bottom w:val="single" w:sz="4" w:space="0" w:color="auto"/>
              <w:right w:val="single" w:sz="4" w:space="0" w:color="auto"/>
            </w:tcBorders>
            <w:hideMark/>
          </w:tcPr>
          <w:p w:rsidR="007D1CED" w:rsidRPr="00110AAD" w:rsidRDefault="007D1CED" w:rsidP="00996D29">
            <w:pPr>
              <w:rPr>
                <w:rFonts w:ascii="Arial Narrow" w:hAnsi="Arial Narrow"/>
                <w:sz w:val="20"/>
              </w:rPr>
            </w:pPr>
            <w:r w:rsidRPr="00110AAD">
              <w:rPr>
                <w:rFonts w:ascii="Arial Narrow" w:hAnsi="Arial Narrow"/>
                <w:b/>
                <w:sz w:val="20"/>
              </w:rPr>
              <w:t>Treatment phase:</w:t>
            </w:r>
          </w:p>
        </w:tc>
        <w:tc>
          <w:tcPr>
            <w:tcW w:w="3736" w:type="pct"/>
            <w:tcBorders>
              <w:top w:val="single" w:sz="4" w:space="0" w:color="auto"/>
              <w:left w:val="single" w:sz="4" w:space="0" w:color="auto"/>
              <w:bottom w:val="single" w:sz="4" w:space="0" w:color="auto"/>
              <w:right w:val="single" w:sz="4" w:space="0" w:color="auto"/>
            </w:tcBorders>
            <w:hideMark/>
          </w:tcPr>
          <w:p w:rsidR="007D1CED" w:rsidRPr="00110AAD" w:rsidRDefault="007D1CED" w:rsidP="00996D29">
            <w:pPr>
              <w:rPr>
                <w:rFonts w:ascii="Arial Narrow" w:hAnsi="Arial Narrow"/>
                <w:sz w:val="20"/>
              </w:rPr>
            </w:pPr>
            <w:r w:rsidRPr="00110AAD">
              <w:rPr>
                <w:rFonts w:ascii="Arial Narrow" w:hAnsi="Arial Narrow"/>
                <w:sz w:val="20"/>
              </w:rPr>
              <w:t>Continuing treatment</w:t>
            </w:r>
          </w:p>
        </w:tc>
      </w:tr>
      <w:tr w:rsidR="007D1CED" w:rsidRPr="00110AAD" w:rsidTr="00A3735A">
        <w:trPr>
          <w:cantSplit/>
          <w:trHeight w:val="656"/>
        </w:trPr>
        <w:tc>
          <w:tcPr>
            <w:tcW w:w="1264" w:type="pct"/>
            <w:tcBorders>
              <w:top w:val="single" w:sz="4" w:space="0" w:color="auto"/>
              <w:left w:val="single" w:sz="4" w:space="0" w:color="auto"/>
              <w:bottom w:val="single" w:sz="4" w:space="0" w:color="auto"/>
              <w:right w:val="single" w:sz="4" w:space="0" w:color="auto"/>
            </w:tcBorders>
          </w:tcPr>
          <w:p w:rsidR="007D1CED" w:rsidRPr="00110AAD" w:rsidRDefault="007D1CED" w:rsidP="00996D29">
            <w:pPr>
              <w:rPr>
                <w:rFonts w:ascii="Arial Narrow" w:hAnsi="Arial Narrow"/>
                <w:sz w:val="20"/>
              </w:rPr>
            </w:pPr>
            <w:r w:rsidRPr="00110AAD">
              <w:rPr>
                <w:rFonts w:ascii="Arial Narrow" w:hAnsi="Arial Narrow"/>
                <w:b/>
                <w:sz w:val="20"/>
              </w:rPr>
              <w:t>Restriction Level / Method:</w:t>
            </w:r>
          </w:p>
        </w:tc>
        <w:tc>
          <w:tcPr>
            <w:tcW w:w="3736" w:type="pct"/>
            <w:tcBorders>
              <w:top w:val="single" w:sz="4" w:space="0" w:color="auto"/>
              <w:left w:val="single" w:sz="4" w:space="0" w:color="auto"/>
              <w:bottom w:val="single" w:sz="4" w:space="0" w:color="auto"/>
              <w:right w:val="single" w:sz="4" w:space="0" w:color="auto"/>
            </w:tcBorders>
            <w:hideMark/>
          </w:tcPr>
          <w:p w:rsidR="007D1CED" w:rsidRPr="00110AAD" w:rsidRDefault="007D1CED" w:rsidP="00996D29">
            <w:pPr>
              <w:keepNext/>
              <w:rPr>
                <w:rFonts w:ascii="Arial Narrow" w:hAnsi="Arial Narrow"/>
                <w:sz w:val="20"/>
              </w:rPr>
            </w:pPr>
            <w:r w:rsidRPr="00110AAD">
              <w:rPr>
                <w:rFonts w:ascii="Arial Narrow" w:hAnsi="Arial Narrow"/>
                <w:sz w:val="20"/>
              </w:rPr>
              <w:fldChar w:fldCharType="begin">
                <w:ffData>
                  <w:name w:val=""/>
                  <w:enabled/>
                  <w:calcOnExit w:val="0"/>
                  <w:checkBox>
                    <w:sizeAuto/>
                    <w:default w:val="1"/>
                  </w:checkBox>
                </w:ffData>
              </w:fldChar>
            </w:r>
            <w:r w:rsidRPr="00110AAD">
              <w:rPr>
                <w:rFonts w:ascii="Arial Narrow" w:hAnsi="Arial Narrow"/>
                <w:sz w:val="20"/>
              </w:rPr>
              <w:instrText xml:space="preserve"> FORMCHECKBOX </w:instrText>
            </w:r>
            <w:r w:rsidR="00655C1D">
              <w:rPr>
                <w:rFonts w:ascii="Arial Narrow" w:hAnsi="Arial Narrow"/>
                <w:sz w:val="20"/>
              </w:rPr>
            </w:r>
            <w:r w:rsidR="00655C1D">
              <w:rPr>
                <w:rFonts w:ascii="Arial Narrow" w:hAnsi="Arial Narrow"/>
                <w:sz w:val="20"/>
              </w:rPr>
              <w:fldChar w:fldCharType="separate"/>
            </w:r>
            <w:r w:rsidRPr="00110AAD">
              <w:rPr>
                <w:rFonts w:ascii="Arial Narrow" w:hAnsi="Arial Narrow"/>
                <w:sz w:val="20"/>
              </w:rPr>
              <w:fldChar w:fldCharType="end"/>
            </w:r>
            <w:r w:rsidRPr="00110AAD">
              <w:rPr>
                <w:rFonts w:ascii="Arial Narrow" w:hAnsi="Arial Narrow"/>
                <w:sz w:val="20"/>
              </w:rPr>
              <w:t>Authority Required - In Writing</w:t>
            </w:r>
          </w:p>
          <w:p w:rsidR="007D1CED" w:rsidRPr="00110AAD" w:rsidRDefault="007D1CED" w:rsidP="00996D29">
            <w:pPr>
              <w:keepNext/>
              <w:rPr>
                <w:rFonts w:ascii="Arial Narrow" w:hAnsi="Arial Narrow"/>
                <w:sz w:val="20"/>
              </w:rPr>
            </w:pPr>
            <w:r w:rsidRPr="00110AAD">
              <w:rPr>
                <w:rFonts w:ascii="Arial Narrow" w:hAnsi="Arial Narrow"/>
                <w:sz w:val="20"/>
              </w:rPr>
              <w:fldChar w:fldCharType="begin">
                <w:ffData>
                  <w:name w:val=""/>
                  <w:enabled w:val="0"/>
                  <w:calcOnExit w:val="0"/>
                  <w:checkBox>
                    <w:sizeAuto/>
                    <w:default w:val="1"/>
                  </w:checkBox>
                </w:ffData>
              </w:fldChar>
            </w:r>
            <w:r w:rsidRPr="00110AAD">
              <w:rPr>
                <w:rFonts w:ascii="Arial Narrow" w:hAnsi="Arial Narrow"/>
                <w:sz w:val="20"/>
              </w:rPr>
              <w:instrText xml:space="preserve"> FORMCHECKBOX </w:instrText>
            </w:r>
            <w:r w:rsidR="00655C1D">
              <w:rPr>
                <w:rFonts w:ascii="Arial Narrow" w:hAnsi="Arial Narrow"/>
                <w:sz w:val="20"/>
              </w:rPr>
            </w:r>
            <w:r w:rsidR="00655C1D">
              <w:rPr>
                <w:rFonts w:ascii="Arial Narrow" w:hAnsi="Arial Narrow"/>
                <w:sz w:val="20"/>
              </w:rPr>
              <w:fldChar w:fldCharType="separate"/>
            </w:r>
            <w:r w:rsidRPr="00110AAD">
              <w:rPr>
                <w:rFonts w:ascii="Arial Narrow" w:hAnsi="Arial Narrow"/>
                <w:sz w:val="20"/>
              </w:rPr>
              <w:fldChar w:fldCharType="end"/>
            </w:r>
            <w:r w:rsidRPr="00110AAD">
              <w:rPr>
                <w:rFonts w:ascii="Arial Narrow" w:hAnsi="Arial Narrow"/>
                <w:sz w:val="20"/>
              </w:rPr>
              <w:t xml:space="preserve">Authority Required </w:t>
            </w:r>
            <w:r w:rsidR="000C01DF">
              <w:rPr>
                <w:rFonts w:ascii="Arial Narrow" w:hAnsi="Arial Narrow"/>
                <w:sz w:val="20"/>
              </w:rPr>
              <w:t>–</w:t>
            </w:r>
            <w:r w:rsidRPr="00110AAD">
              <w:rPr>
                <w:rFonts w:ascii="Arial Narrow" w:hAnsi="Arial Narrow"/>
                <w:sz w:val="20"/>
              </w:rPr>
              <w:t xml:space="preserve"> Telephone</w:t>
            </w:r>
          </w:p>
        </w:tc>
      </w:tr>
      <w:tr w:rsidR="007D1CED" w:rsidRPr="00110AAD" w:rsidTr="00A3735A">
        <w:trPr>
          <w:cantSplit/>
          <w:trHeight w:val="20"/>
        </w:trPr>
        <w:tc>
          <w:tcPr>
            <w:tcW w:w="1264" w:type="pct"/>
            <w:tcBorders>
              <w:top w:val="single" w:sz="4" w:space="0" w:color="auto"/>
              <w:left w:val="single" w:sz="4" w:space="0" w:color="auto"/>
              <w:bottom w:val="single" w:sz="4" w:space="0" w:color="auto"/>
              <w:right w:val="single" w:sz="4" w:space="0" w:color="auto"/>
            </w:tcBorders>
          </w:tcPr>
          <w:p w:rsidR="007D1CED" w:rsidRPr="00110AAD" w:rsidRDefault="007D1CED" w:rsidP="00996D29">
            <w:pPr>
              <w:rPr>
                <w:rFonts w:ascii="Arial Narrow" w:hAnsi="Arial Narrow"/>
                <w:b/>
                <w:sz w:val="20"/>
              </w:rPr>
            </w:pPr>
            <w:r w:rsidRPr="00110AAD">
              <w:rPr>
                <w:rFonts w:ascii="Arial Narrow" w:hAnsi="Arial Narrow"/>
                <w:b/>
                <w:sz w:val="20"/>
              </w:rPr>
              <w:t>Clinical criteria:</w:t>
            </w:r>
          </w:p>
          <w:p w:rsidR="007D1CED" w:rsidRPr="00110AAD" w:rsidRDefault="007D1CED" w:rsidP="00996D29">
            <w:pPr>
              <w:rPr>
                <w:rFonts w:ascii="Arial Narrow" w:hAnsi="Arial Narrow"/>
                <w:sz w:val="20"/>
              </w:rPr>
            </w:pPr>
          </w:p>
        </w:tc>
        <w:tc>
          <w:tcPr>
            <w:tcW w:w="3736" w:type="pct"/>
            <w:tcBorders>
              <w:top w:val="single" w:sz="4" w:space="0" w:color="auto"/>
              <w:left w:val="single" w:sz="4" w:space="0" w:color="auto"/>
              <w:bottom w:val="single" w:sz="4" w:space="0" w:color="auto"/>
              <w:right w:val="single" w:sz="4" w:space="0" w:color="auto"/>
            </w:tcBorders>
            <w:hideMark/>
          </w:tcPr>
          <w:p w:rsidR="007D1CED" w:rsidRPr="00110AAD" w:rsidRDefault="007D1CED" w:rsidP="00996D29">
            <w:pPr>
              <w:rPr>
                <w:rFonts w:ascii="Arial Narrow" w:hAnsi="Arial Narrow"/>
                <w:sz w:val="20"/>
              </w:rPr>
            </w:pPr>
            <w:r w:rsidRPr="00110AAD">
              <w:rPr>
                <w:rFonts w:ascii="Arial Narrow" w:hAnsi="Arial Narrow"/>
                <w:sz w:val="20"/>
              </w:rPr>
              <w:t>Patient must have previously received PBS-subsidised treatment with this drug for this condition,</w:t>
            </w:r>
          </w:p>
          <w:p w:rsidR="00BF32B1" w:rsidRPr="00110AAD" w:rsidRDefault="00BF32B1" w:rsidP="00996D29">
            <w:pPr>
              <w:rPr>
                <w:rFonts w:ascii="Arial Narrow" w:hAnsi="Arial Narrow"/>
                <w:sz w:val="20"/>
              </w:rPr>
            </w:pPr>
          </w:p>
          <w:p w:rsidR="007D1CED" w:rsidRPr="00110AAD" w:rsidRDefault="007D1CED" w:rsidP="00996D29">
            <w:pPr>
              <w:rPr>
                <w:rFonts w:ascii="Arial Narrow" w:hAnsi="Arial Narrow"/>
                <w:sz w:val="20"/>
              </w:rPr>
            </w:pPr>
            <w:r w:rsidRPr="00110AAD">
              <w:rPr>
                <w:rFonts w:ascii="Arial Narrow" w:hAnsi="Arial Narrow"/>
                <w:sz w:val="20"/>
              </w:rPr>
              <w:t>AND</w:t>
            </w:r>
          </w:p>
          <w:p w:rsidR="00BF32B1" w:rsidRPr="00110AAD" w:rsidRDefault="00BF32B1" w:rsidP="00996D29">
            <w:pPr>
              <w:rPr>
                <w:rFonts w:ascii="Arial Narrow" w:hAnsi="Arial Narrow"/>
                <w:sz w:val="20"/>
              </w:rPr>
            </w:pPr>
          </w:p>
          <w:p w:rsidR="007D1CED" w:rsidRPr="00110AAD" w:rsidRDefault="007D1CED" w:rsidP="00996D29">
            <w:pPr>
              <w:rPr>
                <w:rFonts w:ascii="Arial Narrow" w:hAnsi="Arial Narrow"/>
                <w:sz w:val="20"/>
              </w:rPr>
            </w:pPr>
            <w:r w:rsidRPr="00110AAD">
              <w:rPr>
                <w:rFonts w:ascii="Arial Narrow" w:hAnsi="Arial Narrow"/>
                <w:sz w:val="20"/>
              </w:rPr>
              <w:t>Patient must not have progressive disease</w:t>
            </w:r>
            <w:r w:rsidRPr="00110AAD">
              <w:rPr>
                <w:rFonts w:ascii="Arial Narrow" w:hAnsi="Arial Narrow"/>
                <w:color w:val="FF0000"/>
                <w:sz w:val="20"/>
              </w:rPr>
              <w:t xml:space="preserve"> </w:t>
            </w:r>
            <w:r w:rsidRPr="00110AAD">
              <w:rPr>
                <w:rFonts w:ascii="Arial Narrow" w:hAnsi="Arial Narrow"/>
                <w:sz w:val="20"/>
              </w:rPr>
              <w:t>while receiving PBS-subsidised treatment with this drug for this condition,</w:t>
            </w:r>
          </w:p>
          <w:p w:rsidR="00BF32B1" w:rsidRPr="00110AAD" w:rsidRDefault="00BF32B1" w:rsidP="00996D29">
            <w:pPr>
              <w:rPr>
                <w:rFonts w:ascii="Arial Narrow" w:hAnsi="Arial Narrow"/>
                <w:sz w:val="20"/>
              </w:rPr>
            </w:pPr>
          </w:p>
          <w:p w:rsidR="007D1CED" w:rsidRPr="00110AAD" w:rsidRDefault="007D1CED" w:rsidP="00996D29">
            <w:pPr>
              <w:rPr>
                <w:rFonts w:ascii="Arial Narrow" w:hAnsi="Arial Narrow"/>
                <w:sz w:val="20"/>
              </w:rPr>
            </w:pPr>
            <w:r w:rsidRPr="00110AAD">
              <w:rPr>
                <w:rFonts w:ascii="Arial Narrow" w:hAnsi="Arial Narrow"/>
                <w:sz w:val="20"/>
              </w:rPr>
              <w:t>AND</w:t>
            </w:r>
          </w:p>
          <w:p w:rsidR="00BF32B1" w:rsidRPr="00110AAD" w:rsidRDefault="00BF32B1" w:rsidP="00996D29">
            <w:pPr>
              <w:rPr>
                <w:rFonts w:ascii="Arial Narrow" w:hAnsi="Arial Narrow"/>
                <w:sz w:val="20"/>
              </w:rPr>
            </w:pPr>
          </w:p>
          <w:p w:rsidR="007D1CED" w:rsidRPr="00110AAD" w:rsidRDefault="007D1CED" w:rsidP="0097758C">
            <w:pPr>
              <w:rPr>
                <w:rFonts w:ascii="Arial Narrow" w:hAnsi="Arial Narrow"/>
                <w:sz w:val="20"/>
              </w:rPr>
            </w:pPr>
            <w:r w:rsidRPr="00110AAD">
              <w:rPr>
                <w:rFonts w:ascii="Arial Narrow" w:hAnsi="Arial Narrow"/>
                <w:sz w:val="20"/>
              </w:rPr>
              <w:t xml:space="preserve">The treatment must be </w:t>
            </w:r>
            <w:r w:rsidR="000C01DF">
              <w:rPr>
                <w:rFonts w:ascii="Arial Narrow" w:hAnsi="Arial Narrow"/>
                <w:sz w:val="20"/>
              </w:rPr>
              <w:t>the</w:t>
            </w:r>
            <w:r w:rsidRPr="00110AAD">
              <w:rPr>
                <w:rFonts w:ascii="Arial Narrow" w:hAnsi="Arial Narrow"/>
                <w:sz w:val="20"/>
              </w:rPr>
              <w:t xml:space="preserve"> sole PBS-subsidised treatment for this condition.</w:t>
            </w:r>
          </w:p>
        </w:tc>
      </w:tr>
      <w:tr w:rsidR="007574C3" w:rsidRPr="00110AAD" w:rsidTr="00A3735A">
        <w:trPr>
          <w:cantSplit/>
          <w:trHeight w:val="20"/>
        </w:trPr>
        <w:tc>
          <w:tcPr>
            <w:tcW w:w="1264" w:type="pct"/>
            <w:tcBorders>
              <w:top w:val="single" w:sz="4" w:space="0" w:color="auto"/>
              <w:left w:val="single" w:sz="4" w:space="0" w:color="auto"/>
              <w:bottom w:val="single" w:sz="4" w:space="0" w:color="auto"/>
              <w:right w:val="single" w:sz="4" w:space="0" w:color="auto"/>
            </w:tcBorders>
          </w:tcPr>
          <w:p w:rsidR="007574C3" w:rsidRPr="00110AAD" w:rsidRDefault="007574C3" w:rsidP="003C2CE6">
            <w:pPr>
              <w:rPr>
                <w:rFonts w:ascii="Arial Narrow" w:hAnsi="Arial Narrow"/>
                <w:b/>
                <w:sz w:val="20"/>
              </w:rPr>
            </w:pPr>
            <w:r w:rsidRPr="00110AAD">
              <w:rPr>
                <w:rFonts w:ascii="Arial Narrow" w:hAnsi="Arial Narrow"/>
                <w:b/>
                <w:sz w:val="20"/>
              </w:rPr>
              <w:t>Administrative Advice</w:t>
            </w:r>
          </w:p>
        </w:tc>
        <w:tc>
          <w:tcPr>
            <w:tcW w:w="3736" w:type="pct"/>
            <w:tcBorders>
              <w:top w:val="single" w:sz="4" w:space="0" w:color="auto"/>
              <w:left w:val="single" w:sz="4" w:space="0" w:color="auto"/>
              <w:bottom w:val="single" w:sz="4" w:space="0" w:color="auto"/>
              <w:right w:val="single" w:sz="4" w:space="0" w:color="auto"/>
            </w:tcBorders>
          </w:tcPr>
          <w:p w:rsidR="007574C3" w:rsidRPr="00110AAD" w:rsidRDefault="007574C3" w:rsidP="003C2CE6">
            <w:pPr>
              <w:rPr>
                <w:rFonts w:ascii="Arial Narrow" w:hAnsi="Arial Narrow"/>
                <w:sz w:val="20"/>
              </w:rPr>
            </w:pPr>
            <w:r w:rsidRPr="00110AAD">
              <w:rPr>
                <w:rFonts w:ascii="Arial Narrow" w:hAnsi="Arial Narrow"/>
                <w:sz w:val="20"/>
              </w:rPr>
              <w:t>No increase in the maximum quantity or number of units may be authorised.</w:t>
            </w:r>
          </w:p>
          <w:p w:rsidR="007574C3" w:rsidRPr="00110AAD" w:rsidRDefault="007574C3" w:rsidP="003C2CE6">
            <w:pPr>
              <w:rPr>
                <w:rFonts w:ascii="Arial Narrow" w:hAnsi="Arial Narrow"/>
                <w:sz w:val="20"/>
              </w:rPr>
            </w:pPr>
          </w:p>
          <w:p w:rsidR="007574C3" w:rsidRPr="00110AAD" w:rsidRDefault="007574C3" w:rsidP="003C2CE6">
            <w:pPr>
              <w:rPr>
                <w:rFonts w:ascii="Arial Narrow" w:hAnsi="Arial Narrow"/>
                <w:sz w:val="20"/>
              </w:rPr>
            </w:pPr>
            <w:r w:rsidRPr="00110AAD">
              <w:rPr>
                <w:rFonts w:ascii="Arial Narrow" w:hAnsi="Arial Narrow"/>
                <w:sz w:val="20"/>
              </w:rPr>
              <w:t>No increase in the maximum number of repeats may be authorised.</w:t>
            </w:r>
          </w:p>
        </w:tc>
      </w:tr>
    </w:tbl>
    <w:p w:rsidR="00A92B17" w:rsidRPr="00110AAD" w:rsidRDefault="00A92B17" w:rsidP="00A92B17">
      <w:pPr>
        <w:widowControl w:val="0"/>
        <w:jc w:val="both"/>
        <w:rPr>
          <w:rFonts w:ascii="Arial" w:hAnsi="Arial" w:cs="Arial"/>
          <w:snapToGrid w:val="0"/>
          <w:sz w:val="22"/>
          <w:szCs w:val="20"/>
        </w:rPr>
      </w:pPr>
    </w:p>
    <w:p w:rsidR="00187CEE" w:rsidRDefault="00187CEE" w:rsidP="00187CEE">
      <w:pPr>
        <w:rPr>
          <w:rFonts w:ascii="Arial" w:hAnsi="Arial" w:cs="Arial"/>
          <w:sz w:val="22"/>
          <w:szCs w:val="22"/>
        </w:rPr>
      </w:pPr>
    </w:p>
    <w:p w:rsidR="00187CEE" w:rsidRDefault="00187CEE" w:rsidP="00FA63EC">
      <w:pPr>
        <w:pStyle w:val="PBACHeading1"/>
      </w:pPr>
      <w:r w:rsidRPr="00485DD3">
        <w:t>Context for Decision</w:t>
      </w:r>
    </w:p>
    <w:p w:rsidR="00187CEE" w:rsidRDefault="00187CEE" w:rsidP="00946B5F">
      <w:pPr>
        <w:ind w:left="709"/>
        <w:jc w:val="both"/>
        <w:rPr>
          <w:rFonts w:ascii="Arial" w:hAnsi="Arial" w:cs="Arial"/>
          <w:sz w:val="22"/>
        </w:rPr>
      </w:pPr>
    </w:p>
    <w:p w:rsidR="00187CEE" w:rsidRDefault="00187CEE" w:rsidP="00187CEE">
      <w:pPr>
        <w:ind w:left="709"/>
        <w:jc w:val="both"/>
        <w:rPr>
          <w:rFonts w:ascii="Arial" w:hAnsi="Arial" w:cs="Arial"/>
          <w:sz w:val="22"/>
        </w:rPr>
      </w:pPr>
      <w:r w:rsidRPr="004304F6">
        <w:rPr>
          <w:rFonts w:ascii="Arial" w:hAnsi="Arial" w:cs="Arial"/>
          <w:sz w:val="22"/>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9E0A51" w:rsidRDefault="009E0A51" w:rsidP="00187CEE">
      <w:pPr>
        <w:ind w:left="709"/>
        <w:jc w:val="both"/>
        <w:rPr>
          <w:rFonts w:ascii="Arial" w:hAnsi="Arial" w:cs="Arial"/>
          <w:sz w:val="22"/>
        </w:rPr>
      </w:pPr>
    </w:p>
    <w:p w:rsidR="009E0A51" w:rsidRDefault="009E0A51" w:rsidP="00187CEE">
      <w:pPr>
        <w:ind w:left="709"/>
        <w:jc w:val="both"/>
        <w:rPr>
          <w:rFonts w:ascii="Arial" w:hAnsi="Arial" w:cs="Arial"/>
          <w:sz w:val="22"/>
        </w:rPr>
      </w:pPr>
    </w:p>
    <w:p w:rsidR="00187CEE" w:rsidRPr="00B0280B" w:rsidRDefault="00187CEE" w:rsidP="00187CEE">
      <w:pPr>
        <w:pStyle w:val="PBACHeading1"/>
        <w:numPr>
          <w:ilvl w:val="0"/>
          <w:numId w:val="5"/>
        </w:numPr>
        <w:ind w:left="709" w:hanging="709"/>
      </w:pPr>
      <w:r w:rsidRPr="00485DD3">
        <w:t>Sponsor’s Comment</w:t>
      </w:r>
    </w:p>
    <w:p w:rsidR="00946B5F" w:rsidRDefault="00946B5F" w:rsidP="00946B5F">
      <w:pPr>
        <w:ind w:left="709"/>
        <w:jc w:val="both"/>
        <w:rPr>
          <w:rFonts w:ascii="Arial" w:hAnsi="Arial" w:cs="Arial"/>
          <w:bCs/>
          <w:sz w:val="22"/>
          <w:highlight w:val="yellow"/>
          <w:lang w:val="en-GB"/>
        </w:rPr>
      </w:pPr>
    </w:p>
    <w:p w:rsidR="00354390" w:rsidRDefault="00354390" w:rsidP="00354390">
      <w:pPr>
        <w:ind w:left="709"/>
        <w:jc w:val="both"/>
        <w:rPr>
          <w:rFonts w:ascii="Arial" w:hAnsi="Arial" w:cs="Arial"/>
          <w:bCs/>
          <w:iCs/>
          <w:sz w:val="22"/>
        </w:rPr>
      </w:pPr>
      <w:r w:rsidRPr="00354390">
        <w:rPr>
          <w:rFonts w:ascii="Arial" w:hAnsi="Arial" w:cs="Arial"/>
          <w:bCs/>
          <w:iCs/>
          <w:sz w:val="22"/>
        </w:rPr>
        <w:t xml:space="preserve">MSD welcomed this opportunity to work with Rare Cancers Australia and the PBAC to find different </w:t>
      </w:r>
      <w:r w:rsidR="00A42409">
        <w:rPr>
          <w:rFonts w:ascii="Arial" w:hAnsi="Arial" w:cs="Arial"/>
          <w:bCs/>
          <w:iCs/>
          <w:sz w:val="22"/>
        </w:rPr>
        <w:t>ways </w:t>
      </w:r>
      <w:r w:rsidRPr="00354390">
        <w:rPr>
          <w:rFonts w:ascii="Arial" w:hAnsi="Arial" w:cs="Arial"/>
          <w:bCs/>
          <w:iCs/>
          <w:sz w:val="22"/>
        </w:rPr>
        <w:t>to ensure that patients with rare and less common cancers gain the benefits from new therapies. MSD is pleased that the PBAC have made the decision to recommend vorinostat for patients with cutaneous T-cell lymphoma (CTCL). This is a very positive outcome for patients living with a rare cancer and their carer’s and families.</w:t>
      </w:r>
    </w:p>
    <w:p w:rsidR="00354390" w:rsidRPr="00354390" w:rsidRDefault="00354390" w:rsidP="00354390">
      <w:pPr>
        <w:ind w:left="709"/>
        <w:jc w:val="both"/>
        <w:rPr>
          <w:rFonts w:ascii="Arial" w:hAnsi="Arial" w:cs="Arial"/>
          <w:bCs/>
          <w:iCs/>
          <w:sz w:val="22"/>
        </w:rPr>
      </w:pPr>
    </w:p>
    <w:p w:rsidR="00F64CC1" w:rsidRPr="00354390" w:rsidRDefault="00354390" w:rsidP="00354390">
      <w:pPr>
        <w:ind w:left="709"/>
        <w:jc w:val="both"/>
        <w:rPr>
          <w:rFonts w:ascii="Arial" w:hAnsi="Arial" w:cs="Arial"/>
          <w:bCs/>
          <w:iCs/>
          <w:sz w:val="22"/>
        </w:rPr>
      </w:pPr>
      <w:r w:rsidRPr="00354390">
        <w:rPr>
          <w:rFonts w:ascii="Arial" w:hAnsi="Arial" w:cs="Arial"/>
          <w:bCs/>
          <w:iCs/>
          <w:sz w:val="22"/>
        </w:rPr>
        <w:t xml:space="preserve">Rare Cancers Australia (RCA) is delighted </w:t>
      </w:r>
      <w:r w:rsidR="00DE665B">
        <w:rPr>
          <w:rFonts w:ascii="Arial" w:hAnsi="Arial" w:cs="Arial"/>
          <w:bCs/>
          <w:iCs/>
          <w:sz w:val="22"/>
        </w:rPr>
        <w:t>with the decision to recommend vorino</w:t>
      </w:r>
      <w:r w:rsidRPr="00354390">
        <w:rPr>
          <w:rFonts w:ascii="Arial" w:hAnsi="Arial" w:cs="Arial"/>
          <w:bCs/>
          <w:iCs/>
          <w:sz w:val="22"/>
        </w:rPr>
        <w:t>stat. We are delighted that it will give patients with CTCL additional treatment options with the security of a PBS funded medicine. RCA believes that this decision will bring hope to all patients with a rare cancer and we look forward to utilising the experience gained from this submission in the future.</w:t>
      </w:r>
    </w:p>
    <w:sectPr w:rsidR="00F64CC1" w:rsidRPr="00354390" w:rsidSect="00C27B58">
      <w:headerReference w:type="even" r:id="rId9"/>
      <w:headerReference w:type="default" r:id="rId10"/>
      <w:footerReference w:type="even" r:id="rId11"/>
      <w:footerReference w:type="default" r:id="rId12"/>
      <w:headerReference w:type="first" r:id="rId13"/>
      <w:footerReference w:type="first" r:id="rId14"/>
      <w:pgSz w:w="11906" w:h="16838" w:code="9"/>
      <w:pgMar w:top="1440" w:right="1440" w:bottom="1440" w:left="1440" w:header="1440" w:footer="1440" w:gutter="0"/>
      <w:pgNumType w:start="1"/>
      <w:cols w:space="708"/>
      <w:docGrid w:linePitch="360"/>
    </w:sectPr>
  </w:body>
</w:document>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2804135" w15:done="0"/>
  <w15:commentEx w15:paraId="178D4E49" w15:done="0"/>
  <w15:commentEx w15:paraId="334EE773" w15:done="0"/>
  <w15:commentEx w15:paraId="4D977F0F" w15:done="0"/>
  <w15:commentEx w15:paraId="404A4FB5" w15:done="0"/>
  <w15:commentEx w15:paraId="28F07EC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5C1D" w:rsidRDefault="00655C1D">
      <w:r>
        <w:separator/>
      </w:r>
    </w:p>
    <w:p w:rsidR="00655C1D" w:rsidRDefault="00655C1D"/>
  </w:endnote>
  <w:endnote w:type="continuationSeparator" w:id="0">
    <w:p w:rsidR="00655C1D" w:rsidRDefault="00655C1D">
      <w:r>
        <w:continuationSeparator/>
      </w:r>
    </w:p>
    <w:p w:rsidR="00655C1D" w:rsidRDefault="00655C1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Arial Bold">
    <w:panose1 w:val="020B0704020202020204"/>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C0653B" w:rsidTr="005A3173">
      <w:trPr>
        <w:trHeight w:val="151"/>
      </w:trPr>
      <w:tc>
        <w:tcPr>
          <w:tcW w:w="2250" w:type="pct"/>
          <w:tcBorders>
            <w:top w:val="nil"/>
            <w:left w:val="nil"/>
            <w:bottom w:val="single" w:sz="4" w:space="0" w:color="4F81BD"/>
            <w:right w:val="nil"/>
          </w:tcBorders>
        </w:tcPr>
        <w:p w:rsidR="00C0653B" w:rsidRPr="005A3173" w:rsidRDefault="00C0653B" w:rsidP="005A3173">
          <w:pPr>
            <w:pStyle w:val="Header"/>
            <w:spacing w:line="276" w:lineRule="auto"/>
            <w:rPr>
              <w:rFonts w:ascii="Calibri" w:eastAsia="MS Gothic" w:hAnsi="Calibri"/>
              <w:b/>
              <w:bCs/>
              <w:color w:val="4F81BD"/>
            </w:rPr>
          </w:pPr>
        </w:p>
      </w:tc>
      <w:tc>
        <w:tcPr>
          <w:tcW w:w="500" w:type="pct"/>
          <w:vMerge w:val="restart"/>
          <w:noWrap/>
          <w:vAlign w:val="center"/>
          <w:hideMark/>
        </w:tcPr>
        <w:p w:rsidR="00C0653B" w:rsidRPr="005A3173" w:rsidRDefault="00C0653B"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C0653B" w:rsidRPr="005A3173" w:rsidRDefault="00C0653B" w:rsidP="005A3173">
          <w:pPr>
            <w:pStyle w:val="Header"/>
            <w:spacing w:line="276" w:lineRule="auto"/>
            <w:rPr>
              <w:rFonts w:ascii="Calibri" w:eastAsia="MS Gothic" w:hAnsi="Calibri"/>
              <w:b/>
              <w:bCs/>
              <w:color w:val="4F81BD"/>
            </w:rPr>
          </w:pPr>
        </w:p>
      </w:tc>
    </w:tr>
    <w:tr w:rsidR="00C0653B" w:rsidTr="005A3173">
      <w:trPr>
        <w:trHeight w:val="150"/>
      </w:trPr>
      <w:tc>
        <w:tcPr>
          <w:tcW w:w="2250" w:type="pct"/>
          <w:tcBorders>
            <w:top w:val="single" w:sz="4" w:space="0" w:color="4F81BD"/>
            <w:left w:val="nil"/>
            <w:bottom w:val="nil"/>
            <w:right w:val="nil"/>
          </w:tcBorders>
        </w:tcPr>
        <w:p w:rsidR="00C0653B" w:rsidRPr="005A3173" w:rsidRDefault="00C0653B" w:rsidP="005A3173">
          <w:pPr>
            <w:pStyle w:val="Header"/>
            <w:spacing w:line="276" w:lineRule="auto"/>
            <w:rPr>
              <w:rFonts w:ascii="Calibri" w:eastAsia="MS Gothic" w:hAnsi="Calibri"/>
              <w:b/>
              <w:bCs/>
              <w:color w:val="4F81BD"/>
            </w:rPr>
          </w:pPr>
        </w:p>
      </w:tc>
      <w:tc>
        <w:tcPr>
          <w:tcW w:w="0" w:type="auto"/>
          <w:vMerge/>
          <w:vAlign w:val="center"/>
          <w:hideMark/>
        </w:tcPr>
        <w:p w:rsidR="00C0653B" w:rsidRPr="005A3173" w:rsidRDefault="00C0653B" w:rsidP="005A3173">
          <w:pPr>
            <w:rPr>
              <w:rFonts w:ascii="Calibri" w:hAnsi="Calibri"/>
              <w:color w:val="365F91"/>
              <w:sz w:val="22"/>
              <w:szCs w:val="22"/>
            </w:rPr>
          </w:pPr>
        </w:p>
      </w:tc>
      <w:tc>
        <w:tcPr>
          <w:tcW w:w="2250" w:type="pct"/>
          <w:tcBorders>
            <w:top w:val="single" w:sz="4" w:space="0" w:color="4F81BD"/>
            <w:left w:val="nil"/>
            <w:bottom w:val="nil"/>
            <w:right w:val="nil"/>
          </w:tcBorders>
        </w:tcPr>
        <w:p w:rsidR="00C0653B" w:rsidRPr="005A3173" w:rsidRDefault="00C0653B" w:rsidP="005A3173">
          <w:pPr>
            <w:pStyle w:val="Header"/>
            <w:spacing w:line="276" w:lineRule="auto"/>
            <w:rPr>
              <w:rFonts w:ascii="Calibri" w:eastAsia="MS Gothic" w:hAnsi="Calibri"/>
              <w:b/>
              <w:bCs/>
              <w:color w:val="4F81BD"/>
            </w:rPr>
          </w:pPr>
        </w:p>
      </w:tc>
    </w:tr>
  </w:tbl>
  <w:p w:rsidR="00C0653B" w:rsidRDefault="00C0653B"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0653B" w:rsidRDefault="00C0653B">
    <w:pPr>
      <w:pStyle w:val="Footer"/>
    </w:pPr>
  </w:p>
  <w:p w:rsidR="00C0653B" w:rsidRDefault="00C0653B"/>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653B" w:rsidRDefault="00C0653B" w:rsidP="00EF44A0">
    <w:pPr>
      <w:pStyle w:val="Footer"/>
      <w:jc w:val="center"/>
      <w:rPr>
        <w:rFonts w:ascii="Arial" w:hAnsi="Arial" w:cs="Arial"/>
        <w:b/>
        <w:sz w:val="20"/>
        <w:szCs w:val="20"/>
      </w:rPr>
    </w:pPr>
  </w:p>
  <w:p w:rsidR="00C0653B" w:rsidRDefault="00C0653B" w:rsidP="00A92B17">
    <w:pPr>
      <w:pStyle w:val="Footer"/>
      <w:jc w:val="center"/>
      <w:rPr>
        <w:rFonts w:ascii="Arial" w:hAnsi="Arial" w:cs="Arial"/>
        <w:b/>
        <w:sz w:val="20"/>
        <w:szCs w:val="20"/>
      </w:rPr>
    </w:pPr>
    <w:r w:rsidRPr="00651169">
      <w:rPr>
        <w:rFonts w:ascii="Arial" w:hAnsi="Arial" w:cs="Arial"/>
        <w:sz w:val="20"/>
        <w:szCs w:val="20"/>
      </w:rPr>
      <w:fldChar w:fldCharType="begin"/>
    </w:r>
    <w:r w:rsidRPr="00651169">
      <w:rPr>
        <w:rFonts w:ascii="Arial" w:hAnsi="Arial" w:cs="Arial"/>
        <w:sz w:val="20"/>
        <w:szCs w:val="20"/>
      </w:rPr>
      <w:instrText xml:space="preserve"> PAGE   \* MERGEFORMAT </w:instrText>
    </w:r>
    <w:r w:rsidRPr="00651169">
      <w:rPr>
        <w:rFonts w:ascii="Arial" w:hAnsi="Arial" w:cs="Arial"/>
        <w:sz w:val="20"/>
        <w:szCs w:val="20"/>
      </w:rPr>
      <w:fldChar w:fldCharType="separate"/>
    </w:r>
    <w:r w:rsidR="00655C1D">
      <w:rPr>
        <w:rFonts w:ascii="Arial" w:hAnsi="Arial" w:cs="Arial"/>
        <w:noProof/>
        <w:sz w:val="20"/>
        <w:szCs w:val="20"/>
      </w:rPr>
      <w:t>1</w:t>
    </w:r>
    <w:r w:rsidRPr="00651169">
      <w:rPr>
        <w:rFonts w:ascii="Arial" w:hAnsi="Arial" w:cs="Arial"/>
        <w:noProof/>
        <w:sz w:val="20"/>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4A0" w:firstRow="1" w:lastRow="0" w:firstColumn="1" w:lastColumn="0" w:noHBand="0" w:noVBand="1"/>
    </w:tblPr>
    <w:tblGrid>
      <w:gridCol w:w="3995"/>
      <w:gridCol w:w="1252"/>
      <w:gridCol w:w="3995"/>
    </w:tblGrid>
    <w:tr w:rsidR="00C0653B" w:rsidTr="005A3173">
      <w:trPr>
        <w:trHeight w:val="151"/>
      </w:trPr>
      <w:tc>
        <w:tcPr>
          <w:tcW w:w="2250" w:type="pct"/>
          <w:tcBorders>
            <w:top w:val="nil"/>
            <w:left w:val="nil"/>
            <w:bottom w:val="single" w:sz="4" w:space="0" w:color="4F81BD"/>
            <w:right w:val="nil"/>
          </w:tcBorders>
        </w:tcPr>
        <w:p w:rsidR="00C0653B" w:rsidRPr="005A3173" w:rsidRDefault="00C0653B" w:rsidP="005A3173">
          <w:pPr>
            <w:pStyle w:val="Header"/>
            <w:spacing w:line="276" w:lineRule="auto"/>
            <w:rPr>
              <w:rFonts w:ascii="Calibri" w:eastAsia="MS Gothic" w:hAnsi="Calibri"/>
              <w:b/>
              <w:bCs/>
              <w:color w:val="4F81BD"/>
            </w:rPr>
          </w:pPr>
        </w:p>
      </w:tc>
      <w:tc>
        <w:tcPr>
          <w:tcW w:w="500" w:type="pct"/>
          <w:vMerge w:val="restart"/>
          <w:noWrap/>
          <w:vAlign w:val="center"/>
          <w:hideMark/>
        </w:tcPr>
        <w:p w:rsidR="00C0653B" w:rsidRPr="005A3173" w:rsidRDefault="00C0653B"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C0653B" w:rsidRPr="005A3173" w:rsidRDefault="00C0653B" w:rsidP="005A3173">
          <w:pPr>
            <w:pStyle w:val="Header"/>
            <w:spacing w:line="276" w:lineRule="auto"/>
            <w:rPr>
              <w:rFonts w:ascii="Calibri" w:eastAsia="MS Gothic" w:hAnsi="Calibri"/>
              <w:b/>
              <w:bCs/>
              <w:color w:val="4F81BD"/>
            </w:rPr>
          </w:pPr>
        </w:p>
      </w:tc>
    </w:tr>
    <w:tr w:rsidR="00C0653B" w:rsidTr="005A3173">
      <w:trPr>
        <w:trHeight w:val="150"/>
      </w:trPr>
      <w:tc>
        <w:tcPr>
          <w:tcW w:w="2250" w:type="pct"/>
          <w:tcBorders>
            <w:top w:val="single" w:sz="4" w:space="0" w:color="4F81BD"/>
            <w:left w:val="nil"/>
            <w:bottom w:val="nil"/>
            <w:right w:val="nil"/>
          </w:tcBorders>
        </w:tcPr>
        <w:p w:rsidR="00C0653B" w:rsidRPr="005A3173" w:rsidRDefault="00C0653B" w:rsidP="005A3173">
          <w:pPr>
            <w:pStyle w:val="Header"/>
            <w:spacing w:line="276" w:lineRule="auto"/>
            <w:rPr>
              <w:rFonts w:ascii="Calibri" w:eastAsia="MS Gothic" w:hAnsi="Calibri"/>
              <w:b/>
              <w:bCs/>
              <w:color w:val="4F81BD"/>
            </w:rPr>
          </w:pPr>
        </w:p>
      </w:tc>
      <w:tc>
        <w:tcPr>
          <w:tcW w:w="0" w:type="auto"/>
          <w:vMerge/>
          <w:vAlign w:val="center"/>
          <w:hideMark/>
        </w:tcPr>
        <w:p w:rsidR="00C0653B" w:rsidRPr="005A3173" w:rsidRDefault="00C0653B" w:rsidP="005A3173">
          <w:pPr>
            <w:rPr>
              <w:rFonts w:ascii="Calibri" w:hAnsi="Calibri"/>
              <w:color w:val="365F91"/>
              <w:sz w:val="22"/>
              <w:szCs w:val="22"/>
            </w:rPr>
          </w:pPr>
        </w:p>
      </w:tc>
      <w:tc>
        <w:tcPr>
          <w:tcW w:w="2250" w:type="pct"/>
          <w:tcBorders>
            <w:top w:val="single" w:sz="4" w:space="0" w:color="4F81BD"/>
            <w:left w:val="nil"/>
            <w:bottom w:val="nil"/>
            <w:right w:val="nil"/>
          </w:tcBorders>
        </w:tcPr>
        <w:p w:rsidR="00C0653B" w:rsidRPr="005A3173" w:rsidRDefault="00C0653B" w:rsidP="005A3173">
          <w:pPr>
            <w:pStyle w:val="Header"/>
            <w:spacing w:line="276" w:lineRule="auto"/>
            <w:rPr>
              <w:rFonts w:ascii="Calibri" w:eastAsia="MS Gothic" w:hAnsi="Calibri"/>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C0653B" w:rsidTr="005A3173">
      <w:trPr>
        <w:trHeight w:val="151"/>
      </w:trPr>
      <w:tc>
        <w:tcPr>
          <w:tcW w:w="2250" w:type="pct"/>
          <w:tcBorders>
            <w:top w:val="nil"/>
            <w:left w:val="nil"/>
            <w:bottom w:val="single" w:sz="4" w:space="0" w:color="4F81BD"/>
            <w:right w:val="nil"/>
          </w:tcBorders>
        </w:tcPr>
        <w:p w:rsidR="00C0653B" w:rsidRPr="005A3173" w:rsidRDefault="00C0653B" w:rsidP="005A3173">
          <w:pPr>
            <w:pStyle w:val="Header"/>
            <w:spacing w:line="276" w:lineRule="auto"/>
            <w:rPr>
              <w:rFonts w:ascii="Calibri" w:eastAsia="MS Gothic" w:hAnsi="Calibri"/>
              <w:b/>
              <w:bCs/>
              <w:color w:val="4F81BD"/>
            </w:rPr>
          </w:pPr>
        </w:p>
      </w:tc>
      <w:tc>
        <w:tcPr>
          <w:tcW w:w="500" w:type="pct"/>
          <w:vMerge w:val="restart"/>
          <w:noWrap/>
          <w:vAlign w:val="center"/>
          <w:hideMark/>
        </w:tcPr>
        <w:p w:rsidR="00C0653B" w:rsidRPr="005A3173" w:rsidRDefault="00C0653B"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C0653B" w:rsidRPr="005A3173" w:rsidRDefault="00C0653B" w:rsidP="005A3173">
          <w:pPr>
            <w:pStyle w:val="Header"/>
            <w:spacing w:line="276" w:lineRule="auto"/>
            <w:rPr>
              <w:rFonts w:ascii="Calibri" w:eastAsia="MS Gothic" w:hAnsi="Calibri"/>
              <w:b/>
              <w:bCs/>
              <w:color w:val="4F81BD"/>
            </w:rPr>
          </w:pPr>
        </w:p>
      </w:tc>
    </w:tr>
    <w:tr w:rsidR="00C0653B" w:rsidTr="005A3173">
      <w:trPr>
        <w:trHeight w:val="150"/>
      </w:trPr>
      <w:tc>
        <w:tcPr>
          <w:tcW w:w="2250" w:type="pct"/>
          <w:tcBorders>
            <w:top w:val="single" w:sz="4" w:space="0" w:color="4F81BD"/>
            <w:left w:val="nil"/>
            <w:bottom w:val="nil"/>
            <w:right w:val="nil"/>
          </w:tcBorders>
        </w:tcPr>
        <w:p w:rsidR="00C0653B" w:rsidRPr="005A3173" w:rsidRDefault="00C0653B" w:rsidP="005A3173">
          <w:pPr>
            <w:pStyle w:val="Header"/>
            <w:spacing w:line="276" w:lineRule="auto"/>
            <w:rPr>
              <w:rFonts w:ascii="Calibri" w:eastAsia="MS Gothic" w:hAnsi="Calibri"/>
              <w:b/>
              <w:bCs/>
              <w:color w:val="4F81BD"/>
            </w:rPr>
          </w:pPr>
        </w:p>
      </w:tc>
      <w:tc>
        <w:tcPr>
          <w:tcW w:w="0" w:type="auto"/>
          <w:vMerge/>
          <w:vAlign w:val="center"/>
          <w:hideMark/>
        </w:tcPr>
        <w:p w:rsidR="00C0653B" w:rsidRPr="005A3173" w:rsidRDefault="00C0653B" w:rsidP="005A3173">
          <w:pPr>
            <w:rPr>
              <w:rFonts w:ascii="Calibri" w:hAnsi="Calibri"/>
              <w:color w:val="365F91"/>
              <w:sz w:val="22"/>
              <w:szCs w:val="22"/>
            </w:rPr>
          </w:pPr>
        </w:p>
      </w:tc>
      <w:tc>
        <w:tcPr>
          <w:tcW w:w="2250" w:type="pct"/>
          <w:tcBorders>
            <w:top w:val="single" w:sz="4" w:space="0" w:color="4F81BD"/>
            <w:left w:val="nil"/>
            <w:bottom w:val="nil"/>
            <w:right w:val="nil"/>
          </w:tcBorders>
        </w:tcPr>
        <w:p w:rsidR="00C0653B" w:rsidRPr="005A3173" w:rsidRDefault="00C0653B" w:rsidP="005A3173">
          <w:pPr>
            <w:pStyle w:val="Header"/>
            <w:spacing w:line="276" w:lineRule="auto"/>
            <w:rPr>
              <w:rFonts w:ascii="Calibri" w:eastAsia="MS Gothic" w:hAnsi="Calibri"/>
              <w:b/>
              <w:bCs/>
              <w:color w:val="4F81BD"/>
            </w:rPr>
          </w:pPr>
        </w:p>
      </w:tc>
    </w:tr>
  </w:tbl>
  <w:p w:rsidR="00C0653B" w:rsidRPr="007C0F57" w:rsidRDefault="00C0653B"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sidRPr="007C0F57">
      <w:rPr>
        <w:b/>
        <w:i/>
        <w:sz w:val="20"/>
        <w:szCs w:val="20"/>
      </w:rPr>
      <w:t>BAC Meeting</w:t>
    </w:r>
  </w:p>
  <w:p w:rsidR="00C0653B" w:rsidRPr="007C0F57" w:rsidRDefault="00C0653B" w:rsidP="007C0F57">
    <w:pPr>
      <w:pStyle w:val="Footer"/>
      <w:jc w:val="center"/>
      <w:rPr>
        <w:b/>
        <w:i/>
        <w:sz w:val="20"/>
        <w:szCs w:val="20"/>
      </w:rPr>
    </w:pPr>
    <w:r w:rsidRPr="007C0F57">
      <w:rPr>
        <w:b/>
        <w:i/>
        <w:sz w:val="20"/>
        <w:szCs w:val="20"/>
      </w:rPr>
      <w:t>Commercial-in-Confidence</w:t>
    </w:r>
  </w:p>
  <w:p w:rsidR="00C0653B" w:rsidRDefault="00C0653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5C1D" w:rsidRDefault="00655C1D">
      <w:r>
        <w:separator/>
      </w:r>
    </w:p>
    <w:p w:rsidR="00655C1D" w:rsidRDefault="00655C1D"/>
  </w:footnote>
  <w:footnote w:type="continuationSeparator" w:id="0">
    <w:p w:rsidR="00655C1D" w:rsidRDefault="00655C1D">
      <w:r>
        <w:continuationSeparator/>
      </w:r>
    </w:p>
    <w:p w:rsidR="00655C1D" w:rsidRDefault="00655C1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4937" w:type="pct"/>
      <w:tblLook w:val="04A0" w:firstRow="1" w:lastRow="0" w:firstColumn="1" w:lastColumn="0" w:noHBand="0" w:noVBand="1"/>
    </w:tblPr>
    <w:tblGrid>
      <w:gridCol w:w="4038"/>
      <w:gridCol w:w="1252"/>
      <w:gridCol w:w="3836"/>
    </w:tblGrid>
    <w:tr w:rsidR="00C0653B" w:rsidRPr="008E0D90" w:rsidTr="00A06225">
      <w:trPr>
        <w:trHeight w:val="151"/>
      </w:trPr>
      <w:tc>
        <w:tcPr>
          <w:tcW w:w="2389" w:type="pct"/>
          <w:tcBorders>
            <w:top w:val="nil"/>
            <w:left w:val="nil"/>
            <w:bottom w:val="single" w:sz="4" w:space="0" w:color="4F81BD"/>
            <w:right w:val="nil"/>
          </w:tcBorders>
        </w:tcPr>
        <w:p w:rsidR="00C0653B" w:rsidRPr="00A06225" w:rsidRDefault="00C0653B">
          <w:pPr>
            <w:pStyle w:val="Header"/>
            <w:spacing w:line="276" w:lineRule="auto"/>
            <w:rPr>
              <w:rFonts w:ascii="Cambria" w:eastAsia="MS Gothic" w:hAnsi="Cambria"/>
              <w:b/>
              <w:bCs/>
              <w:color w:val="4F81BD"/>
            </w:rPr>
          </w:pPr>
        </w:p>
      </w:tc>
      <w:tc>
        <w:tcPr>
          <w:tcW w:w="333" w:type="pct"/>
          <w:vMerge w:val="restart"/>
          <w:noWrap/>
          <w:vAlign w:val="center"/>
          <w:hideMark/>
        </w:tcPr>
        <w:p w:rsidR="00C0653B" w:rsidRPr="00A06225" w:rsidRDefault="00C0653B"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rsidR="00C0653B" w:rsidRPr="00A06225" w:rsidRDefault="00C0653B">
          <w:pPr>
            <w:pStyle w:val="Header"/>
            <w:spacing w:line="276" w:lineRule="auto"/>
            <w:rPr>
              <w:rFonts w:ascii="Cambria" w:eastAsia="MS Gothic" w:hAnsi="Cambria"/>
              <w:b/>
              <w:bCs/>
              <w:color w:val="4F81BD"/>
            </w:rPr>
          </w:pPr>
        </w:p>
      </w:tc>
    </w:tr>
    <w:tr w:rsidR="00C0653B" w:rsidRPr="008E0D90" w:rsidTr="00A06225">
      <w:trPr>
        <w:trHeight w:val="150"/>
      </w:trPr>
      <w:tc>
        <w:tcPr>
          <w:tcW w:w="2389" w:type="pct"/>
          <w:tcBorders>
            <w:top w:val="single" w:sz="4" w:space="0" w:color="4F81BD"/>
            <w:left w:val="nil"/>
            <w:bottom w:val="nil"/>
            <w:right w:val="nil"/>
          </w:tcBorders>
        </w:tcPr>
        <w:p w:rsidR="00C0653B" w:rsidRPr="00A06225" w:rsidRDefault="00C0653B">
          <w:pPr>
            <w:pStyle w:val="Header"/>
            <w:spacing w:line="276" w:lineRule="auto"/>
            <w:rPr>
              <w:rFonts w:ascii="Cambria" w:eastAsia="MS Gothic" w:hAnsi="Cambria"/>
              <w:b/>
              <w:bCs/>
              <w:color w:val="4F81BD"/>
            </w:rPr>
          </w:pPr>
        </w:p>
      </w:tc>
      <w:tc>
        <w:tcPr>
          <w:tcW w:w="0" w:type="auto"/>
          <w:vMerge/>
          <w:vAlign w:val="center"/>
          <w:hideMark/>
        </w:tcPr>
        <w:p w:rsidR="00C0653B" w:rsidRPr="00A06225" w:rsidRDefault="00C0653B">
          <w:pPr>
            <w:rPr>
              <w:rFonts w:ascii="Cambria" w:hAnsi="Cambria"/>
              <w:color w:val="4F81BD"/>
              <w:sz w:val="22"/>
              <w:szCs w:val="22"/>
            </w:rPr>
          </w:pPr>
        </w:p>
      </w:tc>
      <w:tc>
        <w:tcPr>
          <w:tcW w:w="2278" w:type="pct"/>
          <w:tcBorders>
            <w:top w:val="single" w:sz="4" w:space="0" w:color="4F81BD"/>
            <w:left w:val="nil"/>
            <w:bottom w:val="nil"/>
            <w:right w:val="nil"/>
          </w:tcBorders>
        </w:tcPr>
        <w:p w:rsidR="00C0653B" w:rsidRPr="00A06225" w:rsidRDefault="00C0653B">
          <w:pPr>
            <w:pStyle w:val="Header"/>
            <w:spacing w:line="276" w:lineRule="auto"/>
            <w:rPr>
              <w:rFonts w:ascii="Cambria" w:eastAsia="MS Gothic" w:hAnsi="Cambria"/>
              <w:b/>
              <w:bCs/>
              <w:color w:val="4F81BD"/>
            </w:rPr>
          </w:pPr>
        </w:p>
      </w:tc>
    </w:tr>
  </w:tbl>
  <w:p w:rsidR="00C0653B" w:rsidRDefault="00C0653B">
    <w:pPr>
      <w:pStyle w:val="Header"/>
    </w:pPr>
  </w:p>
  <w:p w:rsidR="00C0653B" w:rsidRDefault="00C0653B"/>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653B" w:rsidRPr="00DF217D" w:rsidRDefault="00187CEE" w:rsidP="00A92B17">
    <w:pPr>
      <w:pStyle w:val="Header"/>
      <w:ind w:left="360"/>
      <w:jc w:val="center"/>
      <w:rPr>
        <w:rFonts w:ascii="Arial" w:hAnsi="Arial" w:cs="Arial"/>
        <w:i/>
        <w:color w:val="808080"/>
        <w:sz w:val="22"/>
      </w:rPr>
    </w:pPr>
    <w:r>
      <w:rPr>
        <w:rFonts w:ascii="Arial" w:hAnsi="Arial" w:cs="Arial"/>
        <w:i/>
        <w:color w:val="808080"/>
        <w:sz w:val="22"/>
      </w:rPr>
      <w:t>Public Summary Document</w:t>
    </w:r>
    <w:r w:rsidR="00C0653B">
      <w:rPr>
        <w:rFonts w:ascii="Arial" w:hAnsi="Arial" w:cs="Arial"/>
        <w:i/>
        <w:color w:val="808080"/>
        <w:sz w:val="22"/>
      </w:rPr>
      <w:t xml:space="preserve"> </w:t>
    </w:r>
    <w:r w:rsidR="00C0653B" w:rsidRPr="00DF217D">
      <w:rPr>
        <w:rFonts w:ascii="Arial" w:hAnsi="Arial" w:cs="Arial"/>
        <w:i/>
        <w:color w:val="808080"/>
        <w:sz w:val="22"/>
      </w:rPr>
      <w:t xml:space="preserve">– </w:t>
    </w:r>
    <w:r w:rsidR="00C0653B">
      <w:rPr>
        <w:rFonts w:ascii="Arial" w:hAnsi="Arial" w:cs="Arial"/>
        <w:i/>
        <w:color w:val="808080"/>
        <w:sz w:val="22"/>
      </w:rPr>
      <w:t xml:space="preserve">March 2017 </w:t>
    </w:r>
    <w:r w:rsidR="00C0653B" w:rsidRPr="00DF217D">
      <w:rPr>
        <w:rFonts w:ascii="Arial" w:hAnsi="Arial" w:cs="Arial"/>
        <w:i/>
        <w:color w:val="808080"/>
        <w:sz w:val="22"/>
      </w:rPr>
      <w:t>PBAC</w:t>
    </w:r>
    <w:r w:rsidR="00C0653B">
      <w:rPr>
        <w:rFonts w:ascii="Arial" w:hAnsi="Arial" w:cs="Arial"/>
        <w:i/>
        <w:color w:val="808080"/>
        <w:sz w:val="22"/>
      </w:rPr>
      <w:t xml:space="preserve"> </w:t>
    </w:r>
    <w:r w:rsidR="00C0653B" w:rsidRPr="00DF217D">
      <w:rPr>
        <w:rFonts w:ascii="Arial" w:hAnsi="Arial" w:cs="Arial"/>
        <w:i/>
        <w:color w:val="808080"/>
        <w:sz w:val="22"/>
      </w:rPr>
      <w:t>Meeting</w:t>
    </w:r>
  </w:p>
  <w:p w:rsidR="00C0653B" w:rsidRDefault="00C0653B" w:rsidP="00A128E6">
    <w:pPr>
      <w:pStyle w:val="NoSpacing"/>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5C1D" w:rsidRDefault="00655C1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0B200EBA"/>
    <w:lvl w:ilvl="0">
      <w:start w:val="1"/>
      <w:numFmt w:val="decimal"/>
      <w:pStyle w:val="Heading1"/>
      <w:lvlText w:val="%1"/>
      <w:lvlJc w:val="left"/>
      <w:pPr>
        <w:tabs>
          <w:tab w:val="num" w:pos="643"/>
        </w:tabs>
        <w:ind w:left="643" w:hanging="360"/>
      </w:pPr>
      <w:rPr>
        <w:rFonts w:hint="default"/>
      </w:rPr>
    </w:lvl>
  </w:abstractNum>
  <w:abstractNum w:abstractNumId="1">
    <w:nsid w:val="FFFFFF88"/>
    <w:multiLevelType w:val="singleLevel"/>
    <w:tmpl w:val="EE52495A"/>
    <w:lvl w:ilvl="0">
      <w:start w:val="1"/>
      <w:numFmt w:val="decimal"/>
      <w:pStyle w:val="ListNumber"/>
      <w:lvlText w:val="%1."/>
      <w:lvlJc w:val="left"/>
      <w:pPr>
        <w:tabs>
          <w:tab w:val="num" w:pos="360"/>
        </w:tabs>
        <w:ind w:left="360" w:hanging="360"/>
      </w:pPr>
    </w:lvl>
  </w:abstractNum>
  <w:abstractNum w:abstractNumId="2">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00AC0811"/>
    <w:multiLevelType w:val="hybridMultilevel"/>
    <w:tmpl w:val="9E3E2776"/>
    <w:lvl w:ilvl="0" w:tplc="369A0A56">
      <w:start w:val="1"/>
      <w:numFmt w:val="bullet"/>
      <w:lvlText w:val=""/>
      <w:lvlJc w:val="left"/>
      <w:pPr>
        <w:tabs>
          <w:tab w:val="num" w:pos="720"/>
        </w:tabs>
        <w:ind w:left="720" w:hanging="360"/>
      </w:pPr>
      <w:rPr>
        <w:rFonts w:ascii="Symbol" w:hAnsi="Symbol" w:hint="default"/>
      </w:rPr>
    </w:lvl>
    <w:lvl w:ilvl="1" w:tplc="E4321262">
      <w:start w:val="1"/>
      <w:numFmt w:val="bullet"/>
      <w:lvlText w:val="o"/>
      <w:lvlJc w:val="left"/>
      <w:pPr>
        <w:tabs>
          <w:tab w:val="num" w:pos="1440"/>
        </w:tabs>
        <w:ind w:left="1440" w:hanging="360"/>
      </w:pPr>
      <w:rPr>
        <w:rFonts w:ascii="Courier New" w:hAnsi="Courier New" w:cs="Courier New" w:hint="default"/>
      </w:rPr>
    </w:lvl>
    <w:lvl w:ilvl="2" w:tplc="8E7CC4D4">
      <w:start w:val="1"/>
      <w:numFmt w:val="bullet"/>
      <w:lvlText w:val=""/>
      <w:lvlJc w:val="left"/>
      <w:pPr>
        <w:tabs>
          <w:tab w:val="num" w:pos="2160"/>
        </w:tabs>
        <w:ind w:left="2160" w:hanging="360"/>
      </w:pPr>
      <w:rPr>
        <w:rFonts w:ascii="Wingdings" w:hAnsi="Wingdings" w:hint="default"/>
      </w:rPr>
    </w:lvl>
    <w:lvl w:ilvl="3" w:tplc="B172EB80" w:tentative="1">
      <w:start w:val="1"/>
      <w:numFmt w:val="bullet"/>
      <w:lvlText w:val=""/>
      <w:lvlJc w:val="left"/>
      <w:pPr>
        <w:tabs>
          <w:tab w:val="num" w:pos="2880"/>
        </w:tabs>
        <w:ind w:left="2880" w:hanging="360"/>
      </w:pPr>
      <w:rPr>
        <w:rFonts w:ascii="Symbol" w:hAnsi="Symbol" w:hint="default"/>
      </w:rPr>
    </w:lvl>
    <w:lvl w:ilvl="4" w:tplc="1F10EB0A" w:tentative="1">
      <w:start w:val="1"/>
      <w:numFmt w:val="bullet"/>
      <w:lvlText w:val="o"/>
      <w:lvlJc w:val="left"/>
      <w:pPr>
        <w:tabs>
          <w:tab w:val="num" w:pos="3600"/>
        </w:tabs>
        <w:ind w:left="3600" w:hanging="360"/>
      </w:pPr>
      <w:rPr>
        <w:rFonts w:ascii="Courier New" w:hAnsi="Courier New" w:cs="Courier New" w:hint="default"/>
      </w:rPr>
    </w:lvl>
    <w:lvl w:ilvl="5" w:tplc="7D4EB088" w:tentative="1">
      <w:start w:val="1"/>
      <w:numFmt w:val="bullet"/>
      <w:lvlText w:val=""/>
      <w:lvlJc w:val="left"/>
      <w:pPr>
        <w:tabs>
          <w:tab w:val="num" w:pos="4320"/>
        </w:tabs>
        <w:ind w:left="4320" w:hanging="360"/>
      </w:pPr>
      <w:rPr>
        <w:rFonts w:ascii="Wingdings" w:hAnsi="Wingdings" w:hint="default"/>
      </w:rPr>
    </w:lvl>
    <w:lvl w:ilvl="6" w:tplc="EF8EA542" w:tentative="1">
      <w:start w:val="1"/>
      <w:numFmt w:val="bullet"/>
      <w:lvlText w:val=""/>
      <w:lvlJc w:val="left"/>
      <w:pPr>
        <w:tabs>
          <w:tab w:val="num" w:pos="5040"/>
        </w:tabs>
        <w:ind w:left="5040" w:hanging="360"/>
      </w:pPr>
      <w:rPr>
        <w:rFonts w:ascii="Symbol" w:hAnsi="Symbol" w:hint="default"/>
      </w:rPr>
    </w:lvl>
    <w:lvl w:ilvl="7" w:tplc="5A12F5AE" w:tentative="1">
      <w:start w:val="1"/>
      <w:numFmt w:val="bullet"/>
      <w:lvlText w:val="o"/>
      <w:lvlJc w:val="left"/>
      <w:pPr>
        <w:tabs>
          <w:tab w:val="num" w:pos="5760"/>
        </w:tabs>
        <w:ind w:left="5760" w:hanging="360"/>
      </w:pPr>
      <w:rPr>
        <w:rFonts w:ascii="Courier New" w:hAnsi="Courier New" w:cs="Courier New" w:hint="default"/>
      </w:rPr>
    </w:lvl>
    <w:lvl w:ilvl="8" w:tplc="D292A61E" w:tentative="1">
      <w:start w:val="1"/>
      <w:numFmt w:val="bullet"/>
      <w:lvlText w:val=""/>
      <w:lvlJc w:val="left"/>
      <w:pPr>
        <w:tabs>
          <w:tab w:val="num" w:pos="6480"/>
        </w:tabs>
        <w:ind w:left="6480" w:hanging="360"/>
      </w:pPr>
      <w:rPr>
        <w:rFonts w:ascii="Wingdings" w:hAnsi="Wingdings" w:hint="default"/>
      </w:rPr>
    </w:lvl>
  </w:abstractNum>
  <w:abstractNum w:abstractNumId="4">
    <w:nsid w:val="06C9011D"/>
    <w:multiLevelType w:val="hybridMultilevel"/>
    <w:tmpl w:val="54025948"/>
    <w:lvl w:ilvl="0" w:tplc="48F662A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0F0015B3"/>
    <w:multiLevelType w:val="hybridMultilevel"/>
    <w:tmpl w:val="67C6A6E6"/>
    <w:lvl w:ilvl="0" w:tplc="18143B82">
      <w:start w:val="1"/>
      <w:numFmt w:val="bullet"/>
      <w:lvlText w:val=""/>
      <w:lvlJc w:val="left"/>
      <w:pPr>
        <w:tabs>
          <w:tab w:val="num" w:pos="720"/>
        </w:tabs>
        <w:ind w:left="720" w:hanging="360"/>
      </w:pPr>
      <w:rPr>
        <w:rFonts w:ascii="Symbol" w:hAnsi="Symbol" w:hint="default"/>
      </w:rPr>
    </w:lvl>
    <w:lvl w:ilvl="1" w:tplc="3BB87880" w:tentative="1">
      <w:start w:val="1"/>
      <w:numFmt w:val="bullet"/>
      <w:lvlText w:val="o"/>
      <w:lvlJc w:val="left"/>
      <w:pPr>
        <w:tabs>
          <w:tab w:val="num" w:pos="1440"/>
        </w:tabs>
        <w:ind w:left="1440" w:hanging="360"/>
      </w:pPr>
      <w:rPr>
        <w:rFonts w:ascii="Courier New" w:hAnsi="Courier New" w:cs="Courier New" w:hint="default"/>
      </w:rPr>
    </w:lvl>
    <w:lvl w:ilvl="2" w:tplc="32008766" w:tentative="1">
      <w:start w:val="1"/>
      <w:numFmt w:val="bullet"/>
      <w:lvlText w:val=""/>
      <w:lvlJc w:val="left"/>
      <w:pPr>
        <w:tabs>
          <w:tab w:val="num" w:pos="2160"/>
        </w:tabs>
        <w:ind w:left="2160" w:hanging="360"/>
      </w:pPr>
      <w:rPr>
        <w:rFonts w:ascii="Wingdings" w:hAnsi="Wingdings" w:hint="default"/>
      </w:rPr>
    </w:lvl>
    <w:lvl w:ilvl="3" w:tplc="E45AFFCC" w:tentative="1">
      <w:start w:val="1"/>
      <w:numFmt w:val="bullet"/>
      <w:lvlText w:val=""/>
      <w:lvlJc w:val="left"/>
      <w:pPr>
        <w:tabs>
          <w:tab w:val="num" w:pos="2880"/>
        </w:tabs>
        <w:ind w:left="2880" w:hanging="360"/>
      </w:pPr>
      <w:rPr>
        <w:rFonts w:ascii="Symbol" w:hAnsi="Symbol" w:hint="default"/>
      </w:rPr>
    </w:lvl>
    <w:lvl w:ilvl="4" w:tplc="E9C82456" w:tentative="1">
      <w:start w:val="1"/>
      <w:numFmt w:val="bullet"/>
      <w:lvlText w:val="o"/>
      <w:lvlJc w:val="left"/>
      <w:pPr>
        <w:tabs>
          <w:tab w:val="num" w:pos="3600"/>
        </w:tabs>
        <w:ind w:left="3600" w:hanging="360"/>
      </w:pPr>
      <w:rPr>
        <w:rFonts w:ascii="Courier New" w:hAnsi="Courier New" w:cs="Courier New" w:hint="default"/>
      </w:rPr>
    </w:lvl>
    <w:lvl w:ilvl="5" w:tplc="7640D61A" w:tentative="1">
      <w:start w:val="1"/>
      <w:numFmt w:val="bullet"/>
      <w:lvlText w:val=""/>
      <w:lvlJc w:val="left"/>
      <w:pPr>
        <w:tabs>
          <w:tab w:val="num" w:pos="4320"/>
        </w:tabs>
        <w:ind w:left="4320" w:hanging="360"/>
      </w:pPr>
      <w:rPr>
        <w:rFonts w:ascii="Wingdings" w:hAnsi="Wingdings" w:hint="default"/>
      </w:rPr>
    </w:lvl>
    <w:lvl w:ilvl="6" w:tplc="591CF4A6" w:tentative="1">
      <w:start w:val="1"/>
      <w:numFmt w:val="bullet"/>
      <w:lvlText w:val=""/>
      <w:lvlJc w:val="left"/>
      <w:pPr>
        <w:tabs>
          <w:tab w:val="num" w:pos="5040"/>
        </w:tabs>
        <w:ind w:left="5040" w:hanging="360"/>
      </w:pPr>
      <w:rPr>
        <w:rFonts w:ascii="Symbol" w:hAnsi="Symbol" w:hint="default"/>
      </w:rPr>
    </w:lvl>
    <w:lvl w:ilvl="7" w:tplc="0C2E83BC" w:tentative="1">
      <w:start w:val="1"/>
      <w:numFmt w:val="bullet"/>
      <w:lvlText w:val="o"/>
      <w:lvlJc w:val="left"/>
      <w:pPr>
        <w:tabs>
          <w:tab w:val="num" w:pos="5760"/>
        </w:tabs>
        <w:ind w:left="5760" w:hanging="360"/>
      </w:pPr>
      <w:rPr>
        <w:rFonts w:ascii="Courier New" w:hAnsi="Courier New" w:cs="Courier New" w:hint="default"/>
      </w:rPr>
    </w:lvl>
    <w:lvl w:ilvl="8" w:tplc="55C6FBAE" w:tentative="1">
      <w:start w:val="1"/>
      <w:numFmt w:val="bullet"/>
      <w:lvlText w:val=""/>
      <w:lvlJc w:val="left"/>
      <w:pPr>
        <w:tabs>
          <w:tab w:val="num" w:pos="6480"/>
        </w:tabs>
        <w:ind w:left="6480" w:hanging="360"/>
      </w:pPr>
      <w:rPr>
        <w:rFonts w:ascii="Wingdings" w:hAnsi="Wingdings" w:hint="default"/>
      </w:rPr>
    </w:lvl>
  </w:abstractNum>
  <w:abstractNum w:abstractNumId="7">
    <w:nsid w:val="10D15467"/>
    <w:multiLevelType w:val="hybridMultilevel"/>
    <w:tmpl w:val="B3425A20"/>
    <w:lvl w:ilvl="0" w:tplc="D30401E2">
      <w:start w:val="1"/>
      <w:numFmt w:val="decimal"/>
      <w:lvlText w:val="%1."/>
      <w:lvlJc w:val="left"/>
      <w:pPr>
        <w:ind w:left="644" w:hanging="360"/>
      </w:pPr>
      <w:rPr>
        <w:b w:val="0"/>
        <w:color w:val="auto"/>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8">
    <w:nsid w:val="13986C85"/>
    <w:multiLevelType w:val="multilevel"/>
    <w:tmpl w:val="DB64177A"/>
    <w:lvl w:ilvl="0">
      <w:start w:val="1"/>
      <w:numFmt w:val="decimal"/>
      <w:lvlText w:val="%1"/>
      <w:lvlJc w:val="left"/>
      <w:pPr>
        <w:ind w:left="862" w:hanging="720"/>
      </w:pPr>
      <w:rPr>
        <w:rFonts w:hint="default"/>
        <w:b/>
        <w:i w:val="0"/>
        <w:specVanish w:val="0"/>
      </w:rPr>
    </w:lvl>
    <w:lvl w:ilvl="1">
      <w:start w:val="1"/>
      <w:numFmt w:val="decimal"/>
      <w:lvlText w:val="%1.%2"/>
      <w:lvlJc w:val="left"/>
      <w:pPr>
        <w:ind w:left="720" w:hanging="720"/>
      </w:pPr>
      <w:rPr>
        <w:rFonts w:ascii="Arial" w:hAnsi="Arial" w:cs="Arial" w:hint="default"/>
        <w:b w:val="0"/>
        <w:i w:val="0"/>
        <w:color w:val="auto"/>
      </w:rPr>
    </w:lvl>
    <w:lvl w:ilvl="2">
      <w:start w:val="1"/>
      <w:numFmt w:val="bullet"/>
      <w:lvlText w:val=""/>
      <w:lvlJc w:val="left"/>
      <w:pPr>
        <w:ind w:left="720" w:hanging="720"/>
      </w:pPr>
      <w:rPr>
        <w:rFonts w:ascii="Symbol" w:hAnsi="Symbol"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nsid w:val="197F422C"/>
    <w:multiLevelType w:val="hybridMultilevel"/>
    <w:tmpl w:val="BCDA96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1E821623"/>
    <w:multiLevelType w:val="hybridMultilevel"/>
    <w:tmpl w:val="DFFEA42C"/>
    <w:lvl w:ilvl="0" w:tplc="27E62F28">
      <w:start w:val="1"/>
      <w:numFmt w:val="bullet"/>
      <w:lvlText w:val=""/>
      <w:lvlJc w:val="left"/>
      <w:pPr>
        <w:tabs>
          <w:tab w:val="num" w:pos="720"/>
        </w:tabs>
        <w:ind w:left="720" w:hanging="360"/>
      </w:pPr>
      <w:rPr>
        <w:rFonts w:ascii="Symbol" w:hAnsi="Symbol" w:hint="default"/>
      </w:rPr>
    </w:lvl>
    <w:lvl w:ilvl="1" w:tplc="869C860E" w:tentative="1">
      <w:start w:val="1"/>
      <w:numFmt w:val="bullet"/>
      <w:lvlText w:val="o"/>
      <w:lvlJc w:val="left"/>
      <w:pPr>
        <w:tabs>
          <w:tab w:val="num" w:pos="1440"/>
        </w:tabs>
        <w:ind w:left="1440" w:hanging="360"/>
      </w:pPr>
      <w:rPr>
        <w:rFonts w:ascii="Courier New" w:hAnsi="Courier New" w:cs="Courier New" w:hint="default"/>
      </w:rPr>
    </w:lvl>
    <w:lvl w:ilvl="2" w:tplc="41EE92A0" w:tentative="1">
      <w:start w:val="1"/>
      <w:numFmt w:val="bullet"/>
      <w:lvlText w:val=""/>
      <w:lvlJc w:val="left"/>
      <w:pPr>
        <w:tabs>
          <w:tab w:val="num" w:pos="2160"/>
        </w:tabs>
        <w:ind w:left="2160" w:hanging="360"/>
      </w:pPr>
      <w:rPr>
        <w:rFonts w:ascii="Wingdings" w:hAnsi="Wingdings" w:hint="default"/>
      </w:rPr>
    </w:lvl>
    <w:lvl w:ilvl="3" w:tplc="7BE80782" w:tentative="1">
      <w:start w:val="1"/>
      <w:numFmt w:val="bullet"/>
      <w:lvlText w:val=""/>
      <w:lvlJc w:val="left"/>
      <w:pPr>
        <w:tabs>
          <w:tab w:val="num" w:pos="2880"/>
        </w:tabs>
        <w:ind w:left="2880" w:hanging="360"/>
      </w:pPr>
      <w:rPr>
        <w:rFonts w:ascii="Symbol" w:hAnsi="Symbol" w:hint="default"/>
      </w:rPr>
    </w:lvl>
    <w:lvl w:ilvl="4" w:tplc="66BCBC84" w:tentative="1">
      <w:start w:val="1"/>
      <w:numFmt w:val="bullet"/>
      <w:lvlText w:val="o"/>
      <w:lvlJc w:val="left"/>
      <w:pPr>
        <w:tabs>
          <w:tab w:val="num" w:pos="3600"/>
        </w:tabs>
        <w:ind w:left="3600" w:hanging="360"/>
      </w:pPr>
      <w:rPr>
        <w:rFonts w:ascii="Courier New" w:hAnsi="Courier New" w:cs="Courier New" w:hint="default"/>
      </w:rPr>
    </w:lvl>
    <w:lvl w:ilvl="5" w:tplc="B920B2C2" w:tentative="1">
      <w:start w:val="1"/>
      <w:numFmt w:val="bullet"/>
      <w:lvlText w:val=""/>
      <w:lvlJc w:val="left"/>
      <w:pPr>
        <w:tabs>
          <w:tab w:val="num" w:pos="4320"/>
        </w:tabs>
        <w:ind w:left="4320" w:hanging="360"/>
      </w:pPr>
      <w:rPr>
        <w:rFonts w:ascii="Wingdings" w:hAnsi="Wingdings" w:hint="default"/>
      </w:rPr>
    </w:lvl>
    <w:lvl w:ilvl="6" w:tplc="59EE8322" w:tentative="1">
      <w:start w:val="1"/>
      <w:numFmt w:val="bullet"/>
      <w:lvlText w:val=""/>
      <w:lvlJc w:val="left"/>
      <w:pPr>
        <w:tabs>
          <w:tab w:val="num" w:pos="5040"/>
        </w:tabs>
        <w:ind w:left="5040" w:hanging="360"/>
      </w:pPr>
      <w:rPr>
        <w:rFonts w:ascii="Symbol" w:hAnsi="Symbol" w:hint="default"/>
      </w:rPr>
    </w:lvl>
    <w:lvl w:ilvl="7" w:tplc="52D41B08" w:tentative="1">
      <w:start w:val="1"/>
      <w:numFmt w:val="bullet"/>
      <w:lvlText w:val="o"/>
      <w:lvlJc w:val="left"/>
      <w:pPr>
        <w:tabs>
          <w:tab w:val="num" w:pos="5760"/>
        </w:tabs>
        <w:ind w:left="5760" w:hanging="360"/>
      </w:pPr>
      <w:rPr>
        <w:rFonts w:ascii="Courier New" w:hAnsi="Courier New" w:cs="Courier New" w:hint="default"/>
      </w:rPr>
    </w:lvl>
    <w:lvl w:ilvl="8" w:tplc="4ADC39B2" w:tentative="1">
      <w:start w:val="1"/>
      <w:numFmt w:val="bullet"/>
      <w:lvlText w:val=""/>
      <w:lvlJc w:val="left"/>
      <w:pPr>
        <w:tabs>
          <w:tab w:val="num" w:pos="6480"/>
        </w:tabs>
        <w:ind w:left="6480" w:hanging="360"/>
      </w:pPr>
      <w:rPr>
        <w:rFonts w:ascii="Wingdings" w:hAnsi="Wingdings" w:hint="default"/>
      </w:rPr>
    </w:lvl>
  </w:abstractNum>
  <w:abstractNum w:abstractNumId="11">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2C0459B2"/>
    <w:multiLevelType w:val="hybridMultilevel"/>
    <w:tmpl w:val="75D4E64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nsid w:val="317E6951"/>
    <w:multiLevelType w:val="hybridMultilevel"/>
    <w:tmpl w:val="103893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34E904E0"/>
    <w:multiLevelType w:val="hybridMultilevel"/>
    <w:tmpl w:val="B4FCD872"/>
    <w:lvl w:ilvl="0" w:tplc="21D66824">
      <w:start w:val="1"/>
      <w:numFmt w:val="lowerLetter"/>
      <w:lvlText w:val="(%1)"/>
      <w:lvlJc w:val="left"/>
      <w:pPr>
        <w:ind w:left="720" w:hanging="360"/>
      </w:pPr>
      <w:rPr>
        <w:rFonts w:hint="default"/>
        <w:i/>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nsid w:val="37D703EF"/>
    <w:multiLevelType w:val="hybridMultilevel"/>
    <w:tmpl w:val="52B2F7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4A2B0988"/>
    <w:multiLevelType w:val="hybridMultilevel"/>
    <w:tmpl w:val="90AA54FC"/>
    <w:lvl w:ilvl="0" w:tplc="FFFFFFFF">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7">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63B908B5"/>
    <w:multiLevelType w:val="hybridMultilevel"/>
    <w:tmpl w:val="64126678"/>
    <w:lvl w:ilvl="0" w:tplc="5DD88DC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nsid w:val="6F74120B"/>
    <w:multiLevelType w:val="hybridMultilevel"/>
    <w:tmpl w:val="0024A9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784D033C"/>
    <w:multiLevelType w:val="multilevel"/>
    <w:tmpl w:val="B9CC741E"/>
    <w:lvl w:ilvl="0">
      <w:start w:val="1"/>
      <w:numFmt w:val="decimal"/>
      <w:pStyle w:val="PBACHeading1"/>
      <w:lvlText w:val="%1"/>
      <w:lvlJc w:val="left"/>
      <w:pPr>
        <w:ind w:left="720" w:hanging="720"/>
      </w:pPr>
      <w:rPr>
        <w:rFonts w:hint="default"/>
        <w:b/>
        <w:i w:val="0"/>
      </w:rPr>
    </w:lvl>
    <w:lvl w:ilvl="1">
      <w:start w:val="1"/>
      <w:numFmt w:val="decimal"/>
      <w:lvlText w:val="%1.%2"/>
      <w:lvlJc w:val="left"/>
      <w:pPr>
        <w:ind w:left="720" w:hanging="72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nsid w:val="7A6427E8"/>
    <w:multiLevelType w:val="hybridMultilevel"/>
    <w:tmpl w:val="3B98C116"/>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num w:numId="1">
    <w:abstractNumId w:val="10"/>
  </w:num>
  <w:num w:numId="2">
    <w:abstractNumId w:val="3"/>
  </w:num>
  <w:num w:numId="3">
    <w:abstractNumId w:val="6"/>
  </w:num>
  <w:num w:numId="4">
    <w:abstractNumId w:val="16"/>
  </w:num>
  <w:num w:numId="5">
    <w:abstractNumId w:val="20"/>
  </w:num>
  <w:num w:numId="6">
    <w:abstractNumId w:val="9"/>
  </w:num>
  <w:num w:numId="7">
    <w:abstractNumId w:val="15"/>
  </w:num>
  <w:num w:numId="8">
    <w:abstractNumId w:val="4"/>
  </w:num>
  <w:num w:numId="9">
    <w:abstractNumId w:val="14"/>
  </w:num>
  <w:num w:numId="10">
    <w:abstractNumId w:val="13"/>
  </w:num>
  <w:num w:numId="11">
    <w:abstractNumId w:val="12"/>
  </w:num>
  <w:num w:numId="12">
    <w:abstractNumId w:val="1"/>
  </w:num>
  <w:num w:numId="13">
    <w:abstractNumId w:val="0"/>
  </w:num>
  <w:num w:numId="14">
    <w:abstractNumId w:val="20"/>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num>
  <w:num w:numId="17">
    <w:abstractNumId w:val="17"/>
  </w:num>
  <w:num w:numId="18">
    <w:abstractNumId w:val="5"/>
  </w:num>
  <w:num w:numId="19">
    <w:abstractNumId w:val="2"/>
  </w:num>
  <w:num w:numId="20">
    <w:abstractNumId w:val="11"/>
  </w:num>
  <w:num w:numId="21">
    <w:abstractNumId w:val="21"/>
  </w:num>
  <w:num w:numId="22">
    <w:abstractNumId w:val="8"/>
  </w:num>
  <w:num w:numId="23">
    <w:abstractNumId w:val="19"/>
  </w:num>
  <w:num w:numId="24">
    <w:abstractNumId w:val="18"/>
  </w:num>
  <w:num w:numId="25">
    <w:abstractNumId w:val="20"/>
  </w:num>
  <w:num w:numId="26">
    <w:abstractNumId w:val="20"/>
  </w:num>
  <w:num w:numId="27">
    <w:abstractNumId w:val="20"/>
  </w:num>
  <w:numIdMacAtCleanup w:val="14"/>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ndrew Roberts">
    <w15:presenceInfo w15:providerId="None" w15:userId="Andrew Robert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40E"/>
    <w:rsid w:val="000025AD"/>
    <w:rsid w:val="00006974"/>
    <w:rsid w:val="00017549"/>
    <w:rsid w:val="0002464A"/>
    <w:rsid w:val="0003106B"/>
    <w:rsid w:val="000421A1"/>
    <w:rsid w:val="0004240E"/>
    <w:rsid w:val="00045E26"/>
    <w:rsid w:val="000514B5"/>
    <w:rsid w:val="00055240"/>
    <w:rsid w:val="00060E64"/>
    <w:rsid w:val="00066755"/>
    <w:rsid w:val="00077143"/>
    <w:rsid w:val="00084554"/>
    <w:rsid w:val="000969AD"/>
    <w:rsid w:val="000B0005"/>
    <w:rsid w:val="000B558D"/>
    <w:rsid w:val="000C01DF"/>
    <w:rsid w:val="000C6996"/>
    <w:rsid w:val="000D23BA"/>
    <w:rsid w:val="000E681E"/>
    <w:rsid w:val="000F0F89"/>
    <w:rsid w:val="000F4E6A"/>
    <w:rsid w:val="00100BAF"/>
    <w:rsid w:val="001107BF"/>
    <w:rsid w:val="00110AAD"/>
    <w:rsid w:val="00114524"/>
    <w:rsid w:val="0012417C"/>
    <w:rsid w:val="00142395"/>
    <w:rsid w:val="00142714"/>
    <w:rsid w:val="0014492A"/>
    <w:rsid w:val="001452ED"/>
    <w:rsid w:val="001830CE"/>
    <w:rsid w:val="0018643B"/>
    <w:rsid w:val="00187CEE"/>
    <w:rsid w:val="001957A0"/>
    <w:rsid w:val="00196307"/>
    <w:rsid w:val="001A33EA"/>
    <w:rsid w:val="001B017F"/>
    <w:rsid w:val="001B5129"/>
    <w:rsid w:val="001B6F41"/>
    <w:rsid w:val="001C1195"/>
    <w:rsid w:val="001C1C2E"/>
    <w:rsid w:val="001C3170"/>
    <w:rsid w:val="001C3EB3"/>
    <w:rsid w:val="001C4D71"/>
    <w:rsid w:val="001D7F1F"/>
    <w:rsid w:val="001F2584"/>
    <w:rsid w:val="001F4EA5"/>
    <w:rsid w:val="00213CFB"/>
    <w:rsid w:val="002233F3"/>
    <w:rsid w:val="00224AE9"/>
    <w:rsid w:val="002342B2"/>
    <w:rsid w:val="00244B94"/>
    <w:rsid w:val="00271BA1"/>
    <w:rsid w:val="00277505"/>
    <w:rsid w:val="002877BC"/>
    <w:rsid w:val="0029458F"/>
    <w:rsid w:val="002A104C"/>
    <w:rsid w:val="002A2875"/>
    <w:rsid w:val="002A48FA"/>
    <w:rsid w:val="002A4960"/>
    <w:rsid w:val="002B1AE6"/>
    <w:rsid w:val="002B30F8"/>
    <w:rsid w:val="002B4166"/>
    <w:rsid w:val="002C0877"/>
    <w:rsid w:val="002C0B30"/>
    <w:rsid w:val="002C212F"/>
    <w:rsid w:val="002C40D5"/>
    <w:rsid w:val="002E0DEE"/>
    <w:rsid w:val="002E3153"/>
    <w:rsid w:val="002E72CA"/>
    <w:rsid w:val="002E7521"/>
    <w:rsid w:val="00300AD6"/>
    <w:rsid w:val="00301374"/>
    <w:rsid w:val="003058E8"/>
    <w:rsid w:val="00315849"/>
    <w:rsid w:val="00326E79"/>
    <w:rsid w:val="003367EF"/>
    <w:rsid w:val="00341AE4"/>
    <w:rsid w:val="00354390"/>
    <w:rsid w:val="0035495D"/>
    <w:rsid w:val="003872CF"/>
    <w:rsid w:val="0039265D"/>
    <w:rsid w:val="0039782C"/>
    <w:rsid w:val="003A5B4A"/>
    <w:rsid w:val="003B23C5"/>
    <w:rsid w:val="003B2A75"/>
    <w:rsid w:val="003C2CE6"/>
    <w:rsid w:val="003D4AC4"/>
    <w:rsid w:val="003D63B7"/>
    <w:rsid w:val="003E468B"/>
    <w:rsid w:val="003F5C8C"/>
    <w:rsid w:val="003F7126"/>
    <w:rsid w:val="004135EF"/>
    <w:rsid w:val="004465BD"/>
    <w:rsid w:val="00454AA7"/>
    <w:rsid w:val="00466ADA"/>
    <w:rsid w:val="00474F3D"/>
    <w:rsid w:val="00476245"/>
    <w:rsid w:val="00485940"/>
    <w:rsid w:val="00490FD7"/>
    <w:rsid w:val="004A2484"/>
    <w:rsid w:val="004A4101"/>
    <w:rsid w:val="004A5A85"/>
    <w:rsid w:val="004B5640"/>
    <w:rsid w:val="004B688B"/>
    <w:rsid w:val="004C1BD7"/>
    <w:rsid w:val="004C691D"/>
    <w:rsid w:val="004D061D"/>
    <w:rsid w:val="004D48E9"/>
    <w:rsid w:val="004E692D"/>
    <w:rsid w:val="00501554"/>
    <w:rsid w:val="005023C4"/>
    <w:rsid w:val="005038F5"/>
    <w:rsid w:val="00506383"/>
    <w:rsid w:val="00513B97"/>
    <w:rsid w:val="00514CD7"/>
    <w:rsid w:val="00516629"/>
    <w:rsid w:val="00524B05"/>
    <w:rsid w:val="005319B2"/>
    <w:rsid w:val="00531E9E"/>
    <w:rsid w:val="00532C74"/>
    <w:rsid w:val="00534E2E"/>
    <w:rsid w:val="005411E2"/>
    <w:rsid w:val="00542FC3"/>
    <w:rsid w:val="00544552"/>
    <w:rsid w:val="00576EFE"/>
    <w:rsid w:val="00581932"/>
    <w:rsid w:val="005963BB"/>
    <w:rsid w:val="005A19AE"/>
    <w:rsid w:val="005A1D63"/>
    <w:rsid w:val="005A3173"/>
    <w:rsid w:val="005A3223"/>
    <w:rsid w:val="005A3DA3"/>
    <w:rsid w:val="005A52C4"/>
    <w:rsid w:val="005A577D"/>
    <w:rsid w:val="005A59B7"/>
    <w:rsid w:val="005C4862"/>
    <w:rsid w:val="005D03AB"/>
    <w:rsid w:val="005D306C"/>
    <w:rsid w:val="005D5017"/>
    <w:rsid w:val="00601A91"/>
    <w:rsid w:val="00602BA3"/>
    <w:rsid w:val="00603D6B"/>
    <w:rsid w:val="00614159"/>
    <w:rsid w:val="00617C00"/>
    <w:rsid w:val="006263BF"/>
    <w:rsid w:val="0062748A"/>
    <w:rsid w:val="006307BB"/>
    <w:rsid w:val="00630A2C"/>
    <w:rsid w:val="006311D3"/>
    <w:rsid w:val="00634516"/>
    <w:rsid w:val="00651169"/>
    <w:rsid w:val="00653D69"/>
    <w:rsid w:val="00655C1D"/>
    <w:rsid w:val="006619FF"/>
    <w:rsid w:val="00670A76"/>
    <w:rsid w:val="006711AA"/>
    <w:rsid w:val="00672B57"/>
    <w:rsid w:val="00675622"/>
    <w:rsid w:val="006849D6"/>
    <w:rsid w:val="006906DB"/>
    <w:rsid w:val="006A12A5"/>
    <w:rsid w:val="006A6461"/>
    <w:rsid w:val="006A6C28"/>
    <w:rsid w:val="006B0D94"/>
    <w:rsid w:val="006B485D"/>
    <w:rsid w:val="006C1207"/>
    <w:rsid w:val="006C6805"/>
    <w:rsid w:val="006C708E"/>
    <w:rsid w:val="006D6EC7"/>
    <w:rsid w:val="006E3B60"/>
    <w:rsid w:val="006F0206"/>
    <w:rsid w:val="006F5125"/>
    <w:rsid w:val="007174BB"/>
    <w:rsid w:val="0074227E"/>
    <w:rsid w:val="007574C3"/>
    <w:rsid w:val="0076163C"/>
    <w:rsid w:val="0076420C"/>
    <w:rsid w:val="00770BD7"/>
    <w:rsid w:val="00771FEB"/>
    <w:rsid w:val="007753C2"/>
    <w:rsid w:val="00782698"/>
    <w:rsid w:val="007838B8"/>
    <w:rsid w:val="00792A6D"/>
    <w:rsid w:val="00795AFE"/>
    <w:rsid w:val="007978B8"/>
    <w:rsid w:val="007B2731"/>
    <w:rsid w:val="007C0F57"/>
    <w:rsid w:val="007C40B6"/>
    <w:rsid w:val="007C729F"/>
    <w:rsid w:val="007C76AE"/>
    <w:rsid w:val="007D1CED"/>
    <w:rsid w:val="007D33A4"/>
    <w:rsid w:val="007E1D28"/>
    <w:rsid w:val="007E2FFB"/>
    <w:rsid w:val="007F2218"/>
    <w:rsid w:val="007F2641"/>
    <w:rsid w:val="007F6A17"/>
    <w:rsid w:val="007F7C36"/>
    <w:rsid w:val="0080435B"/>
    <w:rsid w:val="00804ECC"/>
    <w:rsid w:val="00806796"/>
    <w:rsid w:val="008151D6"/>
    <w:rsid w:val="008248B0"/>
    <w:rsid w:val="00826F6D"/>
    <w:rsid w:val="00834623"/>
    <w:rsid w:val="00852BE0"/>
    <w:rsid w:val="00856DDD"/>
    <w:rsid w:val="00861C61"/>
    <w:rsid w:val="00863E68"/>
    <w:rsid w:val="00882085"/>
    <w:rsid w:val="00883188"/>
    <w:rsid w:val="00897BC7"/>
    <w:rsid w:val="00897C11"/>
    <w:rsid w:val="00897D58"/>
    <w:rsid w:val="00897FEE"/>
    <w:rsid w:val="008A1956"/>
    <w:rsid w:val="008A4937"/>
    <w:rsid w:val="008A50F1"/>
    <w:rsid w:val="008A7765"/>
    <w:rsid w:val="008D1B5C"/>
    <w:rsid w:val="008D2B1B"/>
    <w:rsid w:val="008D3C82"/>
    <w:rsid w:val="008D4125"/>
    <w:rsid w:val="008D447E"/>
    <w:rsid w:val="008D7A41"/>
    <w:rsid w:val="008E3680"/>
    <w:rsid w:val="008E38EF"/>
    <w:rsid w:val="008E5870"/>
    <w:rsid w:val="008F1434"/>
    <w:rsid w:val="008F285B"/>
    <w:rsid w:val="008F7355"/>
    <w:rsid w:val="009067B7"/>
    <w:rsid w:val="009070BF"/>
    <w:rsid w:val="00913898"/>
    <w:rsid w:val="00922B10"/>
    <w:rsid w:val="009241BE"/>
    <w:rsid w:val="00930937"/>
    <w:rsid w:val="00933E6C"/>
    <w:rsid w:val="00942160"/>
    <w:rsid w:val="00942992"/>
    <w:rsid w:val="00942DEF"/>
    <w:rsid w:val="00946B5F"/>
    <w:rsid w:val="0095146F"/>
    <w:rsid w:val="009602C5"/>
    <w:rsid w:val="00962223"/>
    <w:rsid w:val="00964897"/>
    <w:rsid w:val="00974C21"/>
    <w:rsid w:val="00977251"/>
    <w:rsid w:val="0097758C"/>
    <w:rsid w:val="009919E3"/>
    <w:rsid w:val="00996D29"/>
    <w:rsid w:val="009B0F67"/>
    <w:rsid w:val="009C398E"/>
    <w:rsid w:val="009C703C"/>
    <w:rsid w:val="009D3CAA"/>
    <w:rsid w:val="009D5308"/>
    <w:rsid w:val="009E0A51"/>
    <w:rsid w:val="009F4E46"/>
    <w:rsid w:val="009F5B65"/>
    <w:rsid w:val="009F5F2E"/>
    <w:rsid w:val="00A06225"/>
    <w:rsid w:val="00A128E6"/>
    <w:rsid w:val="00A15697"/>
    <w:rsid w:val="00A36125"/>
    <w:rsid w:val="00A36484"/>
    <w:rsid w:val="00A3735A"/>
    <w:rsid w:val="00A37C8D"/>
    <w:rsid w:val="00A42409"/>
    <w:rsid w:val="00A45303"/>
    <w:rsid w:val="00A5273B"/>
    <w:rsid w:val="00A53A9D"/>
    <w:rsid w:val="00A55FEE"/>
    <w:rsid w:val="00A56EB7"/>
    <w:rsid w:val="00A62C1A"/>
    <w:rsid w:val="00A6426D"/>
    <w:rsid w:val="00A70622"/>
    <w:rsid w:val="00A70977"/>
    <w:rsid w:val="00A737B5"/>
    <w:rsid w:val="00A75079"/>
    <w:rsid w:val="00A77613"/>
    <w:rsid w:val="00A8004F"/>
    <w:rsid w:val="00A8390C"/>
    <w:rsid w:val="00A86F1B"/>
    <w:rsid w:val="00A928BD"/>
    <w:rsid w:val="00A92B17"/>
    <w:rsid w:val="00AA4D1C"/>
    <w:rsid w:val="00AB1158"/>
    <w:rsid w:val="00AC193C"/>
    <w:rsid w:val="00AC5206"/>
    <w:rsid w:val="00AE11A5"/>
    <w:rsid w:val="00AE13E2"/>
    <w:rsid w:val="00AE2326"/>
    <w:rsid w:val="00AF1B21"/>
    <w:rsid w:val="00AF68CC"/>
    <w:rsid w:val="00B0321C"/>
    <w:rsid w:val="00B1059E"/>
    <w:rsid w:val="00B10D6D"/>
    <w:rsid w:val="00B205AA"/>
    <w:rsid w:val="00B22E84"/>
    <w:rsid w:val="00B25F75"/>
    <w:rsid w:val="00B27A90"/>
    <w:rsid w:val="00B30469"/>
    <w:rsid w:val="00B43E90"/>
    <w:rsid w:val="00B467DC"/>
    <w:rsid w:val="00B56118"/>
    <w:rsid w:val="00B5679A"/>
    <w:rsid w:val="00B63A05"/>
    <w:rsid w:val="00B63CA2"/>
    <w:rsid w:val="00B6773F"/>
    <w:rsid w:val="00B801BA"/>
    <w:rsid w:val="00B84CB3"/>
    <w:rsid w:val="00BB43CA"/>
    <w:rsid w:val="00BB69F5"/>
    <w:rsid w:val="00BB7EC3"/>
    <w:rsid w:val="00BC4B9A"/>
    <w:rsid w:val="00BD784C"/>
    <w:rsid w:val="00BF259C"/>
    <w:rsid w:val="00BF2C37"/>
    <w:rsid w:val="00BF32B1"/>
    <w:rsid w:val="00BF4CB6"/>
    <w:rsid w:val="00C00DA7"/>
    <w:rsid w:val="00C0653B"/>
    <w:rsid w:val="00C12768"/>
    <w:rsid w:val="00C27B58"/>
    <w:rsid w:val="00C35996"/>
    <w:rsid w:val="00C44810"/>
    <w:rsid w:val="00C47D07"/>
    <w:rsid w:val="00C5342C"/>
    <w:rsid w:val="00C603D4"/>
    <w:rsid w:val="00C6256A"/>
    <w:rsid w:val="00C71B1F"/>
    <w:rsid w:val="00C748A6"/>
    <w:rsid w:val="00C80DB2"/>
    <w:rsid w:val="00C85261"/>
    <w:rsid w:val="00C8722B"/>
    <w:rsid w:val="00C91449"/>
    <w:rsid w:val="00C92D10"/>
    <w:rsid w:val="00CA7CDC"/>
    <w:rsid w:val="00CB5DDE"/>
    <w:rsid w:val="00CB7D61"/>
    <w:rsid w:val="00CC183E"/>
    <w:rsid w:val="00CE10C4"/>
    <w:rsid w:val="00CE27B5"/>
    <w:rsid w:val="00D023F9"/>
    <w:rsid w:val="00D0321E"/>
    <w:rsid w:val="00D036E0"/>
    <w:rsid w:val="00D1455A"/>
    <w:rsid w:val="00D17204"/>
    <w:rsid w:val="00D17654"/>
    <w:rsid w:val="00D3138B"/>
    <w:rsid w:val="00D31EC3"/>
    <w:rsid w:val="00D3280C"/>
    <w:rsid w:val="00D3406A"/>
    <w:rsid w:val="00D469B2"/>
    <w:rsid w:val="00D51E5C"/>
    <w:rsid w:val="00D620CE"/>
    <w:rsid w:val="00D648F1"/>
    <w:rsid w:val="00D66F1D"/>
    <w:rsid w:val="00D741EB"/>
    <w:rsid w:val="00D81292"/>
    <w:rsid w:val="00D84934"/>
    <w:rsid w:val="00D90EC8"/>
    <w:rsid w:val="00D91271"/>
    <w:rsid w:val="00DA2CB5"/>
    <w:rsid w:val="00DA4BAC"/>
    <w:rsid w:val="00DB1BBF"/>
    <w:rsid w:val="00DC1E03"/>
    <w:rsid w:val="00DC2ABD"/>
    <w:rsid w:val="00DE638E"/>
    <w:rsid w:val="00DE665B"/>
    <w:rsid w:val="00DE6D27"/>
    <w:rsid w:val="00DF217D"/>
    <w:rsid w:val="00DF26A7"/>
    <w:rsid w:val="00DF4E7A"/>
    <w:rsid w:val="00E15627"/>
    <w:rsid w:val="00E164B3"/>
    <w:rsid w:val="00E16910"/>
    <w:rsid w:val="00E32096"/>
    <w:rsid w:val="00E3356F"/>
    <w:rsid w:val="00E33FAA"/>
    <w:rsid w:val="00E43037"/>
    <w:rsid w:val="00E54D36"/>
    <w:rsid w:val="00E65E54"/>
    <w:rsid w:val="00E678F1"/>
    <w:rsid w:val="00E80155"/>
    <w:rsid w:val="00E848C0"/>
    <w:rsid w:val="00E9076C"/>
    <w:rsid w:val="00E90B8F"/>
    <w:rsid w:val="00E91B96"/>
    <w:rsid w:val="00E941A1"/>
    <w:rsid w:val="00E94773"/>
    <w:rsid w:val="00E95CE3"/>
    <w:rsid w:val="00EA2825"/>
    <w:rsid w:val="00EB3AE6"/>
    <w:rsid w:val="00EB4203"/>
    <w:rsid w:val="00EB5088"/>
    <w:rsid w:val="00EC39E6"/>
    <w:rsid w:val="00EC5F6A"/>
    <w:rsid w:val="00ED1644"/>
    <w:rsid w:val="00ED23EE"/>
    <w:rsid w:val="00ED2593"/>
    <w:rsid w:val="00ED393E"/>
    <w:rsid w:val="00EF44A0"/>
    <w:rsid w:val="00EF4FED"/>
    <w:rsid w:val="00F001D5"/>
    <w:rsid w:val="00F050BD"/>
    <w:rsid w:val="00F05657"/>
    <w:rsid w:val="00F25578"/>
    <w:rsid w:val="00F258E5"/>
    <w:rsid w:val="00F300BC"/>
    <w:rsid w:val="00F3334E"/>
    <w:rsid w:val="00F503F4"/>
    <w:rsid w:val="00F50EC4"/>
    <w:rsid w:val="00F57A6D"/>
    <w:rsid w:val="00F57C87"/>
    <w:rsid w:val="00F638CC"/>
    <w:rsid w:val="00F639A2"/>
    <w:rsid w:val="00F64CC1"/>
    <w:rsid w:val="00F8247A"/>
    <w:rsid w:val="00F9629A"/>
    <w:rsid w:val="00F9771D"/>
    <w:rsid w:val="00FA5883"/>
    <w:rsid w:val="00FA6055"/>
    <w:rsid w:val="00FA63EC"/>
    <w:rsid w:val="00FB322F"/>
    <w:rsid w:val="00FB442F"/>
    <w:rsid w:val="00FC1929"/>
    <w:rsid w:val="00FC1B53"/>
    <w:rsid w:val="00FC43E2"/>
    <w:rsid w:val="00FC5B46"/>
    <w:rsid w:val="00FE09A1"/>
    <w:rsid w:val="00FE0E94"/>
    <w:rsid w:val="00FE0FBD"/>
    <w:rsid w:val="00FF00BD"/>
    <w:rsid w:val="00FF1ED4"/>
    <w:rsid w:val="00FF2801"/>
    <w:rsid w:val="00FF2A4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903D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annotation reference" w:uiPriority="99" w:qFormat="1"/>
    <w:lsdException w:name="List" w:semiHidden="0" w:unhideWhenUsed="0"/>
    <w:lsdException w:name="List 2" w:semiHidden="0" w:unhideWhenUsed="0"/>
    <w:lsdException w:name="List 3" w:semiHidden="0" w:unhideWhenUsed="0"/>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Title" w:semiHidden="0" w:unhideWhenUsed="0" w:qFormat="1"/>
    <w:lsdException w:name="Subtitle" w:semiHidden="0" w:uiPriority="11" w:unhideWhenUsed="0" w:qFormat="1"/>
    <w:lsdException w:name="Body Text 3" w:semiHidden="0" w:unhideWhenUsed="0"/>
    <w:lsdException w:name="Body Text Indent 2" w:semiHidden="0" w:unhideWhenUsed="0"/>
    <w:lsdException w:name="Body Text Indent 3" w:semiHidden="0" w:unhideWhenUsed="0"/>
    <w:lsdException w:name="Block Text" w:semiHidden="0" w:unhideWhenUsed="0"/>
    <w:lsdException w:name="Hyperlink" w:uiPriority="99"/>
    <w:lsdException w:name="Strong" w:semiHidden="0" w:unhideWhenUsed="0" w:qFormat="1"/>
    <w:lsdException w:name="Emphasis" w:semiHidden="0" w:unhideWhenUsed="0" w:qFormat="1"/>
    <w:lsdException w:name="Table Grid" w:semiHidden="0" w:uiPriority="59" w:unhideWhenUsed="0"/>
    <w:lsdException w:name="Placeholder Text" w:uiPriority="99"/>
    <w:lsdException w:name="No Spacing" w:semiHidden="0" w:uiPriority="99" w:unhideWhenUsed="0" w:qFormat="1"/>
    <w:lsdException w:name="Light Shading" w:semiHidden="0" w:uiPriority="99" w:unhideWhenUsed="0"/>
    <w:lsdException w:name="Light List" w:semiHidden="0" w:uiPriority="99" w:unhideWhenUsed="0"/>
    <w:lsdException w:name="Light Grid" w:semiHidden="0" w:uiPriority="99" w:unhideWhenUsed="0"/>
    <w:lsdException w:name="Medium Shading 1" w:semiHidden="0" w:uiPriority="99" w:unhideWhenUsed="0"/>
    <w:lsdException w:name="Medium Shading 2" w:semiHidden="0" w:uiPriority="99" w:unhideWhenUsed="0"/>
    <w:lsdException w:name="Medium List 1" w:semiHidden="0" w:uiPriority="99" w:unhideWhenUsed="0"/>
    <w:lsdException w:name="Medium List 2" w:semiHidden="0" w:uiPriority="99" w:unhideWhenUsed="0"/>
    <w:lsdException w:name="Medium Grid 1" w:semiHidden="0" w:uiPriority="99" w:unhideWhenUsed="0"/>
    <w:lsdException w:name="Medium Grid 2" w:semiHidden="0"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99"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Pr>
      <w:sz w:val="24"/>
      <w:szCs w:val="24"/>
    </w:rPr>
  </w:style>
  <w:style w:type="paragraph" w:styleId="Heading1">
    <w:name w:val="heading 1"/>
    <w:basedOn w:val="ListParagraph"/>
    <w:next w:val="Normal"/>
    <w:qFormat/>
    <w:rsid w:val="00C603D4"/>
    <w:pPr>
      <w:numPr>
        <w:numId w:val="13"/>
      </w:numPr>
      <w:tabs>
        <w:tab w:val="clear" w:pos="643"/>
      </w:tabs>
      <w:ind w:left="720" w:hanging="720"/>
      <w:outlineLvl w:val="0"/>
    </w:pPr>
    <w:rPr>
      <w:b/>
      <w:szCs w:val="22"/>
    </w:rPr>
  </w:style>
  <w:style w:type="paragraph" w:styleId="Heading2">
    <w:name w:val="heading 2"/>
    <w:basedOn w:val="Normal"/>
    <w:next w:val="Normal"/>
    <w:qFormat/>
    <w:rsid w:val="00B1059E"/>
    <w:pPr>
      <w:keepNext/>
      <w:outlineLvl w:val="1"/>
    </w:pPr>
    <w:rPr>
      <w:rFonts w:ascii="Arial" w:hAnsi="Arial"/>
      <w:b/>
      <w:i/>
      <w:sz w:val="22"/>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aliases w:val="PBAC Paragraph Char"/>
    <w:link w:val="Subtitle"/>
    <w:semiHidden/>
    <w:rPr>
      <w:lang w:val="en-AU" w:eastAsia="en-US" w:bidi="ar-SA"/>
    </w:rPr>
  </w:style>
  <w:style w:type="paragraph" w:styleId="Subtitle">
    <w:name w:val="Subtitle"/>
    <w:aliases w:val="PBAC Paragraph"/>
    <w:basedOn w:val="Normal"/>
    <w:link w:val="SubtitleChar"/>
    <w:uiPriority w:val="11"/>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
    <w:basedOn w:val="Normal"/>
    <w:link w:val="ListParagraphChar"/>
    <w:uiPriority w:val="34"/>
    <w:qFormat/>
    <w:rsid w:val="00300AD6"/>
    <w:pPr>
      <w:widowControl w:val="0"/>
      <w:ind w:left="720"/>
      <w:contextualSpacing/>
      <w:jc w:val="both"/>
    </w:pPr>
    <w:rPr>
      <w:rFonts w:ascii="Arial" w:hAnsi="Arial" w:cs="Arial"/>
      <w:snapToGrid w:val="0"/>
      <w:sz w:val="22"/>
      <w:szCs w:val="20"/>
      <w:lang w:eastAsia="en-US"/>
    </w:r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uiPriority w:val="99"/>
    <w:qFormat/>
    <w:rsid w:val="00C27B58"/>
    <w:pPr>
      <w:jc w:val="both"/>
    </w:pPr>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qFormat/>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numPr>
        <w:numId w:val="12"/>
      </w:numPr>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
    <w:basedOn w:val="DefaultParagraphFont"/>
    <w:link w:val="ListParagraph"/>
    <w:uiPriority w:val="34"/>
    <w:rsid w:val="00077143"/>
    <w:rPr>
      <w:rFonts w:ascii="Arial" w:hAnsi="Arial" w:cs="Arial"/>
      <w:snapToGrid w:val="0"/>
      <w:sz w:val="22"/>
      <w:lang w:eastAsia="en-US"/>
    </w:rPr>
  </w:style>
  <w:style w:type="paragraph" w:customStyle="1" w:styleId="PBACHeading1">
    <w:name w:val="PBAC Heading 1"/>
    <w:qFormat/>
    <w:rsid w:val="00E15627"/>
    <w:pPr>
      <w:numPr>
        <w:numId w:val="14"/>
      </w:numPr>
      <w:outlineLvl w:val="0"/>
    </w:pPr>
    <w:rPr>
      <w:rFonts w:ascii="Arial" w:hAnsi="Arial" w:cs="Arial"/>
      <w:b/>
      <w:snapToGrid w:val="0"/>
      <w:sz w:val="22"/>
      <w:szCs w:val="22"/>
      <w:lang w:eastAsia="en-US"/>
    </w:rPr>
  </w:style>
  <w:style w:type="paragraph" w:styleId="Revision">
    <w:name w:val="Revision"/>
    <w:hidden/>
    <w:uiPriority w:val="71"/>
    <w:rsid w:val="00A86F1B"/>
    <w:rPr>
      <w:sz w:val="24"/>
      <w:szCs w:val="24"/>
    </w:rPr>
  </w:style>
  <w:style w:type="paragraph" w:styleId="Caption">
    <w:name w:val="caption"/>
    <w:basedOn w:val="Normal"/>
    <w:next w:val="Normal"/>
    <w:unhideWhenUsed/>
    <w:qFormat/>
    <w:rsid w:val="00C8722B"/>
    <w:pPr>
      <w:spacing w:after="200"/>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annotation reference" w:uiPriority="99" w:qFormat="1"/>
    <w:lsdException w:name="List" w:semiHidden="0" w:unhideWhenUsed="0"/>
    <w:lsdException w:name="List 2" w:semiHidden="0" w:unhideWhenUsed="0"/>
    <w:lsdException w:name="List 3" w:semiHidden="0" w:unhideWhenUsed="0"/>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Title" w:semiHidden="0" w:unhideWhenUsed="0" w:qFormat="1"/>
    <w:lsdException w:name="Subtitle" w:semiHidden="0" w:uiPriority="11" w:unhideWhenUsed="0" w:qFormat="1"/>
    <w:lsdException w:name="Body Text 3" w:semiHidden="0" w:unhideWhenUsed="0"/>
    <w:lsdException w:name="Body Text Indent 2" w:semiHidden="0" w:unhideWhenUsed="0"/>
    <w:lsdException w:name="Body Text Indent 3" w:semiHidden="0" w:unhideWhenUsed="0"/>
    <w:lsdException w:name="Block Text" w:semiHidden="0" w:unhideWhenUsed="0"/>
    <w:lsdException w:name="Hyperlink" w:uiPriority="99"/>
    <w:lsdException w:name="Strong" w:semiHidden="0" w:unhideWhenUsed="0" w:qFormat="1"/>
    <w:lsdException w:name="Emphasis" w:semiHidden="0" w:unhideWhenUsed="0" w:qFormat="1"/>
    <w:lsdException w:name="Table Grid" w:semiHidden="0" w:uiPriority="59" w:unhideWhenUsed="0"/>
    <w:lsdException w:name="Placeholder Text" w:uiPriority="99"/>
    <w:lsdException w:name="No Spacing" w:semiHidden="0" w:uiPriority="99" w:unhideWhenUsed="0" w:qFormat="1"/>
    <w:lsdException w:name="Light Shading" w:semiHidden="0" w:uiPriority="99" w:unhideWhenUsed="0"/>
    <w:lsdException w:name="Light List" w:semiHidden="0" w:uiPriority="99" w:unhideWhenUsed="0"/>
    <w:lsdException w:name="Light Grid" w:semiHidden="0" w:uiPriority="99" w:unhideWhenUsed="0"/>
    <w:lsdException w:name="Medium Shading 1" w:semiHidden="0" w:uiPriority="99" w:unhideWhenUsed="0"/>
    <w:lsdException w:name="Medium Shading 2" w:semiHidden="0" w:uiPriority="99" w:unhideWhenUsed="0"/>
    <w:lsdException w:name="Medium List 1" w:semiHidden="0" w:uiPriority="99" w:unhideWhenUsed="0"/>
    <w:lsdException w:name="Medium List 2" w:semiHidden="0" w:uiPriority="99" w:unhideWhenUsed="0"/>
    <w:lsdException w:name="Medium Grid 1" w:semiHidden="0" w:uiPriority="99" w:unhideWhenUsed="0"/>
    <w:lsdException w:name="Medium Grid 2" w:semiHidden="0"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99"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Pr>
      <w:sz w:val="24"/>
      <w:szCs w:val="24"/>
    </w:rPr>
  </w:style>
  <w:style w:type="paragraph" w:styleId="Heading1">
    <w:name w:val="heading 1"/>
    <w:basedOn w:val="ListParagraph"/>
    <w:next w:val="Normal"/>
    <w:qFormat/>
    <w:rsid w:val="00C603D4"/>
    <w:pPr>
      <w:numPr>
        <w:numId w:val="13"/>
      </w:numPr>
      <w:tabs>
        <w:tab w:val="clear" w:pos="643"/>
      </w:tabs>
      <w:ind w:left="720" w:hanging="720"/>
      <w:outlineLvl w:val="0"/>
    </w:pPr>
    <w:rPr>
      <w:b/>
      <w:szCs w:val="22"/>
    </w:rPr>
  </w:style>
  <w:style w:type="paragraph" w:styleId="Heading2">
    <w:name w:val="heading 2"/>
    <w:basedOn w:val="Normal"/>
    <w:next w:val="Normal"/>
    <w:qFormat/>
    <w:rsid w:val="00B1059E"/>
    <w:pPr>
      <w:keepNext/>
      <w:outlineLvl w:val="1"/>
    </w:pPr>
    <w:rPr>
      <w:rFonts w:ascii="Arial" w:hAnsi="Arial"/>
      <w:b/>
      <w:i/>
      <w:sz w:val="22"/>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aliases w:val="PBAC Paragraph Char"/>
    <w:link w:val="Subtitle"/>
    <w:semiHidden/>
    <w:rPr>
      <w:lang w:val="en-AU" w:eastAsia="en-US" w:bidi="ar-SA"/>
    </w:rPr>
  </w:style>
  <w:style w:type="paragraph" w:styleId="Subtitle">
    <w:name w:val="Subtitle"/>
    <w:aliases w:val="PBAC Paragraph"/>
    <w:basedOn w:val="Normal"/>
    <w:link w:val="SubtitleChar"/>
    <w:uiPriority w:val="11"/>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
    <w:basedOn w:val="Normal"/>
    <w:link w:val="ListParagraphChar"/>
    <w:uiPriority w:val="34"/>
    <w:qFormat/>
    <w:rsid w:val="00300AD6"/>
    <w:pPr>
      <w:widowControl w:val="0"/>
      <w:ind w:left="720"/>
      <w:contextualSpacing/>
      <w:jc w:val="both"/>
    </w:pPr>
    <w:rPr>
      <w:rFonts w:ascii="Arial" w:hAnsi="Arial" w:cs="Arial"/>
      <w:snapToGrid w:val="0"/>
      <w:sz w:val="22"/>
      <w:szCs w:val="20"/>
      <w:lang w:eastAsia="en-US"/>
    </w:r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uiPriority w:val="99"/>
    <w:qFormat/>
    <w:rsid w:val="00C27B58"/>
    <w:pPr>
      <w:jc w:val="both"/>
    </w:pPr>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qFormat/>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numPr>
        <w:numId w:val="12"/>
      </w:numPr>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
    <w:basedOn w:val="DefaultParagraphFont"/>
    <w:link w:val="ListParagraph"/>
    <w:uiPriority w:val="34"/>
    <w:rsid w:val="00077143"/>
    <w:rPr>
      <w:rFonts w:ascii="Arial" w:hAnsi="Arial" w:cs="Arial"/>
      <w:snapToGrid w:val="0"/>
      <w:sz w:val="22"/>
      <w:lang w:eastAsia="en-US"/>
    </w:rPr>
  </w:style>
  <w:style w:type="paragraph" w:customStyle="1" w:styleId="PBACHeading1">
    <w:name w:val="PBAC Heading 1"/>
    <w:qFormat/>
    <w:rsid w:val="00E15627"/>
    <w:pPr>
      <w:numPr>
        <w:numId w:val="14"/>
      </w:numPr>
      <w:outlineLvl w:val="0"/>
    </w:pPr>
    <w:rPr>
      <w:rFonts w:ascii="Arial" w:hAnsi="Arial" w:cs="Arial"/>
      <w:b/>
      <w:snapToGrid w:val="0"/>
      <w:sz w:val="22"/>
      <w:szCs w:val="22"/>
      <w:lang w:eastAsia="en-US"/>
    </w:rPr>
  </w:style>
  <w:style w:type="paragraph" w:styleId="Revision">
    <w:name w:val="Revision"/>
    <w:hidden/>
    <w:uiPriority w:val="71"/>
    <w:rsid w:val="00A86F1B"/>
    <w:rPr>
      <w:sz w:val="24"/>
      <w:szCs w:val="24"/>
    </w:rPr>
  </w:style>
  <w:style w:type="paragraph" w:styleId="Caption">
    <w:name w:val="caption"/>
    <w:basedOn w:val="Normal"/>
    <w:next w:val="Normal"/>
    <w:unhideWhenUsed/>
    <w:qFormat/>
    <w:rsid w:val="00C8722B"/>
    <w:pPr>
      <w:spacing w:after="200"/>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1200777952">
      <w:bodyDiv w:val="1"/>
      <w:marLeft w:val="0"/>
      <w:marRight w:val="0"/>
      <w:marTop w:val="0"/>
      <w:marBottom w:val="0"/>
      <w:divBdr>
        <w:top w:val="none" w:sz="0" w:space="0" w:color="auto"/>
        <w:left w:val="none" w:sz="0" w:space="0" w:color="auto"/>
        <w:bottom w:val="none" w:sz="0" w:space="0" w:color="auto"/>
        <w:right w:val="none" w:sz="0" w:space="0" w:color="auto"/>
      </w:divBdr>
    </w:div>
    <w:div w:id="1449348844">
      <w:bodyDiv w:val="1"/>
      <w:marLeft w:val="0"/>
      <w:marRight w:val="0"/>
      <w:marTop w:val="0"/>
      <w:marBottom w:val="0"/>
      <w:divBdr>
        <w:top w:val="none" w:sz="0" w:space="0" w:color="auto"/>
        <w:left w:val="none" w:sz="0" w:space="0" w:color="auto"/>
        <w:bottom w:val="none" w:sz="0" w:space="0" w:color="auto"/>
        <w:right w:val="none" w:sz="0" w:space="0" w:color="auto"/>
      </w:divBdr>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microsoft.com/office/2011/relationships/commentsExtended" Target="commentsExtended.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76F21C-BE1E-4F98-9684-C308D6C959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2318</Words>
  <Characters>13249</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15536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2017-06-14T06:58:00Z</dcterms:created>
  <dcterms:modified xsi:type="dcterms:W3CDTF">2017-06-14T06:58:00Z</dcterms:modified>
</cp:coreProperties>
</file>