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99" w:rsidRDefault="00AB1920" w:rsidP="00261899">
      <w:pPr>
        <w:pStyle w:val="Heading1"/>
        <w:rPr>
          <w:sz w:val="28"/>
        </w:rPr>
      </w:pPr>
      <w:bookmarkStart w:id="0" w:name="_Toc472503695"/>
      <w:bookmarkStart w:id="1" w:name="_Toc341702043"/>
      <w:bookmarkStart w:id="2" w:name="_Toc380742621"/>
      <w:bookmarkStart w:id="3" w:name="_Toc380746188"/>
      <w:bookmarkStart w:id="4" w:name="_Toc380746314"/>
      <w:bookmarkStart w:id="5" w:name="_Toc380746595"/>
      <w:bookmarkStart w:id="6" w:name="_GoBack"/>
      <w:bookmarkEnd w:id="6"/>
      <w:r>
        <w:rPr>
          <w:sz w:val="28"/>
        </w:rPr>
        <w:t>6</w:t>
      </w:r>
      <w:r w:rsidR="00727CAA" w:rsidRPr="00414040">
        <w:rPr>
          <w:sz w:val="28"/>
        </w:rPr>
        <w:t>.</w:t>
      </w:r>
      <w:r>
        <w:rPr>
          <w:sz w:val="28"/>
        </w:rPr>
        <w:t>05</w:t>
      </w:r>
      <w:r w:rsidR="00727CAA" w:rsidRPr="00414040">
        <w:rPr>
          <w:sz w:val="28"/>
        </w:rPr>
        <w:tab/>
        <w:t>USTEKINUMAB</w:t>
      </w:r>
    </w:p>
    <w:p w:rsidR="004C0645" w:rsidRPr="00261899" w:rsidRDefault="00261899" w:rsidP="00261899">
      <w:pPr>
        <w:pStyle w:val="Heading1"/>
        <w:ind w:firstLine="0"/>
        <w:rPr>
          <w:sz w:val="28"/>
        </w:rPr>
      </w:pPr>
      <w:r>
        <w:rPr>
          <w:caps w:val="0"/>
          <w:sz w:val="28"/>
        </w:rPr>
        <w:t>I</w:t>
      </w:r>
      <w:r w:rsidR="00727CAA" w:rsidRPr="00414040">
        <w:rPr>
          <w:caps w:val="0"/>
          <w:sz w:val="28"/>
        </w:rPr>
        <w:t>njection 130mg in 26mL vial</w:t>
      </w:r>
      <w:r w:rsidR="00727CAA" w:rsidRPr="00414040">
        <w:rPr>
          <w:sz w:val="28"/>
        </w:rPr>
        <w:t xml:space="preserve">, </w:t>
      </w:r>
      <w:r w:rsidR="00727CAA" w:rsidRPr="00414040">
        <w:rPr>
          <w:caps w:val="0"/>
          <w:sz w:val="28"/>
        </w:rPr>
        <w:t>injection 45mg in 0.5mL vial</w:t>
      </w:r>
      <w:r w:rsidR="00727CAA" w:rsidRPr="00414040">
        <w:rPr>
          <w:sz w:val="28"/>
        </w:rPr>
        <w:t xml:space="preserve">, </w:t>
      </w:r>
      <w:r w:rsidR="00727CAA" w:rsidRPr="00414040">
        <w:rPr>
          <w:caps w:val="0"/>
          <w:sz w:val="28"/>
        </w:rPr>
        <w:t>Stelara</w:t>
      </w:r>
      <w:r w:rsidR="00727CAA" w:rsidRPr="00414040">
        <w:rPr>
          <w:sz w:val="28"/>
          <w:vertAlign w:val="superscript"/>
        </w:rPr>
        <w:t>®</w:t>
      </w:r>
      <w:r w:rsidR="00727CAA" w:rsidRPr="00414040">
        <w:rPr>
          <w:sz w:val="28"/>
        </w:rPr>
        <w:t xml:space="preserve">, </w:t>
      </w:r>
      <w:r w:rsidR="00727CAA" w:rsidRPr="00414040">
        <w:rPr>
          <w:caps w:val="0"/>
          <w:sz w:val="28"/>
        </w:rPr>
        <w:t>Janssen Cilag Australia Pty Ltd</w:t>
      </w:r>
      <w:bookmarkEnd w:id="0"/>
    </w:p>
    <w:p w:rsidR="00727CAA" w:rsidRPr="00414040" w:rsidRDefault="00727CAA" w:rsidP="00727CAA"/>
    <w:p w:rsidR="004C0645" w:rsidRDefault="004C0645" w:rsidP="00C51274">
      <w:bookmarkStart w:id="7" w:name="_Toc472503697"/>
    </w:p>
    <w:p w:rsidR="00727CAA" w:rsidRPr="004C0645" w:rsidRDefault="00727CAA" w:rsidP="00727CAA">
      <w:pPr>
        <w:pStyle w:val="PBACHeading1"/>
      </w:pPr>
      <w:r w:rsidRPr="004C0645">
        <w:t>Purpose of Application</w:t>
      </w:r>
      <w:bookmarkEnd w:id="7"/>
    </w:p>
    <w:p w:rsidR="00727CAA" w:rsidRPr="00414040" w:rsidRDefault="00727CAA" w:rsidP="00727CAA">
      <w:pPr>
        <w:rPr>
          <w:szCs w:val="22"/>
        </w:rPr>
      </w:pPr>
    </w:p>
    <w:p w:rsidR="00584174" w:rsidRDefault="00770EEB" w:rsidP="00261899">
      <w:pPr>
        <w:pStyle w:val="ListParagraph"/>
        <w:widowControl/>
        <w:numPr>
          <w:ilvl w:val="1"/>
          <w:numId w:val="1"/>
        </w:numPr>
      </w:pPr>
      <w:r>
        <w:t>Section 100 Authority Required listing</w:t>
      </w:r>
      <w:r w:rsidR="00727CAA" w:rsidRPr="00414040">
        <w:t xml:space="preserve"> for </w:t>
      </w:r>
      <w:r>
        <w:t xml:space="preserve">the </w:t>
      </w:r>
      <w:r w:rsidR="00870658">
        <w:t>intravenous (</w:t>
      </w:r>
      <w:r w:rsidR="00727CAA" w:rsidRPr="00414040">
        <w:t>IV</w:t>
      </w:r>
      <w:r w:rsidR="00870658">
        <w:t>)</w:t>
      </w:r>
      <w:r w:rsidR="00727CAA" w:rsidRPr="00414040">
        <w:t xml:space="preserve"> loading dose and Section 85 Authority Required listing for follow on </w:t>
      </w:r>
      <w:r w:rsidR="00870658">
        <w:t>subcutaneous (SC)</w:t>
      </w:r>
      <w:r w:rsidR="00870658" w:rsidRPr="00414040">
        <w:t xml:space="preserve"> </w:t>
      </w:r>
      <w:r w:rsidR="00727CAA" w:rsidRPr="00414040">
        <w:t>injections were requested for</w:t>
      </w:r>
      <w:r w:rsidR="00870658">
        <w:t xml:space="preserve"> ustekinumab</w:t>
      </w:r>
      <w:r w:rsidR="00727CAA" w:rsidRPr="00414040">
        <w:t xml:space="preserve"> </w:t>
      </w:r>
      <w:r w:rsidR="00870658">
        <w:t>(</w:t>
      </w:r>
      <w:r w:rsidR="009F102A" w:rsidRPr="009F102A">
        <w:t>UST</w:t>
      </w:r>
      <w:r w:rsidR="00870658">
        <w:t>)</w:t>
      </w:r>
      <w:r w:rsidR="00727CAA" w:rsidRPr="00414040">
        <w:t xml:space="preserve"> for the indications</w:t>
      </w:r>
      <w:r>
        <w:t xml:space="preserve"> of: 1) severe Crohn’s disease</w:t>
      </w:r>
      <w:r w:rsidR="008D19B0">
        <w:t xml:space="preserve"> (CD)</w:t>
      </w:r>
      <w:r>
        <w:t xml:space="preserve"> </w:t>
      </w:r>
      <w:r w:rsidR="00727CAA" w:rsidRPr="00414040">
        <w:t>and 2) complex refractory fistulising</w:t>
      </w:r>
      <w:r>
        <w:t xml:space="preserve"> </w:t>
      </w:r>
      <w:r w:rsidR="008D19B0">
        <w:t>CD</w:t>
      </w:r>
      <w:r w:rsidR="00727CAA" w:rsidRPr="00414040">
        <w:t>.</w:t>
      </w:r>
    </w:p>
    <w:p w:rsidR="00C51274" w:rsidRPr="00414040" w:rsidRDefault="00C51274" w:rsidP="00C51274">
      <w:pPr>
        <w:widowControl/>
        <w:rPr>
          <w:szCs w:val="22"/>
        </w:rPr>
      </w:pPr>
    </w:p>
    <w:p w:rsidR="00727CAA" w:rsidRPr="00584174" w:rsidRDefault="00727CAA" w:rsidP="00584174">
      <w:pPr>
        <w:widowControl/>
        <w:ind w:left="709"/>
        <w:rPr>
          <w:szCs w:val="22"/>
        </w:rPr>
      </w:pPr>
    </w:p>
    <w:p w:rsidR="00727CAA" w:rsidRPr="00414040" w:rsidRDefault="00727CAA" w:rsidP="00727CAA">
      <w:pPr>
        <w:pStyle w:val="PBACHeading1"/>
      </w:pPr>
      <w:bookmarkStart w:id="8" w:name="_Toc472503698"/>
      <w:r w:rsidRPr="00414040">
        <w:t>Requested listing</w:t>
      </w:r>
      <w:bookmarkEnd w:id="8"/>
    </w:p>
    <w:p w:rsidR="00727CAA" w:rsidRPr="00414040" w:rsidRDefault="00727CAA" w:rsidP="00727CAA"/>
    <w:p w:rsidR="00727CAA" w:rsidRPr="00BD354E" w:rsidRDefault="00727CAA" w:rsidP="00506A87">
      <w:pPr>
        <w:pStyle w:val="ListParagraph"/>
        <w:widowControl/>
        <w:numPr>
          <w:ilvl w:val="1"/>
          <w:numId w:val="1"/>
        </w:numPr>
      </w:pPr>
      <w:r w:rsidRPr="00870658">
        <w:rPr>
          <w:szCs w:val="22"/>
        </w:rPr>
        <w:t>The requested listing is similar to that of</w:t>
      </w:r>
      <w:r w:rsidR="00770EEB" w:rsidRPr="00870658">
        <w:rPr>
          <w:szCs w:val="22"/>
        </w:rPr>
        <w:t xml:space="preserve">: i) </w:t>
      </w:r>
      <w:r w:rsidR="00CD599C">
        <w:rPr>
          <w:szCs w:val="22"/>
        </w:rPr>
        <w:t>adalimumab (</w:t>
      </w:r>
      <w:r w:rsidR="0029256D" w:rsidRPr="00870658">
        <w:rPr>
          <w:szCs w:val="22"/>
        </w:rPr>
        <w:t>ADA</w:t>
      </w:r>
      <w:r w:rsidR="00CD599C">
        <w:rPr>
          <w:szCs w:val="22"/>
        </w:rPr>
        <w:t>)</w:t>
      </w:r>
      <w:r w:rsidRPr="00870658">
        <w:rPr>
          <w:szCs w:val="22"/>
        </w:rPr>
        <w:t xml:space="preserve"> and other</w:t>
      </w:r>
      <w:r w:rsidR="00CD599C" w:rsidRPr="00CD599C">
        <w:rPr>
          <w:bCs/>
        </w:rPr>
        <w:t xml:space="preserve"> </w:t>
      </w:r>
      <w:r w:rsidR="00CD599C" w:rsidRPr="00414040">
        <w:rPr>
          <w:bCs/>
        </w:rPr>
        <w:t>biological disease modifying anti-rheumatic drugs</w:t>
      </w:r>
      <w:r w:rsidRPr="00870658">
        <w:rPr>
          <w:szCs w:val="22"/>
        </w:rPr>
        <w:t xml:space="preserve"> </w:t>
      </w:r>
      <w:r w:rsidR="00CD599C">
        <w:rPr>
          <w:szCs w:val="22"/>
        </w:rPr>
        <w:t>(</w:t>
      </w:r>
      <w:r w:rsidRPr="00870658">
        <w:rPr>
          <w:szCs w:val="22"/>
        </w:rPr>
        <w:t>bDMARDs</w:t>
      </w:r>
      <w:r w:rsidR="00CD599C">
        <w:rPr>
          <w:szCs w:val="22"/>
        </w:rPr>
        <w:t>)</w:t>
      </w:r>
      <w:r w:rsidRPr="00870658">
        <w:rPr>
          <w:szCs w:val="22"/>
        </w:rPr>
        <w:t xml:space="preserve"> includi</w:t>
      </w:r>
      <w:r w:rsidR="00770EEB" w:rsidRPr="00870658">
        <w:rPr>
          <w:szCs w:val="22"/>
        </w:rPr>
        <w:t xml:space="preserve">ng </w:t>
      </w:r>
      <w:r w:rsidR="00CD599C">
        <w:rPr>
          <w:szCs w:val="22"/>
        </w:rPr>
        <w:t>infliximab (</w:t>
      </w:r>
      <w:r w:rsidR="009F102A" w:rsidRPr="00870658">
        <w:rPr>
          <w:szCs w:val="22"/>
        </w:rPr>
        <w:t>IFX</w:t>
      </w:r>
      <w:r w:rsidR="00CD599C">
        <w:rPr>
          <w:szCs w:val="22"/>
        </w:rPr>
        <w:t>)</w:t>
      </w:r>
      <w:r w:rsidR="00770EEB" w:rsidRPr="00870658">
        <w:rPr>
          <w:szCs w:val="22"/>
        </w:rPr>
        <w:t xml:space="preserve"> and </w:t>
      </w:r>
      <w:r w:rsidR="00CD599C">
        <w:rPr>
          <w:szCs w:val="22"/>
        </w:rPr>
        <w:t>vedolizumab (</w:t>
      </w:r>
      <w:r w:rsidR="0029256D" w:rsidRPr="00870658">
        <w:rPr>
          <w:szCs w:val="22"/>
        </w:rPr>
        <w:t>VDZ</w:t>
      </w:r>
      <w:r w:rsidR="00770EEB" w:rsidRPr="00870658">
        <w:rPr>
          <w:szCs w:val="22"/>
        </w:rPr>
        <w:t xml:space="preserve">) </w:t>
      </w:r>
      <w:r w:rsidRPr="00870658">
        <w:rPr>
          <w:szCs w:val="22"/>
        </w:rPr>
        <w:t xml:space="preserve">for treatment of severe CD and </w:t>
      </w:r>
      <w:r w:rsidR="00770EEB" w:rsidRPr="00870658">
        <w:rPr>
          <w:szCs w:val="22"/>
        </w:rPr>
        <w:t xml:space="preserve">ii) </w:t>
      </w:r>
      <w:r w:rsidR="0029256D" w:rsidRPr="00870658">
        <w:rPr>
          <w:szCs w:val="22"/>
        </w:rPr>
        <w:t>ADA</w:t>
      </w:r>
      <w:r w:rsidR="008D19B0" w:rsidRPr="00870658">
        <w:rPr>
          <w:szCs w:val="22"/>
        </w:rPr>
        <w:t xml:space="preserve"> </w:t>
      </w:r>
      <w:r w:rsidRPr="00870658">
        <w:rPr>
          <w:szCs w:val="22"/>
        </w:rPr>
        <w:t xml:space="preserve">and </w:t>
      </w:r>
      <w:r w:rsidR="009F102A" w:rsidRPr="00870658">
        <w:rPr>
          <w:szCs w:val="22"/>
        </w:rPr>
        <w:t>IFX</w:t>
      </w:r>
      <w:r w:rsidR="008D19B0" w:rsidRPr="00870658" w:rsidDel="008D19B0">
        <w:rPr>
          <w:szCs w:val="22"/>
        </w:rPr>
        <w:t xml:space="preserve"> </w:t>
      </w:r>
      <w:r w:rsidRPr="00870658">
        <w:rPr>
          <w:szCs w:val="22"/>
        </w:rPr>
        <w:t xml:space="preserve">for fistulising CD.  </w:t>
      </w:r>
      <w:r w:rsidR="00770EEB" w:rsidRPr="00870658">
        <w:rPr>
          <w:szCs w:val="22"/>
        </w:rPr>
        <w:t xml:space="preserve">Abbreviated </w:t>
      </w:r>
      <w:r w:rsidRPr="00870658">
        <w:rPr>
          <w:szCs w:val="22"/>
        </w:rPr>
        <w:t>requested r</w:t>
      </w:r>
      <w:r w:rsidR="00770EEB" w:rsidRPr="00870658">
        <w:rPr>
          <w:szCs w:val="22"/>
        </w:rPr>
        <w:t>estrictions are presented below</w:t>
      </w:r>
      <w:r w:rsidR="00870658">
        <w:rPr>
          <w:szCs w:val="22"/>
        </w:rPr>
        <w:t>.</w:t>
      </w:r>
    </w:p>
    <w:p w:rsidR="00BD354E" w:rsidRPr="00414040" w:rsidRDefault="00BD354E" w:rsidP="00BD354E">
      <w:pPr>
        <w:pStyle w:val="ListParagraph"/>
        <w:widowControl/>
      </w:pPr>
    </w:p>
    <w:p w:rsidR="009C4E5F" w:rsidRDefault="009C4E5F">
      <w:pPr>
        <w:widowControl/>
        <w:jc w:val="left"/>
        <w:rPr>
          <w:u w:val="single"/>
        </w:rPr>
      </w:pPr>
      <w:r>
        <w:br w:type="page"/>
      </w:r>
    </w:p>
    <w:p w:rsidR="00727CAA" w:rsidRPr="00414040" w:rsidRDefault="00C51274" w:rsidP="00C51274">
      <w:pPr>
        <w:pStyle w:val="Heading3"/>
      </w:pPr>
      <w:r>
        <w:lastRenderedPageBreak/>
        <w:t>Severe CD</w:t>
      </w:r>
    </w:p>
    <w:p w:rsidR="00727CAA" w:rsidRPr="00414040" w:rsidRDefault="00727CAA" w:rsidP="00727CAA">
      <w:pPr>
        <w:ind w:left="680"/>
      </w:pPr>
    </w:p>
    <w:tbl>
      <w:tblPr>
        <w:tblW w:w="4650"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39"/>
        <w:gridCol w:w="856"/>
        <w:gridCol w:w="791"/>
        <w:gridCol w:w="1569"/>
        <w:gridCol w:w="998"/>
        <w:gridCol w:w="1093"/>
      </w:tblGrid>
      <w:tr w:rsidR="00727CAA" w:rsidRPr="00414040" w:rsidTr="0013573C">
        <w:trPr>
          <w:cantSplit/>
          <w:trHeight w:val="471"/>
        </w:trPr>
        <w:tc>
          <w:tcPr>
            <w:tcW w:w="1858" w:type="pct"/>
            <w:hideMark/>
          </w:tcPr>
          <w:p w:rsidR="00727CAA" w:rsidRPr="00414040" w:rsidRDefault="00727CAA" w:rsidP="005212E6">
            <w:pPr>
              <w:keepNext/>
              <w:rPr>
                <w:sz w:val="20"/>
              </w:rPr>
            </w:pPr>
            <w:r w:rsidRPr="00414040">
              <w:rPr>
                <w:sz w:val="20"/>
              </w:rPr>
              <w:t>Name, Restriction,</w:t>
            </w:r>
          </w:p>
          <w:p w:rsidR="00727CAA" w:rsidRPr="00414040" w:rsidRDefault="00727CAA" w:rsidP="005212E6">
            <w:pPr>
              <w:keepNext/>
              <w:rPr>
                <w:sz w:val="20"/>
              </w:rPr>
            </w:pPr>
            <w:r w:rsidRPr="00414040">
              <w:rPr>
                <w:sz w:val="20"/>
              </w:rPr>
              <w:t>Manner of administration and form</w:t>
            </w:r>
          </w:p>
        </w:tc>
        <w:tc>
          <w:tcPr>
            <w:tcW w:w="507" w:type="pct"/>
            <w:hideMark/>
          </w:tcPr>
          <w:p w:rsidR="00727CAA" w:rsidRPr="00414040" w:rsidRDefault="00727CAA" w:rsidP="005212E6">
            <w:pPr>
              <w:keepNext/>
              <w:jc w:val="center"/>
              <w:rPr>
                <w:sz w:val="20"/>
              </w:rPr>
            </w:pPr>
            <w:r w:rsidRPr="00414040">
              <w:rPr>
                <w:sz w:val="20"/>
              </w:rPr>
              <w:t>Max.</w:t>
            </w:r>
          </w:p>
          <w:p w:rsidR="00727CAA" w:rsidRPr="00414040" w:rsidRDefault="00727CAA" w:rsidP="005212E6">
            <w:pPr>
              <w:keepNext/>
              <w:jc w:val="center"/>
              <w:rPr>
                <w:sz w:val="20"/>
              </w:rPr>
            </w:pPr>
            <w:r w:rsidRPr="00414040">
              <w:rPr>
                <w:sz w:val="20"/>
              </w:rPr>
              <w:t>Qty</w:t>
            </w:r>
          </w:p>
        </w:tc>
        <w:tc>
          <w:tcPr>
            <w:tcW w:w="468" w:type="pct"/>
            <w:hideMark/>
          </w:tcPr>
          <w:p w:rsidR="00727CAA" w:rsidRPr="00414040" w:rsidRDefault="00727CAA" w:rsidP="005212E6">
            <w:pPr>
              <w:keepNext/>
              <w:jc w:val="center"/>
              <w:rPr>
                <w:sz w:val="20"/>
              </w:rPr>
            </w:pPr>
            <w:r w:rsidRPr="00414040">
              <w:rPr>
                <w:sz w:val="20"/>
              </w:rPr>
              <w:t>№.of</w:t>
            </w:r>
          </w:p>
          <w:p w:rsidR="00727CAA" w:rsidRPr="00414040" w:rsidRDefault="00727CAA" w:rsidP="005212E6">
            <w:pPr>
              <w:keepNext/>
              <w:jc w:val="center"/>
              <w:rPr>
                <w:sz w:val="20"/>
              </w:rPr>
            </w:pPr>
            <w:r w:rsidRPr="00414040">
              <w:rPr>
                <w:sz w:val="20"/>
              </w:rPr>
              <w:t>Rpts</w:t>
            </w:r>
          </w:p>
        </w:tc>
        <w:tc>
          <w:tcPr>
            <w:tcW w:w="929" w:type="pct"/>
            <w:hideMark/>
          </w:tcPr>
          <w:p w:rsidR="00727CAA" w:rsidRPr="00414040" w:rsidRDefault="00727CAA" w:rsidP="005212E6">
            <w:pPr>
              <w:keepNext/>
              <w:jc w:val="center"/>
              <w:rPr>
                <w:sz w:val="20"/>
              </w:rPr>
            </w:pPr>
            <w:r w:rsidRPr="00414040">
              <w:rPr>
                <w:sz w:val="20"/>
              </w:rPr>
              <w:t>Dispensed Price for Max. Qty</w:t>
            </w:r>
          </w:p>
        </w:tc>
        <w:tc>
          <w:tcPr>
            <w:tcW w:w="1238" w:type="pct"/>
            <w:gridSpan w:val="2"/>
            <w:hideMark/>
          </w:tcPr>
          <w:p w:rsidR="00727CAA" w:rsidRPr="00414040" w:rsidRDefault="00727CAA" w:rsidP="005212E6">
            <w:pPr>
              <w:keepNext/>
              <w:jc w:val="center"/>
              <w:rPr>
                <w:sz w:val="20"/>
              </w:rPr>
            </w:pPr>
            <w:r w:rsidRPr="00414040">
              <w:rPr>
                <w:sz w:val="20"/>
              </w:rPr>
              <w:t>Proprietary Name and Manufacturer</w:t>
            </w:r>
          </w:p>
        </w:tc>
      </w:tr>
      <w:tr w:rsidR="00727CAA" w:rsidRPr="00414040" w:rsidTr="0013573C">
        <w:trPr>
          <w:cantSplit/>
          <w:trHeight w:val="70"/>
        </w:trPr>
        <w:tc>
          <w:tcPr>
            <w:tcW w:w="1858" w:type="pct"/>
          </w:tcPr>
          <w:p w:rsidR="00727CAA" w:rsidRPr="00414040" w:rsidRDefault="00727CAA" w:rsidP="005212E6">
            <w:pPr>
              <w:keepNext/>
              <w:rPr>
                <w:b/>
                <w:bCs/>
                <w:smallCaps/>
                <w:sz w:val="20"/>
              </w:rPr>
            </w:pPr>
            <w:r w:rsidRPr="00414040">
              <w:rPr>
                <w:b/>
                <w:bCs/>
                <w:smallCaps/>
                <w:sz w:val="20"/>
              </w:rPr>
              <w:t>Initial treatment</w:t>
            </w:r>
          </w:p>
        </w:tc>
        <w:tc>
          <w:tcPr>
            <w:tcW w:w="507" w:type="pct"/>
          </w:tcPr>
          <w:p w:rsidR="00727CAA" w:rsidRPr="00414040" w:rsidRDefault="00727CAA" w:rsidP="005212E6">
            <w:pPr>
              <w:keepNext/>
              <w:jc w:val="center"/>
              <w:rPr>
                <w:sz w:val="20"/>
              </w:rPr>
            </w:pPr>
          </w:p>
        </w:tc>
        <w:tc>
          <w:tcPr>
            <w:tcW w:w="468" w:type="pct"/>
          </w:tcPr>
          <w:p w:rsidR="00727CAA" w:rsidRPr="00414040" w:rsidRDefault="00727CAA" w:rsidP="005212E6">
            <w:pPr>
              <w:keepNext/>
              <w:jc w:val="center"/>
              <w:rPr>
                <w:sz w:val="20"/>
              </w:rPr>
            </w:pPr>
          </w:p>
        </w:tc>
        <w:tc>
          <w:tcPr>
            <w:tcW w:w="929" w:type="pct"/>
          </w:tcPr>
          <w:p w:rsidR="00727CAA" w:rsidRPr="00414040" w:rsidRDefault="00727CAA" w:rsidP="005212E6">
            <w:pPr>
              <w:keepNext/>
              <w:jc w:val="center"/>
              <w:rPr>
                <w:sz w:val="20"/>
              </w:rPr>
            </w:pPr>
          </w:p>
        </w:tc>
        <w:tc>
          <w:tcPr>
            <w:tcW w:w="591" w:type="pct"/>
          </w:tcPr>
          <w:p w:rsidR="00727CAA" w:rsidRPr="00414040" w:rsidRDefault="00727CAA" w:rsidP="005212E6">
            <w:pPr>
              <w:keepNext/>
              <w:jc w:val="center"/>
              <w:rPr>
                <w:sz w:val="20"/>
              </w:rPr>
            </w:pPr>
          </w:p>
        </w:tc>
        <w:tc>
          <w:tcPr>
            <w:tcW w:w="647" w:type="pct"/>
          </w:tcPr>
          <w:p w:rsidR="00727CAA" w:rsidRPr="00414040" w:rsidRDefault="00727CAA" w:rsidP="005212E6">
            <w:pPr>
              <w:keepNext/>
              <w:jc w:val="center"/>
              <w:rPr>
                <w:sz w:val="20"/>
              </w:rPr>
            </w:pPr>
          </w:p>
        </w:tc>
      </w:tr>
      <w:tr w:rsidR="00727CAA" w:rsidRPr="00414040" w:rsidTr="0013573C">
        <w:trPr>
          <w:cantSplit/>
          <w:trHeight w:val="80"/>
        </w:trPr>
        <w:tc>
          <w:tcPr>
            <w:tcW w:w="1858" w:type="pct"/>
          </w:tcPr>
          <w:p w:rsidR="00727CAA" w:rsidRPr="00414040" w:rsidRDefault="00727CAA" w:rsidP="005212E6">
            <w:pPr>
              <w:keepNext/>
              <w:ind w:left="114"/>
              <w:rPr>
                <w:sz w:val="20"/>
              </w:rPr>
            </w:pPr>
            <w:r w:rsidRPr="00414040">
              <w:rPr>
                <w:smallCaps/>
                <w:sz w:val="20"/>
              </w:rPr>
              <w:t>Ustekinumab</w:t>
            </w:r>
          </w:p>
          <w:p w:rsidR="00727CAA" w:rsidRPr="00414040" w:rsidRDefault="00727CAA" w:rsidP="005212E6">
            <w:pPr>
              <w:keepNext/>
              <w:ind w:left="114"/>
              <w:rPr>
                <w:sz w:val="20"/>
              </w:rPr>
            </w:pPr>
            <w:r w:rsidRPr="00414040">
              <w:rPr>
                <w:sz w:val="20"/>
              </w:rPr>
              <w:t>130mg/26mL injection, 26mL vial</w:t>
            </w:r>
          </w:p>
          <w:p w:rsidR="00727CAA" w:rsidRPr="00414040" w:rsidRDefault="00727CAA" w:rsidP="005212E6">
            <w:pPr>
              <w:keepNext/>
              <w:ind w:left="114"/>
              <w:rPr>
                <w:smallCaps/>
                <w:sz w:val="20"/>
              </w:rPr>
            </w:pPr>
          </w:p>
          <w:p w:rsidR="00727CAA" w:rsidRPr="00414040" w:rsidRDefault="00727CAA" w:rsidP="005212E6">
            <w:pPr>
              <w:keepNext/>
              <w:ind w:left="114"/>
              <w:rPr>
                <w:smallCaps/>
                <w:sz w:val="20"/>
              </w:rPr>
            </w:pPr>
          </w:p>
          <w:p w:rsidR="00727CAA" w:rsidRPr="00414040" w:rsidRDefault="00727CAA" w:rsidP="005212E6">
            <w:pPr>
              <w:keepNext/>
              <w:tabs>
                <w:tab w:val="left" w:pos="1785"/>
              </w:tabs>
              <w:ind w:left="114"/>
              <w:rPr>
                <w:sz w:val="20"/>
              </w:rPr>
            </w:pPr>
            <w:r w:rsidRPr="00414040">
              <w:rPr>
                <w:smallCaps/>
                <w:sz w:val="20"/>
              </w:rPr>
              <w:t>Ustekinumab</w:t>
            </w:r>
            <w:r w:rsidRPr="00414040">
              <w:rPr>
                <w:smallCaps/>
                <w:sz w:val="20"/>
              </w:rPr>
              <w:tab/>
            </w:r>
          </w:p>
          <w:p w:rsidR="00727CAA" w:rsidRPr="00414040" w:rsidRDefault="00727CAA" w:rsidP="005212E6">
            <w:pPr>
              <w:keepNext/>
              <w:ind w:left="114"/>
              <w:rPr>
                <w:smallCaps/>
                <w:sz w:val="20"/>
              </w:rPr>
            </w:pPr>
            <w:r w:rsidRPr="00414040">
              <w:rPr>
                <w:sz w:val="20"/>
              </w:rPr>
              <w:t>45mg/0.5mL injection, 0.5mL vial</w:t>
            </w:r>
          </w:p>
        </w:tc>
        <w:tc>
          <w:tcPr>
            <w:tcW w:w="507"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1</w:t>
            </w: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468"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0</w:t>
            </w: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0</w:t>
            </w:r>
          </w:p>
        </w:tc>
        <w:tc>
          <w:tcPr>
            <w:tcW w:w="929" w:type="pct"/>
          </w:tcPr>
          <w:p w:rsidR="00727CAA" w:rsidRPr="00414040" w:rsidRDefault="00727CAA" w:rsidP="005212E6">
            <w:pPr>
              <w:keepNext/>
              <w:jc w:val="center"/>
              <w:rPr>
                <w:sz w:val="20"/>
              </w:rPr>
            </w:pPr>
            <w:r w:rsidRPr="00414040">
              <w:rPr>
                <w:sz w:val="20"/>
              </w:rPr>
              <w:t>$</w:t>
            </w:r>
            <w:r w:rsidR="00CA59E8">
              <w:rPr>
                <w:noProof/>
                <w:color w:val="000000"/>
                <w:sz w:val="20"/>
                <w:highlight w:val="black"/>
              </w:rPr>
              <w:t>'''''''''''''''''''</w:t>
            </w:r>
            <w:r w:rsidRPr="00414040">
              <w:rPr>
                <w:sz w:val="20"/>
                <w:vertAlign w:val="superscript"/>
              </w:rPr>
              <w:t>a</w:t>
            </w:r>
            <w:r w:rsidRPr="00414040">
              <w:rPr>
                <w:sz w:val="20"/>
              </w:rPr>
              <w:t xml:space="preserve"> (public)</w:t>
            </w:r>
          </w:p>
          <w:p w:rsidR="00727CAA" w:rsidRPr="00414040" w:rsidRDefault="00727CAA" w:rsidP="005212E6">
            <w:pPr>
              <w:keepNext/>
              <w:jc w:val="center"/>
              <w:rPr>
                <w:sz w:val="20"/>
              </w:rPr>
            </w:pPr>
            <w:r w:rsidRPr="00414040">
              <w:rPr>
                <w:sz w:val="20"/>
              </w:rPr>
              <w:t>$</w:t>
            </w:r>
            <w:r w:rsidR="00CA59E8">
              <w:rPr>
                <w:noProof/>
                <w:color w:val="000000"/>
                <w:sz w:val="20"/>
                <w:highlight w:val="black"/>
              </w:rPr>
              <w:t>''''''''''''''''''''''</w:t>
            </w:r>
            <w:r w:rsidRPr="00414040">
              <w:rPr>
                <w:sz w:val="20"/>
                <w:vertAlign w:val="superscript"/>
              </w:rPr>
              <w:t>a</w:t>
            </w:r>
            <w:r w:rsidRPr="00414040">
              <w:rPr>
                <w:sz w:val="20"/>
              </w:rPr>
              <w:t xml:space="preserve"> (private)</w:t>
            </w:r>
          </w:p>
          <w:p w:rsidR="00727CAA" w:rsidRPr="00414040" w:rsidRDefault="00727CAA" w:rsidP="005212E6">
            <w:pPr>
              <w:keepNext/>
              <w:jc w:val="center"/>
              <w:rPr>
                <w:sz w:val="20"/>
              </w:rPr>
            </w:pPr>
          </w:p>
          <w:p w:rsidR="00727CAA" w:rsidRPr="00414040" w:rsidRDefault="00727CAA" w:rsidP="005212E6">
            <w:pPr>
              <w:keepNext/>
              <w:jc w:val="center"/>
              <w:rPr>
                <w:sz w:val="20"/>
                <w:vertAlign w:val="superscript"/>
              </w:rPr>
            </w:pPr>
            <w:r w:rsidRPr="00414040">
              <w:rPr>
                <w:sz w:val="20"/>
              </w:rPr>
              <w:t>$</w:t>
            </w:r>
            <w:r w:rsidR="00CA59E8">
              <w:rPr>
                <w:noProof/>
                <w:color w:val="000000"/>
                <w:sz w:val="20"/>
                <w:highlight w:val="black"/>
              </w:rPr>
              <w:t>'''''''''''''''''''</w:t>
            </w:r>
            <w:r w:rsidRPr="00414040">
              <w:rPr>
                <w:sz w:val="20"/>
                <w:vertAlign w:val="superscript"/>
              </w:rPr>
              <w:t>b</w:t>
            </w:r>
          </w:p>
        </w:tc>
        <w:tc>
          <w:tcPr>
            <w:tcW w:w="591" w:type="pct"/>
            <w:vMerge w:val="restart"/>
            <w:vAlign w:val="center"/>
          </w:tcPr>
          <w:p w:rsidR="00727CAA" w:rsidRPr="00414040" w:rsidRDefault="00727CAA" w:rsidP="005212E6">
            <w:pPr>
              <w:keepNext/>
              <w:jc w:val="center"/>
              <w:rPr>
                <w:sz w:val="20"/>
              </w:rPr>
            </w:pPr>
            <w:r w:rsidRPr="00414040">
              <w:rPr>
                <w:sz w:val="20"/>
              </w:rPr>
              <w:t>Stelara®</w:t>
            </w:r>
          </w:p>
        </w:tc>
        <w:tc>
          <w:tcPr>
            <w:tcW w:w="647" w:type="pct"/>
            <w:vMerge w:val="restart"/>
            <w:vAlign w:val="center"/>
          </w:tcPr>
          <w:p w:rsidR="00727CAA" w:rsidRPr="00414040" w:rsidRDefault="00727CAA" w:rsidP="005212E6">
            <w:pPr>
              <w:keepNext/>
              <w:jc w:val="center"/>
              <w:rPr>
                <w:sz w:val="20"/>
              </w:rPr>
            </w:pPr>
            <w:r w:rsidRPr="00414040">
              <w:rPr>
                <w:sz w:val="20"/>
              </w:rPr>
              <w:t>Janssen Cilag</w:t>
            </w:r>
          </w:p>
        </w:tc>
      </w:tr>
      <w:tr w:rsidR="00727CAA" w:rsidRPr="00414040" w:rsidTr="0013573C">
        <w:trPr>
          <w:cantSplit/>
          <w:trHeight w:val="80"/>
        </w:trPr>
        <w:tc>
          <w:tcPr>
            <w:tcW w:w="1858" w:type="pct"/>
          </w:tcPr>
          <w:p w:rsidR="00727CAA" w:rsidRPr="00414040" w:rsidRDefault="00727CAA" w:rsidP="005212E6">
            <w:pPr>
              <w:keepNext/>
              <w:rPr>
                <w:b/>
                <w:bCs/>
                <w:smallCaps/>
                <w:sz w:val="20"/>
              </w:rPr>
            </w:pPr>
            <w:r w:rsidRPr="00414040">
              <w:rPr>
                <w:b/>
                <w:bCs/>
                <w:smallCaps/>
                <w:sz w:val="20"/>
              </w:rPr>
              <w:t>Continuing Treatment</w:t>
            </w:r>
          </w:p>
        </w:tc>
        <w:tc>
          <w:tcPr>
            <w:tcW w:w="507" w:type="pct"/>
          </w:tcPr>
          <w:p w:rsidR="00727CAA" w:rsidRPr="00414040" w:rsidRDefault="00727CAA" w:rsidP="005212E6">
            <w:pPr>
              <w:keepNext/>
              <w:jc w:val="center"/>
              <w:rPr>
                <w:sz w:val="20"/>
              </w:rPr>
            </w:pPr>
          </w:p>
        </w:tc>
        <w:tc>
          <w:tcPr>
            <w:tcW w:w="468" w:type="pct"/>
          </w:tcPr>
          <w:p w:rsidR="00727CAA" w:rsidRPr="00414040" w:rsidRDefault="00727CAA" w:rsidP="005212E6">
            <w:pPr>
              <w:keepNext/>
              <w:jc w:val="center"/>
              <w:rPr>
                <w:sz w:val="20"/>
              </w:rPr>
            </w:pPr>
          </w:p>
        </w:tc>
        <w:tc>
          <w:tcPr>
            <w:tcW w:w="929" w:type="pct"/>
          </w:tcPr>
          <w:p w:rsidR="00727CAA" w:rsidRPr="00414040" w:rsidRDefault="00727CAA" w:rsidP="005212E6">
            <w:pPr>
              <w:keepNext/>
              <w:jc w:val="center"/>
              <w:rPr>
                <w:sz w:val="20"/>
              </w:rPr>
            </w:pPr>
          </w:p>
        </w:tc>
        <w:tc>
          <w:tcPr>
            <w:tcW w:w="591" w:type="pct"/>
            <w:vMerge/>
          </w:tcPr>
          <w:p w:rsidR="00727CAA" w:rsidRPr="00414040" w:rsidRDefault="00727CAA" w:rsidP="005212E6">
            <w:pPr>
              <w:keepNext/>
              <w:jc w:val="center"/>
              <w:rPr>
                <w:sz w:val="20"/>
              </w:rPr>
            </w:pPr>
          </w:p>
        </w:tc>
        <w:tc>
          <w:tcPr>
            <w:tcW w:w="647" w:type="pct"/>
            <w:vMerge/>
          </w:tcPr>
          <w:p w:rsidR="00727CAA" w:rsidRPr="00414040" w:rsidRDefault="00727CAA" w:rsidP="005212E6">
            <w:pPr>
              <w:keepNext/>
              <w:jc w:val="center"/>
              <w:rPr>
                <w:sz w:val="20"/>
              </w:rPr>
            </w:pPr>
          </w:p>
        </w:tc>
      </w:tr>
      <w:tr w:rsidR="00727CAA" w:rsidRPr="00414040" w:rsidTr="0013573C">
        <w:trPr>
          <w:cantSplit/>
          <w:trHeight w:val="317"/>
        </w:trPr>
        <w:tc>
          <w:tcPr>
            <w:tcW w:w="1858" w:type="pct"/>
            <w:hideMark/>
          </w:tcPr>
          <w:p w:rsidR="00727CAA" w:rsidRPr="00414040" w:rsidRDefault="00727CAA" w:rsidP="005212E6">
            <w:pPr>
              <w:keepNext/>
              <w:tabs>
                <w:tab w:val="left" w:pos="1785"/>
              </w:tabs>
              <w:ind w:left="114"/>
              <w:rPr>
                <w:sz w:val="20"/>
              </w:rPr>
            </w:pPr>
            <w:r w:rsidRPr="00414040">
              <w:rPr>
                <w:smallCaps/>
                <w:sz w:val="20"/>
              </w:rPr>
              <w:t>Ustekinumab</w:t>
            </w:r>
            <w:r w:rsidRPr="00414040">
              <w:rPr>
                <w:smallCaps/>
                <w:sz w:val="20"/>
              </w:rPr>
              <w:tab/>
            </w:r>
          </w:p>
          <w:p w:rsidR="00727CAA" w:rsidRPr="00414040" w:rsidRDefault="00727CAA" w:rsidP="005212E6">
            <w:pPr>
              <w:keepNext/>
              <w:ind w:left="114"/>
              <w:rPr>
                <w:sz w:val="20"/>
              </w:rPr>
            </w:pPr>
            <w:r w:rsidRPr="00414040">
              <w:rPr>
                <w:sz w:val="20"/>
              </w:rPr>
              <w:t>45mg/0.5mL injection, 0.5mL vial</w:t>
            </w:r>
          </w:p>
        </w:tc>
        <w:tc>
          <w:tcPr>
            <w:tcW w:w="507"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468"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929" w:type="pct"/>
          </w:tcPr>
          <w:p w:rsidR="00727CAA" w:rsidRPr="00414040" w:rsidRDefault="00727CAA" w:rsidP="005212E6">
            <w:pPr>
              <w:keepNext/>
              <w:jc w:val="center"/>
              <w:rPr>
                <w:sz w:val="20"/>
              </w:rPr>
            </w:pPr>
          </w:p>
          <w:p w:rsidR="00727CAA" w:rsidRPr="00414040" w:rsidRDefault="00727CAA" w:rsidP="005212E6">
            <w:pPr>
              <w:keepNext/>
              <w:jc w:val="center"/>
              <w:rPr>
                <w:sz w:val="20"/>
                <w:vertAlign w:val="superscript"/>
              </w:rPr>
            </w:pPr>
            <w:r w:rsidRPr="00414040">
              <w:rPr>
                <w:sz w:val="20"/>
              </w:rPr>
              <w:t>$</w:t>
            </w:r>
            <w:r w:rsidR="00CA59E8">
              <w:rPr>
                <w:noProof/>
                <w:color w:val="000000"/>
                <w:sz w:val="20"/>
                <w:highlight w:val="black"/>
              </w:rPr>
              <w:t>''''''''''''''''''''</w:t>
            </w:r>
            <w:r w:rsidRPr="00414040">
              <w:rPr>
                <w:sz w:val="20"/>
                <w:vertAlign w:val="superscript"/>
              </w:rPr>
              <w:t>b</w:t>
            </w:r>
          </w:p>
        </w:tc>
        <w:tc>
          <w:tcPr>
            <w:tcW w:w="591" w:type="pct"/>
            <w:vMerge/>
            <w:hideMark/>
          </w:tcPr>
          <w:p w:rsidR="00727CAA" w:rsidRPr="00414040" w:rsidRDefault="00727CAA" w:rsidP="005212E6">
            <w:pPr>
              <w:keepNext/>
              <w:jc w:val="center"/>
              <w:rPr>
                <w:sz w:val="20"/>
              </w:rPr>
            </w:pPr>
          </w:p>
        </w:tc>
        <w:tc>
          <w:tcPr>
            <w:tcW w:w="647" w:type="pct"/>
            <w:vMerge/>
            <w:hideMark/>
          </w:tcPr>
          <w:p w:rsidR="00727CAA" w:rsidRPr="00414040" w:rsidRDefault="00727CAA" w:rsidP="005212E6">
            <w:pPr>
              <w:keepNext/>
              <w:jc w:val="center"/>
              <w:rPr>
                <w:sz w:val="20"/>
              </w:rPr>
            </w:pPr>
          </w:p>
        </w:tc>
      </w:tr>
    </w:tbl>
    <w:p w:rsidR="00727CAA" w:rsidRDefault="00727CAA" w:rsidP="00727CAA"/>
    <w:p w:rsidR="00A7502B" w:rsidRPr="00414040" w:rsidRDefault="00A7502B" w:rsidP="00727CAA"/>
    <w:tbl>
      <w:tblPr>
        <w:tblW w:w="4611" w:type="pct"/>
        <w:tblInd w:w="704" w:type="dxa"/>
        <w:tblCellMar>
          <w:left w:w="28" w:type="dxa"/>
          <w:right w:w="28" w:type="dxa"/>
        </w:tblCellMar>
        <w:tblLook w:val="04A0" w:firstRow="1" w:lastRow="0" w:firstColumn="1" w:lastColumn="0" w:noHBand="0" w:noVBand="1"/>
      </w:tblPr>
      <w:tblGrid>
        <w:gridCol w:w="1429"/>
        <w:gridCol w:w="6946"/>
      </w:tblGrid>
      <w:tr w:rsidR="00727CAA" w:rsidRPr="008D19B0" w:rsidTr="005212E6">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b/>
                <w:bCs/>
                <w:sz w:val="20"/>
                <w:lang w:eastAsia="en-AU"/>
              </w:rPr>
              <w:t>Treatment phase: initial treatment (initial 1 - new patient)</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Severity</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Severe</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Condition</w:t>
            </w:r>
          </w:p>
        </w:tc>
        <w:tc>
          <w:tcPr>
            <w:tcW w:w="4147" w:type="pct"/>
            <w:tcBorders>
              <w:top w:val="single" w:sz="4" w:space="0" w:color="auto"/>
              <w:left w:val="single" w:sz="4" w:space="0" w:color="auto"/>
              <w:bottom w:val="single" w:sz="4" w:space="0" w:color="auto"/>
              <w:right w:val="single" w:sz="4" w:space="0" w:color="auto"/>
            </w:tcBorders>
            <w:vAlign w:val="center"/>
          </w:tcPr>
          <w:p w:rsidR="00727CAA" w:rsidRPr="008D19B0" w:rsidRDefault="00727CAA" w:rsidP="005212E6">
            <w:pPr>
              <w:snapToGrid w:val="0"/>
              <w:spacing w:line="20" w:lineRule="atLeast"/>
              <w:jc w:val="left"/>
              <w:rPr>
                <w:rFonts w:ascii="Arial Narrow" w:hAnsi="Arial Narrow"/>
                <w:sz w:val="20"/>
                <w:lang w:eastAsia="en-AU"/>
              </w:rPr>
            </w:pPr>
            <w:r w:rsidRPr="008D19B0">
              <w:rPr>
                <w:rFonts w:ascii="Arial Narrow" w:hAnsi="Arial Narrow"/>
                <w:sz w:val="20"/>
                <w:lang w:eastAsia="en-AU"/>
              </w:rPr>
              <w:t>Crohn disease</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Restriction</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100 (HSD) for 130mg/26mL vial</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85 (General Schedule) for 45mg/0.5mL vial</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Treatment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Must be treated by gastroenterologist or consultant physician (specialising in gastroenterology)</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Clinical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 xml:space="preserve">Confirmed Crohn disease by gastroenterologist or consultant physician; </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Failed to achieve adequate response to treatment with a tapered course of steroids OR have documented intolerance necessitating treatment withdrawal;</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Failed to achieve adequate response to treatment with immunosuppressive therapy (azathioprine OR 6-mercaptopurine OR methotrexate) for 3 or more months, OR have documented intolerance necessitating treatment withdrawal;</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CDAI ≥220 if affected by small intestine disease OR ≥300 if not affected by small intestine disease, short gut syndrome or an ostomy patient;</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Have evidence of intestinal inflammation (various criteria)</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Population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adjustRightInd w:val="0"/>
              <w:spacing w:line="20" w:lineRule="atLeast"/>
              <w:rPr>
                <w:rFonts w:ascii="Arial Narrow" w:hAnsi="Arial Narrow"/>
                <w:color w:val="000000"/>
                <w:sz w:val="20"/>
                <w:lang w:eastAsia="en-AU"/>
              </w:rPr>
            </w:pPr>
            <w:r w:rsidRPr="008D19B0">
              <w:rPr>
                <w:rFonts w:ascii="Arial Narrow" w:hAnsi="Arial Narrow"/>
                <w:color w:val="000000"/>
                <w:sz w:val="20"/>
                <w:lang w:eastAsia="en-AU"/>
              </w:rPr>
              <w:t>Patient must be aged 18 years or older.</w:t>
            </w:r>
          </w:p>
        </w:tc>
      </w:tr>
      <w:tr w:rsidR="00727CAA" w:rsidRPr="008D19B0" w:rsidTr="005212E6">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b/>
                <w:bCs/>
                <w:sz w:val="20"/>
                <w:lang w:eastAsia="en-AU"/>
              </w:rPr>
              <w:t>Treatment phase: continuing treatment</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Severity</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Severe</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Condition</w:t>
            </w:r>
          </w:p>
        </w:tc>
        <w:tc>
          <w:tcPr>
            <w:tcW w:w="4147" w:type="pct"/>
            <w:tcBorders>
              <w:top w:val="single" w:sz="4" w:space="0" w:color="auto"/>
              <w:left w:val="single" w:sz="4" w:space="0" w:color="auto"/>
              <w:bottom w:val="single" w:sz="4" w:space="0" w:color="auto"/>
              <w:right w:val="single" w:sz="4" w:space="0" w:color="auto"/>
            </w:tcBorders>
            <w:vAlign w:val="center"/>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Crohn disease</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Restriction</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85 (General Schedule)</w:t>
            </w:r>
          </w:p>
        </w:tc>
      </w:tr>
      <w:tr w:rsidR="00727CAA" w:rsidRPr="008D19B0" w:rsidTr="005212E6">
        <w:trPr>
          <w:trHeight w:val="7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Treatment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Must be treated by gastroenterologist or consultant physician (specialising in gastroenterology)</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Clinical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History of severe Crohn disease</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Had previous prescriptions for this drug and condition</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Demonstrated an adequate response to treatment defined as CDAI score ≤150 if assessment by CDAI OR improvement of intestinal inflammation (various criteria)</w:t>
            </w:r>
          </w:p>
        </w:tc>
      </w:tr>
      <w:tr w:rsidR="00727CAA" w:rsidRPr="008D19B0" w:rsidTr="005212E6">
        <w:trPr>
          <w:trHeight w:val="20"/>
        </w:trPr>
        <w:tc>
          <w:tcPr>
            <w:tcW w:w="853"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Population criteria</w:t>
            </w:r>
          </w:p>
        </w:tc>
        <w:tc>
          <w:tcPr>
            <w:tcW w:w="4147"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color w:val="000000"/>
                <w:sz w:val="20"/>
                <w:lang w:eastAsia="en-AU"/>
              </w:rPr>
              <w:t>Patient must be aged 18 years or older.</w:t>
            </w:r>
          </w:p>
        </w:tc>
      </w:tr>
    </w:tbl>
    <w:p w:rsidR="00727CAA" w:rsidRPr="00414040" w:rsidRDefault="00727CAA" w:rsidP="00727CAA">
      <w:pPr>
        <w:tabs>
          <w:tab w:val="left" w:pos="142"/>
        </w:tabs>
        <w:ind w:left="709"/>
        <w:rPr>
          <w:rFonts w:ascii="Arial Narrow" w:hAnsi="Arial Narrow" w:cstheme="minorBidi"/>
          <w:sz w:val="20"/>
        </w:rPr>
      </w:pPr>
      <w:r w:rsidRPr="00414040">
        <w:rPr>
          <w:rFonts w:ascii="Arial Narrow" w:hAnsi="Arial Narrow" w:cstheme="minorBidi"/>
          <w:sz w:val="20"/>
          <w:vertAlign w:val="superscript"/>
        </w:rPr>
        <w:t>a</w:t>
      </w:r>
      <w:r w:rsidRPr="00414040">
        <w:rPr>
          <w:rFonts w:ascii="Arial Narrow" w:hAnsi="Arial Narrow" w:cstheme="minorBidi"/>
          <w:sz w:val="20"/>
          <w:vertAlign w:val="superscript"/>
        </w:rPr>
        <w:tab/>
      </w:r>
      <w:r w:rsidRPr="00414040">
        <w:rPr>
          <w:rFonts w:ascii="Arial Narrow" w:hAnsi="Arial Narrow" w:cstheme="minorBidi"/>
          <w:sz w:val="20"/>
        </w:rPr>
        <w:t>Effective DPMQs: $</w:t>
      </w:r>
      <w:r w:rsidR="00CA59E8">
        <w:rPr>
          <w:rFonts w:ascii="Arial Narrow" w:hAnsi="Arial Narrow" w:cstheme="minorBidi"/>
          <w:noProof/>
          <w:color w:val="000000"/>
          <w:sz w:val="20"/>
          <w:highlight w:val="black"/>
        </w:rPr>
        <w:t>'''''''''''''''''''</w:t>
      </w:r>
      <w:r w:rsidRPr="00414040">
        <w:rPr>
          <w:rFonts w:ascii="Arial Narrow" w:hAnsi="Arial Narrow" w:cstheme="minorBidi"/>
          <w:sz w:val="20"/>
        </w:rPr>
        <w:t xml:space="preserve"> (public), $</w:t>
      </w:r>
      <w:r w:rsidR="00CA59E8">
        <w:rPr>
          <w:rFonts w:ascii="Arial Narrow" w:hAnsi="Arial Narrow" w:cstheme="minorBidi"/>
          <w:noProof/>
          <w:color w:val="000000"/>
          <w:sz w:val="20"/>
          <w:highlight w:val="black"/>
        </w:rPr>
        <w:t>'''''''''''''''''''</w:t>
      </w:r>
      <w:r w:rsidRPr="00414040">
        <w:rPr>
          <w:rFonts w:ascii="Arial Narrow" w:hAnsi="Arial Narrow" w:cstheme="minorBidi"/>
          <w:sz w:val="20"/>
        </w:rPr>
        <w:t xml:space="preserve"> (private);</w:t>
      </w:r>
    </w:p>
    <w:p w:rsidR="00727CAA" w:rsidRPr="00414040" w:rsidRDefault="00727CAA" w:rsidP="00727CAA">
      <w:pPr>
        <w:tabs>
          <w:tab w:val="left" w:pos="142"/>
        </w:tabs>
        <w:ind w:left="709"/>
        <w:rPr>
          <w:rFonts w:ascii="Arial Narrow" w:hAnsi="Arial Narrow" w:cstheme="minorBidi"/>
          <w:sz w:val="20"/>
        </w:rPr>
      </w:pPr>
      <w:r w:rsidRPr="00414040">
        <w:rPr>
          <w:rFonts w:ascii="Arial Narrow" w:hAnsi="Arial Narrow" w:cstheme="minorBidi"/>
          <w:sz w:val="20"/>
          <w:vertAlign w:val="superscript"/>
        </w:rPr>
        <w:t>b</w:t>
      </w:r>
      <w:r w:rsidRPr="00414040">
        <w:rPr>
          <w:rFonts w:ascii="Arial Narrow" w:hAnsi="Arial Narrow" w:cstheme="minorBidi"/>
          <w:sz w:val="20"/>
        </w:rPr>
        <w:tab/>
        <w:t>Effective DPMQ: $</w:t>
      </w:r>
      <w:r w:rsidR="00CA59E8">
        <w:rPr>
          <w:rFonts w:ascii="Arial Narrow" w:hAnsi="Arial Narrow" w:cstheme="minorBidi"/>
          <w:noProof/>
          <w:color w:val="000000"/>
          <w:sz w:val="20"/>
          <w:highlight w:val="black"/>
        </w:rPr>
        <w:t>''''''''''''''''''''</w:t>
      </w:r>
      <w:r w:rsidRPr="00414040">
        <w:rPr>
          <w:rFonts w:ascii="Arial Narrow" w:hAnsi="Arial Narrow" w:cstheme="minorBidi"/>
          <w:sz w:val="20"/>
        </w:rPr>
        <w:t>; Effective ex-man: $</w:t>
      </w:r>
      <w:r w:rsidR="00CA59E8">
        <w:rPr>
          <w:rFonts w:ascii="Arial Narrow" w:hAnsi="Arial Narrow" w:cstheme="minorBidi"/>
          <w:noProof/>
          <w:color w:val="000000"/>
          <w:sz w:val="20"/>
          <w:highlight w:val="black"/>
        </w:rPr>
        <w:t>'''''''''''''''''''''''</w:t>
      </w:r>
      <w:r w:rsidRPr="00414040">
        <w:rPr>
          <w:rFonts w:ascii="Arial Narrow" w:hAnsi="Arial Narrow" w:cstheme="minorBidi"/>
          <w:sz w:val="20"/>
        </w:rPr>
        <w:t>.</w:t>
      </w:r>
    </w:p>
    <w:p w:rsidR="00727CAA" w:rsidRPr="00414040" w:rsidRDefault="00727CAA" w:rsidP="00727CAA"/>
    <w:p w:rsidR="009C4E5F" w:rsidRDefault="009C4E5F">
      <w:pPr>
        <w:widowControl/>
        <w:jc w:val="left"/>
        <w:rPr>
          <w:u w:val="single"/>
        </w:rPr>
      </w:pPr>
      <w:r>
        <w:br w:type="page"/>
      </w:r>
    </w:p>
    <w:p w:rsidR="00727CAA" w:rsidRPr="00C51274" w:rsidRDefault="00727CAA" w:rsidP="00C51274">
      <w:pPr>
        <w:pStyle w:val="Heading3"/>
      </w:pPr>
      <w:r w:rsidRPr="00C51274">
        <w:t>Fistulising CD</w:t>
      </w:r>
    </w:p>
    <w:p w:rsidR="00770EEB" w:rsidRPr="00414040" w:rsidRDefault="00770EEB" w:rsidP="00727CAA">
      <w:pPr>
        <w:ind w:left="709"/>
        <w:rPr>
          <w:b/>
          <w:i/>
        </w:rPr>
      </w:pPr>
    </w:p>
    <w:tbl>
      <w:tblPr>
        <w:tblW w:w="4650" w:type="pct"/>
        <w:tblInd w:w="709" w:type="dxa"/>
        <w:tblCellMar>
          <w:left w:w="28" w:type="dxa"/>
          <w:right w:w="28" w:type="dxa"/>
        </w:tblCellMar>
        <w:tblLook w:val="04A0" w:firstRow="1" w:lastRow="0" w:firstColumn="1" w:lastColumn="0" w:noHBand="0" w:noVBand="1"/>
      </w:tblPr>
      <w:tblGrid>
        <w:gridCol w:w="3139"/>
        <w:gridCol w:w="856"/>
        <w:gridCol w:w="791"/>
        <w:gridCol w:w="1569"/>
        <w:gridCol w:w="998"/>
        <w:gridCol w:w="1093"/>
      </w:tblGrid>
      <w:tr w:rsidR="00727CAA" w:rsidRPr="00414040" w:rsidTr="005212E6">
        <w:trPr>
          <w:cantSplit/>
          <w:trHeight w:val="471"/>
        </w:trPr>
        <w:tc>
          <w:tcPr>
            <w:tcW w:w="1858" w:type="pct"/>
            <w:tcBorders>
              <w:top w:val="nil"/>
              <w:left w:val="nil"/>
              <w:bottom w:val="single" w:sz="4" w:space="0" w:color="auto"/>
              <w:right w:val="nil"/>
            </w:tcBorders>
            <w:hideMark/>
          </w:tcPr>
          <w:p w:rsidR="00727CAA" w:rsidRPr="00414040" w:rsidRDefault="00727CAA" w:rsidP="005212E6">
            <w:pPr>
              <w:keepNext/>
              <w:rPr>
                <w:sz w:val="20"/>
              </w:rPr>
            </w:pPr>
            <w:r w:rsidRPr="00414040">
              <w:rPr>
                <w:sz w:val="20"/>
              </w:rPr>
              <w:t>Name, Restriction,</w:t>
            </w:r>
          </w:p>
          <w:p w:rsidR="00727CAA" w:rsidRPr="00414040" w:rsidRDefault="00727CAA" w:rsidP="005212E6">
            <w:pPr>
              <w:keepNext/>
              <w:rPr>
                <w:sz w:val="20"/>
              </w:rPr>
            </w:pPr>
            <w:r w:rsidRPr="00414040">
              <w:rPr>
                <w:sz w:val="20"/>
              </w:rPr>
              <w:t>Manner of administration and form</w:t>
            </w:r>
          </w:p>
        </w:tc>
        <w:tc>
          <w:tcPr>
            <w:tcW w:w="507" w:type="pct"/>
            <w:tcBorders>
              <w:top w:val="nil"/>
              <w:left w:val="nil"/>
              <w:bottom w:val="single" w:sz="4" w:space="0" w:color="auto"/>
              <w:right w:val="nil"/>
            </w:tcBorders>
            <w:hideMark/>
          </w:tcPr>
          <w:p w:rsidR="00727CAA" w:rsidRPr="00414040" w:rsidRDefault="00727CAA" w:rsidP="005212E6">
            <w:pPr>
              <w:keepNext/>
              <w:jc w:val="center"/>
              <w:rPr>
                <w:sz w:val="20"/>
              </w:rPr>
            </w:pPr>
            <w:r w:rsidRPr="00414040">
              <w:rPr>
                <w:sz w:val="20"/>
              </w:rPr>
              <w:t>Max.</w:t>
            </w:r>
          </w:p>
          <w:p w:rsidR="00727CAA" w:rsidRPr="00414040" w:rsidRDefault="00727CAA" w:rsidP="005212E6">
            <w:pPr>
              <w:keepNext/>
              <w:jc w:val="center"/>
              <w:rPr>
                <w:sz w:val="20"/>
              </w:rPr>
            </w:pPr>
            <w:r w:rsidRPr="00414040">
              <w:rPr>
                <w:sz w:val="20"/>
              </w:rPr>
              <w:t>Qty</w:t>
            </w:r>
          </w:p>
        </w:tc>
        <w:tc>
          <w:tcPr>
            <w:tcW w:w="468" w:type="pct"/>
            <w:tcBorders>
              <w:top w:val="nil"/>
              <w:left w:val="nil"/>
              <w:bottom w:val="single" w:sz="4" w:space="0" w:color="auto"/>
              <w:right w:val="nil"/>
            </w:tcBorders>
            <w:hideMark/>
          </w:tcPr>
          <w:p w:rsidR="00727CAA" w:rsidRPr="00414040" w:rsidRDefault="00727CAA" w:rsidP="005212E6">
            <w:pPr>
              <w:keepNext/>
              <w:jc w:val="center"/>
              <w:rPr>
                <w:sz w:val="20"/>
              </w:rPr>
            </w:pPr>
            <w:r w:rsidRPr="00414040">
              <w:rPr>
                <w:sz w:val="20"/>
              </w:rPr>
              <w:t>№.of</w:t>
            </w:r>
          </w:p>
          <w:p w:rsidR="00727CAA" w:rsidRPr="00414040" w:rsidRDefault="00727CAA" w:rsidP="005212E6">
            <w:pPr>
              <w:keepNext/>
              <w:jc w:val="center"/>
              <w:rPr>
                <w:sz w:val="20"/>
              </w:rPr>
            </w:pPr>
            <w:r w:rsidRPr="00414040">
              <w:rPr>
                <w:sz w:val="20"/>
              </w:rPr>
              <w:t>Rpts</w:t>
            </w:r>
          </w:p>
        </w:tc>
        <w:tc>
          <w:tcPr>
            <w:tcW w:w="929" w:type="pct"/>
            <w:tcBorders>
              <w:top w:val="nil"/>
              <w:left w:val="nil"/>
              <w:bottom w:val="single" w:sz="4" w:space="0" w:color="auto"/>
              <w:right w:val="nil"/>
            </w:tcBorders>
            <w:hideMark/>
          </w:tcPr>
          <w:p w:rsidR="00727CAA" w:rsidRPr="00414040" w:rsidRDefault="00727CAA" w:rsidP="005212E6">
            <w:pPr>
              <w:keepNext/>
              <w:jc w:val="center"/>
              <w:rPr>
                <w:sz w:val="20"/>
              </w:rPr>
            </w:pPr>
            <w:r w:rsidRPr="00414040">
              <w:rPr>
                <w:sz w:val="20"/>
              </w:rPr>
              <w:t>Dispensed Price for Max. Qty</w:t>
            </w:r>
          </w:p>
        </w:tc>
        <w:tc>
          <w:tcPr>
            <w:tcW w:w="1238" w:type="pct"/>
            <w:gridSpan w:val="2"/>
            <w:tcBorders>
              <w:top w:val="nil"/>
              <w:left w:val="nil"/>
              <w:bottom w:val="single" w:sz="4" w:space="0" w:color="auto"/>
              <w:right w:val="nil"/>
            </w:tcBorders>
            <w:hideMark/>
          </w:tcPr>
          <w:p w:rsidR="00727CAA" w:rsidRPr="00414040" w:rsidRDefault="00727CAA" w:rsidP="005212E6">
            <w:pPr>
              <w:keepNext/>
              <w:jc w:val="center"/>
              <w:rPr>
                <w:sz w:val="20"/>
              </w:rPr>
            </w:pPr>
            <w:r w:rsidRPr="00414040">
              <w:rPr>
                <w:sz w:val="20"/>
              </w:rPr>
              <w:t>Proprietary Name and Manufacturer</w:t>
            </w:r>
          </w:p>
        </w:tc>
      </w:tr>
      <w:tr w:rsidR="00727CAA" w:rsidRPr="00414040" w:rsidTr="005212E6">
        <w:trPr>
          <w:cantSplit/>
          <w:trHeight w:val="70"/>
        </w:trPr>
        <w:tc>
          <w:tcPr>
            <w:tcW w:w="1858" w:type="pct"/>
          </w:tcPr>
          <w:p w:rsidR="00727CAA" w:rsidRPr="00414040" w:rsidRDefault="00727CAA" w:rsidP="005212E6">
            <w:pPr>
              <w:keepNext/>
              <w:rPr>
                <w:b/>
                <w:bCs/>
                <w:smallCaps/>
                <w:sz w:val="20"/>
              </w:rPr>
            </w:pPr>
            <w:r w:rsidRPr="00414040">
              <w:rPr>
                <w:b/>
                <w:bCs/>
                <w:smallCaps/>
                <w:sz w:val="20"/>
              </w:rPr>
              <w:t>Initial treatment</w:t>
            </w:r>
          </w:p>
        </w:tc>
        <w:tc>
          <w:tcPr>
            <w:tcW w:w="507" w:type="pct"/>
          </w:tcPr>
          <w:p w:rsidR="00727CAA" w:rsidRPr="00414040" w:rsidRDefault="00727CAA" w:rsidP="005212E6">
            <w:pPr>
              <w:keepNext/>
              <w:jc w:val="center"/>
              <w:rPr>
                <w:sz w:val="20"/>
              </w:rPr>
            </w:pPr>
          </w:p>
        </w:tc>
        <w:tc>
          <w:tcPr>
            <w:tcW w:w="468" w:type="pct"/>
          </w:tcPr>
          <w:p w:rsidR="00727CAA" w:rsidRPr="00414040" w:rsidRDefault="00727CAA" w:rsidP="005212E6">
            <w:pPr>
              <w:keepNext/>
              <w:jc w:val="center"/>
              <w:rPr>
                <w:sz w:val="20"/>
              </w:rPr>
            </w:pPr>
          </w:p>
        </w:tc>
        <w:tc>
          <w:tcPr>
            <w:tcW w:w="929" w:type="pct"/>
          </w:tcPr>
          <w:p w:rsidR="00727CAA" w:rsidRPr="00414040" w:rsidRDefault="00727CAA" w:rsidP="005212E6">
            <w:pPr>
              <w:keepNext/>
              <w:jc w:val="center"/>
              <w:rPr>
                <w:sz w:val="20"/>
              </w:rPr>
            </w:pPr>
          </w:p>
        </w:tc>
        <w:tc>
          <w:tcPr>
            <w:tcW w:w="591" w:type="pct"/>
          </w:tcPr>
          <w:p w:rsidR="00727CAA" w:rsidRPr="00414040" w:rsidRDefault="00727CAA" w:rsidP="005212E6">
            <w:pPr>
              <w:keepNext/>
              <w:jc w:val="center"/>
              <w:rPr>
                <w:sz w:val="20"/>
              </w:rPr>
            </w:pPr>
          </w:p>
        </w:tc>
        <w:tc>
          <w:tcPr>
            <w:tcW w:w="647" w:type="pct"/>
          </w:tcPr>
          <w:p w:rsidR="00727CAA" w:rsidRPr="00414040" w:rsidRDefault="00727CAA" w:rsidP="005212E6">
            <w:pPr>
              <w:keepNext/>
              <w:jc w:val="center"/>
              <w:rPr>
                <w:sz w:val="20"/>
              </w:rPr>
            </w:pPr>
          </w:p>
        </w:tc>
      </w:tr>
      <w:tr w:rsidR="00727CAA" w:rsidRPr="00414040" w:rsidTr="005212E6">
        <w:trPr>
          <w:cantSplit/>
          <w:trHeight w:val="80"/>
        </w:trPr>
        <w:tc>
          <w:tcPr>
            <w:tcW w:w="1858" w:type="pct"/>
          </w:tcPr>
          <w:p w:rsidR="00727CAA" w:rsidRPr="00414040" w:rsidRDefault="00727CAA" w:rsidP="005212E6">
            <w:pPr>
              <w:keepNext/>
              <w:ind w:left="114"/>
              <w:rPr>
                <w:sz w:val="20"/>
              </w:rPr>
            </w:pPr>
            <w:r w:rsidRPr="00414040">
              <w:rPr>
                <w:smallCaps/>
                <w:sz w:val="20"/>
              </w:rPr>
              <w:t>Ustekinumab</w:t>
            </w:r>
          </w:p>
          <w:p w:rsidR="00727CAA" w:rsidRPr="00414040" w:rsidRDefault="00727CAA" w:rsidP="005212E6">
            <w:pPr>
              <w:keepNext/>
              <w:ind w:left="114"/>
              <w:rPr>
                <w:sz w:val="20"/>
              </w:rPr>
            </w:pPr>
            <w:r w:rsidRPr="00414040">
              <w:rPr>
                <w:sz w:val="20"/>
              </w:rPr>
              <w:t>130mg/26mL injection, 26mL vial</w:t>
            </w:r>
          </w:p>
          <w:p w:rsidR="00727CAA" w:rsidRPr="00414040" w:rsidRDefault="00727CAA" w:rsidP="005212E6">
            <w:pPr>
              <w:keepNext/>
              <w:ind w:left="114"/>
              <w:rPr>
                <w:smallCaps/>
                <w:sz w:val="20"/>
              </w:rPr>
            </w:pPr>
            <w:r w:rsidRPr="00414040">
              <w:rPr>
                <w:smallCaps/>
                <w:sz w:val="20"/>
              </w:rPr>
              <w:t xml:space="preserve"> </w:t>
            </w:r>
          </w:p>
          <w:p w:rsidR="00727CAA" w:rsidRPr="00414040" w:rsidRDefault="00727CAA" w:rsidP="005212E6">
            <w:pPr>
              <w:keepNext/>
              <w:ind w:left="114"/>
              <w:rPr>
                <w:smallCaps/>
                <w:sz w:val="20"/>
              </w:rPr>
            </w:pPr>
          </w:p>
          <w:p w:rsidR="00727CAA" w:rsidRPr="00414040" w:rsidRDefault="00727CAA" w:rsidP="005212E6">
            <w:pPr>
              <w:keepNext/>
              <w:tabs>
                <w:tab w:val="left" w:pos="1785"/>
              </w:tabs>
              <w:ind w:left="114"/>
              <w:rPr>
                <w:sz w:val="20"/>
              </w:rPr>
            </w:pPr>
            <w:r w:rsidRPr="00414040">
              <w:rPr>
                <w:smallCaps/>
                <w:sz w:val="20"/>
              </w:rPr>
              <w:t>Ustekinumab</w:t>
            </w:r>
            <w:r w:rsidRPr="00414040">
              <w:rPr>
                <w:smallCaps/>
                <w:sz w:val="20"/>
              </w:rPr>
              <w:tab/>
            </w:r>
          </w:p>
          <w:p w:rsidR="00727CAA" w:rsidRPr="00414040" w:rsidRDefault="00727CAA" w:rsidP="005212E6">
            <w:pPr>
              <w:keepNext/>
              <w:ind w:left="114"/>
              <w:rPr>
                <w:smallCaps/>
                <w:sz w:val="20"/>
              </w:rPr>
            </w:pPr>
            <w:r w:rsidRPr="00414040">
              <w:rPr>
                <w:sz w:val="20"/>
              </w:rPr>
              <w:t>45mg/0.5mL injection, 0.5mL vial</w:t>
            </w:r>
          </w:p>
        </w:tc>
        <w:tc>
          <w:tcPr>
            <w:tcW w:w="507"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1</w:t>
            </w: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468"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0</w:t>
            </w: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0</w:t>
            </w:r>
          </w:p>
        </w:tc>
        <w:tc>
          <w:tcPr>
            <w:tcW w:w="929" w:type="pct"/>
          </w:tcPr>
          <w:p w:rsidR="00727CAA" w:rsidRPr="00414040" w:rsidRDefault="00727CAA" w:rsidP="005212E6">
            <w:pPr>
              <w:keepNext/>
              <w:jc w:val="center"/>
              <w:rPr>
                <w:sz w:val="20"/>
              </w:rPr>
            </w:pPr>
            <w:r w:rsidRPr="00414040">
              <w:rPr>
                <w:sz w:val="20"/>
              </w:rPr>
              <w:t>$</w:t>
            </w:r>
            <w:r w:rsidR="00CA59E8">
              <w:rPr>
                <w:noProof/>
                <w:color w:val="000000"/>
                <w:sz w:val="20"/>
                <w:highlight w:val="black"/>
              </w:rPr>
              <w:t>''''''''''''''''''''</w:t>
            </w:r>
            <w:r w:rsidRPr="00414040">
              <w:rPr>
                <w:sz w:val="20"/>
                <w:vertAlign w:val="superscript"/>
              </w:rPr>
              <w:t>a</w:t>
            </w:r>
            <w:r w:rsidRPr="00414040">
              <w:rPr>
                <w:sz w:val="20"/>
              </w:rPr>
              <w:t xml:space="preserve"> (public)</w:t>
            </w:r>
          </w:p>
          <w:p w:rsidR="00727CAA" w:rsidRPr="00414040" w:rsidRDefault="00727CAA" w:rsidP="005212E6">
            <w:pPr>
              <w:keepNext/>
              <w:jc w:val="center"/>
              <w:rPr>
                <w:sz w:val="20"/>
              </w:rPr>
            </w:pPr>
            <w:r w:rsidRPr="00414040">
              <w:rPr>
                <w:sz w:val="20"/>
              </w:rPr>
              <w:t>$</w:t>
            </w:r>
            <w:r w:rsidR="00CA59E8">
              <w:rPr>
                <w:noProof/>
                <w:color w:val="000000"/>
                <w:sz w:val="20"/>
                <w:highlight w:val="black"/>
              </w:rPr>
              <w:t>'''''''''''''''''''''</w:t>
            </w:r>
            <w:r w:rsidRPr="00414040">
              <w:rPr>
                <w:sz w:val="20"/>
                <w:vertAlign w:val="superscript"/>
              </w:rPr>
              <w:t>a</w:t>
            </w:r>
            <w:r w:rsidRPr="00414040">
              <w:rPr>
                <w:sz w:val="20"/>
              </w:rPr>
              <w:t xml:space="preserve"> (private)</w:t>
            </w:r>
          </w:p>
          <w:p w:rsidR="00727CAA" w:rsidRPr="00414040" w:rsidRDefault="00727CAA" w:rsidP="005212E6">
            <w:pPr>
              <w:keepNext/>
              <w:jc w:val="center"/>
              <w:rPr>
                <w:sz w:val="20"/>
              </w:rPr>
            </w:pPr>
          </w:p>
          <w:p w:rsidR="00727CAA" w:rsidRPr="00414040" w:rsidRDefault="00727CAA" w:rsidP="005212E6">
            <w:pPr>
              <w:keepNext/>
              <w:jc w:val="center"/>
              <w:rPr>
                <w:sz w:val="20"/>
                <w:vertAlign w:val="superscript"/>
              </w:rPr>
            </w:pPr>
            <w:r w:rsidRPr="00414040">
              <w:rPr>
                <w:sz w:val="20"/>
              </w:rPr>
              <w:t>$</w:t>
            </w:r>
            <w:r w:rsidR="00CA59E8">
              <w:rPr>
                <w:noProof/>
                <w:color w:val="000000"/>
                <w:sz w:val="20"/>
                <w:highlight w:val="black"/>
              </w:rPr>
              <w:t>''''''''''''''''''''''</w:t>
            </w:r>
            <w:r w:rsidRPr="00414040">
              <w:rPr>
                <w:sz w:val="20"/>
                <w:vertAlign w:val="superscript"/>
              </w:rPr>
              <w:t>b</w:t>
            </w:r>
          </w:p>
        </w:tc>
        <w:tc>
          <w:tcPr>
            <w:tcW w:w="591" w:type="pct"/>
            <w:vMerge w:val="restart"/>
            <w:vAlign w:val="center"/>
          </w:tcPr>
          <w:p w:rsidR="00727CAA" w:rsidRPr="00414040" w:rsidRDefault="00727CAA" w:rsidP="005212E6">
            <w:pPr>
              <w:keepNext/>
              <w:jc w:val="center"/>
              <w:rPr>
                <w:sz w:val="20"/>
              </w:rPr>
            </w:pPr>
            <w:r w:rsidRPr="00414040">
              <w:rPr>
                <w:sz w:val="20"/>
              </w:rPr>
              <w:t>Stelara®</w:t>
            </w:r>
          </w:p>
        </w:tc>
        <w:tc>
          <w:tcPr>
            <w:tcW w:w="647" w:type="pct"/>
            <w:vMerge w:val="restart"/>
            <w:vAlign w:val="center"/>
          </w:tcPr>
          <w:p w:rsidR="00727CAA" w:rsidRPr="00414040" w:rsidRDefault="00727CAA" w:rsidP="005212E6">
            <w:pPr>
              <w:keepNext/>
              <w:jc w:val="center"/>
              <w:rPr>
                <w:sz w:val="20"/>
              </w:rPr>
            </w:pPr>
            <w:r w:rsidRPr="00414040">
              <w:rPr>
                <w:sz w:val="20"/>
              </w:rPr>
              <w:t>Janssen Cilag</w:t>
            </w:r>
          </w:p>
        </w:tc>
      </w:tr>
      <w:tr w:rsidR="00727CAA" w:rsidRPr="00414040" w:rsidTr="005212E6">
        <w:trPr>
          <w:cantSplit/>
          <w:trHeight w:val="80"/>
        </w:trPr>
        <w:tc>
          <w:tcPr>
            <w:tcW w:w="1858" w:type="pct"/>
          </w:tcPr>
          <w:p w:rsidR="00727CAA" w:rsidRPr="00414040" w:rsidRDefault="00727CAA" w:rsidP="005212E6">
            <w:pPr>
              <w:keepNext/>
              <w:rPr>
                <w:b/>
                <w:bCs/>
                <w:smallCaps/>
                <w:sz w:val="20"/>
              </w:rPr>
            </w:pPr>
            <w:r w:rsidRPr="00414040">
              <w:rPr>
                <w:b/>
                <w:bCs/>
                <w:smallCaps/>
                <w:sz w:val="20"/>
              </w:rPr>
              <w:t>Continuing Treatment</w:t>
            </w:r>
          </w:p>
        </w:tc>
        <w:tc>
          <w:tcPr>
            <w:tcW w:w="507" w:type="pct"/>
          </w:tcPr>
          <w:p w:rsidR="00727CAA" w:rsidRPr="00414040" w:rsidRDefault="00727CAA" w:rsidP="005212E6">
            <w:pPr>
              <w:keepNext/>
              <w:jc w:val="center"/>
              <w:rPr>
                <w:sz w:val="20"/>
              </w:rPr>
            </w:pPr>
          </w:p>
        </w:tc>
        <w:tc>
          <w:tcPr>
            <w:tcW w:w="468" w:type="pct"/>
          </w:tcPr>
          <w:p w:rsidR="00727CAA" w:rsidRPr="00414040" w:rsidRDefault="00727CAA" w:rsidP="005212E6">
            <w:pPr>
              <w:keepNext/>
              <w:jc w:val="center"/>
              <w:rPr>
                <w:sz w:val="20"/>
              </w:rPr>
            </w:pPr>
          </w:p>
        </w:tc>
        <w:tc>
          <w:tcPr>
            <w:tcW w:w="929" w:type="pct"/>
          </w:tcPr>
          <w:p w:rsidR="00727CAA" w:rsidRPr="00414040" w:rsidRDefault="00727CAA" w:rsidP="005212E6">
            <w:pPr>
              <w:keepNext/>
              <w:jc w:val="center"/>
              <w:rPr>
                <w:sz w:val="20"/>
              </w:rPr>
            </w:pPr>
          </w:p>
        </w:tc>
        <w:tc>
          <w:tcPr>
            <w:tcW w:w="591" w:type="pct"/>
            <w:vMerge/>
          </w:tcPr>
          <w:p w:rsidR="00727CAA" w:rsidRPr="00414040" w:rsidRDefault="00727CAA" w:rsidP="005212E6">
            <w:pPr>
              <w:keepNext/>
              <w:jc w:val="center"/>
              <w:rPr>
                <w:sz w:val="20"/>
              </w:rPr>
            </w:pPr>
          </w:p>
        </w:tc>
        <w:tc>
          <w:tcPr>
            <w:tcW w:w="647" w:type="pct"/>
            <w:vMerge/>
          </w:tcPr>
          <w:p w:rsidR="00727CAA" w:rsidRPr="00414040" w:rsidRDefault="00727CAA" w:rsidP="005212E6">
            <w:pPr>
              <w:keepNext/>
              <w:jc w:val="center"/>
              <w:rPr>
                <w:sz w:val="20"/>
              </w:rPr>
            </w:pPr>
          </w:p>
        </w:tc>
      </w:tr>
      <w:tr w:rsidR="00727CAA" w:rsidRPr="00414040" w:rsidTr="005212E6">
        <w:trPr>
          <w:cantSplit/>
          <w:trHeight w:val="317"/>
        </w:trPr>
        <w:tc>
          <w:tcPr>
            <w:tcW w:w="1858" w:type="pct"/>
            <w:hideMark/>
          </w:tcPr>
          <w:p w:rsidR="00727CAA" w:rsidRPr="00414040" w:rsidRDefault="00727CAA" w:rsidP="005212E6">
            <w:pPr>
              <w:keepNext/>
              <w:tabs>
                <w:tab w:val="left" w:pos="1785"/>
              </w:tabs>
              <w:ind w:left="114"/>
              <w:rPr>
                <w:sz w:val="20"/>
              </w:rPr>
            </w:pPr>
            <w:r w:rsidRPr="00414040">
              <w:rPr>
                <w:smallCaps/>
                <w:sz w:val="20"/>
              </w:rPr>
              <w:t>Ustekinumab</w:t>
            </w:r>
            <w:r w:rsidRPr="00414040">
              <w:rPr>
                <w:smallCaps/>
                <w:sz w:val="20"/>
              </w:rPr>
              <w:tab/>
            </w:r>
          </w:p>
          <w:p w:rsidR="00727CAA" w:rsidRPr="00414040" w:rsidRDefault="00727CAA" w:rsidP="005212E6">
            <w:pPr>
              <w:keepNext/>
              <w:ind w:left="114"/>
              <w:rPr>
                <w:sz w:val="20"/>
              </w:rPr>
            </w:pPr>
            <w:r w:rsidRPr="00414040">
              <w:rPr>
                <w:sz w:val="20"/>
              </w:rPr>
              <w:t>45mg/0.5mL injection, 0.5mL vial</w:t>
            </w:r>
          </w:p>
        </w:tc>
        <w:tc>
          <w:tcPr>
            <w:tcW w:w="507"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468" w:type="pct"/>
          </w:tcPr>
          <w:p w:rsidR="00727CAA" w:rsidRPr="00414040" w:rsidRDefault="00727CAA" w:rsidP="005212E6">
            <w:pPr>
              <w:keepNext/>
              <w:jc w:val="center"/>
              <w:rPr>
                <w:sz w:val="20"/>
              </w:rPr>
            </w:pPr>
          </w:p>
          <w:p w:rsidR="00727CAA" w:rsidRPr="00414040" w:rsidRDefault="00727CAA" w:rsidP="005212E6">
            <w:pPr>
              <w:keepNext/>
              <w:jc w:val="center"/>
              <w:rPr>
                <w:sz w:val="20"/>
              </w:rPr>
            </w:pPr>
            <w:r w:rsidRPr="00414040">
              <w:rPr>
                <w:sz w:val="20"/>
              </w:rPr>
              <w:t>2</w:t>
            </w:r>
          </w:p>
        </w:tc>
        <w:tc>
          <w:tcPr>
            <w:tcW w:w="929" w:type="pct"/>
          </w:tcPr>
          <w:p w:rsidR="00727CAA" w:rsidRPr="00414040" w:rsidRDefault="00727CAA" w:rsidP="005212E6">
            <w:pPr>
              <w:keepNext/>
              <w:jc w:val="center"/>
              <w:rPr>
                <w:sz w:val="20"/>
              </w:rPr>
            </w:pPr>
          </w:p>
          <w:p w:rsidR="00727CAA" w:rsidRPr="00414040" w:rsidRDefault="00727CAA" w:rsidP="005212E6">
            <w:pPr>
              <w:keepNext/>
              <w:jc w:val="center"/>
              <w:rPr>
                <w:sz w:val="20"/>
                <w:vertAlign w:val="superscript"/>
              </w:rPr>
            </w:pPr>
            <w:r w:rsidRPr="00414040">
              <w:rPr>
                <w:sz w:val="20"/>
              </w:rPr>
              <w:t>$</w:t>
            </w:r>
            <w:r w:rsidR="00CA59E8">
              <w:rPr>
                <w:noProof/>
                <w:color w:val="000000"/>
                <w:sz w:val="20"/>
                <w:highlight w:val="black"/>
              </w:rPr>
              <w:t>'''''''''''''''''''</w:t>
            </w:r>
            <w:r w:rsidRPr="00414040">
              <w:rPr>
                <w:sz w:val="20"/>
                <w:vertAlign w:val="superscript"/>
              </w:rPr>
              <w:t>b</w:t>
            </w:r>
          </w:p>
        </w:tc>
        <w:tc>
          <w:tcPr>
            <w:tcW w:w="591" w:type="pct"/>
            <w:vMerge/>
            <w:hideMark/>
          </w:tcPr>
          <w:p w:rsidR="00727CAA" w:rsidRPr="00414040" w:rsidRDefault="00727CAA" w:rsidP="005212E6">
            <w:pPr>
              <w:keepNext/>
              <w:jc w:val="center"/>
              <w:rPr>
                <w:sz w:val="20"/>
              </w:rPr>
            </w:pPr>
          </w:p>
        </w:tc>
        <w:tc>
          <w:tcPr>
            <w:tcW w:w="647" w:type="pct"/>
            <w:vMerge/>
            <w:hideMark/>
          </w:tcPr>
          <w:p w:rsidR="00727CAA" w:rsidRPr="00414040" w:rsidRDefault="00727CAA" w:rsidP="005212E6">
            <w:pPr>
              <w:keepNext/>
              <w:jc w:val="center"/>
              <w:rPr>
                <w:sz w:val="20"/>
              </w:rPr>
            </w:pPr>
          </w:p>
        </w:tc>
      </w:tr>
    </w:tbl>
    <w:p w:rsidR="00727CAA" w:rsidRPr="00414040" w:rsidRDefault="00727CAA" w:rsidP="00727CAA"/>
    <w:tbl>
      <w:tblPr>
        <w:tblW w:w="4532" w:type="pct"/>
        <w:tblInd w:w="846" w:type="dxa"/>
        <w:tblCellMar>
          <w:left w:w="28" w:type="dxa"/>
          <w:right w:w="28" w:type="dxa"/>
        </w:tblCellMar>
        <w:tblLook w:val="04A0" w:firstRow="1" w:lastRow="0" w:firstColumn="1" w:lastColumn="0" w:noHBand="0" w:noVBand="1"/>
      </w:tblPr>
      <w:tblGrid>
        <w:gridCol w:w="1427"/>
        <w:gridCol w:w="6805"/>
      </w:tblGrid>
      <w:tr w:rsidR="00727CAA" w:rsidRPr="008D19B0" w:rsidTr="005212E6">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b/>
                <w:bCs/>
                <w:sz w:val="20"/>
                <w:lang w:eastAsia="en-AU"/>
              </w:rPr>
              <w:t>Treatment phase: initial treatment (new patient)</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Severity</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Complex refractory fistulising</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Condition</w:t>
            </w:r>
          </w:p>
        </w:tc>
        <w:tc>
          <w:tcPr>
            <w:tcW w:w="4133" w:type="pct"/>
            <w:tcBorders>
              <w:top w:val="single" w:sz="4" w:space="0" w:color="auto"/>
              <w:left w:val="single" w:sz="4" w:space="0" w:color="auto"/>
              <w:bottom w:val="single" w:sz="4" w:space="0" w:color="auto"/>
              <w:right w:val="single" w:sz="4" w:space="0" w:color="auto"/>
            </w:tcBorders>
            <w:vAlign w:val="center"/>
          </w:tcPr>
          <w:p w:rsidR="00727CAA" w:rsidRPr="008D19B0" w:rsidRDefault="00727CAA" w:rsidP="005212E6">
            <w:pPr>
              <w:snapToGrid w:val="0"/>
              <w:spacing w:line="20" w:lineRule="atLeast"/>
              <w:jc w:val="left"/>
              <w:rPr>
                <w:rFonts w:ascii="Arial Narrow" w:hAnsi="Arial Narrow"/>
                <w:sz w:val="20"/>
                <w:lang w:eastAsia="en-AU"/>
              </w:rPr>
            </w:pPr>
            <w:r w:rsidRPr="008D19B0">
              <w:rPr>
                <w:rFonts w:ascii="Arial Narrow" w:hAnsi="Arial Narrow"/>
                <w:sz w:val="20"/>
                <w:lang w:eastAsia="en-AU"/>
              </w:rPr>
              <w:t>Crohn disease</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Restriction</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100 (HSD) for 130mg/26mL vial</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85 (General Schedule) for 45mg/0.5mL vial</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Treatment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Must be treated by gastroenterologist or consultant physician (specialising in gastroenterology)</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Clinical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 xml:space="preserve">Confirmed Crohn disease by gastroenterologist or consultant physician; </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Patient must have an externally draining enterocutaneous or rectovaginal fistula.</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Population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adjustRightInd w:val="0"/>
              <w:spacing w:line="20" w:lineRule="atLeast"/>
              <w:rPr>
                <w:rFonts w:ascii="Arial Narrow" w:hAnsi="Arial Narrow"/>
                <w:color w:val="000000"/>
                <w:sz w:val="20"/>
                <w:lang w:eastAsia="en-AU"/>
              </w:rPr>
            </w:pPr>
            <w:r w:rsidRPr="008D19B0">
              <w:rPr>
                <w:rFonts w:ascii="Arial Narrow" w:hAnsi="Arial Narrow"/>
                <w:color w:val="000000"/>
                <w:sz w:val="20"/>
                <w:lang w:eastAsia="en-AU"/>
              </w:rPr>
              <w:t>Patient must be aged 18 years or older.</w:t>
            </w:r>
          </w:p>
        </w:tc>
      </w:tr>
      <w:tr w:rsidR="00727CAA" w:rsidRPr="008D19B0" w:rsidTr="005212E6">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b/>
                <w:bCs/>
                <w:sz w:val="20"/>
                <w:lang w:eastAsia="en-AU"/>
              </w:rPr>
              <w:t>Treatment phase: continuing treatment</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Severity</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Complex refractory fistulising</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Condition</w:t>
            </w:r>
          </w:p>
        </w:tc>
        <w:tc>
          <w:tcPr>
            <w:tcW w:w="4133" w:type="pct"/>
            <w:tcBorders>
              <w:top w:val="single" w:sz="4" w:space="0" w:color="auto"/>
              <w:left w:val="single" w:sz="4" w:space="0" w:color="auto"/>
              <w:bottom w:val="single" w:sz="4" w:space="0" w:color="auto"/>
              <w:right w:val="single" w:sz="4" w:space="0" w:color="auto"/>
            </w:tcBorders>
            <w:vAlign w:val="center"/>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Crohn disease</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Restriction</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Section 85 (General Schedule)</w:t>
            </w:r>
          </w:p>
        </w:tc>
      </w:tr>
      <w:tr w:rsidR="00727CAA" w:rsidRPr="008D19B0" w:rsidTr="005212E6">
        <w:trPr>
          <w:trHeight w:val="7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Treatment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Must be treated by gastroenterologist or consultant physician (specialising in gastroenterology)</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Clinical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History of complex refractory fistulising Crohn disease</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AND</w:t>
            </w:r>
          </w:p>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Demonstrated an adequate response to treatment defined as a decrease from baseline in the number of open draining fistulae of greater than or equal to 50% OR a marked reduction in drainage of all fistula(e) from baseline, together with less pain and induration.</w:t>
            </w:r>
          </w:p>
        </w:tc>
      </w:tr>
      <w:tr w:rsidR="00727CAA" w:rsidRPr="008D19B0" w:rsidTr="005212E6">
        <w:trPr>
          <w:trHeight w:val="20"/>
        </w:trPr>
        <w:tc>
          <w:tcPr>
            <w:tcW w:w="867" w:type="pct"/>
            <w:tcBorders>
              <w:top w:val="single" w:sz="4" w:space="0" w:color="auto"/>
              <w:left w:val="single" w:sz="4" w:space="0" w:color="auto"/>
              <w:bottom w:val="single" w:sz="4" w:space="0" w:color="auto"/>
              <w:right w:val="single" w:sz="4" w:space="0" w:color="auto"/>
            </w:tcBorders>
            <w:hideMark/>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sz w:val="20"/>
                <w:lang w:eastAsia="en-AU"/>
              </w:rPr>
              <w:t>Population criteria</w:t>
            </w:r>
          </w:p>
        </w:tc>
        <w:tc>
          <w:tcPr>
            <w:tcW w:w="4133" w:type="pct"/>
            <w:tcBorders>
              <w:top w:val="single" w:sz="4" w:space="0" w:color="auto"/>
              <w:left w:val="single" w:sz="4" w:space="0" w:color="auto"/>
              <w:bottom w:val="single" w:sz="4" w:space="0" w:color="auto"/>
              <w:right w:val="single" w:sz="4" w:space="0" w:color="auto"/>
            </w:tcBorders>
          </w:tcPr>
          <w:p w:rsidR="00727CAA" w:rsidRPr="008D19B0" w:rsidRDefault="00727CAA" w:rsidP="005212E6">
            <w:pPr>
              <w:snapToGrid w:val="0"/>
              <w:spacing w:line="20" w:lineRule="atLeast"/>
              <w:rPr>
                <w:rFonts w:ascii="Arial Narrow" w:hAnsi="Arial Narrow"/>
                <w:sz w:val="20"/>
                <w:lang w:eastAsia="en-AU"/>
              </w:rPr>
            </w:pPr>
            <w:r w:rsidRPr="008D19B0">
              <w:rPr>
                <w:rFonts w:ascii="Arial Narrow" w:hAnsi="Arial Narrow"/>
                <w:color w:val="000000"/>
                <w:sz w:val="20"/>
                <w:lang w:eastAsia="en-AU"/>
              </w:rPr>
              <w:t>Patient must be aged 18 years or older.</w:t>
            </w:r>
          </w:p>
        </w:tc>
      </w:tr>
    </w:tbl>
    <w:p w:rsidR="00727CAA" w:rsidRPr="00414040" w:rsidRDefault="00727CAA" w:rsidP="00727CAA">
      <w:pPr>
        <w:tabs>
          <w:tab w:val="left" w:pos="142"/>
        </w:tabs>
        <w:ind w:left="851"/>
        <w:rPr>
          <w:rFonts w:ascii="Arial Narrow" w:hAnsi="Arial Narrow" w:cstheme="minorBidi"/>
          <w:sz w:val="20"/>
        </w:rPr>
      </w:pPr>
      <w:r w:rsidRPr="00414040">
        <w:rPr>
          <w:rFonts w:ascii="Arial Narrow" w:hAnsi="Arial Narrow" w:cstheme="minorBidi"/>
          <w:sz w:val="20"/>
          <w:vertAlign w:val="superscript"/>
        </w:rPr>
        <w:t>a</w:t>
      </w:r>
      <w:r w:rsidRPr="00414040">
        <w:rPr>
          <w:rFonts w:ascii="Arial Narrow" w:hAnsi="Arial Narrow" w:cstheme="minorBidi"/>
          <w:sz w:val="20"/>
          <w:vertAlign w:val="superscript"/>
        </w:rPr>
        <w:tab/>
      </w:r>
      <w:r w:rsidRPr="00414040">
        <w:rPr>
          <w:rFonts w:ascii="Arial Narrow" w:hAnsi="Arial Narrow" w:cstheme="minorBidi"/>
          <w:sz w:val="20"/>
        </w:rPr>
        <w:t>Effective DPMQs: $</w:t>
      </w:r>
      <w:r w:rsidR="00CA59E8">
        <w:rPr>
          <w:rFonts w:ascii="Arial Narrow" w:hAnsi="Arial Narrow" w:cstheme="minorBidi"/>
          <w:noProof/>
          <w:color w:val="000000"/>
          <w:sz w:val="20"/>
          <w:highlight w:val="black"/>
        </w:rPr>
        <w:t>'''''''''''''''''''''''</w:t>
      </w:r>
      <w:r w:rsidRPr="00414040">
        <w:rPr>
          <w:rFonts w:ascii="Arial Narrow" w:hAnsi="Arial Narrow" w:cstheme="minorBidi"/>
          <w:sz w:val="20"/>
        </w:rPr>
        <w:t xml:space="preserve"> (public), $</w:t>
      </w:r>
      <w:r w:rsidR="00CA59E8">
        <w:rPr>
          <w:rFonts w:ascii="Arial Narrow" w:hAnsi="Arial Narrow" w:cstheme="minorBidi"/>
          <w:noProof/>
          <w:color w:val="000000"/>
          <w:sz w:val="20"/>
          <w:highlight w:val="black"/>
        </w:rPr>
        <w:t>'''''''''''''''''''''</w:t>
      </w:r>
      <w:r w:rsidRPr="00414040">
        <w:rPr>
          <w:rFonts w:ascii="Arial Narrow" w:hAnsi="Arial Narrow" w:cstheme="minorBidi"/>
          <w:sz w:val="20"/>
        </w:rPr>
        <w:t xml:space="preserve"> (private);</w:t>
      </w:r>
    </w:p>
    <w:p w:rsidR="00727CAA" w:rsidRPr="00414040" w:rsidRDefault="00727CAA" w:rsidP="00727CAA">
      <w:pPr>
        <w:tabs>
          <w:tab w:val="left" w:pos="142"/>
        </w:tabs>
        <w:ind w:left="851"/>
        <w:rPr>
          <w:rFonts w:ascii="Arial Narrow" w:hAnsi="Arial Narrow" w:cstheme="minorBidi"/>
          <w:sz w:val="20"/>
        </w:rPr>
      </w:pPr>
      <w:r w:rsidRPr="00414040">
        <w:rPr>
          <w:rFonts w:ascii="Arial Narrow" w:hAnsi="Arial Narrow" w:cstheme="minorBidi"/>
          <w:sz w:val="20"/>
          <w:vertAlign w:val="superscript"/>
        </w:rPr>
        <w:t>b</w:t>
      </w:r>
      <w:r w:rsidRPr="00414040">
        <w:rPr>
          <w:rFonts w:ascii="Arial Narrow" w:hAnsi="Arial Narrow" w:cstheme="minorBidi"/>
          <w:sz w:val="20"/>
        </w:rPr>
        <w:tab/>
        <w:t>Effective DPMQ: $</w:t>
      </w:r>
      <w:r w:rsidR="00CA59E8">
        <w:rPr>
          <w:rFonts w:ascii="Arial Narrow" w:hAnsi="Arial Narrow" w:cstheme="minorBidi"/>
          <w:noProof/>
          <w:color w:val="000000"/>
          <w:sz w:val="20"/>
          <w:highlight w:val="black"/>
        </w:rPr>
        <w:t>'''''''''''''''''''</w:t>
      </w:r>
      <w:r w:rsidRPr="00414040">
        <w:rPr>
          <w:rFonts w:ascii="Arial Narrow" w:hAnsi="Arial Narrow" w:cstheme="minorBidi"/>
          <w:sz w:val="20"/>
        </w:rPr>
        <w:t>; Effective ex-man: $</w:t>
      </w:r>
      <w:r w:rsidR="00CA59E8">
        <w:rPr>
          <w:rFonts w:ascii="Arial Narrow" w:hAnsi="Arial Narrow" w:cstheme="minorBidi"/>
          <w:noProof/>
          <w:color w:val="000000"/>
          <w:sz w:val="20"/>
          <w:highlight w:val="black"/>
        </w:rPr>
        <w:t>''''''''''''''''''''</w:t>
      </w:r>
    </w:p>
    <w:p w:rsidR="00727CAA" w:rsidRPr="00414040" w:rsidRDefault="00727CAA" w:rsidP="00727CAA">
      <w:pPr>
        <w:pStyle w:val="ListParagraph"/>
        <w:widowControl/>
        <w:rPr>
          <w:szCs w:val="22"/>
        </w:rPr>
      </w:pPr>
    </w:p>
    <w:p w:rsidR="00727CAA" w:rsidRPr="007938ED" w:rsidRDefault="00727CAA" w:rsidP="00506A87">
      <w:pPr>
        <w:pStyle w:val="ListParagraph"/>
        <w:widowControl/>
        <w:numPr>
          <w:ilvl w:val="1"/>
          <w:numId w:val="1"/>
        </w:numPr>
        <w:rPr>
          <w:szCs w:val="22"/>
        </w:rPr>
      </w:pPr>
      <w:r w:rsidRPr="00414040">
        <w:rPr>
          <w:szCs w:val="22"/>
        </w:rPr>
        <w:t>For severe CD, the re</w:t>
      </w:r>
      <w:r w:rsidR="00770EEB">
        <w:rPr>
          <w:szCs w:val="22"/>
        </w:rPr>
        <w:t xml:space="preserve">quested listing was </w:t>
      </w:r>
      <w:r w:rsidRPr="00414040">
        <w:rPr>
          <w:szCs w:val="22"/>
        </w:rPr>
        <w:t xml:space="preserve">cost-minimisation versus a weighted comparator of </w:t>
      </w:r>
      <w:r w:rsidR="0029256D">
        <w:rPr>
          <w:szCs w:val="22"/>
        </w:rPr>
        <w:t>ADA</w:t>
      </w:r>
      <w:r w:rsidRPr="00414040">
        <w:rPr>
          <w:szCs w:val="22"/>
        </w:rPr>
        <w:t xml:space="preserve"> (</w:t>
      </w:r>
      <w:r w:rsidR="00CA59E8">
        <w:rPr>
          <w:noProof/>
          <w:color w:val="000000"/>
          <w:szCs w:val="22"/>
          <w:highlight w:val="black"/>
        </w:rPr>
        <w:t>'''''''</w:t>
      </w:r>
      <w:r w:rsidRPr="00414040">
        <w:rPr>
          <w:szCs w:val="22"/>
        </w:rPr>
        <w:t>%)</w:t>
      </w:r>
      <w:r w:rsidR="00770EEB">
        <w:rPr>
          <w:szCs w:val="22"/>
        </w:rPr>
        <w:t>,</w:t>
      </w:r>
      <w:r w:rsidRPr="00414040">
        <w:rPr>
          <w:szCs w:val="22"/>
        </w:rPr>
        <w:t xml:space="preserve"> </w:t>
      </w:r>
      <w:r w:rsidR="009F102A" w:rsidRPr="009F102A">
        <w:rPr>
          <w:szCs w:val="22"/>
        </w:rPr>
        <w:t>IFX</w:t>
      </w:r>
      <w:r w:rsidRPr="00414040">
        <w:rPr>
          <w:szCs w:val="22"/>
        </w:rPr>
        <w:t xml:space="preserve"> (</w:t>
      </w:r>
      <w:r w:rsidR="00CA59E8">
        <w:rPr>
          <w:noProof/>
          <w:color w:val="000000"/>
          <w:szCs w:val="22"/>
          <w:highlight w:val="black"/>
        </w:rPr>
        <w:t>''''''</w:t>
      </w:r>
      <w:r w:rsidRPr="00414040">
        <w:rPr>
          <w:szCs w:val="22"/>
        </w:rPr>
        <w:t xml:space="preserve">%) and </w:t>
      </w:r>
      <w:r w:rsidR="0029256D">
        <w:rPr>
          <w:szCs w:val="22"/>
        </w:rPr>
        <w:t>VDZ</w:t>
      </w:r>
      <w:r w:rsidRPr="00414040">
        <w:rPr>
          <w:szCs w:val="22"/>
        </w:rPr>
        <w:t xml:space="preserve"> (</w:t>
      </w:r>
      <w:r w:rsidR="00CA59E8">
        <w:rPr>
          <w:noProof/>
          <w:color w:val="000000"/>
          <w:szCs w:val="22"/>
          <w:highlight w:val="black"/>
        </w:rPr>
        <w:t>''''</w:t>
      </w:r>
      <w:r w:rsidRPr="00414040">
        <w:rPr>
          <w:szCs w:val="22"/>
        </w:rPr>
        <w:t>%)</w:t>
      </w:r>
      <w:r w:rsidR="00770EEB">
        <w:rPr>
          <w:szCs w:val="22"/>
        </w:rPr>
        <w:t xml:space="preserve"> </w:t>
      </w:r>
      <w:r w:rsidR="00E90EA1" w:rsidRPr="00414040">
        <w:rPr>
          <w:szCs w:val="22"/>
        </w:rPr>
        <w:t xml:space="preserve">based </w:t>
      </w:r>
      <w:r w:rsidR="00E90EA1" w:rsidRPr="00770EEB">
        <w:rPr>
          <w:szCs w:val="22"/>
        </w:rPr>
        <w:t>on assumed substitution rates</w:t>
      </w:r>
      <w:r w:rsidR="00093CF0">
        <w:rPr>
          <w:szCs w:val="22"/>
        </w:rPr>
        <w:t xml:space="preserve">. </w:t>
      </w:r>
      <w:r w:rsidR="00E90EA1" w:rsidRPr="00224269">
        <w:rPr>
          <w:rFonts w:asciiTheme="minorBidi" w:hAnsiTheme="minorBidi"/>
        </w:rPr>
        <w:t xml:space="preserve">Prospection data in March 2016 (PBS 10% sample; Appendix 9 of the submission) showed that </w:t>
      </w:r>
      <w:r w:rsidR="0029256D">
        <w:rPr>
          <w:rFonts w:asciiTheme="minorBidi" w:hAnsiTheme="minorBidi"/>
        </w:rPr>
        <w:t>ADA</w:t>
      </w:r>
      <w:r w:rsidR="00E90EA1" w:rsidRPr="00224269">
        <w:rPr>
          <w:rFonts w:asciiTheme="minorBidi" w:hAnsiTheme="minorBidi"/>
        </w:rPr>
        <w:t xml:space="preserve"> had </w:t>
      </w:r>
      <w:r w:rsidR="00E90EA1" w:rsidRPr="00DC645A">
        <w:rPr>
          <w:rFonts w:asciiTheme="minorBidi" w:hAnsiTheme="minorBidi"/>
        </w:rPr>
        <w:t>50.8</w:t>
      </w:r>
      <w:r w:rsidR="00E90EA1" w:rsidRPr="00224269">
        <w:rPr>
          <w:rFonts w:asciiTheme="minorBidi" w:hAnsiTheme="minorBidi"/>
        </w:rPr>
        <w:t xml:space="preserve">% of the market, </w:t>
      </w:r>
      <w:r w:rsidR="009F102A" w:rsidRPr="009F102A">
        <w:rPr>
          <w:rFonts w:asciiTheme="minorBidi" w:hAnsiTheme="minorBidi"/>
        </w:rPr>
        <w:t>IFX</w:t>
      </w:r>
      <w:r w:rsidR="00E90EA1" w:rsidRPr="00224269">
        <w:rPr>
          <w:rFonts w:asciiTheme="minorBidi" w:hAnsiTheme="minorBidi"/>
        </w:rPr>
        <w:t xml:space="preserve"> </w:t>
      </w:r>
      <w:r w:rsidR="00E90EA1" w:rsidRPr="00DC645A">
        <w:rPr>
          <w:rFonts w:asciiTheme="minorBidi" w:hAnsiTheme="minorBidi"/>
        </w:rPr>
        <w:t>46.2</w:t>
      </w:r>
      <w:r w:rsidR="00E90EA1" w:rsidRPr="00224269">
        <w:rPr>
          <w:rFonts w:asciiTheme="minorBidi" w:hAnsiTheme="minorBidi"/>
        </w:rPr>
        <w:t xml:space="preserve">% and </w:t>
      </w:r>
      <w:r w:rsidR="0029256D">
        <w:rPr>
          <w:rFonts w:asciiTheme="minorBidi" w:hAnsiTheme="minorBidi"/>
        </w:rPr>
        <w:t>VDZ</w:t>
      </w:r>
      <w:r w:rsidR="00E90EA1" w:rsidRPr="00224269">
        <w:rPr>
          <w:rFonts w:asciiTheme="minorBidi" w:hAnsiTheme="minorBidi"/>
        </w:rPr>
        <w:t xml:space="preserve"> </w:t>
      </w:r>
      <w:r w:rsidR="00E90EA1" w:rsidRPr="00DC645A">
        <w:rPr>
          <w:rFonts w:asciiTheme="minorBidi" w:hAnsiTheme="minorBidi"/>
        </w:rPr>
        <w:t>3</w:t>
      </w:r>
      <w:r w:rsidR="00E90EA1" w:rsidRPr="00224269">
        <w:rPr>
          <w:rFonts w:asciiTheme="minorBidi" w:hAnsiTheme="minorBidi"/>
        </w:rPr>
        <w:t xml:space="preserve">%.  </w:t>
      </w:r>
      <w:r>
        <w:rPr>
          <w:szCs w:val="22"/>
        </w:rPr>
        <w:t xml:space="preserve">As </w:t>
      </w:r>
      <w:r w:rsidR="0029256D">
        <w:rPr>
          <w:szCs w:val="22"/>
        </w:rPr>
        <w:t>VDZ</w:t>
      </w:r>
      <w:r>
        <w:rPr>
          <w:szCs w:val="22"/>
        </w:rPr>
        <w:t xml:space="preserve"> is not listed on PBS for fistulising CD, the cost</w:t>
      </w:r>
      <w:r w:rsidR="00CD599C">
        <w:rPr>
          <w:szCs w:val="22"/>
        </w:rPr>
        <w:t>-</w:t>
      </w:r>
      <w:r>
        <w:rPr>
          <w:szCs w:val="22"/>
        </w:rPr>
        <w:t xml:space="preserve">minimisation analysis reasonably excluded </w:t>
      </w:r>
      <w:r w:rsidR="0029256D">
        <w:rPr>
          <w:szCs w:val="22"/>
        </w:rPr>
        <w:t>VDZ</w:t>
      </w:r>
      <w:r w:rsidR="00E90EA1">
        <w:rPr>
          <w:szCs w:val="22"/>
        </w:rPr>
        <w:t xml:space="preserve"> from the weighted comparators (ADA</w:t>
      </w:r>
      <w:r w:rsidR="00E83337">
        <w:rPr>
          <w:szCs w:val="22"/>
        </w:rPr>
        <w:t xml:space="preserve">: </w:t>
      </w:r>
      <w:r w:rsidR="00E83337" w:rsidRPr="00DC645A">
        <w:rPr>
          <w:szCs w:val="22"/>
        </w:rPr>
        <w:t>61</w:t>
      </w:r>
      <w:r w:rsidR="00E83337">
        <w:rPr>
          <w:szCs w:val="22"/>
        </w:rPr>
        <w:t xml:space="preserve">% and IFX: </w:t>
      </w:r>
      <w:r w:rsidR="00E83337" w:rsidRPr="00DC645A">
        <w:rPr>
          <w:szCs w:val="22"/>
        </w:rPr>
        <w:t>39</w:t>
      </w:r>
      <w:r w:rsidR="00093CF0">
        <w:rPr>
          <w:szCs w:val="22"/>
        </w:rPr>
        <w:t>%).</w:t>
      </w:r>
      <w:r w:rsidR="00E90EA1">
        <w:rPr>
          <w:szCs w:val="22"/>
        </w:rPr>
        <w:t xml:space="preserve"> </w:t>
      </w:r>
      <w:r>
        <w:rPr>
          <w:szCs w:val="22"/>
        </w:rPr>
        <w:t xml:space="preserve">Similar effective prices </w:t>
      </w:r>
      <w:r w:rsidR="002E7160">
        <w:rPr>
          <w:szCs w:val="22"/>
        </w:rPr>
        <w:t>were</w:t>
      </w:r>
      <w:r>
        <w:rPr>
          <w:szCs w:val="22"/>
        </w:rPr>
        <w:t xml:space="preserve"> requested for </w:t>
      </w:r>
      <w:r w:rsidR="009F102A" w:rsidRPr="009F102A">
        <w:rPr>
          <w:szCs w:val="22"/>
        </w:rPr>
        <w:t>UST</w:t>
      </w:r>
      <w:r>
        <w:rPr>
          <w:szCs w:val="22"/>
        </w:rPr>
        <w:t xml:space="preserve"> in both severe and fistulising CD (a slightly </w:t>
      </w:r>
      <w:r w:rsidRPr="007938ED">
        <w:rPr>
          <w:szCs w:val="22"/>
        </w:rPr>
        <w:t xml:space="preserve">lower price was estimated for </w:t>
      </w:r>
      <w:r w:rsidR="009F102A" w:rsidRPr="007938ED">
        <w:rPr>
          <w:szCs w:val="22"/>
        </w:rPr>
        <w:t>UST</w:t>
      </w:r>
      <w:r w:rsidRPr="007938ED">
        <w:rPr>
          <w:szCs w:val="22"/>
        </w:rPr>
        <w:t xml:space="preserve"> for fistulising CD based on the cost</w:t>
      </w:r>
      <w:r w:rsidR="00CD599C" w:rsidRPr="007938ED">
        <w:rPr>
          <w:szCs w:val="22"/>
        </w:rPr>
        <w:t>-</w:t>
      </w:r>
      <w:r w:rsidR="00093CF0">
        <w:rPr>
          <w:szCs w:val="22"/>
        </w:rPr>
        <w:t xml:space="preserve"> minimisation analysis). </w:t>
      </w:r>
      <w:r w:rsidRPr="007938ED">
        <w:rPr>
          <w:szCs w:val="22"/>
        </w:rPr>
        <w:t xml:space="preserve">The nominated clinical comparison for both severe and fistulising CD however was versus </w:t>
      </w:r>
      <w:r w:rsidR="0029256D" w:rsidRPr="007938ED">
        <w:rPr>
          <w:szCs w:val="22"/>
        </w:rPr>
        <w:t>ADA</w:t>
      </w:r>
      <w:r w:rsidRPr="007938ED">
        <w:rPr>
          <w:szCs w:val="22"/>
        </w:rPr>
        <w:t xml:space="preserve"> only (see “Comparators”).</w:t>
      </w:r>
    </w:p>
    <w:p w:rsidR="00727CAA" w:rsidRPr="007938ED" w:rsidRDefault="00727CAA" w:rsidP="00727CAA"/>
    <w:p w:rsidR="00B35260" w:rsidRPr="007938ED" w:rsidRDefault="00B35260" w:rsidP="00B35260">
      <w:pPr>
        <w:ind w:firstLine="720"/>
        <w:rPr>
          <w:bCs/>
          <w:szCs w:val="22"/>
        </w:rPr>
      </w:pPr>
      <w:r w:rsidRPr="007938ED">
        <w:rPr>
          <w:bCs/>
          <w:i/>
          <w:szCs w:val="22"/>
        </w:rPr>
        <w:t>For more detail on PBAC’s view, see section 7 “PBAC outcome”</w:t>
      </w:r>
    </w:p>
    <w:p w:rsidR="00B35260" w:rsidRPr="007938ED" w:rsidRDefault="00B35260" w:rsidP="00727CAA"/>
    <w:p w:rsidR="00C51274" w:rsidRPr="007938ED" w:rsidRDefault="00C51274" w:rsidP="00727CAA"/>
    <w:p w:rsidR="00727CAA" w:rsidRPr="007938ED" w:rsidRDefault="00727CAA" w:rsidP="00727CAA">
      <w:pPr>
        <w:pStyle w:val="PBACHeading1"/>
      </w:pPr>
      <w:bookmarkStart w:id="9" w:name="_Toc472503699"/>
      <w:r w:rsidRPr="007938ED">
        <w:t>Background</w:t>
      </w:r>
      <w:bookmarkEnd w:id="9"/>
    </w:p>
    <w:p w:rsidR="00727CAA" w:rsidRPr="007938ED" w:rsidRDefault="0077213E" w:rsidP="0077213E">
      <w:pPr>
        <w:tabs>
          <w:tab w:val="left" w:pos="1467"/>
        </w:tabs>
        <w:rPr>
          <w:szCs w:val="22"/>
        </w:rPr>
      </w:pPr>
      <w:r w:rsidRPr="007938ED">
        <w:rPr>
          <w:szCs w:val="22"/>
        </w:rPr>
        <w:tab/>
      </w:r>
    </w:p>
    <w:p w:rsidR="00F979BD" w:rsidRDefault="0077213E" w:rsidP="00F979BD">
      <w:pPr>
        <w:pStyle w:val="ListParagraph"/>
        <w:widowControl/>
        <w:numPr>
          <w:ilvl w:val="1"/>
          <w:numId w:val="1"/>
        </w:numPr>
      </w:pPr>
      <w:r w:rsidRPr="007938ED">
        <w:rPr>
          <w:szCs w:val="22"/>
        </w:rPr>
        <w:t xml:space="preserve">TGA status: </w:t>
      </w:r>
      <w:r w:rsidRPr="007938ED">
        <w:t>The submission</w:t>
      </w:r>
      <w:r w:rsidRPr="00F979BD">
        <w:t xml:space="preserve"> was made un</w:t>
      </w:r>
      <w:r w:rsidR="00093CF0">
        <w:t xml:space="preserve">der TGA/PBAC Parallel Process. </w:t>
      </w:r>
      <w:r w:rsidRPr="00F979BD">
        <w:t xml:space="preserve">At the time of PBAC consideration, both the Clinical Evaluation Report and the TGA delegate’s overview were available. </w:t>
      </w:r>
      <w:r w:rsidR="00F979BD" w:rsidRPr="00F979BD">
        <w:t>The TGA have approved ustekinumab for moderate to severe CD on 27 February 2017</w:t>
      </w:r>
      <w:r w:rsidR="00F979BD">
        <w:t>.</w:t>
      </w:r>
    </w:p>
    <w:p w:rsidR="00F979BD" w:rsidRDefault="00F979BD" w:rsidP="00F979BD">
      <w:pPr>
        <w:pStyle w:val="ListParagraph"/>
        <w:widowControl/>
      </w:pPr>
    </w:p>
    <w:p w:rsidR="0077213E" w:rsidRPr="00414040" w:rsidRDefault="00F979BD" w:rsidP="00F979BD">
      <w:pPr>
        <w:pStyle w:val="ListParagraph"/>
        <w:widowControl/>
        <w:numPr>
          <w:ilvl w:val="1"/>
          <w:numId w:val="1"/>
        </w:numPr>
      </w:pPr>
      <w:r>
        <w:t>The PBAC noted the TGA had not approved ustekinumab for fistulising Crohn’s disease.</w:t>
      </w:r>
    </w:p>
    <w:p w:rsidR="00727CAA" w:rsidRPr="0077213E" w:rsidRDefault="00727CAA" w:rsidP="0077213E">
      <w:pPr>
        <w:pStyle w:val="ListParagraph"/>
        <w:widowControl/>
        <w:rPr>
          <w:szCs w:val="22"/>
        </w:rPr>
      </w:pPr>
    </w:p>
    <w:p w:rsidR="00727CAA" w:rsidRPr="00414040" w:rsidRDefault="009F102A" w:rsidP="00506A87">
      <w:pPr>
        <w:pStyle w:val="ListParagraph"/>
        <w:widowControl/>
        <w:numPr>
          <w:ilvl w:val="1"/>
          <w:numId w:val="1"/>
        </w:numPr>
        <w:rPr>
          <w:color w:val="000000" w:themeColor="text1"/>
          <w:szCs w:val="22"/>
        </w:rPr>
      </w:pPr>
      <w:r w:rsidRPr="009F102A">
        <w:rPr>
          <w:color w:val="000000" w:themeColor="text1"/>
          <w:szCs w:val="22"/>
        </w:rPr>
        <w:t>UST</w:t>
      </w:r>
      <w:r w:rsidR="00727CAA" w:rsidRPr="00414040">
        <w:rPr>
          <w:color w:val="000000" w:themeColor="text1"/>
          <w:szCs w:val="22"/>
        </w:rPr>
        <w:t xml:space="preserve"> has not been considered by PBAC previously for </w:t>
      </w:r>
      <w:r w:rsidR="00727CAA">
        <w:rPr>
          <w:color w:val="000000" w:themeColor="text1"/>
          <w:szCs w:val="22"/>
        </w:rPr>
        <w:t>severe CD or fistulising CD.</w:t>
      </w:r>
    </w:p>
    <w:p w:rsidR="00727CAA" w:rsidRDefault="00727CAA" w:rsidP="00727CAA"/>
    <w:p w:rsidR="00B35260" w:rsidRDefault="00B35260" w:rsidP="00727CAA"/>
    <w:p w:rsidR="00727CAA" w:rsidRPr="00414040" w:rsidRDefault="00727CAA" w:rsidP="00727CAA">
      <w:pPr>
        <w:pStyle w:val="PBACHeading1"/>
      </w:pPr>
      <w:bookmarkStart w:id="10" w:name="_Toc472503700"/>
      <w:r w:rsidRPr="00414040">
        <w:t>Clinical place for the proposed therapy</w:t>
      </w:r>
      <w:bookmarkEnd w:id="10"/>
    </w:p>
    <w:p w:rsidR="00727CAA" w:rsidRPr="00414040" w:rsidRDefault="00727CAA" w:rsidP="00727CAA">
      <w:pPr>
        <w:rPr>
          <w:szCs w:val="22"/>
        </w:rPr>
      </w:pPr>
    </w:p>
    <w:p w:rsidR="00727CAA" w:rsidRPr="00E90EA1" w:rsidRDefault="009F102A" w:rsidP="00506A87">
      <w:pPr>
        <w:pStyle w:val="ListParagraph"/>
        <w:widowControl/>
        <w:numPr>
          <w:ilvl w:val="1"/>
          <w:numId w:val="1"/>
        </w:numPr>
        <w:rPr>
          <w:color w:val="000000" w:themeColor="text1"/>
          <w:szCs w:val="22"/>
        </w:rPr>
      </w:pPr>
      <w:r w:rsidRPr="009F102A">
        <w:rPr>
          <w:bCs/>
        </w:rPr>
        <w:t>UST</w:t>
      </w:r>
      <w:r w:rsidR="00727CAA" w:rsidRPr="00414040">
        <w:rPr>
          <w:bCs/>
        </w:rPr>
        <w:t xml:space="preserve"> is a human monoclonal antibody that binds to and interferes with the pro-inflammatory cytokines, interleukin (IL)-12 and IL</w:t>
      </w:r>
      <w:r w:rsidR="00093CF0">
        <w:rPr>
          <w:bCs/>
        </w:rPr>
        <w:t xml:space="preserve">-23. </w:t>
      </w:r>
      <w:r w:rsidR="00727CAA">
        <w:rPr>
          <w:bCs/>
        </w:rPr>
        <w:t xml:space="preserve">It has </w:t>
      </w:r>
      <w:r w:rsidR="00727CAA" w:rsidRPr="00414040">
        <w:rPr>
          <w:bCs/>
        </w:rPr>
        <w:t xml:space="preserve">a different mechanism of action to other PBS listed bDMARDs which </w:t>
      </w:r>
      <w:r w:rsidR="00727CAA">
        <w:rPr>
          <w:bCs/>
        </w:rPr>
        <w:t xml:space="preserve">(except for </w:t>
      </w:r>
      <w:r w:rsidR="0029256D">
        <w:rPr>
          <w:bCs/>
        </w:rPr>
        <w:t>VDZ</w:t>
      </w:r>
      <w:r w:rsidR="00727CAA">
        <w:rPr>
          <w:bCs/>
        </w:rPr>
        <w:t>) a</w:t>
      </w:r>
      <w:r w:rsidR="00727CAA" w:rsidRPr="00414040">
        <w:rPr>
          <w:bCs/>
        </w:rPr>
        <w:t xml:space="preserve">re all tumour </w:t>
      </w:r>
      <w:r w:rsidR="00E90EA1">
        <w:rPr>
          <w:bCs/>
        </w:rPr>
        <w:t>necrosis factor –α inhibitors.</w:t>
      </w:r>
    </w:p>
    <w:p w:rsidR="00E90EA1" w:rsidRPr="00414040" w:rsidRDefault="00E90EA1" w:rsidP="00E90EA1">
      <w:pPr>
        <w:pStyle w:val="ListParagraph"/>
        <w:widowControl/>
        <w:rPr>
          <w:color w:val="000000" w:themeColor="text1"/>
          <w:szCs w:val="22"/>
        </w:rPr>
      </w:pPr>
    </w:p>
    <w:p w:rsidR="00727CAA" w:rsidRPr="00A457E4" w:rsidRDefault="009F102A" w:rsidP="00506A87">
      <w:pPr>
        <w:pStyle w:val="ListParagraph"/>
        <w:widowControl/>
        <w:numPr>
          <w:ilvl w:val="1"/>
          <w:numId w:val="1"/>
        </w:numPr>
        <w:rPr>
          <w:snapToGrid/>
          <w:szCs w:val="22"/>
        </w:rPr>
      </w:pPr>
      <w:r w:rsidRPr="009F102A">
        <w:rPr>
          <w:szCs w:val="22"/>
        </w:rPr>
        <w:t>UST</w:t>
      </w:r>
      <w:r w:rsidR="00727CAA" w:rsidRPr="00414040">
        <w:rPr>
          <w:szCs w:val="22"/>
        </w:rPr>
        <w:t xml:space="preserve"> is expected to be used as an alternative to other PBS-listed bDMARDs for severe CD (</w:t>
      </w:r>
      <w:r w:rsidR="0029256D">
        <w:rPr>
          <w:szCs w:val="22"/>
        </w:rPr>
        <w:t>ADA</w:t>
      </w:r>
      <w:r w:rsidR="00727CAA" w:rsidRPr="00414040">
        <w:rPr>
          <w:szCs w:val="22"/>
        </w:rPr>
        <w:t xml:space="preserve">, </w:t>
      </w:r>
      <w:r w:rsidRPr="009F102A">
        <w:rPr>
          <w:szCs w:val="22"/>
        </w:rPr>
        <w:t>IFX</w:t>
      </w:r>
      <w:r w:rsidR="00727CAA" w:rsidRPr="00414040">
        <w:rPr>
          <w:szCs w:val="22"/>
        </w:rPr>
        <w:t xml:space="preserve">, and </w:t>
      </w:r>
      <w:r w:rsidR="0029256D">
        <w:rPr>
          <w:szCs w:val="22"/>
        </w:rPr>
        <w:t>VDZ</w:t>
      </w:r>
      <w:r w:rsidR="00727CAA" w:rsidRPr="00414040">
        <w:rPr>
          <w:szCs w:val="22"/>
        </w:rPr>
        <w:t>), and fistulising CD (</w:t>
      </w:r>
      <w:r w:rsidR="0029256D">
        <w:rPr>
          <w:szCs w:val="22"/>
        </w:rPr>
        <w:t>ADA</w:t>
      </w:r>
      <w:r w:rsidR="00727CAA" w:rsidRPr="00414040">
        <w:rPr>
          <w:szCs w:val="22"/>
        </w:rPr>
        <w:t xml:space="preserve"> and </w:t>
      </w:r>
      <w:r w:rsidRPr="009F102A">
        <w:rPr>
          <w:szCs w:val="22"/>
        </w:rPr>
        <w:t>IFX</w:t>
      </w:r>
      <w:r w:rsidR="00727CAA" w:rsidRPr="00414040">
        <w:rPr>
          <w:szCs w:val="22"/>
        </w:rPr>
        <w:t>)</w:t>
      </w:r>
      <w:r w:rsidR="00093CF0">
        <w:rPr>
          <w:szCs w:val="22"/>
        </w:rPr>
        <w:t xml:space="preserve">. </w:t>
      </w:r>
      <w:r w:rsidR="00727CAA">
        <w:rPr>
          <w:szCs w:val="22"/>
        </w:rPr>
        <w:t xml:space="preserve">These agents are indicated on </w:t>
      </w:r>
      <w:r w:rsidR="009A1AC5">
        <w:rPr>
          <w:szCs w:val="22"/>
        </w:rPr>
        <w:t xml:space="preserve">the </w:t>
      </w:r>
      <w:r w:rsidR="00727CAA">
        <w:rPr>
          <w:szCs w:val="22"/>
        </w:rPr>
        <w:t>PBS</w:t>
      </w:r>
      <w:r w:rsidR="0088374D">
        <w:rPr>
          <w:szCs w:val="22"/>
        </w:rPr>
        <w:t xml:space="preserve"> for CD</w:t>
      </w:r>
      <w:r w:rsidR="00727CAA">
        <w:rPr>
          <w:szCs w:val="22"/>
        </w:rPr>
        <w:t xml:space="preserve"> only </w:t>
      </w:r>
      <w:r w:rsidR="00727CAA">
        <w:rPr>
          <w:color w:val="000000" w:themeColor="text1"/>
        </w:rPr>
        <w:t xml:space="preserve">after </w:t>
      </w:r>
      <w:r w:rsidR="00727CAA" w:rsidRPr="00414040">
        <w:rPr>
          <w:color w:val="000000" w:themeColor="text1"/>
        </w:rPr>
        <w:t xml:space="preserve">failure of conventional </w:t>
      </w:r>
      <w:r w:rsidR="00727CAA">
        <w:rPr>
          <w:color w:val="000000" w:themeColor="text1"/>
        </w:rPr>
        <w:t xml:space="preserve">therapies (such as </w:t>
      </w:r>
      <w:r w:rsidR="00727CAA" w:rsidRPr="00A457E4">
        <w:rPr>
          <w:color w:val="000000" w:themeColor="text1"/>
        </w:rPr>
        <w:t xml:space="preserve">azathioprine, 6-mercaptopurine </w:t>
      </w:r>
      <w:r w:rsidR="0088374D" w:rsidRPr="00A457E4">
        <w:rPr>
          <w:color w:val="000000" w:themeColor="text1"/>
        </w:rPr>
        <w:t xml:space="preserve">or </w:t>
      </w:r>
      <w:r w:rsidR="00727CAA" w:rsidRPr="00A457E4">
        <w:rPr>
          <w:color w:val="000000" w:themeColor="text1"/>
        </w:rPr>
        <w:t>methotrexate).</w:t>
      </w:r>
    </w:p>
    <w:p w:rsidR="00C51274" w:rsidRPr="00A457E4" w:rsidRDefault="00C51274" w:rsidP="00727CAA">
      <w:pPr>
        <w:pStyle w:val="Header"/>
        <w:rPr>
          <w:szCs w:val="22"/>
        </w:rPr>
      </w:pPr>
    </w:p>
    <w:p w:rsidR="00B35260" w:rsidRPr="00A457E4" w:rsidRDefault="00B35260" w:rsidP="00B35260">
      <w:pPr>
        <w:ind w:firstLine="720"/>
        <w:rPr>
          <w:bCs/>
          <w:szCs w:val="22"/>
        </w:rPr>
      </w:pPr>
      <w:r w:rsidRPr="00A457E4">
        <w:rPr>
          <w:bCs/>
          <w:i/>
          <w:szCs w:val="22"/>
        </w:rPr>
        <w:t>For more detail on PBAC’s view, see section 7 “PBAC outcome”</w:t>
      </w:r>
    </w:p>
    <w:p w:rsidR="00B35260" w:rsidRPr="00A457E4" w:rsidRDefault="00B35260" w:rsidP="00727CAA">
      <w:pPr>
        <w:pStyle w:val="Header"/>
        <w:rPr>
          <w:szCs w:val="22"/>
        </w:rPr>
      </w:pPr>
    </w:p>
    <w:p w:rsidR="00C2032D" w:rsidRPr="00A457E4" w:rsidRDefault="00C2032D" w:rsidP="00727CAA">
      <w:pPr>
        <w:pStyle w:val="Header"/>
        <w:rPr>
          <w:szCs w:val="22"/>
        </w:rPr>
      </w:pPr>
    </w:p>
    <w:p w:rsidR="00727CAA" w:rsidRPr="00A457E4" w:rsidRDefault="00727CAA" w:rsidP="00FF6725">
      <w:pPr>
        <w:pStyle w:val="PBACHeading1"/>
      </w:pPr>
      <w:bookmarkStart w:id="11" w:name="_Toc472503701"/>
      <w:r w:rsidRPr="00A457E4">
        <w:t>Comparator</w:t>
      </w:r>
      <w:bookmarkEnd w:id="11"/>
    </w:p>
    <w:p w:rsidR="00727CAA" w:rsidRPr="00414040" w:rsidRDefault="00727CAA" w:rsidP="00727CAA"/>
    <w:p w:rsidR="00727CAA" w:rsidRPr="00A457E4" w:rsidRDefault="00727CAA" w:rsidP="00506A87">
      <w:pPr>
        <w:pStyle w:val="ListParagraph"/>
        <w:widowControl/>
        <w:numPr>
          <w:ilvl w:val="1"/>
          <w:numId w:val="1"/>
        </w:numPr>
        <w:rPr>
          <w:szCs w:val="22"/>
        </w:rPr>
      </w:pPr>
      <w:r w:rsidRPr="00C51274">
        <w:rPr>
          <w:color w:val="000000" w:themeColor="text1"/>
          <w:u w:val="single"/>
        </w:rPr>
        <w:t>For severe CD</w:t>
      </w:r>
      <w:r w:rsidRPr="00C51274">
        <w:rPr>
          <w:color w:val="000000" w:themeColor="text1"/>
        </w:rPr>
        <w:t xml:space="preserve">: </w:t>
      </w:r>
      <w:r w:rsidR="0029256D" w:rsidRPr="00C51274">
        <w:rPr>
          <w:color w:val="000000" w:themeColor="text1"/>
        </w:rPr>
        <w:t>ADA</w:t>
      </w:r>
      <w:r w:rsidRPr="00C51274">
        <w:rPr>
          <w:color w:val="000000" w:themeColor="text1"/>
        </w:rPr>
        <w:t xml:space="preserve"> was nominated as the clinical comparator and a weighted combination of </w:t>
      </w:r>
      <w:r w:rsidR="0029256D" w:rsidRPr="00C51274">
        <w:rPr>
          <w:color w:val="000000" w:themeColor="text1"/>
        </w:rPr>
        <w:t>ADA</w:t>
      </w:r>
      <w:r w:rsidRPr="00C51274">
        <w:rPr>
          <w:color w:val="000000" w:themeColor="text1"/>
        </w:rPr>
        <w:t xml:space="preserve">, </w:t>
      </w:r>
      <w:r w:rsidR="009F102A" w:rsidRPr="00C51274">
        <w:rPr>
          <w:color w:val="000000" w:themeColor="text1"/>
        </w:rPr>
        <w:t>IFX</w:t>
      </w:r>
      <w:r w:rsidRPr="00C51274">
        <w:rPr>
          <w:color w:val="000000" w:themeColor="text1"/>
        </w:rPr>
        <w:t xml:space="preserve"> and </w:t>
      </w:r>
      <w:r w:rsidR="0029256D" w:rsidRPr="00C51274">
        <w:rPr>
          <w:color w:val="000000" w:themeColor="text1"/>
        </w:rPr>
        <w:t>VDZ</w:t>
      </w:r>
      <w:r w:rsidRPr="00C51274">
        <w:rPr>
          <w:color w:val="000000" w:themeColor="text1"/>
        </w:rPr>
        <w:t xml:space="preserve"> were</w:t>
      </w:r>
      <w:r w:rsidR="00093CF0">
        <w:rPr>
          <w:color w:val="000000" w:themeColor="text1"/>
        </w:rPr>
        <w:t xml:space="preserve"> nominated as cost comparators.</w:t>
      </w:r>
      <w:r w:rsidRPr="00C51274">
        <w:rPr>
          <w:color w:val="000000" w:themeColor="text1"/>
        </w:rPr>
        <w:t xml:space="preserve"> </w:t>
      </w:r>
      <w:r w:rsidRPr="00C51274">
        <w:rPr>
          <w:color w:val="000000" w:themeColor="text1"/>
          <w:u w:val="single"/>
        </w:rPr>
        <w:t>For fistulising CD</w:t>
      </w:r>
      <w:r w:rsidRPr="00C51274">
        <w:rPr>
          <w:color w:val="000000" w:themeColor="text1"/>
        </w:rPr>
        <w:t xml:space="preserve">: </w:t>
      </w:r>
      <w:r w:rsidR="0029256D" w:rsidRPr="00C51274">
        <w:rPr>
          <w:color w:val="000000" w:themeColor="text1"/>
        </w:rPr>
        <w:t>ADA</w:t>
      </w:r>
      <w:r w:rsidRPr="00C51274">
        <w:rPr>
          <w:color w:val="000000" w:themeColor="text1"/>
        </w:rPr>
        <w:t xml:space="preserve"> was nominated as the clinical comparator and </w:t>
      </w:r>
      <w:r w:rsidR="0029256D" w:rsidRPr="00C51274">
        <w:rPr>
          <w:color w:val="000000" w:themeColor="text1"/>
        </w:rPr>
        <w:t>ADA</w:t>
      </w:r>
      <w:r w:rsidRPr="00C51274">
        <w:rPr>
          <w:color w:val="000000" w:themeColor="text1"/>
        </w:rPr>
        <w:t xml:space="preserve"> and </w:t>
      </w:r>
      <w:r w:rsidR="009F102A" w:rsidRPr="00C51274">
        <w:rPr>
          <w:color w:val="000000" w:themeColor="text1"/>
        </w:rPr>
        <w:t>IFX</w:t>
      </w:r>
      <w:r w:rsidRPr="00C51274">
        <w:rPr>
          <w:color w:val="000000" w:themeColor="text1"/>
        </w:rPr>
        <w:t xml:space="preserve"> were nominated as cost comparators.</w:t>
      </w:r>
      <w:r w:rsidRPr="00C51274">
        <w:rPr>
          <w:color w:val="3366FF"/>
        </w:rPr>
        <w:t xml:space="preserve"> </w:t>
      </w:r>
      <w:r w:rsidRPr="00C51274">
        <w:t>For the clinical comparisons, all currently PBS listed bDMARDs could be replaced in practice and are also relevant comparators.</w:t>
      </w:r>
    </w:p>
    <w:p w:rsidR="00A457E4" w:rsidRPr="00A457E4" w:rsidRDefault="00A457E4" w:rsidP="00A457E4">
      <w:pPr>
        <w:pStyle w:val="ListParagraph"/>
        <w:widowControl/>
        <w:rPr>
          <w:szCs w:val="22"/>
        </w:rPr>
      </w:pPr>
    </w:p>
    <w:p w:rsidR="00A457E4" w:rsidRPr="00C51274" w:rsidRDefault="00A457E4" w:rsidP="00506A87">
      <w:pPr>
        <w:pStyle w:val="ListParagraph"/>
        <w:widowControl/>
        <w:numPr>
          <w:ilvl w:val="1"/>
          <w:numId w:val="1"/>
        </w:numPr>
        <w:rPr>
          <w:szCs w:val="22"/>
        </w:rPr>
      </w:pPr>
      <w:r>
        <w:t>The ESC noted t</w:t>
      </w:r>
      <w:r w:rsidRPr="004C0645">
        <w:t>he nomination of different clinical and economic comparators is inappropriate</w:t>
      </w:r>
      <w:r>
        <w:t xml:space="preserve"> and </w:t>
      </w:r>
      <w:r w:rsidRPr="004C0645">
        <w:t xml:space="preserve">if IFX and VDZ will also be replaced in clinical practice they </w:t>
      </w:r>
      <w:r w:rsidR="00364EF7">
        <w:t>sh</w:t>
      </w:r>
      <w:r w:rsidRPr="004C0645">
        <w:t>ould be considered relevant comparators.</w:t>
      </w:r>
    </w:p>
    <w:p w:rsidR="00727CAA" w:rsidRDefault="00727CAA" w:rsidP="00727CAA">
      <w:pPr>
        <w:rPr>
          <w:szCs w:val="22"/>
        </w:rPr>
      </w:pPr>
    </w:p>
    <w:p w:rsidR="00B35260" w:rsidRPr="0005234D" w:rsidRDefault="00B35260" w:rsidP="00B35260">
      <w:pPr>
        <w:ind w:firstLine="720"/>
        <w:rPr>
          <w:bCs/>
          <w:szCs w:val="22"/>
        </w:rPr>
      </w:pPr>
      <w:r w:rsidRPr="00F74C35">
        <w:rPr>
          <w:bCs/>
          <w:i/>
          <w:szCs w:val="22"/>
        </w:rPr>
        <w:t>For more detail on PBAC’s view, see section 7 “PBAC outcome”</w:t>
      </w:r>
    </w:p>
    <w:p w:rsidR="00B35260" w:rsidRDefault="00B35260" w:rsidP="00727CAA">
      <w:pPr>
        <w:rPr>
          <w:szCs w:val="22"/>
        </w:rPr>
      </w:pPr>
    </w:p>
    <w:p w:rsidR="00C51274" w:rsidRPr="00414040" w:rsidRDefault="00C51274" w:rsidP="00727CAA">
      <w:pPr>
        <w:rPr>
          <w:szCs w:val="22"/>
        </w:rPr>
      </w:pPr>
    </w:p>
    <w:p w:rsidR="00727CAA" w:rsidRPr="00414040" w:rsidRDefault="00727CAA" w:rsidP="00727CAA">
      <w:pPr>
        <w:pStyle w:val="PBACHeading1"/>
      </w:pPr>
      <w:bookmarkStart w:id="12" w:name="_Toc472503702"/>
      <w:r w:rsidRPr="00414040">
        <w:t>Consideration of the evidence</w:t>
      </w:r>
      <w:bookmarkEnd w:id="12"/>
    </w:p>
    <w:p w:rsidR="00727CAA" w:rsidRDefault="00727CAA" w:rsidP="00727CAA"/>
    <w:p w:rsidR="0088446E" w:rsidRPr="00364EF7" w:rsidRDefault="0088446E" w:rsidP="0088446E">
      <w:pPr>
        <w:rPr>
          <w:b/>
          <w:bCs/>
          <w:i/>
          <w:szCs w:val="22"/>
        </w:rPr>
      </w:pPr>
      <w:r w:rsidRPr="00364EF7">
        <w:rPr>
          <w:b/>
          <w:bCs/>
          <w:i/>
          <w:szCs w:val="22"/>
        </w:rPr>
        <w:t>Sponsor hearing</w:t>
      </w:r>
    </w:p>
    <w:p w:rsidR="0088446E" w:rsidRPr="00364EF7" w:rsidRDefault="0088446E" w:rsidP="0088446E">
      <w:pPr>
        <w:rPr>
          <w:bCs/>
          <w:szCs w:val="22"/>
        </w:rPr>
      </w:pPr>
    </w:p>
    <w:p w:rsidR="0088446E" w:rsidRPr="00364EF7" w:rsidRDefault="0088446E" w:rsidP="00506A87">
      <w:pPr>
        <w:widowControl/>
        <w:numPr>
          <w:ilvl w:val="1"/>
          <w:numId w:val="1"/>
        </w:numPr>
        <w:jc w:val="left"/>
        <w:rPr>
          <w:bCs/>
          <w:szCs w:val="22"/>
        </w:rPr>
      </w:pPr>
      <w:r w:rsidRPr="00364EF7">
        <w:rPr>
          <w:bCs/>
          <w:szCs w:val="22"/>
        </w:rPr>
        <w:t>There was no hearing for this item.</w:t>
      </w:r>
    </w:p>
    <w:p w:rsidR="0088446E" w:rsidRPr="00364EF7" w:rsidRDefault="0088446E" w:rsidP="0088446E">
      <w:pPr>
        <w:rPr>
          <w:bCs/>
          <w:szCs w:val="22"/>
        </w:rPr>
      </w:pPr>
    </w:p>
    <w:p w:rsidR="0088446E" w:rsidRPr="00364EF7" w:rsidRDefault="0088446E" w:rsidP="0088446E">
      <w:pPr>
        <w:rPr>
          <w:bCs/>
          <w:szCs w:val="22"/>
        </w:rPr>
      </w:pPr>
    </w:p>
    <w:p w:rsidR="0088446E" w:rsidRPr="00364EF7" w:rsidRDefault="0088446E" w:rsidP="009C4E5F">
      <w:pPr>
        <w:keepNext/>
        <w:rPr>
          <w:b/>
          <w:bCs/>
          <w:i/>
          <w:szCs w:val="22"/>
        </w:rPr>
      </w:pPr>
      <w:r w:rsidRPr="00364EF7">
        <w:rPr>
          <w:b/>
          <w:bCs/>
          <w:i/>
          <w:szCs w:val="22"/>
        </w:rPr>
        <w:t>Consumer comments</w:t>
      </w:r>
    </w:p>
    <w:p w:rsidR="0088446E" w:rsidRPr="00364EF7" w:rsidRDefault="0088446E" w:rsidP="009C4E5F">
      <w:pPr>
        <w:keepNext/>
        <w:rPr>
          <w:b/>
          <w:bCs/>
          <w:szCs w:val="22"/>
        </w:rPr>
      </w:pPr>
    </w:p>
    <w:p w:rsidR="0088446E" w:rsidRPr="00364EF7" w:rsidRDefault="0088446E" w:rsidP="00506A87">
      <w:pPr>
        <w:widowControl/>
        <w:numPr>
          <w:ilvl w:val="1"/>
          <w:numId w:val="1"/>
        </w:numPr>
        <w:jc w:val="left"/>
        <w:rPr>
          <w:bCs/>
          <w:szCs w:val="22"/>
        </w:rPr>
      </w:pPr>
      <w:r w:rsidRPr="00364EF7">
        <w:rPr>
          <w:bCs/>
          <w:szCs w:val="22"/>
        </w:rPr>
        <w:t>The PBAC noted and welcomed the input from individuals (</w:t>
      </w:r>
      <w:r w:rsidR="008C4B55" w:rsidRPr="00364EF7">
        <w:rPr>
          <w:bCs/>
          <w:szCs w:val="22"/>
        </w:rPr>
        <w:t>41</w:t>
      </w:r>
      <w:r w:rsidRPr="00364EF7">
        <w:rPr>
          <w:bCs/>
          <w:szCs w:val="22"/>
        </w:rPr>
        <w:t>), health care professionals (1</w:t>
      </w:r>
      <w:r w:rsidR="008C4B55" w:rsidRPr="00364EF7">
        <w:rPr>
          <w:bCs/>
          <w:szCs w:val="22"/>
        </w:rPr>
        <w:t>9</w:t>
      </w:r>
      <w:r w:rsidRPr="00364EF7">
        <w:rPr>
          <w:bCs/>
          <w:szCs w:val="22"/>
        </w:rPr>
        <w:t>) and organisations (</w:t>
      </w:r>
      <w:r w:rsidR="008C4B55" w:rsidRPr="00364EF7">
        <w:rPr>
          <w:bCs/>
          <w:szCs w:val="22"/>
        </w:rPr>
        <w:t>2</w:t>
      </w:r>
      <w:r w:rsidRPr="00364EF7">
        <w:rPr>
          <w:bCs/>
          <w:szCs w:val="22"/>
        </w:rPr>
        <w:t>) via the Consumer Comment</w:t>
      </w:r>
      <w:r w:rsidR="00093CF0">
        <w:rPr>
          <w:bCs/>
          <w:szCs w:val="22"/>
        </w:rPr>
        <w:t xml:space="preserve">s facility on the PBS website. </w:t>
      </w:r>
      <w:r w:rsidRPr="00364EF7">
        <w:rPr>
          <w:bCs/>
          <w:szCs w:val="22"/>
        </w:rPr>
        <w:t xml:space="preserve">The comments described </w:t>
      </w:r>
      <w:r w:rsidR="00F9794B" w:rsidRPr="00364EF7">
        <w:rPr>
          <w:bCs/>
          <w:szCs w:val="22"/>
        </w:rPr>
        <w:t>the need for new treatment options for patients with Crohn’s disease and a range of benefits including improvement of symptoms</w:t>
      </w:r>
      <w:r w:rsidR="00364EF7">
        <w:rPr>
          <w:bCs/>
          <w:szCs w:val="22"/>
        </w:rPr>
        <w:t xml:space="preserve"> and convenience of a subcutaneous injection</w:t>
      </w:r>
      <w:r w:rsidR="00F9794B" w:rsidRPr="00364EF7">
        <w:rPr>
          <w:bCs/>
          <w:szCs w:val="22"/>
        </w:rPr>
        <w:t>.</w:t>
      </w:r>
    </w:p>
    <w:p w:rsidR="0088446E" w:rsidRPr="00364EF7" w:rsidRDefault="0088446E" w:rsidP="0088446E">
      <w:pPr>
        <w:rPr>
          <w:bCs/>
          <w:szCs w:val="22"/>
        </w:rPr>
      </w:pPr>
    </w:p>
    <w:p w:rsidR="0088446E" w:rsidRPr="00414040" w:rsidRDefault="0088446E" w:rsidP="00727CAA"/>
    <w:p w:rsidR="00727CAA" w:rsidRPr="00271D5B" w:rsidRDefault="00727CAA" w:rsidP="00271D5B">
      <w:pPr>
        <w:rPr>
          <w:b/>
          <w:i/>
        </w:rPr>
      </w:pPr>
      <w:r w:rsidRPr="00271D5B">
        <w:rPr>
          <w:b/>
          <w:i/>
        </w:rPr>
        <w:t>Clinical trials</w:t>
      </w:r>
    </w:p>
    <w:p w:rsidR="00727CAA" w:rsidRDefault="00727CAA" w:rsidP="00727CAA">
      <w:pPr>
        <w:rPr>
          <w:szCs w:val="22"/>
        </w:rPr>
      </w:pPr>
    </w:p>
    <w:p w:rsidR="00727CAA" w:rsidRPr="00414040" w:rsidRDefault="00727CAA" w:rsidP="00506A87">
      <w:pPr>
        <w:pStyle w:val="ListParagraph"/>
        <w:widowControl/>
        <w:numPr>
          <w:ilvl w:val="1"/>
          <w:numId w:val="1"/>
        </w:numPr>
        <w:rPr>
          <w:szCs w:val="22"/>
        </w:rPr>
      </w:pPr>
      <w:r>
        <w:rPr>
          <w:snapToGrid/>
        </w:rPr>
        <w:t xml:space="preserve">For </w:t>
      </w:r>
      <w:r w:rsidRPr="00304710">
        <w:rPr>
          <w:snapToGrid/>
          <w:u w:val="single"/>
        </w:rPr>
        <w:t>severe CD</w:t>
      </w:r>
      <w:r>
        <w:rPr>
          <w:snapToGrid/>
        </w:rPr>
        <w:t>, t</w:t>
      </w:r>
      <w:r w:rsidRPr="00414040">
        <w:rPr>
          <w:snapToGrid/>
        </w:rPr>
        <w:t>he submission was based on:</w:t>
      </w:r>
    </w:p>
    <w:p w:rsidR="00727CAA" w:rsidRPr="00414040" w:rsidRDefault="00727CAA" w:rsidP="00506A87">
      <w:pPr>
        <w:numPr>
          <w:ilvl w:val="0"/>
          <w:numId w:val="3"/>
        </w:numPr>
        <w:snapToGrid w:val="0"/>
        <w:ind w:left="1134"/>
        <w:contextualSpacing/>
        <w:rPr>
          <w:snapToGrid/>
        </w:rPr>
      </w:pPr>
      <w:r w:rsidRPr="00414040">
        <w:rPr>
          <w:snapToGrid/>
        </w:rPr>
        <w:t xml:space="preserve">Three head-to-head trials comparing </w:t>
      </w:r>
      <w:r w:rsidR="009F102A" w:rsidRPr="009F102A">
        <w:rPr>
          <w:snapToGrid/>
        </w:rPr>
        <w:t>UST</w:t>
      </w:r>
      <w:r w:rsidRPr="00414040">
        <w:rPr>
          <w:snapToGrid/>
        </w:rPr>
        <w:t xml:space="preserve"> to placebo: UNITI-1 and UNITI-2 (induction trials), and IM-UNITI (maintenance trial)</w:t>
      </w:r>
    </w:p>
    <w:p w:rsidR="00727CAA" w:rsidRPr="00304710" w:rsidRDefault="00727CAA" w:rsidP="00506A87">
      <w:pPr>
        <w:pStyle w:val="ListParagraph"/>
        <w:widowControl/>
        <w:numPr>
          <w:ilvl w:val="0"/>
          <w:numId w:val="3"/>
        </w:numPr>
        <w:snapToGrid w:val="0"/>
        <w:ind w:left="1134"/>
        <w:rPr>
          <w:szCs w:val="22"/>
        </w:rPr>
      </w:pPr>
      <w:r w:rsidRPr="00414040">
        <w:t xml:space="preserve">An indirect comparison to </w:t>
      </w:r>
      <w:r w:rsidR="0029256D">
        <w:t>ADA</w:t>
      </w:r>
      <w:r w:rsidRPr="00414040">
        <w:t xml:space="preserve">, based on five head-to-head trials comparing </w:t>
      </w:r>
      <w:r w:rsidR="0029256D">
        <w:t>ADA</w:t>
      </w:r>
      <w:r w:rsidRPr="00414040">
        <w:t xml:space="preserve"> to placebo: </w:t>
      </w:r>
      <w:r w:rsidRPr="00414040">
        <w:rPr>
          <w:snapToGrid/>
        </w:rPr>
        <w:t>CLASSIC I, and GAIN for induction therapy</w:t>
      </w:r>
      <w:r>
        <w:rPr>
          <w:snapToGrid/>
        </w:rPr>
        <w:t xml:space="preserve">, </w:t>
      </w:r>
      <w:r w:rsidRPr="00414040">
        <w:rPr>
          <w:snapToGrid/>
        </w:rPr>
        <w:t>CLASSIC II and CHARM for maintenance therapy and Watanabe 2012 for both induction and maintenance therapies</w:t>
      </w:r>
      <w:r>
        <w:rPr>
          <w:snapToGrid/>
        </w:rPr>
        <w:t>.</w:t>
      </w:r>
    </w:p>
    <w:p w:rsidR="00727CAA" w:rsidRPr="000915D3" w:rsidRDefault="00727CAA" w:rsidP="00727CAA">
      <w:pPr>
        <w:pStyle w:val="ListParagraph"/>
        <w:widowControl/>
        <w:snapToGrid w:val="0"/>
        <w:ind w:left="1134"/>
        <w:rPr>
          <w:szCs w:val="22"/>
        </w:rPr>
      </w:pPr>
    </w:p>
    <w:p w:rsidR="00727CAA" w:rsidRPr="00C51274" w:rsidRDefault="00E90EA1" w:rsidP="00506A87">
      <w:pPr>
        <w:pStyle w:val="ListParagraph"/>
        <w:widowControl/>
        <w:numPr>
          <w:ilvl w:val="1"/>
          <w:numId w:val="1"/>
        </w:numPr>
        <w:rPr>
          <w:szCs w:val="22"/>
        </w:rPr>
      </w:pPr>
      <w:r w:rsidRPr="00C51274">
        <w:rPr>
          <w:szCs w:val="22"/>
        </w:rPr>
        <w:t>R</w:t>
      </w:r>
      <w:r w:rsidR="00727CAA" w:rsidRPr="00C51274">
        <w:rPr>
          <w:szCs w:val="22"/>
        </w:rPr>
        <w:t xml:space="preserve">elevant trials for </w:t>
      </w:r>
      <w:r w:rsidR="009F102A" w:rsidRPr="00C51274">
        <w:rPr>
          <w:szCs w:val="22"/>
        </w:rPr>
        <w:t>IFX</w:t>
      </w:r>
      <w:r w:rsidR="00727CAA" w:rsidRPr="00C51274">
        <w:rPr>
          <w:szCs w:val="22"/>
        </w:rPr>
        <w:t xml:space="preserve"> and </w:t>
      </w:r>
      <w:r w:rsidR="0029256D" w:rsidRPr="00C51274">
        <w:rPr>
          <w:szCs w:val="22"/>
        </w:rPr>
        <w:t>VDZ</w:t>
      </w:r>
      <w:r w:rsidR="00727CAA" w:rsidRPr="00C51274">
        <w:rPr>
          <w:szCs w:val="22"/>
        </w:rPr>
        <w:t xml:space="preserve"> were also extracted for indirect comparisons versus </w:t>
      </w:r>
      <w:r w:rsidR="009F102A" w:rsidRPr="00C51274">
        <w:rPr>
          <w:szCs w:val="22"/>
        </w:rPr>
        <w:t>UST</w:t>
      </w:r>
      <w:r w:rsidR="00727CAA" w:rsidRPr="00C51274">
        <w:rPr>
          <w:szCs w:val="22"/>
        </w:rPr>
        <w:t xml:space="preserve"> during the evaluation, including:</w:t>
      </w:r>
    </w:p>
    <w:p w:rsidR="00727CAA" w:rsidRPr="00C51274" w:rsidRDefault="00727CAA" w:rsidP="00506A87">
      <w:pPr>
        <w:pStyle w:val="ListParagraph"/>
        <w:widowControl/>
        <w:numPr>
          <w:ilvl w:val="0"/>
          <w:numId w:val="3"/>
        </w:numPr>
        <w:snapToGrid w:val="0"/>
        <w:ind w:left="1134"/>
        <w:rPr>
          <w:szCs w:val="22"/>
        </w:rPr>
      </w:pPr>
      <w:r w:rsidRPr="00C51274">
        <w:rPr>
          <w:szCs w:val="22"/>
        </w:rPr>
        <w:t xml:space="preserve">Two RCTs comparing </w:t>
      </w:r>
      <w:r w:rsidR="009F102A" w:rsidRPr="00C51274">
        <w:rPr>
          <w:szCs w:val="22"/>
        </w:rPr>
        <w:t>IFX</w:t>
      </w:r>
      <w:r w:rsidRPr="00C51274">
        <w:rPr>
          <w:szCs w:val="22"/>
        </w:rPr>
        <w:t xml:space="preserve"> to placebo: T16 for induction therapy and ACCENT I for maintenance therapy.</w:t>
      </w:r>
    </w:p>
    <w:p w:rsidR="00727CAA" w:rsidRPr="00C51274" w:rsidRDefault="00727CAA" w:rsidP="00506A87">
      <w:pPr>
        <w:pStyle w:val="ListParagraph"/>
        <w:widowControl/>
        <w:numPr>
          <w:ilvl w:val="0"/>
          <w:numId w:val="3"/>
        </w:numPr>
        <w:snapToGrid w:val="0"/>
        <w:ind w:left="1134"/>
        <w:rPr>
          <w:szCs w:val="22"/>
        </w:rPr>
      </w:pPr>
      <w:r w:rsidRPr="00C51274">
        <w:rPr>
          <w:szCs w:val="22"/>
        </w:rPr>
        <w:t xml:space="preserve">Two RCTs comparing </w:t>
      </w:r>
      <w:r w:rsidR="0029256D" w:rsidRPr="00C51274">
        <w:rPr>
          <w:szCs w:val="22"/>
        </w:rPr>
        <w:t>VDZ</w:t>
      </w:r>
      <w:r w:rsidRPr="00C51274">
        <w:rPr>
          <w:szCs w:val="22"/>
        </w:rPr>
        <w:t xml:space="preserve"> to placebo: GEMINI II for induction and maintenance therapies and GEMINI III for induction therapy.</w:t>
      </w:r>
    </w:p>
    <w:p w:rsidR="00E90EA1" w:rsidRPr="00C51274" w:rsidRDefault="00E90EA1" w:rsidP="00E90EA1">
      <w:pPr>
        <w:pStyle w:val="ListParagraph"/>
        <w:widowControl/>
        <w:snapToGrid w:val="0"/>
        <w:ind w:left="1134"/>
        <w:rPr>
          <w:szCs w:val="22"/>
        </w:rPr>
      </w:pPr>
    </w:p>
    <w:p w:rsidR="00727CAA" w:rsidRPr="00C51274" w:rsidRDefault="00727CAA" w:rsidP="00506A87">
      <w:pPr>
        <w:pStyle w:val="ListParagraph"/>
        <w:widowControl/>
        <w:numPr>
          <w:ilvl w:val="1"/>
          <w:numId w:val="1"/>
        </w:numPr>
        <w:rPr>
          <w:iCs/>
        </w:rPr>
      </w:pPr>
      <w:r w:rsidRPr="00C51274">
        <w:rPr>
          <w:iCs/>
        </w:rPr>
        <w:t xml:space="preserve">The results of all comparator trials have previously been considered by the PBAC, most recently in the March 2015 submission for </w:t>
      </w:r>
      <w:r w:rsidR="0029256D" w:rsidRPr="00C51274">
        <w:rPr>
          <w:iCs/>
        </w:rPr>
        <w:t>VDZ</w:t>
      </w:r>
      <w:r w:rsidRPr="00C51274">
        <w:rPr>
          <w:iCs/>
        </w:rPr>
        <w:t>.</w:t>
      </w:r>
    </w:p>
    <w:p w:rsidR="00727CAA" w:rsidRPr="00C51274" w:rsidRDefault="00727CAA" w:rsidP="00727CAA">
      <w:pPr>
        <w:pStyle w:val="ListParagraph"/>
        <w:widowControl/>
        <w:tabs>
          <w:tab w:val="left" w:pos="284"/>
        </w:tabs>
        <w:rPr>
          <w:iCs/>
        </w:rPr>
      </w:pPr>
    </w:p>
    <w:p w:rsidR="00D45BAC" w:rsidRPr="00C51274" w:rsidRDefault="00727CAA" w:rsidP="00506A87">
      <w:pPr>
        <w:pStyle w:val="ListParagraph"/>
        <w:widowControl/>
        <w:numPr>
          <w:ilvl w:val="1"/>
          <w:numId w:val="1"/>
        </w:numPr>
      </w:pPr>
      <w:r w:rsidRPr="00C51274">
        <w:rPr>
          <w:snapToGrid/>
        </w:rPr>
        <w:t xml:space="preserve">For </w:t>
      </w:r>
      <w:r w:rsidRPr="00C51274">
        <w:rPr>
          <w:snapToGrid/>
          <w:u w:val="single"/>
        </w:rPr>
        <w:t>fistulising CD</w:t>
      </w:r>
      <w:r w:rsidRPr="00C51274">
        <w:rPr>
          <w:snapToGrid/>
        </w:rPr>
        <w:t xml:space="preserve">, </w:t>
      </w:r>
      <w:r w:rsidR="009A1AC5" w:rsidRPr="00C51274">
        <w:rPr>
          <w:iCs/>
        </w:rPr>
        <w:t>f</w:t>
      </w:r>
      <w:r w:rsidRPr="00C51274">
        <w:rPr>
          <w:iCs/>
        </w:rPr>
        <w:t xml:space="preserve">istula response (defined as ≥50% reduction in draining fistulas) </w:t>
      </w:r>
      <w:r w:rsidR="00E90EA1" w:rsidRPr="00C51274">
        <w:rPr>
          <w:iCs/>
        </w:rPr>
        <w:t xml:space="preserve">was reported in UNITI 1, 2 and IM-UNITI trials </w:t>
      </w:r>
      <w:r w:rsidR="00093CF0">
        <w:rPr>
          <w:iCs/>
        </w:rPr>
        <w:t xml:space="preserve">as a secondary outcome. </w:t>
      </w:r>
      <w:r w:rsidR="00B535D1" w:rsidRPr="00C51274">
        <w:t xml:space="preserve">An indirect comparison with </w:t>
      </w:r>
      <w:r w:rsidR="0029256D" w:rsidRPr="00C51274">
        <w:t>ADA</w:t>
      </w:r>
      <w:r w:rsidR="00B535D1" w:rsidRPr="00C51274">
        <w:t xml:space="preserve"> was not conducted as outcome definitions differed across the </w:t>
      </w:r>
      <w:r w:rsidR="009F102A" w:rsidRPr="00C51274">
        <w:t>UST</w:t>
      </w:r>
      <w:r w:rsidR="00B535D1" w:rsidRPr="00C51274">
        <w:t xml:space="preserve"> and </w:t>
      </w:r>
      <w:r w:rsidR="0029256D" w:rsidRPr="00C51274">
        <w:t>ADA</w:t>
      </w:r>
      <w:r w:rsidR="00B535D1" w:rsidRPr="00C51274">
        <w:t xml:space="preserve"> trials.</w:t>
      </w:r>
    </w:p>
    <w:p w:rsidR="00D45BAC" w:rsidRPr="00C51274" w:rsidRDefault="00D45BAC" w:rsidP="00B535D1">
      <w:pPr>
        <w:pStyle w:val="ListParagraph"/>
        <w:widowControl/>
      </w:pPr>
    </w:p>
    <w:p w:rsidR="00727CAA" w:rsidRPr="00C51274" w:rsidRDefault="00D45BAC" w:rsidP="00506A87">
      <w:pPr>
        <w:pStyle w:val="ListParagraph"/>
        <w:widowControl/>
        <w:numPr>
          <w:ilvl w:val="1"/>
          <w:numId w:val="1"/>
        </w:numPr>
        <w:rPr>
          <w:iCs/>
        </w:rPr>
      </w:pPr>
      <w:r w:rsidRPr="00C51274">
        <w:t>F</w:t>
      </w:r>
      <w:r w:rsidR="00727CAA" w:rsidRPr="00C51274">
        <w:rPr>
          <w:iCs/>
        </w:rPr>
        <w:t>istula response (defined as ≥50% reduction in draining fistulas at consecutive visits) and fistula remission (defined as complete closing of fistulas) were reported as secondary outcomes in GAIN and CLASSIC I (for induction) and CHARM (for maintenance).</w:t>
      </w:r>
    </w:p>
    <w:p w:rsidR="00727CAA" w:rsidRPr="00C51274" w:rsidRDefault="00727CAA" w:rsidP="00727CAA">
      <w:pPr>
        <w:pStyle w:val="ListParagraph"/>
        <w:widowControl/>
        <w:tabs>
          <w:tab w:val="left" w:pos="284"/>
        </w:tabs>
        <w:rPr>
          <w:iCs/>
        </w:rPr>
      </w:pPr>
    </w:p>
    <w:p w:rsidR="00727CAA" w:rsidRPr="00C51274" w:rsidRDefault="00727CAA" w:rsidP="00506A87">
      <w:pPr>
        <w:pStyle w:val="ListParagraph"/>
        <w:widowControl/>
        <w:numPr>
          <w:ilvl w:val="1"/>
          <w:numId w:val="1"/>
        </w:numPr>
        <w:rPr>
          <w:iCs/>
        </w:rPr>
      </w:pPr>
      <w:r w:rsidRPr="00C51274">
        <w:rPr>
          <w:iCs/>
        </w:rPr>
        <w:t xml:space="preserve">As </w:t>
      </w:r>
      <w:r w:rsidR="009F102A" w:rsidRPr="00C51274">
        <w:rPr>
          <w:iCs/>
        </w:rPr>
        <w:t>IFX</w:t>
      </w:r>
      <w:r w:rsidRPr="00C51274">
        <w:rPr>
          <w:iCs/>
        </w:rPr>
        <w:t xml:space="preserve"> is also listed on the PBS for fistulising CD and is the only biologic agent </w:t>
      </w:r>
      <w:r w:rsidR="0088374D">
        <w:rPr>
          <w:iCs/>
        </w:rPr>
        <w:t>that</w:t>
      </w:r>
      <w:r w:rsidR="0088374D" w:rsidRPr="00C51274">
        <w:rPr>
          <w:iCs/>
        </w:rPr>
        <w:t xml:space="preserve"> </w:t>
      </w:r>
      <w:r w:rsidRPr="00C51274">
        <w:rPr>
          <w:iCs/>
        </w:rPr>
        <w:t>is s</w:t>
      </w:r>
      <w:r w:rsidR="00E90EA1" w:rsidRPr="00C51274">
        <w:rPr>
          <w:iCs/>
        </w:rPr>
        <w:t>pecifically indicated for this population</w:t>
      </w:r>
      <w:r w:rsidRPr="00C51274">
        <w:rPr>
          <w:iCs/>
        </w:rPr>
        <w:t xml:space="preserve">, results for fistula response for </w:t>
      </w:r>
      <w:r w:rsidR="009F102A" w:rsidRPr="00C51274">
        <w:rPr>
          <w:iCs/>
        </w:rPr>
        <w:t>IFX</w:t>
      </w:r>
      <w:r w:rsidRPr="00C51274">
        <w:rPr>
          <w:iCs/>
        </w:rPr>
        <w:t xml:space="preserve"> were also identified and e</w:t>
      </w:r>
      <w:r w:rsidR="00093CF0">
        <w:rPr>
          <w:iCs/>
        </w:rPr>
        <w:t>xtracted during the evaluation.</w:t>
      </w:r>
      <w:r w:rsidRPr="00C51274">
        <w:rPr>
          <w:iCs/>
        </w:rPr>
        <w:t xml:space="preserve"> Two trials reported results for </w:t>
      </w:r>
      <w:r w:rsidR="009F102A" w:rsidRPr="00C51274">
        <w:rPr>
          <w:iCs/>
        </w:rPr>
        <w:t>IFX</w:t>
      </w:r>
      <w:r w:rsidRPr="00C51274">
        <w:rPr>
          <w:iCs/>
        </w:rPr>
        <w:t xml:space="preserve"> in fistula remission and response (T20 for induction and ACCENT II for maintenance).</w:t>
      </w:r>
      <w:r w:rsidR="00B535D1" w:rsidRPr="00C51274">
        <w:rPr>
          <w:iCs/>
        </w:rPr>
        <w:t xml:space="preserve">  </w:t>
      </w:r>
      <w:r w:rsidR="00D45BAC" w:rsidRPr="00C51274">
        <w:rPr>
          <w:iCs/>
        </w:rPr>
        <w:t>However</w:t>
      </w:r>
      <w:r w:rsidR="00B535D1" w:rsidRPr="00C51274">
        <w:rPr>
          <w:iCs/>
        </w:rPr>
        <w:t xml:space="preserve"> </w:t>
      </w:r>
      <w:r w:rsidR="00D45BAC" w:rsidRPr="00C51274">
        <w:rPr>
          <w:iCs/>
        </w:rPr>
        <w:t xml:space="preserve">outcome definitions similarly differed across the </w:t>
      </w:r>
      <w:r w:rsidR="009F102A" w:rsidRPr="00C51274">
        <w:rPr>
          <w:iCs/>
        </w:rPr>
        <w:t>UST</w:t>
      </w:r>
      <w:r w:rsidR="00D45BAC" w:rsidRPr="00C51274">
        <w:rPr>
          <w:iCs/>
        </w:rPr>
        <w:t xml:space="preserve"> and </w:t>
      </w:r>
      <w:r w:rsidR="009F102A" w:rsidRPr="00C51274">
        <w:rPr>
          <w:iCs/>
        </w:rPr>
        <w:t>IFX</w:t>
      </w:r>
      <w:r w:rsidR="00D45BAC" w:rsidRPr="00C51274">
        <w:rPr>
          <w:iCs/>
        </w:rPr>
        <w:t xml:space="preserve"> trials and therefore </w:t>
      </w:r>
      <w:r w:rsidR="00B535D1" w:rsidRPr="00C51274">
        <w:rPr>
          <w:iCs/>
        </w:rPr>
        <w:t xml:space="preserve">indirect comparison </w:t>
      </w:r>
      <w:r w:rsidR="00D45BAC" w:rsidRPr="00C51274">
        <w:rPr>
          <w:iCs/>
        </w:rPr>
        <w:t>was not</w:t>
      </w:r>
      <w:r w:rsidR="00B535D1" w:rsidRPr="00C51274">
        <w:rPr>
          <w:iCs/>
        </w:rPr>
        <w:t xml:space="preserve"> conducted.</w:t>
      </w:r>
    </w:p>
    <w:p w:rsidR="00727CAA" w:rsidRPr="00C51274" w:rsidRDefault="00727CAA" w:rsidP="00727CAA">
      <w:pPr>
        <w:widowControl/>
        <w:snapToGrid w:val="0"/>
        <w:rPr>
          <w:szCs w:val="22"/>
        </w:rPr>
      </w:pPr>
    </w:p>
    <w:p w:rsidR="00727CAA" w:rsidRPr="00C51274" w:rsidRDefault="00727CAA" w:rsidP="00506A87">
      <w:pPr>
        <w:pStyle w:val="ListParagraph"/>
        <w:widowControl/>
        <w:numPr>
          <w:ilvl w:val="1"/>
          <w:numId w:val="1"/>
        </w:numPr>
        <w:rPr>
          <w:szCs w:val="22"/>
        </w:rPr>
      </w:pPr>
      <w:r w:rsidRPr="00C51274">
        <w:rPr>
          <w:szCs w:val="22"/>
        </w:rPr>
        <w:t>Details of the trials presented in the submission (and further trials sourced during the evaluation) for both severe and fistulising CD are provided in Table 1.</w:t>
      </w:r>
    </w:p>
    <w:p w:rsidR="00727CAA" w:rsidRPr="00E25640" w:rsidRDefault="00727CAA" w:rsidP="00727CAA">
      <w:pPr>
        <w:pStyle w:val="ListParagraph"/>
        <w:widowControl/>
        <w:rPr>
          <w:szCs w:val="22"/>
        </w:rPr>
      </w:pPr>
    </w:p>
    <w:p w:rsidR="00727CAA" w:rsidRPr="00913156" w:rsidRDefault="00727CAA" w:rsidP="009C4E5F">
      <w:pPr>
        <w:keepNext/>
        <w:ind w:left="709" w:firstLine="11"/>
        <w:rPr>
          <w:rStyle w:val="CommentReference"/>
        </w:rPr>
      </w:pPr>
      <w:r w:rsidRPr="00414040">
        <w:rPr>
          <w:rStyle w:val="CommentReference"/>
        </w:rPr>
        <w:t xml:space="preserve">Table 1: Trials and associated reports </w:t>
      </w:r>
      <w:r>
        <w:rPr>
          <w:rStyle w:val="CommentReference"/>
        </w:rPr>
        <w:t xml:space="preserve">in the </w:t>
      </w:r>
      <w:r w:rsidRPr="00913156">
        <w:rPr>
          <w:rStyle w:val="CommentReference"/>
        </w:rPr>
        <w:t>submission (plus additional trials sourced during the evaluation)</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4"/>
        <w:gridCol w:w="5860"/>
        <w:gridCol w:w="1570"/>
      </w:tblGrid>
      <w:tr w:rsidR="00C04006" w:rsidRPr="007C3118" w:rsidTr="00C7132E">
        <w:trPr>
          <w:tblHeader/>
        </w:trPr>
        <w:tc>
          <w:tcPr>
            <w:tcW w:w="590" w:type="pct"/>
            <w:vAlign w:val="center"/>
          </w:tcPr>
          <w:p w:rsidR="00C04006" w:rsidRPr="007C3118" w:rsidRDefault="00C04006" w:rsidP="00FF6656">
            <w:pPr>
              <w:snapToGrid w:val="0"/>
              <w:jc w:val="left"/>
              <w:rPr>
                <w:rFonts w:ascii="Arial Narrow" w:hAnsi="Arial Narrow"/>
                <w:b/>
                <w:bCs/>
                <w:sz w:val="20"/>
                <w:lang w:eastAsia="en-AU"/>
              </w:rPr>
            </w:pPr>
            <w:r w:rsidRPr="007C3118">
              <w:rPr>
                <w:rFonts w:ascii="Arial Narrow" w:hAnsi="Arial Narrow"/>
                <w:b/>
                <w:bCs/>
                <w:sz w:val="20"/>
                <w:lang w:eastAsia="en-AU"/>
              </w:rPr>
              <w:t>Trial ID/First Author</w:t>
            </w:r>
          </w:p>
        </w:tc>
        <w:tc>
          <w:tcPr>
            <w:tcW w:w="3478" w:type="pct"/>
            <w:vAlign w:val="center"/>
          </w:tcPr>
          <w:p w:rsidR="00C04006" w:rsidRPr="007C3118" w:rsidRDefault="00C04006" w:rsidP="00FF6656">
            <w:pPr>
              <w:snapToGrid w:val="0"/>
              <w:jc w:val="center"/>
              <w:rPr>
                <w:rFonts w:ascii="Arial Narrow" w:hAnsi="Arial Narrow"/>
                <w:b/>
                <w:bCs/>
                <w:sz w:val="20"/>
                <w:lang w:eastAsia="en-AU"/>
              </w:rPr>
            </w:pPr>
            <w:r w:rsidRPr="007C3118">
              <w:rPr>
                <w:rFonts w:ascii="Arial Narrow" w:hAnsi="Arial Narrow"/>
                <w:b/>
                <w:bCs/>
                <w:sz w:val="20"/>
                <w:lang w:eastAsia="en-AU"/>
              </w:rPr>
              <w:t>Protocol title/Publication Title</w:t>
            </w:r>
          </w:p>
        </w:tc>
        <w:tc>
          <w:tcPr>
            <w:tcW w:w="932" w:type="pct"/>
            <w:vAlign w:val="center"/>
          </w:tcPr>
          <w:p w:rsidR="00C04006" w:rsidRPr="007C3118" w:rsidRDefault="00C04006" w:rsidP="00FF6656">
            <w:pPr>
              <w:snapToGrid w:val="0"/>
              <w:jc w:val="center"/>
              <w:rPr>
                <w:rFonts w:ascii="Arial Narrow" w:hAnsi="Arial Narrow"/>
                <w:b/>
                <w:bCs/>
                <w:sz w:val="20"/>
                <w:lang w:eastAsia="en-AU"/>
              </w:rPr>
            </w:pPr>
            <w:r w:rsidRPr="007C3118">
              <w:rPr>
                <w:rFonts w:ascii="Arial Narrow" w:hAnsi="Arial Narrow"/>
                <w:b/>
                <w:bCs/>
                <w:sz w:val="20"/>
                <w:lang w:eastAsia="en-AU"/>
              </w:rPr>
              <w:t>Publication Citation</w:t>
            </w:r>
          </w:p>
        </w:tc>
      </w:tr>
      <w:tr w:rsidR="00C04006" w:rsidRPr="007C3118" w:rsidTr="00C04006">
        <w:tc>
          <w:tcPr>
            <w:tcW w:w="5000" w:type="pct"/>
            <w:gridSpan w:val="3"/>
          </w:tcPr>
          <w:p w:rsidR="00C04006" w:rsidRPr="007C3118" w:rsidRDefault="00C04006" w:rsidP="00FF6656">
            <w:pPr>
              <w:snapToGrid w:val="0"/>
              <w:jc w:val="left"/>
              <w:rPr>
                <w:rFonts w:ascii="Arial Narrow" w:hAnsi="Arial Narrow"/>
                <w:b/>
                <w:sz w:val="20"/>
                <w:lang w:eastAsia="en-AU"/>
              </w:rPr>
            </w:pPr>
            <w:r w:rsidRPr="007C3118">
              <w:rPr>
                <w:rFonts w:ascii="Arial Narrow" w:hAnsi="Arial Narrow"/>
                <w:b/>
                <w:sz w:val="20"/>
                <w:lang w:eastAsia="en-AU"/>
              </w:rPr>
              <w:t>Ustekinumab vs placebo</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UNITI-1</w:t>
            </w:r>
          </w:p>
          <w:p w:rsidR="00C04006" w:rsidRPr="00913156" w:rsidRDefault="00C04006" w:rsidP="00FF6656">
            <w:pPr>
              <w:snapToGrid w:val="0"/>
              <w:jc w:val="left"/>
              <w:rPr>
                <w:rFonts w:ascii="Arial Narrow" w:hAnsi="Arial Narrow"/>
                <w:sz w:val="20"/>
                <w:lang w:eastAsia="en-AU"/>
              </w:rPr>
            </w:pPr>
          </w:p>
        </w:tc>
        <w:tc>
          <w:tcPr>
            <w:tcW w:w="3478"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Clinical Study Report CNTO1275CRD3001. A phase 3, randomized, double-blind, placebo-controlled, parallel-group, multicentre study to evaluate the safety and efficacy of ustekinumab induction therapy in subjects with moderately to severely active Crohn’s disease who have failed or are intole</w:t>
            </w:r>
            <w:r w:rsidR="00093CF0">
              <w:rPr>
                <w:rFonts w:ascii="Arial Narrow" w:hAnsi="Arial Narrow"/>
                <w:sz w:val="20"/>
                <w:lang w:eastAsia="en-AU"/>
              </w:rPr>
              <w:t>rant to TNF antagonist therapy.</w:t>
            </w:r>
          </w:p>
        </w:tc>
        <w:tc>
          <w:tcPr>
            <w:tcW w:w="932"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17 Sept 2015.</w:t>
            </w:r>
          </w:p>
        </w:tc>
      </w:tr>
      <w:tr w:rsidR="00C04006" w:rsidRPr="007C3118" w:rsidTr="003F3A30">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UNITI-2</w:t>
            </w:r>
          </w:p>
          <w:p w:rsidR="00C04006" w:rsidRPr="00913156" w:rsidRDefault="00C04006" w:rsidP="00FF6656">
            <w:pPr>
              <w:snapToGrid w:val="0"/>
              <w:jc w:val="left"/>
              <w:rPr>
                <w:rFonts w:ascii="Arial Narrow" w:hAnsi="Arial Narrow"/>
                <w:sz w:val="20"/>
                <w:lang w:eastAsia="en-AU"/>
              </w:rPr>
            </w:pPr>
          </w:p>
        </w:tc>
        <w:tc>
          <w:tcPr>
            <w:tcW w:w="3478" w:type="pc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Clinical Study Report CNTO1275CRD3002. A phase 3, randomized, double-blind, placebo-controlled, parallel-group, multicentre study to evaluate the safety and efficacy of ustekinumab induction therapy in subjects with moderately to severely active Crohn’s disease.</w:t>
            </w:r>
          </w:p>
        </w:tc>
        <w:tc>
          <w:tcPr>
            <w:tcW w:w="932" w:type="pc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13 Oct 2015.</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IM-UNITI</w:t>
            </w:r>
          </w:p>
          <w:p w:rsidR="00C04006" w:rsidRPr="00913156" w:rsidRDefault="00C04006" w:rsidP="00FF6656">
            <w:pPr>
              <w:snapToGrid w:val="0"/>
              <w:jc w:val="left"/>
              <w:rPr>
                <w:rFonts w:ascii="Arial Narrow" w:hAnsi="Arial Narrow"/>
                <w:sz w:val="20"/>
                <w:lang w:eastAsia="en-AU"/>
              </w:rPr>
            </w:pPr>
          </w:p>
        </w:tc>
        <w:tc>
          <w:tcPr>
            <w:tcW w:w="3478"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Clinical Study Report CNTO1275CRD3003. A phase 3, randomized, double-blind, placebo-controlled, parallel-group, multicentre study to evaluate the safety and efficacy of ustekinumab maintenance therapy in subjects with moderately to severely active Crohn’s disease.</w:t>
            </w:r>
          </w:p>
        </w:tc>
        <w:tc>
          <w:tcPr>
            <w:tcW w:w="932"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9 Nov 2015.</w:t>
            </w:r>
          </w:p>
        </w:tc>
      </w:tr>
      <w:tr w:rsidR="00C04006" w:rsidRPr="007C3118" w:rsidTr="003F3A30">
        <w:trPr>
          <w:trHeight w:val="1042"/>
        </w:trPr>
        <w:tc>
          <w:tcPr>
            <w:tcW w:w="590" w:type="pct"/>
            <w:vMerge w:val="restar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CERTIFI</w:t>
            </w:r>
          </w:p>
        </w:tc>
        <w:tc>
          <w:tcPr>
            <w:tcW w:w="3478" w:type="pc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Clinical Study Synopsis.  A phase 2b, multicentre, randomized, double blind, placebo-controlled, parallel-group study to evaluate the efficacy and safety of ustekinumab therapy in subjects with moderate to severely active Crohn’s disease previously treated with TN</w:t>
            </w:r>
            <w:r w:rsidR="00093CF0">
              <w:rPr>
                <w:rFonts w:ascii="Arial Narrow" w:hAnsi="Arial Narrow"/>
                <w:sz w:val="20"/>
                <w:lang w:eastAsia="en-AU"/>
              </w:rPr>
              <w:t>F antagonist therapy.</w:t>
            </w:r>
          </w:p>
        </w:tc>
        <w:tc>
          <w:tcPr>
            <w:tcW w:w="932" w:type="pc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25 Oct 2011</w:t>
            </w:r>
          </w:p>
        </w:tc>
      </w:tr>
      <w:tr w:rsidR="00C04006" w:rsidRPr="007C3118" w:rsidTr="003F3A30">
        <w:trPr>
          <w:trHeight w:val="900"/>
        </w:trPr>
        <w:tc>
          <w:tcPr>
            <w:tcW w:w="590" w:type="pct"/>
            <w:vMerge/>
          </w:tcPr>
          <w:p w:rsidR="00C04006" w:rsidRPr="00913156" w:rsidRDefault="00C04006" w:rsidP="00FF6656">
            <w:pPr>
              <w:snapToGrid w:val="0"/>
              <w:jc w:val="left"/>
              <w:rPr>
                <w:rFonts w:ascii="Arial Narrow" w:hAnsi="Arial Narrow"/>
                <w:sz w:val="20"/>
                <w:lang w:eastAsia="en-AU"/>
              </w:rPr>
            </w:pPr>
          </w:p>
        </w:tc>
        <w:tc>
          <w:tcPr>
            <w:tcW w:w="3478" w:type="pct"/>
            <w:tcBorders>
              <w:top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Sanborn, W. J, Gasink, C., Gao, L., Blank, M., Johanns, J., Guzzo, C., Sands, B. E., Hanauer, S. B., Targan, S., Rutgeerts, P., Ghosh, S., de Villiers, W. J., Panaccione, R., Greenberg, G., Schreiber, S., Lichtiger, S., and Feagan, B. G.  Ustekinumab induction and maintenance therapy</w:t>
            </w:r>
            <w:r w:rsidR="00093CF0">
              <w:rPr>
                <w:rFonts w:ascii="Arial Narrow" w:hAnsi="Arial Narrow"/>
                <w:sz w:val="20"/>
                <w:lang w:eastAsia="en-AU"/>
              </w:rPr>
              <w:t xml:space="preserve"> in refractory Crohn’s disease.</w:t>
            </w:r>
            <w:r w:rsidRPr="00913156">
              <w:rPr>
                <w:rFonts w:ascii="Arial Narrow" w:hAnsi="Arial Narrow"/>
                <w:sz w:val="20"/>
                <w:lang w:eastAsia="en-AU"/>
              </w:rPr>
              <w:t xml:space="preserve"> </w:t>
            </w:r>
          </w:p>
        </w:tc>
        <w:tc>
          <w:tcPr>
            <w:tcW w:w="932" w:type="pct"/>
            <w:tcBorders>
              <w:top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The New England Journal of Medicine, 2012; 367 (16): 1519-1528.</w:t>
            </w:r>
          </w:p>
        </w:tc>
      </w:tr>
      <w:tr w:rsidR="00C04006" w:rsidRPr="007C3118" w:rsidTr="00C7132E">
        <w:trPr>
          <w:trHeight w:val="604"/>
        </w:trPr>
        <w:tc>
          <w:tcPr>
            <w:tcW w:w="590" w:type="pct"/>
            <w:vMerge w:val="restar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Sandborn (2008)</w:t>
            </w:r>
          </w:p>
        </w:tc>
        <w:tc>
          <w:tcPr>
            <w:tcW w:w="3478" w:type="pct"/>
            <w:tcBorders>
              <w:bottom w:val="nil"/>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Clinical Study Synopsis.  A multicentre, randomized, Phase 2a study of human monoclonal antibody to IL-12p40 (CNTO 1275) in subjects with moderately to s</w:t>
            </w:r>
            <w:r w:rsidR="00093CF0">
              <w:rPr>
                <w:rFonts w:ascii="Arial Narrow" w:hAnsi="Arial Narrow"/>
                <w:sz w:val="20"/>
                <w:lang w:eastAsia="en-AU"/>
              </w:rPr>
              <w:t>everely active Crohn’s disease.</w:t>
            </w:r>
          </w:p>
        </w:tc>
        <w:tc>
          <w:tcPr>
            <w:tcW w:w="932" w:type="pct"/>
            <w:tcBorders>
              <w:bottom w:val="nil"/>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29 May 2007</w:t>
            </w:r>
          </w:p>
        </w:tc>
      </w:tr>
      <w:tr w:rsidR="00C04006" w:rsidRPr="007C3118" w:rsidTr="00C7132E">
        <w:trPr>
          <w:trHeight w:val="377"/>
        </w:trPr>
        <w:tc>
          <w:tcPr>
            <w:tcW w:w="590" w:type="pct"/>
            <w:vMerge/>
          </w:tcPr>
          <w:p w:rsidR="00C04006" w:rsidRPr="00913156" w:rsidRDefault="00C04006" w:rsidP="00FF6656">
            <w:pPr>
              <w:snapToGrid w:val="0"/>
              <w:jc w:val="left"/>
              <w:rPr>
                <w:rFonts w:ascii="Arial Narrow" w:hAnsi="Arial Narrow"/>
                <w:sz w:val="20"/>
                <w:lang w:eastAsia="en-AU"/>
              </w:rPr>
            </w:pPr>
          </w:p>
        </w:tc>
        <w:tc>
          <w:tcPr>
            <w:tcW w:w="3478" w:type="pct"/>
            <w:tcBorders>
              <w:top w:val="nil"/>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Sanborn, W. J., Feagn B. G., Fedorak, R. N., Scherl, E., Fleischer, M. R., Katz, S., Johanns, J., Blank, M., and Rutgeerts, P. A randomised trial of ustekinumab, a human interleukin-12/23 monoclonal antibody, in patients with moder</w:t>
            </w:r>
            <w:r w:rsidR="00093CF0">
              <w:rPr>
                <w:rFonts w:ascii="Arial Narrow" w:hAnsi="Arial Narrow"/>
                <w:sz w:val="20"/>
                <w:lang w:eastAsia="en-AU"/>
              </w:rPr>
              <w:t>ate-to-severe Crohn’s disease.</w:t>
            </w:r>
          </w:p>
        </w:tc>
        <w:tc>
          <w:tcPr>
            <w:tcW w:w="932" w:type="pct"/>
            <w:tcBorders>
              <w:top w:val="nil"/>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Gastroenterology 2008; 135: 1130-1141.</w:t>
            </w:r>
          </w:p>
        </w:tc>
      </w:tr>
      <w:tr w:rsidR="00C04006" w:rsidRPr="007C3118" w:rsidTr="00C04006">
        <w:tc>
          <w:tcPr>
            <w:tcW w:w="5000" w:type="pct"/>
            <w:gridSpan w:val="3"/>
          </w:tcPr>
          <w:p w:rsidR="00C04006" w:rsidRPr="00913156" w:rsidRDefault="00C04006" w:rsidP="00FF6656">
            <w:pPr>
              <w:snapToGrid w:val="0"/>
              <w:jc w:val="left"/>
              <w:rPr>
                <w:rFonts w:ascii="Arial Narrow" w:hAnsi="Arial Narrow"/>
                <w:b/>
                <w:sz w:val="20"/>
                <w:lang w:eastAsia="en-AU"/>
              </w:rPr>
            </w:pPr>
            <w:r w:rsidRPr="00913156">
              <w:rPr>
                <w:rFonts w:ascii="Arial Narrow" w:hAnsi="Arial Narrow"/>
                <w:b/>
                <w:sz w:val="20"/>
                <w:lang w:eastAsia="en-AU"/>
              </w:rPr>
              <w:t>Adalimumab vs placebo</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cs="Arial Narrow"/>
                <w:sz w:val="20"/>
              </w:rPr>
              <w:t>CLASSIC I</w:t>
            </w:r>
          </w:p>
        </w:tc>
        <w:tc>
          <w:tcPr>
            <w:tcW w:w="3478"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cs="Arial Narrow"/>
                <w:sz w:val="20"/>
              </w:rPr>
              <w:t>Hanauer, S. B., Sandborn, W. J., Rutgeerts, P., Fedorak, R. N., Lukas, M., MacIntosh, D., Panaccione, R., Wolf, D., and Pollack, P. Human anti-tumor necrosis factor monoclonal antibody (adalimumab) in Crohn's disease: The CLASSIC-I trial.</w:t>
            </w:r>
          </w:p>
        </w:tc>
        <w:tc>
          <w:tcPr>
            <w:tcW w:w="932"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Gastroenterology 2006; 130 (2): 323-333.</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cs="Arial Narrow"/>
                <w:sz w:val="20"/>
              </w:rPr>
              <w:t>CLASSIC II</w:t>
            </w:r>
          </w:p>
        </w:tc>
        <w:tc>
          <w:tcPr>
            <w:tcW w:w="3478"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cs="Arial Narrow"/>
                <w:sz w:val="20"/>
              </w:rPr>
              <w:t>Sandborn, W. J., Hanauer, S. B., Rutgeerts, P., Fedorak, R. N., Lulcas, M., MacIntosh, D. G., Panaccione, R., Wolf, D., Kent, J. D., Bittle, B., Li, J., and Pollack, P. F. Adalimumab for maintenance treatment of Crohn's disease: Results of the CLASSIC II trial.</w:t>
            </w:r>
          </w:p>
        </w:tc>
        <w:tc>
          <w:tcPr>
            <w:tcW w:w="932"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iCs/>
                <w:sz w:val="20"/>
              </w:rPr>
              <w:t>Gut</w:t>
            </w:r>
            <w:r w:rsidRPr="00913156">
              <w:rPr>
                <w:rFonts w:ascii="Arial Narrow" w:hAnsi="Arial Narrow" w:cs="Arial Narrow"/>
                <w:sz w:val="20"/>
              </w:rPr>
              <w:t xml:space="preserve"> 2007; 56 (9): 1232-1239.</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GAIN</w:t>
            </w:r>
          </w:p>
        </w:tc>
        <w:tc>
          <w:tcPr>
            <w:tcW w:w="3478"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Sandborn, W. J., Rutgeerts, P., Enns, R., Hanauer, S. B., Colombel, J. F., Panaccione, R., D'Haens, G., Li, J., Rosenfeld, M. R., Kent, J. D., and Pollack, P. F. Adalimumab induction therapy for Crohn disease previously treated with infliximab: A randomized trial.</w:t>
            </w:r>
          </w:p>
        </w:tc>
        <w:tc>
          <w:tcPr>
            <w:tcW w:w="932"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iCs/>
                <w:sz w:val="20"/>
              </w:rPr>
              <w:t>Annals of Internal Medicine</w:t>
            </w:r>
            <w:r w:rsidRPr="00913156">
              <w:rPr>
                <w:rFonts w:ascii="Arial Narrow" w:hAnsi="Arial Narrow" w:cs="Arial Narrow"/>
                <w:sz w:val="20"/>
              </w:rPr>
              <w:t xml:space="preserve"> 2007; 146 (12): 829-838</w:t>
            </w:r>
          </w:p>
        </w:tc>
      </w:tr>
      <w:tr w:rsidR="00C04006" w:rsidRPr="007C3118" w:rsidTr="0088374D">
        <w:tc>
          <w:tcPr>
            <w:tcW w:w="590" w:type="pc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Watanabe</w:t>
            </w:r>
          </w:p>
        </w:tc>
        <w:tc>
          <w:tcPr>
            <w:tcW w:w="3478" w:type="pct"/>
            <w:tcBorders>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Watanabe, M., Hibi, T., Lomax, K. G., Paulson, S. K., Chao, J., Alam, M. S., and Camez, A. Adalimumab for the induction and maintenance of clinical remission in Japanese</w:t>
            </w:r>
            <w:r w:rsidR="00093CF0">
              <w:rPr>
                <w:rFonts w:ascii="Arial Narrow" w:hAnsi="Arial Narrow" w:cs="Arial Narrow"/>
                <w:sz w:val="20"/>
              </w:rPr>
              <w:t xml:space="preserve"> patients with Crohn's disease.</w:t>
            </w:r>
          </w:p>
        </w:tc>
        <w:tc>
          <w:tcPr>
            <w:tcW w:w="932" w:type="pct"/>
            <w:tcBorders>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iCs/>
                <w:sz w:val="20"/>
              </w:rPr>
              <w:t>Journal of Crohn's and Colitis</w:t>
            </w:r>
            <w:r w:rsidRPr="00913156">
              <w:rPr>
                <w:rFonts w:ascii="Arial Narrow" w:hAnsi="Arial Narrow" w:cs="Arial Narrow"/>
                <w:sz w:val="20"/>
              </w:rPr>
              <w:t xml:space="preserve"> 2012; 6 (2): 160-173.</w:t>
            </w:r>
          </w:p>
        </w:tc>
      </w:tr>
      <w:tr w:rsidR="00C04006" w:rsidRPr="007C3118" w:rsidTr="0088374D">
        <w:trPr>
          <w:trHeight w:val="868"/>
        </w:trPr>
        <w:tc>
          <w:tcPr>
            <w:tcW w:w="590" w:type="pct"/>
            <w:vMerge w:val="restart"/>
            <w:tcBorders>
              <w:bottom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CHARM</w:t>
            </w:r>
          </w:p>
        </w:tc>
        <w:tc>
          <w:tcPr>
            <w:tcW w:w="3478" w:type="pct"/>
            <w:tcBorders>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Colombel, J., Sandborn, W. J., Rutgeerts, P., Enns, R., Hanauer, S. B., Panaccione, R., Schreiber, S., Byczkowski, D., Li, J., Kent, J. D., and Pollack, P. F. Adalimumab for Maintenance of Clinical Response and Remission in Patients With Cr</w:t>
            </w:r>
            <w:r w:rsidR="00093CF0">
              <w:rPr>
                <w:rFonts w:ascii="Arial Narrow" w:hAnsi="Arial Narrow" w:cs="Arial Narrow"/>
                <w:sz w:val="20"/>
              </w:rPr>
              <w:t>ohn's Disease: The CHARM Trial.</w:t>
            </w:r>
          </w:p>
        </w:tc>
        <w:tc>
          <w:tcPr>
            <w:tcW w:w="932" w:type="pct"/>
            <w:tcBorders>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iCs/>
                <w:sz w:val="20"/>
              </w:rPr>
              <w:t>Gastroenterology</w:t>
            </w:r>
            <w:r w:rsidRPr="00913156">
              <w:rPr>
                <w:rFonts w:ascii="Arial Narrow" w:hAnsi="Arial Narrow" w:cs="Arial Narrow"/>
                <w:sz w:val="20"/>
              </w:rPr>
              <w:t xml:space="preserve"> 2007; 132 (1): 52-65.</w:t>
            </w:r>
          </w:p>
        </w:tc>
      </w:tr>
      <w:tr w:rsidR="00C04006" w:rsidRPr="007C3118" w:rsidTr="0088374D">
        <w:trPr>
          <w:trHeight w:val="804"/>
        </w:trPr>
        <w:tc>
          <w:tcPr>
            <w:tcW w:w="590" w:type="pct"/>
            <w:vMerge/>
            <w:tcBorders>
              <w:top w:val="single" w:sz="4" w:space="0" w:color="auto"/>
              <w:bottom w:val="single" w:sz="4" w:space="0" w:color="auto"/>
            </w:tcBorders>
          </w:tcPr>
          <w:p w:rsidR="00C04006" w:rsidRPr="00913156" w:rsidRDefault="00C04006" w:rsidP="00FF6656">
            <w:pPr>
              <w:snapToGrid w:val="0"/>
              <w:jc w:val="left"/>
              <w:rPr>
                <w:rFonts w:ascii="Arial Narrow" w:hAnsi="Arial Narrow"/>
                <w:sz w:val="20"/>
                <w:lang w:eastAsia="en-AU"/>
              </w:rPr>
            </w:pPr>
          </w:p>
        </w:tc>
        <w:tc>
          <w:tcPr>
            <w:tcW w:w="3478"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Colombel, J., Sandborn, W. J., Rutgeerts, P., Kamm, M. A., Yu, A. P., Wu, E. Q.,  Pollack, P. F., Lomax, K. G., Chao, J., and  Mulani, P. M. Comparison of two adalimumab treatment schedule strategies for moderate-to-severe Crohn’s disease</w:t>
            </w:r>
            <w:r w:rsidR="00093CF0">
              <w:rPr>
                <w:rFonts w:ascii="Arial Narrow" w:hAnsi="Arial Narrow" w:cs="Arial Narrow"/>
                <w:sz w:val="20"/>
              </w:rPr>
              <w:t>: Results from the CHARM trial.</w:t>
            </w:r>
          </w:p>
        </w:tc>
        <w:tc>
          <w:tcPr>
            <w:tcW w:w="932"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iCs/>
                <w:sz w:val="20"/>
              </w:rPr>
            </w:pPr>
            <w:r w:rsidRPr="00913156">
              <w:rPr>
                <w:rFonts w:ascii="Arial Narrow" w:hAnsi="Arial Narrow" w:cs="Arial Narrow"/>
                <w:iCs/>
                <w:sz w:val="20"/>
              </w:rPr>
              <w:t>The American Journal of</w:t>
            </w:r>
            <w:r w:rsidRPr="00913156">
              <w:rPr>
                <w:rFonts w:ascii="Arial Narrow" w:hAnsi="Arial Narrow" w:cs="Arial Narrow"/>
                <w:sz w:val="20"/>
              </w:rPr>
              <w:t xml:space="preserve"> </w:t>
            </w:r>
            <w:r w:rsidRPr="00913156">
              <w:rPr>
                <w:rFonts w:ascii="Arial Narrow" w:hAnsi="Arial Narrow" w:cs="Arial Narrow"/>
                <w:iCs/>
                <w:sz w:val="20"/>
              </w:rPr>
              <w:t>Gastroenterology</w:t>
            </w:r>
            <w:r w:rsidRPr="00913156">
              <w:rPr>
                <w:rFonts w:ascii="Arial Narrow" w:hAnsi="Arial Narrow" w:cs="Arial Narrow"/>
                <w:sz w:val="20"/>
              </w:rPr>
              <w:t xml:space="preserve"> 2009; 104: 1170-1179.</w:t>
            </w:r>
          </w:p>
        </w:tc>
      </w:tr>
      <w:tr w:rsidR="00C04006" w:rsidRPr="007C3118" w:rsidTr="0088374D">
        <w:trPr>
          <w:trHeight w:val="615"/>
        </w:trPr>
        <w:tc>
          <w:tcPr>
            <w:tcW w:w="590" w:type="pct"/>
            <w:vMerge/>
            <w:tcBorders>
              <w:top w:val="single" w:sz="4" w:space="0" w:color="auto"/>
              <w:bottom w:val="single" w:sz="4" w:space="0" w:color="auto"/>
            </w:tcBorders>
          </w:tcPr>
          <w:p w:rsidR="00C04006" w:rsidRPr="00913156" w:rsidRDefault="00C04006" w:rsidP="00FF6656">
            <w:pPr>
              <w:snapToGrid w:val="0"/>
              <w:jc w:val="left"/>
              <w:rPr>
                <w:rFonts w:ascii="Arial Narrow" w:hAnsi="Arial Narrow"/>
                <w:sz w:val="20"/>
                <w:lang w:eastAsia="en-AU"/>
              </w:rPr>
            </w:pPr>
          </w:p>
        </w:tc>
        <w:tc>
          <w:tcPr>
            <w:tcW w:w="3478"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Feagan, B. G., Panaccione, R., Sandborn, W. J., D’Haens, G. R., Schreiber, S., Rutgeerts, P., Loftus, E.V., Lomax, K. G.,  Yu, A. P., Wu, E. Q., Chao, J., and  Mulani, P. M. Effects of adalimumab therapy on incidence of hospitalization and surgery in Crohn’s disease: Results from the CHARM study.</w:t>
            </w:r>
          </w:p>
        </w:tc>
        <w:tc>
          <w:tcPr>
            <w:tcW w:w="932"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iCs/>
                <w:sz w:val="20"/>
              </w:rPr>
              <w:t>Gastroenterology</w:t>
            </w:r>
            <w:r w:rsidRPr="00913156">
              <w:rPr>
                <w:rFonts w:ascii="Arial Narrow" w:hAnsi="Arial Narrow" w:cs="Arial Narrow"/>
                <w:sz w:val="20"/>
              </w:rPr>
              <w:t xml:space="preserve"> 2008; 135: 1493-1499.</w:t>
            </w:r>
          </w:p>
          <w:p w:rsidR="00C04006" w:rsidRPr="00913156" w:rsidRDefault="00C04006" w:rsidP="00FF6656">
            <w:pPr>
              <w:snapToGrid w:val="0"/>
              <w:jc w:val="left"/>
              <w:rPr>
                <w:rFonts w:ascii="Arial Narrow" w:hAnsi="Arial Narrow" w:cs="Arial Narrow"/>
                <w:iCs/>
                <w:sz w:val="20"/>
              </w:rPr>
            </w:pPr>
          </w:p>
        </w:tc>
      </w:tr>
      <w:tr w:rsidR="00C04006" w:rsidRPr="007C3118" w:rsidTr="0088374D">
        <w:trPr>
          <w:trHeight w:val="802"/>
        </w:trPr>
        <w:tc>
          <w:tcPr>
            <w:tcW w:w="590" w:type="pct"/>
            <w:vMerge/>
            <w:tcBorders>
              <w:top w:val="single" w:sz="4" w:space="0" w:color="auto"/>
              <w:bottom w:val="single" w:sz="4" w:space="0" w:color="auto"/>
            </w:tcBorders>
          </w:tcPr>
          <w:p w:rsidR="00C04006" w:rsidRPr="00913156" w:rsidRDefault="00C04006" w:rsidP="00FF6656">
            <w:pPr>
              <w:snapToGrid w:val="0"/>
              <w:jc w:val="left"/>
              <w:rPr>
                <w:rFonts w:ascii="Arial Narrow" w:hAnsi="Arial Narrow"/>
                <w:sz w:val="20"/>
                <w:lang w:eastAsia="en-AU"/>
              </w:rPr>
            </w:pPr>
          </w:p>
        </w:tc>
        <w:tc>
          <w:tcPr>
            <w:tcW w:w="3478"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Colombel, J., Schwartz, D. A., Sandborn, W. J., Kamm, M. A.,  D’Haens, G. R., Rutgeerts, P., Enns, R., Panaccione, R., Schreiber, S.,  Li, J., Kent, J. D., Lomax, K. G., and Pollack, P. F. Adalimumab for the treatment of fistulas in</w:t>
            </w:r>
            <w:r w:rsidR="00093CF0">
              <w:rPr>
                <w:rFonts w:ascii="Arial Narrow" w:hAnsi="Arial Narrow" w:cs="Arial Narrow"/>
                <w:sz w:val="20"/>
              </w:rPr>
              <w:t xml:space="preserve"> patients with Crohn’s disease.</w:t>
            </w:r>
          </w:p>
        </w:tc>
        <w:tc>
          <w:tcPr>
            <w:tcW w:w="932"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iCs/>
                <w:sz w:val="20"/>
              </w:rPr>
            </w:pPr>
            <w:r w:rsidRPr="00913156">
              <w:rPr>
                <w:rFonts w:ascii="Arial Narrow" w:hAnsi="Arial Narrow" w:cs="Arial Narrow"/>
                <w:iCs/>
                <w:sz w:val="20"/>
              </w:rPr>
              <w:t>Gut</w:t>
            </w:r>
            <w:r w:rsidRPr="00913156">
              <w:rPr>
                <w:rFonts w:ascii="Arial Narrow" w:hAnsi="Arial Narrow" w:cs="Arial Narrow"/>
                <w:sz w:val="20"/>
              </w:rPr>
              <w:t xml:space="preserve"> 2009; 58: 940-948.</w:t>
            </w:r>
          </w:p>
        </w:tc>
      </w:tr>
      <w:tr w:rsidR="00C04006" w:rsidRPr="007C3118" w:rsidTr="0088374D">
        <w:trPr>
          <w:trHeight w:val="773"/>
        </w:trPr>
        <w:tc>
          <w:tcPr>
            <w:tcW w:w="590" w:type="pct"/>
            <w:vMerge/>
            <w:tcBorders>
              <w:top w:val="single" w:sz="4" w:space="0" w:color="auto"/>
              <w:bottom w:val="single" w:sz="4" w:space="0" w:color="auto"/>
            </w:tcBorders>
          </w:tcPr>
          <w:p w:rsidR="00C04006" w:rsidRPr="00913156" w:rsidRDefault="00C04006" w:rsidP="00FF6656">
            <w:pPr>
              <w:snapToGrid w:val="0"/>
              <w:jc w:val="left"/>
              <w:rPr>
                <w:rFonts w:ascii="Arial Narrow" w:hAnsi="Arial Narrow"/>
                <w:sz w:val="20"/>
                <w:lang w:eastAsia="en-AU"/>
              </w:rPr>
            </w:pPr>
          </w:p>
        </w:tc>
        <w:tc>
          <w:tcPr>
            <w:tcW w:w="3478"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iCs/>
                <w:sz w:val="20"/>
              </w:rPr>
            </w:pPr>
            <w:r w:rsidRPr="00913156">
              <w:rPr>
                <w:rFonts w:ascii="Arial Narrow" w:hAnsi="Arial Narrow" w:cs="Arial Narrow"/>
                <w:sz w:val="20"/>
              </w:rPr>
              <w:t>Loftus, EV. Feagan, B. G., Colombel, J. F., Rubin, D.T., Wu, E.Q., Yu, A. P., Pollack, P. F., Chao, J., Mulani, P. Effects of Adalimumab Maintenance Therapy on Health-Related Quality of Life of Patients With Crohn's Disease: Patient-Reported Outcomes of the CHARM Trial</w:t>
            </w:r>
            <w:r w:rsidR="00BD354E" w:rsidRPr="00913156">
              <w:rPr>
                <w:rFonts w:ascii="Arial Narrow" w:hAnsi="Arial Narrow" w:cs="Arial Narrow"/>
                <w:sz w:val="20"/>
              </w:rPr>
              <w:t xml:space="preserve"> </w:t>
            </w:r>
            <w:r w:rsidRPr="00913156">
              <w:rPr>
                <w:rFonts w:ascii="Arial Narrow" w:hAnsi="Arial Narrow" w:cs="Arial Narrow"/>
                <w:sz w:val="20"/>
              </w:rPr>
              <w:t>Patient-Reported Outcomes with Adalimumab for Crohn's Disease. December 2008.</w:t>
            </w:r>
          </w:p>
        </w:tc>
        <w:tc>
          <w:tcPr>
            <w:tcW w:w="932" w:type="pct"/>
            <w:tcBorders>
              <w:top w:val="single" w:sz="4" w:space="0" w:color="auto"/>
              <w:bottom w:val="single" w:sz="4" w:space="0" w:color="auto"/>
            </w:tcBorders>
          </w:tcPr>
          <w:p w:rsidR="00C04006" w:rsidRPr="00913156" w:rsidRDefault="00C04006" w:rsidP="00FF6656">
            <w:pPr>
              <w:snapToGrid w:val="0"/>
              <w:jc w:val="left"/>
              <w:rPr>
                <w:rFonts w:ascii="Arial Narrow" w:hAnsi="Arial Narrow" w:cs="Arial Narrow"/>
                <w:iCs/>
                <w:sz w:val="20"/>
              </w:rPr>
            </w:pPr>
            <w:r w:rsidRPr="00913156">
              <w:rPr>
                <w:rFonts w:ascii="Arial Narrow" w:hAnsi="Arial Narrow" w:cs="Arial Narrow"/>
                <w:sz w:val="20"/>
              </w:rPr>
              <w:t>The American Journal of gastroenterology 103, 3132-3141.</w:t>
            </w:r>
          </w:p>
        </w:tc>
      </w:tr>
      <w:tr w:rsidR="00C04006" w:rsidRPr="007C3118" w:rsidTr="0088374D">
        <w:tc>
          <w:tcPr>
            <w:tcW w:w="590" w:type="pct"/>
            <w:tcBorders>
              <w:top w:val="single" w:sz="4" w:space="0" w:color="auto"/>
            </w:tcBorders>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EXTEND</w:t>
            </w:r>
          </w:p>
        </w:tc>
        <w:tc>
          <w:tcPr>
            <w:tcW w:w="3478" w:type="pct"/>
            <w:tcBorders>
              <w:top w:val="single" w:sz="4" w:space="0" w:color="auto"/>
            </w:tcBorders>
          </w:tcPr>
          <w:p w:rsidR="00C04006" w:rsidRPr="00913156" w:rsidRDefault="00C04006" w:rsidP="00FF6656">
            <w:pPr>
              <w:snapToGrid w:val="0"/>
              <w:jc w:val="left"/>
              <w:rPr>
                <w:rFonts w:ascii="Arial Narrow" w:hAnsi="Arial Narrow" w:cs="Arial Narrow"/>
                <w:sz w:val="20"/>
              </w:rPr>
            </w:pPr>
            <w:r w:rsidRPr="00913156">
              <w:rPr>
                <w:rFonts w:ascii="Arial Narrow" w:hAnsi="Arial Narrow" w:cs="Arial Narrow"/>
                <w:sz w:val="20"/>
              </w:rPr>
              <w:t>Rutgeerts, P., Van Assche, G., Sandborn W., J., Wolf, D. C., Geboes, K., Colombel, J., Reinisch, W., Kumar, A., Lazar, A., Lomax, K., G., Pollack, P. F., and D’Haens, G. R. Adalimumab induced and maintains mucosal healing in patients with Crohn’s disease.  Gastroenterology 2012; 142: 1102-1111.</w:t>
            </w:r>
          </w:p>
        </w:tc>
        <w:tc>
          <w:tcPr>
            <w:tcW w:w="932" w:type="pct"/>
            <w:tcBorders>
              <w:top w:val="single" w:sz="4" w:space="0" w:color="auto"/>
            </w:tcBorders>
          </w:tcPr>
          <w:p w:rsidR="00C04006" w:rsidRPr="00913156" w:rsidRDefault="00C04006" w:rsidP="00FF6656">
            <w:pPr>
              <w:snapToGrid w:val="0"/>
              <w:jc w:val="left"/>
              <w:rPr>
                <w:rFonts w:ascii="Arial Narrow" w:hAnsi="Arial Narrow" w:cs="Arial Narrow"/>
                <w:sz w:val="20"/>
              </w:rPr>
            </w:pPr>
          </w:p>
        </w:tc>
      </w:tr>
      <w:tr w:rsidR="00C04006" w:rsidRPr="007C3118" w:rsidTr="00C04006">
        <w:tc>
          <w:tcPr>
            <w:tcW w:w="5000" w:type="pct"/>
            <w:gridSpan w:val="3"/>
          </w:tcPr>
          <w:p w:rsidR="00C04006" w:rsidRPr="00913156" w:rsidRDefault="00C04006" w:rsidP="00FF6656">
            <w:pPr>
              <w:snapToGrid w:val="0"/>
              <w:jc w:val="left"/>
              <w:rPr>
                <w:rFonts w:ascii="Arial Narrow" w:hAnsi="Arial Narrow" w:cs="Arial Narrow"/>
                <w:b/>
                <w:sz w:val="20"/>
              </w:rPr>
            </w:pPr>
            <w:r w:rsidRPr="00913156">
              <w:rPr>
                <w:rFonts w:ascii="Arial Narrow" w:hAnsi="Arial Narrow"/>
                <w:b/>
                <w:sz w:val="20"/>
                <w:lang w:eastAsia="en-AU"/>
              </w:rPr>
              <w:t>Infliximab vs placebo</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T16</w:t>
            </w:r>
          </w:p>
        </w:tc>
        <w:tc>
          <w:tcPr>
            <w:tcW w:w="3478"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sz w:val="20"/>
              </w:rPr>
              <w:t>Targan, S. R., Hanauer, S. B., van Deventer, S. J. H., Mayer, L., Present, D. H., Braakman, T., DeWoody, K. L., Schaible, T. F., and Rutgeerts, P. J. A short-term study of chimeric monoclonal antibody cA2 to tumor necrosis factor (alpha) for Crohn's Disease.</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The New England Journal of Medicine 1997; 337 (15): 1029-1035.</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ACCENT I</w:t>
            </w:r>
          </w:p>
        </w:tc>
        <w:tc>
          <w:tcPr>
            <w:tcW w:w="3478" w:type="pct"/>
          </w:tcPr>
          <w:p w:rsidR="00C04006" w:rsidRPr="00913156" w:rsidRDefault="00C04006" w:rsidP="00FF6656">
            <w:pPr>
              <w:snapToGrid w:val="0"/>
              <w:jc w:val="left"/>
              <w:rPr>
                <w:rFonts w:ascii="Arial Narrow" w:hAnsi="Arial Narrow" w:cs="Arial Narrow"/>
                <w:sz w:val="20"/>
              </w:rPr>
            </w:pPr>
            <w:r w:rsidRPr="00913156">
              <w:rPr>
                <w:rFonts w:ascii="Arial Narrow" w:hAnsi="Arial Narrow"/>
                <w:sz w:val="20"/>
              </w:rPr>
              <w:t>Hanauer, S. B., Feagan, B. G., Lichtenstein, G. R., Mayer, L. F., Schreiber, S., Colombel, J. F., Rachmilewitz, D., Wolf, D. C., Olson, A., Bao, W., and Rutgeerts, P. Maintenance infliximab for Crohn's disease: The ACCENT I randomised trial.</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Lancet 2002; 359 (9317): 1541-1549.</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T20</w:t>
            </w:r>
          </w:p>
        </w:tc>
        <w:tc>
          <w:tcPr>
            <w:tcW w:w="3478" w:type="pct"/>
          </w:tcPr>
          <w:p w:rsidR="00C04006" w:rsidRPr="00913156" w:rsidRDefault="00C04006" w:rsidP="00FF6656">
            <w:pPr>
              <w:pStyle w:val="FootnoteText"/>
              <w:rPr>
                <w:rFonts w:ascii="Arial Narrow" w:hAnsi="Arial Narrow"/>
              </w:rPr>
            </w:pPr>
            <w:r w:rsidRPr="00913156">
              <w:rPr>
                <w:rFonts w:ascii="Arial Narrow" w:hAnsi="Arial Narrow"/>
              </w:rPr>
              <w:t>Present, D. H., Rutgeerts, P., Targan, S., Hanauer, S. B., Mayer, L., Van Hogezand, R. A., Podolsky, D. K., Sands, B. E., Braakman, T., DeWoody, K. L., Schaible, T. F., and Van Deventer, S. J.  Infliximab for the treatment of fistulas in</w:t>
            </w:r>
            <w:r w:rsidR="00093CF0">
              <w:rPr>
                <w:rFonts w:ascii="Arial Narrow" w:hAnsi="Arial Narrow"/>
              </w:rPr>
              <w:t xml:space="preserve"> patients with Crohn’s disease.</w:t>
            </w:r>
          </w:p>
        </w:tc>
        <w:tc>
          <w:tcPr>
            <w:tcW w:w="932" w:type="pct"/>
          </w:tcPr>
          <w:p w:rsidR="00C04006" w:rsidRPr="00913156" w:rsidRDefault="00C04006" w:rsidP="00FF6656">
            <w:pPr>
              <w:pStyle w:val="FootnoteText"/>
              <w:rPr>
                <w:rFonts w:ascii="Arial Narrow" w:hAnsi="Arial Narrow"/>
              </w:rPr>
            </w:pPr>
            <w:r w:rsidRPr="00913156">
              <w:rPr>
                <w:rFonts w:ascii="Arial Narrow" w:hAnsi="Arial Narrow"/>
                <w:iCs/>
              </w:rPr>
              <w:t>The New England Journal of Medicine</w:t>
            </w:r>
            <w:r w:rsidRPr="00913156">
              <w:rPr>
                <w:rFonts w:ascii="Arial Narrow" w:hAnsi="Arial Narrow"/>
              </w:rPr>
              <w:t>; 1999; 340: 1398-1405.</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ACCENT II</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Sands, B. E., Anderson, F. H., Bernstein, C. N., Chey, W. Y., Feagan, B. G., Fedorak, R. N., Kamm, M. A., Korzenik, J. R., Lashner, B. A., Onken, J. E., Rachmilewitz, D., Rutgeerts, P., Wild, G., Wolf, D. C., Marsters, P. A., Travers, S. B., Blank, M. A., and Van Deventer, S. J. Infliximab maintenance therapy f</w:t>
            </w:r>
            <w:r w:rsidR="00093CF0">
              <w:rPr>
                <w:rFonts w:ascii="Arial Narrow" w:hAnsi="Arial Narrow"/>
                <w:sz w:val="20"/>
              </w:rPr>
              <w:t>or fistulising Crohn's disease.</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The New England Journal of Medicine 2004; 350(9): 876-885.</w:t>
            </w:r>
          </w:p>
        </w:tc>
      </w:tr>
      <w:tr w:rsidR="00C04006" w:rsidRPr="007C3118" w:rsidTr="00C04006">
        <w:tc>
          <w:tcPr>
            <w:tcW w:w="5000" w:type="pct"/>
            <w:gridSpan w:val="3"/>
          </w:tcPr>
          <w:p w:rsidR="00C04006" w:rsidRPr="00913156" w:rsidRDefault="00C04006" w:rsidP="00FF6656">
            <w:pPr>
              <w:snapToGrid w:val="0"/>
              <w:jc w:val="left"/>
              <w:rPr>
                <w:rFonts w:ascii="Arial Narrow" w:hAnsi="Arial Narrow"/>
                <w:b/>
                <w:sz w:val="20"/>
              </w:rPr>
            </w:pPr>
            <w:r w:rsidRPr="00913156">
              <w:rPr>
                <w:rFonts w:ascii="Arial Narrow" w:hAnsi="Arial Narrow"/>
                <w:b/>
                <w:sz w:val="20"/>
                <w:lang w:eastAsia="en-AU"/>
              </w:rPr>
              <w:t>Vedolizumab vs placebo</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GEMINI II</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Sandborn, W. J., Feagan, B. G., Rutgeerts, P., Hanauer, S., Colombel, J. F., Sands, B. E., Lukas, M., Fedorak, R. N., Lee, S., Bressler, B., Fox, I., Rosario, M., Sankoh, S., Xu, J., Stephens, K., Milch, C., and Parikh, A. Vedolizumab as induction and maintenan</w:t>
            </w:r>
            <w:r w:rsidR="00093CF0">
              <w:rPr>
                <w:rFonts w:ascii="Arial Narrow" w:hAnsi="Arial Narrow"/>
                <w:sz w:val="20"/>
              </w:rPr>
              <w:t>ce therapy for Crohn's disease.</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New England Journal of Medicine. 2013; 369 (8): 711-721.</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GEMINI III</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 xml:space="preserve">Sands, B. E., Feagan, B. G., Rutgeerts, P., Colombel, J. F., Sandborn, W. J., Sy, R., D’Haens, G., Ben-Horin, S., Xu, J., Rosario, M., Fox, I., Parikh, A., Milch, C., and Hanauer, S. Effects of vedolizumab induction therapy for patients with Crohn’s disease in whom tumor necrosis factor antagonist treatment failed. </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iCs/>
                <w:sz w:val="20"/>
              </w:rPr>
              <w:t>Gastroenterology</w:t>
            </w:r>
            <w:r w:rsidRPr="00913156">
              <w:rPr>
                <w:rFonts w:ascii="Arial Narrow" w:hAnsi="Arial Narrow"/>
                <w:sz w:val="20"/>
              </w:rPr>
              <w:t>, 2014; 147: 618-627.</w:t>
            </w:r>
          </w:p>
        </w:tc>
      </w:tr>
      <w:tr w:rsidR="00C04006" w:rsidRPr="007C3118" w:rsidTr="00C04006">
        <w:tc>
          <w:tcPr>
            <w:tcW w:w="5000" w:type="pct"/>
            <w:gridSpan w:val="3"/>
          </w:tcPr>
          <w:p w:rsidR="00C04006" w:rsidRPr="00913156" w:rsidRDefault="00C04006" w:rsidP="00FF6656">
            <w:pPr>
              <w:snapToGrid w:val="0"/>
              <w:jc w:val="left"/>
              <w:rPr>
                <w:rFonts w:ascii="Arial Narrow" w:hAnsi="Arial Narrow"/>
                <w:b/>
                <w:sz w:val="20"/>
              </w:rPr>
            </w:pPr>
            <w:r w:rsidRPr="00913156">
              <w:rPr>
                <w:rFonts w:ascii="Arial Narrow" w:hAnsi="Arial Narrow"/>
                <w:b/>
                <w:sz w:val="20"/>
                <w:lang w:eastAsia="en-AU"/>
              </w:rPr>
              <w:t>Meta-analyses of indirectly comparable trials</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Singh 2014</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cs="Arial Narrow"/>
                <w:sz w:val="20"/>
              </w:rPr>
              <w:t>Singh, S., Garg, S. K., Pardi, D. S., Wang, Z., Murad, M. H., and Loftus, E. V. Comparative efficacy of biologic therapy in biologic-naïve patients with Crohn disease: A systematic review and network meta-analysis.</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cs="Arial Narrow"/>
                <w:iCs/>
                <w:sz w:val="20"/>
              </w:rPr>
              <w:t>Mayo Clinic Proceedings</w:t>
            </w:r>
            <w:r w:rsidRPr="00913156">
              <w:rPr>
                <w:rFonts w:ascii="Arial Narrow" w:hAnsi="Arial Narrow" w:cs="Arial Narrow"/>
                <w:sz w:val="20"/>
              </w:rPr>
              <w:t xml:space="preserve"> 2014; 89(12): 1621-1635.</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Cote-Daigneault 2015</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Cote-Daigneault, J., Bouin, M., Lahaie, R., Colombel, H., Poitras, P., Biologics in inflammatory bowel disease.</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United European Gastroenterology Journal 2015; 3(5): 419-428.</w:t>
            </w:r>
          </w:p>
        </w:tc>
      </w:tr>
      <w:tr w:rsidR="00C04006" w:rsidRPr="007C3118" w:rsidTr="00C7132E">
        <w:tc>
          <w:tcPr>
            <w:tcW w:w="590" w:type="pct"/>
          </w:tcPr>
          <w:p w:rsidR="00C04006" w:rsidRPr="00913156" w:rsidRDefault="00C04006" w:rsidP="00FF6656">
            <w:pPr>
              <w:snapToGrid w:val="0"/>
              <w:jc w:val="left"/>
              <w:rPr>
                <w:rFonts w:ascii="Arial Narrow" w:hAnsi="Arial Narrow"/>
                <w:sz w:val="20"/>
                <w:lang w:eastAsia="en-AU"/>
              </w:rPr>
            </w:pPr>
            <w:r w:rsidRPr="00913156">
              <w:rPr>
                <w:rFonts w:ascii="Arial Narrow" w:hAnsi="Arial Narrow"/>
                <w:sz w:val="20"/>
                <w:lang w:eastAsia="en-AU"/>
              </w:rPr>
              <w:t>Khanna 2015</w:t>
            </w:r>
          </w:p>
        </w:tc>
        <w:tc>
          <w:tcPr>
            <w:tcW w:w="3478"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Khanna, R., Preiss, J., MacDonald, J. K., and Timmer, A., Anti-IL-12/23p40 antibodies for induction of remissi</w:t>
            </w:r>
            <w:r w:rsidR="00093CF0">
              <w:rPr>
                <w:rFonts w:ascii="Arial Narrow" w:hAnsi="Arial Narrow"/>
                <w:sz w:val="20"/>
              </w:rPr>
              <w:t>on in Crohn’s disease (review).</w:t>
            </w:r>
          </w:p>
        </w:tc>
        <w:tc>
          <w:tcPr>
            <w:tcW w:w="932" w:type="pct"/>
          </w:tcPr>
          <w:p w:rsidR="00C04006" w:rsidRPr="00913156" w:rsidRDefault="00C04006" w:rsidP="00FF6656">
            <w:pPr>
              <w:snapToGrid w:val="0"/>
              <w:jc w:val="left"/>
              <w:rPr>
                <w:rFonts w:ascii="Arial Narrow" w:hAnsi="Arial Narrow"/>
                <w:sz w:val="20"/>
              </w:rPr>
            </w:pPr>
            <w:r w:rsidRPr="00913156">
              <w:rPr>
                <w:rFonts w:ascii="Arial Narrow" w:hAnsi="Arial Narrow"/>
                <w:sz w:val="20"/>
              </w:rPr>
              <w:t>Cochrane Database of Systematic Reviews 2015; 5: CD007572.</w:t>
            </w:r>
          </w:p>
        </w:tc>
      </w:tr>
    </w:tbl>
    <w:p w:rsidR="00C04006" w:rsidRPr="00186D3E" w:rsidRDefault="00C04006" w:rsidP="00186D3E">
      <w:pPr>
        <w:ind w:left="709"/>
        <w:rPr>
          <w:rFonts w:ascii="Arial Narrow" w:hAnsi="Arial Narrow"/>
          <w:snapToGrid/>
          <w:sz w:val="16"/>
          <w:szCs w:val="18"/>
        </w:rPr>
      </w:pPr>
      <w:r w:rsidRPr="00186D3E">
        <w:rPr>
          <w:rFonts w:ascii="Arial Narrow" w:hAnsi="Arial Narrow"/>
          <w:snapToGrid/>
          <w:sz w:val="16"/>
          <w:szCs w:val="18"/>
        </w:rPr>
        <w:t>NOTE: citations for conference abstracts are not included in the summary.</w:t>
      </w:r>
    </w:p>
    <w:p w:rsidR="00C04006" w:rsidRPr="00186D3E" w:rsidRDefault="00C04006" w:rsidP="00186D3E">
      <w:pPr>
        <w:ind w:left="709"/>
        <w:rPr>
          <w:rFonts w:ascii="Arial Narrow" w:hAnsi="Arial Narrow"/>
          <w:snapToGrid/>
          <w:sz w:val="16"/>
          <w:szCs w:val="18"/>
        </w:rPr>
      </w:pPr>
      <w:r w:rsidRPr="00186D3E">
        <w:rPr>
          <w:rFonts w:ascii="Arial Narrow" w:hAnsi="Arial Narrow"/>
          <w:snapToGrid/>
          <w:sz w:val="16"/>
          <w:szCs w:val="18"/>
        </w:rPr>
        <w:t>Source: Table B.2-3, p16 of Section B of the submission.</w:t>
      </w:r>
    </w:p>
    <w:p w:rsidR="00C04006" w:rsidRPr="00414040" w:rsidRDefault="00C04006" w:rsidP="00C51274"/>
    <w:p w:rsidR="00727CAA" w:rsidRDefault="00727CAA" w:rsidP="00506A87">
      <w:pPr>
        <w:pStyle w:val="ListParagraph"/>
        <w:widowControl/>
        <w:numPr>
          <w:ilvl w:val="1"/>
          <w:numId w:val="1"/>
        </w:numPr>
        <w:rPr>
          <w:szCs w:val="22"/>
        </w:rPr>
      </w:pPr>
      <w:r w:rsidRPr="00E25640">
        <w:rPr>
          <w:szCs w:val="22"/>
        </w:rPr>
        <w:t xml:space="preserve">The key features of the </w:t>
      </w:r>
      <w:r w:rsidR="009F102A" w:rsidRPr="009F102A">
        <w:rPr>
          <w:szCs w:val="22"/>
        </w:rPr>
        <w:t>UST</w:t>
      </w:r>
      <w:r w:rsidRPr="00E25640">
        <w:rPr>
          <w:szCs w:val="22"/>
        </w:rPr>
        <w:t xml:space="preserve">, </w:t>
      </w:r>
      <w:r w:rsidR="0029256D">
        <w:rPr>
          <w:szCs w:val="22"/>
        </w:rPr>
        <w:t>ADA</w:t>
      </w:r>
      <w:r w:rsidRPr="00E25640">
        <w:rPr>
          <w:szCs w:val="22"/>
        </w:rPr>
        <w:t xml:space="preserve">, </w:t>
      </w:r>
      <w:r w:rsidR="009F102A" w:rsidRPr="009F102A">
        <w:rPr>
          <w:szCs w:val="22"/>
        </w:rPr>
        <w:t>IFX</w:t>
      </w:r>
      <w:r w:rsidRPr="00E25640">
        <w:rPr>
          <w:szCs w:val="22"/>
        </w:rPr>
        <w:t xml:space="preserve"> and </w:t>
      </w:r>
      <w:r w:rsidR="0029256D">
        <w:rPr>
          <w:szCs w:val="22"/>
        </w:rPr>
        <w:t>VDZ</w:t>
      </w:r>
      <w:r w:rsidRPr="00E25640">
        <w:rPr>
          <w:szCs w:val="22"/>
        </w:rPr>
        <w:t xml:space="preserve"> trials are summarised in Tables </w:t>
      </w:r>
      <w:r>
        <w:rPr>
          <w:szCs w:val="22"/>
        </w:rPr>
        <w:t xml:space="preserve">2 and 3 </w:t>
      </w:r>
      <w:r w:rsidRPr="00E25640">
        <w:rPr>
          <w:szCs w:val="22"/>
        </w:rPr>
        <w:t>for severe an</w:t>
      </w:r>
      <w:r w:rsidR="00093CF0">
        <w:rPr>
          <w:szCs w:val="22"/>
        </w:rPr>
        <w:t>d fistulising CD respectively.</w:t>
      </w:r>
    </w:p>
    <w:p w:rsidR="003F3A30" w:rsidRDefault="003F3A30">
      <w:pPr>
        <w:widowControl/>
        <w:jc w:val="left"/>
        <w:rPr>
          <w:b/>
          <w:bCs/>
          <w:i/>
          <w:snapToGrid/>
          <w:szCs w:val="22"/>
        </w:rPr>
      </w:pPr>
      <w:r>
        <w:rPr>
          <w:snapToGrid/>
          <w:szCs w:val="22"/>
        </w:rPr>
        <w:br w:type="page"/>
      </w:r>
    </w:p>
    <w:p w:rsidR="00727CAA" w:rsidRDefault="00727CAA" w:rsidP="00C51274">
      <w:pPr>
        <w:pStyle w:val="Heading3"/>
        <w:rPr>
          <w:snapToGrid/>
        </w:rPr>
      </w:pPr>
      <w:r w:rsidRPr="00414040">
        <w:rPr>
          <w:snapToGrid/>
        </w:rPr>
        <w:t>Severe CD</w:t>
      </w:r>
    </w:p>
    <w:p w:rsidR="00C51274" w:rsidRPr="00C51274" w:rsidRDefault="00C51274" w:rsidP="00C51274"/>
    <w:p w:rsidR="00727CAA" w:rsidRPr="00414040" w:rsidRDefault="00727CAA" w:rsidP="00506A87">
      <w:pPr>
        <w:pStyle w:val="ListParagraph"/>
        <w:widowControl/>
        <w:numPr>
          <w:ilvl w:val="1"/>
          <w:numId w:val="1"/>
        </w:numPr>
        <w:rPr>
          <w:szCs w:val="22"/>
        </w:rPr>
      </w:pPr>
      <w:r>
        <w:rPr>
          <w:rFonts w:ascii="Arial Narrow" w:hAnsi="Arial Narrow"/>
          <w:b/>
          <w:snapToGrid/>
          <w:sz w:val="20"/>
          <w:szCs w:val="16"/>
        </w:rPr>
        <w:t>Table 2</w:t>
      </w:r>
      <w:r w:rsidRPr="00414040">
        <w:rPr>
          <w:rFonts w:ascii="Arial Narrow" w:hAnsi="Arial Narrow"/>
          <w:b/>
          <w:snapToGrid/>
          <w:sz w:val="20"/>
          <w:szCs w:val="16"/>
        </w:rPr>
        <w:t>: Key features of the included evidence- Severe CD</w:t>
      </w:r>
    </w:p>
    <w:tbl>
      <w:tblPr>
        <w:tblW w:w="45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7"/>
        <w:gridCol w:w="714"/>
        <w:gridCol w:w="856"/>
        <w:gridCol w:w="1105"/>
        <w:gridCol w:w="510"/>
        <w:gridCol w:w="2236"/>
        <w:gridCol w:w="1855"/>
      </w:tblGrid>
      <w:tr w:rsidR="00727CAA" w:rsidRPr="00414040" w:rsidTr="005212E6">
        <w:trPr>
          <w:tblHeader/>
        </w:trPr>
        <w:tc>
          <w:tcPr>
            <w:tcW w:w="607" w:type="pct"/>
            <w:vAlign w:val="center"/>
          </w:tcPr>
          <w:p w:rsidR="00727CAA" w:rsidRPr="00414040" w:rsidRDefault="00727CAA" w:rsidP="005212E6">
            <w:pPr>
              <w:snapToGrid w:val="0"/>
              <w:jc w:val="left"/>
              <w:rPr>
                <w:rFonts w:ascii="Arial Narrow" w:hAnsi="Arial Narrow"/>
                <w:b/>
                <w:snapToGrid/>
                <w:sz w:val="18"/>
                <w:szCs w:val="18"/>
              </w:rPr>
            </w:pPr>
            <w:r w:rsidRPr="00414040">
              <w:rPr>
                <w:rFonts w:ascii="Arial Narrow" w:hAnsi="Arial Narrow"/>
                <w:b/>
                <w:snapToGrid/>
                <w:sz w:val="18"/>
                <w:szCs w:val="18"/>
              </w:rPr>
              <w:t>Trial</w:t>
            </w:r>
          </w:p>
        </w:tc>
        <w:tc>
          <w:tcPr>
            <w:tcW w:w="43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N</w:t>
            </w:r>
          </w:p>
        </w:tc>
        <w:tc>
          <w:tcPr>
            <w:tcW w:w="517"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Design</w:t>
            </w:r>
          </w:p>
        </w:tc>
        <w:tc>
          <w:tcPr>
            <w:tcW w:w="667"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Durations</w:t>
            </w:r>
          </w:p>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(assessment of outcomes)</w:t>
            </w:r>
          </w:p>
        </w:tc>
        <w:tc>
          <w:tcPr>
            <w:tcW w:w="308"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Risk of bias</w:t>
            </w:r>
          </w:p>
        </w:tc>
        <w:tc>
          <w:tcPr>
            <w:tcW w:w="1350"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Patient population</w:t>
            </w:r>
          </w:p>
        </w:tc>
        <w:tc>
          <w:tcPr>
            <w:tcW w:w="112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Relevant Outcomes</w:t>
            </w:r>
          </w:p>
        </w:tc>
      </w:tr>
      <w:tr w:rsidR="00727CAA" w:rsidRPr="00414040" w:rsidTr="005212E6">
        <w:tc>
          <w:tcPr>
            <w:tcW w:w="5000" w:type="pct"/>
            <w:gridSpan w:val="7"/>
          </w:tcPr>
          <w:p w:rsidR="00727CAA" w:rsidRPr="00414040" w:rsidRDefault="00727CAA" w:rsidP="005212E6">
            <w:pPr>
              <w:snapToGrid w:val="0"/>
              <w:jc w:val="left"/>
              <w:rPr>
                <w:rFonts w:ascii="Arial Narrow" w:hAnsi="Arial Narrow"/>
                <w:b/>
                <w:snapToGrid/>
                <w:sz w:val="18"/>
                <w:szCs w:val="18"/>
              </w:rPr>
            </w:pPr>
            <w:r w:rsidRPr="00414040">
              <w:rPr>
                <w:rFonts w:ascii="Arial Narrow" w:hAnsi="Arial Narrow"/>
                <w:b/>
                <w:snapToGrid/>
                <w:sz w:val="18"/>
                <w:szCs w:val="18"/>
              </w:rPr>
              <w:t>Ustekinumab versus placebo</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UNITI-1</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741</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8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refractory</w:t>
            </w:r>
          </w:p>
        </w:tc>
        <w:tc>
          <w:tcPr>
            <w:tcW w:w="1121" w:type="pct"/>
            <w:vMerge w:val="restar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CR-100^ (Wk6)*, CR-70, Remission (CDAI &lt; 150)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UNITI-2</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628</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8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 naïve and TNF experienced (but non-refractory)</w:t>
            </w:r>
          </w:p>
        </w:tc>
        <w:tc>
          <w:tcPr>
            <w:tcW w:w="1121" w:type="pct"/>
            <w:vMerge/>
            <w:vAlign w:val="center"/>
          </w:tcPr>
          <w:p w:rsidR="00727CAA" w:rsidRPr="00414040" w:rsidRDefault="00727CAA" w:rsidP="005212E6">
            <w:pPr>
              <w:snapToGrid w:val="0"/>
              <w:ind w:left="360"/>
              <w:jc w:val="left"/>
              <w:rPr>
                <w:rFonts w:ascii="Arial Narrow" w:hAnsi="Arial Narrow"/>
                <w:snapToGrid/>
                <w:sz w:val="18"/>
                <w:szCs w:val="18"/>
              </w:rPr>
            </w:pP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IM-UNITI</w:t>
            </w:r>
          </w:p>
        </w:tc>
        <w:tc>
          <w:tcPr>
            <w:tcW w:w="43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397</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vertAlign w:val="superscript"/>
              </w:rPr>
            </w:pPr>
            <w:r w:rsidRPr="00414040">
              <w:rPr>
                <w:rFonts w:ascii="Arial Narrow" w:hAnsi="Arial Narrow"/>
                <w:snapToGrid/>
                <w:sz w:val="18"/>
                <w:szCs w:val="18"/>
              </w:rPr>
              <w:t>MP: 52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Patients with response (CR-100) to UST induction at W8 of UNITI</w:t>
            </w:r>
            <w:r w:rsidRPr="00414040">
              <w:rPr>
                <w:rFonts w:ascii="Arial Narrow" w:hAnsi="Arial Narrow"/>
                <w:snapToGrid/>
                <w:sz w:val="18"/>
                <w:szCs w:val="18"/>
              </w:rPr>
              <w:noBreakHyphen/>
              <w:t>1 or UNITI</w:t>
            </w:r>
            <w:r w:rsidRPr="00414040">
              <w:rPr>
                <w:rFonts w:ascii="Arial Narrow" w:hAnsi="Arial Narrow"/>
                <w:snapToGrid/>
                <w:sz w:val="18"/>
                <w:szCs w:val="18"/>
              </w:rPr>
              <w:noBreakHyphen/>
              <w:t>2</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 xml:space="preserve">Remission (CDAI &lt; 150)*, Patients maintaining CR-100 at Week 52 </w:t>
            </w:r>
            <w:r w:rsidRPr="00414040">
              <w:rPr>
                <w:rFonts w:ascii="Arial Narrow" w:hAnsi="Arial Narrow"/>
                <w:snapToGrid/>
                <w:sz w:val="18"/>
                <w:szCs w:val="18"/>
                <w:vertAlign w:val="superscript"/>
              </w:rPr>
              <w:t>#</w:t>
            </w:r>
            <w:r w:rsidRPr="00414040">
              <w:rPr>
                <w:rFonts w:ascii="Arial Narrow" w:hAnsi="Arial Narrow"/>
                <w:snapToGrid/>
                <w:sz w:val="18"/>
                <w:szCs w:val="18"/>
              </w:rPr>
              <w:t xml:space="preserve"> in CR-100 responders to UST initiation.</w:t>
            </w:r>
          </w:p>
        </w:tc>
      </w:tr>
      <w:tr w:rsidR="00727CAA" w:rsidRPr="00414040" w:rsidTr="005212E6">
        <w:tc>
          <w:tcPr>
            <w:tcW w:w="5000" w:type="pct"/>
            <w:gridSpan w:val="7"/>
          </w:tcPr>
          <w:p w:rsidR="00727CAA" w:rsidRPr="00414040" w:rsidRDefault="00727CAA" w:rsidP="005212E6">
            <w:pPr>
              <w:snapToGrid w:val="0"/>
              <w:jc w:val="left"/>
              <w:rPr>
                <w:rFonts w:ascii="Arial Narrow" w:hAnsi="Arial Narrow"/>
                <w:b/>
                <w:snapToGrid/>
                <w:sz w:val="18"/>
                <w:szCs w:val="18"/>
              </w:rPr>
            </w:pPr>
            <w:r w:rsidRPr="00414040">
              <w:rPr>
                <w:rFonts w:ascii="Arial Narrow" w:hAnsi="Arial Narrow"/>
                <w:b/>
                <w:snapToGrid/>
                <w:sz w:val="18"/>
                <w:szCs w:val="18"/>
              </w:rPr>
              <w:t>Adalimumab versus. Placebo</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CLASSIC I</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299</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4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naive</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CR-100,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GAIN</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325</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4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refractory</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CR-100,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Watanabe 2012</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90</w:t>
            </w:r>
          </w:p>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43</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DB</w:t>
            </w:r>
          </w:p>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Japan trial</w:t>
            </w:r>
          </w:p>
        </w:tc>
        <w:tc>
          <w:tcPr>
            <w:tcW w:w="667" w:type="pct"/>
          </w:tcPr>
          <w:p w:rsidR="00727CAA" w:rsidRPr="00414040" w:rsidRDefault="00727CAA" w:rsidP="005212E6">
            <w:pPr>
              <w:snapToGrid w:val="0"/>
              <w:jc w:val="center"/>
              <w:rPr>
                <w:rFonts w:ascii="Arial Narrow" w:hAnsi="Arial Narrow"/>
                <w:snapToGrid/>
                <w:sz w:val="18"/>
                <w:szCs w:val="18"/>
                <w:vertAlign w:val="superscript"/>
              </w:rPr>
            </w:pPr>
            <w:r w:rsidRPr="00414040">
              <w:rPr>
                <w:rFonts w:ascii="Arial Narrow" w:hAnsi="Arial Narrow"/>
                <w:snapToGrid/>
                <w:sz w:val="18"/>
                <w:szCs w:val="18"/>
              </w:rPr>
              <w:t>IP: 4 weeks, MP:56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experienced (≈57 had prior use, % refractory not reported)</w:t>
            </w:r>
          </w:p>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Must have attained CR-70 to enter MP</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CR-100,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CLASSIC II</w:t>
            </w:r>
          </w:p>
        </w:tc>
        <w:tc>
          <w:tcPr>
            <w:tcW w:w="43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55</w:t>
            </w:r>
            <w:r w:rsidRPr="00414040">
              <w:rPr>
                <w:rFonts w:ascii="Arial Narrow" w:hAnsi="Arial Narrow"/>
                <w:b/>
                <w:snapToGrid/>
                <w:sz w:val="18"/>
                <w:szCs w:val="18"/>
                <w:vertAlign w:val="superscript"/>
              </w:rPr>
              <w:t>a</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MC</w:t>
            </w:r>
          </w:p>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OL</w:t>
            </w:r>
            <w:r w:rsidRPr="00414040">
              <w:rPr>
                <w:rFonts w:ascii="Arial Narrow" w:hAnsi="Arial Narrow"/>
                <w:snapToGrid/>
                <w:sz w:val="18"/>
                <w:szCs w:val="18"/>
                <w:vertAlign w:val="superscript"/>
              </w:rPr>
              <w:t>a</w:t>
            </w:r>
            <w:r w:rsidRPr="00414040">
              <w:rPr>
                <w:rFonts w:ascii="Arial Narrow" w:hAnsi="Arial Narrow"/>
                <w:snapToGrid/>
                <w:sz w:val="18"/>
                <w:szCs w:val="18"/>
              </w:rPr>
              <w:t xml:space="preserve"> (IP) + </w:t>
            </w:r>
          </w:p>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DB (MP)</w:t>
            </w:r>
          </w:p>
        </w:tc>
        <w:tc>
          <w:tcPr>
            <w:tcW w:w="667" w:type="pct"/>
            <w:vAlign w:val="center"/>
          </w:tcPr>
          <w:p w:rsidR="00727CAA" w:rsidRPr="00414040" w:rsidRDefault="00727CAA" w:rsidP="005212E6">
            <w:pPr>
              <w:snapToGrid w:val="0"/>
              <w:jc w:val="center"/>
              <w:rPr>
                <w:rFonts w:ascii="Arial Narrow" w:hAnsi="Arial Narrow"/>
                <w:snapToGrid/>
                <w:sz w:val="18"/>
                <w:szCs w:val="18"/>
                <w:vertAlign w:val="superscript"/>
              </w:rPr>
            </w:pPr>
            <w:r w:rsidRPr="00414040">
              <w:rPr>
                <w:rFonts w:ascii="Arial Narrow" w:hAnsi="Arial Narrow"/>
                <w:snapToGrid/>
                <w:sz w:val="18"/>
                <w:szCs w:val="18"/>
              </w:rPr>
              <w:t>MP: 56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w:t>
            </w:r>
          </w:p>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Attained clinical remission (CDAI&lt;150) by Week 4 of induction therapy in CLASSIC I.</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CR-100,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CHARM</w:t>
            </w:r>
          </w:p>
        </w:tc>
        <w:tc>
          <w:tcPr>
            <w:tcW w:w="43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499</w:t>
            </w:r>
            <w:r w:rsidRPr="00414040">
              <w:rPr>
                <w:rFonts w:ascii="Arial Narrow" w:hAnsi="Arial Narrow"/>
                <w:b/>
                <w:snapToGrid/>
                <w:sz w:val="18"/>
                <w:szCs w:val="18"/>
                <w:vertAlign w:val="superscript"/>
              </w:rPr>
              <w:t>b</w:t>
            </w:r>
          </w:p>
        </w:tc>
        <w:tc>
          <w:tcPr>
            <w:tcW w:w="51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R, MC, OL (IP) +DB (MP)</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MP: 56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 and experienced (non-refractory)</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CR-100, CR-70</w:t>
            </w:r>
          </w:p>
        </w:tc>
      </w:tr>
      <w:tr w:rsidR="00727CAA" w:rsidRPr="00414040" w:rsidTr="005212E6">
        <w:tc>
          <w:tcPr>
            <w:tcW w:w="5000" w:type="pct"/>
            <w:gridSpan w:val="7"/>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b/>
                <w:snapToGrid/>
                <w:sz w:val="18"/>
                <w:szCs w:val="18"/>
              </w:rPr>
              <w:t>Infliximab versus placebo</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T16</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108</w:t>
            </w:r>
          </w:p>
        </w:tc>
        <w:tc>
          <w:tcPr>
            <w:tcW w:w="517" w:type="pct"/>
            <w:vAlign w:val="center"/>
          </w:tcPr>
          <w:p w:rsidR="00727CAA" w:rsidRPr="00414040" w:rsidRDefault="00727CAA" w:rsidP="005212E6">
            <w:pPr>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4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w:t>
            </w:r>
          </w:p>
        </w:tc>
        <w:tc>
          <w:tcPr>
            <w:tcW w:w="1121"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Remission (CDAI &lt;150),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ACCENT I</w:t>
            </w:r>
          </w:p>
        </w:tc>
        <w:tc>
          <w:tcPr>
            <w:tcW w:w="431" w:type="pct"/>
            <w:vAlign w:val="center"/>
          </w:tcPr>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335</w:t>
            </w:r>
          </w:p>
        </w:tc>
        <w:tc>
          <w:tcPr>
            <w:tcW w:w="517" w:type="pct"/>
            <w:vAlign w:val="center"/>
          </w:tcPr>
          <w:p w:rsidR="00727CAA" w:rsidRPr="00414040" w:rsidRDefault="00727CAA" w:rsidP="005212E6">
            <w:pPr>
              <w:jc w:val="center"/>
              <w:rPr>
                <w:rFonts w:ascii="Arial Narrow" w:hAnsi="Arial Narrow"/>
                <w:snapToGrid/>
                <w:sz w:val="18"/>
                <w:szCs w:val="18"/>
              </w:rPr>
            </w:pPr>
            <w:r w:rsidRPr="00414040">
              <w:rPr>
                <w:rFonts w:ascii="Arial Narrow" w:hAnsi="Arial Narrow"/>
                <w:snapToGrid/>
                <w:sz w:val="18"/>
                <w:szCs w:val="18"/>
              </w:rPr>
              <w:t>R, MC, OL (IP) + DB (MP)</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MP: 54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w:t>
            </w:r>
          </w:p>
        </w:tc>
        <w:tc>
          <w:tcPr>
            <w:tcW w:w="1121" w:type="pct"/>
            <w:vAlign w:val="center"/>
          </w:tcPr>
          <w:p w:rsidR="00727CAA" w:rsidRPr="00414040" w:rsidRDefault="00727CAA" w:rsidP="005212E6">
            <w:pPr>
              <w:tabs>
                <w:tab w:val="left" w:pos="180"/>
              </w:tabs>
              <w:snapToGrid w:val="0"/>
              <w:ind w:left="38"/>
              <w:jc w:val="left"/>
              <w:rPr>
                <w:rFonts w:ascii="Arial Narrow" w:hAnsi="Arial Narrow"/>
                <w:snapToGrid/>
                <w:sz w:val="18"/>
                <w:szCs w:val="18"/>
              </w:rPr>
            </w:pPr>
            <w:r w:rsidRPr="00414040">
              <w:rPr>
                <w:rFonts w:ascii="Arial Narrow" w:hAnsi="Arial Narrow"/>
                <w:snapToGrid/>
                <w:sz w:val="18"/>
                <w:szCs w:val="18"/>
              </w:rPr>
              <w:t>Remission (CDAI &lt;150)*, CR-70</w:t>
            </w:r>
          </w:p>
        </w:tc>
      </w:tr>
      <w:tr w:rsidR="00727CAA" w:rsidRPr="00414040" w:rsidTr="005212E6">
        <w:tc>
          <w:tcPr>
            <w:tcW w:w="5000" w:type="pct"/>
            <w:gridSpan w:val="7"/>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b/>
                <w:snapToGrid/>
                <w:sz w:val="18"/>
                <w:szCs w:val="18"/>
              </w:rPr>
              <w:t>Vedolizumab</w:t>
            </w:r>
            <w:r w:rsidRPr="00414040">
              <w:rPr>
                <w:rFonts w:ascii="Arial Narrow" w:hAnsi="Arial Narrow"/>
                <w:snapToGrid/>
                <w:sz w:val="18"/>
                <w:szCs w:val="18"/>
              </w:rPr>
              <w:t xml:space="preserve"> </w:t>
            </w:r>
            <w:r w:rsidRPr="00414040">
              <w:rPr>
                <w:rFonts w:ascii="Arial Narrow" w:hAnsi="Arial Narrow"/>
                <w:b/>
                <w:snapToGrid/>
                <w:sz w:val="18"/>
                <w:szCs w:val="18"/>
              </w:rPr>
              <w:t>versus placebo</w:t>
            </w:r>
          </w:p>
        </w:tc>
      </w:tr>
      <w:tr w:rsidR="00727CAA" w:rsidRPr="00FE2AD2"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GEMINI II</w:t>
            </w:r>
          </w:p>
        </w:tc>
        <w:tc>
          <w:tcPr>
            <w:tcW w:w="431" w:type="pct"/>
            <w:vAlign w:val="center"/>
          </w:tcPr>
          <w:p w:rsidR="00727CAA" w:rsidRPr="00414040" w:rsidRDefault="00727CAA" w:rsidP="005212E6">
            <w:pPr>
              <w:jc w:val="center"/>
              <w:rPr>
                <w:rFonts w:ascii="Arial Narrow" w:hAnsi="Arial Narrow"/>
                <w:snapToGrid/>
                <w:sz w:val="18"/>
                <w:szCs w:val="18"/>
              </w:rPr>
            </w:pPr>
            <w:r w:rsidRPr="00414040">
              <w:rPr>
                <w:rFonts w:ascii="Arial Narrow" w:hAnsi="Arial Narrow"/>
                <w:snapToGrid/>
                <w:sz w:val="18"/>
                <w:szCs w:val="18"/>
              </w:rPr>
              <w:t>IP: 368</w:t>
            </w:r>
          </w:p>
          <w:p w:rsidR="00727CAA" w:rsidRPr="00414040" w:rsidRDefault="00727CAA" w:rsidP="005212E6">
            <w:pPr>
              <w:snapToGrid w:val="0"/>
              <w:jc w:val="center"/>
              <w:rPr>
                <w:rFonts w:ascii="Arial Narrow" w:hAnsi="Arial Narrow"/>
                <w:b/>
                <w:snapToGrid/>
                <w:sz w:val="18"/>
                <w:szCs w:val="18"/>
              </w:rPr>
            </w:pPr>
            <w:r w:rsidRPr="00414040">
              <w:rPr>
                <w:rFonts w:ascii="Arial Narrow" w:hAnsi="Arial Narrow"/>
                <w:b/>
                <w:snapToGrid/>
                <w:sz w:val="18"/>
                <w:szCs w:val="18"/>
              </w:rPr>
              <w:t>MP: 461</w:t>
            </w:r>
          </w:p>
        </w:tc>
        <w:tc>
          <w:tcPr>
            <w:tcW w:w="517" w:type="pct"/>
            <w:vAlign w:val="center"/>
          </w:tcPr>
          <w:p w:rsidR="00727CAA" w:rsidRPr="00414040" w:rsidRDefault="00727CAA" w:rsidP="005212E6">
            <w:pPr>
              <w:jc w:val="center"/>
              <w:rPr>
                <w:rFonts w:ascii="Arial Narrow" w:hAnsi="Arial Narrow"/>
                <w:snapToGrid/>
                <w:sz w:val="18"/>
                <w:szCs w:val="18"/>
              </w:rPr>
            </w:pPr>
            <w:r w:rsidRPr="00414040">
              <w:rPr>
                <w:rFonts w:ascii="Arial Narrow" w:hAnsi="Arial Narrow"/>
                <w:snapToGrid/>
                <w:sz w:val="18"/>
                <w:szCs w:val="18"/>
              </w:rPr>
              <w:t>R, MC, OL (IP) + DB (MP)</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6 weeks,</w:t>
            </w:r>
          </w:p>
          <w:p w:rsidR="00727CAA" w:rsidRPr="00414040" w:rsidRDefault="00727CAA" w:rsidP="005212E6">
            <w:pPr>
              <w:snapToGrid w:val="0"/>
              <w:jc w:val="center"/>
              <w:rPr>
                <w:rFonts w:ascii="Arial Narrow" w:hAnsi="Arial Narrow"/>
                <w:snapToGrid/>
                <w:sz w:val="18"/>
                <w:szCs w:val="18"/>
                <w:vertAlign w:val="superscript"/>
              </w:rPr>
            </w:pPr>
            <w:r w:rsidRPr="00414040">
              <w:rPr>
                <w:rFonts w:ascii="Arial Narrow" w:hAnsi="Arial Narrow"/>
                <w:snapToGrid/>
                <w:sz w:val="18"/>
                <w:szCs w:val="18"/>
              </w:rPr>
              <w:t>MP: 52 weeks</w:t>
            </w:r>
            <w:r w:rsidRPr="00414040">
              <w:rPr>
                <w:rFonts w:ascii="Arial Narrow" w:hAnsi="Arial Narrow"/>
                <w:snapToGrid/>
                <w:sz w:val="18"/>
                <w:szCs w:val="18"/>
                <w:vertAlign w:val="superscript"/>
              </w:rPr>
              <w:t>#</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 or experienced (including≈50% refractory patients)</w:t>
            </w:r>
          </w:p>
        </w:tc>
        <w:tc>
          <w:tcPr>
            <w:tcW w:w="1121" w:type="pct"/>
            <w:vMerge w:val="restart"/>
            <w:vAlign w:val="center"/>
          </w:tcPr>
          <w:p w:rsidR="00727CAA" w:rsidRPr="00C83E81" w:rsidRDefault="00727CAA" w:rsidP="005212E6">
            <w:pPr>
              <w:tabs>
                <w:tab w:val="left" w:pos="180"/>
              </w:tabs>
              <w:snapToGrid w:val="0"/>
              <w:ind w:left="38"/>
              <w:jc w:val="left"/>
              <w:rPr>
                <w:snapToGrid/>
                <w:sz w:val="18"/>
                <w:szCs w:val="18"/>
                <w:lang w:val="it-IT"/>
              </w:rPr>
            </w:pPr>
            <w:r w:rsidRPr="00C83E81">
              <w:rPr>
                <w:rFonts w:ascii="Arial Narrow" w:hAnsi="Arial Narrow"/>
                <w:snapToGrid/>
                <w:sz w:val="18"/>
                <w:szCs w:val="18"/>
                <w:lang w:val="it-IT"/>
              </w:rPr>
              <w:t>Remission (CDAI &lt;150*), CR-100* (wk6), CR-70</w:t>
            </w:r>
          </w:p>
        </w:tc>
      </w:tr>
      <w:tr w:rsidR="00727CAA" w:rsidRPr="00414040" w:rsidTr="005212E6">
        <w:tc>
          <w:tcPr>
            <w:tcW w:w="607" w:type="pct"/>
            <w:vAlign w:val="center"/>
          </w:tcPr>
          <w:p w:rsidR="00727CAA" w:rsidRPr="00414040" w:rsidRDefault="00727CAA" w:rsidP="005212E6">
            <w:pPr>
              <w:snapToGrid w:val="0"/>
              <w:jc w:val="left"/>
              <w:rPr>
                <w:rFonts w:ascii="Arial Narrow" w:hAnsi="Arial Narrow"/>
                <w:snapToGrid/>
                <w:sz w:val="18"/>
                <w:szCs w:val="18"/>
              </w:rPr>
            </w:pPr>
            <w:r w:rsidRPr="00414040">
              <w:rPr>
                <w:rFonts w:ascii="Arial Narrow" w:hAnsi="Arial Narrow"/>
                <w:snapToGrid/>
                <w:sz w:val="18"/>
                <w:szCs w:val="18"/>
              </w:rPr>
              <w:t>GEMINI III</w:t>
            </w:r>
          </w:p>
        </w:tc>
        <w:tc>
          <w:tcPr>
            <w:tcW w:w="431"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416</w:t>
            </w:r>
          </w:p>
        </w:tc>
        <w:tc>
          <w:tcPr>
            <w:tcW w:w="517" w:type="pct"/>
            <w:vAlign w:val="center"/>
          </w:tcPr>
          <w:p w:rsidR="00727CAA" w:rsidRPr="00414040" w:rsidRDefault="00727CAA" w:rsidP="005212E6">
            <w:pPr>
              <w:jc w:val="center"/>
              <w:rPr>
                <w:rFonts w:ascii="Arial Narrow" w:hAnsi="Arial Narrow"/>
                <w:snapToGrid/>
                <w:sz w:val="18"/>
                <w:szCs w:val="18"/>
              </w:rPr>
            </w:pPr>
            <w:r w:rsidRPr="00414040">
              <w:rPr>
                <w:rFonts w:ascii="Arial Narrow" w:hAnsi="Arial Narrow"/>
                <w:snapToGrid/>
                <w:sz w:val="18"/>
                <w:szCs w:val="18"/>
              </w:rPr>
              <w:t>R, DB, MC</w:t>
            </w:r>
          </w:p>
        </w:tc>
        <w:tc>
          <w:tcPr>
            <w:tcW w:w="667"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IP: 6 weeks</w:t>
            </w:r>
          </w:p>
        </w:tc>
        <w:tc>
          <w:tcPr>
            <w:tcW w:w="308" w:type="pct"/>
            <w:vAlign w:val="center"/>
          </w:tcPr>
          <w:p w:rsidR="00727CAA" w:rsidRPr="00414040" w:rsidRDefault="00727CAA" w:rsidP="005212E6">
            <w:pPr>
              <w:snapToGrid w:val="0"/>
              <w:jc w:val="center"/>
              <w:rPr>
                <w:rFonts w:ascii="Arial Narrow" w:hAnsi="Arial Narrow"/>
                <w:snapToGrid/>
                <w:sz w:val="18"/>
                <w:szCs w:val="18"/>
              </w:rPr>
            </w:pPr>
            <w:r w:rsidRPr="00414040">
              <w:rPr>
                <w:rFonts w:ascii="Arial Narrow" w:hAnsi="Arial Narrow"/>
                <w:snapToGrid/>
                <w:sz w:val="18"/>
                <w:szCs w:val="18"/>
              </w:rPr>
              <w:t>Low</w:t>
            </w:r>
          </w:p>
        </w:tc>
        <w:tc>
          <w:tcPr>
            <w:tcW w:w="1350" w:type="pct"/>
            <w:vAlign w:val="center"/>
          </w:tcPr>
          <w:p w:rsidR="00727CAA" w:rsidRPr="00414040" w:rsidRDefault="00727CAA" w:rsidP="005212E6">
            <w:pPr>
              <w:tabs>
                <w:tab w:val="left" w:pos="180"/>
              </w:tabs>
              <w:snapToGrid w:val="0"/>
              <w:contextualSpacing/>
              <w:jc w:val="left"/>
              <w:rPr>
                <w:rFonts w:ascii="Arial Narrow" w:hAnsi="Arial Narrow"/>
                <w:snapToGrid/>
                <w:sz w:val="18"/>
                <w:szCs w:val="18"/>
              </w:rPr>
            </w:pPr>
            <w:r w:rsidRPr="00414040">
              <w:rPr>
                <w:rFonts w:ascii="Arial Narrow" w:hAnsi="Arial Narrow"/>
                <w:snapToGrid/>
                <w:sz w:val="18"/>
                <w:szCs w:val="18"/>
              </w:rPr>
              <w:t>TNF</w:t>
            </w:r>
            <w:r w:rsidRPr="00414040">
              <w:rPr>
                <w:snapToGrid/>
                <w:sz w:val="18"/>
                <w:szCs w:val="18"/>
              </w:rPr>
              <w:t>ɑ</w:t>
            </w:r>
            <w:r w:rsidRPr="00414040">
              <w:rPr>
                <w:rFonts w:ascii="Arial Narrow" w:hAnsi="Arial Narrow"/>
                <w:snapToGrid/>
                <w:sz w:val="18"/>
                <w:szCs w:val="18"/>
              </w:rPr>
              <w:t xml:space="preserve"> antagonist naïve or experienced (including≈76% refractory patients)</w:t>
            </w:r>
          </w:p>
        </w:tc>
        <w:tc>
          <w:tcPr>
            <w:tcW w:w="1121" w:type="pct"/>
            <w:vMerge/>
            <w:vAlign w:val="center"/>
          </w:tcPr>
          <w:p w:rsidR="00727CAA" w:rsidRPr="00414040" w:rsidRDefault="00727CAA" w:rsidP="005212E6">
            <w:pPr>
              <w:snapToGrid w:val="0"/>
              <w:jc w:val="center"/>
              <w:rPr>
                <w:rFonts w:ascii="Arial Narrow" w:hAnsi="Arial Narrow"/>
                <w:snapToGrid/>
                <w:sz w:val="18"/>
                <w:szCs w:val="18"/>
              </w:rPr>
            </w:pPr>
          </w:p>
        </w:tc>
      </w:tr>
    </w:tbl>
    <w:p w:rsidR="00727CAA" w:rsidRPr="000648D6" w:rsidRDefault="00727CAA" w:rsidP="000648D6">
      <w:pPr>
        <w:ind w:left="709"/>
        <w:rPr>
          <w:rFonts w:ascii="Arial Narrow" w:hAnsi="Arial Narrow"/>
          <w:snapToGrid/>
          <w:sz w:val="16"/>
          <w:szCs w:val="18"/>
        </w:rPr>
      </w:pPr>
      <w:r w:rsidRPr="000648D6">
        <w:rPr>
          <w:rFonts w:ascii="Arial Narrow" w:hAnsi="Arial Narrow"/>
          <w:snapToGrid/>
          <w:sz w:val="16"/>
          <w:szCs w:val="18"/>
        </w:rPr>
        <w:t>Abbreviations: DB=double blind; MC=multicentre, IP= induction phase; MP = maintenance phase; OL=open-label; R=randomised, CR-70=clinical response as defined by attaining CDAI ≥ 70 point reduction from baseline; CR-100= clinical response as defined by attaining CDAI ≥ 100 point reduction from baseline.</w:t>
      </w:r>
    </w:p>
    <w:p w:rsidR="00087A9D" w:rsidRPr="000648D6" w:rsidRDefault="00093CF0" w:rsidP="000648D6">
      <w:pPr>
        <w:ind w:left="709"/>
        <w:rPr>
          <w:rFonts w:ascii="Arial Narrow" w:hAnsi="Arial Narrow"/>
          <w:snapToGrid/>
          <w:sz w:val="16"/>
          <w:szCs w:val="18"/>
        </w:rPr>
      </w:pPr>
      <w:r>
        <w:rPr>
          <w:rFonts w:ascii="Arial Narrow" w:hAnsi="Arial Narrow"/>
          <w:snapToGrid/>
          <w:sz w:val="16"/>
          <w:szCs w:val="18"/>
        </w:rPr>
        <w:t>*</w:t>
      </w:r>
      <w:r>
        <w:rPr>
          <w:rFonts w:ascii="Arial Narrow" w:hAnsi="Arial Narrow"/>
          <w:snapToGrid/>
          <w:sz w:val="16"/>
          <w:szCs w:val="18"/>
        </w:rPr>
        <w:tab/>
        <w:t>denote primary trial outcome</w:t>
      </w:r>
    </w:p>
    <w:p w:rsidR="00727CAA" w:rsidRPr="0077213E" w:rsidRDefault="00727CAA" w:rsidP="000648D6">
      <w:pPr>
        <w:ind w:left="709"/>
        <w:rPr>
          <w:rFonts w:ascii="Arial Narrow" w:hAnsi="Arial Narrow"/>
          <w:snapToGrid/>
          <w:sz w:val="16"/>
          <w:szCs w:val="18"/>
        </w:rPr>
      </w:pPr>
      <w:r w:rsidRPr="0077213E">
        <w:rPr>
          <w:rFonts w:ascii="Arial Narrow" w:hAnsi="Arial Narrow"/>
          <w:snapToGrid/>
          <w:sz w:val="16"/>
          <w:szCs w:val="18"/>
        </w:rPr>
        <w:t>#</w:t>
      </w:r>
      <w:r w:rsidRPr="0077213E">
        <w:rPr>
          <w:rFonts w:ascii="Arial Narrow" w:hAnsi="Arial Narrow"/>
          <w:snapToGrid/>
          <w:sz w:val="16"/>
          <w:szCs w:val="18"/>
        </w:rPr>
        <w:tab/>
        <w:t>counted from start of induction therapy.</w:t>
      </w:r>
    </w:p>
    <w:p w:rsidR="00727CAA" w:rsidRPr="0077213E" w:rsidRDefault="00727CAA" w:rsidP="000648D6">
      <w:pPr>
        <w:ind w:left="709"/>
        <w:rPr>
          <w:rFonts w:ascii="Arial Narrow" w:hAnsi="Arial Narrow"/>
          <w:snapToGrid/>
          <w:sz w:val="16"/>
          <w:szCs w:val="18"/>
        </w:rPr>
      </w:pPr>
      <w:r w:rsidRPr="0077213E">
        <w:rPr>
          <w:rFonts w:ascii="Arial Narrow" w:hAnsi="Arial Narrow"/>
          <w:snapToGrid/>
          <w:sz w:val="16"/>
          <w:szCs w:val="18"/>
        </w:rPr>
        <w:t>^</w:t>
      </w:r>
      <w:r w:rsidRPr="0077213E">
        <w:rPr>
          <w:rFonts w:ascii="Arial Narrow" w:hAnsi="Arial Narrow"/>
          <w:snapToGrid/>
          <w:sz w:val="16"/>
          <w:szCs w:val="18"/>
        </w:rPr>
        <w:tab/>
        <w:t>Subjects with a baseline CDAI score of ≥220 to ≥248 points were considered to be in clinical response if a CDAI score of &lt;150 was attained.  Subjects who met any of the treatment failure rules (Section 3.11.2.6.1), or who were missing more than 4 components of the CDAI score at Week 6, were considered not to have achiev</w:t>
      </w:r>
      <w:r w:rsidR="00093CF0">
        <w:rPr>
          <w:rFonts w:ascii="Arial Narrow" w:hAnsi="Arial Narrow"/>
          <w:snapToGrid/>
          <w:sz w:val="16"/>
          <w:szCs w:val="18"/>
        </w:rPr>
        <w:t>ed clinical response at Week 6.</w:t>
      </w:r>
    </w:p>
    <w:p w:rsidR="00727CAA" w:rsidRPr="0077213E" w:rsidRDefault="00727CAA" w:rsidP="000648D6">
      <w:pPr>
        <w:ind w:left="709"/>
        <w:rPr>
          <w:rFonts w:ascii="Arial Narrow" w:hAnsi="Arial Narrow"/>
          <w:snapToGrid/>
          <w:sz w:val="16"/>
          <w:szCs w:val="18"/>
        </w:rPr>
      </w:pPr>
      <w:r w:rsidRPr="004C35A7">
        <w:rPr>
          <w:rFonts w:ascii="Arial Narrow" w:hAnsi="Arial Narrow"/>
          <w:snapToGrid/>
          <w:sz w:val="16"/>
          <w:szCs w:val="18"/>
          <w:vertAlign w:val="superscript"/>
        </w:rPr>
        <w:t>a</w:t>
      </w:r>
      <w:r w:rsidRPr="0077213E">
        <w:rPr>
          <w:rFonts w:ascii="Arial Narrow" w:hAnsi="Arial Narrow"/>
          <w:snapToGrid/>
          <w:sz w:val="16"/>
          <w:szCs w:val="18"/>
        </w:rPr>
        <w:tab/>
        <w:t xml:space="preserve">CLASSIC II had 55 patients in the randomised cohort; only this cohort is presented </w:t>
      </w:r>
      <w:r w:rsidR="000471F6" w:rsidRPr="0077213E">
        <w:rPr>
          <w:rFonts w:ascii="Arial Narrow" w:hAnsi="Arial Narrow"/>
          <w:snapToGrid/>
          <w:sz w:val="16"/>
          <w:szCs w:val="18"/>
        </w:rPr>
        <w:t>here</w:t>
      </w:r>
      <w:r w:rsidRPr="0077213E">
        <w:rPr>
          <w:rFonts w:ascii="Arial Narrow" w:hAnsi="Arial Narrow"/>
          <w:snapToGrid/>
          <w:sz w:val="16"/>
          <w:szCs w:val="18"/>
        </w:rPr>
        <w:t xml:space="preserve">.  The 204 patients in this trial who were ineligible for randomisation and received open-label adalimumab have not been included </w:t>
      </w:r>
      <w:r w:rsidR="000471F6" w:rsidRPr="0077213E">
        <w:rPr>
          <w:rFonts w:ascii="Arial Narrow" w:hAnsi="Arial Narrow"/>
          <w:snapToGrid/>
          <w:sz w:val="16"/>
          <w:szCs w:val="18"/>
        </w:rPr>
        <w:t>here</w:t>
      </w:r>
      <w:r w:rsidRPr="0077213E">
        <w:rPr>
          <w:rFonts w:ascii="Arial Narrow" w:hAnsi="Arial Narrow"/>
          <w:snapToGrid/>
          <w:sz w:val="16"/>
          <w:szCs w:val="18"/>
        </w:rPr>
        <w:t>.</w:t>
      </w:r>
    </w:p>
    <w:p w:rsidR="00727CAA" w:rsidRPr="0077213E" w:rsidRDefault="00727CAA" w:rsidP="000648D6">
      <w:pPr>
        <w:ind w:left="709"/>
        <w:rPr>
          <w:rFonts w:ascii="Arial Narrow" w:hAnsi="Arial Narrow"/>
          <w:snapToGrid/>
          <w:sz w:val="16"/>
          <w:szCs w:val="18"/>
        </w:rPr>
      </w:pPr>
      <w:r w:rsidRPr="004C35A7">
        <w:rPr>
          <w:rFonts w:ascii="Arial Narrow" w:hAnsi="Arial Narrow"/>
          <w:snapToGrid/>
          <w:sz w:val="16"/>
          <w:szCs w:val="18"/>
          <w:vertAlign w:val="superscript"/>
        </w:rPr>
        <w:t>b</w:t>
      </w:r>
      <w:r w:rsidRPr="0077213E">
        <w:rPr>
          <w:rFonts w:ascii="Arial Narrow" w:hAnsi="Arial Narrow"/>
          <w:snapToGrid/>
          <w:sz w:val="16"/>
          <w:szCs w:val="18"/>
        </w:rPr>
        <w:tab/>
        <w:t>CHARM was considered a maintenance trial, as induction therapy used a lower adalimumab dose than TGA-approved, and there was no placebo comparison in induction.  Induction therapy response was conducted at Week 4.</w:t>
      </w:r>
    </w:p>
    <w:p w:rsidR="00727CAA" w:rsidRPr="000648D6" w:rsidRDefault="00727CAA" w:rsidP="000648D6">
      <w:pPr>
        <w:ind w:left="709"/>
        <w:rPr>
          <w:rFonts w:ascii="Arial Narrow" w:hAnsi="Arial Narrow"/>
          <w:snapToGrid/>
          <w:sz w:val="16"/>
          <w:szCs w:val="18"/>
        </w:rPr>
      </w:pPr>
      <w:r w:rsidRPr="000648D6">
        <w:rPr>
          <w:rFonts w:ascii="Arial Narrow" w:hAnsi="Arial Narrow"/>
          <w:snapToGrid/>
          <w:sz w:val="16"/>
          <w:szCs w:val="18"/>
        </w:rPr>
        <w:t>Source: compiled during the evaluation</w:t>
      </w:r>
    </w:p>
    <w:p w:rsidR="00C51274" w:rsidRDefault="00C51274" w:rsidP="00C51274">
      <w:pPr>
        <w:rPr>
          <w:snapToGrid/>
        </w:rPr>
      </w:pPr>
    </w:p>
    <w:p w:rsidR="00C2032D" w:rsidRDefault="00C2032D">
      <w:pPr>
        <w:widowControl/>
        <w:jc w:val="left"/>
        <w:rPr>
          <w:snapToGrid/>
          <w:u w:val="single"/>
        </w:rPr>
      </w:pPr>
      <w:r>
        <w:rPr>
          <w:snapToGrid/>
        </w:rPr>
        <w:br w:type="page"/>
      </w:r>
    </w:p>
    <w:p w:rsidR="00727CAA" w:rsidRDefault="00727CAA" w:rsidP="00C51274">
      <w:pPr>
        <w:pStyle w:val="Heading3"/>
        <w:rPr>
          <w:snapToGrid/>
        </w:rPr>
      </w:pPr>
      <w:r w:rsidRPr="00414040">
        <w:rPr>
          <w:snapToGrid/>
        </w:rPr>
        <w:t>Fistulising CD</w:t>
      </w:r>
    </w:p>
    <w:p w:rsidR="00C51274" w:rsidRPr="00C51274" w:rsidRDefault="00C51274" w:rsidP="00C51274"/>
    <w:p w:rsidR="00727CAA" w:rsidRPr="00414040" w:rsidRDefault="00727CAA" w:rsidP="00506A87">
      <w:pPr>
        <w:pStyle w:val="ListParagraph"/>
        <w:widowControl/>
        <w:numPr>
          <w:ilvl w:val="1"/>
          <w:numId w:val="1"/>
        </w:numPr>
        <w:rPr>
          <w:szCs w:val="22"/>
        </w:rPr>
      </w:pPr>
      <w:r>
        <w:rPr>
          <w:rFonts w:ascii="Arial Narrow" w:hAnsi="Arial Narrow"/>
          <w:b/>
          <w:snapToGrid/>
          <w:sz w:val="20"/>
          <w:szCs w:val="16"/>
        </w:rPr>
        <w:t>Table 3</w:t>
      </w:r>
      <w:r w:rsidRPr="00414040">
        <w:rPr>
          <w:rFonts w:ascii="Arial Narrow" w:hAnsi="Arial Narrow"/>
          <w:b/>
          <w:snapToGrid/>
          <w:sz w:val="20"/>
          <w:szCs w:val="16"/>
        </w:rPr>
        <w:t>: Key features of the included evidence- Fistulising CD</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1"/>
        <w:gridCol w:w="716"/>
        <w:gridCol w:w="713"/>
        <w:gridCol w:w="1245"/>
        <w:gridCol w:w="510"/>
        <w:gridCol w:w="1528"/>
        <w:gridCol w:w="2851"/>
      </w:tblGrid>
      <w:tr w:rsidR="00727CAA" w:rsidRPr="00414040" w:rsidTr="005212E6">
        <w:trPr>
          <w:tblHeader/>
        </w:trPr>
        <w:tc>
          <w:tcPr>
            <w:tcW w:w="511" w:type="pct"/>
            <w:vAlign w:val="center"/>
          </w:tcPr>
          <w:p w:rsidR="00727CAA" w:rsidRPr="00913156" w:rsidRDefault="00727CAA" w:rsidP="005212E6">
            <w:pPr>
              <w:snapToGrid w:val="0"/>
              <w:jc w:val="left"/>
              <w:rPr>
                <w:rFonts w:ascii="Arial Narrow" w:hAnsi="Arial Narrow"/>
                <w:b/>
                <w:snapToGrid/>
                <w:sz w:val="18"/>
                <w:szCs w:val="18"/>
              </w:rPr>
            </w:pPr>
            <w:r w:rsidRPr="00913156">
              <w:rPr>
                <w:rFonts w:ascii="Arial Narrow" w:hAnsi="Arial Narrow"/>
                <w:b/>
                <w:snapToGrid/>
                <w:sz w:val="18"/>
                <w:szCs w:val="18"/>
              </w:rPr>
              <w:t>Trial</w:t>
            </w:r>
          </w:p>
        </w:tc>
        <w:tc>
          <w:tcPr>
            <w:tcW w:w="425"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N</w:t>
            </w:r>
          </w:p>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(with fistulas)</w:t>
            </w:r>
          </w:p>
        </w:tc>
        <w:tc>
          <w:tcPr>
            <w:tcW w:w="423"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Design</w:t>
            </w:r>
          </w:p>
        </w:tc>
        <w:tc>
          <w:tcPr>
            <w:tcW w:w="739"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Durations</w:t>
            </w:r>
          </w:p>
        </w:tc>
        <w:tc>
          <w:tcPr>
            <w:tcW w:w="303"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Risk of bias</w:t>
            </w:r>
          </w:p>
        </w:tc>
        <w:tc>
          <w:tcPr>
            <w:tcW w:w="907"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Patient population</w:t>
            </w:r>
          </w:p>
        </w:tc>
        <w:tc>
          <w:tcPr>
            <w:tcW w:w="1692" w:type="pct"/>
            <w:vAlign w:val="center"/>
          </w:tcPr>
          <w:p w:rsidR="00727CAA" w:rsidRPr="00913156" w:rsidRDefault="00727CAA" w:rsidP="005212E6">
            <w:pPr>
              <w:snapToGrid w:val="0"/>
              <w:jc w:val="center"/>
              <w:rPr>
                <w:rFonts w:ascii="Arial Narrow" w:hAnsi="Arial Narrow"/>
                <w:b/>
                <w:snapToGrid/>
                <w:sz w:val="18"/>
                <w:szCs w:val="18"/>
              </w:rPr>
            </w:pPr>
            <w:r w:rsidRPr="00913156">
              <w:rPr>
                <w:rFonts w:ascii="Arial Narrow" w:hAnsi="Arial Narrow"/>
                <w:b/>
                <w:snapToGrid/>
                <w:sz w:val="18"/>
                <w:szCs w:val="18"/>
              </w:rPr>
              <w:t>Relevant Outcomes</w:t>
            </w:r>
          </w:p>
        </w:tc>
      </w:tr>
      <w:tr w:rsidR="00727CAA" w:rsidRPr="00414040" w:rsidTr="005212E6">
        <w:tc>
          <w:tcPr>
            <w:tcW w:w="5000" w:type="pct"/>
            <w:gridSpan w:val="7"/>
          </w:tcPr>
          <w:p w:rsidR="00727CAA" w:rsidRPr="00913156" w:rsidRDefault="00727CAA" w:rsidP="005212E6">
            <w:pPr>
              <w:snapToGrid w:val="0"/>
              <w:jc w:val="left"/>
              <w:rPr>
                <w:rFonts w:ascii="Arial Narrow" w:hAnsi="Arial Narrow"/>
                <w:b/>
                <w:snapToGrid/>
                <w:sz w:val="18"/>
                <w:szCs w:val="18"/>
              </w:rPr>
            </w:pPr>
            <w:r w:rsidRPr="00913156">
              <w:rPr>
                <w:rFonts w:ascii="Arial Narrow" w:hAnsi="Arial Narrow"/>
                <w:b/>
                <w:snapToGrid/>
                <w:sz w:val="18"/>
                <w:szCs w:val="18"/>
              </w:rPr>
              <w:t>Ustekinumab versus placebo</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UNITI-1</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143</w:t>
            </w:r>
            <w:r w:rsidRPr="00913156">
              <w:rPr>
                <w:rFonts w:ascii="Arial Narrow" w:hAnsi="Arial Narrow"/>
                <w:snapToGrid/>
                <w:sz w:val="18"/>
                <w:szCs w:val="18"/>
                <w:vertAlign w:val="superscript"/>
              </w:rPr>
              <w:t>c</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8 weeks</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TNF</w:t>
            </w:r>
            <w:r w:rsidRPr="00913156">
              <w:rPr>
                <w:snapToGrid/>
                <w:sz w:val="18"/>
                <w:szCs w:val="18"/>
              </w:rPr>
              <w:t>ɑ</w:t>
            </w:r>
            <w:r w:rsidRPr="00913156">
              <w:rPr>
                <w:rFonts w:ascii="Arial Narrow" w:hAnsi="Arial Narrow"/>
                <w:snapToGrid/>
                <w:sz w:val="18"/>
                <w:szCs w:val="18"/>
              </w:rPr>
              <w:t xml:space="preserve"> refractory</w:t>
            </w:r>
          </w:p>
        </w:tc>
        <w:tc>
          <w:tcPr>
            <w:tcW w:w="1692" w:type="pct"/>
            <w:vMerge w:val="restart"/>
            <w:vAlign w:val="center"/>
          </w:tcPr>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rPr>
              <w:t>≥50% reduction in number of opening/draining fistulas</w:t>
            </w:r>
            <w:r w:rsidRPr="00913156">
              <w:rPr>
                <w:rFonts w:ascii="Arial Narrow" w:hAnsi="Arial Narrow"/>
                <w:snapToGrid/>
                <w:sz w:val="18"/>
                <w:szCs w:val="18"/>
                <w:vertAlign w:val="superscript"/>
              </w:rPr>
              <w:t>+</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UNITI-2</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98</w:t>
            </w:r>
            <w:r w:rsidRPr="00913156">
              <w:rPr>
                <w:rFonts w:ascii="Arial Narrow" w:hAnsi="Arial Narrow"/>
                <w:snapToGrid/>
                <w:sz w:val="18"/>
                <w:szCs w:val="18"/>
                <w:vertAlign w:val="superscript"/>
              </w:rPr>
              <w:t>c</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8 weeks</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TNF naïve and TNF experienced (non-refractory)</w:t>
            </w:r>
          </w:p>
        </w:tc>
        <w:tc>
          <w:tcPr>
            <w:tcW w:w="1692" w:type="pct"/>
            <w:vMerge/>
            <w:vAlign w:val="center"/>
          </w:tcPr>
          <w:p w:rsidR="00727CAA" w:rsidRPr="00913156" w:rsidRDefault="00727CAA" w:rsidP="005212E6">
            <w:pPr>
              <w:snapToGrid w:val="0"/>
              <w:ind w:left="360"/>
              <w:jc w:val="left"/>
              <w:rPr>
                <w:rFonts w:ascii="Arial Narrow" w:hAnsi="Arial Narrow"/>
                <w:snapToGrid/>
                <w:sz w:val="18"/>
                <w:szCs w:val="18"/>
              </w:rPr>
            </w:pP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IM-UNITI</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MP: 59</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MP: 52 weeks</w:t>
            </w:r>
            <w:r w:rsidRPr="00913156">
              <w:rPr>
                <w:rFonts w:ascii="Arial Narrow" w:hAnsi="Arial Narrow"/>
                <w:snapToGrid/>
                <w:sz w:val="18"/>
                <w:szCs w:val="18"/>
                <w:vertAlign w:val="superscript"/>
              </w:rPr>
              <w:t>#</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Patients with response (CR-100) to UST induction at W8 of UNITI</w:t>
            </w:r>
            <w:r w:rsidRPr="00913156">
              <w:rPr>
                <w:rFonts w:ascii="Arial Narrow" w:hAnsi="Arial Narrow"/>
                <w:snapToGrid/>
                <w:sz w:val="18"/>
                <w:szCs w:val="18"/>
              </w:rPr>
              <w:noBreakHyphen/>
              <w:t>1 or UNITI</w:t>
            </w:r>
            <w:r w:rsidRPr="00913156">
              <w:rPr>
                <w:rFonts w:ascii="Arial Narrow" w:hAnsi="Arial Narrow"/>
                <w:snapToGrid/>
                <w:sz w:val="18"/>
                <w:szCs w:val="18"/>
              </w:rPr>
              <w:noBreakHyphen/>
              <w:t>2</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≥50% reduction from baseline of the induction trial in the number of opening/draining fistulas</w:t>
            </w:r>
            <w:r w:rsidRPr="00913156">
              <w:rPr>
                <w:rFonts w:ascii="Arial Narrow" w:hAnsi="Arial Narrow"/>
                <w:snapToGrid/>
                <w:sz w:val="18"/>
                <w:szCs w:val="18"/>
                <w:vertAlign w:val="superscript"/>
              </w:rPr>
              <w:t>+</w:t>
            </w:r>
          </w:p>
        </w:tc>
      </w:tr>
      <w:tr w:rsidR="00727CAA" w:rsidRPr="00414040" w:rsidTr="005212E6">
        <w:tc>
          <w:tcPr>
            <w:tcW w:w="5000" w:type="pct"/>
            <w:gridSpan w:val="7"/>
          </w:tcPr>
          <w:p w:rsidR="00727CAA" w:rsidRPr="00913156" w:rsidRDefault="00727CAA" w:rsidP="005212E6">
            <w:pPr>
              <w:snapToGrid w:val="0"/>
              <w:jc w:val="left"/>
              <w:rPr>
                <w:rFonts w:ascii="Arial Narrow" w:hAnsi="Arial Narrow"/>
                <w:b/>
                <w:snapToGrid/>
                <w:sz w:val="18"/>
                <w:szCs w:val="18"/>
              </w:rPr>
            </w:pPr>
            <w:r w:rsidRPr="00913156">
              <w:rPr>
                <w:rFonts w:ascii="Arial Narrow" w:hAnsi="Arial Narrow"/>
                <w:b/>
                <w:snapToGrid/>
                <w:sz w:val="18"/>
                <w:szCs w:val="18"/>
              </w:rPr>
              <w:t>Adalimumab versus. Placebo</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CLASSIC I</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32</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4 weeks</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TNF</w:t>
            </w:r>
            <w:r w:rsidRPr="00913156">
              <w:rPr>
                <w:snapToGrid/>
                <w:sz w:val="18"/>
                <w:szCs w:val="18"/>
              </w:rPr>
              <w:t>ɑ</w:t>
            </w:r>
            <w:r w:rsidRPr="00913156">
              <w:rPr>
                <w:rFonts w:ascii="Arial Narrow" w:hAnsi="Arial Narrow"/>
                <w:snapToGrid/>
                <w:sz w:val="18"/>
                <w:szCs w:val="18"/>
              </w:rPr>
              <w:t xml:space="preserve"> antagonist naive</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≥50% reduction in number of draining fistulas at 2 consecutive visits (wk 2 and 4).</w:t>
            </w:r>
          </w:p>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u w:val="single"/>
              </w:rPr>
              <w:t>Fistula remission</w:t>
            </w:r>
          </w:p>
          <w:p w:rsidR="00727CAA" w:rsidRPr="00913156" w:rsidRDefault="00727CAA" w:rsidP="005212E6">
            <w:pPr>
              <w:tabs>
                <w:tab w:val="left" w:pos="180"/>
              </w:tabs>
              <w:snapToGrid w:val="0"/>
              <w:jc w:val="left"/>
              <w:rPr>
                <w:snapToGrid/>
                <w:sz w:val="18"/>
                <w:szCs w:val="18"/>
              </w:rPr>
            </w:pPr>
            <w:r w:rsidRPr="00913156">
              <w:rPr>
                <w:rFonts w:ascii="Arial Narrow" w:hAnsi="Arial Narrow"/>
                <w:snapToGrid/>
                <w:sz w:val="18"/>
                <w:szCs w:val="18"/>
              </w:rPr>
              <w:t>Closing of all draining fistulas at 2 consecutive visits (wk 2 and 4)</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GAIN</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45</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4 weeks</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TNF</w:t>
            </w:r>
            <w:r w:rsidRPr="00913156">
              <w:rPr>
                <w:snapToGrid/>
                <w:sz w:val="18"/>
                <w:szCs w:val="18"/>
              </w:rPr>
              <w:t>ɑ</w:t>
            </w:r>
            <w:r w:rsidRPr="00913156">
              <w:rPr>
                <w:rFonts w:ascii="Arial Narrow" w:hAnsi="Arial Narrow"/>
                <w:snapToGrid/>
                <w:sz w:val="18"/>
                <w:szCs w:val="18"/>
              </w:rPr>
              <w:t xml:space="preserve"> antagonist experienced (intolerance or lost response)</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≥50% reduction in number of draining fistulas at 2 consecutive visits (wk 2 and 4).</w:t>
            </w:r>
          </w:p>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u w:val="single"/>
              </w:rPr>
              <w:t>Fistula remission</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Closing of all draining fistulas at 2 consecutive visits (wk 2 and 4)</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vertAlign w:val="superscript"/>
              </w:rPr>
            </w:pPr>
            <w:r w:rsidRPr="00913156">
              <w:rPr>
                <w:rFonts w:ascii="Arial Narrow" w:hAnsi="Arial Narrow"/>
                <w:snapToGrid/>
                <w:sz w:val="18"/>
                <w:szCs w:val="18"/>
              </w:rPr>
              <w:t>CHARM</w:t>
            </w:r>
            <w:r w:rsidRPr="00913156">
              <w:rPr>
                <w:rFonts w:ascii="Arial Narrow" w:hAnsi="Arial Narrow"/>
                <w:snapToGrid/>
                <w:sz w:val="18"/>
                <w:szCs w:val="18"/>
                <w:vertAlign w:val="superscript"/>
              </w:rPr>
              <w:t>b</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MP: 64</w:t>
            </w:r>
          </w:p>
        </w:tc>
        <w:tc>
          <w:tcPr>
            <w:tcW w:w="42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R, MC, OL (IP) +DB (MP)</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4 weeks)</w:t>
            </w:r>
          </w:p>
          <w:p w:rsidR="00727CAA" w:rsidRPr="00913156" w:rsidRDefault="00727CAA" w:rsidP="005212E6">
            <w:pPr>
              <w:snapToGrid w:val="0"/>
              <w:jc w:val="center"/>
              <w:rPr>
                <w:rFonts w:ascii="Arial Narrow" w:hAnsi="Arial Narrow"/>
                <w:snapToGrid/>
                <w:sz w:val="18"/>
                <w:szCs w:val="18"/>
                <w:vertAlign w:val="superscript"/>
              </w:rPr>
            </w:pPr>
            <w:r w:rsidRPr="00913156">
              <w:rPr>
                <w:rFonts w:ascii="Arial Narrow" w:hAnsi="Arial Narrow"/>
                <w:snapToGrid/>
                <w:sz w:val="18"/>
                <w:szCs w:val="18"/>
              </w:rPr>
              <w:t>MP: 56 weeks</w:t>
            </w:r>
            <w:r w:rsidRPr="00913156">
              <w:rPr>
                <w:rFonts w:ascii="Arial Narrow" w:hAnsi="Arial Narrow"/>
                <w:snapToGrid/>
                <w:sz w:val="18"/>
                <w:szCs w:val="18"/>
                <w:vertAlign w:val="superscript"/>
              </w:rPr>
              <w:t>#</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TNF</w:t>
            </w:r>
            <w:r w:rsidRPr="00913156">
              <w:rPr>
                <w:snapToGrid/>
                <w:sz w:val="18"/>
                <w:szCs w:val="18"/>
              </w:rPr>
              <w:t>ɑ</w:t>
            </w:r>
            <w:r w:rsidRPr="00913156">
              <w:rPr>
                <w:rFonts w:ascii="Arial Narrow" w:hAnsi="Arial Narrow"/>
                <w:snapToGrid/>
                <w:sz w:val="18"/>
                <w:szCs w:val="18"/>
              </w:rPr>
              <w:t xml:space="preserve"> antagonist naive</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remission</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Complete closure of all draining fistulas (wk</w:t>
            </w:r>
            <w:r w:rsidR="00A612F8" w:rsidRPr="00913156">
              <w:rPr>
                <w:rFonts w:ascii="Arial Narrow" w:hAnsi="Arial Narrow"/>
                <w:snapToGrid/>
                <w:sz w:val="18"/>
                <w:szCs w:val="18"/>
              </w:rPr>
              <w:t xml:space="preserve"> </w:t>
            </w:r>
            <w:r w:rsidRPr="00913156">
              <w:rPr>
                <w:rFonts w:ascii="Arial Narrow" w:hAnsi="Arial Narrow"/>
                <w:snapToGrid/>
                <w:sz w:val="18"/>
                <w:szCs w:val="18"/>
              </w:rPr>
              <w:t>26 and 56</w:t>
            </w:r>
            <w:r w:rsidRPr="00913156">
              <w:rPr>
                <w:rFonts w:ascii="Arial Narrow" w:hAnsi="Arial Narrow"/>
                <w:snapToGrid/>
                <w:sz w:val="18"/>
                <w:szCs w:val="18"/>
                <w:vertAlign w:val="superscript"/>
              </w:rPr>
              <w:t>#</w:t>
            </w:r>
            <w:r w:rsidRPr="00913156">
              <w:rPr>
                <w:rFonts w:ascii="Arial Narrow" w:hAnsi="Arial Narrow"/>
                <w:snapToGrid/>
                <w:sz w:val="18"/>
                <w:szCs w:val="18"/>
              </w:rPr>
              <w:t>)</w:t>
            </w:r>
          </w:p>
        </w:tc>
      </w:tr>
      <w:tr w:rsidR="00727CAA" w:rsidRPr="00414040" w:rsidTr="005212E6">
        <w:tc>
          <w:tcPr>
            <w:tcW w:w="5000" w:type="pct"/>
            <w:gridSpan w:val="7"/>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b/>
                <w:snapToGrid/>
                <w:sz w:val="18"/>
                <w:szCs w:val="18"/>
              </w:rPr>
              <w:t>Infliximab versus placebo</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rPr>
            </w:pPr>
            <w:r w:rsidRPr="00913156">
              <w:rPr>
                <w:rFonts w:ascii="Arial Narrow" w:hAnsi="Arial Narrow"/>
                <w:snapToGrid/>
                <w:sz w:val="18"/>
                <w:szCs w:val="18"/>
              </w:rPr>
              <w:t>T20</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94</w:t>
            </w:r>
          </w:p>
        </w:tc>
        <w:tc>
          <w:tcPr>
            <w:tcW w:w="423" w:type="pct"/>
            <w:vAlign w:val="center"/>
          </w:tcPr>
          <w:p w:rsidR="00727CAA" w:rsidRPr="00913156" w:rsidRDefault="00727CAA" w:rsidP="005212E6">
            <w:pPr>
              <w:jc w:val="center"/>
              <w:rPr>
                <w:rFonts w:ascii="Arial Narrow" w:hAnsi="Arial Narrow"/>
                <w:snapToGrid/>
                <w:sz w:val="18"/>
                <w:szCs w:val="18"/>
              </w:rPr>
            </w:pPr>
            <w:r w:rsidRPr="00913156">
              <w:rPr>
                <w:rFonts w:ascii="Arial Narrow" w:hAnsi="Arial Narrow"/>
                <w:snapToGrid/>
                <w:sz w:val="18"/>
                <w:szCs w:val="18"/>
              </w:rPr>
              <w:t>R, DB, MC</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18 weeks</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 xml:space="preserve">Single or multiple draining fistulas fistulas </w:t>
            </w:r>
            <w:r w:rsidRPr="00913156">
              <w:rPr>
                <w:rFonts w:ascii="Arial Narrow" w:hAnsi="Arial Narrow"/>
                <w:snapToGrid/>
                <w:sz w:val="18"/>
                <w:szCs w:val="18"/>
                <w:u w:val="single"/>
              </w:rPr>
              <w:t>&gt;</w:t>
            </w:r>
            <w:r w:rsidRPr="00913156">
              <w:rPr>
                <w:rFonts w:ascii="Arial Narrow" w:hAnsi="Arial Narrow"/>
                <w:snapToGrid/>
                <w:sz w:val="18"/>
                <w:szCs w:val="18"/>
              </w:rPr>
              <w:t xml:space="preserve"> 3 months; TNF</w:t>
            </w:r>
            <w:r w:rsidRPr="00913156">
              <w:rPr>
                <w:snapToGrid/>
                <w:sz w:val="18"/>
                <w:szCs w:val="18"/>
              </w:rPr>
              <w:t>ɑ</w:t>
            </w:r>
            <w:r w:rsidRPr="00913156">
              <w:rPr>
                <w:rFonts w:ascii="Arial Narrow" w:hAnsi="Arial Narrow"/>
                <w:snapToGrid/>
                <w:sz w:val="18"/>
                <w:szCs w:val="18"/>
              </w:rPr>
              <w:t xml:space="preserve"> antagonist naive</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 xml:space="preserve">≥50% reduction in number of draining fistulas at </w:t>
            </w:r>
            <w:r w:rsidRPr="00913156">
              <w:rPr>
                <w:rFonts w:ascii="Arial Narrow" w:hAnsi="Arial Narrow"/>
                <w:snapToGrid/>
                <w:sz w:val="18"/>
                <w:szCs w:val="18"/>
                <w:u w:val="single"/>
              </w:rPr>
              <w:t>&gt;</w:t>
            </w:r>
            <w:r w:rsidRPr="00913156">
              <w:rPr>
                <w:rFonts w:ascii="Arial Narrow" w:hAnsi="Arial Narrow"/>
                <w:snapToGrid/>
                <w:sz w:val="18"/>
                <w:szCs w:val="18"/>
              </w:rPr>
              <w:t>2 consecutive visits.</w:t>
            </w:r>
          </w:p>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u w:val="single"/>
              </w:rPr>
              <w:t>Fistula remission</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Absence of any draining fistulas at 2 consecutive visits</w:t>
            </w:r>
          </w:p>
        </w:tc>
      </w:tr>
      <w:tr w:rsidR="00727CAA" w:rsidRPr="00414040" w:rsidTr="005212E6">
        <w:tc>
          <w:tcPr>
            <w:tcW w:w="511" w:type="pct"/>
            <w:vAlign w:val="center"/>
          </w:tcPr>
          <w:p w:rsidR="00727CAA" w:rsidRPr="00913156" w:rsidRDefault="00727CAA" w:rsidP="005212E6">
            <w:pPr>
              <w:snapToGrid w:val="0"/>
              <w:jc w:val="left"/>
              <w:rPr>
                <w:rFonts w:ascii="Arial Narrow" w:hAnsi="Arial Narrow"/>
                <w:snapToGrid/>
                <w:sz w:val="18"/>
                <w:szCs w:val="18"/>
                <w:vertAlign w:val="superscript"/>
              </w:rPr>
            </w:pPr>
            <w:r w:rsidRPr="00913156">
              <w:rPr>
                <w:rFonts w:ascii="Arial Narrow" w:hAnsi="Arial Narrow"/>
                <w:snapToGrid/>
                <w:sz w:val="18"/>
                <w:szCs w:val="18"/>
              </w:rPr>
              <w:t>ACCENT II</w:t>
            </w:r>
            <w:r w:rsidRPr="00913156">
              <w:rPr>
                <w:rFonts w:ascii="Arial Narrow" w:hAnsi="Arial Narrow"/>
                <w:snapToGrid/>
                <w:sz w:val="18"/>
                <w:szCs w:val="18"/>
                <w:vertAlign w:val="superscript"/>
              </w:rPr>
              <w:t>d</w:t>
            </w:r>
          </w:p>
        </w:tc>
        <w:tc>
          <w:tcPr>
            <w:tcW w:w="425"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MP: 306</w:t>
            </w:r>
          </w:p>
        </w:tc>
        <w:tc>
          <w:tcPr>
            <w:tcW w:w="423" w:type="pct"/>
            <w:vAlign w:val="center"/>
          </w:tcPr>
          <w:p w:rsidR="00727CAA" w:rsidRPr="00913156" w:rsidRDefault="00727CAA" w:rsidP="005212E6">
            <w:pPr>
              <w:jc w:val="center"/>
              <w:rPr>
                <w:rFonts w:ascii="Arial Narrow" w:hAnsi="Arial Narrow"/>
                <w:snapToGrid/>
                <w:sz w:val="18"/>
                <w:szCs w:val="18"/>
              </w:rPr>
            </w:pPr>
            <w:r w:rsidRPr="00913156">
              <w:rPr>
                <w:rFonts w:ascii="Arial Narrow" w:hAnsi="Arial Narrow"/>
                <w:snapToGrid/>
                <w:sz w:val="18"/>
                <w:szCs w:val="18"/>
              </w:rPr>
              <w:t>R, MC, OL (IP) + DB (MP)</w:t>
            </w:r>
          </w:p>
        </w:tc>
        <w:tc>
          <w:tcPr>
            <w:tcW w:w="739"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(IP: 14 weeks)</w:t>
            </w:r>
          </w:p>
          <w:p w:rsidR="00727CAA" w:rsidRPr="00913156" w:rsidRDefault="00727CAA" w:rsidP="005212E6">
            <w:pPr>
              <w:snapToGrid w:val="0"/>
              <w:jc w:val="center"/>
              <w:rPr>
                <w:rFonts w:ascii="Arial Narrow" w:hAnsi="Arial Narrow"/>
                <w:snapToGrid/>
                <w:sz w:val="18"/>
                <w:szCs w:val="18"/>
                <w:vertAlign w:val="superscript"/>
              </w:rPr>
            </w:pPr>
            <w:r w:rsidRPr="00913156">
              <w:rPr>
                <w:rFonts w:ascii="Arial Narrow" w:hAnsi="Arial Narrow"/>
                <w:snapToGrid/>
                <w:sz w:val="18"/>
                <w:szCs w:val="18"/>
              </w:rPr>
              <w:t>MP: 54 weeks</w:t>
            </w:r>
            <w:r w:rsidRPr="00913156">
              <w:rPr>
                <w:rFonts w:ascii="Arial Narrow" w:hAnsi="Arial Narrow"/>
                <w:snapToGrid/>
                <w:sz w:val="18"/>
                <w:szCs w:val="18"/>
                <w:vertAlign w:val="superscript"/>
              </w:rPr>
              <w:t>#</w:t>
            </w:r>
          </w:p>
        </w:tc>
        <w:tc>
          <w:tcPr>
            <w:tcW w:w="303" w:type="pct"/>
            <w:vAlign w:val="center"/>
          </w:tcPr>
          <w:p w:rsidR="00727CAA" w:rsidRPr="00913156" w:rsidRDefault="00727CAA" w:rsidP="005212E6">
            <w:pPr>
              <w:snapToGrid w:val="0"/>
              <w:jc w:val="center"/>
              <w:rPr>
                <w:rFonts w:ascii="Arial Narrow" w:hAnsi="Arial Narrow"/>
                <w:snapToGrid/>
                <w:sz w:val="18"/>
                <w:szCs w:val="18"/>
              </w:rPr>
            </w:pPr>
            <w:r w:rsidRPr="00913156">
              <w:rPr>
                <w:rFonts w:ascii="Arial Narrow" w:hAnsi="Arial Narrow"/>
                <w:snapToGrid/>
                <w:sz w:val="18"/>
                <w:szCs w:val="18"/>
              </w:rPr>
              <w:t>Low</w:t>
            </w:r>
          </w:p>
        </w:tc>
        <w:tc>
          <w:tcPr>
            <w:tcW w:w="907" w:type="pct"/>
            <w:vAlign w:val="center"/>
          </w:tcPr>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 xml:space="preserve">Single or multiple draining fistulas </w:t>
            </w:r>
            <w:r w:rsidRPr="00913156">
              <w:rPr>
                <w:rFonts w:ascii="Arial Narrow" w:hAnsi="Arial Narrow"/>
                <w:snapToGrid/>
                <w:sz w:val="18"/>
                <w:szCs w:val="18"/>
                <w:u w:val="single"/>
              </w:rPr>
              <w:t>&gt;</w:t>
            </w:r>
            <w:r w:rsidRPr="00913156">
              <w:rPr>
                <w:rFonts w:ascii="Arial Narrow" w:hAnsi="Arial Narrow"/>
                <w:snapToGrid/>
                <w:sz w:val="18"/>
                <w:szCs w:val="18"/>
              </w:rPr>
              <w:t xml:space="preserve"> 3 months; Infliximab naive</w:t>
            </w:r>
          </w:p>
        </w:tc>
        <w:tc>
          <w:tcPr>
            <w:tcW w:w="1692" w:type="pct"/>
            <w:vAlign w:val="center"/>
          </w:tcPr>
          <w:p w:rsidR="00727CAA" w:rsidRPr="00913156" w:rsidRDefault="00727CAA" w:rsidP="005212E6">
            <w:pPr>
              <w:tabs>
                <w:tab w:val="left" w:pos="180"/>
              </w:tabs>
              <w:snapToGrid w:val="0"/>
              <w:ind w:left="38"/>
              <w:jc w:val="left"/>
              <w:rPr>
                <w:rFonts w:ascii="Arial Narrow" w:hAnsi="Arial Narrow"/>
                <w:snapToGrid/>
                <w:sz w:val="18"/>
                <w:szCs w:val="18"/>
                <w:u w:val="single"/>
              </w:rPr>
            </w:pPr>
            <w:r w:rsidRPr="00913156">
              <w:rPr>
                <w:rFonts w:ascii="Arial Narrow" w:hAnsi="Arial Narrow"/>
                <w:snapToGrid/>
                <w:sz w:val="18"/>
                <w:szCs w:val="18"/>
                <w:u w:val="single"/>
              </w:rPr>
              <w:t>Fistula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Time to loss of response*</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≥50% reduction in number of draining fistulas at consecutive visits ≥4 weeks apart (at wk 54</w:t>
            </w:r>
            <w:r w:rsidRPr="00913156">
              <w:rPr>
                <w:rFonts w:ascii="Arial Narrow" w:hAnsi="Arial Narrow"/>
                <w:snapToGrid/>
                <w:sz w:val="18"/>
                <w:szCs w:val="18"/>
                <w:vertAlign w:val="superscript"/>
              </w:rPr>
              <w:t>#</w:t>
            </w:r>
            <w:r w:rsidRPr="00913156">
              <w:rPr>
                <w:rFonts w:ascii="Arial Narrow" w:hAnsi="Arial Narrow"/>
                <w:snapToGrid/>
                <w:sz w:val="18"/>
                <w:szCs w:val="18"/>
              </w:rPr>
              <w:t>).</w:t>
            </w:r>
          </w:p>
          <w:p w:rsidR="00727CAA" w:rsidRPr="00913156" w:rsidRDefault="00727CAA" w:rsidP="005212E6">
            <w:pPr>
              <w:tabs>
                <w:tab w:val="left" w:pos="180"/>
              </w:tabs>
              <w:snapToGrid w:val="0"/>
              <w:jc w:val="left"/>
              <w:rPr>
                <w:rFonts w:ascii="Arial Narrow" w:hAnsi="Arial Narrow"/>
                <w:snapToGrid/>
                <w:sz w:val="18"/>
                <w:szCs w:val="18"/>
                <w:u w:val="single"/>
              </w:rPr>
            </w:pPr>
            <w:r w:rsidRPr="00913156">
              <w:rPr>
                <w:rFonts w:ascii="Arial Narrow" w:hAnsi="Arial Narrow"/>
                <w:snapToGrid/>
                <w:sz w:val="18"/>
                <w:szCs w:val="18"/>
                <w:u w:val="single"/>
              </w:rPr>
              <w:t>Fistula remission</w:t>
            </w:r>
          </w:p>
          <w:p w:rsidR="00727CAA" w:rsidRPr="00913156" w:rsidRDefault="00727CAA" w:rsidP="005212E6">
            <w:pPr>
              <w:tabs>
                <w:tab w:val="left" w:pos="180"/>
              </w:tabs>
              <w:snapToGrid w:val="0"/>
              <w:jc w:val="left"/>
              <w:rPr>
                <w:rFonts w:ascii="Arial Narrow" w:hAnsi="Arial Narrow"/>
                <w:snapToGrid/>
                <w:sz w:val="18"/>
                <w:szCs w:val="18"/>
              </w:rPr>
            </w:pPr>
            <w:r w:rsidRPr="00913156">
              <w:rPr>
                <w:rFonts w:ascii="Arial Narrow" w:hAnsi="Arial Narrow"/>
                <w:snapToGrid/>
                <w:sz w:val="18"/>
                <w:szCs w:val="18"/>
              </w:rPr>
              <w:t>Absence of draining fistulas (wk</w:t>
            </w:r>
            <w:r w:rsidR="00A612F8" w:rsidRPr="00913156">
              <w:rPr>
                <w:rFonts w:ascii="Arial Narrow" w:hAnsi="Arial Narrow"/>
                <w:snapToGrid/>
                <w:sz w:val="18"/>
                <w:szCs w:val="18"/>
              </w:rPr>
              <w:t xml:space="preserve"> </w:t>
            </w:r>
            <w:r w:rsidRPr="00913156">
              <w:rPr>
                <w:rFonts w:ascii="Arial Narrow" w:hAnsi="Arial Narrow"/>
                <w:snapToGrid/>
                <w:sz w:val="18"/>
                <w:szCs w:val="18"/>
              </w:rPr>
              <w:t>54</w:t>
            </w:r>
            <w:r w:rsidRPr="00913156">
              <w:rPr>
                <w:rFonts w:ascii="Arial Narrow" w:hAnsi="Arial Narrow"/>
                <w:snapToGrid/>
                <w:sz w:val="18"/>
                <w:szCs w:val="18"/>
                <w:vertAlign w:val="superscript"/>
              </w:rPr>
              <w:t>#</w:t>
            </w:r>
            <w:r w:rsidRPr="00913156">
              <w:rPr>
                <w:rFonts w:ascii="Arial Narrow" w:hAnsi="Arial Narrow"/>
                <w:snapToGrid/>
                <w:sz w:val="18"/>
                <w:szCs w:val="18"/>
              </w:rPr>
              <w:t>)</w:t>
            </w:r>
          </w:p>
        </w:tc>
      </w:tr>
    </w:tbl>
    <w:p w:rsidR="00ED7CA2" w:rsidRPr="00913156" w:rsidRDefault="00727CAA" w:rsidP="00727CAA">
      <w:pPr>
        <w:snapToGrid w:val="0"/>
        <w:ind w:left="709"/>
        <w:rPr>
          <w:rFonts w:ascii="Arial Narrow" w:hAnsi="Arial Narrow"/>
          <w:snapToGrid/>
          <w:sz w:val="16"/>
        </w:rPr>
      </w:pPr>
      <w:r w:rsidRPr="00913156">
        <w:rPr>
          <w:rFonts w:ascii="Arial Narrow" w:hAnsi="Arial Narrow"/>
          <w:snapToGrid/>
          <w:sz w:val="16"/>
        </w:rPr>
        <w:t>Abbreviations: DB=double blind; MC=multicentre, IP= induction phase; MP = maintenance phase; OL=open-label; R=randomised, CR-70=clinical response as defined by attaining CDAI ≥ 70 point reduction from baseline; CR-100= clinical response as defined by attaining CDAI ≥ 100 point re</w:t>
      </w:r>
      <w:r w:rsidR="00093CF0">
        <w:rPr>
          <w:rFonts w:ascii="Arial Narrow" w:hAnsi="Arial Narrow"/>
          <w:snapToGrid/>
          <w:sz w:val="16"/>
        </w:rPr>
        <w:t>duction from baseline; wk=week</w:t>
      </w:r>
    </w:p>
    <w:p w:rsidR="00ED7CA2" w:rsidRPr="00913156" w:rsidRDefault="00727CAA" w:rsidP="00727CAA">
      <w:pPr>
        <w:snapToGrid w:val="0"/>
        <w:ind w:left="709"/>
        <w:rPr>
          <w:rFonts w:ascii="Arial Narrow" w:hAnsi="Arial Narrow"/>
          <w:snapToGrid/>
          <w:sz w:val="16"/>
        </w:rPr>
      </w:pPr>
      <w:r w:rsidRPr="00913156">
        <w:rPr>
          <w:rFonts w:ascii="Arial Narrow" w:hAnsi="Arial Narrow"/>
          <w:snapToGrid/>
          <w:sz w:val="16"/>
        </w:rPr>
        <w:t>*</w:t>
      </w:r>
      <w:r w:rsidRPr="00913156">
        <w:rPr>
          <w:rFonts w:ascii="Arial Narrow" w:hAnsi="Arial Narrow"/>
          <w:snapToGrid/>
          <w:sz w:val="16"/>
        </w:rPr>
        <w:tab/>
        <w:t>denotes the primary trial outcome</w:t>
      </w:r>
    </w:p>
    <w:p w:rsidR="00727CAA" w:rsidRPr="00913156" w:rsidRDefault="00ED7CA2" w:rsidP="00727CAA">
      <w:pPr>
        <w:snapToGrid w:val="0"/>
        <w:ind w:left="709"/>
        <w:rPr>
          <w:rFonts w:ascii="Arial Narrow" w:hAnsi="Arial Narrow"/>
          <w:snapToGrid/>
          <w:sz w:val="16"/>
        </w:rPr>
      </w:pPr>
      <w:r w:rsidRPr="00913156">
        <w:rPr>
          <w:rFonts w:ascii="Arial Narrow" w:hAnsi="Arial Narrow"/>
          <w:snapToGrid/>
          <w:sz w:val="16"/>
        </w:rPr>
        <w:t>#</w:t>
      </w:r>
      <w:r w:rsidRPr="00913156">
        <w:rPr>
          <w:rFonts w:ascii="Arial Narrow" w:hAnsi="Arial Narrow"/>
          <w:snapToGrid/>
          <w:sz w:val="16"/>
        </w:rPr>
        <w:tab/>
        <w:t>counted from start of induction therapy.</w:t>
      </w:r>
    </w:p>
    <w:p w:rsidR="00727CAA" w:rsidRPr="00913156" w:rsidRDefault="00727CAA" w:rsidP="00727CAA">
      <w:pPr>
        <w:snapToGrid w:val="0"/>
        <w:ind w:left="709" w:hanging="165"/>
        <w:rPr>
          <w:rFonts w:ascii="Arial Narrow" w:hAnsi="Arial Narrow"/>
          <w:iCs/>
          <w:snapToGrid/>
          <w:sz w:val="16"/>
          <w:szCs w:val="18"/>
        </w:rPr>
      </w:pPr>
      <w:r w:rsidRPr="00913156">
        <w:rPr>
          <w:rFonts w:ascii="Arial Narrow" w:hAnsi="Arial Narrow"/>
          <w:iCs/>
          <w:snapToGrid/>
          <w:sz w:val="16"/>
          <w:szCs w:val="18"/>
          <w:vertAlign w:val="superscript"/>
        </w:rPr>
        <w:t>+</w:t>
      </w:r>
      <w:r w:rsidRPr="00913156">
        <w:rPr>
          <w:rFonts w:ascii="Arial Narrow" w:hAnsi="Arial Narrow"/>
          <w:iCs/>
          <w:snapToGrid/>
          <w:sz w:val="16"/>
          <w:szCs w:val="18"/>
          <w:vertAlign w:val="superscript"/>
        </w:rPr>
        <w:tab/>
      </w:r>
      <w:r w:rsidRPr="00913156">
        <w:rPr>
          <w:rFonts w:ascii="Arial Narrow" w:hAnsi="Arial Narrow"/>
          <w:iCs/>
          <w:snapToGrid/>
          <w:sz w:val="16"/>
          <w:szCs w:val="18"/>
        </w:rPr>
        <w:t>Enterocutaneous fistulas (</w:t>
      </w:r>
      <w:r w:rsidR="00412982" w:rsidRPr="00913156">
        <w:rPr>
          <w:rFonts w:ascii="Arial Narrow" w:hAnsi="Arial Narrow"/>
          <w:iCs/>
          <w:snapToGrid/>
          <w:sz w:val="16"/>
          <w:szCs w:val="18"/>
        </w:rPr>
        <w:t>e.g.</w:t>
      </w:r>
      <w:r w:rsidRPr="00913156">
        <w:rPr>
          <w:rFonts w:ascii="Arial Narrow" w:hAnsi="Arial Narrow"/>
          <w:iCs/>
          <w:snapToGrid/>
          <w:sz w:val="16"/>
          <w:szCs w:val="18"/>
        </w:rPr>
        <w:t>, perianal and abdominal) were to be considered no longer draining (</w:t>
      </w:r>
      <w:r w:rsidR="00412982" w:rsidRPr="00913156">
        <w:rPr>
          <w:rFonts w:ascii="Arial Narrow" w:hAnsi="Arial Narrow"/>
          <w:iCs/>
          <w:snapToGrid/>
          <w:sz w:val="16"/>
          <w:szCs w:val="18"/>
        </w:rPr>
        <w:t>i.e.</w:t>
      </w:r>
      <w:r w:rsidRPr="00913156">
        <w:rPr>
          <w:rFonts w:ascii="Arial Narrow" w:hAnsi="Arial Narrow"/>
          <w:iCs/>
          <w:snapToGrid/>
          <w:sz w:val="16"/>
          <w:szCs w:val="18"/>
        </w:rPr>
        <w:t>, closed) when there was an absence of drainage despite gentle compression. Rectovaginal fistulas were to be considered closed based on either physical examination or absence of relevant symptoms (eg, passage of rectal material or flatus from the vagina). No treatment failure rules or missing data rules were applied to this endpoint; if the number of draining fistulas at baseline or at the visit of interest was missing, fistula response could not be derived.</w:t>
      </w:r>
    </w:p>
    <w:p w:rsidR="00727CAA" w:rsidRPr="00913156" w:rsidRDefault="00727CAA" w:rsidP="00727CAA">
      <w:pPr>
        <w:snapToGrid w:val="0"/>
        <w:ind w:left="709" w:hanging="165"/>
        <w:rPr>
          <w:rFonts w:ascii="Arial Narrow" w:hAnsi="Arial Narrow"/>
          <w:iCs/>
          <w:snapToGrid/>
          <w:sz w:val="16"/>
          <w:szCs w:val="18"/>
        </w:rPr>
      </w:pPr>
      <w:r w:rsidRPr="00913156">
        <w:rPr>
          <w:rFonts w:ascii="Arial Narrow" w:hAnsi="Arial Narrow"/>
          <w:iCs/>
          <w:snapToGrid/>
          <w:sz w:val="16"/>
          <w:szCs w:val="18"/>
          <w:vertAlign w:val="superscript"/>
        </w:rPr>
        <w:t>b</w:t>
      </w:r>
      <w:r w:rsidRPr="00913156">
        <w:rPr>
          <w:rFonts w:ascii="Arial Narrow" w:hAnsi="Arial Narrow"/>
          <w:iCs/>
          <w:snapToGrid/>
          <w:sz w:val="16"/>
          <w:szCs w:val="18"/>
        </w:rPr>
        <w:tab/>
        <w:t>CHARM was considered as a maintenance trial. Induction therapy in this trial was with a lower adalimumab dose than TGA-approved, and there was no p</w:t>
      </w:r>
      <w:r w:rsidR="00093CF0">
        <w:rPr>
          <w:rFonts w:ascii="Arial Narrow" w:hAnsi="Arial Narrow"/>
          <w:iCs/>
          <w:snapToGrid/>
          <w:sz w:val="16"/>
          <w:szCs w:val="18"/>
        </w:rPr>
        <w:t>lacebo comparison in induction.</w:t>
      </w:r>
    </w:p>
    <w:p w:rsidR="00727CAA" w:rsidRPr="00913156" w:rsidRDefault="00727CAA" w:rsidP="00727CAA">
      <w:pPr>
        <w:snapToGrid w:val="0"/>
        <w:ind w:left="709" w:hanging="165"/>
        <w:rPr>
          <w:rFonts w:ascii="Arial Narrow" w:hAnsi="Arial Narrow"/>
          <w:iCs/>
          <w:snapToGrid/>
          <w:sz w:val="16"/>
          <w:szCs w:val="18"/>
        </w:rPr>
      </w:pPr>
      <w:r w:rsidRPr="00913156">
        <w:rPr>
          <w:rFonts w:ascii="Arial Narrow" w:hAnsi="Arial Narrow"/>
          <w:iCs/>
          <w:snapToGrid/>
          <w:sz w:val="16"/>
          <w:szCs w:val="18"/>
          <w:vertAlign w:val="superscript"/>
        </w:rPr>
        <w:t>C</w:t>
      </w:r>
      <w:r w:rsidRPr="00913156">
        <w:rPr>
          <w:rFonts w:ascii="Arial Narrow" w:hAnsi="Arial Narrow"/>
          <w:iCs/>
          <w:snapToGrid/>
          <w:sz w:val="16"/>
          <w:szCs w:val="18"/>
        </w:rPr>
        <w:tab/>
        <w:t>These figures were derived from the total number of patients in the trial with current fistula at baseline (TSIDEM03, p127 of UNITI-1 CSR; TSIDEM03, p132 of UNITI-2 CSR).  They are larger than the number of patients with a fistula at baseline on p75 of UNITI-1 CSR (93 patients with fistula), and p80 of UNITI-2 CSR (68 patients with fistula), respectively.</w:t>
      </w:r>
    </w:p>
    <w:p w:rsidR="00727CAA" w:rsidRPr="00913156" w:rsidRDefault="00727CAA" w:rsidP="00727CAA">
      <w:pPr>
        <w:snapToGrid w:val="0"/>
        <w:ind w:left="709" w:hanging="165"/>
        <w:rPr>
          <w:rFonts w:ascii="Arial Narrow" w:hAnsi="Arial Narrow"/>
          <w:iCs/>
          <w:snapToGrid/>
          <w:sz w:val="16"/>
          <w:szCs w:val="18"/>
        </w:rPr>
      </w:pPr>
      <w:r w:rsidRPr="00913156">
        <w:rPr>
          <w:rFonts w:ascii="Arial Narrow" w:hAnsi="Arial Narrow"/>
          <w:iCs/>
          <w:snapToGrid/>
          <w:sz w:val="16"/>
          <w:szCs w:val="18"/>
          <w:vertAlign w:val="superscript"/>
        </w:rPr>
        <w:t>d</w:t>
      </w:r>
      <w:r w:rsidRPr="00913156">
        <w:rPr>
          <w:rFonts w:ascii="Arial Narrow" w:hAnsi="Arial Narrow"/>
          <w:iCs/>
          <w:snapToGrid/>
          <w:sz w:val="16"/>
          <w:szCs w:val="18"/>
          <w:vertAlign w:val="superscript"/>
        </w:rPr>
        <w:tab/>
      </w:r>
      <w:r w:rsidRPr="00913156">
        <w:rPr>
          <w:rFonts w:ascii="Arial Narrow" w:hAnsi="Arial Narrow"/>
          <w:iCs/>
          <w:snapToGrid/>
          <w:sz w:val="16"/>
          <w:szCs w:val="18"/>
        </w:rPr>
        <w:t>ACCENT II</w:t>
      </w:r>
      <w:r w:rsidRPr="00913156">
        <w:rPr>
          <w:rFonts w:ascii="Arial Narrow" w:hAnsi="Arial Narrow"/>
          <w:iCs/>
          <w:snapToGrid/>
          <w:sz w:val="16"/>
          <w:szCs w:val="18"/>
          <w:vertAlign w:val="superscript"/>
        </w:rPr>
        <w:t xml:space="preserve"> </w:t>
      </w:r>
      <w:r w:rsidRPr="00913156">
        <w:rPr>
          <w:rFonts w:ascii="Arial Narrow" w:hAnsi="Arial Narrow"/>
          <w:iCs/>
          <w:snapToGrid/>
          <w:sz w:val="16"/>
          <w:szCs w:val="18"/>
        </w:rPr>
        <w:t>was considered a maintenance trial as all patients had received induction infliximab prior to randomisation.</w:t>
      </w:r>
    </w:p>
    <w:p w:rsidR="00727CAA" w:rsidRPr="00913156" w:rsidRDefault="00727CAA" w:rsidP="00727CAA">
      <w:pPr>
        <w:snapToGrid w:val="0"/>
        <w:ind w:left="709"/>
        <w:rPr>
          <w:rFonts w:ascii="Arial Narrow" w:hAnsi="Arial Narrow"/>
          <w:iCs/>
          <w:snapToGrid/>
          <w:sz w:val="16"/>
          <w:szCs w:val="18"/>
        </w:rPr>
      </w:pPr>
      <w:r w:rsidRPr="00913156">
        <w:rPr>
          <w:rFonts w:ascii="Arial Narrow" w:hAnsi="Arial Narrow"/>
          <w:iCs/>
          <w:snapToGrid/>
          <w:sz w:val="16"/>
          <w:szCs w:val="18"/>
        </w:rPr>
        <w:t>Source: compiled during the evaluation</w:t>
      </w:r>
    </w:p>
    <w:p w:rsidR="00727CAA" w:rsidRPr="00414040" w:rsidRDefault="00727CAA" w:rsidP="00727CAA">
      <w:pPr>
        <w:snapToGrid w:val="0"/>
      </w:pPr>
    </w:p>
    <w:p w:rsidR="00727CAA" w:rsidRDefault="00727CAA" w:rsidP="00727CAA">
      <w:pPr>
        <w:pStyle w:val="Heading2"/>
        <w:rPr>
          <w:i/>
        </w:rPr>
      </w:pPr>
      <w:bookmarkStart w:id="13" w:name="_Toc472503703"/>
      <w:r w:rsidRPr="00414040">
        <w:rPr>
          <w:i/>
        </w:rPr>
        <w:t>Comparative effectiveness</w:t>
      </w:r>
      <w:bookmarkEnd w:id="13"/>
    </w:p>
    <w:p w:rsidR="00F1704E" w:rsidRPr="00F1704E" w:rsidRDefault="00F1704E" w:rsidP="00F1704E"/>
    <w:p w:rsidR="00727CAA" w:rsidRPr="00C51274" w:rsidRDefault="00727CAA" w:rsidP="00C51274">
      <w:pPr>
        <w:pStyle w:val="Heading3"/>
      </w:pPr>
      <w:r w:rsidRPr="00C51274">
        <w:t>Severe CD</w:t>
      </w:r>
    </w:p>
    <w:p w:rsidR="00727CAA" w:rsidRPr="00414040" w:rsidRDefault="00727CAA" w:rsidP="00727CAA">
      <w:pPr>
        <w:rPr>
          <w:szCs w:val="22"/>
        </w:rPr>
      </w:pPr>
    </w:p>
    <w:p w:rsidR="00727CAA" w:rsidRPr="00C51274" w:rsidRDefault="00727CAA" w:rsidP="00506A87">
      <w:pPr>
        <w:pStyle w:val="ListParagraph"/>
        <w:widowControl/>
        <w:numPr>
          <w:ilvl w:val="1"/>
          <w:numId w:val="1"/>
        </w:numPr>
        <w:rPr>
          <w:szCs w:val="22"/>
        </w:rPr>
      </w:pPr>
      <w:r w:rsidRPr="00C51274">
        <w:rPr>
          <w:szCs w:val="22"/>
        </w:rPr>
        <w:t>The submission nominated clinical remission defined as</w:t>
      </w:r>
      <w:r w:rsidR="000471F6">
        <w:rPr>
          <w:szCs w:val="22"/>
        </w:rPr>
        <w:t xml:space="preserve"> Crohn’s disease activity index</w:t>
      </w:r>
      <w:r w:rsidRPr="00C51274">
        <w:rPr>
          <w:szCs w:val="22"/>
        </w:rPr>
        <w:t xml:space="preserve"> </w:t>
      </w:r>
      <w:r w:rsidR="000471F6">
        <w:rPr>
          <w:szCs w:val="22"/>
        </w:rPr>
        <w:t>(</w:t>
      </w:r>
      <w:r w:rsidRPr="00C51274">
        <w:rPr>
          <w:szCs w:val="22"/>
        </w:rPr>
        <w:t>CDAI</w:t>
      </w:r>
      <w:r w:rsidR="000471F6">
        <w:rPr>
          <w:szCs w:val="22"/>
        </w:rPr>
        <w:t>)</w:t>
      </w:r>
      <w:r w:rsidRPr="00C51274">
        <w:rPr>
          <w:szCs w:val="22"/>
        </w:rPr>
        <w:t xml:space="preserve"> &lt; 150 as the primary</w:t>
      </w:r>
      <w:r w:rsidR="00093CF0">
        <w:rPr>
          <w:szCs w:val="22"/>
        </w:rPr>
        <w:t xml:space="preserve"> outcome for induction therapy.</w:t>
      </w:r>
      <w:r w:rsidRPr="00C51274">
        <w:rPr>
          <w:szCs w:val="22"/>
        </w:rPr>
        <w:t xml:space="preserve"> This is reasonable as this outcome definition is consistent with the continuati</w:t>
      </w:r>
      <w:r w:rsidR="00093CF0">
        <w:rPr>
          <w:szCs w:val="22"/>
        </w:rPr>
        <w:t xml:space="preserve">on criteria for PBS treatment. </w:t>
      </w:r>
      <w:r w:rsidRPr="00C51274">
        <w:rPr>
          <w:szCs w:val="22"/>
        </w:rPr>
        <w:t>Trials have also reported outcomes of clinical response defined by either a ≥100 point or 70 point reduction in CDAI from baseline (CR-100 or CR-70).</w:t>
      </w:r>
    </w:p>
    <w:p w:rsidR="00727CAA" w:rsidRPr="00C51274" w:rsidRDefault="00727CAA" w:rsidP="00727CAA">
      <w:pPr>
        <w:pStyle w:val="ListParagraph"/>
        <w:widowControl/>
        <w:rPr>
          <w:szCs w:val="22"/>
        </w:rPr>
      </w:pPr>
    </w:p>
    <w:p w:rsidR="00727CAA" w:rsidRPr="00C51274" w:rsidRDefault="00727CAA" w:rsidP="00506A87">
      <w:pPr>
        <w:pStyle w:val="ListParagraph"/>
        <w:widowControl/>
        <w:numPr>
          <w:ilvl w:val="1"/>
          <w:numId w:val="1"/>
        </w:numPr>
        <w:rPr>
          <w:szCs w:val="22"/>
        </w:rPr>
      </w:pPr>
      <w:r w:rsidRPr="00C51274">
        <w:rPr>
          <w:szCs w:val="22"/>
        </w:rPr>
        <w:t xml:space="preserve">For the maintenance phase indirect comparisons, the submission nominated clinical remission in remitters </w:t>
      </w:r>
      <w:r w:rsidR="00AF4140" w:rsidRPr="00C51274">
        <w:rPr>
          <w:szCs w:val="22"/>
        </w:rPr>
        <w:t>(</w:t>
      </w:r>
      <w:r w:rsidR="00412982" w:rsidRPr="00C51274">
        <w:rPr>
          <w:szCs w:val="22"/>
        </w:rPr>
        <w:t>i.e.</w:t>
      </w:r>
      <w:r w:rsidR="00AF4140" w:rsidRPr="00C51274">
        <w:rPr>
          <w:szCs w:val="22"/>
        </w:rPr>
        <w:t xml:space="preserve"> those who attained CDAI&lt;150) </w:t>
      </w:r>
      <w:r w:rsidRPr="00C51274">
        <w:rPr>
          <w:szCs w:val="22"/>
        </w:rPr>
        <w:t xml:space="preserve">as the primary outcome, as this most closely reflects the PBS criteria for </w:t>
      </w:r>
      <w:r w:rsidR="00093CF0">
        <w:rPr>
          <w:szCs w:val="22"/>
        </w:rPr>
        <w:t xml:space="preserve">continuing biologic treatment. </w:t>
      </w:r>
      <w:r w:rsidR="00AF4140" w:rsidRPr="00C51274">
        <w:rPr>
          <w:szCs w:val="22"/>
        </w:rPr>
        <w:t>This</w:t>
      </w:r>
      <w:r w:rsidRPr="00C51274">
        <w:rPr>
          <w:szCs w:val="22"/>
        </w:rPr>
        <w:t xml:space="preserve"> </w:t>
      </w:r>
      <w:r w:rsidR="00AF4140" w:rsidRPr="00C51274">
        <w:rPr>
          <w:szCs w:val="22"/>
        </w:rPr>
        <w:t>resulted in the</w:t>
      </w:r>
      <w:r w:rsidRPr="00C51274">
        <w:rPr>
          <w:szCs w:val="22"/>
        </w:rPr>
        <w:t xml:space="preserve"> exclusion of </w:t>
      </w:r>
      <w:r w:rsidRPr="00C51274">
        <w:t xml:space="preserve">two (out of three) </w:t>
      </w:r>
      <w:r w:rsidR="0029256D" w:rsidRPr="00C51274">
        <w:t>ADA</w:t>
      </w:r>
      <w:r w:rsidRPr="00C51274">
        <w:t xml:space="preserve"> maintenance trials (CHARM an</w:t>
      </w:r>
      <w:r w:rsidR="00AF4140" w:rsidRPr="00C51274">
        <w:t>d Wa</w:t>
      </w:r>
      <w:r w:rsidRPr="00C51274">
        <w:t xml:space="preserve">tanabe) from </w:t>
      </w:r>
      <w:r w:rsidR="00AF4140" w:rsidRPr="00C51274">
        <w:t xml:space="preserve">the </w:t>
      </w:r>
      <w:r w:rsidRPr="00C51274">
        <w:t>indirect compari</w:t>
      </w:r>
      <w:r w:rsidR="00AF4140" w:rsidRPr="00C51274">
        <w:t>sons as the results reported were for</w:t>
      </w:r>
      <w:r w:rsidRPr="00C51274">
        <w:t xml:space="preserve"> clinical remission in responders </w:t>
      </w:r>
      <w:r w:rsidR="00093CF0">
        <w:t>(CR-70), rather than remitters.</w:t>
      </w:r>
      <w:r w:rsidRPr="00C51274">
        <w:t xml:space="preserve"> For the </w:t>
      </w:r>
      <w:r w:rsidR="009F102A" w:rsidRPr="00C51274">
        <w:t>UST</w:t>
      </w:r>
      <w:r w:rsidRPr="00C51274">
        <w:t xml:space="preserve"> trial (IM-UNITI) the primary outcome was remission in CR-100 responders, so remission in </w:t>
      </w:r>
      <w:r w:rsidR="00AF4140" w:rsidRPr="00C51274">
        <w:t xml:space="preserve">remitters </w:t>
      </w:r>
      <w:r w:rsidR="00093CF0">
        <w:t xml:space="preserve">was a post-hoc analysis. </w:t>
      </w:r>
      <w:r w:rsidRPr="00C51274">
        <w:rPr>
          <w:szCs w:val="22"/>
        </w:rPr>
        <w:t>Althoug</w:t>
      </w:r>
      <w:r w:rsidR="00AF4140" w:rsidRPr="00C51274">
        <w:rPr>
          <w:szCs w:val="22"/>
        </w:rPr>
        <w:t>h the logic of this nomination wa</w:t>
      </w:r>
      <w:r w:rsidRPr="00C51274">
        <w:rPr>
          <w:szCs w:val="22"/>
        </w:rPr>
        <w:t>s not wrong, it is considered too restrictive given the timing of initial efficacy assessments varied in the trials, and had all preceded PBS</w:t>
      </w:r>
      <w:r w:rsidR="00AF4140" w:rsidRPr="00C51274">
        <w:rPr>
          <w:szCs w:val="22"/>
        </w:rPr>
        <w:t xml:space="preserve"> assessments</w:t>
      </w:r>
      <w:r w:rsidRPr="00C51274">
        <w:rPr>
          <w:szCs w:val="22"/>
        </w:rPr>
        <w:t xml:space="preserve">. For example, in the </w:t>
      </w:r>
      <w:r w:rsidR="0029256D" w:rsidRPr="00C51274">
        <w:rPr>
          <w:szCs w:val="22"/>
        </w:rPr>
        <w:t>ADA</w:t>
      </w:r>
      <w:r w:rsidRPr="00C51274">
        <w:rPr>
          <w:szCs w:val="22"/>
        </w:rPr>
        <w:t xml:space="preserve"> trials</w:t>
      </w:r>
      <w:r w:rsidR="00AF4140" w:rsidRPr="00C51274">
        <w:rPr>
          <w:szCs w:val="22"/>
        </w:rPr>
        <w:t>, initial response was</w:t>
      </w:r>
      <w:r w:rsidRPr="00C51274">
        <w:rPr>
          <w:szCs w:val="22"/>
        </w:rPr>
        <w:t xml:space="preserve"> assessed at Week 4 which is 8 weeks prior to when efficacy would be assessed on the PBS, thus patients who only attained clinical response (CR-70 or CR-100) at Week 4 could very wel</w:t>
      </w:r>
      <w:r w:rsidR="00093CF0">
        <w:rPr>
          <w:szCs w:val="22"/>
        </w:rPr>
        <w:t xml:space="preserve">l attain remission by Week 12. </w:t>
      </w:r>
      <w:r w:rsidRPr="00C51274">
        <w:t>Therefore the results of CHARM and Wa</w:t>
      </w:r>
      <w:r w:rsidR="00AF4140" w:rsidRPr="00C51274">
        <w:t xml:space="preserve">tanabe were included in </w:t>
      </w:r>
      <w:r w:rsidRPr="00C51274">
        <w:t>additional indirect comparisons conducted during the evaluation.</w:t>
      </w:r>
    </w:p>
    <w:p w:rsidR="00AF4140" w:rsidRPr="00C51274" w:rsidRDefault="00AF4140" w:rsidP="00AF4140">
      <w:pPr>
        <w:pStyle w:val="ListParagraph"/>
        <w:widowControl/>
        <w:rPr>
          <w:szCs w:val="22"/>
        </w:rPr>
      </w:pPr>
    </w:p>
    <w:p w:rsidR="00727CAA" w:rsidRPr="0077213E" w:rsidRDefault="00AF4140" w:rsidP="00506A87">
      <w:pPr>
        <w:pStyle w:val="ListParagraph"/>
        <w:widowControl/>
        <w:numPr>
          <w:ilvl w:val="1"/>
          <w:numId w:val="1"/>
        </w:numPr>
        <w:rPr>
          <w:szCs w:val="22"/>
        </w:rPr>
      </w:pPr>
      <w:r w:rsidRPr="00C51274">
        <w:rPr>
          <w:szCs w:val="22"/>
        </w:rPr>
        <w:t xml:space="preserve">Results of </w:t>
      </w:r>
      <w:r w:rsidR="00727CAA" w:rsidRPr="00C51274">
        <w:rPr>
          <w:szCs w:val="22"/>
        </w:rPr>
        <w:t xml:space="preserve">indirect comparisons </w:t>
      </w:r>
      <w:r w:rsidRPr="00C51274">
        <w:rPr>
          <w:szCs w:val="22"/>
        </w:rPr>
        <w:t xml:space="preserve">of </w:t>
      </w:r>
      <w:r w:rsidR="009F102A" w:rsidRPr="00C51274">
        <w:rPr>
          <w:szCs w:val="22"/>
        </w:rPr>
        <w:t>UST</w:t>
      </w:r>
      <w:r w:rsidRPr="00C51274">
        <w:rPr>
          <w:szCs w:val="22"/>
        </w:rPr>
        <w:t xml:space="preserve"> versus comparators in severe CD for the outcome of clinical </w:t>
      </w:r>
      <w:r w:rsidRPr="0077213E">
        <w:rPr>
          <w:szCs w:val="22"/>
        </w:rPr>
        <w:t xml:space="preserve">remission </w:t>
      </w:r>
      <w:r w:rsidR="00727CAA" w:rsidRPr="0077213E">
        <w:rPr>
          <w:szCs w:val="22"/>
        </w:rPr>
        <w:t xml:space="preserve">are presented in Tables 4 and 5 for </w:t>
      </w:r>
      <w:r w:rsidRPr="0077213E">
        <w:rPr>
          <w:szCs w:val="22"/>
        </w:rPr>
        <w:t xml:space="preserve">induction and maintenance </w:t>
      </w:r>
      <w:r w:rsidR="00093CF0">
        <w:rPr>
          <w:szCs w:val="22"/>
        </w:rPr>
        <w:t>respectively.</w:t>
      </w:r>
      <w:r w:rsidR="00727CAA" w:rsidRPr="0077213E">
        <w:rPr>
          <w:szCs w:val="22"/>
        </w:rPr>
        <w:t xml:space="preserve"> Results of indirect comparisons for </w:t>
      </w:r>
      <w:r w:rsidRPr="0077213E">
        <w:rPr>
          <w:szCs w:val="22"/>
        </w:rPr>
        <w:t xml:space="preserve">the outcomes of </w:t>
      </w:r>
      <w:r w:rsidR="00727CAA" w:rsidRPr="0077213E">
        <w:rPr>
          <w:szCs w:val="22"/>
        </w:rPr>
        <w:t>CR-100 and CR-70 are presented in Section B of the commentary.</w:t>
      </w:r>
    </w:p>
    <w:p w:rsidR="00AF4140" w:rsidRPr="00AF4140" w:rsidRDefault="00AF4140" w:rsidP="00AF4140">
      <w:pPr>
        <w:widowControl/>
        <w:rPr>
          <w:szCs w:val="22"/>
        </w:rPr>
      </w:pPr>
    </w:p>
    <w:p w:rsidR="003F3A30" w:rsidRDefault="003F3A30">
      <w:pPr>
        <w:widowControl/>
        <w:jc w:val="left"/>
        <w:rPr>
          <w:rFonts w:ascii="Arial Narrow" w:hAnsi="Arial Narrow"/>
          <w:b/>
          <w:snapToGrid/>
          <w:sz w:val="20"/>
          <w:szCs w:val="18"/>
        </w:rPr>
      </w:pPr>
      <w:r>
        <w:rPr>
          <w:rFonts w:ascii="Arial Narrow" w:hAnsi="Arial Narrow"/>
          <w:b/>
          <w:snapToGrid/>
          <w:sz w:val="20"/>
          <w:szCs w:val="18"/>
        </w:rPr>
        <w:br w:type="page"/>
      </w:r>
    </w:p>
    <w:p w:rsidR="00727CAA" w:rsidRPr="0098237D" w:rsidRDefault="00727CAA" w:rsidP="00AF4140">
      <w:pPr>
        <w:pStyle w:val="ListParagraph"/>
        <w:widowControl/>
        <w:rPr>
          <w:sz w:val="24"/>
          <w:szCs w:val="22"/>
        </w:rPr>
      </w:pPr>
      <w:r w:rsidRPr="0098237D">
        <w:rPr>
          <w:rFonts w:ascii="Arial Narrow" w:hAnsi="Arial Narrow"/>
          <w:b/>
          <w:snapToGrid/>
          <w:sz w:val="20"/>
          <w:szCs w:val="18"/>
        </w:rPr>
        <w:t>Table 4: Results from induction phase of trials (ITT) – clinical remission (CDAI &lt;150)</w:t>
      </w:r>
    </w:p>
    <w:tbl>
      <w:tblPr>
        <w:tblStyle w:val="TableGrid"/>
        <w:tblW w:w="8312" w:type="dxa"/>
        <w:tblInd w:w="704" w:type="dxa"/>
        <w:tblLayout w:type="fixed"/>
        <w:tblCellMar>
          <w:left w:w="28" w:type="dxa"/>
          <w:right w:w="28" w:type="dxa"/>
        </w:tblCellMar>
        <w:tblLook w:val="04A0" w:firstRow="1" w:lastRow="0" w:firstColumn="1" w:lastColumn="0" w:noHBand="0" w:noVBand="1"/>
        <w:tblCaption w:val="Table 4: Results from induction phase of trials (ITT) – clinical remission (CDAI &lt;150)"/>
      </w:tblPr>
      <w:tblGrid>
        <w:gridCol w:w="992"/>
        <w:gridCol w:w="1134"/>
        <w:gridCol w:w="1134"/>
        <w:gridCol w:w="1240"/>
        <w:gridCol w:w="1028"/>
        <w:gridCol w:w="1240"/>
        <w:gridCol w:w="1028"/>
        <w:gridCol w:w="516"/>
      </w:tblGrid>
      <w:tr w:rsidR="00727CAA" w:rsidRPr="00913156" w:rsidTr="00E63272">
        <w:trPr>
          <w:tblHeader/>
        </w:trPr>
        <w:tc>
          <w:tcPr>
            <w:tcW w:w="992" w:type="dxa"/>
            <w:vAlign w:val="center"/>
          </w:tcPr>
          <w:p w:rsidR="00727CAA" w:rsidRPr="00913156" w:rsidRDefault="00727CAA" w:rsidP="005212E6">
            <w:pPr>
              <w:rPr>
                <w:rFonts w:ascii="Arial Narrow" w:hAnsi="Arial Narrow"/>
                <w:b/>
                <w:snapToGrid/>
                <w:sz w:val="18"/>
              </w:rPr>
            </w:pPr>
            <w:r w:rsidRPr="00913156">
              <w:rPr>
                <w:rFonts w:ascii="Arial Narrow" w:hAnsi="Arial Narrow"/>
                <w:b/>
                <w:snapToGrid/>
                <w:sz w:val="18"/>
              </w:rPr>
              <w:t>Trial</w:t>
            </w:r>
          </w:p>
        </w:tc>
        <w:tc>
          <w:tcPr>
            <w:tcW w:w="1134" w:type="dxa"/>
            <w:vAlign w:val="center"/>
          </w:tcPr>
          <w:p w:rsidR="00727CAA" w:rsidRPr="00913156" w:rsidRDefault="00727CAA" w:rsidP="005212E6">
            <w:pPr>
              <w:jc w:val="center"/>
              <w:rPr>
                <w:rFonts w:ascii="Arial Narrow" w:hAnsi="Arial Narrow"/>
                <w:b/>
                <w:snapToGrid/>
                <w:sz w:val="18"/>
              </w:rPr>
            </w:pPr>
            <w:r w:rsidRPr="00913156">
              <w:rPr>
                <w:rFonts w:ascii="Arial Narrow" w:hAnsi="Arial Narrow"/>
                <w:b/>
                <w:snapToGrid/>
                <w:sz w:val="18"/>
              </w:rPr>
              <w:t>Drug</w:t>
            </w:r>
          </w:p>
        </w:tc>
        <w:tc>
          <w:tcPr>
            <w:tcW w:w="1134" w:type="dxa"/>
            <w:vAlign w:val="center"/>
          </w:tcPr>
          <w:p w:rsidR="00727CAA" w:rsidRPr="00913156" w:rsidRDefault="00727CAA" w:rsidP="005212E6">
            <w:pPr>
              <w:jc w:val="center"/>
              <w:rPr>
                <w:rFonts w:ascii="Arial Narrow" w:hAnsi="Arial Narrow"/>
                <w:b/>
                <w:snapToGrid/>
                <w:sz w:val="18"/>
              </w:rPr>
            </w:pPr>
            <w:r w:rsidRPr="00913156">
              <w:rPr>
                <w:rFonts w:ascii="Arial Narrow" w:hAnsi="Arial Narrow"/>
                <w:b/>
                <w:snapToGrid/>
                <w:sz w:val="18"/>
              </w:rPr>
              <w:t>Placebo</w:t>
            </w:r>
          </w:p>
        </w:tc>
        <w:tc>
          <w:tcPr>
            <w:tcW w:w="2268" w:type="dxa"/>
            <w:gridSpan w:val="2"/>
          </w:tcPr>
          <w:p w:rsidR="00727CAA" w:rsidRPr="00913156" w:rsidRDefault="00727CAA" w:rsidP="005212E6">
            <w:pPr>
              <w:jc w:val="center"/>
              <w:rPr>
                <w:rFonts w:ascii="Arial Narrow" w:hAnsi="Arial Narrow"/>
                <w:b/>
                <w:snapToGrid/>
                <w:sz w:val="20"/>
              </w:rPr>
            </w:pPr>
            <w:r w:rsidRPr="00913156">
              <w:rPr>
                <w:rFonts w:ascii="Arial Narrow" w:hAnsi="Arial Narrow"/>
                <w:b/>
                <w:snapToGrid/>
                <w:sz w:val="20"/>
              </w:rPr>
              <w:t>RR (95% CI)</w:t>
            </w:r>
          </w:p>
        </w:tc>
        <w:tc>
          <w:tcPr>
            <w:tcW w:w="2268" w:type="dxa"/>
            <w:gridSpan w:val="2"/>
            <w:vAlign w:val="center"/>
          </w:tcPr>
          <w:p w:rsidR="00727CAA" w:rsidRPr="00913156" w:rsidRDefault="00727CAA" w:rsidP="005212E6">
            <w:pPr>
              <w:jc w:val="center"/>
              <w:rPr>
                <w:rFonts w:ascii="Arial Narrow" w:hAnsi="Arial Narrow"/>
                <w:b/>
                <w:snapToGrid/>
                <w:sz w:val="20"/>
              </w:rPr>
            </w:pPr>
            <w:r w:rsidRPr="00913156">
              <w:rPr>
                <w:rFonts w:ascii="Arial Narrow" w:hAnsi="Arial Narrow"/>
                <w:b/>
                <w:snapToGrid/>
                <w:sz w:val="20"/>
              </w:rPr>
              <w:t>RD (95% CI)</w:t>
            </w:r>
          </w:p>
        </w:tc>
        <w:tc>
          <w:tcPr>
            <w:tcW w:w="516" w:type="dxa"/>
            <w:vAlign w:val="center"/>
          </w:tcPr>
          <w:p w:rsidR="00727CAA" w:rsidRPr="00913156" w:rsidRDefault="00727CAA" w:rsidP="005212E6">
            <w:pPr>
              <w:jc w:val="center"/>
              <w:rPr>
                <w:rFonts w:ascii="Arial Narrow" w:hAnsi="Arial Narrow"/>
                <w:b/>
                <w:snapToGrid/>
                <w:sz w:val="20"/>
              </w:rPr>
            </w:pPr>
            <w:r w:rsidRPr="00913156">
              <w:rPr>
                <w:rFonts w:ascii="Arial Narrow" w:hAnsi="Arial Narrow"/>
                <w:b/>
                <w:snapToGrid/>
                <w:sz w:val="20"/>
              </w:rPr>
              <w:t>NNT</w:t>
            </w:r>
          </w:p>
        </w:tc>
      </w:tr>
      <w:tr w:rsidR="00727CAA" w:rsidRPr="00913156" w:rsidTr="005212E6">
        <w:trPr>
          <w:trHeight w:val="70"/>
        </w:trPr>
        <w:tc>
          <w:tcPr>
            <w:tcW w:w="3260" w:type="dxa"/>
            <w:gridSpan w:val="3"/>
            <w:vAlign w:val="center"/>
          </w:tcPr>
          <w:p w:rsidR="00727CAA" w:rsidRPr="00913156" w:rsidRDefault="00727CAA" w:rsidP="005212E6">
            <w:pPr>
              <w:rPr>
                <w:rFonts w:ascii="Arial Narrow" w:hAnsi="Arial Narrow"/>
                <w:b/>
                <w:bCs/>
                <w:snapToGrid/>
                <w:sz w:val="18"/>
              </w:rPr>
            </w:pPr>
            <w:r w:rsidRPr="00913156">
              <w:rPr>
                <w:rFonts w:ascii="Arial Narrow" w:hAnsi="Arial Narrow"/>
                <w:b/>
                <w:bCs/>
                <w:snapToGrid/>
                <w:sz w:val="18"/>
              </w:rPr>
              <w:t>UST [wk0: tiered dose/kg] -Wk 8 results</w:t>
            </w:r>
          </w:p>
        </w:tc>
        <w:tc>
          <w:tcPr>
            <w:tcW w:w="1240" w:type="dxa"/>
            <w:tcBorders>
              <w:bottom w:val="nil"/>
              <w:right w:val="nil"/>
            </w:tcBorders>
          </w:tcPr>
          <w:p w:rsidR="00727CAA" w:rsidRPr="00913156" w:rsidRDefault="00727CAA" w:rsidP="005212E6">
            <w:pPr>
              <w:rPr>
                <w:rFonts w:ascii="Arial Narrow" w:hAnsi="Arial Narrow"/>
                <w:snapToGrid/>
                <w:sz w:val="20"/>
              </w:rPr>
            </w:pPr>
          </w:p>
        </w:tc>
        <w:tc>
          <w:tcPr>
            <w:tcW w:w="1028" w:type="dxa"/>
            <w:tcBorders>
              <w:left w:val="nil"/>
              <w:bottom w:val="nil"/>
            </w:tcBorders>
          </w:tcPr>
          <w:p w:rsidR="00727CAA" w:rsidRPr="00913156" w:rsidRDefault="00727CAA" w:rsidP="005212E6">
            <w:pPr>
              <w:rPr>
                <w:rFonts w:ascii="Arial Narrow" w:hAnsi="Arial Narrow"/>
                <w:snapToGrid/>
                <w:sz w:val="20"/>
              </w:rPr>
            </w:pPr>
          </w:p>
        </w:tc>
        <w:tc>
          <w:tcPr>
            <w:tcW w:w="1240" w:type="dxa"/>
            <w:tcBorders>
              <w:bottom w:val="nil"/>
              <w:right w:val="nil"/>
            </w:tcBorders>
          </w:tcPr>
          <w:p w:rsidR="00727CAA" w:rsidRPr="00913156" w:rsidRDefault="00727CAA" w:rsidP="005212E6">
            <w:pPr>
              <w:rPr>
                <w:rFonts w:ascii="Arial Narrow" w:hAnsi="Arial Narrow"/>
                <w:snapToGrid/>
                <w:sz w:val="20"/>
              </w:rPr>
            </w:pPr>
          </w:p>
        </w:tc>
        <w:tc>
          <w:tcPr>
            <w:tcW w:w="1028" w:type="dxa"/>
            <w:tcBorders>
              <w:left w:val="nil"/>
              <w:bottom w:val="nil"/>
            </w:tcBorders>
          </w:tcPr>
          <w:p w:rsidR="00727CAA" w:rsidRPr="00913156" w:rsidRDefault="00727CAA" w:rsidP="005212E6">
            <w:pPr>
              <w:rPr>
                <w:rFonts w:ascii="Arial Narrow" w:hAnsi="Arial Narrow"/>
                <w:snapToGrid/>
                <w:sz w:val="20"/>
              </w:rPr>
            </w:pPr>
          </w:p>
        </w:tc>
        <w:tc>
          <w:tcPr>
            <w:tcW w:w="516" w:type="dxa"/>
          </w:tcPr>
          <w:p w:rsidR="00727CAA" w:rsidRPr="00913156" w:rsidRDefault="00727CAA" w:rsidP="005212E6">
            <w:pPr>
              <w:jc w:val="center"/>
              <w:rPr>
                <w:rFonts w:ascii="Arial Narrow" w:hAnsi="Arial Narrow"/>
                <w:snapToGrid/>
                <w:sz w:val="20"/>
              </w:rPr>
            </w:pPr>
          </w:p>
        </w:tc>
      </w:tr>
      <w:tr w:rsidR="00727CAA" w:rsidRPr="00913156" w:rsidTr="005212E6">
        <w:tc>
          <w:tcPr>
            <w:tcW w:w="992" w:type="dxa"/>
            <w:vAlign w:val="center"/>
          </w:tcPr>
          <w:p w:rsidR="00727CAA" w:rsidRPr="00913156" w:rsidRDefault="00727CAA" w:rsidP="005212E6">
            <w:pPr>
              <w:rPr>
                <w:rFonts w:ascii="Arial Narrow" w:hAnsi="Arial Narrow"/>
                <w:snapToGrid/>
                <w:sz w:val="18"/>
              </w:rPr>
            </w:pPr>
            <w:r w:rsidRPr="00913156">
              <w:rPr>
                <w:rFonts w:ascii="Arial Narrow" w:hAnsi="Arial Narrow"/>
                <w:snapToGrid/>
                <w:sz w:val="18"/>
              </w:rPr>
              <w:t>UNITI-1</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52/249 (20.9)</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18/247 (7.3)</w:t>
            </w:r>
          </w:p>
        </w:tc>
        <w:tc>
          <w:tcPr>
            <w:tcW w:w="1240" w:type="dxa"/>
            <w:vMerge w:val="restart"/>
            <w:tcBorders>
              <w:top w:val="nil"/>
              <w:right w:val="nil"/>
            </w:tcBorders>
          </w:tcPr>
          <w:p w:rsidR="00727CAA" w:rsidRPr="00913156" w:rsidRDefault="00727CAA" w:rsidP="005212E6">
            <w:pPr>
              <w:jc w:val="center"/>
              <w:rPr>
                <w:rFonts w:ascii="Arial Narrow" w:hAnsi="Arial Narrow"/>
                <w:b/>
                <w:bCs/>
                <w:iCs/>
                <w:snapToGrid/>
                <w:sz w:val="18"/>
                <w:szCs w:val="18"/>
              </w:rPr>
            </w:pPr>
            <w:r w:rsidRPr="00913156">
              <w:rPr>
                <w:noProof/>
                <w:snapToGrid/>
                <w:lang w:eastAsia="en-AU"/>
              </w:rPr>
              <w:drawing>
                <wp:inline distT="0" distB="0" distL="0" distR="0" wp14:anchorId="425D3A61" wp14:editId="2F60A851">
                  <wp:extent cx="673100" cy="2967355"/>
                  <wp:effectExtent l="0" t="0" r="0" b="4445"/>
                  <wp:docPr id="4" name="Picture 4" title="Table 4: Results from induction phase of trials (ITT) – clinical remission (CDAI &lt;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967355"/>
                          </a:xfrm>
                          <a:prstGeom prst="rect">
                            <a:avLst/>
                          </a:prstGeom>
                          <a:noFill/>
                          <a:ln>
                            <a:noFill/>
                          </a:ln>
                        </pic:spPr>
                      </pic:pic>
                    </a:graphicData>
                  </a:graphic>
                </wp:inline>
              </w:drawing>
            </w: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2.87 (1.73, 4.75)</w:t>
            </w:r>
          </w:p>
        </w:tc>
        <w:tc>
          <w:tcPr>
            <w:tcW w:w="1240" w:type="dxa"/>
            <w:vMerge w:val="restart"/>
            <w:tcBorders>
              <w:top w:val="nil"/>
              <w:right w:val="nil"/>
            </w:tcBorders>
          </w:tcPr>
          <w:p w:rsidR="00727CAA" w:rsidRPr="00913156" w:rsidRDefault="00727CAA" w:rsidP="005212E6">
            <w:pPr>
              <w:rPr>
                <w:rFonts w:ascii="Arial Narrow" w:hAnsi="Arial Narrow"/>
                <w:snapToGrid/>
                <w:sz w:val="20"/>
              </w:rPr>
            </w:pPr>
            <w:r w:rsidRPr="00913156">
              <w:rPr>
                <w:noProof/>
                <w:snapToGrid/>
                <w:lang w:eastAsia="en-AU"/>
              </w:rPr>
              <w:drawing>
                <wp:inline distT="0" distB="0" distL="0" distR="0" wp14:anchorId="3BE1391C" wp14:editId="2A25F5D5">
                  <wp:extent cx="741680" cy="2993390"/>
                  <wp:effectExtent l="0" t="0" r="1270" b="0"/>
                  <wp:docPr id="5" name="Picture 5" title="Table 4: Results from induction phase of trials (ITT) – clinical remission (CDAI &lt;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680" cy="2993390"/>
                          </a:xfrm>
                          <a:prstGeom prst="rect">
                            <a:avLst/>
                          </a:prstGeom>
                          <a:noFill/>
                          <a:ln>
                            <a:noFill/>
                          </a:ln>
                        </pic:spPr>
                      </pic:pic>
                    </a:graphicData>
                  </a:graphic>
                </wp:inline>
              </w:drawing>
            </w: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0.14 (0.08, 0.20)</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7</w:t>
            </w:r>
          </w:p>
        </w:tc>
      </w:tr>
      <w:tr w:rsidR="00727CAA" w:rsidRPr="00913156" w:rsidTr="005212E6">
        <w:tc>
          <w:tcPr>
            <w:tcW w:w="992" w:type="dxa"/>
            <w:vAlign w:val="center"/>
          </w:tcPr>
          <w:p w:rsidR="00727CAA" w:rsidRPr="00913156" w:rsidRDefault="00727CAA" w:rsidP="005212E6">
            <w:pPr>
              <w:rPr>
                <w:rFonts w:ascii="Arial Narrow" w:hAnsi="Arial Narrow"/>
                <w:snapToGrid/>
                <w:sz w:val="18"/>
              </w:rPr>
            </w:pPr>
            <w:r w:rsidRPr="00913156">
              <w:rPr>
                <w:rFonts w:ascii="Arial Narrow" w:hAnsi="Arial Narrow"/>
                <w:snapToGrid/>
                <w:sz w:val="18"/>
              </w:rPr>
              <w:t>UNITI-2</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84/209 (40.2)</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41/209 (19.6)</w:t>
            </w:r>
          </w:p>
        </w:tc>
        <w:tc>
          <w:tcPr>
            <w:tcW w:w="1240" w:type="dxa"/>
            <w:vMerge/>
            <w:tcBorders>
              <w:right w:val="nil"/>
            </w:tcBorders>
          </w:tcPr>
          <w:p w:rsidR="00727CAA" w:rsidRPr="00913156" w:rsidRDefault="00727CAA" w:rsidP="005212E6">
            <w:pPr>
              <w:jc w:val="center"/>
              <w:rPr>
                <w:rFonts w:ascii="Arial Narrow" w:hAnsi="Arial Narrow"/>
                <w:b/>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2.05 (1.49, 2.82)</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0.21 (0.12, 0.29)</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5</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snapToGrid/>
                <w:sz w:val="18"/>
              </w:rPr>
            </w:pPr>
            <w:r w:rsidRPr="00913156">
              <w:rPr>
                <w:rFonts w:ascii="Arial Narrow" w:hAnsi="Arial Narrow"/>
                <w:snapToGrid/>
                <w:sz w:val="18"/>
              </w:rPr>
              <w:t>Meta-analysis</w:t>
            </w:r>
          </w:p>
        </w:tc>
        <w:tc>
          <w:tcPr>
            <w:tcW w:w="1240" w:type="dxa"/>
            <w:vMerge/>
            <w:tcBorders>
              <w:right w:val="nil"/>
            </w:tcBorders>
          </w:tcPr>
          <w:p w:rsidR="00727CAA" w:rsidRPr="00913156" w:rsidRDefault="00727CAA" w:rsidP="005212E6">
            <w:pPr>
              <w:jc w:val="center"/>
              <w:rPr>
                <w:rFonts w:ascii="Arial Narrow" w:hAnsi="Arial Narrow"/>
                <w:b/>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2.28 (1.68, 3.12)</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0.16 (0.09, 0.23)</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6</w:t>
            </w:r>
          </w:p>
        </w:tc>
      </w:tr>
      <w:tr w:rsidR="00727CAA" w:rsidRPr="00913156" w:rsidTr="005212E6">
        <w:tc>
          <w:tcPr>
            <w:tcW w:w="3260" w:type="dxa"/>
            <w:gridSpan w:val="3"/>
            <w:vAlign w:val="center"/>
          </w:tcPr>
          <w:p w:rsidR="00727CAA" w:rsidRPr="00913156" w:rsidRDefault="00727CAA" w:rsidP="005212E6">
            <w:pPr>
              <w:rPr>
                <w:rFonts w:ascii="Arial Narrow" w:hAnsi="Arial Narrow"/>
                <w:b/>
                <w:bCs/>
                <w:snapToGrid/>
                <w:sz w:val="18"/>
              </w:rPr>
            </w:pPr>
            <w:r w:rsidRPr="00913156">
              <w:rPr>
                <w:rFonts w:ascii="Arial Narrow" w:hAnsi="Arial Narrow"/>
                <w:b/>
                <w:bCs/>
                <w:snapToGrid/>
                <w:sz w:val="18"/>
              </w:rPr>
              <w:t>ADA [wk0: 160mg, wk2: 80mg] -  Wk 4 results</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14"/>
                <w:szCs w:val="14"/>
              </w:rPr>
            </w:pP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p>
        </w:tc>
        <w:tc>
          <w:tcPr>
            <w:tcW w:w="516" w:type="dxa"/>
          </w:tcPr>
          <w:p w:rsidR="00727CAA" w:rsidRPr="00913156" w:rsidRDefault="00727CAA" w:rsidP="005212E6">
            <w:pPr>
              <w:jc w:val="center"/>
              <w:rPr>
                <w:rFonts w:ascii="Arial Narrow" w:hAnsi="Arial Narrow"/>
                <w:snapToGrid/>
                <w:sz w:val="20"/>
              </w:rPr>
            </w:pPr>
          </w:p>
        </w:tc>
      </w:tr>
      <w:tr w:rsidR="00727CAA" w:rsidRPr="00913156" w:rsidTr="005212E6">
        <w:tc>
          <w:tcPr>
            <w:tcW w:w="992" w:type="dxa"/>
            <w:vAlign w:val="center"/>
          </w:tcPr>
          <w:p w:rsidR="00727CAA" w:rsidRPr="00913156" w:rsidRDefault="00727CAA" w:rsidP="005212E6">
            <w:pPr>
              <w:rPr>
                <w:rFonts w:ascii="Arial Narrow" w:hAnsi="Arial Narrow"/>
                <w:snapToGrid/>
                <w:sz w:val="18"/>
              </w:rPr>
            </w:pPr>
            <w:r w:rsidRPr="00913156">
              <w:rPr>
                <w:rFonts w:ascii="Arial Narrow" w:hAnsi="Arial Narrow"/>
                <w:snapToGrid/>
                <w:sz w:val="18"/>
              </w:rPr>
              <w:t>CLASSIC-I</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27/76 (35.5)</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9/74 (12.2)</w:t>
            </w:r>
          </w:p>
        </w:tc>
        <w:tc>
          <w:tcPr>
            <w:tcW w:w="1240" w:type="dxa"/>
            <w:vMerge/>
            <w:tcBorders>
              <w:right w:val="nil"/>
            </w:tcBorders>
          </w:tcPr>
          <w:p w:rsidR="00727CAA" w:rsidRPr="00913156" w:rsidRDefault="00727CAA" w:rsidP="005212E6">
            <w:pPr>
              <w:jc w:val="center"/>
              <w:rPr>
                <w:rFonts w:ascii="Arial Narrow" w:hAnsi="Arial Narrow"/>
                <w:b/>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2.92 (1.48, 5.78)</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0.23 (0.10, 0.36)</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4</w:t>
            </w:r>
          </w:p>
        </w:tc>
      </w:tr>
      <w:tr w:rsidR="00727CAA" w:rsidRPr="00913156" w:rsidTr="005212E6">
        <w:tc>
          <w:tcPr>
            <w:tcW w:w="992" w:type="dxa"/>
            <w:vAlign w:val="center"/>
          </w:tcPr>
          <w:p w:rsidR="00727CAA" w:rsidRPr="00913156" w:rsidRDefault="00727CAA" w:rsidP="005212E6">
            <w:pPr>
              <w:rPr>
                <w:rFonts w:ascii="Arial Narrow" w:hAnsi="Arial Narrow"/>
                <w:snapToGrid/>
                <w:sz w:val="18"/>
              </w:rPr>
            </w:pPr>
            <w:r w:rsidRPr="00913156">
              <w:rPr>
                <w:rFonts w:ascii="Arial Narrow" w:hAnsi="Arial Narrow"/>
                <w:snapToGrid/>
                <w:sz w:val="18"/>
              </w:rPr>
              <w:t>GAIN</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34/159 (21.4)</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12/166 (7.2)</w:t>
            </w:r>
          </w:p>
        </w:tc>
        <w:tc>
          <w:tcPr>
            <w:tcW w:w="1240" w:type="dxa"/>
            <w:vMerge/>
            <w:tcBorders>
              <w:right w:val="nil"/>
            </w:tcBorders>
          </w:tcPr>
          <w:p w:rsidR="00727CAA" w:rsidRPr="00913156" w:rsidRDefault="00727CAA" w:rsidP="005212E6">
            <w:pPr>
              <w:jc w:val="center"/>
              <w:rPr>
                <w:rFonts w:ascii="Arial Narrow" w:hAnsi="Arial Narrow"/>
                <w:b/>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2.96 (1.59, 5.51)</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0.14 (0.07, 0.22)</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7</w:t>
            </w:r>
          </w:p>
        </w:tc>
      </w:tr>
      <w:tr w:rsidR="00727CAA" w:rsidRPr="00913156" w:rsidTr="005212E6">
        <w:tc>
          <w:tcPr>
            <w:tcW w:w="992" w:type="dxa"/>
            <w:vAlign w:val="center"/>
          </w:tcPr>
          <w:p w:rsidR="00727CAA" w:rsidRPr="00913156" w:rsidRDefault="00727CAA" w:rsidP="005212E6">
            <w:pPr>
              <w:rPr>
                <w:rFonts w:ascii="Arial Narrow" w:hAnsi="Arial Narrow"/>
                <w:snapToGrid/>
                <w:sz w:val="18"/>
              </w:rPr>
            </w:pPr>
            <w:r w:rsidRPr="00913156">
              <w:rPr>
                <w:rFonts w:ascii="Arial Narrow" w:hAnsi="Arial Narrow"/>
                <w:snapToGrid/>
                <w:sz w:val="18"/>
              </w:rPr>
              <w:t>Watanabe</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11/33 (33.3)</w:t>
            </w:r>
          </w:p>
        </w:tc>
        <w:tc>
          <w:tcPr>
            <w:tcW w:w="1134" w:type="dxa"/>
            <w:vAlign w:val="center"/>
          </w:tcPr>
          <w:p w:rsidR="00727CAA" w:rsidRPr="00913156" w:rsidRDefault="00727CAA" w:rsidP="005212E6">
            <w:pPr>
              <w:jc w:val="center"/>
              <w:rPr>
                <w:rFonts w:ascii="Arial Narrow" w:hAnsi="Arial Narrow"/>
                <w:snapToGrid/>
                <w:sz w:val="18"/>
              </w:rPr>
            </w:pPr>
            <w:r w:rsidRPr="00913156">
              <w:rPr>
                <w:rFonts w:ascii="Arial Narrow" w:hAnsi="Arial Narrow"/>
                <w:snapToGrid/>
                <w:sz w:val="18"/>
              </w:rPr>
              <w:t>3/23 (13.0)</w:t>
            </w:r>
          </w:p>
        </w:tc>
        <w:tc>
          <w:tcPr>
            <w:tcW w:w="1240" w:type="dxa"/>
            <w:vMerge/>
            <w:tcBorders>
              <w:right w:val="nil"/>
            </w:tcBorders>
          </w:tcPr>
          <w:p w:rsidR="00727CAA" w:rsidRPr="00913156" w:rsidRDefault="00727CAA" w:rsidP="005212E6">
            <w:pPr>
              <w:jc w:val="center"/>
              <w:rPr>
                <w:rFonts w:ascii="Arial Narrow" w:hAnsi="Arial Narrow"/>
                <w:bCs/>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Cs/>
                <w:iCs/>
                <w:snapToGrid/>
                <w:sz w:val="14"/>
                <w:szCs w:val="14"/>
              </w:rPr>
            </w:pPr>
            <w:r w:rsidRPr="00913156">
              <w:rPr>
                <w:rFonts w:ascii="Arial Narrow" w:hAnsi="Arial Narrow"/>
                <w:bCs/>
                <w:iCs/>
                <w:snapToGrid/>
                <w:sz w:val="14"/>
                <w:szCs w:val="14"/>
              </w:rPr>
              <w:t>2.56 (0.80, 8.15)</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Cs/>
                <w:iCs/>
                <w:snapToGrid/>
                <w:sz w:val="14"/>
                <w:szCs w:val="14"/>
              </w:rPr>
            </w:pPr>
            <w:r w:rsidRPr="00913156">
              <w:rPr>
                <w:rFonts w:ascii="Arial Narrow" w:hAnsi="Arial Narrow"/>
                <w:bCs/>
                <w:iCs/>
                <w:snapToGrid/>
                <w:sz w:val="14"/>
                <w:szCs w:val="14"/>
              </w:rPr>
              <w:t>0.20 (-0.01, 0.41)</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 xml:space="preserve">N/A </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snapToGrid/>
                <w:sz w:val="18"/>
              </w:rPr>
            </w:pPr>
            <w:r w:rsidRPr="00913156">
              <w:rPr>
                <w:rFonts w:ascii="Arial Narrow" w:hAnsi="Arial Narrow"/>
                <w:snapToGrid/>
                <w:sz w:val="18"/>
              </w:rPr>
              <w:t>Meta-analysis</w:t>
            </w:r>
          </w:p>
        </w:tc>
        <w:tc>
          <w:tcPr>
            <w:tcW w:w="1240" w:type="dxa"/>
            <w:vMerge/>
            <w:tcBorders>
              <w:right w:val="nil"/>
            </w:tcBorders>
          </w:tcPr>
          <w:p w:rsidR="00727CAA" w:rsidRPr="00913156" w:rsidRDefault="00727CAA" w:rsidP="005212E6">
            <w:pPr>
              <w:jc w:val="center"/>
              <w:rPr>
                <w:rFonts w:ascii="Arial Narrow" w:hAnsi="Arial Narrow"/>
                <w:b/>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2.89 (1.88, 4.42)</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0.17 (0.11, 0.23)</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6</w:t>
            </w:r>
          </w:p>
        </w:tc>
      </w:tr>
      <w:tr w:rsidR="00727CAA" w:rsidRPr="00913156" w:rsidTr="005212E6">
        <w:tc>
          <w:tcPr>
            <w:tcW w:w="3260" w:type="dxa"/>
            <w:gridSpan w:val="3"/>
            <w:vAlign w:val="center"/>
          </w:tcPr>
          <w:p w:rsidR="00727CAA" w:rsidRPr="00913156" w:rsidRDefault="00727CAA" w:rsidP="005212E6">
            <w:pPr>
              <w:rPr>
                <w:rFonts w:ascii="Arial Narrow" w:hAnsi="Arial Narrow"/>
                <w:b/>
                <w:bCs/>
                <w:iCs/>
                <w:snapToGrid/>
                <w:sz w:val="18"/>
              </w:rPr>
            </w:pPr>
            <w:r w:rsidRPr="00913156">
              <w:rPr>
                <w:rFonts w:ascii="Arial Narrow" w:hAnsi="Arial Narrow"/>
                <w:b/>
                <w:bCs/>
                <w:iCs/>
                <w:snapToGrid/>
                <w:sz w:val="18"/>
              </w:rPr>
              <w:t>IFX [wk0: 5mg/kg] - Wk 4 results</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14"/>
                <w:szCs w:val="14"/>
              </w:rPr>
            </w:pP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20"/>
              </w:rPr>
            </w:pPr>
          </w:p>
        </w:tc>
        <w:tc>
          <w:tcPr>
            <w:tcW w:w="516" w:type="dxa"/>
          </w:tcPr>
          <w:p w:rsidR="00727CAA" w:rsidRPr="00913156" w:rsidRDefault="00727CAA" w:rsidP="005212E6">
            <w:pPr>
              <w:jc w:val="center"/>
              <w:rPr>
                <w:rFonts w:ascii="Arial Narrow" w:hAnsi="Arial Narrow"/>
                <w:snapToGrid/>
                <w:sz w:val="20"/>
              </w:rPr>
            </w:pPr>
          </w:p>
        </w:tc>
      </w:tr>
      <w:tr w:rsidR="00727CAA" w:rsidRPr="00913156" w:rsidTr="005212E6">
        <w:tc>
          <w:tcPr>
            <w:tcW w:w="992" w:type="dxa"/>
            <w:vAlign w:val="center"/>
          </w:tcPr>
          <w:p w:rsidR="00727CAA" w:rsidRPr="00913156" w:rsidRDefault="00727CAA" w:rsidP="005212E6">
            <w:pPr>
              <w:rPr>
                <w:rFonts w:ascii="Arial Narrow" w:hAnsi="Arial Narrow"/>
                <w:iCs/>
                <w:snapToGrid/>
                <w:sz w:val="18"/>
              </w:rPr>
            </w:pPr>
            <w:r w:rsidRPr="00913156">
              <w:rPr>
                <w:rFonts w:ascii="Arial Narrow" w:hAnsi="Arial Narrow"/>
                <w:iCs/>
                <w:snapToGrid/>
                <w:sz w:val="18"/>
              </w:rPr>
              <w:t>T16</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13/27 (48.1)</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1/24 (4.2)</w:t>
            </w:r>
          </w:p>
        </w:tc>
        <w:tc>
          <w:tcPr>
            <w:tcW w:w="1240" w:type="dxa"/>
            <w:vMerge/>
            <w:tcBorders>
              <w:right w:val="nil"/>
            </w:tcBorders>
          </w:tcPr>
          <w:p w:rsidR="00727CAA" w:rsidRPr="00913156" w:rsidRDefault="00727CAA" w:rsidP="005212E6">
            <w:pPr>
              <w:jc w:val="center"/>
              <w:rPr>
                <w:rFonts w:ascii="Arial Narrow" w:hAnsi="Arial Narrow"/>
                <w:b/>
                <w:bCs/>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bCs/>
                <w:snapToGrid/>
                <w:sz w:val="14"/>
                <w:szCs w:val="14"/>
              </w:rPr>
            </w:pPr>
            <w:r w:rsidRPr="00913156">
              <w:rPr>
                <w:rFonts w:ascii="Arial Narrow" w:hAnsi="Arial Narrow"/>
                <w:b/>
                <w:bCs/>
                <w:snapToGrid/>
                <w:sz w:val="14"/>
                <w:szCs w:val="14"/>
              </w:rPr>
              <w:t>11.56 (1.63, 81.89)</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snapToGrid/>
                <w:sz w:val="20"/>
              </w:rPr>
            </w:pPr>
            <w:r w:rsidRPr="00913156">
              <w:rPr>
                <w:rFonts w:ascii="Arial Narrow" w:hAnsi="Arial Narrow"/>
                <w:b/>
                <w:iCs/>
                <w:snapToGrid/>
                <w:sz w:val="14"/>
                <w:szCs w:val="14"/>
              </w:rPr>
              <w:t>0.44 (0.24, 0.64)</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2</w:t>
            </w:r>
          </w:p>
        </w:tc>
      </w:tr>
      <w:tr w:rsidR="00727CAA" w:rsidRPr="00913156" w:rsidTr="005212E6">
        <w:tc>
          <w:tcPr>
            <w:tcW w:w="3260" w:type="dxa"/>
            <w:gridSpan w:val="3"/>
            <w:vAlign w:val="center"/>
          </w:tcPr>
          <w:p w:rsidR="00727CAA" w:rsidRPr="00913156" w:rsidRDefault="00727CAA" w:rsidP="005212E6">
            <w:pPr>
              <w:rPr>
                <w:rFonts w:ascii="Arial Narrow" w:hAnsi="Arial Narrow"/>
                <w:b/>
                <w:bCs/>
                <w:iCs/>
                <w:snapToGrid/>
                <w:sz w:val="18"/>
              </w:rPr>
            </w:pPr>
            <w:r w:rsidRPr="00913156">
              <w:rPr>
                <w:rFonts w:ascii="Arial Narrow" w:hAnsi="Arial Narrow"/>
                <w:b/>
                <w:bCs/>
                <w:iCs/>
                <w:snapToGrid/>
                <w:sz w:val="18"/>
              </w:rPr>
              <w:t>VDZ [wk0: 300mg, wk2:300mg] – Wk 6 results</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14"/>
                <w:szCs w:val="14"/>
              </w:rPr>
            </w:pP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20"/>
              </w:rPr>
            </w:pPr>
          </w:p>
        </w:tc>
        <w:tc>
          <w:tcPr>
            <w:tcW w:w="516" w:type="dxa"/>
          </w:tcPr>
          <w:p w:rsidR="00727CAA" w:rsidRPr="00913156" w:rsidRDefault="00727CAA" w:rsidP="005212E6">
            <w:pPr>
              <w:jc w:val="center"/>
              <w:rPr>
                <w:rFonts w:ascii="Arial Narrow" w:hAnsi="Arial Narrow"/>
                <w:snapToGrid/>
                <w:sz w:val="20"/>
              </w:rPr>
            </w:pPr>
          </w:p>
        </w:tc>
      </w:tr>
      <w:tr w:rsidR="00727CAA" w:rsidRPr="00913156" w:rsidTr="005212E6">
        <w:tc>
          <w:tcPr>
            <w:tcW w:w="992" w:type="dxa"/>
            <w:vAlign w:val="center"/>
          </w:tcPr>
          <w:p w:rsidR="00727CAA" w:rsidRPr="00913156" w:rsidRDefault="00727CAA" w:rsidP="005212E6">
            <w:pPr>
              <w:rPr>
                <w:rFonts w:ascii="Arial Narrow" w:hAnsi="Arial Narrow"/>
                <w:iCs/>
                <w:snapToGrid/>
                <w:sz w:val="18"/>
              </w:rPr>
            </w:pPr>
            <w:r w:rsidRPr="00913156">
              <w:rPr>
                <w:rFonts w:ascii="Arial Narrow" w:hAnsi="Arial Narrow"/>
                <w:iCs/>
                <w:snapToGrid/>
                <w:sz w:val="18"/>
              </w:rPr>
              <w:t>GEMINI II</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32/220 (14.5)</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10/148 (6.8)</w:t>
            </w:r>
          </w:p>
        </w:tc>
        <w:tc>
          <w:tcPr>
            <w:tcW w:w="1240" w:type="dxa"/>
            <w:vMerge/>
            <w:tcBorders>
              <w:right w:val="nil"/>
            </w:tcBorders>
          </w:tcPr>
          <w:p w:rsidR="00727CAA" w:rsidRPr="00913156" w:rsidRDefault="00727CAA" w:rsidP="005212E6">
            <w:pPr>
              <w:jc w:val="center"/>
              <w:rPr>
                <w:rFonts w:ascii="Arial Narrow" w:hAnsi="Arial Narrow"/>
                <w:b/>
                <w:bCs/>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bCs/>
                <w:snapToGrid/>
                <w:sz w:val="14"/>
                <w:szCs w:val="14"/>
              </w:rPr>
            </w:pPr>
            <w:r w:rsidRPr="00913156">
              <w:rPr>
                <w:rFonts w:ascii="Arial Narrow" w:hAnsi="Arial Narrow"/>
                <w:b/>
                <w:bCs/>
                <w:snapToGrid/>
                <w:sz w:val="14"/>
                <w:szCs w:val="14"/>
              </w:rPr>
              <w:t>2.15 (1.09, 4.24)</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0.08 (0.02, 0.14)</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13</w:t>
            </w:r>
          </w:p>
        </w:tc>
      </w:tr>
      <w:tr w:rsidR="00727CAA" w:rsidRPr="00913156" w:rsidTr="005212E6">
        <w:tc>
          <w:tcPr>
            <w:tcW w:w="992" w:type="dxa"/>
            <w:vAlign w:val="center"/>
          </w:tcPr>
          <w:p w:rsidR="00727CAA" w:rsidRPr="00913156" w:rsidRDefault="00727CAA" w:rsidP="005212E6">
            <w:pPr>
              <w:rPr>
                <w:rFonts w:ascii="Arial Narrow" w:hAnsi="Arial Narrow"/>
                <w:iCs/>
                <w:snapToGrid/>
                <w:sz w:val="18"/>
              </w:rPr>
            </w:pPr>
            <w:r w:rsidRPr="00913156">
              <w:rPr>
                <w:rFonts w:ascii="Arial Narrow" w:hAnsi="Arial Narrow"/>
                <w:iCs/>
                <w:snapToGrid/>
                <w:sz w:val="18"/>
              </w:rPr>
              <w:t>GEMINI III</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40/209 (19.1)</w:t>
            </w:r>
          </w:p>
        </w:tc>
        <w:tc>
          <w:tcPr>
            <w:tcW w:w="1134" w:type="dxa"/>
            <w:vAlign w:val="center"/>
          </w:tcPr>
          <w:p w:rsidR="00727CAA" w:rsidRPr="00913156" w:rsidRDefault="00727CAA" w:rsidP="005212E6">
            <w:pPr>
              <w:jc w:val="center"/>
              <w:rPr>
                <w:rFonts w:ascii="Arial Narrow" w:hAnsi="Arial Narrow"/>
                <w:iCs/>
                <w:snapToGrid/>
                <w:sz w:val="18"/>
              </w:rPr>
            </w:pPr>
            <w:r w:rsidRPr="00913156">
              <w:rPr>
                <w:rFonts w:ascii="Arial Narrow" w:hAnsi="Arial Narrow"/>
                <w:iCs/>
                <w:snapToGrid/>
                <w:sz w:val="18"/>
              </w:rPr>
              <w:t>25/207 (12.1)</w:t>
            </w:r>
          </w:p>
        </w:tc>
        <w:tc>
          <w:tcPr>
            <w:tcW w:w="1240" w:type="dxa"/>
            <w:vMerge/>
            <w:tcBorders>
              <w:right w:val="nil"/>
            </w:tcBorders>
          </w:tcPr>
          <w:p w:rsidR="00727CAA" w:rsidRPr="00913156" w:rsidRDefault="00727CAA" w:rsidP="005212E6">
            <w:pPr>
              <w:jc w:val="center"/>
              <w:rPr>
                <w:rFonts w:ascii="Arial Narrow" w:hAnsi="Arial Narrow"/>
                <w:b/>
                <w:bCs/>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bCs/>
                <w:snapToGrid/>
                <w:sz w:val="14"/>
                <w:szCs w:val="14"/>
              </w:rPr>
            </w:pPr>
            <w:r w:rsidRPr="00913156">
              <w:rPr>
                <w:rFonts w:ascii="Arial Narrow" w:hAnsi="Arial Narrow"/>
                <w:b/>
                <w:bCs/>
                <w:snapToGrid/>
                <w:sz w:val="14"/>
                <w:szCs w:val="14"/>
              </w:rPr>
              <w:t>1.58 (1.00, 2.51)</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0.07 (0.00, 0.14)</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14</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iCs/>
                <w:snapToGrid/>
                <w:sz w:val="18"/>
              </w:rPr>
            </w:pPr>
            <w:r w:rsidRPr="00913156">
              <w:rPr>
                <w:rFonts w:ascii="Arial Narrow" w:hAnsi="Arial Narrow"/>
                <w:iCs/>
                <w:snapToGrid/>
                <w:sz w:val="18"/>
              </w:rPr>
              <w:t>Meta-analysis</w:t>
            </w:r>
          </w:p>
        </w:tc>
        <w:tc>
          <w:tcPr>
            <w:tcW w:w="1240" w:type="dxa"/>
            <w:vMerge/>
            <w:tcBorders>
              <w:right w:val="nil"/>
            </w:tcBorders>
          </w:tcPr>
          <w:p w:rsidR="00727CAA" w:rsidRPr="00913156" w:rsidRDefault="00727CAA" w:rsidP="005212E6">
            <w:pPr>
              <w:jc w:val="center"/>
              <w:rPr>
                <w:rFonts w:ascii="Arial Narrow" w:hAnsi="Arial Narrow"/>
                <w:b/>
                <w:bCs/>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bCs/>
                <w:snapToGrid/>
                <w:sz w:val="14"/>
                <w:szCs w:val="14"/>
              </w:rPr>
            </w:pPr>
            <w:r w:rsidRPr="00913156">
              <w:rPr>
                <w:rFonts w:ascii="Arial Narrow" w:hAnsi="Arial Narrow"/>
                <w:b/>
                <w:bCs/>
                <w:snapToGrid/>
                <w:sz w:val="14"/>
                <w:szCs w:val="14"/>
              </w:rPr>
              <w:t>1.75 (1.19, 2.56)</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snapToGrid/>
                <w:sz w:val="20"/>
              </w:rPr>
            </w:pPr>
            <w:r w:rsidRPr="00913156">
              <w:rPr>
                <w:rFonts w:ascii="Arial Narrow" w:hAnsi="Arial Narrow"/>
                <w:b/>
                <w:iCs/>
                <w:snapToGrid/>
                <w:sz w:val="14"/>
                <w:szCs w:val="14"/>
              </w:rPr>
              <w:t>0.07 (0.03, 0.12)</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14</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iCs/>
                <w:snapToGrid/>
                <w:sz w:val="18"/>
              </w:rPr>
            </w:pPr>
            <w:r w:rsidRPr="00913156">
              <w:rPr>
                <w:rFonts w:ascii="Arial Narrow" w:hAnsi="Arial Narrow"/>
                <w:iCs/>
                <w:snapToGrid/>
                <w:sz w:val="18"/>
              </w:rPr>
              <w:t>All bDMARDs (ADA, IFX, VDZ)</w:t>
            </w:r>
          </w:p>
        </w:tc>
        <w:tc>
          <w:tcPr>
            <w:tcW w:w="1240" w:type="dxa"/>
            <w:vMerge/>
            <w:tcBorders>
              <w:right w:val="nil"/>
            </w:tcBorders>
          </w:tcPr>
          <w:p w:rsidR="00727CAA" w:rsidRPr="00913156" w:rsidRDefault="00727CAA" w:rsidP="005212E6">
            <w:pPr>
              <w:jc w:val="center"/>
              <w:rPr>
                <w:rFonts w:ascii="Arial Narrow" w:hAnsi="Arial Narrow"/>
                <w:b/>
                <w:bCs/>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
                <w:bCs/>
                <w:snapToGrid/>
                <w:sz w:val="14"/>
                <w:szCs w:val="14"/>
              </w:rPr>
            </w:pPr>
            <w:r w:rsidRPr="00913156">
              <w:rPr>
                <w:rFonts w:ascii="Arial Narrow" w:hAnsi="Arial Narrow"/>
                <w:b/>
                <w:bCs/>
                <w:snapToGrid/>
                <w:sz w:val="14"/>
                <w:szCs w:val="14"/>
              </w:rPr>
              <w:t>2.35 (1.68, 3.29)</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0.16 (0.08, 0.23)</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6</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b/>
                <w:bCs/>
                <w:snapToGrid/>
                <w:sz w:val="18"/>
              </w:rPr>
            </w:pPr>
            <w:r w:rsidRPr="00913156">
              <w:rPr>
                <w:rFonts w:ascii="Arial Narrow" w:hAnsi="Arial Narrow"/>
                <w:b/>
                <w:bCs/>
                <w:snapToGrid/>
                <w:sz w:val="18"/>
              </w:rPr>
              <w:t>Indirect comparisons</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14"/>
                <w:szCs w:val="14"/>
              </w:rPr>
            </w:pP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rPr>
                <w:rFonts w:ascii="Arial Narrow" w:hAnsi="Arial Narrow"/>
                <w:snapToGrid/>
                <w:sz w:val="20"/>
              </w:rPr>
            </w:pPr>
          </w:p>
        </w:tc>
        <w:tc>
          <w:tcPr>
            <w:tcW w:w="516" w:type="dxa"/>
          </w:tcPr>
          <w:p w:rsidR="00727CAA" w:rsidRPr="00913156" w:rsidRDefault="00727CAA" w:rsidP="005212E6">
            <w:pPr>
              <w:jc w:val="center"/>
              <w:rPr>
                <w:rFonts w:ascii="Arial Narrow" w:hAnsi="Arial Narrow"/>
                <w:snapToGrid/>
                <w:sz w:val="20"/>
              </w:rPr>
            </w:pP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snapToGrid/>
                <w:sz w:val="18"/>
              </w:rPr>
            </w:pPr>
            <w:r w:rsidRPr="00913156">
              <w:rPr>
                <w:rFonts w:ascii="Arial Narrow" w:hAnsi="Arial Narrow"/>
                <w:snapToGrid/>
                <w:sz w:val="18"/>
              </w:rPr>
              <w:t>UST v ADA</w:t>
            </w:r>
          </w:p>
        </w:tc>
        <w:tc>
          <w:tcPr>
            <w:tcW w:w="1240" w:type="dxa"/>
            <w:vMerge/>
            <w:tcBorders>
              <w:right w:val="nil"/>
            </w:tcBorders>
          </w:tcPr>
          <w:p w:rsidR="00727CAA" w:rsidRPr="00913156" w:rsidRDefault="00727CAA" w:rsidP="005212E6">
            <w:pPr>
              <w:jc w:val="center"/>
              <w:rPr>
                <w:rFonts w:ascii="Arial Narrow" w:hAnsi="Arial Narrow"/>
                <w:bCs/>
                <w:iCs/>
                <w:snapToGrid/>
                <w:sz w:val="18"/>
                <w:szCs w:val="18"/>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bCs/>
                <w:iCs/>
                <w:snapToGrid/>
                <w:sz w:val="14"/>
                <w:szCs w:val="14"/>
              </w:rPr>
            </w:pPr>
            <w:r w:rsidRPr="00913156">
              <w:rPr>
                <w:rFonts w:ascii="Arial Narrow" w:hAnsi="Arial Narrow"/>
                <w:bCs/>
                <w:iCs/>
                <w:snapToGrid/>
                <w:sz w:val="14"/>
                <w:szCs w:val="14"/>
              </w:rPr>
              <w:t>0.79 (0.47, 1.34)</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snapToGrid/>
                <w:sz w:val="20"/>
              </w:rPr>
            </w:pPr>
            <w:r w:rsidRPr="00913156">
              <w:rPr>
                <w:rFonts w:ascii="Arial Narrow" w:hAnsi="Arial Narrow"/>
                <w:bCs/>
                <w:iCs/>
                <w:snapToGrid/>
                <w:sz w:val="14"/>
                <w:szCs w:val="14"/>
              </w:rPr>
              <w:t>-0.01 (-0.10, 0.08)</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N/A</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iCs/>
                <w:snapToGrid/>
                <w:sz w:val="18"/>
              </w:rPr>
            </w:pPr>
            <w:r w:rsidRPr="00913156">
              <w:rPr>
                <w:rFonts w:ascii="Arial Narrow" w:hAnsi="Arial Narrow"/>
                <w:iCs/>
                <w:snapToGrid/>
                <w:sz w:val="18"/>
              </w:rPr>
              <w:t>UST v IFX</w:t>
            </w:r>
          </w:p>
        </w:tc>
        <w:tc>
          <w:tcPr>
            <w:tcW w:w="1240" w:type="dxa"/>
            <w:vMerge/>
            <w:tcBorders>
              <w:right w:val="nil"/>
            </w:tcBorders>
          </w:tcPr>
          <w:p w:rsidR="00727CAA" w:rsidRPr="00913156" w:rsidRDefault="00727CAA" w:rsidP="005212E6">
            <w:pPr>
              <w:jc w:val="cente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snapToGrid/>
                <w:sz w:val="14"/>
                <w:szCs w:val="14"/>
              </w:rPr>
            </w:pPr>
            <w:r w:rsidRPr="00913156">
              <w:rPr>
                <w:rFonts w:ascii="Arial Narrow" w:hAnsi="Arial Narrow"/>
                <w:snapToGrid/>
                <w:sz w:val="14"/>
                <w:szCs w:val="14"/>
              </w:rPr>
              <w:t>0.20 (0.03, 1.43)</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-0.28 (-0.49, -0.07)</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N/A</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iCs/>
                <w:snapToGrid/>
                <w:sz w:val="18"/>
              </w:rPr>
            </w:pPr>
            <w:r w:rsidRPr="00913156">
              <w:rPr>
                <w:rFonts w:ascii="Arial Narrow" w:hAnsi="Arial Narrow"/>
                <w:iCs/>
                <w:snapToGrid/>
                <w:sz w:val="18"/>
              </w:rPr>
              <w:t>UST v VDZ</w:t>
            </w:r>
          </w:p>
        </w:tc>
        <w:tc>
          <w:tcPr>
            <w:tcW w:w="1240" w:type="dxa"/>
            <w:vMerge/>
            <w:tcBorders>
              <w:right w:val="nil"/>
            </w:tcBorders>
          </w:tcPr>
          <w:p w:rsidR="00727CAA" w:rsidRPr="00913156" w:rsidRDefault="00727CAA" w:rsidP="005212E6">
            <w:pPr>
              <w:jc w:val="center"/>
              <w:rPr>
                <w:rFonts w:ascii="Arial Narrow" w:hAnsi="Arial Narrow"/>
                <w:snapToGrid/>
                <w:sz w:val="20"/>
              </w:rPr>
            </w:pPr>
          </w:p>
        </w:tc>
        <w:tc>
          <w:tcPr>
            <w:tcW w:w="1028" w:type="dxa"/>
            <w:tcBorders>
              <w:top w:val="nil"/>
              <w:left w:val="nil"/>
              <w:bottom w:val="nil"/>
            </w:tcBorders>
            <w:vAlign w:val="center"/>
          </w:tcPr>
          <w:p w:rsidR="00727CAA" w:rsidRPr="00913156" w:rsidRDefault="00727CAA" w:rsidP="005212E6">
            <w:pPr>
              <w:jc w:val="center"/>
              <w:rPr>
                <w:rFonts w:ascii="Arial Narrow" w:hAnsi="Arial Narrow"/>
                <w:snapToGrid/>
                <w:sz w:val="14"/>
                <w:szCs w:val="14"/>
              </w:rPr>
            </w:pPr>
            <w:r w:rsidRPr="00913156">
              <w:rPr>
                <w:rFonts w:ascii="Arial Narrow" w:hAnsi="Arial Narrow"/>
                <w:snapToGrid/>
                <w:sz w:val="14"/>
                <w:szCs w:val="14"/>
              </w:rPr>
              <w:t>1.30 (0.80, 2.13)</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bottom w:val="nil"/>
            </w:tcBorders>
          </w:tcPr>
          <w:p w:rsidR="00727CAA" w:rsidRPr="00913156" w:rsidRDefault="00727CAA" w:rsidP="005212E6">
            <w:pPr>
              <w:jc w:val="center"/>
              <w:rPr>
                <w:rFonts w:ascii="Arial Narrow" w:hAnsi="Arial Narrow"/>
                <w:b/>
                <w:iCs/>
                <w:snapToGrid/>
                <w:sz w:val="14"/>
                <w:szCs w:val="14"/>
              </w:rPr>
            </w:pPr>
            <w:r w:rsidRPr="00913156">
              <w:rPr>
                <w:rFonts w:ascii="Arial Narrow" w:hAnsi="Arial Narrow"/>
                <w:b/>
                <w:iCs/>
                <w:snapToGrid/>
                <w:sz w:val="14"/>
                <w:szCs w:val="14"/>
              </w:rPr>
              <w:t>0.09 (0.01, 0.17)</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N/A</w:t>
            </w:r>
          </w:p>
        </w:tc>
      </w:tr>
      <w:tr w:rsidR="00727CAA" w:rsidRPr="00913156" w:rsidTr="005212E6">
        <w:tc>
          <w:tcPr>
            <w:tcW w:w="3260" w:type="dxa"/>
            <w:gridSpan w:val="3"/>
            <w:vAlign w:val="center"/>
          </w:tcPr>
          <w:p w:rsidR="00727CAA" w:rsidRPr="00913156" w:rsidRDefault="00727CAA" w:rsidP="005212E6">
            <w:pPr>
              <w:jc w:val="right"/>
              <w:rPr>
                <w:rFonts w:ascii="Arial Narrow" w:hAnsi="Arial Narrow"/>
                <w:iCs/>
                <w:snapToGrid/>
                <w:sz w:val="18"/>
              </w:rPr>
            </w:pPr>
            <w:r w:rsidRPr="00913156">
              <w:rPr>
                <w:rFonts w:ascii="Arial Narrow" w:hAnsi="Arial Narrow"/>
                <w:iCs/>
                <w:snapToGrid/>
                <w:sz w:val="18"/>
              </w:rPr>
              <w:t>UST v ADA/IFX/VDZ</w:t>
            </w:r>
          </w:p>
        </w:tc>
        <w:tc>
          <w:tcPr>
            <w:tcW w:w="1240" w:type="dxa"/>
            <w:vMerge/>
            <w:tcBorders>
              <w:right w:val="nil"/>
            </w:tcBorders>
          </w:tcPr>
          <w:p w:rsidR="00727CAA" w:rsidRPr="00913156" w:rsidRDefault="00727CAA" w:rsidP="005212E6">
            <w:pPr>
              <w:jc w:val="center"/>
              <w:rPr>
                <w:rFonts w:ascii="Arial Narrow" w:hAnsi="Arial Narrow"/>
                <w:snapToGrid/>
                <w:sz w:val="20"/>
              </w:rPr>
            </w:pPr>
          </w:p>
        </w:tc>
        <w:tc>
          <w:tcPr>
            <w:tcW w:w="1028" w:type="dxa"/>
            <w:tcBorders>
              <w:top w:val="nil"/>
              <w:left w:val="nil"/>
            </w:tcBorders>
            <w:vAlign w:val="center"/>
          </w:tcPr>
          <w:p w:rsidR="00727CAA" w:rsidRPr="00913156" w:rsidRDefault="00727CAA" w:rsidP="005212E6">
            <w:pPr>
              <w:jc w:val="center"/>
              <w:rPr>
                <w:rFonts w:ascii="Arial Narrow" w:hAnsi="Arial Narrow"/>
                <w:snapToGrid/>
                <w:sz w:val="14"/>
                <w:szCs w:val="14"/>
              </w:rPr>
            </w:pPr>
            <w:r w:rsidRPr="00913156">
              <w:rPr>
                <w:rFonts w:ascii="Arial Narrow" w:hAnsi="Arial Narrow"/>
                <w:snapToGrid/>
                <w:sz w:val="14"/>
                <w:szCs w:val="14"/>
              </w:rPr>
              <w:t>0.97 (0.61, 1.53)</w:t>
            </w:r>
          </w:p>
        </w:tc>
        <w:tc>
          <w:tcPr>
            <w:tcW w:w="1240" w:type="dxa"/>
            <w:vMerge/>
            <w:tcBorders>
              <w:right w:val="nil"/>
            </w:tcBorders>
          </w:tcPr>
          <w:p w:rsidR="00727CAA" w:rsidRPr="00913156" w:rsidRDefault="00727CAA" w:rsidP="005212E6">
            <w:pPr>
              <w:rPr>
                <w:rFonts w:ascii="Arial Narrow" w:hAnsi="Arial Narrow"/>
                <w:snapToGrid/>
                <w:sz w:val="20"/>
              </w:rPr>
            </w:pPr>
          </w:p>
        </w:tc>
        <w:tc>
          <w:tcPr>
            <w:tcW w:w="1028" w:type="dxa"/>
            <w:tcBorders>
              <w:top w:val="nil"/>
              <w:left w:val="nil"/>
            </w:tcBorders>
          </w:tcPr>
          <w:p w:rsidR="00727CAA" w:rsidRPr="00913156" w:rsidRDefault="00727CAA" w:rsidP="005212E6">
            <w:pPr>
              <w:jc w:val="center"/>
              <w:rPr>
                <w:rFonts w:ascii="Arial Narrow" w:hAnsi="Arial Narrow"/>
                <w:snapToGrid/>
                <w:sz w:val="20"/>
              </w:rPr>
            </w:pPr>
            <w:r w:rsidRPr="00913156">
              <w:rPr>
                <w:rFonts w:ascii="Arial Narrow" w:hAnsi="Arial Narrow"/>
                <w:bCs/>
                <w:iCs/>
                <w:snapToGrid/>
                <w:sz w:val="14"/>
                <w:szCs w:val="14"/>
              </w:rPr>
              <w:t>0.00 (-0.10, 0.10)</w:t>
            </w:r>
          </w:p>
        </w:tc>
        <w:tc>
          <w:tcPr>
            <w:tcW w:w="516" w:type="dxa"/>
          </w:tcPr>
          <w:p w:rsidR="00727CAA" w:rsidRPr="00913156" w:rsidRDefault="00727CAA" w:rsidP="005212E6">
            <w:pPr>
              <w:jc w:val="center"/>
              <w:rPr>
                <w:rFonts w:ascii="Arial Narrow" w:hAnsi="Arial Narrow"/>
                <w:snapToGrid/>
                <w:sz w:val="20"/>
              </w:rPr>
            </w:pPr>
            <w:r w:rsidRPr="00913156">
              <w:rPr>
                <w:rFonts w:ascii="Arial Narrow" w:hAnsi="Arial Narrow"/>
                <w:snapToGrid/>
                <w:sz w:val="20"/>
              </w:rPr>
              <w:t>N/A</w:t>
            </w:r>
          </w:p>
        </w:tc>
      </w:tr>
    </w:tbl>
    <w:p w:rsidR="00727CAA" w:rsidRPr="00913156" w:rsidRDefault="00727CAA" w:rsidP="000648D6">
      <w:pPr>
        <w:ind w:left="680"/>
        <w:rPr>
          <w:rFonts w:ascii="Arial Narrow" w:hAnsi="Arial Narrow"/>
          <w:snapToGrid/>
          <w:sz w:val="18"/>
          <w:szCs w:val="18"/>
        </w:rPr>
      </w:pPr>
      <w:bookmarkStart w:id="14" w:name="_Toc471759014"/>
      <w:r w:rsidRPr="00913156">
        <w:rPr>
          <w:rFonts w:ascii="Arial Narrow" w:hAnsi="Arial Narrow"/>
          <w:snapToGrid/>
          <w:sz w:val="18"/>
          <w:szCs w:val="18"/>
        </w:rPr>
        <w:t>Abbreviations: UST=ustekinumab, ADA=adalimumab, IFX=infliximab, VDZ=vedolizumab, wk=week; IP=induction phase, doses used in trial are depicted in brackets next to drug name as well as the timing of assessment of results. [ ] indicate dosage administered.</w:t>
      </w:r>
      <w:bookmarkEnd w:id="14"/>
      <w:r w:rsidR="007555AF" w:rsidRPr="00913156">
        <w:rPr>
          <w:rFonts w:ascii="Arial Narrow" w:hAnsi="Arial Narrow"/>
          <w:snapToGrid/>
          <w:sz w:val="18"/>
          <w:szCs w:val="18"/>
        </w:rPr>
        <w:t xml:space="preserve"> Statistically significant results are in </w:t>
      </w:r>
      <w:r w:rsidR="007555AF" w:rsidRPr="00913156">
        <w:rPr>
          <w:rFonts w:ascii="Arial Narrow" w:hAnsi="Arial Narrow"/>
          <w:b/>
          <w:snapToGrid/>
          <w:sz w:val="18"/>
          <w:szCs w:val="18"/>
        </w:rPr>
        <w:t>bold</w:t>
      </w:r>
      <w:r w:rsidR="007555AF" w:rsidRPr="00913156">
        <w:rPr>
          <w:rFonts w:ascii="Arial Narrow" w:hAnsi="Arial Narrow"/>
          <w:snapToGrid/>
          <w:sz w:val="18"/>
          <w:szCs w:val="18"/>
        </w:rPr>
        <w:t>.</w:t>
      </w:r>
    </w:p>
    <w:p w:rsidR="00727CAA" w:rsidRPr="00913156" w:rsidRDefault="00727CAA" w:rsidP="000648D6">
      <w:pPr>
        <w:ind w:left="680"/>
        <w:rPr>
          <w:rFonts w:ascii="Arial Narrow" w:hAnsi="Arial Narrow"/>
          <w:snapToGrid/>
          <w:sz w:val="18"/>
          <w:szCs w:val="18"/>
        </w:rPr>
      </w:pPr>
      <w:bookmarkStart w:id="15" w:name="_Toc471759015"/>
      <w:r w:rsidRPr="00913156">
        <w:rPr>
          <w:rFonts w:ascii="Arial Narrow" w:hAnsi="Arial Narrow"/>
          <w:snapToGrid/>
          <w:sz w:val="18"/>
          <w:szCs w:val="18"/>
        </w:rPr>
        <w:t>Source: constructed during the evaluation from sources presented in the submission and published trials of infliximab and vedolizumab in CD.</w:t>
      </w:r>
      <w:bookmarkEnd w:id="15"/>
    </w:p>
    <w:p w:rsidR="00C7132E" w:rsidRDefault="00C7132E">
      <w:pPr>
        <w:widowControl/>
        <w:jc w:val="left"/>
        <w:rPr>
          <w:snapToGrid/>
          <w:szCs w:val="22"/>
        </w:rPr>
      </w:pPr>
      <w:r>
        <w:rPr>
          <w:b/>
          <w:snapToGrid/>
        </w:rPr>
        <w:br w:type="page"/>
      </w:r>
    </w:p>
    <w:p w:rsidR="00727CAA" w:rsidRPr="0098237D" w:rsidRDefault="00727CAA" w:rsidP="00C51274">
      <w:pPr>
        <w:rPr>
          <w:snapToGrid/>
        </w:rPr>
      </w:pPr>
    </w:p>
    <w:p w:rsidR="00727CAA" w:rsidRPr="0098237D" w:rsidRDefault="00727CAA" w:rsidP="00AF4140">
      <w:pPr>
        <w:pStyle w:val="ListParagraph"/>
        <w:widowControl/>
        <w:rPr>
          <w:rFonts w:ascii="Arial Narrow" w:hAnsi="Arial Narrow"/>
          <w:snapToGrid/>
          <w:sz w:val="20"/>
        </w:rPr>
      </w:pPr>
      <w:r w:rsidRPr="0098237D">
        <w:rPr>
          <w:rFonts w:ascii="Arial Narrow" w:hAnsi="Arial Narrow"/>
          <w:b/>
          <w:snapToGrid/>
          <w:sz w:val="20"/>
          <w:szCs w:val="18"/>
        </w:rPr>
        <w:t>Table</w:t>
      </w:r>
      <w:r w:rsidRPr="0098237D">
        <w:rPr>
          <w:rFonts w:ascii="Arial Narrow" w:hAnsi="Arial Narrow"/>
          <w:snapToGrid/>
          <w:sz w:val="20"/>
          <w:szCs w:val="18"/>
        </w:rPr>
        <w:t xml:space="preserve"> </w:t>
      </w:r>
      <w:r w:rsidRPr="0098237D">
        <w:rPr>
          <w:rFonts w:ascii="Arial Narrow" w:hAnsi="Arial Narrow"/>
          <w:b/>
          <w:snapToGrid/>
          <w:sz w:val="20"/>
          <w:szCs w:val="18"/>
        </w:rPr>
        <w:t xml:space="preserve">5: </w:t>
      </w:r>
      <w:r w:rsidRPr="0098237D">
        <w:rPr>
          <w:rFonts w:ascii="Arial Narrow" w:hAnsi="Arial Narrow"/>
          <w:b/>
          <w:snapToGrid/>
          <w:sz w:val="20"/>
        </w:rPr>
        <w:t>Maintenance trials (ITT) – clinical remission (CDAI &lt;150) in patients with either clinical remission or clinical response after a period of induction</w:t>
      </w:r>
    </w:p>
    <w:tbl>
      <w:tblPr>
        <w:tblStyle w:val="TableGrid"/>
        <w:tblW w:w="8363" w:type="dxa"/>
        <w:tblInd w:w="704" w:type="dxa"/>
        <w:tblLayout w:type="fixed"/>
        <w:tblCellMar>
          <w:left w:w="28" w:type="dxa"/>
          <w:right w:w="28" w:type="dxa"/>
        </w:tblCellMar>
        <w:tblLook w:val="04A0" w:firstRow="1" w:lastRow="0" w:firstColumn="1" w:lastColumn="0" w:noHBand="0" w:noVBand="1"/>
        <w:tblCaption w:val="Table 5: Maintenance trials (ITT) – clinical remission (CDAI &lt;150) in patients with either clinical remission or clinical response after a period of induction"/>
      </w:tblPr>
      <w:tblGrid>
        <w:gridCol w:w="2268"/>
        <w:gridCol w:w="992"/>
        <w:gridCol w:w="992"/>
        <w:gridCol w:w="850"/>
        <w:gridCol w:w="993"/>
        <w:gridCol w:w="921"/>
        <w:gridCol w:w="922"/>
        <w:gridCol w:w="425"/>
      </w:tblGrid>
      <w:tr w:rsidR="00ED7CA2" w:rsidRPr="00913156" w:rsidTr="00E63272">
        <w:trPr>
          <w:tblHeader/>
        </w:trPr>
        <w:tc>
          <w:tcPr>
            <w:tcW w:w="2268" w:type="dxa"/>
            <w:vAlign w:val="center"/>
          </w:tcPr>
          <w:p w:rsidR="00ED7CA2" w:rsidRPr="00913156" w:rsidRDefault="00ED7CA2" w:rsidP="0099333D">
            <w:pPr>
              <w:rPr>
                <w:rFonts w:ascii="Arial Narrow" w:hAnsi="Arial Narrow"/>
                <w:b/>
                <w:snapToGrid/>
                <w:sz w:val="18"/>
              </w:rPr>
            </w:pPr>
            <w:bookmarkStart w:id="16" w:name="_Toc471759016"/>
            <w:r w:rsidRPr="00913156">
              <w:rPr>
                <w:rFonts w:ascii="Arial Narrow" w:hAnsi="Arial Narrow"/>
                <w:b/>
                <w:snapToGrid/>
                <w:sz w:val="18"/>
              </w:rPr>
              <w:t>Trial</w:t>
            </w:r>
          </w:p>
        </w:tc>
        <w:tc>
          <w:tcPr>
            <w:tcW w:w="992" w:type="dxa"/>
            <w:vAlign w:val="center"/>
          </w:tcPr>
          <w:p w:rsidR="00ED7CA2" w:rsidRPr="00913156" w:rsidRDefault="00ED7CA2" w:rsidP="0099333D">
            <w:pPr>
              <w:jc w:val="center"/>
              <w:rPr>
                <w:rFonts w:ascii="Arial Narrow" w:hAnsi="Arial Narrow"/>
                <w:b/>
                <w:snapToGrid/>
                <w:sz w:val="18"/>
              </w:rPr>
            </w:pPr>
            <w:r w:rsidRPr="00913156">
              <w:rPr>
                <w:rFonts w:ascii="Arial Narrow" w:hAnsi="Arial Narrow"/>
                <w:b/>
                <w:snapToGrid/>
                <w:sz w:val="18"/>
              </w:rPr>
              <w:t>Drug</w:t>
            </w:r>
          </w:p>
        </w:tc>
        <w:tc>
          <w:tcPr>
            <w:tcW w:w="992" w:type="dxa"/>
            <w:vAlign w:val="center"/>
          </w:tcPr>
          <w:p w:rsidR="00ED7CA2" w:rsidRPr="00913156" w:rsidRDefault="00ED7CA2" w:rsidP="0099333D">
            <w:pPr>
              <w:jc w:val="center"/>
              <w:rPr>
                <w:rFonts w:ascii="Arial Narrow" w:hAnsi="Arial Narrow"/>
                <w:b/>
                <w:snapToGrid/>
                <w:sz w:val="18"/>
              </w:rPr>
            </w:pPr>
            <w:r w:rsidRPr="00913156">
              <w:rPr>
                <w:rFonts w:ascii="Arial Narrow" w:hAnsi="Arial Narrow"/>
                <w:b/>
                <w:snapToGrid/>
                <w:sz w:val="18"/>
              </w:rPr>
              <w:t>Placebo</w:t>
            </w:r>
          </w:p>
        </w:tc>
        <w:tc>
          <w:tcPr>
            <w:tcW w:w="1843" w:type="dxa"/>
            <w:gridSpan w:val="2"/>
          </w:tcPr>
          <w:p w:rsidR="00ED7CA2" w:rsidRPr="00913156" w:rsidRDefault="00ED7CA2" w:rsidP="0099333D">
            <w:pPr>
              <w:jc w:val="center"/>
              <w:rPr>
                <w:rFonts w:ascii="Arial Narrow" w:hAnsi="Arial Narrow"/>
                <w:b/>
                <w:snapToGrid/>
                <w:sz w:val="20"/>
              </w:rPr>
            </w:pPr>
            <w:r w:rsidRPr="00913156">
              <w:rPr>
                <w:rFonts w:ascii="Arial Narrow" w:hAnsi="Arial Narrow"/>
                <w:b/>
                <w:snapToGrid/>
                <w:sz w:val="20"/>
              </w:rPr>
              <w:t>RR (95% CI)</w:t>
            </w:r>
          </w:p>
        </w:tc>
        <w:tc>
          <w:tcPr>
            <w:tcW w:w="1843" w:type="dxa"/>
            <w:gridSpan w:val="2"/>
            <w:vAlign w:val="center"/>
          </w:tcPr>
          <w:p w:rsidR="00ED7CA2" w:rsidRPr="00913156" w:rsidRDefault="00ED7CA2" w:rsidP="0099333D">
            <w:pPr>
              <w:jc w:val="center"/>
              <w:rPr>
                <w:rFonts w:ascii="Arial Narrow" w:hAnsi="Arial Narrow"/>
                <w:b/>
                <w:snapToGrid/>
                <w:sz w:val="20"/>
              </w:rPr>
            </w:pPr>
            <w:r w:rsidRPr="00913156">
              <w:rPr>
                <w:rFonts w:ascii="Arial Narrow" w:hAnsi="Arial Narrow"/>
                <w:b/>
                <w:snapToGrid/>
                <w:sz w:val="20"/>
              </w:rPr>
              <w:t>RD (95% CI)</w:t>
            </w:r>
          </w:p>
        </w:tc>
        <w:tc>
          <w:tcPr>
            <w:tcW w:w="425" w:type="dxa"/>
            <w:vAlign w:val="center"/>
          </w:tcPr>
          <w:p w:rsidR="00ED7CA2" w:rsidRPr="00913156" w:rsidRDefault="00ED7CA2" w:rsidP="0099333D">
            <w:pPr>
              <w:jc w:val="center"/>
              <w:rPr>
                <w:rFonts w:ascii="Arial Narrow" w:hAnsi="Arial Narrow"/>
                <w:b/>
                <w:snapToGrid/>
                <w:sz w:val="20"/>
              </w:rPr>
            </w:pPr>
            <w:r w:rsidRPr="00913156">
              <w:rPr>
                <w:rFonts w:ascii="Arial Narrow" w:hAnsi="Arial Narrow"/>
                <w:b/>
                <w:snapToGrid/>
                <w:sz w:val="20"/>
              </w:rPr>
              <w:t>NNT</w:t>
            </w:r>
          </w:p>
        </w:tc>
      </w:tr>
      <w:tr w:rsidR="00ED7CA2" w:rsidRPr="00913156" w:rsidTr="0099333D">
        <w:trPr>
          <w:trHeight w:val="70"/>
        </w:trPr>
        <w:tc>
          <w:tcPr>
            <w:tcW w:w="4252" w:type="dxa"/>
            <w:gridSpan w:val="3"/>
            <w:vAlign w:val="center"/>
          </w:tcPr>
          <w:p w:rsidR="00ED7CA2" w:rsidRPr="00913156" w:rsidRDefault="00ED7CA2" w:rsidP="0099333D">
            <w:pPr>
              <w:rPr>
                <w:rFonts w:ascii="Arial Narrow" w:hAnsi="Arial Narrow"/>
                <w:b/>
                <w:bCs/>
                <w:snapToGrid/>
                <w:sz w:val="18"/>
              </w:rPr>
            </w:pPr>
            <w:r w:rsidRPr="00913156">
              <w:rPr>
                <w:rFonts w:ascii="Arial Narrow" w:hAnsi="Arial Narrow"/>
                <w:b/>
                <w:bCs/>
                <w:snapToGrid/>
                <w:sz w:val="18"/>
              </w:rPr>
              <w:t>UST (90mg q8w) - Wk 52 results (incl. IP)</w:t>
            </w:r>
          </w:p>
        </w:tc>
        <w:tc>
          <w:tcPr>
            <w:tcW w:w="850" w:type="dxa"/>
            <w:tcBorders>
              <w:bottom w:val="nil"/>
              <w:right w:val="nil"/>
            </w:tcBorders>
          </w:tcPr>
          <w:p w:rsidR="00ED7CA2" w:rsidRPr="00913156" w:rsidRDefault="00ED7CA2" w:rsidP="0099333D">
            <w:pPr>
              <w:rPr>
                <w:rFonts w:ascii="Arial Narrow" w:hAnsi="Arial Narrow"/>
                <w:snapToGrid/>
                <w:sz w:val="20"/>
              </w:rPr>
            </w:pPr>
          </w:p>
        </w:tc>
        <w:tc>
          <w:tcPr>
            <w:tcW w:w="993" w:type="dxa"/>
            <w:tcBorders>
              <w:left w:val="nil"/>
              <w:bottom w:val="nil"/>
            </w:tcBorders>
          </w:tcPr>
          <w:p w:rsidR="00ED7CA2" w:rsidRPr="00913156" w:rsidRDefault="00ED7CA2" w:rsidP="0099333D">
            <w:pPr>
              <w:rPr>
                <w:rFonts w:ascii="Arial Narrow" w:hAnsi="Arial Narrow"/>
                <w:snapToGrid/>
                <w:sz w:val="20"/>
              </w:rPr>
            </w:pPr>
          </w:p>
        </w:tc>
        <w:tc>
          <w:tcPr>
            <w:tcW w:w="921" w:type="dxa"/>
            <w:tcBorders>
              <w:bottom w:val="nil"/>
              <w:right w:val="nil"/>
            </w:tcBorders>
          </w:tcPr>
          <w:p w:rsidR="00ED7CA2" w:rsidRPr="00913156" w:rsidRDefault="00ED7CA2" w:rsidP="0099333D">
            <w:pPr>
              <w:rPr>
                <w:rFonts w:ascii="Arial Narrow" w:hAnsi="Arial Narrow"/>
                <w:snapToGrid/>
                <w:sz w:val="20"/>
              </w:rPr>
            </w:pPr>
          </w:p>
        </w:tc>
        <w:tc>
          <w:tcPr>
            <w:tcW w:w="922" w:type="dxa"/>
            <w:tcBorders>
              <w:left w:val="nil"/>
              <w:bottom w:val="nil"/>
            </w:tcBorders>
          </w:tcPr>
          <w:p w:rsidR="00ED7CA2" w:rsidRPr="00913156" w:rsidRDefault="00ED7CA2" w:rsidP="0099333D">
            <w:pPr>
              <w:rPr>
                <w:rFonts w:ascii="Arial Narrow" w:hAnsi="Arial Narrow"/>
                <w:snapToGrid/>
                <w:sz w:val="20"/>
              </w:rPr>
            </w:pPr>
          </w:p>
        </w:tc>
        <w:tc>
          <w:tcPr>
            <w:tcW w:w="425" w:type="dxa"/>
          </w:tcPr>
          <w:p w:rsidR="00ED7CA2" w:rsidRPr="00913156" w:rsidRDefault="00ED7CA2" w:rsidP="0099333D">
            <w:pPr>
              <w:rPr>
                <w:rFonts w:ascii="Arial Narrow" w:hAnsi="Arial Narrow"/>
                <w:snapToGrid/>
                <w:sz w:val="20"/>
              </w:rPr>
            </w:pPr>
          </w:p>
        </w:tc>
      </w:tr>
      <w:tr w:rsidR="00ED7CA2" w:rsidRPr="00913156" w:rsidTr="0099333D">
        <w:tc>
          <w:tcPr>
            <w:tcW w:w="2268" w:type="dxa"/>
            <w:vAlign w:val="center"/>
          </w:tcPr>
          <w:p w:rsidR="00ED7CA2" w:rsidRPr="00913156" w:rsidRDefault="00ED7CA2" w:rsidP="0099333D">
            <w:pPr>
              <w:rPr>
                <w:rFonts w:ascii="Arial Narrow" w:hAnsi="Arial Narrow"/>
                <w:snapToGrid/>
                <w:sz w:val="18"/>
              </w:rPr>
            </w:pPr>
            <w:r w:rsidRPr="00913156">
              <w:rPr>
                <w:rFonts w:ascii="Arial Narrow" w:hAnsi="Arial Narrow"/>
                <w:snapToGrid/>
                <w:sz w:val="18"/>
              </w:rPr>
              <w:t>IM-UNITI (CR-100 wk8 i</w:t>
            </w:r>
            <w:r w:rsidRPr="00913156">
              <w:rPr>
                <w:rFonts w:ascii="Arial Narrow" w:hAnsi="Arial Narrow"/>
                <w:snapToGrid/>
                <w:sz w:val="18"/>
                <w:vertAlign w:val="superscript"/>
              </w:rPr>
              <w:t>a</w:t>
            </w:r>
            <w:r w:rsidRPr="00913156">
              <w:rPr>
                <w:rFonts w:ascii="Arial Narrow" w:hAnsi="Arial Narrow"/>
                <w:snapToGrid/>
                <w:sz w:val="18"/>
              </w:rPr>
              <w:t>)</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68/128 (53.1)</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47/131 (35.9)</w:t>
            </w:r>
          </w:p>
        </w:tc>
        <w:tc>
          <w:tcPr>
            <w:tcW w:w="850" w:type="dxa"/>
            <w:vMerge w:val="restart"/>
            <w:tcBorders>
              <w:top w:val="nil"/>
              <w:right w:val="nil"/>
            </w:tcBorders>
          </w:tcPr>
          <w:p w:rsidR="00ED7CA2" w:rsidRPr="00913156" w:rsidRDefault="00ED7CA2" w:rsidP="0099333D">
            <w:pPr>
              <w:jc w:val="center"/>
              <w:rPr>
                <w:rFonts w:ascii="Arial Narrow" w:hAnsi="Arial Narrow"/>
                <w:b/>
                <w:bCs/>
                <w:iCs/>
                <w:snapToGrid/>
                <w:sz w:val="18"/>
                <w:szCs w:val="18"/>
              </w:rPr>
            </w:pPr>
            <w:r w:rsidRPr="00913156">
              <w:rPr>
                <w:noProof/>
                <w:snapToGrid/>
                <w:lang w:eastAsia="en-AU"/>
              </w:rPr>
              <w:drawing>
                <wp:inline distT="0" distB="0" distL="0" distR="0" wp14:anchorId="2E4F777E" wp14:editId="08172617">
                  <wp:extent cx="517525" cy="2708910"/>
                  <wp:effectExtent l="0" t="0" r="0" b="0"/>
                  <wp:docPr id="7" name="Picture 7" title="Table 5: Maintenance trials (ITT) – clinical remission (CDAI &lt;150) in patients with either clinical remission or clinical response after a period of in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25" cy="2708910"/>
                          </a:xfrm>
                          <a:prstGeom prst="rect">
                            <a:avLst/>
                          </a:prstGeom>
                          <a:noFill/>
                          <a:ln>
                            <a:noFill/>
                          </a:ln>
                        </pic:spPr>
                      </pic:pic>
                    </a:graphicData>
                  </a:graphic>
                </wp:inline>
              </w:drawing>
            </w:r>
          </w:p>
        </w:tc>
        <w:tc>
          <w:tcPr>
            <w:tcW w:w="993"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1.48 (1.12, 1.96)</w:t>
            </w:r>
          </w:p>
        </w:tc>
        <w:tc>
          <w:tcPr>
            <w:tcW w:w="921" w:type="dxa"/>
            <w:vMerge w:val="restart"/>
            <w:tcBorders>
              <w:top w:val="nil"/>
              <w:right w:val="nil"/>
            </w:tcBorders>
          </w:tcPr>
          <w:p w:rsidR="00ED7CA2" w:rsidRPr="00913156" w:rsidRDefault="00ED7CA2" w:rsidP="0099333D">
            <w:pPr>
              <w:rPr>
                <w:rFonts w:ascii="Arial Narrow" w:hAnsi="Arial Narrow"/>
                <w:snapToGrid/>
                <w:sz w:val="20"/>
              </w:rPr>
            </w:pPr>
            <w:r w:rsidRPr="00913156">
              <w:rPr>
                <w:noProof/>
                <w:snapToGrid/>
                <w:lang w:eastAsia="en-AU"/>
              </w:rPr>
              <w:drawing>
                <wp:inline distT="0" distB="0" distL="0" distR="0" wp14:anchorId="78627C99" wp14:editId="7B1CE897">
                  <wp:extent cx="543560" cy="2700020"/>
                  <wp:effectExtent l="0" t="0" r="8890" b="5080"/>
                  <wp:docPr id="8" name="Picture 8" title="Table 5: Maintenance trials (ITT) – clinical remission (CDAI &lt;150) in patients with either clinical remission or clinical response after a period of in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2700020"/>
                          </a:xfrm>
                          <a:prstGeom prst="rect">
                            <a:avLst/>
                          </a:prstGeom>
                          <a:noFill/>
                          <a:ln>
                            <a:noFill/>
                          </a:ln>
                        </pic:spPr>
                      </pic:pic>
                    </a:graphicData>
                  </a:graphic>
                </wp:inline>
              </w:drawing>
            </w: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0.17 (0.05, 0.29)</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6</w:t>
            </w:r>
          </w:p>
        </w:tc>
      </w:tr>
      <w:tr w:rsidR="00ED7CA2" w:rsidRPr="00913156" w:rsidTr="0099333D">
        <w:tc>
          <w:tcPr>
            <w:tcW w:w="2268" w:type="dxa"/>
            <w:shd w:val="clear" w:color="auto" w:fill="D9D9D9" w:themeFill="background1" w:themeFillShade="D9"/>
            <w:vAlign w:val="center"/>
          </w:tcPr>
          <w:p w:rsidR="00ED7CA2" w:rsidRPr="00CA59E8" w:rsidRDefault="00CA59E8" w:rsidP="0099333D">
            <w:pPr>
              <w:rPr>
                <w:rFonts w:ascii="Arial Narrow" w:hAnsi="Arial Narrow"/>
                <w:iCs/>
                <w:snapToGrid/>
                <w:sz w:val="18"/>
                <w:highlight w:val="black"/>
                <w:lang w:val="de-DE"/>
              </w:rPr>
            </w:pPr>
            <w:r>
              <w:rPr>
                <w:rFonts w:ascii="Arial Narrow" w:hAnsi="Arial Narrow"/>
                <w:iCs/>
                <w:noProof/>
                <w:snapToGrid/>
                <w:color w:val="000000"/>
                <w:sz w:val="18"/>
                <w:highlight w:val="black"/>
                <w:lang w:val="de-DE"/>
              </w:rPr>
              <w:t>'''''''''''''''''''''''' ''''''''''''''''''' '''''''''''''''''''''''''' ''''''''''</w:t>
            </w:r>
          </w:p>
        </w:tc>
        <w:tc>
          <w:tcPr>
            <w:tcW w:w="992" w:type="dxa"/>
            <w:shd w:val="clear" w:color="auto" w:fill="D9D9D9" w:themeFill="background1" w:themeFillShade="D9"/>
            <w:vAlign w:val="center"/>
          </w:tcPr>
          <w:p w:rsidR="00ED7CA2" w:rsidRPr="00CA59E8" w:rsidRDefault="00CA59E8" w:rsidP="0099333D">
            <w:pPr>
              <w:jc w:val="center"/>
              <w:rPr>
                <w:rFonts w:ascii="Arial Narrow" w:hAnsi="Arial Narrow"/>
                <w:iCs/>
                <w:snapToGrid/>
                <w:sz w:val="18"/>
                <w:highlight w:val="black"/>
              </w:rPr>
            </w:pPr>
            <w:r>
              <w:rPr>
                <w:rFonts w:ascii="Arial Narrow" w:hAnsi="Arial Narrow"/>
                <w:iCs/>
                <w:noProof/>
                <w:snapToGrid/>
                <w:color w:val="000000"/>
                <w:sz w:val="18"/>
                <w:highlight w:val="black"/>
              </w:rPr>
              <w:t>'''''''''''''' '''''''''''''</w:t>
            </w:r>
          </w:p>
        </w:tc>
        <w:tc>
          <w:tcPr>
            <w:tcW w:w="992" w:type="dxa"/>
            <w:shd w:val="clear" w:color="auto" w:fill="D9D9D9" w:themeFill="background1" w:themeFillShade="D9"/>
            <w:vAlign w:val="center"/>
          </w:tcPr>
          <w:p w:rsidR="00ED7CA2" w:rsidRPr="00CA59E8" w:rsidRDefault="00CA59E8" w:rsidP="0099333D">
            <w:pPr>
              <w:jc w:val="center"/>
              <w:rPr>
                <w:rFonts w:ascii="Arial Narrow" w:hAnsi="Arial Narrow"/>
                <w:iCs/>
                <w:snapToGrid/>
                <w:sz w:val="18"/>
                <w:highlight w:val="black"/>
              </w:rPr>
            </w:pPr>
            <w:r>
              <w:rPr>
                <w:rFonts w:ascii="Arial Narrow" w:hAnsi="Arial Narrow"/>
                <w:iCs/>
                <w:noProof/>
                <w:snapToGrid/>
                <w:color w:val="000000"/>
                <w:sz w:val="18"/>
                <w:highlight w:val="black"/>
              </w:rPr>
              <w:t>''''''''''''' ''''''''''''''</w:t>
            </w:r>
          </w:p>
        </w:tc>
        <w:tc>
          <w:tcPr>
            <w:tcW w:w="850" w:type="dxa"/>
            <w:vMerge/>
            <w:tcBorders>
              <w:right w:val="nil"/>
            </w:tcBorders>
          </w:tcPr>
          <w:p w:rsidR="00ED7CA2" w:rsidRPr="00913156" w:rsidRDefault="00ED7CA2" w:rsidP="0099333D">
            <w:pPr>
              <w:jc w:val="center"/>
              <w:rPr>
                <w:rFonts w:ascii="Arial Narrow" w:hAnsi="Arial Narrow"/>
                <w:b/>
                <w:bCs/>
                <w:iCs/>
                <w:snapToGrid/>
                <w:sz w:val="18"/>
                <w:szCs w:val="18"/>
              </w:rPr>
            </w:pPr>
          </w:p>
        </w:tc>
        <w:tc>
          <w:tcPr>
            <w:tcW w:w="993" w:type="dxa"/>
            <w:tcBorders>
              <w:top w:val="nil"/>
              <w:left w:val="nil"/>
              <w:bottom w:val="nil"/>
            </w:tcBorders>
            <w:vAlign w:val="center"/>
          </w:tcPr>
          <w:p w:rsidR="00ED7CA2" w:rsidRPr="00913156" w:rsidRDefault="00CA59E8" w:rsidP="0099333D">
            <w:pPr>
              <w:jc w:val="center"/>
              <w:rPr>
                <w:rFonts w:ascii="Arial Narrow" w:hAnsi="Arial Narrow"/>
                <w:b/>
                <w:snapToGrid/>
                <w:sz w:val="14"/>
                <w:szCs w:val="14"/>
              </w:rPr>
            </w:pP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 xml:space="preserve"> (</w:t>
            </w: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 xml:space="preserve">, </w:t>
            </w: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CA59E8" w:rsidP="0099333D">
            <w:pPr>
              <w:jc w:val="center"/>
              <w:rPr>
                <w:rFonts w:ascii="Arial Narrow" w:hAnsi="Arial Narrow"/>
                <w:b/>
                <w:snapToGrid/>
                <w:sz w:val="14"/>
                <w:szCs w:val="14"/>
              </w:rPr>
            </w:pP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 xml:space="preserve"> (</w:t>
            </w: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 xml:space="preserve">, </w:t>
            </w:r>
            <w:r>
              <w:rPr>
                <w:rFonts w:ascii="Arial Narrow" w:hAnsi="Arial Narrow"/>
                <w:b/>
                <w:noProof/>
                <w:snapToGrid/>
                <w:color w:val="000000"/>
                <w:sz w:val="14"/>
                <w:szCs w:val="14"/>
                <w:highlight w:val="black"/>
              </w:rPr>
              <w:t>''''''''''</w:t>
            </w:r>
            <w:r w:rsidR="00ED7CA2" w:rsidRPr="00913156">
              <w:rPr>
                <w:rFonts w:ascii="Arial Narrow" w:hAnsi="Arial Narrow"/>
                <w:b/>
                <w:snapToGrid/>
                <w:sz w:val="14"/>
                <w:szCs w:val="14"/>
              </w:rPr>
              <w:t>)</w:t>
            </w:r>
          </w:p>
        </w:tc>
        <w:tc>
          <w:tcPr>
            <w:tcW w:w="425" w:type="dxa"/>
            <w:vAlign w:val="center"/>
          </w:tcPr>
          <w:p w:rsidR="00ED7CA2" w:rsidRPr="00CA59E8" w:rsidRDefault="00CA59E8" w:rsidP="0099333D">
            <w:pPr>
              <w:jc w:val="center"/>
              <w:rPr>
                <w:rFonts w:ascii="Arial Narrow" w:hAnsi="Arial Narrow"/>
                <w:snapToGrid/>
                <w:sz w:val="20"/>
                <w:highlight w:val="black"/>
              </w:rPr>
            </w:pPr>
            <w:r>
              <w:rPr>
                <w:rFonts w:ascii="Arial Narrow" w:hAnsi="Arial Narrow"/>
                <w:noProof/>
                <w:snapToGrid/>
                <w:color w:val="000000"/>
                <w:sz w:val="20"/>
                <w:highlight w:val="black"/>
              </w:rPr>
              <w:t>'''</w:t>
            </w:r>
          </w:p>
        </w:tc>
      </w:tr>
      <w:tr w:rsidR="00ED7CA2" w:rsidRPr="00913156" w:rsidTr="0099333D">
        <w:tc>
          <w:tcPr>
            <w:tcW w:w="4252" w:type="dxa"/>
            <w:gridSpan w:val="3"/>
            <w:vAlign w:val="center"/>
          </w:tcPr>
          <w:p w:rsidR="00ED7CA2" w:rsidRPr="00913156" w:rsidRDefault="00ED7CA2" w:rsidP="0099333D">
            <w:pPr>
              <w:rPr>
                <w:rFonts w:ascii="Arial Narrow" w:hAnsi="Arial Narrow"/>
                <w:b/>
                <w:bCs/>
                <w:snapToGrid/>
                <w:sz w:val="18"/>
              </w:rPr>
            </w:pPr>
            <w:r w:rsidRPr="00913156">
              <w:rPr>
                <w:rFonts w:ascii="Arial Narrow" w:hAnsi="Arial Narrow"/>
                <w:b/>
                <w:bCs/>
                <w:snapToGrid/>
                <w:sz w:val="18"/>
              </w:rPr>
              <w:t>ADA (40mg q2w) -  Wk 52 or 56 (excl. IP)</w:t>
            </w:r>
          </w:p>
        </w:tc>
        <w:tc>
          <w:tcPr>
            <w:tcW w:w="850" w:type="dxa"/>
            <w:vMerge/>
            <w:tcBorders>
              <w:right w:val="nil"/>
            </w:tcBorders>
          </w:tcPr>
          <w:p w:rsidR="00ED7CA2" w:rsidRPr="00913156" w:rsidRDefault="00ED7CA2" w:rsidP="0099333D">
            <w:pP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p>
        </w:tc>
        <w:tc>
          <w:tcPr>
            <w:tcW w:w="425" w:type="dxa"/>
            <w:vAlign w:val="center"/>
          </w:tcPr>
          <w:p w:rsidR="00ED7CA2" w:rsidRPr="00913156" w:rsidRDefault="00ED7CA2" w:rsidP="0099333D">
            <w:pPr>
              <w:jc w:val="center"/>
              <w:rPr>
                <w:rFonts w:ascii="Arial Narrow" w:hAnsi="Arial Narrow"/>
                <w:snapToGrid/>
                <w:sz w:val="20"/>
              </w:rPr>
            </w:pPr>
          </w:p>
        </w:tc>
      </w:tr>
      <w:tr w:rsidR="00ED7CA2" w:rsidRPr="00913156" w:rsidTr="0099333D">
        <w:tc>
          <w:tcPr>
            <w:tcW w:w="2268" w:type="dxa"/>
            <w:shd w:val="clear" w:color="auto" w:fill="D9D9D9" w:themeFill="background1" w:themeFillShade="D9"/>
            <w:vAlign w:val="center"/>
          </w:tcPr>
          <w:p w:rsidR="00ED7CA2" w:rsidRPr="00913156" w:rsidRDefault="00ED7CA2" w:rsidP="0099333D">
            <w:pPr>
              <w:rPr>
                <w:rFonts w:ascii="Arial Narrow" w:hAnsi="Arial Narrow"/>
                <w:snapToGrid/>
                <w:sz w:val="18"/>
              </w:rPr>
            </w:pPr>
            <w:r w:rsidRPr="00913156">
              <w:rPr>
                <w:rFonts w:ascii="Arial Narrow" w:hAnsi="Arial Narrow"/>
                <w:snapToGrid/>
                <w:sz w:val="18"/>
              </w:rPr>
              <w:t>CLASSIC-II (CDAI&lt;150 wk4&amp;8 i</w:t>
            </w:r>
            <w:r w:rsidRPr="00913156">
              <w:rPr>
                <w:rFonts w:ascii="Arial Narrow" w:hAnsi="Arial Narrow"/>
                <w:snapToGrid/>
                <w:sz w:val="18"/>
                <w:vertAlign w:val="superscript"/>
              </w:rPr>
              <w:t>b</w:t>
            </w:r>
            <w:r w:rsidRPr="00913156">
              <w:rPr>
                <w:rFonts w:ascii="Arial Narrow" w:hAnsi="Arial Narrow"/>
                <w:snapToGrid/>
                <w:sz w:val="18"/>
              </w:rPr>
              <w:t xml:space="preserve">) </w:t>
            </w:r>
          </w:p>
        </w:tc>
        <w:tc>
          <w:tcPr>
            <w:tcW w:w="992" w:type="dxa"/>
            <w:shd w:val="clear" w:color="auto" w:fill="D9D9D9" w:themeFill="background1" w:themeFillShade="D9"/>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15/19 (78.9)</w:t>
            </w:r>
          </w:p>
        </w:tc>
        <w:tc>
          <w:tcPr>
            <w:tcW w:w="992" w:type="dxa"/>
            <w:shd w:val="clear" w:color="auto" w:fill="D9D9D9" w:themeFill="background1" w:themeFillShade="D9"/>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8/18 (44.4)</w:t>
            </w:r>
          </w:p>
        </w:tc>
        <w:tc>
          <w:tcPr>
            <w:tcW w:w="850" w:type="dxa"/>
            <w:vMerge/>
            <w:tcBorders>
              <w:right w:val="nil"/>
            </w:tcBorders>
          </w:tcPr>
          <w:p w:rsidR="00ED7CA2" w:rsidRPr="00913156" w:rsidRDefault="00ED7CA2" w:rsidP="0099333D">
            <w:pPr>
              <w:jc w:val="center"/>
              <w:rPr>
                <w:rFonts w:ascii="Arial Narrow" w:hAnsi="Arial Narrow"/>
                <w:b/>
                <w:iCs/>
                <w:snapToGrid/>
                <w:sz w:val="18"/>
                <w:szCs w:val="18"/>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1.78 (1.01, 3.13)</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0.35 (0.05, 0.64)</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3</w:t>
            </w:r>
          </w:p>
        </w:tc>
      </w:tr>
      <w:tr w:rsidR="00ED7CA2" w:rsidRPr="00913156" w:rsidTr="0099333D">
        <w:tc>
          <w:tcPr>
            <w:tcW w:w="2268" w:type="dxa"/>
            <w:vAlign w:val="center"/>
          </w:tcPr>
          <w:p w:rsidR="00ED7CA2" w:rsidRPr="00913156" w:rsidRDefault="00ED7CA2" w:rsidP="0099333D">
            <w:pPr>
              <w:rPr>
                <w:rFonts w:ascii="Arial Narrow" w:hAnsi="Arial Narrow"/>
                <w:snapToGrid/>
                <w:sz w:val="18"/>
              </w:rPr>
            </w:pPr>
            <w:r w:rsidRPr="00913156">
              <w:rPr>
                <w:rFonts w:ascii="Arial Narrow" w:hAnsi="Arial Narrow"/>
                <w:snapToGrid/>
                <w:sz w:val="18"/>
              </w:rPr>
              <w:t>CHARM (CR-70 wk4 i</w:t>
            </w:r>
            <w:r w:rsidRPr="00913156">
              <w:rPr>
                <w:rFonts w:ascii="Arial Narrow" w:hAnsi="Arial Narrow"/>
                <w:snapToGrid/>
                <w:sz w:val="18"/>
                <w:vertAlign w:val="superscript"/>
              </w:rPr>
              <w:t>c</w:t>
            </w:r>
            <w:r w:rsidRPr="00913156">
              <w:rPr>
                <w:rFonts w:ascii="Arial Narrow" w:hAnsi="Arial Narrow"/>
                <w:snapToGrid/>
                <w:sz w:val="18"/>
              </w:rPr>
              <w:t>)</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62/172 (36.0)</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20/170 (11.8)</w:t>
            </w:r>
          </w:p>
        </w:tc>
        <w:tc>
          <w:tcPr>
            <w:tcW w:w="850" w:type="dxa"/>
            <w:vMerge/>
            <w:tcBorders>
              <w:right w:val="nil"/>
            </w:tcBorders>
          </w:tcPr>
          <w:p w:rsidR="00ED7CA2" w:rsidRPr="00913156" w:rsidRDefault="00ED7CA2" w:rsidP="0099333D">
            <w:pPr>
              <w:jc w:val="center"/>
              <w:rPr>
                <w:rFonts w:ascii="Arial Narrow" w:hAnsi="Arial Narrow"/>
                <w:b/>
                <w:iCs/>
                <w:snapToGrid/>
                <w:sz w:val="18"/>
                <w:szCs w:val="18"/>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3.06 (1.94, 4.84)</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0.24 (0.16, 0.33)</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4</w:t>
            </w:r>
          </w:p>
        </w:tc>
      </w:tr>
      <w:tr w:rsidR="00ED7CA2" w:rsidRPr="00913156" w:rsidTr="0099333D">
        <w:tc>
          <w:tcPr>
            <w:tcW w:w="2268" w:type="dxa"/>
            <w:vAlign w:val="center"/>
          </w:tcPr>
          <w:p w:rsidR="00ED7CA2" w:rsidRPr="00913156" w:rsidRDefault="00ED7CA2" w:rsidP="0099333D">
            <w:pPr>
              <w:rPr>
                <w:rFonts w:ascii="Arial Narrow" w:hAnsi="Arial Narrow"/>
                <w:snapToGrid/>
                <w:sz w:val="18"/>
              </w:rPr>
            </w:pPr>
            <w:r w:rsidRPr="00913156">
              <w:rPr>
                <w:rFonts w:ascii="Arial Narrow" w:hAnsi="Arial Narrow"/>
                <w:snapToGrid/>
                <w:sz w:val="18"/>
              </w:rPr>
              <w:t>Watanabe (CR-70 wk4 i</w:t>
            </w:r>
            <w:r w:rsidRPr="00913156">
              <w:rPr>
                <w:rFonts w:ascii="Arial Narrow" w:hAnsi="Arial Narrow"/>
                <w:snapToGrid/>
                <w:sz w:val="18"/>
                <w:vertAlign w:val="superscript"/>
              </w:rPr>
              <w:t>d</w:t>
            </w:r>
            <w:r w:rsidRPr="00913156">
              <w:rPr>
                <w:rFonts w:ascii="Arial Narrow" w:hAnsi="Arial Narrow"/>
                <w:snapToGrid/>
                <w:sz w:val="18"/>
              </w:rPr>
              <w:t>)</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8/21 (38.1)</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2/22 (9.1)</w:t>
            </w:r>
          </w:p>
        </w:tc>
        <w:tc>
          <w:tcPr>
            <w:tcW w:w="850" w:type="dxa"/>
            <w:vMerge/>
            <w:tcBorders>
              <w:right w:val="nil"/>
            </w:tcBorders>
          </w:tcPr>
          <w:p w:rsidR="00ED7CA2" w:rsidRPr="00913156" w:rsidRDefault="00ED7CA2" w:rsidP="0099333D">
            <w:pPr>
              <w:jc w:val="center"/>
              <w:rPr>
                <w:rFonts w:ascii="Arial Narrow" w:hAnsi="Arial Narrow"/>
                <w:b/>
                <w:iCs/>
                <w:snapToGrid/>
                <w:sz w:val="18"/>
                <w:szCs w:val="18"/>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4.19 (1.00, 17.50)</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0.29 (0.05, 0.53)</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3</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snapToGrid/>
                <w:sz w:val="18"/>
              </w:rPr>
            </w:pPr>
            <w:r w:rsidRPr="00913156">
              <w:rPr>
                <w:rFonts w:ascii="Arial Narrow" w:hAnsi="Arial Narrow"/>
                <w:snapToGrid/>
                <w:sz w:val="18"/>
              </w:rPr>
              <w:t>Meta-analysis</w:t>
            </w:r>
          </w:p>
        </w:tc>
        <w:tc>
          <w:tcPr>
            <w:tcW w:w="850" w:type="dxa"/>
            <w:vMerge/>
            <w:tcBorders>
              <w:right w:val="nil"/>
            </w:tcBorders>
          </w:tcPr>
          <w:p w:rsidR="00ED7CA2" w:rsidRPr="00913156" w:rsidRDefault="00ED7CA2" w:rsidP="0099333D">
            <w:pPr>
              <w:jc w:val="center"/>
              <w:rPr>
                <w:rFonts w:ascii="Arial Narrow" w:hAnsi="Arial Narrow"/>
                <w:b/>
                <w:iCs/>
                <w:snapToGrid/>
                <w:sz w:val="18"/>
                <w:szCs w:val="18"/>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2.54 (1.61, 4.01)</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0.26 (0.18, 0.33)</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4</w:t>
            </w:r>
          </w:p>
        </w:tc>
      </w:tr>
      <w:tr w:rsidR="00ED7CA2" w:rsidRPr="00913156" w:rsidTr="0099333D">
        <w:tc>
          <w:tcPr>
            <w:tcW w:w="4252" w:type="dxa"/>
            <w:gridSpan w:val="3"/>
            <w:vAlign w:val="center"/>
          </w:tcPr>
          <w:p w:rsidR="00ED7CA2" w:rsidRPr="00913156" w:rsidRDefault="00ED7CA2" w:rsidP="0099333D">
            <w:pPr>
              <w:rPr>
                <w:rFonts w:ascii="Arial Narrow" w:hAnsi="Arial Narrow"/>
                <w:b/>
                <w:bCs/>
                <w:iCs/>
                <w:snapToGrid/>
                <w:sz w:val="18"/>
              </w:rPr>
            </w:pPr>
            <w:r w:rsidRPr="00913156">
              <w:rPr>
                <w:rFonts w:ascii="Arial Narrow" w:hAnsi="Arial Narrow"/>
                <w:b/>
                <w:bCs/>
                <w:iCs/>
                <w:snapToGrid/>
                <w:sz w:val="18"/>
              </w:rPr>
              <w:t>IFX (5mg/kg wk2, wk6, q8w) - Wk 56 results (incl. IP)</w:t>
            </w:r>
          </w:p>
        </w:tc>
        <w:tc>
          <w:tcPr>
            <w:tcW w:w="850" w:type="dxa"/>
            <w:vMerge/>
            <w:tcBorders>
              <w:right w:val="nil"/>
            </w:tcBorders>
          </w:tcPr>
          <w:p w:rsidR="00ED7CA2" w:rsidRPr="00913156" w:rsidRDefault="00ED7CA2" w:rsidP="0099333D">
            <w:pP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snapToGrid/>
                <w:sz w:val="20"/>
              </w:rPr>
            </w:pPr>
          </w:p>
        </w:tc>
        <w:tc>
          <w:tcPr>
            <w:tcW w:w="425" w:type="dxa"/>
            <w:vAlign w:val="center"/>
          </w:tcPr>
          <w:p w:rsidR="00ED7CA2" w:rsidRPr="00913156" w:rsidRDefault="00ED7CA2" w:rsidP="0099333D">
            <w:pPr>
              <w:jc w:val="center"/>
              <w:rPr>
                <w:rFonts w:ascii="Arial Narrow" w:hAnsi="Arial Narrow"/>
                <w:snapToGrid/>
                <w:sz w:val="20"/>
              </w:rPr>
            </w:pPr>
          </w:p>
        </w:tc>
      </w:tr>
      <w:tr w:rsidR="00ED7CA2" w:rsidRPr="00913156" w:rsidTr="0099333D">
        <w:tc>
          <w:tcPr>
            <w:tcW w:w="2268" w:type="dxa"/>
            <w:vAlign w:val="center"/>
          </w:tcPr>
          <w:p w:rsidR="00ED7CA2" w:rsidRPr="00913156" w:rsidRDefault="00ED7CA2" w:rsidP="0099333D">
            <w:pPr>
              <w:rPr>
                <w:rFonts w:ascii="Arial Narrow" w:hAnsi="Arial Narrow"/>
                <w:iCs/>
                <w:snapToGrid/>
                <w:sz w:val="18"/>
                <w:lang w:val="it-IT"/>
              </w:rPr>
            </w:pPr>
            <w:r w:rsidRPr="00913156">
              <w:rPr>
                <w:rFonts w:ascii="Arial Narrow" w:hAnsi="Arial Narrow"/>
                <w:iCs/>
                <w:snapToGrid/>
                <w:sz w:val="18"/>
                <w:lang w:val="it-IT"/>
              </w:rPr>
              <w:t>ACCENT I (CR-70 wk2 i</w:t>
            </w:r>
            <w:r w:rsidRPr="00913156">
              <w:rPr>
                <w:rFonts w:ascii="Arial Narrow" w:hAnsi="Arial Narrow"/>
                <w:iCs/>
                <w:snapToGrid/>
                <w:sz w:val="18"/>
                <w:vertAlign w:val="superscript"/>
                <w:lang w:val="it-IT"/>
              </w:rPr>
              <w:t>e</w:t>
            </w:r>
            <w:r w:rsidRPr="00913156">
              <w:rPr>
                <w:rFonts w:ascii="Arial Narrow" w:hAnsi="Arial Narrow"/>
                <w:iCs/>
                <w:snapToGrid/>
                <w:sz w:val="18"/>
                <w:lang w:val="it-IT"/>
              </w:rPr>
              <w:t>)</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32/113 (28.0)</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15/110 (13.7)</w:t>
            </w:r>
          </w:p>
        </w:tc>
        <w:tc>
          <w:tcPr>
            <w:tcW w:w="850" w:type="dxa"/>
            <w:vMerge/>
            <w:tcBorders>
              <w:right w:val="nil"/>
            </w:tcBorders>
          </w:tcPr>
          <w:p w:rsidR="00ED7CA2" w:rsidRPr="00913156" w:rsidRDefault="00ED7CA2" w:rsidP="0099333D">
            <w:pPr>
              <w:jc w:val="center"/>
              <w:rPr>
                <w:rFonts w:ascii="Arial Narrow" w:hAnsi="Arial Narrow"/>
                <w:b/>
                <w:bCs/>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bCs/>
                <w:snapToGrid/>
                <w:sz w:val="14"/>
                <w:szCs w:val="14"/>
              </w:rPr>
            </w:pPr>
            <w:r w:rsidRPr="00913156">
              <w:rPr>
                <w:rFonts w:ascii="Arial Narrow" w:hAnsi="Arial Narrow"/>
                <w:b/>
                <w:bCs/>
                <w:snapToGrid/>
                <w:sz w:val="14"/>
                <w:szCs w:val="14"/>
              </w:rPr>
              <w:t>2.08 (1.19, 3.61)</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bCs/>
                <w:snapToGrid/>
                <w:sz w:val="14"/>
                <w:szCs w:val="14"/>
              </w:rPr>
            </w:pPr>
            <w:r w:rsidRPr="00913156">
              <w:rPr>
                <w:rFonts w:ascii="Arial Narrow" w:hAnsi="Arial Narrow"/>
                <w:b/>
                <w:bCs/>
                <w:snapToGrid/>
                <w:sz w:val="14"/>
                <w:szCs w:val="14"/>
              </w:rPr>
              <w:t>0.15 (0.04, 0.25)</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7</w:t>
            </w:r>
          </w:p>
        </w:tc>
      </w:tr>
      <w:tr w:rsidR="00ED7CA2" w:rsidRPr="00913156" w:rsidTr="0099333D">
        <w:tc>
          <w:tcPr>
            <w:tcW w:w="4252" w:type="dxa"/>
            <w:gridSpan w:val="3"/>
            <w:vAlign w:val="center"/>
          </w:tcPr>
          <w:p w:rsidR="00ED7CA2" w:rsidRPr="00913156" w:rsidRDefault="00ED7CA2" w:rsidP="0099333D">
            <w:pPr>
              <w:rPr>
                <w:rFonts w:ascii="Arial Narrow" w:hAnsi="Arial Narrow"/>
                <w:b/>
                <w:bCs/>
                <w:iCs/>
                <w:snapToGrid/>
                <w:sz w:val="18"/>
              </w:rPr>
            </w:pPr>
            <w:r w:rsidRPr="00913156">
              <w:rPr>
                <w:rFonts w:ascii="Arial Narrow" w:hAnsi="Arial Narrow"/>
                <w:b/>
                <w:bCs/>
                <w:iCs/>
                <w:snapToGrid/>
                <w:sz w:val="18"/>
              </w:rPr>
              <w:t>VDZ (300mg q8w) – Wk 52 results (incl IP)</w:t>
            </w:r>
          </w:p>
        </w:tc>
        <w:tc>
          <w:tcPr>
            <w:tcW w:w="850" w:type="dxa"/>
            <w:vMerge/>
            <w:tcBorders>
              <w:right w:val="nil"/>
            </w:tcBorders>
          </w:tcPr>
          <w:p w:rsidR="00ED7CA2" w:rsidRPr="00913156" w:rsidRDefault="00ED7CA2" w:rsidP="0099333D">
            <w:pP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snapToGrid/>
                <w:sz w:val="20"/>
              </w:rPr>
            </w:pPr>
          </w:p>
        </w:tc>
        <w:tc>
          <w:tcPr>
            <w:tcW w:w="425" w:type="dxa"/>
            <w:vAlign w:val="center"/>
          </w:tcPr>
          <w:p w:rsidR="00ED7CA2" w:rsidRPr="00913156" w:rsidRDefault="00ED7CA2" w:rsidP="0099333D">
            <w:pPr>
              <w:jc w:val="center"/>
              <w:rPr>
                <w:rFonts w:ascii="Arial Narrow" w:hAnsi="Arial Narrow"/>
                <w:snapToGrid/>
                <w:sz w:val="20"/>
              </w:rPr>
            </w:pPr>
          </w:p>
        </w:tc>
      </w:tr>
      <w:tr w:rsidR="00ED7CA2" w:rsidRPr="00913156" w:rsidTr="0099333D">
        <w:tc>
          <w:tcPr>
            <w:tcW w:w="2268" w:type="dxa"/>
            <w:vAlign w:val="center"/>
          </w:tcPr>
          <w:p w:rsidR="00ED7CA2" w:rsidRPr="00913156" w:rsidRDefault="00ED7CA2" w:rsidP="0099333D">
            <w:pPr>
              <w:rPr>
                <w:rFonts w:ascii="Arial Narrow" w:hAnsi="Arial Narrow"/>
                <w:iCs/>
                <w:snapToGrid/>
                <w:sz w:val="18"/>
              </w:rPr>
            </w:pPr>
            <w:r w:rsidRPr="00913156">
              <w:rPr>
                <w:rFonts w:ascii="Arial Narrow" w:hAnsi="Arial Narrow"/>
                <w:iCs/>
                <w:snapToGrid/>
                <w:sz w:val="18"/>
              </w:rPr>
              <w:t>GEMINI II (CR-70 wk6 i</w:t>
            </w:r>
            <w:r w:rsidRPr="00913156">
              <w:rPr>
                <w:rFonts w:ascii="Arial Narrow" w:hAnsi="Arial Narrow"/>
                <w:iCs/>
                <w:snapToGrid/>
                <w:sz w:val="18"/>
                <w:vertAlign w:val="superscript"/>
              </w:rPr>
              <w:t>f</w:t>
            </w:r>
            <w:r w:rsidRPr="00913156">
              <w:rPr>
                <w:rFonts w:ascii="Arial Narrow" w:hAnsi="Arial Narrow"/>
                <w:iCs/>
                <w:snapToGrid/>
                <w:sz w:val="18"/>
              </w:rPr>
              <w:t>)</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60/154 (39.0)</w:t>
            </w:r>
          </w:p>
        </w:tc>
        <w:tc>
          <w:tcPr>
            <w:tcW w:w="992" w:type="dxa"/>
            <w:vAlign w:val="center"/>
          </w:tcPr>
          <w:p w:rsidR="00ED7CA2" w:rsidRPr="00913156" w:rsidRDefault="00ED7CA2" w:rsidP="0099333D">
            <w:pPr>
              <w:jc w:val="center"/>
              <w:rPr>
                <w:rFonts w:ascii="Arial Narrow" w:hAnsi="Arial Narrow"/>
                <w:snapToGrid/>
                <w:sz w:val="18"/>
              </w:rPr>
            </w:pPr>
            <w:r w:rsidRPr="00913156">
              <w:rPr>
                <w:rFonts w:ascii="Arial Narrow" w:hAnsi="Arial Narrow"/>
                <w:snapToGrid/>
                <w:sz w:val="18"/>
              </w:rPr>
              <w:t>33/153 (21.6)</w:t>
            </w:r>
          </w:p>
        </w:tc>
        <w:tc>
          <w:tcPr>
            <w:tcW w:w="850" w:type="dxa"/>
            <w:vMerge/>
            <w:tcBorders>
              <w:right w:val="nil"/>
            </w:tcBorders>
          </w:tcPr>
          <w:p w:rsidR="00ED7CA2" w:rsidRPr="00913156" w:rsidRDefault="00ED7CA2" w:rsidP="0099333D">
            <w:pPr>
              <w:jc w:val="center"/>
              <w:rPr>
                <w:rFonts w:ascii="Arial Narrow" w:hAnsi="Arial Narrow"/>
                <w:b/>
                <w:bCs/>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bCs/>
                <w:snapToGrid/>
                <w:sz w:val="14"/>
                <w:szCs w:val="14"/>
              </w:rPr>
            </w:pPr>
            <w:r w:rsidRPr="00913156">
              <w:rPr>
                <w:rFonts w:ascii="Arial Narrow" w:hAnsi="Arial Narrow"/>
                <w:b/>
                <w:bCs/>
                <w:snapToGrid/>
                <w:sz w:val="14"/>
                <w:szCs w:val="14"/>
              </w:rPr>
              <w:t>1.81 (1.26, 2.59)</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0.17 (0.07, 0.27)</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6</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iCs/>
                <w:snapToGrid/>
                <w:sz w:val="18"/>
              </w:rPr>
            </w:pPr>
            <w:r w:rsidRPr="00913156">
              <w:rPr>
                <w:rFonts w:ascii="Arial Narrow" w:hAnsi="Arial Narrow"/>
                <w:iCs/>
                <w:snapToGrid/>
                <w:sz w:val="18"/>
              </w:rPr>
              <w:t>All bDMARDs (ADA, IFX, VDZ)</w:t>
            </w:r>
          </w:p>
        </w:tc>
        <w:tc>
          <w:tcPr>
            <w:tcW w:w="850" w:type="dxa"/>
            <w:vMerge/>
            <w:tcBorders>
              <w:right w:val="nil"/>
            </w:tcBorders>
          </w:tcPr>
          <w:p w:rsidR="00ED7CA2" w:rsidRPr="00913156" w:rsidRDefault="00ED7CA2" w:rsidP="0099333D">
            <w:pPr>
              <w:jc w:val="center"/>
              <w:rPr>
                <w:rFonts w:ascii="Arial Narrow" w:hAnsi="Arial Narrow"/>
                <w:b/>
                <w:bCs/>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
                <w:bCs/>
                <w:snapToGrid/>
                <w:sz w:val="14"/>
                <w:szCs w:val="14"/>
              </w:rPr>
            </w:pPr>
            <w:r w:rsidRPr="00913156">
              <w:rPr>
                <w:rFonts w:ascii="Arial Narrow" w:hAnsi="Arial Narrow"/>
                <w:b/>
                <w:bCs/>
                <w:snapToGrid/>
                <w:sz w:val="14"/>
                <w:szCs w:val="14"/>
              </w:rPr>
              <w:t>2.16 (1.68, 2.78)</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
                <w:iCs/>
                <w:snapToGrid/>
                <w:sz w:val="14"/>
                <w:szCs w:val="14"/>
              </w:rPr>
            </w:pPr>
            <w:r w:rsidRPr="00913156">
              <w:rPr>
                <w:rFonts w:ascii="Arial Narrow" w:hAnsi="Arial Narrow"/>
                <w:b/>
                <w:iCs/>
                <w:snapToGrid/>
                <w:sz w:val="14"/>
                <w:szCs w:val="14"/>
              </w:rPr>
              <w:t>0.20 (0.15, 0.26)</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5</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b/>
                <w:bCs/>
                <w:snapToGrid/>
                <w:sz w:val="18"/>
              </w:rPr>
            </w:pPr>
            <w:r w:rsidRPr="00913156">
              <w:rPr>
                <w:rFonts w:ascii="Arial Narrow" w:hAnsi="Arial Narrow"/>
                <w:b/>
                <w:bCs/>
                <w:snapToGrid/>
                <w:sz w:val="18"/>
              </w:rPr>
              <w:t>Indirect comparisons</w:t>
            </w:r>
          </w:p>
        </w:tc>
        <w:tc>
          <w:tcPr>
            <w:tcW w:w="850" w:type="dxa"/>
            <w:vMerge/>
            <w:tcBorders>
              <w:right w:val="nil"/>
            </w:tcBorders>
          </w:tcPr>
          <w:p w:rsidR="00ED7CA2" w:rsidRPr="00913156" w:rsidRDefault="00ED7CA2" w:rsidP="0099333D">
            <w:pP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snapToGrid/>
                <w:sz w:val="20"/>
              </w:rPr>
            </w:pPr>
          </w:p>
        </w:tc>
        <w:tc>
          <w:tcPr>
            <w:tcW w:w="425" w:type="dxa"/>
            <w:vAlign w:val="center"/>
          </w:tcPr>
          <w:p w:rsidR="00ED7CA2" w:rsidRPr="00913156" w:rsidRDefault="00ED7CA2" w:rsidP="0099333D">
            <w:pPr>
              <w:jc w:val="center"/>
              <w:rPr>
                <w:rFonts w:ascii="Arial Narrow" w:hAnsi="Arial Narrow"/>
                <w:snapToGrid/>
                <w:sz w:val="20"/>
              </w:rPr>
            </w:pP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snapToGrid/>
                <w:sz w:val="18"/>
              </w:rPr>
            </w:pPr>
            <w:r w:rsidRPr="00913156">
              <w:rPr>
                <w:rFonts w:ascii="Arial Narrow" w:hAnsi="Arial Narrow"/>
                <w:snapToGrid/>
                <w:sz w:val="18"/>
              </w:rPr>
              <w:t>UST</w:t>
            </w:r>
            <w:r w:rsidRPr="00913156">
              <w:rPr>
                <w:rFonts w:ascii="Arial Narrow" w:hAnsi="Arial Narrow"/>
                <w:snapToGrid/>
                <w:sz w:val="18"/>
                <w:vertAlign w:val="subscript"/>
              </w:rPr>
              <w:t>ITT</w:t>
            </w:r>
            <w:r w:rsidRPr="00913156">
              <w:rPr>
                <w:rFonts w:ascii="Arial Narrow" w:hAnsi="Arial Narrow"/>
                <w:snapToGrid/>
                <w:sz w:val="18"/>
              </w:rPr>
              <w:t xml:space="preserve"> v ADA</w:t>
            </w:r>
          </w:p>
        </w:tc>
        <w:tc>
          <w:tcPr>
            <w:tcW w:w="850" w:type="dxa"/>
            <w:vMerge/>
            <w:tcBorders>
              <w:right w:val="nil"/>
            </w:tcBorders>
          </w:tcPr>
          <w:p w:rsidR="00ED7CA2" w:rsidRPr="00913156" w:rsidRDefault="00ED7CA2" w:rsidP="0099333D">
            <w:pPr>
              <w:jc w:val="center"/>
              <w:rPr>
                <w:rFonts w:ascii="Arial Narrow" w:hAnsi="Arial Narrow"/>
                <w:bCs/>
                <w:iCs/>
                <w:snapToGrid/>
                <w:sz w:val="18"/>
                <w:szCs w:val="18"/>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bCs/>
                <w:iCs/>
                <w:snapToGrid/>
                <w:sz w:val="14"/>
                <w:szCs w:val="14"/>
              </w:rPr>
            </w:pPr>
            <w:r w:rsidRPr="00913156">
              <w:rPr>
                <w:rFonts w:ascii="Arial Narrow" w:hAnsi="Arial Narrow"/>
                <w:bCs/>
                <w:iCs/>
                <w:snapToGrid/>
                <w:sz w:val="14"/>
                <w:szCs w:val="14"/>
              </w:rPr>
              <w:t>0.58 (0.34, 1.00)</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Cs/>
                <w:iCs/>
                <w:snapToGrid/>
                <w:sz w:val="14"/>
                <w:szCs w:val="14"/>
              </w:rPr>
            </w:pPr>
            <w:r w:rsidRPr="00913156">
              <w:rPr>
                <w:rFonts w:ascii="Arial Narrow" w:hAnsi="Arial Narrow"/>
                <w:bCs/>
                <w:iCs/>
                <w:snapToGrid/>
                <w:sz w:val="14"/>
                <w:szCs w:val="14"/>
              </w:rPr>
              <w:t>-0.09(-0.23,0.05)</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N/A</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iCs/>
                <w:snapToGrid/>
                <w:sz w:val="18"/>
              </w:rPr>
            </w:pPr>
            <w:r w:rsidRPr="00913156">
              <w:rPr>
                <w:rFonts w:ascii="Arial Narrow" w:hAnsi="Arial Narrow"/>
                <w:iCs/>
                <w:snapToGrid/>
                <w:sz w:val="18"/>
              </w:rPr>
              <w:t>UST</w:t>
            </w:r>
            <w:r w:rsidRPr="00913156">
              <w:rPr>
                <w:rFonts w:ascii="Arial Narrow" w:hAnsi="Arial Narrow"/>
                <w:iCs/>
                <w:snapToGrid/>
                <w:sz w:val="18"/>
                <w:vertAlign w:val="subscript"/>
              </w:rPr>
              <w:t>ITT</w:t>
            </w:r>
            <w:r w:rsidRPr="00913156">
              <w:rPr>
                <w:rFonts w:ascii="Arial Narrow" w:hAnsi="Arial Narrow"/>
                <w:iCs/>
                <w:snapToGrid/>
                <w:sz w:val="18"/>
              </w:rPr>
              <w:t xml:space="preserve"> v IFX</w:t>
            </w:r>
          </w:p>
        </w:tc>
        <w:tc>
          <w:tcPr>
            <w:tcW w:w="850" w:type="dxa"/>
            <w:vMerge/>
            <w:tcBorders>
              <w:right w:val="nil"/>
            </w:tcBorders>
          </w:tcPr>
          <w:p w:rsidR="00ED7CA2" w:rsidRPr="00913156" w:rsidRDefault="00ED7CA2" w:rsidP="0099333D">
            <w:pPr>
              <w:jc w:val="cente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r w:rsidRPr="00913156">
              <w:rPr>
                <w:rFonts w:ascii="Arial Narrow" w:hAnsi="Arial Narrow"/>
                <w:snapToGrid/>
                <w:sz w:val="14"/>
                <w:szCs w:val="14"/>
              </w:rPr>
              <w:t>0.71 (0.38, 1.32)</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Cs/>
                <w:iCs/>
                <w:snapToGrid/>
                <w:sz w:val="14"/>
                <w:szCs w:val="14"/>
              </w:rPr>
            </w:pPr>
            <w:r w:rsidRPr="00913156">
              <w:rPr>
                <w:rFonts w:ascii="Arial Narrow" w:hAnsi="Arial Narrow"/>
                <w:bCs/>
                <w:iCs/>
                <w:snapToGrid/>
                <w:sz w:val="14"/>
                <w:szCs w:val="14"/>
              </w:rPr>
              <w:t>0.02 (-0.12,0.16)</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N/A</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iCs/>
                <w:snapToGrid/>
                <w:sz w:val="18"/>
              </w:rPr>
            </w:pPr>
            <w:r w:rsidRPr="00913156">
              <w:rPr>
                <w:rFonts w:ascii="Arial Narrow" w:hAnsi="Arial Narrow"/>
                <w:iCs/>
                <w:snapToGrid/>
                <w:sz w:val="18"/>
              </w:rPr>
              <w:t>UST</w:t>
            </w:r>
            <w:r w:rsidRPr="00913156">
              <w:rPr>
                <w:rFonts w:ascii="Arial Narrow" w:hAnsi="Arial Narrow"/>
                <w:iCs/>
                <w:snapToGrid/>
                <w:sz w:val="18"/>
                <w:vertAlign w:val="subscript"/>
              </w:rPr>
              <w:t>ITT</w:t>
            </w:r>
            <w:r w:rsidRPr="00913156">
              <w:rPr>
                <w:rFonts w:ascii="Arial Narrow" w:hAnsi="Arial Narrow"/>
                <w:iCs/>
                <w:snapToGrid/>
                <w:sz w:val="18"/>
              </w:rPr>
              <w:t xml:space="preserve"> v VDZ</w:t>
            </w:r>
          </w:p>
        </w:tc>
        <w:tc>
          <w:tcPr>
            <w:tcW w:w="850" w:type="dxa"/>
            <w:vMerge/>
            <w:tcBorders>
              <w:right w:val="nil"/>
            </w:tcBorders>
          </w:tcPr>
          <w:p w:rsidR="00ED7CA2" w:rsidRPr="00913156" w:rsidRDefault="00ED7CA2" w:rsidP="0099333D">
            <w:pPr>
              <w:jc w:val="center"/>
              <w:rPr>
                <w:rFonts w:ascii="Arial Narrow" w:hAnsi="Arial Narrow"/>
                <w:snapToGrid/>
                <w:sz w:val="20"/>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r w:rsidRPr="00913156">
              <w:rPr>
                <w:rFonts w:ascii="Arial Narrow" w:hAnsi="Arial Narrow"/>
                <w:snapToGrid/>
                <w:sz w:val="14"/>
                <w:szCs w:val="14"/>
              </w:rPr>
              <w:t>0.82 (0.51, 1.30)</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Cs/>
                <w:iCs/>
                <w:snapToGrid/>
                <w:sz w:val="14"/>
                <w:szCs w:val="14"/>
              </w:rPr>
            </w:pPr>
            <w:r w:rsidRPr="00913156">
              <w:rPr>
                <w:rFonts w:ascii="Arial Narrow" w:hAnsi="Arial Narrow"/>
                <w:bCs/>
                <w:iCs/>
                <w:snapToGrid/>
                <w:sz w:val="14"/>
                <w:szCs w:val="14"/>
              </w:rPr>
              <w:t>0.00 (-0.16,0.16)</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N/A</w:t>
            </w:r>
          </w:p>
        </w:tc>
      </w:tr>
      <w:tr w:rsidR="00ED7CA2" w:rsidRPr="00913156" w:rsidTr="0099333D">
        <w:tc>
          <w:tcPr>
            <w:tcW w:w="4252" w:type="dxa"/>
            <w:gridSpan w:val="3"/>
            <w:vAlign w:val="center"/>
          </w:tcPr>
          <w:p w:rsidR="00ED7CA2" w:rsidRPr="00913156" w:rsidRDefault="00ED7CA2" w:rsidP="0099333D">
            <w:pPr>
              <w:jc w:val="right"/>
              <w:rPr>
                <w:rFonts w:ascii="Arial Narrow" w:hAnsi="Arial Narrow"/>
                <w:iCs/>
                <w:snapToGrid/>
                <w:sz w:val="18"/>
                <w:lang w:val="de-DE"/>
              </w:rPr>
            </w:pPr>
            <w:r w:rsidRPr="00913156">
              <w:rPr>
                <w:rFonts w:ascii="Arial Narrow" w:hAnsi="Arial Narrow"/>
                <w:iCs/>
                <w:snapToGrid/>
                <w:sz w:val="18"/>
                <w:lang w:val="de-DE"/>
              </w:rPr>
              <w:t>UST</w:t>
            </w:r>
            <w:r w:rsidRPr="00913156">
              <w:rPr>
                <w:rFonts w:ascii="Arial Narrow" w:hAnsi="Arial Narrow"/>
                <w:iCs/>
                <w:snapToGrid/>
                <w:sz w:val="18"/>
                <w:vertAlign w:val="subscript"/>
                <w:lang w:val="de-DE"/>
              </w:rPr>
              <w:t>ITT</w:t>
            </w:r>
            <w:r w:rsidRPr="00913156">
              <w:rPr>
                <w:rFonts w:ascii="Arial Narrow" w:hAnsi="Arial Narrow"/>
                <w:iCs/>
                <w:snapToGrid/>
                <w:sz w:val="18"/>
                <w:lang w:val="de-DE"/>
              </w:rPr>
              <w:t xml:space="preserve"> v ADA/IFX/VDZ</w:t>
            </w:r>
          </w:p>
        </w:tc>
        <w:tc>
          <w:tcPr>
            <w:tcW w:w="850" w:type="dxa"/>
            <w:vMerge/>
            <w:tcBorders>
              <w:right w:val="nil"/>
            </w:tcBorders>
          </w:tcPr>
          <w:p w:rsidR="00ED7CA2" w:rsidRPr="00913156" w:rsidRDefault="00ED7CA2" w:rsidP="0099333D">
            <w:pPr>
              <w:jc w:val="center"/>
              <w:rPr>
                <w:rFonts w:ascii="Arial Narrow" w:hAnsi="Arial Narrow"/>
                <w:snapToGrid/>
                <w:sz w:val="20"/>
                <w:lang w:val="de-DE"/>
              </w:rPr>
            </w:pPr>
          </w:p>
        </w:tc>
        <w:tc>
          <w:tcPr>
            <w:tcW w:w="993" w:type="dxa"/>
            <w:tcBorders>
              <w:top w:val="nil"/>
              <w:left w:val="nil"/>
              <w:bottom w:val="nil"/>
            </w:tcBorders>
            <w:vAlign w:val="center"/>
          </w:tcPr>
          <w:p w:rsidR="00ED7CA2" w:rsidRPr="00913156" w:rsidRDefault="00ED7CA2" w:rsidP="0099333D">
            <w:pPr>
              <w:jc w:val="center"/>
              <w:rPr>
                <w:rFonts w:ascii="Arial Narrow" w:hAnsi="Arial Narrow"/>
                <w:snapToGrid/>
                <w:sz w:val="14"/>
                <w:szCs w:val="14"/>
              </w:rPr>
            </w:pPr>
            <w:r w:rsidRPr="00913156">
              <w:rPr>
                <w:rFonts w:ascii="Arial Narrow" w:hAnsi="Arial Narrow"/>
                <w:snapToGrid/>
                <w:sz w:val="14"/>
                <w:szCs w:val="14"/>
              </w:rPr>
              <w:t>0.69 (0.47, 1.00)</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bottom w:val="nil"/>
            </w:tcBorders>
            <w:vAlign w:val="center"/>
          </w:tcPr>
          <w:p w:rsidR="00ED7CA2" w:rsidRPr="00913156" w:rsidRDefault="00ED7CA2" w:rsidP="0099333D">
            <w:pPr>
              <w:jc w:val="center"/>
              <w:rPr>
                <w:rFonts w:ascii="Arial Narrow" w:hAnsi="Arial Narrow"/>
                <w:bCs/>
                <w:iCs/>
                <w:snapToGrid/>
                <w:sz w:val="14"/>
                <w:szCs w:val="14"/>
              </w:rPr>
            </w:pPr>
            <w:r w:rsidRPr="00913156">
              <w:rPr>
                <w:rFonts w:ascii="Arial Narrow" w:hAnsi="Arial Narrow"/>
                <w:bCs/>
                <w:iCs/>
                <w:snapToGrid/>
                <w:sz w:val="14"/>
                <w:szCs w:val="14"/>
              </w:rPr>
              <w:t>-0.03(-0.16,0.10)</w:t>
            </w:r>
          </w:p>
        </w:tc>
        <w:tc>
          <w:tcPr>
            <w:tcW w:w="425" w:type="dxa"/>
            <w:vAlign w:val="center"/>
          </w:tcPr>
          <w:p w:rsidR="00ED7CA2" w:rsidRPr="00913156" w:rsidRDefault="00ED7CA2" w:rsidP="0099333D">
            <w:pPr>
              <w:jc w:val="center"/>
              <w:rPr>
                <w:rFonts w:ascii="Arial Narrow" w:hAnsi="Arial Narrow"/>
                <w:snapToGrid/>
                <w:sz w:val="20"/>
              </w:rPr>
            </w:pPr>
            <w:r w:rsidRPr="00913156">
              <w:rPr>
                <w:rFonts w:ascii="Arial Narrow" w:hAnsi="Arial Narrow"/>
                <w:snapToGrid/>
                <w:sz w:val="20"/>
              </w:rPr>
              <w:t>N/A</w:t>
            </w:r>
          </w:p>
        </w:tc>
      </w:tr>
      <w:tr w:rsidR="00ED7CA2" w:rsidRPr="00913156" w:rsidTr="0099333D">
        <w:tc>
          <w:tcPr>
            <w:tcW w:w="4252" w:type="dxa"/>
            <w:gridSpan w:val="3"/>
            <w:shd w:val="clear" w:color="auto" w:fill="D9D9D9" w:themeFill="background1" w:themeFillShade="D9"/>
            <w:vAlign w:val="center"/>
          </w:tcPr>
          <w:p w:rsidR="00ED7CA2" w:rsidRPr="00913156" w:rsidRDefault="00ED7CA2" w:rsidP="0099333D">
            <w:pPr>
              <w:jc w:val="right"/>
              <w:rPr>
                <w:rFonts w:ascii="Arial Narrow" w:hAnsi="Arial Narrow"/>
                <w:iCs/>
                <w:snapToGrid/>
                <w:sz w:val="18"/>
                <w:vertAlign w:val="subscript"/>
              </w:rPr>
            </w:pPr>
            <w:r w:rsidRPr="00913156">
              <w:rPr>
                <w:rFonts w:ascii="Arial Narrow" w:hAnsi="Arial Narrow"/>
                <w:iCs/>
                <w:snapToGrid/>
                <w:sz w:val="18"/>
              </w:rPr>
              <w:t>UST</w:t>
            </w:r>
            <w:r w:rsidRPr="00913156">
              <w:rPr>
                <w:rFonts w:ascii="Arial Narrow" w:hAnsi="Arial Narrow"/>
                <w:iCs/>
                <w:snapToGrid/>
                <w:sz w:val="18"/>
                <w:vertAlign w:val="subscript"/>
              </w:rPr>
              <w:t xml:space="preserve">POST-HOC </w:t>
            </w:r>
            <w:r w:rsidRPr="00913156">
              <w:rPr>
                <w:rFonts w:ascii="Arial Narrow" w:hAnsi="Arial Narrow"/>
                <w:iCs/>
                <w:snapToGrid/>
                <w:sz w:val="18"/>
              </w:rPr>
              <w:t>v ADA</w:t>
            </w:r>
            <w:r w:rsidRPr="00913156">
              <w:rPr>
                <w:rFonts w:ascii="Arial Narrow" w:hAnsi="Arial Narrow"/>
                <w:iCs/>
                <w:snapToGrid/>
                <w:sz w:val="18"/>
                <w:vertAlign w:val="subscript"/>
              </w:rPr>
              <w:t>CLASSIC-II only</w:t>
            </w:r>
          </w:p>
        </w:tc>
        <w:tc>
          <w:tcPr>
            <w:tcW w:w="850" w:type="dxa"/>
            <w:vMerge/>
            <w:tcBorders>
              <w:right w:val="nil"/>
            </w:tcBorders>
          </w:tcPr>
          <w:p w:rsidR="00ED7CA2" w:rsidRPr="00913156" w:rsidRDefault="00ED7CA2" w:rsidP="0099333D">
            <w:pPr>
              <w:jc w:val="center"/>
              <w:rPr>
                <w:rFonts w:ascii="Arial Narrow" w:hAnsi="Arial Narrow"/>
                <w:snapToGrid/>
                <w:sz w:val="20"/>
              </w:rPr>
            </w:pPr>
          </w:p>
        </w:tc>
        <w:tc>
          <w:tcPr>
            <w:tcW w:w="993" w:type="dxa"/>
            <w:tcBorders>
              <w:top w:val="nil"/>
              <w:left w:val="nil"/>
            </w:tcBorders>
            <w:vAlign w:val="center"/>
          </w:tcPr>
          <w:p w:rsidR="00ED7CA2" w:rsidRPr="00CA59E8" w:rsidRDefault="00CA59E8" w:rsidP="0099333D">
            <w:pPr>
              <w:jc w:val="center"/>
              <w:rPr>
                <w:rFonts w:ascii="Arial Narrow" w:hAnsi="Arial Narrow"/>
                <w:iCs/>
                <w:snapToGrid/>
                <w:sz w:val="14"/>
                <w:szCs w:val="14"/>
                <w:highlight w:val="black"/>
              </w:rPr>
            </w:pPr>
            <w:r>
              <w:rPr>
                <w:rFonts w:ascii="Arial Narrow" w:hAnsi="Arial Narrow"/>
                <w:iCs/>
                <w:noProof/>
                <w:snapToGrid/>
                <w:color w:val="000000"/>
                <w:sz w:val="14"/>
                <w:szCs w:val="14"/>
                <w:highlight w:val="black"/>
              </w:rPr>
              <w:t>'''''''''' ''''''''''''''' ''''''''''''</w:t>
            </w:r>
          </w:p>
        </w:tc>
        <w:tc>
          <w:tcPr>
            <w:tcW w:w="921" w:type="dxa"/>
            <w:vMerge/>
            <w:tcBorders>
              <w:right w:val="nil"/>
            </w:tcBorders>
          </w:tcPr>
          <w:p w:rsidR="00ED7CA2" w:rsidRPr="00913156" w:rsidRDefault="00ED7CA2" w:rsidP="0099333D">
            <w:pPr>
              <w:rPr>
                <w:rFonts w:ascii="Arial Narrow" w:hAnsi="Arial Narrow"/>
                <w:snapToGrid/>
                <w:sz w:val="20"/>
              </w:rPr>
            </w:pPr>
          </w:p>
        </w:tc>
        <w:tc>
          <w:tcPr>
            <w:tcW w:w="922" w:type="dxa"/>
            <w:tcBorders>
              <w:top w:val="nil"/>
              <w:left w:val="nil"/>
            </w:tcBorders>
            <w:vAlign w:val="center"/>
          </w:tcPr>
          <w:p w:rsidR="00ED7CA2" w:rsidRPr="00913156" w:rsidRDefault="00CA59E8" w:rsidP="0099333D">
            <w:pPr>
              <w:jc w:val="center"/>
              <w:rPr>
                <w:rFonts w:ascii="Arial Narrow" w:hAnsi="Arial Narrow"/>
                <w:bCs/>
                <w:snapToGrid/>
                <w:sz w:val="14"/>
                <w:szCs w:val="14"/>
              </w:rPr>
            </w:pPr>
            <w:r>
              <w:rPr>
                <w:rFonts w:ascii="Arial Narrow" w:hAnsi="Arial Narrow"/>
                <w:bCs/>
                <w:noProof/>
                <w:snapToGrid/>
                <w:color w:val="000000"/>
                <w:sz w:val="14"/>
                <w:szCs w:val="14"/>
                <w:highlight w:val="black"/>
              </w:rPr>
              <w:t>''''''''''''''</w:t>
            </w:r>
            <w:r w:rsidR="00ED7CA2" w:rsidRPr="00913156">
              <w:rPr>
                <w:rFonts w:ascii="Arial Narrow" w:hAnsi="Arial Narrow"/>
                <w:bCs/>
                <w:snapToGrid/>
                <w:sz w:val="14"/>
                <w:szCs w:val="14"/>
              </w:rPr>
              <w:t>(</w:t>
            </w:r>
            <w:r>
              <w:rPr>
                <w:rFonts w:ascii="Arial Narrow" w:hAnsi="Arial Narrow"/>
                <w:bCs/>
                <w:noProof/>
                <w:snapToGrid/>
                <w:color w:val="000000"/>
                <w:sz w:val="14"/>
                <w:szCs w:val="14"/>
                <w:highlight w:val="black"/>
              </w:rPr>
              <w:t>''''''''''''''</w:t>
            </w:r>
            <w:r w:rsidR="00ED7CA2" w:rsidRPr="00913156">
              <w:rPr>
                <w:rFonts w:ascii="Arial Narrow" w:hAnsi="Arial Narrow"/>
                <w:bCs/>
                <w:snapToGrid/>
                <w:sz w:val="14"/>
                <w:szCs w:val="14"/>
              </w:rPr>
              <w:t>,</w:t>
            </w:r>
            <w:r>
              <w:rPr>
                <w:rFonts w:ascii="Arial Narrow" w:hAnsi="Arial Narrow"/>
                <w:bCs/>
                <w:noProof/>
                <w:snapToGrid/>
                <w:color w:val="000000"/>
                <w:sz w:val="14"/>
                <w:szCs w:val="14"/>
                <w:highlight w:val="black"/>
              </w:rPr>
              <w:t>''''''''''</w:t>
            </w:r>
            <w:r w:rsidR="00ED7CA2" w:rsidRPr="00913156">
              <w:rPr>
                <w:rFonts w:ascii="Arial Narrow" w:hAnsi="Arial Narrow"/>
                <w:bCs/>
                <w:snapToGrid/>
                <w:sz w:val="14"/>
                <w:szCs w:val="14"/>
              </w:rPr>
              <w:t>)</w:t>
            </w:r>
          </w:p>
        </w:tc>
        <w:tc>
          <w:tcPr>
            <w:tcW w:w="425" w:type="dxa"/>
            <w:vAlign w:val="center"/>
          </w:tcPr>
          <w:p w:rsidR="00ED7CA2" w:rsidRPr="00CA59E8" w:rsidRDefault="00CA59E8" w:rsidP="0099333D">
            <w:pPr>
              <w:jc w:val="center"/>
              <w:rPr>
                <w:rFonts w:ascii="Arial Narrow" w:hAnsi="Arial Narrow"/>
                <w:snapToGrid/>
                <w:sz w:val="20"/>
                <w:highlight w:val="black"/>
              </w:rPr>
            </w:pPr>
            <w:r>
              <w:rPr>
                <w:rFonts w:ascii="Arial Narrow" w:hAnsi="Arial Narrow"/>
                <w:noProof/>
                <w:snapToGrid/>
                <w:color w:val="000000"/>
                <w:sz w:val="20"/>
                <w:highlight w:val="black"/>
              </w:rPr>
              <w:t>'''''''''</w:t>
            </w:r>
          </w:p>
        </w:tc>
      </w:tr>
    </w:tbl>
    <w:p w:rsidR="00727CAA" w:rsidRPr="00913156" w:rsidRDefault="00727CAA" w:rsidP="0026236C">
      <w:pPr>
        <w:ind w:left="680"/>
        <w:rPr>
          <w:rFonts w:ascii="Arial Narrow" w:hAnsi="Arial Narrow"/>
          <w:snapToGrid/>
          <w:sz w:val="18"/>
          <w:szCs w:val="18"/>
        </w:rPr>
      </w:pPr>
      <w:r w:rsidRPr="00913156">
        <w:rPr>
          <w:rFonts w:ascii="Arial Narrow" w:hAnsi="Arial Narrow"/>
          <w:snapToGrid/>
          <w:sz w:val="18"/>
          <w:szCs w:val="18"/>
        </w:rPr>
        <w:t>Abbreviations: UST=ustekinumab, ADA=adalimumab, IFX=infliximab, VDZ=vedolizumab, wk=week; IP=induction phase, doses used in trial are depicted in brackets next to drug name as well as the timing of assessment of results; i=induction phase</w:t>
      </w:r>
      <w:bookmarkEnd w:id="16"/>
      <w:r w:rsidR="007555AF" w:rsidRPr="00913156">
        <w:rPr>
          <w:rFonts w:ascii="Arial Narrow" w:hAnsi="Arial Narrow"/>
          <w:snapToGrid/>
          <w:sz w:val="18"/>
          <w:szCs w:val="18"/>
        </w:rPr>
        <w:t xml:space="preserve">. Statistically significant results are in </w:t>
      </w:r>
      <w:r w:rsidR="007555AF" w:rsidRPr="00913156">
        <w:rPr>
          <w:rFonts w:ascii="Arial Narrow" w:hAnsi="Arial Narrow"/>
          <w:b/>
          <w:snapToGrid/>
          <w:sz w:val="18"/>
          <w:szCs w:val="18"/>
        </w:rPr>
        <w:t>bold</w:t>
      </w:r>
      <w:r w:rsidR="007555AF" w:rsidRPr="00913156">
        <w:rPr>
          <w:rFonts w:ascii="Arial Narrow" w:hAnsi="Arial Narrow"/>
          <w:snapToGrid/>
          <w:sz w:val="18"/>
          <w:szCs w:val="18"/>
        </w:rPr>
        <w:t>.</w:t>
      </w:r>
    </w:p>
    <w:p w:rsidR="00727CAA" w:rsidRPr="00913156" w:rsidRDefault="00727CAA" w:rsidP="0026236C">
      <w:pPr>
        <w:ind w:left="709"/>
        <w:rPr>
          <w:rFonts w:ascii="Arial Narrow" w:hAnsi="Arial Narrow"/>
          <w:snapToGrid/>
          <w:sz w:val="18"/>
          <w:szCs w:val="18"/>
        </w:rPr>
      </w:pPr>
      <w:bookmarkStart w:id="17" w:name="_Toc471759017"/>
      <w:r w:rsidRPr="00913156">
        <w:rPr>
          <w:rFonts w:ascii="Arial Narrow" w:hAnsi="Arial Narrow"/>
          <w:snapToGrid/>
          <w:sz w:val="18"/>
          <w:szCs w:val="18"/>
          <w:vertAlign w:val="superscript"/>
        </w:rPr>
        <w:t>a</w:t>
      </w:r>
      <w:r w:rsidRPr="00913156">
        <w:rPr>
          <w:rFonts w:ascii="Arial Narrow" w:hAnsi="Arial Narrow"/>
          <w:snapToGrid/>
          <w:sz w:val="18"/>
          <w:szCs w:val="18"/>
          <w:vertAlign w:val="superscript"/>
        </w:rPr>
        <w:tab/>
      </w:r>
      <w:r w:rsidRPr="00913156">
        <w:rPr>
          <w:rFonts w:ascii="Arial Narrow" w:hAnsi="Arial Narrow"/>
          <w:snapToGrid/>
          <w:sz w:val="18"/>
          <w:szCs w:val="18"/>
        </w:rPr>
        <w:t>CR-100 responders at wk8 following induction with either 130mg, weight-based dose or placebo at wk0 (UNITI-1 or UNITI-2)</w:t>
      </w:r>
      <w:bookmarkEnd w:id="17"/>
    </w:p>
    <w:p w:rsidR="00727CAA" w:rsidRPr="00913156" w:rsidRDefault="00727CAA" w:rsidP="0026236C">
      <w:pPr>
        <w:ind w:left="709"/>
        <w:rPr>
          <w:rFonts w:ascii="Arial Narrow" w:hAnsi="Arial Narrow"/>
          <w:snapToGrid/>
          <w:sz w:val="18"/>
          <w:szCs w:val="18"/>
        </w:rPr>
      </w:pPr>
      <w:bookmarkStart w:id="18" w:name="_Toc471759018"/>
      <w:r w:rsidRPr="00913156">
        <w:rPr>
          <w:rFonts w:ascii="Arial Narrow" w:hAnsi="Arial Narrow"/>
          <w:snapToGrid/>
          <w:sz w:val="18"/>
          <w:szCs w:val="18"/>
          <w:vertAlign w:val="superscript"/>
        </w:rPr>
        <w:t>b</w:t>
      </w:r>
      <w:r w:rsidRPr="00913156">
        <w:rPr>
          <w:rFonts w:ascii="Arial Narrow" w:hAnsi="Arial Narrow"/>
          <w:snapToGrid/>
          <w:sz w:val="18"/>
          <w:szCs w:val="18"/>
        </w:rPr>
        <w:tab/>
        <w:t>CDAI&lt;150 ‘remission’ at wk 4 and wk8 following induction with either 160/80mg, 80/40mg, 40/20mg or placebo at wk0 and wk2 (in CLASSIC-I) then 40mg at wk4 and wk6 (OL phase in CLASSIC-II)</w:t>
      </w:r>
      <w:bookmarkEnd w:id="18"/>
    </w:p>
    <w:p w:rsidR="00727CAA" w:rsidRPr="00913156" w:rsidRDefault="00727CAA" w:rsidP="0026236C">
      <w:pPr>
        <w:ind w:left="709"/>
        <w:rPr>
          <w:rFonts w:ascii="Arial Narrow" w:hAnsi="Arial Narrow"/>
          <w:snapToGrid/>
          <w:sz w:val="18"/>
          <w:szCs w:val="18"/>
        </w:rPr>
      </w:pPr>
      <w:bookmarkStart w:id="19" w:name="_Toc471759019"/>
      <w:r w:rsidRPr="00913156">
        <w:rPr>
          <w:rFonts w:ascii="Arial Narrow" w:hAnsi="Arial Narrow"/>
          <w:snapToGrid/>
          <w:sz w:val="18"/>
          <w:szCs w:val="18"/>
          <w:vertAlign w:val="superscript"/>
        </w:rPr>
        <w:t>c</w:t>
      </w:r>
      <w:r w:rsidRPr="00913156">
        <w:rPr>
          <w:rFonts w:ascii="Arial Narrow" w:hAnsi="Arial Narrow"/>
          <w:snapToGrid/>
          <w:sz w:val="18"/>
          <w:szCs w:val="18"/>
        </w:rPr>
        <w:tab/>
        <w:t>CR-70 responders at wk4 following induction with 80/40mg at wk0 and wk2</w:t>
      </w:r>
      <w:bookmarkEnd w:id="19"/>
    </w:p>
    <w:p w:rsidR="00727CAA" w:rsidRPr="00913156" w:rsidRDefault="00727CAA" w:rsidP="0026236C">
      <w:pPr>
        <w:ind w:left="709"/>
        <w:rPr>
          <w:rFonts w:ascii="Arial Narrow" w:hAnsi="Arial Narrow"/>
          <w:snapToGrid/>
          <w:sz w:val="18"/>
          <w:szCs w:val="18"/>
        </w:rPr>
      </w:pPr>
      <w:bookmarkStart w:id="20" w:name="_Toc471759020"/>
      <w:r w:rsidRPr="00913156">
        <w:rPr>
          <w:rFonts w:ascii="Arial Narrow" w:hAnsi="Arial Narrow"/>
          <w:snapToGrid/>
          <w:sz w:val="18"/>
          <w:szCs w:val="18"/>
          <w:vertAlign w:val="superscript"/>
        </w:rPr>
        <w:t>d</w:t>
      </w:r>
      <w:r w:rsidRPr="00913156">
        <w:rPr>
          <w:rFonts w:ascii="Arial Narrow" w:hAnsi="Arial Narrow"/>
          <w:snapToGrid/>
          <w:sz w:val="18"/>
          <w:szCs w:val="18"/>
        </w:rPr>
        <w:tab/>
        <w:t>CR-70 responders at wk4 following induction with either 160/80mg, 80/40mg or placebo at wk0 and wk2.</w:t>
      </w:r>
      <w:bookmarkEnd w:id="20"/>
    </w:p>
    <w:p w:rsidR="00727CAA" w:rsidRPr="00913156" w:rsidRDefault="00727CAA" w:rsidP="0026236C">
      <w:pPr>
        <w:ind w:left="709"/>
        <w:rPr>
          <w:rFonts w:ascii="Arial Narrow" w:hAnsi="Arial Narrow"/>
          <w:snapToGrid/>
          <w:sz w:val="18"/>
          <w:szCs w:val="18"/>
        </w:rPr>
      </w:pPr>
      <w:bookmarkStart w:id="21" w:name="_Toc471759021"/>
      <w:r w:rsidRPr="00913156">
        <w:rPr>
          <w:rFonts w:ascii="Arial Narrow" w:hAnsi="Arial Narrow"/>
          <w:snapToGrid/>
          <w:sz w:val="18"/>
          <w:szCs w:val="18"/>
          <w:vertAlign w:val="superscript"/>
        </w:rPr>
        <w:t>e</w:t>
      </w:r>
      <w:r w:rsidRPr="00913156">
        <w:rPr>
          <w:rFonts w:ascii="Arial Narrow" w:hAnsi="Arial Narrow"/>
          <w:snapToGrid/>
          <w:sz w:val="18"/>
          <w:szCs w:val="18"/>
        </w:rPr>
        <w:tab/>
        <w:t>CR-70 responders at wk2 following induction with 5mg/kg at wk0</w:t>
      </w:r>
      <w:bookmarkEnd w:id="21"/>
    </w:p>
    <w:p w:rsidR="00727CAA" w:rsidRPr="00913156" w:rsidRDefault="00727CAA" w:rsidP="0026236C">
      <w:pPr>
        <w:ind w:left="709"/>
        <w:rPr>
          <w:rFonts w:ascii="Arial Narrow" w:hAnsi="Arial Narrow"/>
          <w:snapToGrid/>
          <w:sz w:val="18"/>
          <w:szCs w:val="18"/>
        </w:rPr>
      </w:pPr>
      <w:bookmarkStart w:id="22" w:name="_Toc471759022"/>
      <w:r w:rsidRPr="00913156">
        <w:rPr>
          <w:rFonts w:ascii="Arial Narrow" w:hAnsi="Arial Narrow"/>
          <w:snapToGrid/>
          <w:sz w:val="18"/>
          <w:szCs w:val="18"/>
          <w:vertAlign w:val="superscript"/>
        </w:rPr>
        <w:t>f</w:t>
      </w:r>
      <w:r w:rsidRPr="00913156">
        <w:rPr>
          <w:rFonts w:ascii="Arial Narrow" w:hAnsi="Arial Narrow"/>
          <w:snapToGrid/>
          <w:sz w:val="18"/>
          <w:szCs w:val="18"/>
        </w:rPr>
        <w:tab/>
        <w:t>CR-70 responders at wk6 following induction with 300mg at wk0 and wk2</w:t>
      </w:r>
      <w:bookmarkEnd w:id="22"/>
    </w:p>
    <w:p w:rsidR="00727CAA" w:rsidRPr="00913156" w:rsidRDefault="00727CAA" w:rsidP="0026236C">
      <w:pPr>
        <w:ind w:left="709"/>
        <w:rPr>
          <w:rFonts w:ascii="Arial Narrow" w:hAnsi="Arial Narrow"/>
          <w:snapToGrid/>
        </w:rPr>
      </w:pPr>
      <w:bookmarkStart w:id="23" w:name="_Toc471759023"/>
      <w:r w:rsidRPr="00913156">
        <w:rPr>
          <w:rFonts w:ascii="Arial Narrow" w:hAnsi="Arial Narrow"/>
          <w:snapToGrid/>
          <w:sz w:val="18"/>
          <w:szCs w:val="18"/>
        </w:rPr>
        <w:t>Source: constructed during the evaluation from sources presented in the submission and published trials of infliximab and vedolizumab in CD.</w:t>
      </w:r>
      <w:bookmarkEnd w:id="23"/>
    </w:p>
    <w:p w:rsidR="00727CAA" w:rsidRDefault="00727CAA" w:rsidP="00C51274">
      <w:pPr>
        <w:rPr>
          <w:snapToGrid/>
        </w:rPr>
      </w:pPr>
    </w:p>
    <w:p w:rsidR="00727CAA" w:rsidRDefault="00A25FE2" w:rsidP="00506A87">
      <w:pPr>
        <w:pStyle w:val="ListParagraph"/>
        <w:widowControl/>
        <w:numPr>
          <w:ilvl w:val="1"/>
          <w:numId w:val="1"/>
        </w:numPr>
        <w:rPr>
          <w:szCs w:val="22"/>
        </w:rPr>
      </w:pPr>
      <w:r w:rsidRPr="00F34558">
        <w:rPr>
          <w:szCs w:val="22"/>
        </w:rPr>
        <w:t>A discussion of these results is</w:t>
      </w:r>
      <w:r w:rsidR="00727CAA" w:rsidRPr="00F34558">
        <w:rPr>
          <w:szCs w:val="22"/>
        </w:rPr>
        <w:t xml:space="preserve"> presented under </w:t>
      </w:r>
      <w:r w:rsidR="00727CAA">
        <w:rPr>
          <w:szCs w:val="22"/>
        </w:rPr>
        <w:t>“</w:t>
      </w:r>
      <w:r w:rsidR="00727CAA" w:rsidRPr="00F34558">
        <w:rPr>
          <w:szCs w:val="22"/>
        </w:rPr>
        <w:t xml:space="preserve">Clinical </w:t>
      </w:r>
      <w:r w:rsidR="007555AF">
        <w:rPr>
          <w:szCs w:val="22"/>
        </w:rPr>
        <w:t>c</w:t>
      </w:r>
      <w:r w:rsidR="00727CAA" w:rsidRPr="00F34558">
        <w:rPr>
          <w:szCs w:val="22"/>
        </w:rPr>
        <w:t>laim</w:t>
      </w:r>
      <w:r w:rsidR="00727CAA">
        <w:rPr>
          <w:szCs w:val="22"/>
        </w:rPr>
        <w:t>”.</w:t>
      </w:r>
    </w:p>
    <w:p w:rsidR="00C51274" w:rsidRPr="00F34558" w:rsidRDefault="00C51274" w:rsidP="00C51274">
      <w:pPr>
        <w:pStyle w:val="ListParagraph"/>
        <w:widowControl/>
        <w:rPr>
          <w:szCs w:val="22"/>
        </w:rPr>
      </w:pPr>
    </w:p>
    <w:p w:rsidR="00727CAA" w:rsidRDefault="00727CAA" w:rsidP="00C51274">
      <w:pPr>
        <w:pStyle w:val="Heading3"/>
      </w:pPr>
      <w:r w:rsidRPr="00414040">
        <w:t>Fistulising CD</w:t>
      </w:r>
    </w:p>
    <w:p w:rsidR="00AF4140" w:rsidRPr="00AF4140" w:rsidRDefault="00AF4140" w:rsidP="00AF4140"/>
    <w:p w:rsidR="00727CAA" w:rsidRPr="00C51274" w:rsidRDefault="00727CAA" w:rsidP="00506A87">
      <w:pPr>
        <w:pStyle w:val="ListParagraph"/>
        <w:widowControl/>
        <w:numPr>
          <w:ilvl w:val="1"/>
          <w:numId w:val="1"/>
        </w:numPr>
        <w:rPr>
          <w:szCs w:val="22"/>
        </w:rPr>
      </w:pPr>
      <w:r w:rsidRPr="00C51274">
        <w:rPr>
          <w:szCs w:val="22"/>
        </w:rPr>
        <w:t xml:space="preserve">The results of fistula </w:t>
      </w:r>
      <w:r w:rsidR="00AF4140" w:rsidRPr="00C51274">
        <w:rPr>
          <w:szCs w:val="22"/>
        </w:rPr>
        <w:t xml:space="preserve">outcomes </w:t>
      </w:r>
      <w:r w:rsidRPr="00C51274">
        <w:rPr>
          <w:szCs w:val="22"/>
        </w:rPr>
        <w:t xml:space="preserve">in the </w:t>
      </w:r>
      <w:r w:rsidR="009F102A" w:rsidRPr="00C51274">
        <w:rPr>
          <w:szCs w:val="22"/>
        </w:rPr>
        <w:t>UST</w:t>
      </w:r>
      <w:r w:rsidRPr="00C51274">
        <w:rPr>
          <w:szCs w:val="22"/>
        </w:rPr>
        <w:t xml:space="preserve">, </w:t>
      </w:r>
      <w:r w:rsidR="0029256D" w:rsidRPr="00C51274">
        <w:rPr>
          <w:szCs w:val="22"/>
        </w:rPr>
        <w:t>ADA</w:t>
      </w:r>
      <w:r w:rsidRPr="00C51274">
        <w:rPr>
          <w:szCs w:val="22"/>
        </w:rPr>
        <w:t xml:space="preserve"> and </w:t>
      </w:r>
      <w:r w:rsidR="009F102A" w:rsidRPr="00C51274">
        <w:rPr>
          <w:szCs w:val="22"/>
        </w:rPr>
        <w:t>IFX</w:t>
      </w:r>
      <w:r w:rsidRPr="00C51274">
        <w:rPr>
          <w:szCs w:val="22"/>
        </w:rPr>
        <w:t xml:space="preserve"> trials are summarised in Tables 6 and 7 below for induction and m</w:t>
      </w:r>
      <w:r w:rsidR="00093CF0">
        <w:rPr>
          <w:szCs w:val="22"/>
        </w:rPr>
        <w:t xml:space="preserve">aintenance respectively. </w:t>
      </w:r>
      <w:r w:rsidRPr="00C51274">
        <w:rPr>
          <w:szCs w:val="22"/>
        </w:rPr>
        <w:t xml:space="preserve">Treatment effect estimates between active treatment and placebo were </w:t>
      </w:r>
      <w:r w:rsidR="00972B95" w:rsidRPr="00C51274">
        <w:rPr>
          <w:szCs w:val="22"/>
        </w:rPr>
        <w:t>conducted during the evaluation, however due to differences in outcome definition no indirect comparisons were able to be conducted.</w:t>
      </w:r>
    </w:p>
    <w:p w:rsidR="00972B95" w:rsidRPr="00C51274" w:rsidRDefault="00972B95" w:rsidP="00972B95">
      <w:pPr>
        <w:pStyle w:val="ListParagraph"/>
        <w:widowControl/>
        <w:rPr>
          <w:szCs w:val="22"/>
        </w:rPr>
      </w:pPr>
    </w:p>
    <w:p w:rsidR="003F3A30" w:rsidRPr="00C51274" w:rsidRDefault="003F3A30">
      <w:pPr>
        <w:widowControl/>
        <w:jc w:val="left"/>
        <w:rPr>
          <w:rFonts w:ascii="Arial Narrow" w:hAnsi="Arial Narrow"/>
          <w:b/>
          <w:sz w:val="20"/>
        </w:rPr>
      </w:pPr>
      <w:r w:rsidRPr="00C51274">
        <w:rPr>
          <w:rFonts w:ascii="Arial Narrow" w:hAnsi="Arial Narrow"/>
          <w:b/>
          <w:sz w:val="20"/>
        </w:rPr>
        <w:br w:type="page"/>
      </w:r>
    </w:p>
    <w:p w:rsidR="00972B95" w:rsidRPr="00D27811" w:rsidRDefault="00727CAA" w:rsidP="00A7502B">
      <w:pPr>
        <w:pStyle w:val="ListParagraph"/>
        <w:ind w:left="709"/>
        <w:rPr>
          <w:rFonts w:ascii="Arial Narrow" w:hAnsi="Arial Narrow"/>
          <w:b/>
          <w:snapToGrid/>
          <w:sz w:val="20"/>
          <w:szCs w:val="16"/>
        </w:rPr>
      </w:pPr>
      <w:r w:rsidRPr="00A43F76">
        <w:rPr>
          <w:rFonts w:ascii="Arial Narrow" w:hAnsi="Arial Narrow"/>
          <w:b/>
          <w:sz w:val="20"/>
        </w:rPr>
        <w:t>Table</w:t>
      </w:r>
      <w:r>
        <w:rPr>
          <w:rFonts w:ascii="Arial Narrow" w:hAnsi="Arial Narrow"/>
          <w:b/>
          <w:sz w:val="20"/>
        </w:rPr>
        <w:t xml:space="preserve"> 6</w:t>
      </w:r>
      <w:r w:rsidRPr="00A43F76">
        <w:rPr>
          <w:rFonts w:ascii="Arial Narrow" w:hAnsi="Arial Narrow"/>
          <w:b/>
          <w:sz w:val="20"/>
        </w:rPr>
        <w:t>: Results of fistula response for ustekinumab, adalimumab and infliximab- induction trials</w:t>
      </w:r>
    </w:p>
    <w:tbl>
      <w:tblPr>
        <w:tblpPr w:leftFromText="180" w:rightFromText="180" w:vertAnchor="text" w:tblpX="704" w:tblpY="1"/>
        <w:tblOverlap w:val="never"/>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4"/>
        <w:gridCol w:w="1285"/>
        <w:gridCol w:w="1427"/>
        <w:gridCol w:w="1571"/>
        <w:gridCol w:w="1571"/>
        <w:gridCol w:w="1573"/>
      </w:tblGrid>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rPr>
            </w:pPr>
            <w:r w:rsidRPr="00913156">
              <w:rPr>
                <w:rFonts w:ascii="Arial Narrow" w:hAnsi="Arial Narrow"/>
                <w:b/>
                <w:snapToGrid/>
                <w:sz w:val="18"/>
                <w:szCs w:val="18"/>
              </w:rPr>
              <w:t>Trial ID</w:t>
            </w:r>
          </w:p>
        </w:tc>
        <w:tc>
          <w:tcPr>
            <w:tcW w:w="763" w:type="pct"/>
            <w:vAlign w:val="center"/>
          </w:tcPr>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 xml:space="preserve">Drug </w:t>
            </w:r>
          </w:p>
          <w:p w:rsidR="00972B95" w:rsidRPr="00913156" w:rsidRDefault="00972B95" w:rsidP="00972B95">
            <w:pPr>
              <w:jc w:val="center"/>
              <w:rPr>
                <w:rFonts w:ascii="Arial Narrow" w:hAnsi="Arial Narrow"/>
                <w:snapToGrid/>
                <w:sz w:val="18"/>
                <w:szCs w:val="18"/>
              </w:rPr>
            </w:pPr>
            <w:r w:rsidRPr="00913156">
              <w:rPr>
                <w:rFonts w:ascii="Arial Narrow" w:hAnsi="Arial Narrow"/>
                <w:b/>
                <w:snapToGrid/>
                <w:sz w:val="18"/>
                <w:szCs w:val="18"/>
              </w:rPr>
              <w:t xml:space="preserve">n/N (%) </w:t>
            </w:r>
          </w:p>
        </w:tc>
        <w:tc>
          <w:tcPr>
            <w:tcW w:w="847" w:type="pct"/>
            <w:vAlign w:val="center"/>
          </w:tcPr>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 xml:space="preserve">Placebo </w:t>
            </w:r>
          </w:p>
          <w:p w:rsidR="00972B95" w:rsidRPr="00913156" w:rsidRDefault="00972B95" w:rsidP="00972B95">
            <w:pPr>
              <w:jc w:val="center"/>
              <w:rPr>
                <w:rFonts w:ascii="Arial Narrow" w:hAnsi="Arial Narrow"/>
                <w:snapToGrid/>
                <w:sz w:val="18"/>
                <w:szCs w:val="18"/>
                <w:highlight w:val="yellow"/>
              </w:rPr>
            </w:pPr>
            <w:r w:rsidRPr="00913156">
              <w:rPr>
                <w:rFonts w:ascii="Arial Narrow" w:hAnsi="Arial Narrow"/>
                <w:b/>
                <w:snapToGrid/>
                <w:sz w:val="18"/>
                <w:szCs w:val="18"/>
              </w:rPr>
              <w:t>n/N (%)</w:t>
            </w:r>
          </w:p>
        </w:tc>
        <w:tc>
          <w:tcPr>
            <w:tcW w:w="933" w:type="pct"/>
            <w:vAlign w:val="center"/>
          </w:tcPr>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RD</w:t>
            </w:r>
          </w:p>
          <w:p w:rsidR="00972B95" w:rsidRPr="00913156" w:rsidRDefault="00972B95" w:rsidP="00972B95">
            <w:pPr>
              <w:jc w:val="center"/>
              <w:rPr>
                <w:rFonts w:ascii="Arial Narrow" w:hAnsi="Arial Narrow"/>
                <w:b/>
                <w:iCs/>
                <w:snapToGrid/>
                <w:sz w:val="18"/>
                <w:szCs w:val="18"/>
              </w:rPr>
            </w:pPr>
            <w:r w:rsidRPr="00913156">
              <w:rPr>
                <w:rFonts w:ascii="Arial Narrow" w:hAnsi="Arial Narrow"/>
                <w:b/>
                <w:snapToGrid/>
                <w:sz w:val="18"/>
                <w:szCs w:val="18"/>
              </w:rPr>
              <w:t>(95% CI)</w:t>
            </w:r>
          </w:p>
        </w:tc>
        <w:tc>
          <w:tcPr>
            <w:tcW w:w="933" w:type="pct"/>
            <w:vAlign w:val="center"/>
          </w:tcPr>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 xml:space="preserve">RR </w:t>
            </w:r>
          </w:p>
          <w:p w:rsidR="00972B95" w:rsidRPr="00913156" w:rsidRDefault="00972B95" w:rsidP="00972B95">
            <w:pPr>
              <w:jc w:val="center"/>
              <w:rPr>
                <w:rFonts w:ascii="Arial Narrow" w:hAnsi="Arial Narrow"/>
                <w:b/>
                <w:iCs/>
                <w:snapToGrid/>
                <w:sz w:val="18"/>
                <w:szCs w:val="18"/>
              </w:rPr>
            </w:pPr>
            <w:r w:rsidRPr="00913156">
              <w:rPr>
                <w:rFonts w:ascii="Arial Narrow" w:hAnsi="Arial Narrow"/>
                <w:b/>
                <w:snapToGrid/>
                <w:sz w:val="18"/>
                <w:szCs w:val="18"/>
              </w:rPr>
              <w:t>(95% CI)</w:t>
            </w:r>
          </w:p>
        </w:tc>
        <w:tc>
          <w:tcPr>
            <w:tcW w:w="934" w:type="pct"/>
            <w:vAlign w:val="center"/>
          </w:tcPr>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 xml:space="preserve">OR </w:t>
            </w:r>
          </w:p>
          <w:p w:rsidR="00972B95" w:rsidRPr="00913156" w:rsidRDefault="00972B95" w:rsidP="00972B95">
            <w:pPr>
              <w:jc w:val="center"/>
              <w:rPr>
                <w:rFonts w:ascii="Arial Narrow" w:hAnsi="Arial Narrow"/>
                <w:b/>
                <w:snapToGrid/>
                <w:sz w:val="18"/>
                <w:szCs w:val="18"/>
              </w:rPr>
            </w:pPr>
            <w:r w:rsidRPr="00913156">
              <w:rPr>
                <w:rFonts w:ascii="Arial Narrow" w:hAnsi="Arial Narrow"/>
                <w:b/>
                <w:snapToGrid/>
                <w:sz w:val="18"/>
                <w:szCs w:val="18"/>
              </w:rPr>
              <w:t>(95% CI)</w:t>
            </w:r>
          </w:p>
        </w:tc>
      </w:tr>
      <w:tr w:rsidR="00972B95" w:rsidRPr="00913156" w:rsidTr="00972B95">
        <w:tc>
          <w:tcPr>
            <w:tcW w:w="5000" w:type="pct"/>
            <w:gridSpan w:val="6"/>
            <w:vAlign w:val="center"/>
          </w:tcPr>
          <w:p w:rsidR="00972B95" w:rsidRPr="00913156" w:rsidRDefault="00972B95" w:rsidP="00972B95">
            <w:pPr>
              <w:jc w:val="left"/>
              <w:rPr>
                <w:rFonts w:ascii="Arial Narrow" w:hAnsi="Arial Narrow"/>
                <w:b/>
                <w:snapToGrid/>
                <w:sz w:val="18"/>
                <w:szCs w:val="18"/>
              </w:rPr>
            </w:pPr>
            <w:r w:rsidRPr="00913156">
              <w:rPr>
                <w:rFonts w:ascii="Arial Narrow" w:hAnsi="Arial Narrow"/>
                <w:b/>
                <w:snapToGrid/>
                <w:sz w:val="18"/>
                <w:szCs w:val="18"/>
              </w:rPr>
              <w:t>Ustekinumab (fistula response: ≥50% reduction in fistulas) Wk 8</w:t>
            </w:r>
          </w:p>
        </w:tc>
      </w:tr>
      <w:tr w:rsidR="00972B95" w:rsidRPr="00913156" w:rsidTr="00972B95">
        <w:tc>
          <w:tcPr>
            <w:tcW w:w="590" w:type="pct"/>
            <w:vAlign w:val="center"/>
          </w:tcPr>
          <w:p w:rsidR="00972B95" w:rsidRPr="00CA59E8" w:rsidRDefault="00CA59E8" w:rsidP="00972B95">
            <w:pPr>
              <w:jc w:val="left"/>
              <w:rPr>
                <w:rFonts w:ascii="Arial Narrow" w:hAnsi="Arial Narrow"/>
                <w:snapToGrid/>
                <w:sz w:val="18"/>
                <w:szCs w:val="18"/>
                <w:highlight w:val="black"/>
                <w:vertAlign w:val="subscript"/>
              </w:rPr>
            </w:pPr>
            <w:r>
              <w:rPr>
                <w:rFonts w:ascii="Arial Narrow" w:hAnsi="Arial Narrow"/>
                <w:noProof/>
                <w:snapToGrid/>
                <w:color w:val="000000"/>
                <w:sz w:val="18"/>
                <w:szCs w:val="18"/>
                <w:highlight w:val="black"/>
              </w:rPr>
              <w:t>''''''''''''''''''</w:t>
            </w:r>
          </w:p>
        </w:tc>
        <w:tc>
          <w:tcPr>
            <w:tcW w:w="763" w:type="pct"/>
            <w:vAlign w:val="center"/>
          </w:tcPr>
          <w:p w:rsidR="00972B95" w:rsidRPr="00913156" w:rsidRDefault="00CA59E8" w:rsidP="00972B95">
            <w:pPr>
              <w:jc w:val="center"/>
              <w:rPr>
                <w:rFonts w:ascii="Arial Narrow" w:hAnsi="Arial Narrow"/>
                <w:snapToGrid/>
                <w:sz w:val="18"/>
                <w:szCs w:val="18"/>
              </w:rPr>
            </w:pP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 xml:space="preserve"> (</w:t>
            </w: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w:t>
            </w:r>
          </w:p>
        </w:tc>
        <w:tc>
          <w:tcPr>
            <w:tcW w:w="847" w:type="pct"/>
            <w:vAlign w:val="center"/>
          </w:tcPr>
          <w:p w:rsidR="00972B95" w:rsidRPr="00913156" w:rsidRDefault="00CA59E8" w:rsidP="00972B95">
            <w:pPr>
              <w:jc w:val="center"/>
              <w:rPr>
                <w:rFonts w:ascii="Arial Narrow" w:hAnsi="Arial Narrow"/>
                <w:snapToGrid/>
                <w:sz w:val="18"/>
                <w:szCs w:val="18"/>
              </w:rPr>
            </w:pPr>
            <w:r>
              <w:rPr>
                <w:rFonts w:ascii="Arial Narrow" w:hAnsi="Arial Narrow"/>
                <w:noProof/>
                <w:snapToGrid/>
                <w:color w:val="000000"/>
                <w:sz w:val="18"/>
                <w:szCs w:val="18"/>
                <w:highlight w:val="black"/>
              </w:rPr>
              <w:t xml:space="preserve">'''''''''' </w:t>
            </w:r>
            <w:r w:rsidR="00972B95" w:rsidRPr="00913156">
              <w:rPr>
                <w:rFonts w:ascii="Arial Narrow" w:hAnsi="Arial Narrow"/>
                <w:snapToGrid/>
                <w:sz w:val="18"/>
                <w:szCs w:val="18"/>
              </w:rPr>
              <w:t>(</w:t>
            </w: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w:t>
            </w:r>
          </w:p>
        </w:tc>
        <w:tc>
          <w:tcPr>
            <w:tcW w:w="933" w:type="pct"/>
            <w:vAlign w:val="center"/>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 xml:space="preserve">'''''''''' </w:t>
            </w:r>
            <w:r w:rsidR="00972B95" w:rsidRPr="00481BC0">
              <w:rPr>
                <w:rFonts w:ascii="Arial Narrow" w:hAnsi="Arial Narrow"/>
                <w:bCs/>
                <w:snapToGrid/>
                <w:sz w:val="18"/>
                <w:szCs w:val="18"/>
              </w:rPr>
              <w:t>(</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c>
          <w:tcPr>
            <w:tcW w:w="933" w:type="pct"/>
            <w:vAlign w:val="center"/>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c>
          <w:tcPr>
            <w:tcW w:w="934" w:type="pct"/>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r>
      <w:tr w:rsidR="00972B95" w:rsidRPr="00913156" w:rsidTr="00972B95">
        <w:tc>
          <w:tcPr>
            <w:tcW w:w="590" w:type="pct"/>
            <w:vAlign w:val="center"/>
          </w:tcPr>
          <w:p w:rsidR="00972B95" w:rsidRPr="00CA59E8" w:rsidRDefault="00CA59E8" w:rsidP="00972B95">
            <w:pPr>
              <w:jc w:val="left"/>
              <w:rPr>
                <w:rFonts w:ascii="Arial Narrow" w:hAnsi="Arial Narrow"/>
                <w:snapToGrid/>
                <w:sz w:val="18"/>
                <w:szCs w:val="18"/>
                <w:highlight w:val="black"/>
              </w:rPr>
            </w:pPr>
            <w:r>
              <w:rPr>
                <w:rFonts w:ascii="Arial Narrow" w:hAnsi="Arial Narrow"/>
                <w:noProof/>
                <w:snapToGrid/>
                <w:color w:val="000000"/>
                <w:sz w:val="18"/>
                <w:szCs w:val="18"/>
                <w:highlight w:val="black"/>
              </w:rPr>
              <w:t>'''''''''''''''''</w:t>
            </w:r>
          </w:p>
        </w:tc>
        <w:tc>
          <w:tcPr>
            <w:tcW w:w="763" w:type="pct"/>
            <w:vAlign w:val="center"/>
          </w:tcPr>
          <w:p w:rsidR="00972B95" w:rsidRPr="00913156" w:rsidRDefault="00CA59E8" w:rsidP="00972B95">
            <w:pPr>
              <w:jc w:val="center"/>
              <w:rPr>
                <w:rFonts w:ascii="Arial Narrow" w:hAnsi="Arial Narrow"/>
                <w:snapToGrid/>
                <w:sz w:val="18"/>
                <w:szCs w:val="18"/>
              </w:rPr>
            </w:pP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 xml:space="preserve"> (</w:t>
            </w: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w:t>
            </w:r>
          </w:p>
        </w:tc>
        <w:tc>
          <w:tcPr>
            <w:tcW w:w="847" w:type="pct"/>
            <w:vAlign w:val="center"/>
          </w:tcPr>
          <w:p w:rsidR="00972B95" w:rsidRPr="00913156" w:rsidRDefault="00CA59E8" w:rsidP="00972B95">
            <w:pPr>
              <w:jc w:val="center"/>
              <w:rPr>
                <w:rFonts w:ascii="Arial Narrow" w:hAnsi="Arial Narrow"/>
                <w:snapToGrid/>
                <w:sz w:val="18"/>
                <w:szCs w:val="18"/>
              </w:rPr>
            </w:pPr>
            <w:r>
              <w:rPr>
                <w:rFonts w:ascii="Arial Narrow" w:hAnsi="Arial Narrow"/>
                <w:noProof/>
                <w:snapToGrid/>
                <w:color w:val="000000"/>
                <w:sz w:val="18"/>
                <w:szCs w:val="18"/>
                <w:highlight w:val="black"/>
              </w:rPr>
              <w:t xml:space="preserve">'''''''''' </w:t>
            </w:r>
            <w:r w:rsidR="00972B95" w:rsidRPr="00913156">
              <w:rPr>
                <w:rFonts w:ascii="Arial Narrow" w:hAnsi="Arial Narrow"/>
                <w:snapToGrid/>
                <w:sz w:val="18"/>
                <w:szCs w:val="18"/>
              </w:rPr>
              <w:t>(</w:t>
            </w:r>
            <w:r>
              <w:rPr>
                <w:rFonts w:ascii="Arial Narrow" w:hAnsi="Arial Narrow"/>
                <w:noProof/>
                <w:snapToGrid/>
                <w:color w:val="000000"/>
                <w:sz w:val="18"/>
                <w:szCs w:val="18"/>
                <w:highlight w:val="black"/>
              </w:rPr>
              <w:t>''''''''''</w:t>
            </w:r>
            <w:r w:rsidR="00972B95" w:rsidRPr="00913156">
              <w:rPr>
                <w:rFonts w:ascii="Arial Narrow" w:hAnsi="Arial Narrow"/>
                <w:snapToGrid/>
                <w:sz w:val="18"/>
                <w:szCs w:val="18"/>
              </w:rPr>
              <w:t>)</w:t>
            </w:r>
          </w:p>
        </w:tc>
        <w:tc>
          <w:tcPr>
            <w:tcW w:w="933" w:type="pct"/>
            <w:vAlign w:val="center"/>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 xml:space="preserve">''''''''''' </w:t>
            </w:r>
            <w:r w:rsidR="00972B95" w:rsidRPr="00913156">
              <w:rPr>
                <w:rFonts w:ascii="Arial Narrow" w:hAnsi="Arial Narrow"/>
                <w:bCs/>
                <w:snapToGrid/>
                <w:sz w:val="18"/>
                <w:szCs w:val="18"/>
              </w:rPr>
              <w:t>(</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c>
          <w:tcPr>
            <w:tcW w:w="933" w:type="pct"/>
            <w:vAlign w:val="center"/>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c>
          <w:tcPr>
            <w:tcW w:w="934" w:type="pct"/>
          </w:tcPr>
          <w:p w:rsidR="00972B95" w:rsidRPr="00913156" w:rsidRDefault="00CA59E8" w:rsidP="00972B95">
            <w:pPr>
              <w:jc w:val="center"/>
              <w:rPr>
                <w:rFonts w:ascii="Arial Narrow" w:hAnsi="Arial Narrow"/>
                <w:bCs/>
                <w:snapToGrid/>
                <w:sz w:val="18"/>
                <w:szCs w:val="18"/>
              </w:rPr>
            </w:pP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 xml:space="preserve">, </w:t>
            </w:r>
            <w:r>
              <w:rPr>
                <w:rFonts w:ascii="Arial Narrow" w:hAnsi="Arial Narrow"/>
                <w:bCs/>
                <w:noProof/>
                <w:snapToGrid/>
                <w:color w:val="000000"/>
                <w:sz w:val="18"/>
                <w:szCs w:val="18"/>
                <w:highlight w:val="black"/>
              </w:rPr>
              <w:t>'''''''''''''</w:t>
            </w:r>
            <w:r w:rsidR="00972B95" w:rsidRPr="00913156">
              <w:rPr>
                <w:rFonts w:ascii="Arial Narrow" w:hAnsi="Arial Narrow"/>
                <w:bCs/>
                <w:snapToGrid/>
                <w:sz w:val="18"/>
                <w:szCs w:val="18"/>
              </w:rPr>
              <w:t>)</w:t>
            </w:r>
          </w:p>
        </w:tc>
      </w:tr>
      <w:tr w:rsidR="00972B95" w:rsidRPr="00913156" w:rsidTr="00972B95">
        <w:tc>
          <w:tcPr>
            <w:tcW w:w="5000" w:type="pct"/>
            <w:gridSpan w:val="6"/>
            <w:vAlign w:val="center"/>
          </w:tcPr>
          <w:p w:rsidR="00972B95" w:rsidRPr="00913156" w:rsidRDefault="00972B95" w:rsidP="00972B95">
            <w:pPr>
              <w:jc w:val="left"/>
              <w:rPr>
                <w:rFonts w:ascii="Arial Narrow" w:hAnsi="Arial Narrow"/>
                <w:b/>
                <w:bCs/>
                <w:snapToGrid/>
                <w:sz w:val="18"/>
                <w:szCs w:val="18"/>
              </w:rPr>
            </w:pPr>
            <w:r w:rsidRPr="00913156">
              <w:rPr>
                <w:rFonts w:ascii="Arial Narrow" w:hAnsi="Arial Narrow"/>
                <w:b/>
                <w:snapToGrid/>
                <w:sz w:val="18"/>
                <w:szCs w:val="18"/>
              </w:rPr>
              <w:t>Adalimumab (fistula response: ≥50% reduction in fistulas at wk2 and 4) Wk 4</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rPr>
            </w:pPr>
            <w:r w:rsidRPr="00913156">
              <w:rPr>
                <w:rFonts w:ascii="Arial Narrow" w:hAnsi="Arial Narrow"/>
                <w:snapToGrid/>
                <w:sz w:val="18"/>
                <w:szCs w:val="18"/>
              </w:rPr>
              <w:t>CLASSIC I</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1/12 (8)</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2/6 (33)</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-0.25 (-0.65, 0.13)</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0.25 (0.04, 1.67)</w:t>
            </w:r>
          </w:p>
        </w:tc>
        <w:tc>
          <w:tcPr>
            <w:tcW w:w="934" w:type="pct"/>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lang w:val="fr-FR"/>
              </w:rPr>
              <w:t>0.18 (0.001, 4.88)</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rPr>
            </w:pPr>
            <w:r w:rsidRPr="00913156">
              <w:rPr>
                <w:rFonts w:ascii="Arial Narrow" w:hAnsi="Arial Narrow"/>
                <w:snapToGrid/>
                <w:sz w:val="18"/>
                <w:szCs w:val="18"/>
                <w:lang w:val="fr-FR"/>
              </w:rPr>
              <w:t>GAIN</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lang w:val="fr-FR"/>
              </w:rPr>
              <w:t>3/20 (15)</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lang w:val="fr-FR"/>
              </w:rPr>
              <w:t>5/25 (20)</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lang w:val="fr-FR"/>
              </w:rPr>
              <w:t>-0.05 (-0.28, 0.20)</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0.75 (0.21, 2.51)</w:t>
            </w:r>
          </w:p>
        </w:tc>
        <w:tc>
          <w:tcPr>
            <w:tcW w:w="934" w:type="pct"/>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0.71 (0.10, 4.30)</w:t>
            </w:r>
          </w:p>
        </w:tc>
      </w:tr>
      <w:tr w:rsidR="00972B95" w:rsidRPr="00913156" w:rsidTr="00972B95">
        <w:tc>
          <w:tcPr>
            <w:tcW w:w="5000" w:type="pct"/>
            <w:gridSpan w:val="6"/>
            <w:vAlign w:val="center"/>
          </w:tcPr>
          <w:p w:rsidR="00972B95" w:rsidRPr="00913156" w:rsidRDefault="00972B95" w:rsidP="00972B95">
            <w:pPr>
              <w:jc w:val="left"/>
              <w:rPr>
                <w:rFonts w:ascii="Arial Narrow" w:hAnsi="Arial Narrow"/>
                <w:b/>
                <w:bCs/>
                <w:snapToGrid/>
                <w:sz w:val="18"/>
                <w:szCs w:val="18"/>
              </w:rPr>
            </w:pPr>
            <w:r w:rsidRPr="00913156">
              <w:rPr>
                <w:rFonts w:ascii="Arial Narrow" w:hAnsi="Arial Narrow"/>
                <w:b/>
                <w:snapToGrid/>
                <w:sz w:val="18"/>
                <w:szCs w:val="18"/>
              </w:rPr>
              <w:t>Adalimumab (fistula remission: complete closure of fistulas) Wk 4</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rPr>
            </w:pPr>
            <w:r w:rsidRPr="00913156">
              <w:rPr>
                <w:rFonts w:ascii="Arial Narrow" w:hAnsi="Arial Narrow"/>
                <w:snapToGrid/>
                <w:sz w:val="18"/>
                <w:szCs w:val="18"/>
              </w:rPr>
              <w:t>CLASSIC I</w:t>
            </w:r>
          </w:p>
        </w:tc>
        <w:tc>
          <w:tcPr>
            <w:tcW w:w="763" w:type="pct"/>
            <w:vAlign w:val="center"/>
          </w:tcPr>
          <w:p w:rsidR="00972B95" w:rsidRPr="00913156" w:rsidRDefault="00972B95" w:rsidP="00972B95">
            <w:pPr>
              <w:jc w:val="center"/>
              <w:rPr>
                <w:rFonts w:ascii="Arial Narrow" w:hAnsi="Arial Narrow"/>
                <w:snapToGrid/>
                <w:sz w:val="18"/>
                <w:szCs w:val="18"/>
                <w:lang w:val="fr-FR"/>
              </w:rPr>
            </w:pPr>
            <w:r w:rsidRPr="00913156">
              <w:rPr>
                <w:rFonts w:ascii="Arial Narrow" w:hAnsi="Arial Narrow"/>
                <w:snapToGrid/>
                <w:sz w:val="18"/>
                <w:szCs w:val="18"/>
                <w:lang w:val="fr-FR"/>
              </w:rPr>
              <w:t>0/12 (0)</w:t>
            </w:r>
          </w:p>
        </w:tc>
        <w:tc>
          <w:tcPr>
            <w:tcW w:w="847" w:type="pct"/>
            <w:vAlign w:val="center"/>
          </w:tcPr>
          <w:p w:rsidR="00972B95" w:rsidRPr="00913156" w:rsidRDefault="00972B95" w:rsidP="00972B95">
            <w:pPr>
              <w:jc w:val="center"/>
              <w:rPr>
                <w:rFonts w:ascii="Arial Narrow" w:hAnsi="Arial Narrow"/>
                <w:snapToGrid/>
                <w:sz w:val="18"/>
                <w:szCs w:val="18"/>
                <w:lang w:val="fr-FR"/>
              </w:rPr>
            </w:pPr>
            <w:r w:rsidRPr="00913156">
              <w:rPr>
                <w:rFonts w:ascii="Arial Narrow" w:hAnsi="Arial Narrow"/>
                <w:snapToGrid/>
                <w:sz w:val="18"/>
                <w:szCs w:val="18"/>
                <w:lang w:val="fr-FR"/>
              </w:rPr>
              <w:t>1/6 (17)</w:t>
            </w:r>
          </w:p>
        </w:tc>
        <w:tc>
          <w:tcPr>
            <w:tcW w:w="933" w:type="pct"/>
            <w:vAlign w:val="center"/>
          </w:tcPr>
          <w:p w:rsidR="00972B95" w:rsidRPr="00913156" w:rsidRDefault="00972B95" w:rsidP="00972B95">
            <w:pPr>
              <w:jc w:val="center"/>
              <w:rPr>
                <w:rFonts w:ascii="Arial Narrow" w:hAnsi="Arial Narrow"/>
                <w:bCs/>
                <w:snapToGrid/>
                <w:sz w:val="18"/>
                <w:szCs w:val="18"/>
                <w:lang w:val="fr-FR"/>
              </w:rPr>
            </w:pPr>
            <w:r w:rsidRPr="00913156">
              <w:rPr>
                <w:rFonts w:ascii="Arial Narrow" w:hAnsi="Arial Narrow"/>
                <w:bCs/>
                <w:snapToGrid/>
                <w:sz w:val="18"/>
                <w:szCs w:val="18"/>
                <w:lang w:val="fr-FR"/>
              </w:rPr>
              <w:t>-0.17 (-0.57, 0.12)</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0.25 (0.00, 1.80)</w:t>
            </w:r>
          </w:p>
        </w:tc>
        <w:tc>
          <w:tcPr>
            <w:tcW w:w="934" w:type="pct"/>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0.21 (0.005, 42.37)</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rPr>
            </w:pPr>
            <w:r w:rsidRPr="00913156">
              <w:rPr>
                <w:rFonts w:ascii="Arial Narrow" w:hAnsi="Arial Narrow"/>
                <w:snapToGrid/>
                <w:sz w:val="18"/>
                <w:szCs w:val="18"/>
                <w:lang w:val="fr-FR"/>
              </w:rPr>
              <w:t>GAIN</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1/20 (5)</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2/25 (8)</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-0.03 (-0.21, 0.17)</w:t>
            </w:r>
          </w:p>
        </w:tc>
        <w:tc>
          <w:tcPr>
            <w:tcW w:w="933" w:type="pct"/>
            <w:vAlign w:val="center"/>
          </w:tcPr>
          <w:p w:rsidR="00972B95" w:rsidRPr="00913156" w:rsidRDefault="00972B95" w:rsidP="00972B95">
            <w:pPr>
              <w:jc w:val="center"/>
              <w:rPr>
                <w:rFonts w:ascii="Arial Narrow" w:hAnsi="Arial Narrow"/>
                <w:bCs/>
                <w:snapToGrid/>
                <w:sz w:val="18"/>
                <w:szCs w:val="18"/>
              </w:rPr>
            </w:pPr>
            <w:r w:rsidRPr="00913156">
              <w:rPr>
                <w:rFonts w:ascii="Arial Narrow" w:hAnsi="Arial Narrow"/>
                <w:bCs/>
                <w:snapToGrid/>
                <w:sz w:val="18"/>
                <w:szCs w:val="18"/>
              </w:rPr>
              <w:t>0.63 (0.08, 4.46)</w:t>
            </w:r>
          </w:p>
        </w:tc>
        <w:tc>
          <w:tcPr>
            <w:tcW w:w="934" w:type="pct"/>
          </w:tcPr>
          <w:p w:rsidR="00972B95" w:rsidRPr="00913156" w:rsidRDefault="00972B95" w:rsidP="00972B95">
            <w:pPr>
              <w:jc w:val="center"/>
              <w:rPr>
                <w:rFonts w:ascii="Arial Narrow" w:hAnsi="Arial Narrow"/>
                <w:bCs/>
                <w:snapToGrid/>
                <w:sz w:val="18"/>
                <w:szCs w:val="18"/>
                <w:lang w:val="fr-FR"/>
              </w:rPr>
            </w:pPr>
            <w:r w:rsidRPr="00913156">
              <w:rPr>
                <w:rFonts w:ascii="Arial Narrow" w:hAnsi="Arial Narrow"/>
                <w:bCs/>
                <w:snapToGrid/>
                <w:sz w:val="18"/>
                <w:szCs w:val="18"/>
                <w:lang w:val="fr-FR"/>
              </w:rPr>
              <w:t>0.61 (0.01, 12.61)</w:t>
            </w:r>
          </w:p>
        </w:tc>
      </w:tr>
      <w:tr w:rsidR="00972B95" w:rsidRPr="00913156" w:rsidTr="00972B95">
        <w:tc>
          <w:tcPr>
            <w:tcW w:w="5000" w:type="pct"/>
            <w:gridSpan w:val="6"/>
            <w:vAlign w:val="center"/>
          </w:tcPr>
          <w:p w:rsidR="00972B95" w:rsidRPr="00913156" w:rsidRDefault="00972B95" w:rsidP="00972B95">
            <w:pPr>
              <w:jc w:val="left"/>
              <w:rPr>
                <w:rFonts w:ascii="Arial Narrow" w:hAnsi="Arial Narrow"/>
                <w:bCs/>
                <w:snapToGrid/>
                <w:sz w:val="18"/>
                <w:szCs w:val="18"/>
              </w:rPr>
            </w:pPr>
            <w:r w:rsidRPr="00913156">
              <w:rPr>
                <w:rFonts w:ascii="Arial Narrow" w:hAnsi="Arial Narrow"/>
                <w:b/>
                <w:snapToGrid/>
                <w:sz w:val="18"/>
                <w:szCs w:val="18"/>
              </w:rPr>
              <w:t>Infliximab (fistula response:</w:t>
            </w:r>
            <w:r w:rsidR="00657ACD" w:rsidRPr="00913156">
              <w:rPr>
                <w:rFonts w:ascii="Arial Narrow" w:hAnsi="Arial Narrow"/>
                <w:b/>
                <w:snapToGrid/>
                <w:sz w:val="18"/>
                <w:szCs w:val="18"/>
              </w:rPr>
              <w:t xml:space="preserve"> </w:t>
            </w:r>
            <w:r w:rsidRPr="00913156">
              <w:rPr>
                <w:rFonts w:ascii="Arial Narrow" w:hAnsi="Arial Narrow"/>
                <w:b/>
                <w:snapToGrid/>
                <w:sz w:val="18"/>
                <w:szCs w:val="18"/>
              </w:rPr>
              <w:t>≥50% reduction in fistulas at 2 or more visits)</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lang w:val="fr-FR"/>
              </w:rPr>
            </w:pPr>
            <w:r w:rsidRPr="00913156">
              <w:rPr>
                <w:rFonts w:ascii="Arial Narrow" w:hAnsi="Arial Narrow"/>
                <w:snapToGrid/>
                <w:sz w:val="18"/>
                <w:szCs w:val="18"/>
                <w:lang w:val="fr-FR"/>
              </w:rPr>
              <w:t>T20 (wk18)</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21/31 (68)</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8/31 (26)</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0.42 (0.17, 0.62)</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2.63 (1.45, 5.13)</w:t>
            </w:r>
          </w:p>
        </w:tc>
        <w:tc>
          <w:tcPr>
            <w:tcW w:w="934" w:type="pct"/>
          </w:tcPr>
          <w:p w:rsidR="00972B95" w:rsidRPr="00913156" w:rsidRDefault="00972B95" w:rsidP="00972B95">
            <w:pPr>
              <w:jc w:val="center"/>
              <w:rPr>
                <w:rFonts w:ascii="Arial Narrow" w:hAnsi="Arial Narrow"/>
                <w:b/>
                <w:bCs/>
                <w:snapToGrid/>
                <w:sz w:val="18"/>
                <w:szCs w:val="18"/>
                <w:lang w:val="fr-FR"/>
              </w:rPr>
            </w:pPr>
            <w:r w:rsidRPr="00913156">
              <w:rPr>
                <w:rFonts w:ascii="Arial Narrow" w:hAnsi="Arial Narrow"/>
                <w:b/>
                <w:bCs/>
                <w:snapToGrid/>
                <w:sz w:val="18"/>
                <w:szCs w:val="18"/>
                <w:lang w:val="fr-FR"/>
              </w:rPr>
              <w:t>6.04 (1.78, 21.15)</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lang w:val="fr-FR"/>
              </w:rPr>
            </w:pPr>
            <w:r w:rsidRPr="00913156">
              <w:rPr>
                <w:rFonts w:ascii="Arial Narrow" w:hAnsi="Arial Narrow"/>
                <w:snapToGrid/>
                <w:sz w:val="18"/>
                <w:szCs w:val="18"/>
                <w:lang w:val="fr-FR"/>
              </w:rPr>
              <w:t>ACCENT II^ (Wk14)</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195/282 (69)</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w:t>
            </w:r>
          </w:p>
        </w:tc>
        <w:tc>
          <w:tcPr>
            <w:tcW w:w="934" w:type="pct"/>
          </w:tcPr>
          <w:p w:rsidR="00972B95" w:rsidRPr="00913156" w:rsidRDefault="00972B95" w:rsidP="00972B95">
            <w:pPr>
              <w:jc w:val="center"/>
              <w:rPr>
                <w:rFonts w:ascii="Arial Narrow" w:hAnsi="Arial Narrow"/>
                <w:b/>
                <w:bCs/>
                <w:snapToGrid/>
                <w:sz w:val="18"/>
                <w:szCs w:val="18"/>
                <w:lang w:val="fr-FR"/>
              </w:rPr>
            </w:pPr>
            <w:r w:rsidRPr="00913156">
              <w:rPr>
                <w:rFonts w:ascii="Arial Narrow" w:hAnsi="Arial Narrow"/>
                <w:b/>
                <w:bCs/>
                <w:snapToGrid/>
                <w:sz w:val="18"/>
                <w:szCs w:val="18"/>
                <w:lang w:val="fr-FR"/>
              </w:rPr>
              <w:t>-</w:t>
            </w:r>
          </w:p>
        </w:tc>
      </w:tr>
      <w:tr w:rsidR="00972B95" w:rsidRPr="00913156" w:rsidTr="00972B95">
        <w:tc>
          <w:tcPr>
            <w:tcW w:w="5000" w:type="pct"/>
            <w:gridSpan w:val="6"/>
            <w:vAlign w:val="center"/>
          </w:tcPr>
          <w:p w:rsidR="00972B95" w:rsidRPr="00913156" w:rsidRDefault="00972B95" w:rsidP="00972B95">
            <w:pPr>
              <w:jc w:val="left"/>
              <w:rPr>
                <w:rFonts w:ascii="Arial Narrow" w:hAnsi="Arial Narrow"/>
                <w:b/>
                <w:bCs/>
                <w:snapToGrid/>
                <w:sz w:val="18"/>
                <w:szCs w:val="18"/>
              </w:rPr>
            </w:pPr>
            <w:r w:rsidRPr="00913156">
              <w:rPr>
                <w:rFonts w:ascii="Arial Narrow" w:hAnsi="Arial Narrow"/>
                <w:b/>
                <w:snapToGrid/>
                <w:sz w:val="18"/>
                <w:szCs w:val="18"/>
              </w:rPr>
              <w:t>Infliximab (fistula remission : complete closure of fistulas) Wk18</w:t>
            </w:r>
          </w:p>
        </w:tc>
      </w:tr>
      <w:tr w:rsidR="00972B95" w:rsidRPr="00913156" w:rsidTr="00972B95">
        <w:tc>
          <w:tcPr>
            <w:tcW w:w="590" w:type="pct"/>
            <w:vAlign w:val="center"/>
          </w:tcPr>
          <w:p w:rsidR="00972B95" w:rsidRPr="00913156" w:rsidRDefault="00972B95" w:rsidP="00972B95">
            <w:pPr>
              <w:jc w:val="left"/>
              <w:rPr>
                <w:rFonts w:ascii="Arial Narrow" w:hAnsi="Arial Narrow"/>
                <w:snapToGrid/>
                <w:sz w:val="18"/>
                <w:szCs w:val="18"/>
                <w:lang w:val="fr-FR"/>
              </w:rPr>
            </w:pPr>
            <w:r w:rsidRPr="00913156">
              <w:rPr>
                <w:rFonts w:ascii="Arial Narrow" w:hAnsi="Arial Narrow"/>
                <w:snapToGrid/>
                <w:sz w:val="18"/>
                <w:szCs w:val="18"/>
                <w:lang w:val="fr-FR"/>
              </w:rPr>
              <w:t>T20</w:t>
            </w:r>
          </w:p>
        </w:tc>
        <w:tc>
          <w:tcPr>
            <w:tcW w:w="763"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17/31 (55)</w:t>
            </w:r>
          </w:p>
        </w:tc>
        <w:tc>
          <w:tcPr>
            <w:tcW w:w="847" w:type="pct"/>
            <w:vAlign w:val="center"/>
          </w:tcPr>
          <w:p w:rsidR="00972B95" w:rsidRPr="00913156" w:rsidRDefault="00972B95" w:rsidP="00972B95">
            <w:pPr>
              <w:jc w:val="center"/>
              <w:rPr>
                <w:rFonts w:ascii="Arial Narrow" w:hAnsi="Arial Narrow"/>
                <w:snapToGrid/>
                <w:sz w:val="18"/>
                <w:szCs w:val="18"/>
              </w:rPr>
            </w:pPr>
            <w:r w:rsidRPr="00913156">
              <w:rPr>
                <w:rFonts w:ascii="Arial Narrow" w:hAnsi="Arial Narrow"/>
                <w:snapToGrid/>
                <w:sz w:val="18"/>
                <w:szCs w:val="18"/>
              </w:rPr>
              <w:t>4/31 (13)</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0.42 (0.19, 0.61)</w:t>
            </w:r>
          </w:p>
        </w:tc>
        <w:tc>
          <w:tcPr>
            <w:tcW w:w="933" w:type="pct"/>
            <w:vAlign w:val="center"/>
          </w:tcPr>
          <w:p w:rsidR="00972B95" w:rsidRPr="00913156" w:rsidRDefault="00972B95" w:rsidP="00972B95">
            <w:pPr>
              <w:jc w:val="center"/>
              <w:rPr>
                <w:rFonts w:ascii="Arial Narrow" w:hAnsi="Arial Narrow"/>
                <w:b/>
                <w:bCs/>
                <w:snapToGrid/>
                <w:sz w:val="18"/>
                <w:szCs w:val="18"/>
              </w:rPr>
            </w:pPr>
            <w:r w:rsidRPr="00913156">
              <w:rPr>
                <w:rFonts w:ascii="Arial Narrow" w:hAnsi="Arial Narrow"/>
                <w:b/>
                <w:bCs/>
                <w:snapToGrid/>
                <w:sz w:val="18"/>
                <w:szCs w:val="18"/>
              </w:rPr>
              <w:t>4.25 (1.75, 11.15)</w:t>
            </w:r>
          </w:p>
        </w:tc>
        <w:tc>
          <w:tcPr>
            <w:tcW w:w="934" w:type="pct"/>
          </w:tcPr>
          <w:p w:rsidR="00972B95" w:rsidRPr="00913156" w:rsidRDefault="00972B95" w:rsidP="00972B95">
            <w:pPr>
              <w:jc w:val="center"/>
              <w:rPr>
                <w:rFonts w:ascii="Arial Narrow" w:hAnsi="Arial Narrow"/>
                <w:b/>
                <w:bCs/>
                <w:snapToGrid/>
                <w:sz w:val="18"/>
                <w:szCs w:val="18"/>
                <w:lang w:val="fr-FR"/>
              </w:rPr>
            </w:pPr>
            <w:r w:rsidRPr="00913156">
              <w:rPr>
                <w:rFonts w:ascii="Arial Narrow" w:hAnsi="Arial Narrow"/>
                <w:b/>
                <w:bCs/>
                <w:snapToGrid/>
                <w:sz w:val="18"/>
                <w:szCs w:val="18"/>
                <w:lang w:val="fr-FR"/>
              </w:rPr>
              <w:t>8.20 (2.06, 38.61)</w:t>
            </w:r>
          </w:p>
        </w:tc>
      </w:tr>
    </w:tbl>
    <w:p w:rsidR="00972B95" w:rsidRPr="00913156" w:rsidRDefault="00972B95" w:rsidP="00972B95">
      <w:pPr>
        <w:snapToGrid w:val="0"/>
        <w:ind w:left="709"/>
        <w:rPr>
          <w:rFonts w:ascii="Arial Narrow" w:hAnsi="Arial Narrow"/>
          <w:snapToGrid/>
          <w:sz w:val="18"/>
          <w:szCs w:val="16"/>
        </w:rPr>
      </w:pPr>
      <w:r w:rsidRPr="00913156">
        <w:rPr>
          <w:rFonts w:ascii="Arial Narrow" w:hAnsi="Arial Narrow"/>
          <w:snapToGrid/>
          <w:sz w:val="16"/>
        </w:rPr>
        <w:t xml:space="preserve">Italics indicate </w:t>
      </w:r>
      <w:r w:rsidRPr="00913156">
        <w:rPr>
          <w:rFonts w:ascii="Arial Narrow" w:hAnsi="Arial Narrow"/>
          <w:snapToGrid/>
          <w:sz w:val="18"/>
          <w:szCs w:val="16"/>
        </w:rPr>
        <w:t>res</w:t>
      </w:r>
      <w:r w:rsidR="00657ACD" w:rsidRPr="00913156">
        <w:rPr>
          <w:rFonts w:ascii="Arial Narrow" w:hAnsi="Arial Narrow"/>
          <w:snapToGrid/>
          <w:sz w:val="18"/>
          <w:szCs w:val="16"/>
        </w:rPr>
        <w:t>Res</w:t>
      </w:r>
      <w:r w:rsidRPr="00913156">
        <w:rPr>
          <w:rFonts w:ascii="Arial Narrow" w:hAnsi="Arial Narrow"/>
          <w:snapToGrid/>
          <w:sz w:val="18"/>
          <w:szCs w:val="16"/>
        </w:rPr>
        <w:t>ults extracted and estimated during the evaluation.  RD, RR and OR was estimated using Stats Direct version 3.</w:t>
      </w:r>
      <w:r w:rsidR="007555AF" w:rsidRPr="00913156">
        <w:rPr>
          <w:rFonts w:ascii="Arial Narrow" w:hAnsi="Arial Narrow"/>
          <w:snapToGrid/>
          <w:sz w:val="18"/>
          <w:szCs w:val="16"/>
        </w:rPr>
        <w:t xml:space="preserve"> Statistically significant results are in </w:t>
      </w:r>
      <w:r w:rsidR="007555AF" w:rsidRPr="00913156">
        <w:rPr>
          <w:rFonts w:ascii="Arial Narrow" w:hAnsi="Arial Narrow"/>
          <w:b/>
          <w:snapToGrid/>
          <w:sz w:val="18"/>
          <w:szCs w:val="16"/>
        </w:rPr>
        <w:t>bold</w:t>
      </w:r>
      <w:r w:rsidR="007555AF" w:rsidRPr="00913156">
        <w:rPr>
          <w:rFonts w:ascii="Arial Narrow" w:hAnsi="Arial Narrow"/>
          <w:snapToGrid/>
          <w:sz w:val="18"/>
          <w:szCs w:val="16"/>
        </w:rPr>
        <w:t>.</w:t>
      </w:r>
    </w:p>
    <w:p w:rsidR="00972B95" w:rsidRPr="00913156" w:rsidRDefault="00972B95" w:rsidP="00972B95">
      <w:pPr>
        <w:snapToGrid w:val="0"/>
        <w:ind w:left="709"/>
        <w:rPr>
          <w:rFonts w:ascii="Arial Narrow" w:hAnsi="Arial Narrow"/>
          <w:snapToGrid/>
          <w:sz w:val="18"/>
          <w:szCs w:val="16"/>
        </w:rPr>
      </w:pPr>
      <w:r w:rsidRPr="00913156">
        <w:rPr>
          <w:rFonts w:ascii="Arial Narrow" w:hAnsi="Arial Narrow"/>
          <w:snapToGrid/>
          <w:sz w:val="18"/>
          <w:szCs w:val="16"/>
        </w:rPr>
        <w:t>^open label induction therapy, no placebo arm comparison, randomisation occurred after assessment of initial response.</w:t>
      </w:r>
    </w:p>
    <w:p w:rsidR="00972B95" w:rsidRPr="00913156" w:rsidRDefault="00972B95" w:rsidP="00972B95">
      <w:pPr>
        <w:snapToGrid w:val="0"/>
        <w:ind w:left="709"/>
        <w:rPr>
          <w:rFonts w:ascii="Arial Narrow" w:hAnsi="Arial Narrow"/>
          <w:snapToGrid/>
          <w:sz w:val="18"/>
          <w:szCs w:val="16"/>
        </w:rPr>
      </w:pPr>
      <w:r w:rsidRPr="00913156">
        <w:rPr>
          <w:rFonts w:ascii="Arial Narrow" w:hAnsi="Arial Narrow"/>
          <w:snapToGrid/>
          <w:sz w:val="18"/>
          <w:szCs w:val="16"/>
        </w:rPr>
        <w:t>Source: Table B.6-3, B.6-4, p88-89 of Section B of the submission and the trial reports.</w:t>
      </w:r>
    </w:p>
    <w:p w:rsidR="00EA63C1" w:rsidRDefault="00EA63C1" w:rsidP="00972B95">
      <w:pPr>
        <w:rPr>
          <w:rFonts w:asciiTheme="minorBidi" w:hAnsiTheme="minorBidi" w:cstheme="minorBidi"/>
          <w:szCs w:val="22"/>
          <w:highlight w:val="yellow"/>
        </w:rPr>
      </w:pPr>
    </w:p>
    <w:p w:rsidR="00972B95" w:rsidRPr="00F851CE" w:rsidRDefault="00972B95" w:rsidP="00EA63C1">
      <w:pPr>
        <w:ind w:left="510" w:firstLine="170"/>
        <w:contextualSpacing/>
        <w:rPr>
          <w:rStyle w:val="CommentReference"/>
        </w:rPr>
      </w:pPr>
      <w:r w:rsidRPr="00414040">
        <w:rPr>
          <w:rStyle w:val="CommentReference"/>
        </w:rPr>
        <w:t xml:space="preserve">Table </w:t>
      </w:r>
      <w:r>
        <w:rPr>
          <w:rStyle w:val="CommentReference"/>
        </w:rPr>
        <w:t>7</w:t>
      </w:r>
      <w:r w:rsidRPr="00414040">
        <w:rPr>
          <w:rStyle w:val="CommentReference"/>
        </w:rPr>
        <w:t>: Results of fistula response for ustekinumab, adalimumab and infliximab – Maintenance trials</w:t>
      </w:r>
      <w:r w:rsidRPr="008F6150">
        <w:rPr>
          <w:rStyle w:val="CommentReference"/>
        </w:rPr>
        <w:t xml:space="preserve"> </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0"/>
        <w:gridCol w:w="1395"/>
        <w:gridCol w:w="1398"/>
        <w:gridCol w:w="1797"/>
        <w:gridCol w:w="1538"/>
        <w:gridCol w:w="1443"/>
      </w:tblGrid>
      <w:tr w:rsidR="00972B95" w:rsidRPr="00913156" w:rsidTr="00EA63C1">
        <w:tc>
          <w:tcPr>
            <w:tcW w:w="505" w:type="pct"/>
            <w:shd w:val="clear" w:color="auto" w:fill="auto"/>
            <w:vAlign w:val="center"/>
          </w:tcPr>
          <w:p w:rsidR="00972B95" w:rsidRPr="00913156" w:rsidRDefault="00972B95" w:rsidP="00EA63C1">
            <w:pPr>
              <w:contextualSpacing/>
              <w:jc w:val="left"/>
              <w:rPr>
                <w:rFonts w:ascii="Arial Narrow" w:hAnsi="Arial Narrow"/>
                <w:sz w:val="18"/>
                <w:szCs w:val="18"/>
              </w:rPr>
            </w:pPr>
            <w:r w:rsidRPr="00913156">
              <w:rPr>
                <w:rFonts w:ascii="Arial Narrow" w:hAnsi="Arial Narrow"/>
                <w:b/>
                <w:sz w:val="18"/>
                <w:szCs w:val="18"/>
              </w:rPr>
              <w:t>Trial ID</w:t>
            </w:r>
          </w:p>
        </w:tc>
        <w:tc>
          <w:tcPr>
            <w:tcW w:w="828"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Drug</w:t>
            </w:r>
          </w:p>
          <w:p w:rsidR="00972B95" w:rsidRPr="00913156" w:rsidRDefault="00972B95" w:rsidP="00EA63C1">
            <w:pPr>
              <w:contextualSpacing/>
              <w:jc w:val="center"/>
              <w:rPr>
                <w:rFonts w:ascii="Arial Narrow" w:hAnsi="Arial Narrow"/>
                <w:sz w:val="18"/>
                <w:szCs w:val="18"/>
              </w:rPr>
            </w:pPr>
            <w:r w:rsidRPr="00913156">
              <w:rPr>
                <w:rFonts w:ascii="Arial Narrow" w:hAnsi="Arial Narrow"/>
                <w:b/>
                <w:sz w:val="18"/>
                <w:szCs w:val="18"/>
              </w:rPr>
              <w:t xml:space="preserve">n/N (%) </w:t>
            </w:r>
          </w:p>
        </w:tc>
        <w:tc>
          <w:tcPr>
            <w:tcW w:w="830"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Placebo</w:t>
            </w:r>
          </w:p>
          <w:p w:rsidR="00972B95" w:rsidRPr="00913156" w:rsidRDefault="00972B95" w:rsidP="00EA63C1">
            <w:pPr>
              <w:contextualSpacing/>
              <w:jc w:val="center"/>
              <w:rPr>
                <w:rFonts w:ascii="Arial Narrow" w:hAnsi="Arial Narrow"/>
                <w:sz w:val="18"/>
                <w:szCs w:val="18"/>
                <w:highlight w:val="yellow"/>
              </w:rPr>
            </w:pPr>
            <w:r w:rsidRPr="00913156">
              <w:rPr>
                <w:rFonts w:ascii="Arial Narrow" w:hAnsi="Arial Narrow"/>
                <w:b/>
                <w:sz w:val="18"/>
                <w:szCs w:val="18"/>
              </w:rPr>
              <w:t>n/N (%)</w:t>
            </w:r>
          </w:p>
        </w:tc>
        <w:tc>
          <w:tcPr>
            <w:tcW w:w="106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RD</w:t>
            </w:r>
          </w:p>
          <w:p w:rsidR="00972B95" w:rsidRPr="00913156" w:rsidRDefault="00972B95" w:rsidP="00EA63C1">
            <w:pPr>
              <w:contextualSpacing/>
              <w:jc w:val="center"/>
              <w:rPr>
                <w:rFonts w:ascii="Arial Narrow" w:hAnsi="Arial Narrow"/>
                <w:b/>
                <w:iCs/>
                <w:sz w:val="18"/>
                <w:szCs w:val="18"/>
              </w:rPr>
            </w:pPr>
            <w:r w:rsidRPr="00913156">
              <w:rPr>
                <w:rFonts w:ascii="Arial Narrow" w:hAnsi="Arial Narrow"/>
                <w:b/>
                <w:sz w:val="18"/>
                <w:szCs w:val="18"/>
              </w:rPr>
              <w:t>(95% CI)</w:t>
            </w:r>
          </w:p>
        </w:tc>
        <w:tc>
          <w:tcPr>
            <w:tcW w:w="913"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 xml:space="preserve">RR </w:t>
            </w:r>
          </w:p>
          <w:p w:rsidR="00972B95" w:rsidRPr="00913156" w:rsidRDefault="00972B95" w:rsidP="00EA63C1">
            <w:pPr>
              <w:contextualSpacing/>
              <w:jc w:val="center"/>
              <w:rPr>
                <w:rFonts w:ascii="Arial Narrow" w:hAnsi="Arial Narrow"/>
                <w:b/>
                <w:iCs/>
                <w:sz w:val="18"/>
                <w:szCs w:val="18"/>
              </w:rPr>
            </w:pPr>
            <w:r w:rsidRPr="00913156">
              <w:rPr>
                <w:rFonts w:ascii="Arial Narrow" w:hAnsi="Arial Narrow"/>
                <w:b/>
                <w:sz w:val="18"/>
                <w:szCs w:val="18"/>
              </w:rPr>
              <w:t>(95% CI)</w:t>
            </w:r>
          </w:p>
        </w:tc>
        <w:tc>
          <w:tcPr>
            <w:tcW w:w="85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 xml:space="preserve">OR </w:t>
            </w:r>
          </w:p>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(95% CI)</w:t>
            </w:r>
          </w:p>
        </w:tc>
      </w:tr>
      <w:tr w:rsidR="00972B95" w:rsidRPr="00913156" w:rsidTr="00EA63C1">
        <w:tc>
          <w:tcPr>
            <w:tcW w:w="5000" w:type="pct"/>
            <w:gridSpan w:val="6"/>
            <w:shd w:val="clear" w:color="auto" w:fill="auto"/>
            <w:vAlign w:val="center"/>
          </w:tcPr>
          <w:p w:rsidR="00972B95" w:rsidRPr="00913156" w:rsidRDefault="00972B95" w:rsidP="00EA63C1">
            <w:pPr>
              <w:contextualSpacing/>
              <w:jc w:val="left"/>
              <w:rPr>
                <w:rFonts w:ascii="Arial Narrow" w:hAnsi="Arial Narrow"/>
                <w:b/>
                <w:sz w:val="18"/>
                <w:szCs w:val="18"/>
                <w:vertAlign w:val="superscript"/>
              </w:rPr>
            </w:pPr>
            <w:r w:rsidRPr="00913156">
              <w:rPr>
                <w:rFonts w:ascii="Arial Narrow" w:hAnsi="Arial Narrow"/>
                <w:b/>
                <w:sz w:val="18"/>
                <w:szCs w:val="18"/>
              </w:rPr>
              <w:t>Ustekinumab (fistula response: ≥50% reduction in fistulas) Wk</w:t>
            </w:r>
            <w:r w:rsidR="00657ACD" w:rsidRPr="00913156">
              <w:rPr>
                <w:rFonts w:ascii="Arial Narrow" w:hAnsi="Arial Narrow"/>
                <w:b/>
                <w:sz w:val="18"/>
                <w:szCs w:val="18"/>
              </w:rPr>
              <w:t xml:space="preserve"> </w:t>
            </w:r>
            <w:r w:rsidRPr="00913156">
              <w:rPr>
                <w:rFonts w:ascii="Arial Narrow" w:hAnsi="Arial Narrow"/>
                <w:b/>
                <w:sz w:val="18"/>
                <w:szCs w:val="18"/>
              </w:rPr>
              <w:t>52</w:t>
            </w:r>
            <w:r w:rsidRPr="00913156">
              <w:rPr>
                <w:rFonts w:ascii="Arial Narrow" w:hAnsi="Arial Narrow"/>
                <w:b/>
                <w:sz w:val="18"/>
                <w:szCs w:val="18"/>
                <w:vertAlign w:val="superscript"/>
              </w:rPr>
              <w:t>#</w:t>
            </w:r>
          </w:p>
        </w:tc>
      </w:tr>
      <w:tr w:rsidR="00972B95" w:rsidRPr="00913156" w:rsidTr="00EA63C1">
        <w:tc>
          <w:tcPr>
            <w:tcW w:w="505" w:type="pct"/>
            <w:shd w:val="clear" w:color="auto" w:fill="auto"/>
            <w:vAlign w:val="center"/>
          </w:tcPr>
          <w:p w:rsidR="00972B95" w:rsidRPr="00CA59E8" w:rsidRDefault="00CA59E8" w:rsidP="00EA63C1">
            <w:pPr>
              <w:contextualSpacing/>
              <w:jc w:val="left"/>
              <w:rPr>
                <w:rFonts w:ascii="Arial Narrow" w:hAnsi="Arial Narrow"/>
                <w:sz w:val="18"/>
                <w:szCs w:val="18"/>
                <w:highlight w:val="black"/>
                <w:vertAlign w:val="subscript"/>
              </w:rPr>
            </w:pPr>
            <w:r>
              <w:rPr>
                <w:rFonts w:ascii="Arial Narrow" w:hAnsi="Arial Narrow"/>
                <w:noProof/>
                <w:color w:val="000000"/>
                <w:sz w:val="18"/>
                <w:szCs w:val="18"/>
                <w:highlight w:val="black"/>
              </w:rPr>
              <w:t>'''''''''''''''''''''</w:t>
            </w:r>
          </w:p>
        </w:tc>
        <w:tc>
          <w:tcPr>
            <w:tcW w:w="828" w:type="pct"/>
            <w:shd w:val="clear" w:color="auto" w:fill="auto"/>
            <w:vAlign w:val="center"/>
          </w:tcPr>
          <w:p w:rsidR="00972B95" w:rsidRPr="00913156" w:rsidRDefault="00CA59E8" w:rsidP="00EA63C1">
            <w:pPr>
              <w:contextualSpacing/>
              <w:jc w:val="center"/>
              <w:rPr>
                <w:rFonts w:ascii="Arial Narrow" w:hAnsi="Arial Narrow"/>
                <w:sz w:val="18"/>
                <w:szCs w:val="18"/>
              </w:rPr>
            </w:pPr>
            <w:r>
              <w:rPr>
                <w:rFonts w:ascii="Arial Narrow" w:hAnsi="Arial Narrow"/>
                <w:noProof/>
                <w:color w:val="000000"/>
                <w:sz w:val="18"/>
                <w:szCs w:val="18"/>
                <w:highlight w:val="black"/>
              </w:rPr>
              <w:t>'''''''''</w:t>
            </w:r>
            <w:r w:rsidR="00972B95" w:rsidRPr="00913156">
              <w:rPr>
                <w:rFonts w:ascii="Arial Narrow" w:hAnsi="Arial Narrow"/>
                <w:sz w:val="18"/>
                <w:szCs w:val="18"/>
              </w:rPr>
              <w:t xml:space="preserve"> (</w:t>
            </w:r>
            <w:r>
              <w:rPr>
                <w:rFonts w:ascii="Arial Narrow" w:hAnsi="Arial Narrow"/>
                <w:noProof/>
                <w:color w:val="000000"/>
                <w:sz w:val="18"/>
                <w:szCs w:val="18"/>
                <w:highlight w:val="black"/>
              </w:rPr>
              <w:t>'''''''''</w:t>
            </w:r>
            <w:r w:rsidR="00972B95" w:rsidRPr="00913156">
              <w:rPr>
                <w:rFonts w:ascii="Arial Narrow" w:hAnsi="Arial Narrow"/>
                <w:sz w:val="18"/>
                <w:szCs w:val="18"/>
              </w:rPr>
              <w:t>)</w:t>
            </w:r>
          </w:p>
        </w:tc>
        <w:tc>
          <w:tcPr>
            <w:tcW w:w="830" w:type="pct"/>
            <w:shd w:val="clear" w:color="auto" w:fill="auto"/>
            <w:vAlign w:val="center"/>
          </w:tcPr>
          <w:p w:rsidR="00972B95" w:rsidRPr="00913156" w:rsidRDefault="00CA59E8" w:rsidP="00EA63C1">
            <w:pPr>
              <w:contextualSpacing/>
              <w:jc w:val="center"/>
              <w:rPr>
                <w:rFonts w:ascii="Arial Narrow" w:hAnsi="Arial Narrow"/>
                <w:sz w:val="18"/>
                <w:szCs w:val="18"/>
                <w:highlight w:val="yellow"/>
              </w:rPr>
            </w:pPr>
            <w:r>
              <w:rPr>
                <w:rFonts w:ascii="Arial Narrow" w:hAnsi="Arial Narrow"/>
                <w:noProof/>
                <w:color w:val="000000"/>
                <w:sz w:val="18"/>
                <w:szCs w:val="18"/>
                <w:highlight w:val="black"/>
              </w:rPr>
              <w:t>'''''''''''</w:t>
            </w:r>
            <w:r w:rsidR="00972B95" w:rsidRPr="00913156">
              <w:rPr>
                <w:rFonts w:ascii="Arial Narrow" w:hAnsi="Arial Narrow"/>
                <w:sz w:val="18"/>
                <w:szCs w:val="18"/>
              </w:rPr>
              <w:t xml:space="preserve"> (</w:t>
            </w:r>
            <w:r>
              <w:rPr>
                <w:rFonts w:ascii="Arial Narrow" w:hAnsi="Arial Narrow"/>
                <w:noProof/>
                <w:color w:val="000000"/>
                <w:sz w:val="18"/>
                <w:szCs w:val="18"/>
                <w:highlight w:val="black"/>
              </w:rPr>
              <w:t>'''''''''''</w:t>
            </w:r>
            <w:r w:rsidR="00972B95" w:rsidRPr="00913156">
              <w:rPr>
                <w:rFonts w:ascii="Arial Narrow" w:hAnsi="Arial Narrow"/>
                <w:sz w:val="18"/>
                <w:szCs w:val="18"/>
              </w:rPr>
              <w:t>)</w:t>
            </w:r>
          </w:p>
        </w:tc>
        <w:tc>
          <w:tcPr>
            <w:tcW w:w="1067" w:type="pct"/>
            <w:shd w:val="clear" w:color="auto" w:fill="auto"/>
            <w:vAlign w:val="center"/>
          </w:tcPr>
          <w:p w:rsidR="00972B95" w:rsidRPr="00913156" w:rsidRDefault="00CA59E8" w:rsidP="00EA63C1">
            <w:pPr>
              <w:contextualSpacing/>
              <w:jc w:val="center"/>
              <w:rPr>
                <w:rFonts w:ascii="Arial Narrow" w:hAnsi="Arial Narrow"/>
                <w:sz w:val="18"/>
                <w:szCs w:val="18"/>
              </w:rPr>
            </w:pPr>
            <w:r>
              <w:rPr>
                <w:rFonts w:ascii="Arial Narrow" w:hAnsi="Arial Narrow"/>
                <w:noProof/>
                <w:color w:val="000000"/>
                <w:sz w:val="18"/>
                <w:szCs w:val="18"/>
                <w:highlight w:val="black"/>
              </w:rPr>
              <w:t>''''''''''</w:t>
            </w:r>
            <w:r w:rsidR="00972B95" w:rsidRPr="00913156">
              <w:rPr>
                <w:rFonts w:ascii="Arial Narrow" w:hAnsi="Arial Narrow"/>
                <w:sz w:val="18"/>
                <w:szCs w:val="18"/>
              </w:rPr>
              <w:t xml:space="preserve"> (</w:t>
            </w:r>
            <w:r>
              <w:rPr>
                <w:rFonts w:ascii="Arial Narrow" w:hAnsi="Arial Narrow"/>
                <w:noProof/>
                <w:color w:val="000000"/>
                <w:sz w:val="18"/>
                <w:szCs w:val="18"/>
                <w:highlight w:val="black"/>
              </w:rPr>
              <w:t>'''''''''''</w:t>
            </w:r>
            <w:r w:rsidR="00972B95" w:rsidRPr="00913156">
              <w:rPr>
                <w:rFonts w:ascii="Arial Narrow" w:hAnsi="Arial Narrow"/>
                <w:sz w:val="18"/>
                <w:szCs w:val="18"/>
              </w:rPr>
              <w:t xml:space="preserve">, </w:t>
            </w:r>
            <w:r>
              <w:rPr>
                <w:rFonts w:ascii="Arial Narrow" w:hAnsi="Arial Narrow"/>
                <w:noProof/>
                <w:color w:val="000000"/>
                <w:sz w:val="18"/>
                <w:szCs w:val="18"/>
                <w:highlight w:val="black"/>
              </w:rPr>
              <w:t>''''''''''</w:t>
            </w:r>
            <w:r w:rsidR="00972B95" w:rsidRPr="00913156">
              <w:rPr>
                <w:rFonts w:ascii="Arial Narrow" w:hAnsi="Arial Narrow"/>
                <w:sz w:val="18"/>
                <w:szCs w:val="18"/>
              </w:rPr>
              <w:t>)</w:t>
            </w:r>
            <w:r>
              <w:rPr>
                <w:rFonts w:ascii="Arial Narrow" w:hAnsi="Arial Narrow"/>
                <w:noProof/>
                <w:color w:val="000000"/>
                <w:sz w:val="18"/>
                <w:szCs w:val="18"/>
                <w:highlight w:val="black"/>
              </w:rPr>
              <w:t>'''</w:t>
            </w:r>
          </w:p>
        </w:tc>
        <w:tc>
          <w:tcPr>
            <w:tcW w:w="913" w:type="pct"/>
            <w:shd w:val="clear" w:color="auto" w:fill="auto"/>
            <w:vAlign w:val="center"/>
          </w:tcPr>
          <w:p w:rsidR="00972B95" w:rsidRPr="00913156" w:rsidRDefault="00CA59E8" w:rsidP="00EA63C1">
            <w:pPr>
              <w:contextualSpacing/>
              <w:jc w:val="center"/>
              <w:rPr>
                <w:rFonts w:ascii="Arial Narrow" w:hAnsi="Arial Narrow"/>
                <w:bCs/>
                <w:sz w:val="18"/>
                <w:szCs w:val="18"/>
              </w:rPr>
            </w:pPr>
            <w:r>
              <w:rPr>
                <w:rFonts w:ascii="Arial Narrow" w:hAnsi="Arial Narrow"/>
                <w:bCs/>
                <w:noProof/>
                <w:color w:val="000000"/>
                <w:sz w:val="18"/>
                <w:szCs w:val="18"/>
                <w:highlight w:val="black"/>
              </w:rPr>
              <w:t>''''''''''</w:t>
            </w:r>
            <w:r w:rsidR="00972B95" w:rsidRPr="00913156">
              <w:rPr>
                <w:rFonts w:ascii="Arial Narrow" w:hAnsi="Arial Narrow"/>
                <w:bCs/>
                <w:sz w:val="18"/>
                <w:szCs w:val="18"/>
              </w:rPr>
              <w:t xml:space="preserve"> (</w:t>
            </w:r>
            <w:r>
              <w:rPr>
                <w:rFonts w:ascii="Arial Narrow" w:hAnsi="Arial Narrow"/>
                <w:bCs/>
                <w:noProof/>
                <w:color w:val="000000"/>
                <w:sz w:val="18"/>
                <w:szCs w:val="18"/>
                <w:highlight w:val="black"/>
              </w:rPr>
              <w:t>'''''''''''</w:t>
            </w:r>
            <w:r w:rsidR="00972B95" w:rsidRPr="00913156">
              <w:rPr>
                <w:rFonts w:ascii="Arial Narrow" w:hAnsi="Arial Narrow"/>
                <w:bCs/>
                <w:sz w:val="18"/>
                <w:szCs w:val="18"/>
              </w:rPr>
              <w:t xml:space="preserve">, </w:t>
            </w:r>
            <w:r>
              <w:rPr>
                <w:rFonts w:ascii="Arial Narrow" w:hAnsi="Arial Narrow"/>
                <w:bCs/>
                <w:noProof/>
                <w:color w:val="000000"/>
                <w:sz w:val="18"/>
                <w:szCs w:val="18"/>
                <w:highlight w:val="black"/>
              </w:rPr>
              <w:t>''''''''''</w:t>
            </w:r>
            <w:r w:rsidR="00972B95" w:rsidRPr="00913156">
              <w:rPr>
                <w:rFonts w:ascii="Arial Narrow" w:hAnsi="Arial Narrow"/>
                <w:bCs/>
                <w:sz w:val="18"/>
                <w:szCs w:val="18"/>
              </w:rPr>
              <w:t>)</w:t>
            </w:r>
          </w:p>
        </w:tc>
        <w:tc>
          <w:tcPr>
            <w:tcW w:w="857" w:type="pct"/>
            <w:shd w:val="clear" w:color="auto" w:fill="auto"/>
            <w:vAlign w:val="center"/>
          </w:tcPr>
          <w:p w:rsidR="00972B95" w:rsidRPr="00913156" w:rsidRDefault="00CA59E8" w:rsidP="00EA63C1">
            <w:pPr>
              <w:contextualSpacing/>
              <w:jc w:val="center"/>
              <w:rPr>
                <w:rFonts w:ascii="Arial Narrow" w:hAnsi="Arial Narrow"/>
                <w:bCs/>
                <w:sz w:val="18"/>
                <w:szCs w:val="18"/>
              </w:rPr>
            </w:pPr>
            <w:r>
              <w:rPr>
                <w:rFonts w:ascii="Arial Narrow" w:hAnsi="Arial Narrow"/>
                <w:bCs/>
                <w:noProof/>
                <w:color w:val="000000"/>
                <w:sz w:val="18"/>
                <w:szCs w:val="18"/>
                <w:highlight w:val="black"/>
              </w:rPr>
              <w:t>''''''''''</w:t>
            </w:r>
            <w:r w:rsidR="00972B95" w:rsidRPr="00913156">
              <w:rPr>
                <w:rFonts w:ascii="Arial Narrow" w:hAnsi="Arial Narrow"/>
                <w:bCs/>
                <w:sz w:val="18"/>
                <w:szCs w:val="18"/>
              </w:rPr>
              <w:t xml:space="preserve"> (</w:t>
            </w:r>
            <w:r>
              <w:rPr>
                <w:rFonts w:ascii="Arial Narrow" w:hAnsi="Arial Narrow"/>
                <w:bCs/>
                <w:noProof/>
                <w:color w:val="000000"/>
                <w:sz w:val="18"/>
                <w:szCs w:val="18"/>
                <w:highlight w:val="black"/>
              </w:rPr>
              <w:t>''''''''''</w:t>
            </w:r>
            <w:r w:rsidR="00972B95" w:rsidRPr="00913156">
              <w:rPr>
                <w:rFonts w:ascii="Arial Narrow" w:hAnsi="Arial Narrow"/>
                <w:bCs/>
                <w:sz w:val="18"/>
                <w:szCs w:val="18"/>
              </w:rPr>
              <w:t xml:space="preserve">, </w:t>
            </w:r>
            <w:r>
              <w:rPr>
                <w:rFonts w:ascii="Arial Narrow" w:hAnsi="Arial Narrow"/>
                <w:bCs/>
                <w:noProof/>
                <w:color w:val="000000"/>
                <w:sz w:val="18"/>
                <w:szCs w:val="18"/>
                <w:highlight w:val="black"/>
              </w:rPr>
              <w:t>'''''''''''''''</w:t>
            </w:r>
            <w:r w:rsidR="00972B95" w:rsidRPr="00913156">
              <w:rPr>
                <w:rFonts w:ascii="Arial Narrow" w:hAnsi="Arial Narrow"/>
                <w:bCs/>
                <w:sz w:val="18"/>
                <w:szCs w:val="18"/>
              </w:rPr>
              <w:t>)</w:t>
            </w:r>
          </w:p>
        </w:tc>
      </w:tr>
      <w:tr w:rsidR="00972B95" w:rsidRPr="00913156" w:rsidTr="00EA63C1">
        <w:tc>
          <w:tcPr>
            <w:tcW w:w="5000" w:type="pct"/>
            <w:gridSpan w:val="6"/>
            <w:shd w:val="clear" w:color="auto" w:fill="auto"/>
            <w:vAlign w:val="center"/>
          </w:tcPr>
          <w:p w:rsidR="00972B95" w:rsidRPr="00913156" w:rsidRDefault="00972B95" w:rsidP="00EA63C1">
            <w:pPr>
              <w:contextualSpacing/>
              <w:jc w:val="left"/>
              <w:rPr>
                <w:rFonts w:ascii="Arial Narrow" w:hAnsi="Arial Narrow"/>
                <w:b/>
                <w:sz w:val="18"/>
                <w:szCs w:val="18"/>
                <w:vertAlign w:val="superscript"/>
              </w:rPr>
            </w:pPr>
            <w:r w:rsidRPr="00913156">
              <w:rPr>
                <w:rFonts w:ascii="Arial Narrow" w:hAnsi="Arial Narrow"/>
                <w:b/>
                <w:sz w:val="18"/>
                <w:szCs w:val="18"/>
              </w:rPr>
              <w:t>Adalimumab (fistula remission: complete closure of all fistulas) Wk 26</w:t>
            </w:r>
            <w:r w:rsidRPr="00913156">
              <w:rPr>
                <w:rFonts w:ascii="Arial Narrow" w:hAnsi="Arial Narrow"/>
                <w:b/>
                <w:sz w:val="18"/>
                <w:szCs w:val="18"/>
                <w:vertAlign w:val="superscript"/>
              </w:rPr>
              <w:t>#</w:t>
            </w:r>
          </w:p>
        </w:tc>
      </w:tr>
      <w:tr w:rsidR="00972B95" w:rsidRPr="00913156" w:rsidTr="00EA63C1">
        <w:tc>
          <w:tcPr>
            <w:tcW w:w="505" w:type="pct"/>
            <w:shd w:val="clear" w:color="auto" w:fill="auto"/>
            <w:vAlign w:val="center"/>
          </w:tcPr>
          <w:p w:rsidR="00972B95" w:rsidRPr="00913156" w:rsidRDefault="00972B95" w:rsidP="00EA63C1">
            <w:pPr>
              <w:contextualSpacing/>
              <w:jc w:val="left"/>
              <w:rPr>
                <w:rFonts w:ascii="Arial Narrow" w:hAnsi="Arial Narrow"/>
                <w:sz w:val="18"/>
                <w:szCs w:val="18"/>
              </w:rPr>
            </w:pPr>
            <w:r w:rsidRPr="00913156">
              <w:rPr>
                <w:rFonts w:ascii="Arial Narrow" w:hAnsi="Arial Narrow"/>
                <w:sz w:val="18"/>
                <w:szCs w:val="18"/>
              </w:rPr>
              <w:t>CHARM^</w:t>
            </w:r>
          </w:p>
        </w:tc>
        <w:tc>
          <w:tcPr>
            <w:tcW w:w="828"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10/30 (33)</w:t>
            </w:r>
          </w:p>
        </w:tc>
        <w:tc>
          <w:tcPr>
            <w:tcW w:w="830"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6/47 (13)</w:t>
            </w:r>
          </w:p>
        </w:tc>
        <w:tc>
          <w:tcPr>
            <w:tcW w:w="106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0.21 (0.02, 0.40)</w:t>
            </w:r>
          </w:p>
        </w:tc>
        <w:tc>
          <w:tcPr>
            <w:tcW w:w="913"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2.61 (1.09, 6.31)</w:t>
            </w:r>
          </w:p>
        </w:tc>
        <w:tc>
          <w:tcPr>
            <w:tcW w:w="857" w:type="pct"/>
            <w:shd w:val="clear" w:color="auto" w:fill="auto"/>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3.42 (0.95, 12.98)</w:t>
            </w:r>
          </w:p>
        </w:tc>
      </w:tr>
      <w:tr w:rsidR="00972B95" w:rsidRPr="00913156" w:rsidTr="00EA63C1">
        <w:tc>
          <w:tcPr>
            <w:tcW w:w="5000" w:type="pct"/>
            <w:gridSpan w:val="6"/>
            <w:shd w:val="clear" w:color="auto" w:fill="auto"/>
            <w:vAlign w:val="center"/>
          </w:tcPr>
          <w:p w:rsidR="00972B95" w:rsidRPr="00913156" w:rsidRDefault="00972B95" w:rsidP="00EA63C1">
            <w:pPr>
              <w:contextualSpacing/>
              <w:jc w:val="left"/>
              <w:rPr>
                <w:rFonts w:ascii="Arial Narrow" w:hAnsi="Arial Narrow"/>
                <w:b/>
                <w:sz w:val="18"/>
                <w:szCs w:val="18"/>
                <w:vertAlign w:val="superscript"/>
              </w:rPr>
            </w:pPr>
            <w:r w:rsidRPr="00913156">
              <w:rPr>
                <w:rFonts w:ascii="Arial Narrow" w:hAnsi="Arial Narrow"/>
                <w:b/>
                <w:sz w:val="18"/>
                <w:szCs w:val="18"/>
              </w:rPr>
              <w:t>Adalimumab (fistula remission: complete closure of all fistulas) Wk 56</w:t>
            </w:r>
            <w:r w:rsidRPr="00913156">
              <w:rPr>
                <w:rFonts w:ascii="Arial Narrow" w:hAnsi="Arial Narrow"/>
                <w:b/>
                <w:sz w:val="18"/>
                <w:szCs w:val="18"/>
                <w:vertAlign w:val="superscript"/>
              </w:rPr>
              <w:t>#</w:t>
            </w:r>
          </w:p>
        </w:tc>
      </w:tr>
      <w:tr w:rsidR="00972B95" w:rsidRPr="00913156" w:rsidTr="00EA63C1">
        <w:tc>
          <w:tcPr>
            <w:tcW w:w="505" w:type="pct"/>
            <w:shd w:val="clear" w:color="auto" w:fill="auto"/>
            <w:vAlign w:val="center"/>
          </w:tcPr>
          <w:p w:rsidR="00972B95" w:rsidRPr="00913156" w:rsidRDefault="00972B95" w:rsidP="00EA63C1">
            <w:pPr>
              <w:contextualSpacing/>
              <w:jc w:val="left"/>
              <w:rPr>
                <w:rFonts w:ascii="Arial Narrow" w:hAnsi="Arial Narrow"/>
                <w:sz w:val="18"/>
                <w:szCs w:val="18"/>
              </w:rPr>
            </w:pPr>
            <w:r w:rsidRPr="00913156">
              <w:rPr>
                <w:rFonts w:ascii="Arial Narrow" w:hAnsi="Arial Narrow"/>
                <w:sz w:val="18"/>
                <w:szCs w:val="18"/>
              </w:rPr>
              <w:t>CHARM^</w:t>
            </w:r>
          </w:p>
        </w:tc>
        <w:tc>
          <w:tcPr>
            <w:tcW w:w="828"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11/30 (37)</w:t>
            </w:r>
          </w:p>
        </w:tc>
        <w:tc>
          <w:tcPr>
            <w:tcW w:w="830"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6/47 (13)</w:t>
            </w:r>
          </w:p>
        </w:tc>
        <w:tc>
          <w:tcPr>
            <w:tcW w:w="106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0.24 (0.05, 0.44)</w:t>
            </w:r>
          </w:p>
        </w:tc>
        <w:tc>
          <w:tcPr>
            <w:tcW w:w="913"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2.87 (1.23, 6.83)</w:t>
            </w:r>
          </w:p>
        </w:tc>
        <w:tc>
          <w:tcPr>
            <w:tcW w:w="857" w:type="pct"/>
            <w:shd w:val="clear" w:color="auto" w:fill="auto"/>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3.96 (1.12, 14.84)</w:t>
            </w:r>
          </w:p>
        </w:tc>
      </w:tr>
      <w:tr w:rsidR="00972B95" w:rsidRPr="00913156" w:rsidTr="00EA63C1">
        <w:tc>
          <w:tcPr>
            <w:tcW w:w="5000" w:type="pct"/>
            <w:gridSpan w:val="6"/>
            <w:shd w:val="clear" w:color="auto" w:fill="auto"/>
            <w:vAlign w:val="center"/>
          </w:tcPr>
          <w:p w:rsidR="00972B95" w:rsidRPr="00913156" w:rsidRDefault="00972B95" w:rsidP="00EA63C1">
            <w:pPr>
              <w:contextualSpacing/>
              <w:jc w:val="left"/>
              <w:rPr>
                <w:rFonts w:ascii="Arial Narrow" w:hAnsi="Arial Narrow"/>
                <w:b/>
                <w:sz w:val="18"/>
                <w:szCs w:val="18"/>
                <w:vertAlign w:val="superscript"/>
              </w:rPr>
            </w:pPr>
            <w:r w:rsidRPr="00913156">
              <w:rPr>
                <w:rFonts w:ascii="Arial Narrow" w:hAnsi="Arial Narrow"/>
                <w:b/>
                <w:sz w:val="18"/>
                <w:szCs w:val="18"/>
              </w:rPr>
              <w:t>Infliximab (fistula response: ≥50% reduction in fistulas at consecutive visits) W</w:t>
            </w:r>
            <w:r w:rsidR="00F636B0" w:rsidRPr="00913156">
              <w:rPr>
                <w:rFonts w:ascii="Arial Narrow" w:hAnsi="Arial Narrow"/>
                <w:b/>
                <w:sz w:val="18"/>
                <w:szCs w:val="18"/>
              </w:rPr>
              <w:t xml:space="preserve"> </w:t>
            </w:r>
            <w:r w:rsidRPr="00913156">
              <w:rPr>
                <w:rFonts w:ascii="Arial Narrow" w:hAnsi="Arial Narrow"/>
                <w:b/>
                <w:sz w:val="18"/>
                <w:szCs w:val="18"/>
              </w:rPr>
              <w:t>54</w:t>
            </w:r>
            <w:r w:rsidRPr="00913156">
              <w:rPr>
                <w:rFonts w:ascii="Arial Narrow" w:hAnsi="Arial Narrow"/>
                <w:sz w:val="18"/>
                <w:szCs w:val="18"/>
                <w:vertAlign w:val="superscript"/>
              </w:rPr>
              <w:t>#</w:t>
            </w:r>
          </w:p>
        </w:tc>
      </w:tr>
      <w:tr w:rsidR="00972B95" w:rsidRPr="00913156" w:rsidTr="00EA63C1">
        <w:tc>
          <w:tcPr>
            <w:tcW w:w="505" w:type="pct"/>
            <w:shd w:val="clear" w:color="auto" w:fill="auto"/>
            <w:vAlign w:val="center"/>
          </w:tcPr>
          <w:p w:rsidR="00972B95" w:rsidRPr="00913156" w:rsidRDefault="00972B95" w:rsidP="00EA63C1">
            <w:pPr>
              <w:contextualSpacing/>
              <w:jc w:val="left"/>
              <w:rPr>
                <w:rFonts w:ascii="Arial Narrow" w:hAnsi="Arial Narrow"/>
                <w:sz w:val="18"/>
                <w:szCs w:val="18"/>
              </w:rPr>
            </w:pPr>
            <w:r w:rsidRPr="00913156">
              <w:rPr>
                <w:rFonts w:ascii="Arial Narrow" w:hAnsi="Arial Narrow"/>
                <w:sz w:val="18"/>
                <w:szCs w:val="18"/>
              </w:rPr>
              <w:t>ACCENT II</w:t>
            </w:r>
          </w:p>
        </w:tc>
        <w:tc>
          <w:tcPr>
            <w:tcW w:w="828"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42/91 (46)</w:t>
            </w:r>
          </w:p>
        </w:tc>
        <w:tc>
          <w:tcPr>
            <w:tcW w:w="830"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23/98 (23)</w:t>
            </w:r>
          </w:p>
        </w:tc>
        <w:tc>
          <w:tcPr>
            <w:tcW w:w="106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0.23 (0.09, 0.36)</w:t>
            </w:r>
          </w:p>
        </w:tc>
        <w:tc>
          <w:tcPr>
            <w:tcW w:w="913"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1.97 (1.30, 3.01)</w:t>
            </w:r>
          </w:p>
        </w:tc>
        <w:tc>
          <w:tcPr>
            <w:tcW w:w="857" w:type="pct"/>
            <w:shd w:val="clear" w:color="auto" w:fill="auto"/>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2.80 (1.44, 5.49)</w:t>
            </w:r>
          </w:p>
        </w:tc>
      </w:tr>
      <w:tr w:rsidR="00972B95" w:rsidRPr="00913156" w:rsidTr="00EA63C1">
        <w:tc>
          <w:tcPr>
            <w:tcW w:w="5000" w:type="pct"/>
            <w:gridSpan w:val="6"/>
            <w:shd w:val="clear" w:color="auto" w:fill="auto"/>
            <w:vAlign w:val="center"/>
          </w:tcPr>
          <w:p w:rsidR="00972B95" w:rsidRPr="00913156" w:rsidRDefault="00972B95" w:rsidP="00EA63C1">
            <w:pPr>
              <w:contextualSpacing/>
              <w:jc w:val="left"/>
              <w:rPr>
                <w:rFonts w:ascii="Arial Narrow" w:hAnsi="Arial Narrow"/>
                <w:b/>
                <w:sz w:val="18"/>
                <w:szCs w:val="18"/>
                <w:vertAlign w:val="superscript"/>
              </w:rPr>
            </w:pPr>
            <w:r w:rsidRPr="00913156">
              <w:rPr>
                <w:rFonts w:ascii="Arial Narrow" w:hAnsi="Arial Narrow"/>
                <w:b/>
                <w:sz w:val="18"/>
                <w:szCs w:val="18"/>
              </w:rPr>
              <w:t>Infliximab fistula remission (complete closure of all fistulas) Wk</w:t>
            </w:r>
            <w:r w:rsidR="00657ACD" w:rsidRPr="00913156">
              <w:rPr>
                <w:rFonts w:ascii="Arial Narrow" w:hAnsi="Arial Narrow"/>
                <w:b/>
                <w:sz w:val="18"/>
                <w:szCs w:val="18"/>
              </w:rPr>
              <w:t xml:space="preserve"> </w:t>
            </w:r>
            <w:r w:rsidRPr="00913156">
              <w:rPr>
                <w:rFonts w:ascii="Arial Narrow" w:hAnsi="Arial Narrow"/>
                <w:b/>
                <w:sz w:val="18"/>
                <w:szCs w:val="18"/>
              </w:rPr>
              <w:t>54</w:t>
            </w:r>
            <w:r w:rsidRPr="00913156">
              <w:rPr>
                <w:rFonts w:ascii="Arial Narrow" w:hAnsi="Arial Narrow"/>
                <w:b/>
                <w:sz w:val="18"/>
                <w:szCs w:val="18"/>
                <w:vertAlign w:val="superscript"/>
              </w:rPr>
              <w:t>#</w:t>
            </w:r>
          </w:p>
        </w:tc>
      </w:tr>
      <w:tr w:rsidR="00972B95" w:rsidRPr="00913156" w:rsidTr="00EA63C1">
        <w:tc>
          <w:tcPr>
            <w:tcW w:w="505" w:type="pct"/>
            <w:shd w:val="clear" w:color="auto" w:fill="auto"/>
            <w:vAlign w:val="center"/>
          </w:tcPr>
          <w:p w:rsidR="00972B95" w:rsidRPr="00913156" w:rsidRDefault="00972B95" w:rsidP="00EA63C1">
            <w:pPr>
              <w:contextualSpacing/>
              <w:jc w:val="left"/>
              <w:rPr>
                <w:rFonts w:ascii="Arial Narrow" w:hAnsi="Arial Narrow"/>
                <w:sz w:val="18"/>
                <w:szCs w:val="18"/>
              </w:rPr>
            </w:pPr>
            <w:r w:rsidRPr="00913156">
              <w:rPr>
                <w:rFonts w:ascii="Arial Narrow" w:hAnsi="Arial Narrow"/>
                <w:sz w:val="18"/>
                <w:szCs w:val="18"/>
              </w:rPr>
              <w:t>ACCENT II</w:t>
            </w:r>
          </w:p>
        </w:tc>
        <w:tc>
          <w:tcPr>
            <w:tcW w:w="828"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33/91 (36)</w:t>
            </w:r>
          </w:p>
        </w:tc>
        <w:tc>
          <w:tcPr>
            <w:tcW w:w="830" w:type="pct"/>
            <w:shd w:val="clear" w:color="auto" w:fill="auto"/>
            <w:vAlign w:val="center"/>
          </w:tcPr>
          <w:p w:rsidR="00972B95" w:rsidRPr="00913156" w:rsidRDefault="00972B95" w:rsidP="00EA63C1">
            <w:pPr>
              <w:contextualSpacing/>
              <w:jc w:val="center"/>
              <w:rPr>
                <w:rFonts w:ascii="Arial Narrow" w:hAnsi="Arial Narrow"/>
                <w:sz w:val="18"/>
                <w:szCs w:val="18"/>
              </w:rPr>
            </w:pPr>
            <w:r w:rsidRPr="00913156">
              <w:rPr>
                <w:rFonts w:ascii="Arial Narrow" w:hAnsi="Arial Narrow"/>
                <w:sz w:val="18"/>
                <w:szCs w:val="18"/>
              </w:rPr>
              <w:t>19/98 (19)</w:t>
            </w:r>
          </w:p>
        </w:tc>
        <w:tc>
          <w:tcPr>
            <w:tcW w:w="1067"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0.17 (0.04, 0.29)</w:t>
            </w:r>
          </w:p>
        </w:tc>
        <w:tc>
          <w:tcPr>
            <w:tcW w:w="913" w:type="pct"/>
            <w:shd w:val="clear" w:color="auto" w:fill="auto"/>
            <w:vAlign w:val="center"/>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1.87 (1.16, 3.05)</w:t>
            </w:r>
          </w:p>
        </w:tc>
        <w:tc>
          <w:tcPr>
            <w:tcW w:w="857" w:type="pct"/>
            <w:shd w:val="clear" w:color="auto" w:fill="auto"/>
          </w:tcPr>
          <w:p w:rsidR="00972B95" w:rsidRPr="00913156" w:rsidRDefault="00972B95" w:rsidP="00EA63C1">
            <w:pPr>
              <w:contextualSpacing/>
              <w:jc w:val="center"/>
              <w:rPr>
                <w:rFonts w:ascii="Arial Narrow" w:hAnsi="Arial Narrow"/>
                <w:b/>
                <w:sz w:val="18"/>
                <w:szCs w:val="18"/>
              </w:rPr>
            </w:pPr>
            <w:r w:rsidRPr="00913156">
              <w:rPr>
                <w:rFonts w:ascii="Arial Narrow" w:hAnsi="Arial Narrow"/>
                <w:b/>
                <w:sz w:val="18"/>
                <w:szCs w:val="18"/>
              </w:rPr>
              <w:t>2.37 (1.17, 4.85)</w:t>
            </w:r>
          </w:p>
        </w:tc>
      </w:tr>
    </w:tbl>
    <w:p w:rsidR="00EA63C1" w:rsidRPr="00913156" w:rsidRDefault="0065293A" w:rsidP="00EA63C1">
      <w:pPr>
        <w:snapToGrid w:val="0"/>
        <w:ind w:left="709"/>
        <w:rPr>
          <w:rFonts w:ascii="Arial Narrow" w:hAnsi="Arial Narrow"/>
          <w:snapToGrid/>
          <w:sz w:val="18"/>
          <w:szCs w:val="18"/>
        </w:rPr>
      </w:pPr>
      <w:r w:rsidRPr="00913156">
        <w:rPr>
          <w:rFonts w:ascii="Arial Narrow" w:hAnsi="Arial Narrow"/>
          <w:snapToGrid/>
          <w:sz w:val="18"/>
        </w:rPr>
        <w:t>R</w:t>
      </w:r>
      <w:r w:rsidR="00EA63C1" w:rsidRPr="00913156">
        <w:rPr>
          <w:rFonts w:ascii="Arial Narrow" w:hAnsi="Arial Narrow"/>
          <w:snapToGrid/>
          <w:sz w:val="18"/>
        </w:rPr>
        <w:t xml:space="preserve">esults extracted and estimated during the evaluation.  All RD, RR and OR were estimated during the evaluation using Stats </w:t>
      </w:r>
      <w:r w:rsidR="00EA63C1" w:rsidRPr="00913156">
        <w:rPr>
          <w:rFonts w:ascii="Arial Narrow" w:hAnsi="Arial Narrow"/>
          <w:snapToGrid/>
          <w:sz w:val="18"/>
          <w:szCs w:val="18"/>
        </w:rPr>
        <w:t>Direct version 3.</w:t>
      </w:r>
    </w:p>
    <w:p w:rsidR="00EA63C1" w:rsidRPr="00913156" w:rsidRDefault="00EA63C1" w:rsidP="00EA63C1">
      <w:pPr>
        <w:snapToGrid w:val="0"/>
        <w:ind w:left="709"/>
        <w:rPr>
          <w:rFonts w:ascii="Arial Narrow" w:hAnsi="Arial Narrow"/>
          <w:snapToGrid/>
          <w:sz w:val="18"/>
          <w:szCs w:val="18"/>
        </w:rPr>
      </w:pPr>
      <w:r w:rsidRPr="00913156">
        <w:rPr>
          <w:rFonts w:ascii="Arial Narrow" w:hAnsi="Arial Narrow"/>
          <w:snapToGrid/>
          <w:sz w:val="18"/>
          <w:szCs w:val="18"/>
        </w:rPr>
        <w:t>#</w:t>
      </w:r>
      <w:r w:rsidRPr="00913156">
        <w:rPr>
          <w:rFonts w:ascii="Arial Narrow" w:hAnsi="Arial Narrow"/>
          <w:snapToGrid/>
          <w:sz w:val="18"/>
          <w:szCs w:val="18"/>
        </w:rPr>
        <w:tab/>
        <w:t xml:space="preserve">counted from start of induction therapy.  </w:t>
      </w:r>
      <w:r w:rsidR="00CA59E8">
        <w:rPr>
          <w:rFonts w:ascii="Arial Narrow" w:hAnsi="Arial Narrow"/>
          <w:noProof/>
          <w:snapToGrid/>
          <w:color w:val="000000"/>
          <w:sz w:val="18"/>
          <w:szCs w:val="18"/>
          <w:highlight w:val="black"/>
        </w:rPr>
        <w:t>''''''''''''''''''''''' '''''''''' '''''''' ''''''''''''''''''''''' '''''''''' '''''''''''''' ''''''''''''''''</w:t>
      </w:r>
      <w:r w:rsidRPr="00913156">
        <w:rPr>
          <w:rFonts w:ascii="Arial Narrow" w:hAnsi="Arial Narrow"/>
          <w:sz w:val="18"/>
          <w:szCs w:val="18"/>
        </w:rPr>
        <w:t xml:space="preserve">. ^ </w:t>
      </w:r>
      <w:r w:rsidRPr="00913156">
        <w:rPr>
          <w:rFonts w:ascii="Arial Narrow" w:hAnsi="Arial Narrow"/>
          <w:snapToGrid/>
          <w:sz w:val="18"/>
          <w:szCs w:val="18"/>
        </w:rPr>
        <w:t xml:space="preserve">a lower loading dose was used in CHARM of 80mg at Wk0 then 40mg at Wk2. Statistically significant results are in </w:t>
      </w:r>
      <w:r w:rsidRPr="00913156">
        <w:rPr>
          <w:rFonts w:ascii="Arial Narrow" w:hAnsi="Arial Narrow"/>
          <w:b/>
          <w:snapToGrid/>
          <w:sz w:val="18"/>
          <w:szCs w:val="18"/>
        </w:rPr>
        <w:t>bold</w:t>
      </w:r>
      <w:r w:rsidR="00093CF0">
        <w:rPr>
          <w:rFonts w:ascii="Arial Narrow" w:hAnsi="Arial Narrow"/>
          <w:snapToGrid/>
          <w:sz w:val="18"/>
          <w:szCs w:val="18"/>
        </w:rPr>
        <w:t>.</w:t>
      </w:r>
    </w:p>
    <w:p w:rsidR="00EA63C1" w:rsidRPr="00913156" w:rsidRDefault="00EA63C1" w:rsidP="00EA63C1">
      <w:pPr>
        <w:snapToGrid w:val="0"/>
        <w:ind w:left="709"/>
        <w:rPr>
          <w:rFonts w:ascii="Arial Narrow" w:hAnsi="Arial Narrow"/>
          <w:snapToGrid/>
          <w:sz w:val="18"/>
          <w:szCs w:val="18"/>
        </w:rPr>
      </w:pPr>
      <w:r w:rsidRPr="00913156">
        <w:rPr>
          <w:rFonts w:ascii="Arial Narrow" w:hAnsi="Arial Narrow"/>
          <w:snapToGrid/>
          <w:sz w:val="18"/>
          <w:szCs w:val="18"/>
        </w:rPr>
        <w:t>Source: Table B.6-13 and B-14, p111-112 of Section B of the submission, p58 of Colombel 2</w:t>
      </w:r>
      <w:r w:rsidR="00093CF0">
        <w:rPr>
          <w:rFonts w:ascii="Arial Narrow" w:hAnsi="Arial Narrow"/>
          <w:snapToGrid/>
          <w:sz w:val="18"/>
          <w:szCs w:val="18"/>
        </w:rPr>
        <w:t>007 and the trial publications.</w:t>
      </w:r>
    </w:p>
    <w:p w:rsidR="00727CAA" w:rsidRPr="00414040" w:rsidRDefault="00727CAA" w:rsidP="00727CAA">
      <w:pPr>
        <w:rPr>
          <w:rFonts w:ascii="Arial Narrow" w:hAnsi="Arial Narrow"/>
          <w:i/>
          <w:snapToGrid/>
          <w:sz w:val="18"/>
          <w:szCs w:val="18"/>
        </w:rPr>
      </w:pPr>
    </w:p>
    <w:p w:rsidR="00727CAA" w:rsidRPr="00C51274" w:rsidRDefault="00727CAA" w:rsidP="00506A87">
      <w:pPr>
        <w:pStyle w:val="ListParagraph"/>
        <w:widowControl/>
        <w:numPr>
          <w:ilvl w:val="1"/>
          <w:numId w:val="1"/>
        </w:numPr>
        <w:rPr>
          <w:szCs w:val="22"/>
        </w:rPr>
      </w:pPr>
      <w:r w:rsidRPr="00C51274">
        <w:rPr>
          <w:szCs w:val="22"/>
        </w:rPr>
        <w:t>Although not directly comparable across trials, the results for induction therapy show that both UST and ADA were not significantly different to placebo treatment in attaining either</w:t>
      </w:r>
      <w:r w:rsidR="00972B95" w:rsidRPr="00C51274">
        <w:rPr>
          <w:szCs w:val="22"/>
        </w:rPr>
        <w:t xml:space="preserve"> fistula</w:t>
      </w:r>
      <w:r w:rsidRPr="00C51274">
        <w:rPr>
          <w:szCs w:val="22"/>
        </w:rPr>
        <w:t xml:space="preserve"> response or remission</w:t>
      </w:r>
      <w:r w:rsidR="00093CF0">
        <w:rPr>
          <w:szCs w:val="22"/>
        </w:rPr>
        <w:t>.</w:t>
      </w:r>
      <w:r w:rsidRPr="00C51274">
        <w:rPr>
          <w:szCs w:val="22"/>
        </w:rPr>
        <w:t xml:space="preserve"> </w:t>
      </w:r>
      <w:r w:rsidR="009F102A" w:rsidRPr="00C51274">
        <w:rPr>
          <w:szCs w:val="22"/>
        </w:rPr>
        <w:t>IFX</w:t>
      </w:r>
      <w:r w:rsidRPr="00C51274">
        <w:rPr>
          <w:szCs w:val="22"/>
        </w:rPr>
        <w:t xml:space="preserve"> treatment however was associated with significant improvements for both </w:t>
      </w:r>
      <w:r w:rsidR="00972B95" w:rsidRPr="00C51274">
        <w:rPr>
          <w:szCs w:val="22"/>
        </w:rPr>
        <w:t>outcomes (</w:t>
      </w:r>
      <w:r w:rsidRPr="00C51274">
        <w:rPr>
          <w:szCs w:val="22"/>
        </w:rPr>
        <w:t>fistula response (RD (95%CI): 0.42 (0.17, 0.62)) and remission (RD (95%CI): 0.42 (0.19, 0.61)).</w:t>
      </w:r>
    </w:p>
    <w:p w:rsidR="00727CAA" w:rsidRPr="00C51274" w:rsidRDefault="00727CAA" w:rsidP="00727CAA">
      <w:pPr>
        <w:pStyle w:val="ListParagraph"/>
        <w:widowControl/>
        <w:rPr>
          <w:szCs w:val="22"/>
        </w:rPr>
      </w:pPr>
    </w:p>
    <w:p w:rsidR="00727CAA" w:rsidRPr="00C51274" w:rsidRDefault="00727CAA" w:rsidP="00506A87">
      <w:pPr>
        <w:pStyle w:val="ListParagraph"/>
        <w:widowControl/>
        <w:numPr>
          <w:ilvl w:val="1"/>
          <w:numId w:val="1"/>
        </w:numPr>
        <w:rPr>
          <w:szCs w:val="22"/>
        </w:rPr>
      </w:pPr>
      <w:r w:rsidRPr="00C51274">
        <w:rPr>
          <w:szCs w:val="22"/>
        </w:rPr>
        <w:t xml:space="preserve">During maintenance, significantly greater proportions of </w:t>
      </w:r>
      <w:r w:rsidR="0029256D" w:rsidRPr="00C51274">
        <w:rPr>
          <w:szCs w:val="22"/>
        </w:rPr>
        <w:t>ADA</w:t>
      </w:r>
      <w:r w:rsidRPr="00C51274">
        <w:rPr>
          <w:szCs w:val="22"/>
        </w:rPr>
        <w:t xml:space="preserve"> and </w:t>
      </w:r>
      <w:r w:rsidR="009F102A" w:rsidRPr="00C51274">
        <w:rPr>
          <w:szCs w:val="22"/>
        </w:rPr>
        <w:t>IFX</w:t>
      </w:r>
      <w:r w:rsidRPr="00C51274">
        <w:rPr>
          <w:szCs w:val="22"/>
        </w:rPr>
        <w:t xml:space="preserve"> treated patients attained fistula response and remission versus placebo</w:t>
      </w:r>
      <w:r w:rsidR="00093CF0">
        <w:rPr>
          <w:szCs w:val="22"/>
        </w:rPr>
        <w:t xml:space="preserve">. </w:t>
      </w:r>
      <w:r w:rsidRPr="00C51274">
        <w:rPr>
          <w:szCs w:val="22"/>
        </w:rPr>
        <w:t xml:space="preserve">For UST, the comparison </w:t>
      </w:r>
      <w:r w:rsidR="00E56F3A" w:rsidRPr="00C51274">
        <w:rPr>
          <w:szCs w:val="22"/>
        </w:rPr>
        <w:t xml:space="preserve">was </w:t>
      </w:r>
      <w:r w:rsidRPr="00C51274">
        <w:rPr>
          <w:szCs w:val="22"/>
        </w:rPr>
        <w:t xml:space="preserve">not statistically significant </w:t>
      </w:r>
      <w:r w:rsidR="00093CF0">
        <w:rPr>
          <w:szCs w:val="22"/>
        </w:rPr>
        <w:t>to placebo.</w:t>
      </w:r>
      <w:r w:rsidR="00E56F3A" w:rsidRPr="00C51274">
        <w:rPr>
          <w:szCs w:val="22"/>
        </w:rPr>
        <w:t xml:space="preserve"> H</w:t>
      </w:r>
      <w:r w:rsidRPr="00C51274">
        <w:rPr>
          <w:szCs w:val="22"/>
        </w:rPr>
        <w:t>owever</w:t>
      </w:r>
      <w:r w:rsidR="007555AF">
        <w:rPr>
          <w:szCs w:val="22"/>
        </w:rPr>
        <w:t>,</w:t>
      </w:r>
      <w:r w:rsidRPr="00C51274">
        <w:rPr>
          <w:szCs w:val="22"/>
        </w:rPr>
        <w:t xml:space="preserve"> the numbers of patients giving results </w:t>
      </w:r>
      <w:r w:rsidR="004834D2" w:rsidRPr="00C51274">
        <w:rPr>
          <w:szCs w:val="22"/>
        </w:rPr>
        <w:t>wa</w:t>
      </w:r>
      <w:r w:rsidRPr="00C51274">
        <w:rPr>
          <w:szCs w:val="22"/>
        </w:rPr>
        <w:t>s very small (≤</w:t>
      </w:r>
      <w:r w:rsidR="00CA59E8">
        <w:rPr>
          <w:noProof/>
          <w:color w:val="000000"/>
          <w:szCs w:val="22"/>
          <w:highlight w:val="black"/>
        </w:rPr>
        <w:t>''''''</w:t>
      </w:r>
      <w:r w:rsidRPr="00C51274">
        <w:rPr>
          <w:szCs w:val="22"/>
        </w:rPr>
        <w:t xml:space="preserve"> patients in each arm), thus the</w:t>
      </w:r>
      <w:r w:rsidR="004834D2" w:rsidRPr="00C51274">
        <w:rPr>
          <w:szCs w:val="22"/>
        </w:rPr>
        <w:t xml:space="preserve"> comparison would have lacked statistical power.</w:t>
      </w:r>
      <w:r w:rsidR="00093CF0">
        <w:rPr>
          <w:szCs w:val="22"/>
        </w:rPr>
        <w:t xml:space="preserve"> </w:t>
      </w:r>
      <w:r w:rsidRPr="00C51274">
        <w:rPr>
          <w:szCs w:val="22"/>
        </w:rPr>
        <w:t>Importantly as the UST trials do not report on number of patients who attain fistula remission (which was the outcome relied on by the PBAC in previous consideration</w:t>
      </w:r>
      <w:r w:rsidR="00972B95" w:rsidRPr="00C51274">
        <w:rPr>
          <w:szCs w:val="22"/>
        </w:rPr>
        <w:t>s</w:t>
      </w:r>
      <w:r w:rsidRPr="00C51274">
        <w:rPr>
          <w:szCs w:val="22"/>
        </w:rPr>
        <w:t xml:space="preserve"> of fistulising CD), the data supporting the listing of UST in fistulising disease is considered poor</w:t>
      </w:r>
      <w:r w:rsidR="004834D2" w:rsidRPr="00C51274">
        <w:rPr>
          <w:szCs w:val="22"/>
        </w:rPr>
        <w:t xml:space="preserve"> and not comparable to those for listed treatments.</w:t>
      </w:r>
    </w:p>
    <w:p w:rsidR="00233D44" w:rsidRDefault="00233D44" w:rsidP="00233D44">
      <w:pPr>
        <w:rPr>
          <w:i/>
          <w:snapToGrid/>
        </w:rPr>
      </w:pPr>
      <w:bookmarkStart w:id="24" w:name="_Toc472503704"/>
    </w:p>
    <w:p w:rsidR="00233D44" w:rsidRDefault="00233D44" w:rsidP="00233D44"/>
    <w:p w:rsidR="00727CAA" w:rsidRPr="00414040" w:rsidRDefault="00727CAA" w:rsidP="00727CAA">
      <w:pPr>
        <w:pStyle w:val="Heading2"/>
        <w:rPr>
          <w:i/>
        </w:rPr>
      </w:pPr>
      <w:r w:rsidRPr="00414040">
        <w:rPr>
          <w:i/>
        </w:rPr>
        <w:t>Comparative harms</w:t>
      </w:r>
      <w:bookmarkEnd w:id="24"/>
    </w:p>
    <w:p w:rsidR="00727CAA" w:rsidRPr="00414040" w:rsidRDefault="00727CAA" w:rsidP="00727CAA">
      <w:pPr>
        <w:ind w:left="720" w:hanging="720"/>
        <w:rPr>
          <w:szCs w:val="22"/>
        </w:rPr>
      </w:pPr>
    </w:p>
    <w:p w:rsidR="00727CAA" w:rsidRPr="00414040" w:rsidRDefault="00727CAA" w:rsidP="00506A87">
      <w:pPr>
        <w:pStyle w:val="ListParagraph"/>
        <w:widowControl/>
        <w:numPr>
          <w:ilvl w:val="1"/>
          <w:numId w:val="1"/>
        </w:numPr>
        <w:rPr>
          <w:szCs w:val="22"/>
        </w:rPr>
      </w:pPr>
      <w:r w:rsidRPr="00414040">
        <w:t xml:space="preserve">There were no significant differences in the relative risks of any adverse events, serious adverse events or discontinuations due to adverse events with </w:t>
      </w:r>
      <w:r w:rsidR="009F102A" w:rsidRPr="009F102A">
        <w:t>UST</w:t>
      </w:r>
      <w:r w:rsidRPr="00414040">
        <w:t xml:space="preserve"> compared to </w:t>
      </w:r>
      <w:r w:rsidR="0029256D">
        <w:t>ADA</w:t>
      </w:r>
      <w:r w:rsidRPr="00414040">
        <w:t>.</w:t>
      </w:r>
    </w:p>
    <w:p w:rsidR="00727CAA" w:rsidRPr="00414040" w:rsidRDefault="00727CAA" w:rsidP="00727CAA">
      <w:pPr>
        <w:pStyle w:val="ListParagraph"/>
        <w:ind w:left="0"/>
        <w:rPr>
          <w:szCs w:val="22"/>
        </w:rPr>
      </w:pPr>
    </w:p>
    <w:p w:rsidR="00727CAA" w:rsidRDefault="00727CAA" w:rsidP="00727CAA">
      <w:pPr>
        <w:pStyle w:val="Heading2"/>
        <w:rPr>
          <w:i/>
        </w:rPr>
      </w:pPr>
      <w:bookmarkStart w:id="25" w:name="_Toc472503706"/>
      <w:r w:rsidRPr="00414040">
        <w:rPr>
          <w:i/>
        </w:rPr>
        <w:t>Clinical claim</w:t>
      </w:r>
      <w:bookmarkEnd w:id="25"/>
    </w:p>
    <w:p w:rsidR="00C51274" w:rsidRPr="00C51274" w:rsidRDefault="00C51274" w:rsidP="00C51274"/>
    <w:p w:rsidR="00727CAA" w:rsidRPr="00C51274" w:rsidRDefault="00727CAA" w:rsidP="00C51274">
      <w:pPr>
        <w:pStyle w:val="Heading3"/>
      </w:pPr>
      <w:r w:rsidRPr="00C51274">
        <w:t>Severe CD</w:t>
      </w:r>
    </w:p>
    <w:p w:rsidR="00727CAA" w:rsidRDefault="00727CAA" w:rsidP="00727CAA">
      <w:pPr>
        <w:rPr>
          <w:u w:val="single"/>
        </w:rPr>
      </w:pPr>
    </w:p>
    <w:p w:rsidR="00727CAA" w:rsidRDefault="00972B95" w:rsidP="00506A87">
      <w:pPr>
        <w:pStyle w:val="ListParagraph"/>
        <w:widowControl/>
        <w:numPr>
          <w:ilvl w:val="1"/>
          <w:numId w:val="1"/>
        </w:numPr>
      </w:pPr>
      <w:r w:rsidRPr="00C51274">
        <w:t>The submission described UST as non-inferior in terms of comparative effecti</w:t>
      </w:r>
      <w:r w:rsidR="00093CF0">
        <w:t xml:space="preserve">veness over ADA for severe CD. </w:t>
      </w:r>
      <w:r w:rsidRPr="00C51274">
        <w:t>Th</w:t>
      </w:r>
      <w:r w:rsidR="008828C2">
        <w:t>e</w:t>
      </w:r>
      <w:r w:rsidRPr="00C51274">
        <w:t xml:space="preserve"> </w:t>
      </w:r>
      <w:r w:rsidR="008828C2">
        <w:t xml:space="preserve">evaluation considered this </w:t>
      </w:r>
      <w:r w:rsidRPr="00C51274">
        <w:t>may not be reasonable particularly in the maintena</w:t>
      </w:r>
      <w:r w:rsidR="00093CF0">
        <w:t>nce phase.</w:t>
      </w:r>
      <w:r w:rsidRPr="00C51274">
        <w:t xml:space="preserve"> For maintenance, the </w:t>
      </w:r>
      <w:r w:rsidR="006F53ED" w:rsidRPr="00C51274">
        <w:t xml:space="preserve">submission’s </w:t>
      </w:r>
      <w:r w:rsidRPr="00C51274">
        <w:t xml:space="preserve">indirect comparison of clinical remission in initial remitters had relied on the results of CLASSIC II for ADA which was a follow-on trial from CLASSIC I, with very small patient numbers (37 patients in total) and no additional statistical </w:t>
      </w:r>
      <w:r w:rsidR="00093CF0">
        <w:t>power to determine differences.</w:t>
      </w:r>
      <w:r w:rsidRPr="00C51274">
        <w:t xml:space="preserve"> The results used for UST fr</w:t>
      </w:r>
      <w:r w:rsidR="00093CF0">
        <w:t>om IM-UNITI were also post-hoc.</w:t>
      </w:r>
      <w:r w:rsidRPr="00C51274">
        <w:t xml:space="preserve"> </w:t>
      </w:r>
      <w:r w:rsidR="00C177A9" w:rsidRPr="00C51274">
        <w:t xml:space="preserve">Additional indirect comparison conducted during the evaluation using results from all ADA maintenance trials (CLASSIC II, CHARM and Wantanabe) </w:t>
      </w:r>
      <w:r w:rsidR="00497C9A" w:rsidRPr="00C51274">
        <w:t xml:space="preserve">also </w:t>
      </w:r>
      <w:r w:rsidR="00C177A9" w:rsidRPr="00C51274">
        <w:t xml:space="preserve">showed </w:t>
      </w:r>
      <w:r w:rsidR="00497C9A" w:rsidRPr="00C51274">
        <w:t>that</w:t>
      </w:r>
      <w:r w:rsidR="00C177A9" w:rsidRPr="00C51274">
        <w:t xml:space="preserve"> results </w:t>
      </w:r>
      <w:r w:rsidR="00497C9A" w:rsidRPr="00C51274">
        <w:t xml:space="preserve">had consistently </w:t>
      </w:r>
      <w:r w:rsidR="00C177A9" w:rsidRPr="00C51274">
        <w:t>favour</w:t>
      </w:r>
      <w:r w:rsidR="00497C9A" w:rsidRPr="00C51274">
        <w:t>ed</w:t>
      </w:r>
      <w:r w:rsidR="00C177A9" w:rsidRPr="00C51274">
        <w:t xml:space="preserve"> ADA</w:t>
      </w:r>
      <w:r w:rsidR="00497C9A" w:rsidRPr="00C51274">
        <w:t xml:space="preserve"> (although none reached statistical </w:t>
      </w:r>
      <w:r w:rsidR="00497C9A" w:rsidRPr="0077213E">
        <w:t xml:space="preserve">significance), which is also true for results of indirect comparisons for the </w:t>
      </w:r>
      <w:r w:rsidRPr="0077213E">
        <w:t>initiation</w:t>
      </w:r>
      <w:r w:rsidR="00497C9A" w:rsidRPr="0077213E">
        <w:t xml:space="preserve"> phase. </w:t>
      </w:r>
      <w:r w:rsidRPr="0077213E">
        <w:t xml:space="preserve">No non-inferiority margins were nominated by the submission, however based on the lower confidence intervals of indirect comparisons, UST may be up to </w:t>
      </w:r>
      <w:r w:rsidR="00CA59E8">
        <w:rPr>
          <w:noProof/>
          <w:color w:val="000000"/>
          <w:highlight w:val="black"/>
        </w:rPr>
        <w:t>''''''</w:t>
      </w:r>
      <w:r w:rsidRPr="0077213E">
        <w:t xml:space="preserve">% (RD) worse than ADA (See Table </w:t>
      </w:r>
      <w:r w:rsidR="00497C9A" w:rsidRPr="0077213E">
        <w:t>5</w:t>
      </w:r>
      <w:r w:rsidR="00E05F30" w:rsidRPr="0077213E">
        <w:t>).</w:t>
      </w:r>
    </w:p>
    <w:p w:rsidR="008828C2" w:rsidRDefault="008828C2" w:rsidP="008828C2">
      <w:pPr>
        <w:pStyle w:val="ListParagraph"/>
        <w:widowControl/>
      </w:pPr>
    </w:p>
    <w:p w:rsidR="008828C2" w:rsidRDefault="00B63A60" w:rsidP="00506A87">
      <w:pPr>
        <w:pStyle w:val="ListParagraph"/>
        <w:widowControl/>
        <w:numPr>
          <w:ilvl w:val="1"/>
          <w:numId w:val="1"/>
        </w:numPr>
      </w:pPr>
      <w:r>
        <w:t>The PBAC noted a number of exchangeability issues in the indirect comparison may have biased results against ustekinumab.</w:t>
      </w:r>
    </w:p>
    <w:p w:rsidR="0077213E" w:rsidRPr="0077213E" w:rsidRDefault="0077213E" w:rsidP="0077213E">
      <w:pPr>
        <w:pStyle w:val="ListParagraph"/>
        <w:widowControl/>
      </w:pPr>
    </w:p>
    <w:p w:rsidR="00727CAA" w:rsidRPr="0077213E" w:rsidRDefault="00727CAA" w:rsidP="00506A87">
      <w:pPr>
        <w:pStyle w:val="ListParagraph"/>
        <w:widowControl/>
        <w:numPr>
          <w:ilvl w:val="1"/>
          <w:numId w:val="1"/>
        </w:numPr>
      </w:pPr>
      <w:r w:rsidRPr="0077213E">
        <w:t xml:space="preserve">Based on PBS Therapeutic Relativity Sheets (dated 1 October 2016), the submission also claimed that UST </w:t>
      </w:r>
      <w:r w:rsidR="00972B95" w:rsidRPr="0077213E">
        <w:t>is</w:t>
      </w:r>
      <w:r w:rsidRPr="0077213E">
        <w:t xml:space="preserve"> non-inferior to </w:t>
      </w:r>
      <w:r w:rsidR="009F102A" w:rsidRPr="0077213E">
        <w:rPr>
          <w:u w:val="single"/>
        </w:rPr>
        <w:t>IFX</w:t>
      </w:r>
      <w:r w:rsidRPr="0077213E">
        <w:rPr>
          <w:u w:val="single"/>
        </w:rPr>
        <w:t xml:space="preserve"> and</w:t>
      </w:r>
      <w:r w:rsidR="009F102A" w:rsidRPr="0077213E">
        <w:rPr>
          <w:u w:val="single"/>
        </w:rPr>
        <w:t xml:space="preserve"> </w:t>
      </w:r>
      <w:r w:rsidRPr="0077213E">
        <w:rPr>
          <w:u w:val="single"/>
        </w:rPr>
        <w:t>VDZ</w:t>
      </w:r>
      <w:r w:rsidR="00093CF0">
        <w:t>.</w:t>
      </w:r>
      <w:r w:rsidRPr="0077213E">
        <w:t xml:space="preserve"> Th</w:t>
      </w:r>
      <w:r w:rsidR="008563B6" w:rsidRPr="0077213E">
        <w:t>is</w:t>
      </w:r>
      <w:r w:rsidRPr="0077213E">
        <w:t xml:space="preserve"> conclusion may not be appropriate for </w:t>
      </w:r>
      <w:r w:rsidR="009F102A" w:rsidRPr="0077213E">
        <w:t>IFX</w:t>
      </w:r>
      <w:r w:rsidR="008563B6" w:rsidRPr="0077213E">
        <w:t>.</w:t>
      </w:r>
      <w:r w:rsidRPr="0077213E">
        <w:t xml:space="preserve"> </w:t>
      </w:r>
      <w:r w:rsidR="008563B6" w:rsidRPr="0077213E">
        <w:t>R</w:t>
      </w:r>
      <w:r w:rsidRPr="0077213E">
        <w:t>esults of additional indirect comparisons conducted during the evaluation indicated:</w:t>
      </w:r>
    </w:p>
    <w:p w:rsidR="00727CAA" w:rsidRPr="00C51274" w:rsidRDefault="00727CAA" w:rsidP="00506A87">
      <w:pPr>
        <w:pStyle w:val="ListParagraph"/>
        <w:widowControl/>
        <w:numPr>
          <w:ilvl w:val="0"/>
          <w:numId w:val="2"/>
        </w:numPr>
        <w:ind w:left="993" w:hanging="284"/>
      </w:pPr>
      <w:r w:rsidRPr="0077213E">
        <w:t>UST may be inferior in terms of comparative effectiveness</w:t>
      </w:r>
      <w:r w:rsidRPr="00C51274">
        <w:t xml:space="preserve"> over IFX</w:t>
      </w:r>
      <w:r w:rsidR="009F102A" w:rsidRPr="00C51274">
        <w:t>.</w:t>
      </w:r>
    </w:p>
    <w:p w:rsidR="00727CAA" w:rsidRPr="00C51274" w:rsidRDefault="00727CAA" w:rsidP="00506A87">
      <w:pPr>
        <w:pStyle w:val="ListParagraph"/>
        <w:widowControl/>
        <w:numPr>
          <w:ilvl w:val="0"/>
          <w:numId w:val="2"/>
        </w:numPr>
        <w:ind w:left="993" w:hanging="284"/>
      </w:pPr>
      <w:r w:rsidRPr="00C51274">
        <w:t xml:space="preserve">During induction, for clinical remission (CDAI&lt;150) UST treated patients had significantly lower response rates versus </w:t>
      </w:r>
      <w:r w:rsidR="009F102A" w:rsidRPr="00C51274">
        <w:t>IFX</w:t>
      </w:r>
      <w:r w:rsidRPr="00C51274">
        <w:t xml:space="preserve"> when tested using the RD statistic (however the differences did not reach statistical significance using the RR and OR statistics).  For clinical response (CR-70), UST treatment was associated with significantly lower response compared to IFX (</w:t>
      </w:r>
      <w:r w:rsidR="00093CF0">
        <w:t>RD (95%CI: 0.32 (0.13, 0.81)).</w:t>
      </w:r>
    </w:p>
    <w:p w:rsidR="00727CAA" w:rsidRPr="00C51274" w:rsidRDefault="00727CAA" w:rsidP="00506A87">
      <w:pPr>
        <w:pStyle w:val="ListParagraph"/>
        <w:widowControl/>
        <w:numPr>
          <w:ilvl w:val="0"/>
          <w:numId w:val="2"/>
        </w:numPr>
        <w:ind w:left="993" w:hanging="284"/>
      </w:pPr>
      <w:r w:rsidRPr="00C51274">
        <w:t>For maintenance, the results had favoured IFX, but did not reach statistical significance.</w:t>
      </w:r>
    </w:p>
    <w:p w:rsidR="00727CAA" w:rsidRPr="00C51274" w:rsidRDefault="00AE14B5" w:rsidP="00506A87">
      <w:pPr>
        <w:pStyle w:val="ListParagraph"/>
        <w:widowControl/>
        <w:numPr>
          <w:ilvl w:val="0"/>
          <w:numId w:val="2"/>
        </w:numPr>
        <w:ind w:left="993" w:hanging="284"/>
      </w:pPr>
      <w:r w:rsidRPr="00C51274">
        <w:t xml:space="preserve">Although there were no significant differences in comparative effectiveness </w:t>
      </w:r>
      <w:r w:rsidR="00E83337" w:rsidRPr="00C51274">
        <w:t>results</w:t>
      </w:r>
      <w:r w:rsidRPr="00C51274">
        <w:t xml:space="preserve"> between UST and VDZ, in maintenance, </w:t>
      </w:r>
      <w:r w:rsidR="00E83337" w:rsidRPr="00C51274">
        <w:t>they</w:t>
      </w:r>
      <w:r w:rsidR="00093CF0">
        <w:t xml:space="preserve"> had favoured VDZ.</w:t>
      </w:r>
      <w:r w:rsidRPr="00C51274">
        <w:t xml:space="preserve"> No non-inferiority margin was nominated by the submission to assist with interpretation of the evidence.</w:t>
      </w:r>
    </w:p>
    <w:p w:rsidR="00727CAA" w:rsidRPr="00C51274" w:rsidRDefault="00727CAA" w:rsidP="00727CAA">
      <w:pPr>
        <w:pStyle w:val="ListParagraph"/>
        <w:widowControl/>
      </w:pPr>
    </w:p>
    <w:p w:rsidR="00727CAA" w:rsidRPr="004911EB" w:rsidRDefault="00727CAA" w:rsidP="00506A87">
      <w:pPr>
        <w:pStyle w:val="ListParagraph"/>
        <w:widowControl/>
        <w:numPr>
          <w:ilvl w:val="1"/>
          <w:numId w:val="1"/>
        </w:numPr>
      </w:pPr>
      <w:r w:rsidRPr="00C51274">
        <w:t>The results of the indirect comparisons need to be interpreted with caution given differences across trials that may affect exchangeability, such as prior treatment and response to TNF</w:t>
      </w:r>
      <w:r w:rsidR="00E83337" w:rsidRPr="00C51274">
        <w:t>α</w:t>
      </w:r>
      <w:r w:rsidRPr="00C51274">
        <w:t xml:space="preserve"> antagonists, timing of treatment assessments, date of the trials and response criteria for enrolm</w:t>
      </w:r>
      <w:r w:rsidR="00093CF0">
        <w:t>ent into the maintenance phase.</w:t>
      </w:r>
      <w:r w:rsidR="00AE14B5" w:rsidRPr="00C51274">
        <w:t xml:space="preserve"> The trial data for IFX </w:t>
      </w:r>
      <w:r w:rsidR="00AE14B5" w:rsidRPr="004911EB">
        <w:t xml:space="preserve">during induction (T16) </w:t>
      </w:r>
      <w:r w:rsidR="00E83337" w:rsidRPr="004911EB">
        <w:t xml:space="preserve">also </w:t>
      </w:r>
      <w:r w:rsidR="008563B6" w:rsidRPr="004911EB">
        <w:t xml:space="preserve">had </w:t>
      </w:r>
      <w:r w:rsidR="00AE14B5" w:rsidRPr="004911EB">
        <w:t>extremely wide confidence intervals with very small patient numbers.</w:t>
      </w:r>
    </w:p>
    <w:p w:rsidR="004911EB" w:rsidRPr="004911EB" w:rsidRDefault="004911EB" w:rsidP="004911EB">
      <w:pPr>
        <w:pStyle w:val="ListParagraph"/>
        <w:widowControl/>
        <w:ind w:left="993"/>
        <w:rPr>
          <w:szCs w:val="22"/>
        </w:rPr>
      </w:pPr>
    </w:p>
    <w:p w:rsidR="004911EB" w:rsidRPr="004911EB" w:rsidRDefault="004911EB" w:rsidP="004911EB">
      <w:pPr>
        <w:pStyle w:val="ListParagraph"/>
        <w:widowControl/>
        <w:numPr>
          <w:ilvl w:val="1"/>
          <w:numId w:val="1"/>
        </w:numPr>
        <w:jc w:val="left"/>
        <w:rPr>
          <w:bCs/>
        </w:rPr>
      </w:pPr>
      <w:r w:rsidRPr="004911EB">
        <w:rPr>
          <w:bCs/>
          <w:szCs w:val="22"/>
        </w:rPr>
        <w:t>The PBAC considered</w:t>
      </w:r>
      <w:r>
        <w:rPr>
          <w:bCs/>
          <w:szCs w:val="22"/>
        </w:rPr>
        <w:t>, on balance,</w:t>
      </w:r>
      <w:r w:rsidRPr="004911EB">
        <w:rPr>
          <w:bCs/>
          <w:szCs w:val="22"/>
        </w:rPr>
        <w:t xml:space="preserve"> that the claim of non</w:t>
      </w:r>
      <w:r>
        <w:rPr>
          <w:bCs/>
          <w:szCs w:val="22"/>
        </w:rPr>
        <w:t>-</w:t>
      </w:r>
      <w:r w:rsidRPr="004911EB">
        <w:rPr>
          <w:bCs/>
          <w:szCs w:val="22"/>
        </w:rPr>
        <w:t>inferior comparative effectiveness of ustekinumab for the treatment of severe Crohn’s disease was reasonable.</w:t>
      </w:r>
    </w:p>
    <w:p w:rsidR="00487776" w:rsidRPr="00487776" w:rsidRDefault="00487776" w:rsidP="00487776">
      <w:pPr>
        <w:ind w:firstLine="720"/>
        <w:rPr>
          <w:bCs/>
          <w:i/>
          <w:szCs w:val="22"/>
        </w:rPr>
      </w:pPr>
    </w:p>
    <w:p w:rsidR="004911EB" w:rsidRPr="00487776" w:rsidRDefault="00487776" w:rsidP="00487776">
      <w:pPr>
        <w:ind w:firstLine="720"/>
        <w:rPr>
          <w:bCs/>
          <w:i/>
          <w:szCs w:val="22"/>
        </w:rPr>
      </w:pPr>
      <w:r w:rsidRPr="00487776">
        <w:rPr>
          <w:bCs/>
          <w:i/>
          <w:szCs w:val="22"/>
        </w:rPr>
        <w:t>For more detail on PBAC’s view, see section 7 “PBAC outcome”</w:t>
      </w:r>
    </w:p>
    <w:p w:rsidR="00C51274" w:rsidRPr="00487776" w:rsidRDefault="00C51274" w:rsidP="00487776">
      <w:pPr>
        <w:ind w:firstLine="720"/>
        <w:rPr>
          <w:bCs/>
          <w:i/>
          <w:szCs w:val="22"/>
        </w:rPr>
      </w:pPr>
    </w:p>
    <w:p w:rsidR="00727CAA" w:rsidRPr="00414040" w:rsidRDefault="00727CAA" w:rsidP="00C51274">
      <w:pPr>
        <w:pStyle w:val="Heading3"/>
      </w:pPr>
      <w:r w:rsidRPr="00414040">
        <w:t>Fistulising CD</w:t>
      </w:r>
    </w:p>
    <w:p w:rsidR="00727CAA" w:rsidRDefault="00727CAA" w:rsidP="00727CAA">
      <w:pPr>
        <w:ind w:left="720" w:hanging="720"/>
        <w:rPr>
          <w:szCs w:val="22"/>
        </w:rPr>
      </w:pPr>
    </w:p>
    <w:p w:rsidR="00727CAA" w:rsidRPr="00C51274" w:rsidRDefault="00727CAA" w:rsidP="00506A87">
      <w:pPr>
        <w:pStyle w:val="ListParagraph"/>
        <w:widowControl/>
        <w:numPr>
          <w:ilvl w:val="1"/>
          <w:numId w:val="1"/>
        </w:numPr>
      </w:pPr>
      <w:r w:rsidRPr="00C51274">
        <w:t xml:space="preserve">The submission described </w:t>
      </w:r>
      <w:r w:rsidR="009F102A" w:rsidRPr="00C51274">
        <w:t>UST</w:t>
      </w:r>
      <w:r w:rsidRPr="00C51274">
        <w:t xml:space="preserve"> </w:t>
      </w:r>
      <w:r w:rsidR="00E83337" w:rsidRPr="00C51274">
        <w:t xml:space="preserve">in fistulising CD </w:t>
      </w:r>
      <w:r w:rsidRPr="00C51274">
        <w:t xml:space="preserve">as non-inferior in terms of comparative effectiveness over </w:t>
      </w:r>
      <w:r w:rsidR="0029256D" w:rsidRPr="00C51274">
        <w:t>ADA</w:t>
      </w:r>
      <w:r w:rsidRPr="00C51274">
        <w:t xml:space="preserve"> and also versus </w:t>
      </w:r>
      <w:r w:rsidR="009F102A" w:rsidRPr="00C51274">
        <w:t>IFX</w:t>
      </w:r>
      <w:r w:rsidRPr="00C51274">
        <w:t xml:space="preserve"> (based on the PBS Therapeutic Relativity S</w:t>
      </w:r>
      <w:r w:rsidR="00093CF0">
        <w:t xml:space="preserve">heets (dated 1 October 2016)). </w:t>
      </w:r>
      <w:r w:rsidRPr="00C51274">
        <w:t>This claim was poorly supported:</w:t>
      </w:r>
    </w:p>
    <w:p w:rsidR="00727CAA" w:rsidRPr="00C51274" w:rsidRDefault="00727CAA" w:rsidP="00506A87">
      <w:pPr>
        <w:pStyle w:val="ListParagraph"/>
        <w:widowControl/>
        <w:numPr>
          <w:ilvl w:val="0"/>
          <w:numId w:val="2"/>
        </w:numPr>
        <w:ind w:left="993" w:hanging="284"/>
        <w:rPr>
          <w:szCs w:val="22"/>
        </w:rPr>
      </w:pPr>
      <w:r w:rsidRPr="00C51274">
        <w:rPr>
          <w:szCs w:val="22"/>
        </w:rPr>
        <w:t xml:space="preserve">No comparative results between </w:t>
      </w:r>
      <w:r w:rsidR="009F102A" w:rsidRPr="00C51274">
        <w:rPr>
          <w:szCs w:val="22"/>
        </w:rPr>
        <w:t>UST</w:t>
      </w:r>
      <w:r w:rsidRPr="00C51274">
        <w:rPr>
          <w:szCs w:val="22"/>
        </w:rPr>
        <w:t xml:space="preserve"> and comparators were presented, and the claim for </w:t>
      </w:r>
      <w:r w:rsidR="009F102A" w:rsidRPr="00C51274">
        <w:rPr>
          <w:szCs w:val="22"/>
        </w:rPr>
        <w:t>UST</w:t>
      </w:r>
      <w:r w:rsidRPr="00C51274">
        <w:rPr>
          <w:szCs w:val="22"/>
        </w:rPr>
        <w:t xml:space="preserve"> relied on a descriptive comparison versus </w:t>
      </w:r>
      <w:r w:rsidR="0029256D" w:rsidRPr="00C51274">
        <w:rPr>
          <w:szCs w:val="22"/>
        </w:rPr>
        <w:t>ADA</w:t>
      </w:r>
      <w:r w:rsidRPr="00C51274">
        <w:rPr>
          <w:szCs w:val="22"/>
        </w:rPr>
        <w:t>.</w:t>
      </w:r>
    </w:p>
    <w:p w:rsidR="00727CAA" w:rsidRPr="00C51274" w:rsidRDefault="00727CAA" w:rsidP="00506A87">
      <w:pPr>
        <w:pStyle w:val="ListParagraph"/>
        <w:widowControl/>
        <w:numPr>
          <w:ilvl w:val="0"/>
          <w:numId w:val="2"/>
        </w:numPr>
        <w:ind w:left="993" w:hanging="284"/>
        <w:rPr>
          <w:szCs w:val="22"/>
        </w:rPr>
      </w:pPr>
      <w:r w:rsidRPr="00C51274">
        <w:rPr>
          <w:szCs w:val="22"/>
        </w:rPr>
        <w:t xml:space="preserve">The </w:t>
      </w:r>
      <w:r w:rsidR="009F102A" w:rsidRPr="00C51274">
        <w:t>UST</w:t>
      </w:r>
      <w:r w:rsidRPr="00C51274">
        <w:rPr>
          <w:szCs w:val="22"/>
        </w:rPr>
        <w:t xml:space="preserve"> trials had small numbers of patients with fistulas and the results showed no difference versus placebo in terms of fistula response (≥50% reduction in fistulas from baseline) in either induction or maintenance phases</w:t>
      </w:r>
      <w:r w:rsidR="004834D2" w:rsidRPr="00C51274">
        <w:rPr>
          <w:szCs w:val="22"/>
        </w:rPr>
        <w:t>.</w:t>
      </w:r>
    </w:p>
    <w:p w:rsidR="00727CAA" w:rsidRDefault="00727CAA" w:rsidP="00506A87">
      <w:pPr>
        <w:pStyle w:val="ListParagraph"/>
        <w:widowControl/>
        <w:numPr>
          <w:ilvl w:val="0"/>
          <w:numId w:val="2"/>
        </w:numPr>
        <w:ind w:left="993" w:hanging="284"/>
        <w:rPr>
          <w:szCs w:val="22"/>
        </w:rPr>
      </w:pPr>
      <w:r w:rsidRPr="00C51274">
        <w:rPr>
          <w:szCs w:val="22"/>
        </w:rPr>
        <w:t xml:space="preserve">This differs to results from </w:t>
      </w:r>
      <w:r w:rsidR="0029256D" w:rsidRPr="00C51274">
        <w:rPr>
          <w:szCs w:val="22"/>
        </w:rPr>
        <w:t>ADA</w:t>
      </w:r>
      <w:r w:rsidRPr="00C51274">
        <w:rPr>
          <w:szCs w:val="22"/>
        </w:rPr>
        <w:t xml:space="preserve"> and </w:t>
      </w:r>
      <w:r w:rsidR="009F102A" w:rsidRPr="00C51274">
        <w:rPr>
          <w:szCs w:val="22"/>
        </w:rPr>
        <w:t>IFX</w:t>
      </w:r>
      <w:r w:rsidRPr="00C51274">
        <w:rPr>
          <w:szCs w:val="22"/>
        </w:rPr>
        <w:t xml:space="preserve"> trials, which particularly for maintenance showed that significantly more patients treated with </w:t>
      </w:r>
      <w:r w:rsidR="0029256D" w:rsidRPr="00C51274">
        <w:rPr>
          <w:szCs w:val="22"/>
        </w:rPr>
        <w:t>ADA</w:t>
      </w:r>
      <w:r w:rsidRPr="00C51274">
        <w:rPr>
          <w:szCs w:val="22"/>
        </w:rPr>
        <w:t xml:space="preserve"> and </w:t>
      </w:r>
      <w:r w:rsidR="009F102A" w:rsidRPr="00C51274">
        <w:rPr>
          <w:szCs w:val="22"/>
        </w:rPr>
        <w:t>IFX</w:t>
      </w:r>
      <w:r w:rsidRPr="00C51274">
        <w:rPr>
          <w:szCs w:val="22"/>
        </w:rPr>
        <w:t xml:space="preserve"> had achieved </w:t>
      </w:r>
      <w:r w:rsidRPr="004911EB">
        <w:rPr>
          <w:szCs w:val="22"/>
        </w:rPr>
        <w:t>fistula remission (complete closure of fistulas) and</w:t>
      </w:r>
      <w:r w:rsidR="008834B6" w:rsidRPr="004911EB">
        <w:rPr>
          <w:szCs w:val="22"/>
        </w:rPr>
        <w:t>/</w:t>
      </w:r>
      <w:r w:rsidRPr="004911EB">
        <w:rPr>
          <w:szCs w:val="22"/>
        </w:rPr>
        <w:t>or response (≥50% reduct</w:t>
      </w:r>
      <w:r w:rsidR="00C51274" w:rsidRPr="004911EB">
        <w:rPr>
          <w:szCs w:val="22"/>
        </w:rPr>
        <w:t>ion in fistulas) versus placebo.</w:t>
      </w:r>
    </w:p>
    <w:p w:rsidR="004911EB" w:rsidRPr="004911EB" w:rsidRDefault="004911EB" w:rsidP="004911EB">
      <w:pPr>
        <w:pStyle w:val="ListParagraph"/>
        <w:widowControl/>
        <w:ind w:left="993"/>
        <w:rPr>
          <w:szCs w:val="22"/>
        </w:rPr>
      </w:pPr>
    </w:p>
    <w:p w:rsidR="004911EB" w:rsidRDefault="004911EB" w:rsidP="004911EB">
      <w:pPr>
        <w:pStyle w:val="ListParagraph"/>
        <w:widowControl/>
        <w:numPr>
          <w:ilvl w:val="1"/>
          <w:numId w:val="1"/>
        </w:numPr>
        <w:rPr>
          <w:bCs/>
        </w:rPr>
      </w:pPr>
      <w:r w:rsidRPr="004911EB">
        <w:rPr>
          <w:bCs/>
        </w:rPr>
        <w:t xml:space="preserve">The PBAC considered the claim of non-inferior comparative effectiveness of ustekinumab for the treatment of </w:t>
      </w:r>
      <w:r>
        <w:rPr>
          <w:bCs/>
        </w:rPr>
        <w:t>fistulising</w:t>
      </w:r>
      <w:r w:rsidRPr="004911EB">
        <w:rPr>
          <w:bCs/>
        </w:rPr>
        <w:t xml:space="preserve"> Crohn’s disease was </w:t>
      </w:r>
      <w:r>
        <w:rPr>
          <w:bCs/>
        </w:rPr>
        <w:t>not supported</w:t>
      </w:r>
      <w:r w:rsidRPr="004911EB">
        <w:rPr>
          <w:bCs/>
        </w:rPr>
        <w:t>.</w:t>
      </w:r>
    </w:p>
    <w:p w:rsidR="004911EB" w:rsidRDefault="004911EB" w:rsidP="004911EB">
      <w:pPr>
        <w:pStyle w:val="ListParagraph"/>
        <w:widowControl/>
        <w:rPr>
          <w:bCs/>
        </w:rPr>
      </w:pPr>
    </w:p>
    <w:p w:rsidR="00487776" w:rsidRDefault="00487776" w:rsidP="00487776">
      <w:pPr>
        <w:rPr>
          <w:szCs w:val="22"/>
        </w:rPr>
      </w:pPr>
    </w:p>
    <w:p w:rsidR="00487776" w:rsidRPr="0005234D" w:rsidRDefault="00487776" w:rsidP="00487776">
      <w:pPr>
        <w:ind w:firstLine="720"/>
        <w:rPr>
          <w:bCs/>
          <w:szCs w:val="22"/>
        </w:rPr>
      </w:pPr>
      <w:r w:rsidRPr="00F74C35">
        <w:rPr>
          <w:bCs/>
          <w:i/>
          <w:szCs w:val="22"/>
        </w:rPr>
        <w:t>For more detail on PBAC’s view, see section 7 “PBAC outcome”</w:t>
      </w:r>
    </w:p>
    <w:p w:rsidR="00487776" w:rsidRPr="004911EB" w:rsidRDefault="00487776" w:rsidP="004911EB">
      <w:pPr>
        <w:pStyle w:val="ListParagraph"/>
        <w:widowControl/>
        <w:rPr>
          <w:bCs/>
        </w:rPr>
      </w:pPr>
    </w:p>
    <w:p w:rsidR="00727CAA" w:rsidRDefault="00727CAA" w:rsidP="00C51274">
      <w:pPr>
        <w:pStyle w:val="Heading3"/>
      </w:pPr>
      <w:r w:rsidRPr="004911EB">
        <w:t>Safety</w:t>
      </w:r>
    </w:p>
    <w:p w:rsidR="00727CAA" w:rsidRPr="00713DC5" w:rsidRDefault="00727CAA" w:rsidP="00727CAA"/>
    <w:p w:rsidR="00727CAA" w:rsidRPr="00C51274" w:rsidRDefault="00727CAA" w:rsidP="00506A87">
      <w:pPr>
        <w:pStyle w:val="ListParagraph"/>
        <w:widowControl/>
        <w:numPr>
          <w:ilvl w:val="1"/>
          <w:numId w:val="1"/>
        </w:numPr>
      </w:pPr>
      <w:r w:rsidRPr="00C51274">
        <w:t>The submission describe</w:t>
      </w:r>
      <w:r w:rsidR="008834B6">
        <w:t>d</w:t>
      </w:r>
      <w:r w:rsidRPr="00C51274">
        <w:t xml:space="preserve"> UST as non-inferior in terms of comparative safety over </w:t>
      </w:r>
      <w:r w:rsidR="0029256D" w:rsidRPr="00C51274">
        <w:t>ADA</w:t>
      </w:r>
      <w:r w:rsidRPr="00C51274">
        <w:t>. Notwithstanding potential issues of exchangeability and differences in tri</w:t>
      </w:r>
      <w:r w:rsidR="00E83337" w:rsidRPr="00C51274">
        <w:t>al durations, this claim appears</w:t>
      </w:r>
      <w:r w:rsidRPr="00C51274">
        <w:t xml:space="preserve"> to be reasonable.</w:t>
      </w:r>
    </w:p>
    <w:p w:rsidR="00727CAA" w:rsidRDefault="00727CAA" w:rsidP="00727CAA">
      <w:pPr>
        <w:ind w:left="720" w:hanging="720"/>
        <w:rPr>
          <w:szCs w:val="22"/>
        </w:rPr>
      </w:pPr>
    </w:p>
    <w:p w:rsidR="0066201A" w:rsidRPr="00B63A60" w:rsidRDefault="0066201A" w:rsidP="0066201A">
      <w:pPr>
        <w:pStyle w:val="ListParagraph"/>
        <w:rPr>
          <w:bCs/>
          <w:szCs w:val="22"/>
        </w:rPr>
      </w:pPr>
    </w:p>
    <w:p w:rsidR="0066201A" w:rsidRPr="00B63A60" w:rsidRDefault="0066201A" w:rsidP="00506A87">
      <w:pPr>
        <w:pStyle w:val="ListParagraph"/>
        <w:widowControl/>
        <w:numPr>
          <w:ilvl w:val="1"/>
          <w:numId w:val="1"/>
        </w:numPr>
        <w:rPr>
          <w:szCs w:val="22"/>
        </w:rPr>
      </w:pPr>
      <w:r w:rsidRPr="00B63A60">
        <w:rPr>
          <w:szCs w:val="22"/>
        </w:rPr>
        <w:t xml:space="preserve">The PBAC considered that the claim of </w:t>
      </w:r>
      <w:r w:rsidR="00403262" w:rsidRPr="00B63A60">
        <w:rPr>
          <w:szCs w:val="22"/>
        </w:rPr>
        <w:t>non-inferior</w:t>
      </w:r>
      <w:r w:rsidRPr="00B63A60">
        <w:rPr>
          <w:szCs w:val="22"/>
        </w:rPr>
        <w:t xml:space="preserve"> comparative safety was </w:t>
      </w:r>
      <w:r w:rsidR="00B63A60" w:rsidRPr="00B63A60">
        <w:rPr>
          <w:szCs w:val="22"/>
        </w:rPr>
        <w:t>reasonable</w:t>
      </w:r>
      <w:r w:rsidRPr="00B63A60">
        <w:rPr>
          <w:szCs w:val="22"/>
        </w:rPr>
        <w:t>.</w:t>
      </w:r>
    </w:p>
    <w:p w:rsidR="00487776" w:rsidRDefault="00487776" w:rsidP="00135878"/>
    <w:p w:rsidR="00487776" w:rsidRPr="00841C6E" w:rsidRDefault="00487776" w:rsidP="00841C6E">
      <w:pPr>
        <w:ind w:firstLine="720"/>
        <w:rPr>
          <w:bCs/>
          <w:i/>
          <w:szCs w:val="22"/>
        </w:rPr>
      </w:pPr>
      <w:r w:rsidRPr="00841C6E">
        <w:rPr>
          <w:bCs/>
          <w:i/>
          <w:szCs w:val="22"/>
        </w:rPr>
        <w:t>For more detail on PBAC’s view, see section 7 “PBAC outcome”</w:t>
      </w:r>
    </w:p>
    <w:p w:rsidR="0066201A" w:rsidRPr="00414040" w:rsidRDefault="0066201A" w:rsidP="00727CAA">
      <w:pPr>
        <w:ind w:left="720" w:hanging="720"/>
        <w:rPr>
          <w:szCs w:val="22"/>
        </w:rPr>
      </w:pPr>
    </w:p>
    <w:p w:rsidR="00727CAA" w:rsidRPr="00414040" w:rsidRDefault="00727CAA" w:rsidP="00727CAA">
      <w:pPr>
        <w:pStyle w:val="Heading2"/>
        <w:rPr>
          <w:i/>
        </w:rPr>
      </w:pPr>
      <w:bookmarkStart w:id="26" w:name="_Toc472503707"/>
      <w:r w:rsidRPr="00414040">
        <w:rPr>
          <w:i/>
        </w:rPr>
        <w:t>Economic analysis</w:t>
      </w:r>
      <w:bookmarkEnd w:id="26"/>
      <w:r w:rsidRPr="00414040">
        <w:rPr>
          <w:i/>
        </w:rPr>
        <w:t xml:space="preserve"> </w:t>
      </w:r>
    </w:p>
    <w:p w:rsidR="00727CAA" w:rsidRPr="00414040" w:rsidRDefault="00727CAA" w:rsidP="00727CAA">
      <w:pPr>
        <w:ind w:left="720" w:hanging="720"/>
        <w:rPr>
          <w:szCs w:val="22"/>
        </w:rPr>
      </w:pPr>
    </w:p>
    <w:p w:rsidR="00727CAA" w:rsidRPr="00414040" w:rsidRDefault="00727CAA" w:rsidP="00506A87">
      <w:pPr>
        <w:pStyle w:val="ListParagraph"/>
        <w:widowControl/>
        <w:numPr>
          <w:ilvl w:val="1"/>
          <w:numId w:val="1"/>
        </w:numPr>
        <w:snapToGrid w:val="0"/>
        <w:rPr>
          <w:szCs w:val="22"/>
        </w:rPr>
      </w:pPr>
      <w:r w:rsidRPr="00414040">
        <w:t xml:space="preserve">The submission presented a cost-minimisation analysis. Special pricing arrangements are in place for </w:t>
      </w:r>
      <w:r w:rsidR="0029256D">
        <w:t>ADA</w:t>
      </w:r>
      <w:r w:rsidR="00D5278D">
        <w:t xml:space="preserve">, </w:t>
      </w:r>
      <w:r w:rsidRPr="00414040">
        <w:t xml:space="preserve">and </w:t>
      </w:r>
      <w:r w:rsidR="0029256D">
        <w:t>VDZ</w:t>
      </w:r>
      <w:r w:rsidRPr="00414040">
        <w:t xml:space="preserve"> </w:t>
      </w:r>
      <w:r w:rsidR="00E83337">
        <w:t>in</w:t>
      </w:r>
      <w:r>
        <w:t xml:space="preserve"> Crohn’s disease.</w:t>
      </w:r>
      <w:r w:rsidR="00E37A53">
        <w:t xml:space="preserve"> There is an indication specific price for IFX for the treatment of CD. </w:t>
      </w:r>
    </w:p>
    <w:p w:rsidR="00727CAA" w:rsidRPr="00414040" w:rsidRDefault="00727CAA" w:rsidP="00727CAA">
      <w:pPr>
        <w:pStyle w:val="ListParagraph"/>
        <w:widowControl/>
        <w:snapToGrid w:val="0"/>
        <w:rPr>
          <w:szCs w:val="22"/>
        </w:rPr>
      </w:pPr>
    </w:p>
    <w:p w:rsidR="00727CAA" w:rsidRPr="00414040" w:rsidRDefault="00727CAA" w:rsidP="00506A87">
      <w:pPr>
        <w:pStyle w:val="ListParagraph"/>
        <w:widowControl/>
        <w:numPr>
          <w:ilvl w:val="1"/>
          <w:numId w:val="1"/>
        </w:numPr>
        <w:rPr>
          <w:szCs w:val="22"/>
        </w:rPr>
      </w:pPr>
      <w:r w:rsidRPr="00414040">
        <w:t>The equi-effective doses are estimated as:</w:t>
      </w:r>
    </w:p>
    <w:p w:rsidR="00727CAA" w:rsidRPr="00713DC5" w:rsidRDefault="009F102A" w:rsidP="00506A87">
      <w:pPr>
        <w:pStyle w:val="ListParagraph"/>
        <w:widowControl/>
        <w:numPr>
          <w:ilvl w:val="0"/>
          <w:numId w:val="2"/>
        </w:numPr>
        <w:ind w:left="993" w:hanging="284"/>
        <w:rPr>
          <w:szCs w:val="22"/>
        </w:rPr>
      </w:pPr>
      <w:r w:rsidRPr="009F102A">
        <w:rPr>
          <w:szCs w:val="22"/>
        </w:rPr>
        <w:t>UST</w:t>
      </w:r>
      <w:r w:rsidR="00727CAA" w:rsidRPr="00713DC5">
        <w:rPr>
          <w:szCs w:val="22"/>
        </w:rPr>
        <w:t>, administered as IV tiered weight-based loading dose at Week 0 and then subcutaneously 90 mg every 8 weeks;</w:t>
      </w:r>
    </w:p>
    <w:p w:rsidR="00727CAA" w:rsidRPr="00713DC5" w:rsidRDefault="0029256D" w:rsidP="00506A87">
      <w:pPr>
        <w:pStyle w:val="ListParagraph"/>
        <w:widowControl/>
        <w:numPr>
          <w:ilvl w:val="0"/>
          <w:numId w:val="2"/>
        </w:numPr>
        <w:ind w:left="993" w:hanging="284"/>
        <w:rPr>
          <w:szCs w:val="22"/>
        </w:rPr>
      </w:pPr>
      <w:r>
        <w:rPr>
          <w:szCs w:val="22"/>
        </w:rPr>
        <w:t>ADA</w:t>
      </w:r>
      <w:r w:rsidR="00727CAA" w:rsidRPr="00713DC5">
        <w:rPr>
          <w:szCs w:val="22"/>
        </w:rPr>
        <w:t xml:space="preserve"> administered as 160 mg SC injection at Week 0, 80 mg at Week 2, and 40 mg every 2 weeks thereafter;</w:t>
      </w:r>
    </w:p>
    <w:p w:rsidR="00727CAA" w:rsidRPr="00713DC5" w:rsidRDefault="009F102A" w:rsidP="00506A87">
      <w:pPr>
        <w:pStyle w:val="ListParagraph"/>
        <w:widowControl/>
        <w:numPr>
          <w:ilvl w:val="0"/>
          <w:numId w:val="2"/>
        </w:numPr>
        <w:ind w:left="993" w:hanging="284"/>
        <w:rPr>
          <w:szCs w:val="22"/>
        </w:rPr>
      </w:pPr>
      <w:r w:rsidRPr="009F102A">
        <w:rPr>
          <w:szCs w:val="22"/>
        </w:rPr>
        <w:t>IFX</w:t>
      </w:r>
      <w:r w:rsidR="00727CAA" w:rsidRPr="00713DC5">
        <w:rPr>
          <w:szCs w:val="22"/>
        </w:rPr>
        <w:t xml:space="preserve"> 5 mg/kg administered as an IV infusion at Week 0, Week 2, Week 6 and then every 8 weeks; and</w:t>
      </w:r>
    </w:p>
    <w:p w:rsidR="00727CAA" w:rsidRPr="00713DC5" w:rsidRDefault="0029256D" w:rsidP="00506A87">
      <w:pPr>
        <w:pStyle w:val="ListParagraph"/>
        <w:widowControl/>
        <w:numPr>
          <w:ilvl w:val="0"/>
          <w:numId w:val="2"/>
        </w:numPr>
        <w:ind w:left="993" w:hanging="284"/>
        <w:rPr>
          <w:szCs w:val="22"/>
        </w:rPr>
      </w:pPr>
      <w:r>
        <w:rPr>
          <w:szCs w:val="22"/>
        </w:rPr>
        <w:t>VDZ</w:t>
      </w:r>
      <w:r w:rsidR="00727CAA" w:rsidRPr="00713DC5">
        <w:rPr>
          <w:szCs w:val="22"/>
        </w:rPr>
        <w:t xml:space="preserve"> 300 mg administered as an IV infusion at Week 0, Week 2, Week 6 and then every 8 weeks.</w:t>
      </w:r>
    </w:p>
    <w:p w:rsidR="00727CAA" w:rsidRPr="00414040" w:rsidRDefault="00727CAA" w:rsidP="00506A87">
      <w:pPr>
        <w:pStyle w:val="ListParagraph"/>
        <w:widowControl/>
        <w:numPr>
          <w:ilvl w:val="0"/>
          <w:numId w:val="2"/>
        </w:numPr>
        <w:ind w:left="993" w:hanging="284"/>
        <w:rPr>
          <w:szCs w:val="22"/>
        </w:rPr>
      </w:pPr>
      <w:r w:rsidRPr="00713DC5">
        <w:rPr>
          <w:szCs w:val="22"/>
        </w:rPr>
        <w:t>The trials and previously accepted therapeutic relativities provided the source of the equi-effective doses.</w:t>
      </w:r>
    </w:p>
    <w:p w:rsidR="00727CAA" w:rsidRPr="00414040" w:rsidRDefault="00727CAA" w:rsidP="00727CAA">
      <w:pPr>
        <w:widowControl/>
        <w:rPr>
          <w:szCs w:val="22"/>
        </w:rPr>
      </w:pPr>
    </w:p>
    <w:p w:rsidR="00727CAA" w:rsidRPr="00C51274" w:rsidRDefault="00727CAA" w:rsidP="00506A87">
      <w:pPr>
        <w:pStyle w:val="ListParagraph"/>
        <w:widowControl/>
        <w:numPr>
          <w:ilvl w:val="1"/>
          <w:numId w:val="1"/>
        </w:numPr>
        <w:rPr>
          <w:szCs w:val="22"/>
        </w:rPr>
      </w:pPr>
      <w:r w:rsidRPr="00C51274">
        <w:t>The</w:t>
      </w:r>
      <w:r w:rsidR="00E37A53">
        <w:t>re is no</w:t>
      </w:r>
      <w:r w:rsidRPr="00C51274">
        <w:t xml:space="preserve"> </w:t>
      </w:r>
      <w:r w:rsidR="00E83337" w:rsidRPr="00C51274">
        <w:t xml:space="preserve">estimated </w:t>
      </w:r>
      <w:r w:rsidRPr="00C51274">
        <w:t xml:space="preserve">net cost impact </w:t>
      </w:r>
      <w:r w:rsidR="00E83337" w:rsidRPr="00C51274">
        <w:t>at the prices quoted in Table 8, which included</w:t>
      </w:r>
      <w:r w:rsidRPr="00C51274">
        <w:t xml:space="preserve"> additional offsets for administration costs of IV infusions. </w:t>
      </w:r>
      <w:r w:rsidR="009F102A" w:rsidRPr="00C51274">
        <w:t>IFX</w:t>
      </w:r>
      <w:r w:rsidR="00880609" w:rsidRPr="00C51274">
        <w:t xml:space="preserve"> now has a lower cost than both </w:t>
      </w:r>
      <w:r w:rsidR="0029256D" w:rsidRPr="00C51274">
        <w:t>ADA</w:t>
      </w:r>
      <w:r w:rsidR="00880609" w:rsidRPr="00C51274">
        <w:t xml:space="preserve"> and </w:t>
      </w:r>
      <w:r w:rsidR="0029256D" w:rsidRPr="00C51274">
        <w:t>VDZ</w:t>
      </w:r>
      <w:r w:rsidR="00880609" w:rsidRPr="00C51274">
        <w:t xml:space="preserve"> (using the commercial-in-confidence effective prices) due to a 16% price reduction on 1 December 2015.</w:t>
      </w:r>
    </w:p>
    <w:p w:rsidR="00E83337" w:rsidRPr="00C51274" w:rsidRDefault="00E83337" w:rsidP="00E83337">
      <w:pPr>
        <w:pStyle w:val="ListParagraph"/>
        <w:widowControl/>
        <w:rPr>
          <w:szCs w:val="22"/>
        </w:rPr>
      </w:pPr>
    </w:p>
    <w:p w:rsidR="00727CAA" w:rsidRPr="00C51274" w:rsidRDefault="00727CAA" w:rsidP="00506A87">
      <w:pPr>
        <w:pStyle w:val="ListParagraph"/>
        <w:widowControl/>
        <w:numPr>
          <w:ilvl w:val="1"/>
          <w:numId w:val="1"/>
        </w:numPr>
        <w:rPr>
          <w:szCs w:val="22"/>
        </w:rPr>
      </w:pPr>
      <w:r w:rsidRPr="00C51274">
        <w:t xml:space="preserve">The requested prices for </w:t>
      </w:r>
      <w:r w:rsidR="009F102A" w:rsidRPr="00C51274">
        <w:t>UST</w:t>
      </w:r>
      <w:r w:rsidR="00E83337" w:rsidRPr="00C51274">
        <w:t xml:space="preserve"> in </w:t>
      </w:r>
      <w:r w:rsidRPr="00C51274">
        <w:t xml:space="preserve">complex refractory fistulising CD are the same as for severe CD, </w:t>
      </w:r>
      <w:r w:rsidRPr="00C51274">
        <w:rPr>
          <w:iCs/>
        </w:rPr>
        <w:t xml:space="preserve">even though the cost-minimised prices </w:t>
      </w:r>
      <w:r w:rsidR="00E83337" w:rsidRPr="00C51274">
        <w:rPr>
          <w:iCs/>
        </w:rPr>
        <w:t xml:space="preserve">were </w:t>
      </w:r>
      <w:r w:rsidRPr="00C51274">
        <w:rPr>
          <w:iCs/>
        </w:rPr>
        <w:t>slightly lower for fistulising CD</w:t>
      </w:r>
      <w:r w:rsidR="00ED7CA2" w:rsidRPr="00C51274">
        <w:rPr>
          <w:iCs/>
        </w:rPr>
        <w:t xml:space="preserve"> (due to the removal of </w:t>
      </w:r>
      <w:r w:rsidR="0029256D" w:rsidRPr="00C51274">
        <w:rPr>
          <w:iCs/>
        </w:rPr>
        <w:t>VDZ</w:t>
      </w:r>
      <w:r w:rsidR="00ED7CA2" w:rsidRPr="00C51274">
        <w:rPr>
          <w:iCs/>
        </w:rPr>
        <w:t xml:space="preserve"> as comparator</w:t>
      </w:r>
      <w:r w:rsidR="008834B6">
        <w:rPr>
          <w:iCs/>
        </w:rPr>
        <w:t>).</w:t>
      </w:r>
    </w:p>
    <w:p w:rsidR="00801661" w:rsidRPr="00AF48E2" w:rsidRDefault="00801661" w:rsidP="00801661">
      <w:pPr>
        <w:pStyle w:val="ListParagraph"/>
        <w:widowControl/>
        <w:rPr>
          <w:rFonts w:ascii="Arial Narrow" w:hAnsi="Arial Narrow"/>
          <w:b/>
          <w:snapToGrid/>
          <w:sz w:val="20"/>
          <w:szCs w:val="18"/>
        </w:rPr>
      </w:pPr>
    </w:p>
    <w:p w:rsidR="00727CAA" w:rsidRPr="00AF48E2" w:rsidRDefault="00727CAA" w:rsidP="00AF48E2">
      <w:pPr>
        <w:pStyle w:val="ListParagraph"/>
        <w:widowControl/>
        <w:rPr>
          <w:snapToGrid/>
          <w:szCs w:val="18"/>
        </w:rPr>
      </w:pPr>
      <w:bookmarkStart w:id="27" w:name="_Toc471759028"/>
      <w:r w:rsidRPr="00AF48E2">
        <w:rPr>
          <w:rFonts w:ascii="Arial Narrow" w:hAnsi="Arial Narrow"/>
          <w:b/>
          <w:snapToGrid/>
          <w:sz w:val="20"/>
          <w:szCs w:val="18"/>
        </w:rPr>
        <w:t>Table 8</w:t>
      </w:r>
      <w:r w:rsidR="003F3A30" w:rsidRPr="00AF48E2">
        <w:rPr>
          <w:rFonts w:ascii="Arial Narrow" w:hAnsi="Arial Narrow"/>
          <w:b/>
          <w:snapToGrid/>
          <w:sz w:val="20"/>
          <w:szCs w:val="18"/>
        </w:rPr>
        <w:t>:</w:t>
      </w:r>
      <w:r w:rsidR="003F3A30" w:rsidRPr="00AF48E2">
        <w:rPr>
          <w:rFonts w:ascii="Arial Narrow" w:hAnsi="Arial Narrow"/>
          <w:b/>
          <w:snapToGrid/>
          <w:sz w:val="20"/>
          <w:szCs w:val="18"/>
        </w:rPr>
        <w:tab/>
      </w:r>
      <w:r w:rsidRPr="00AF48E2">
        <w:rPr>
          <w:rFonts w:ascii="Arial Narrow" w:hAnsi="Arial Narrow"/>
          <w:b/>
          <w:snapToGrid/>
          <w:sz w:val="20"/>
          <w:szCs w:val="18"/>
        </w:rPr>
        <w:t>Ustekinumab effective prices derived from cost</w:t>
      </w:r>
      <w:r w:rsidR="00CD599C">
        <w:rPr>
          <w:rFonts w:ascii="Arial Narrow" w:hAnsi="Arial Narrow"/>
          <w:b/>
          <w:snapToGrid/>
          <w:sz w:val="20"/>
          <w:szCs w:val="18"/>
        </w:rPr>
        <w:t>-</w:t>
      </w:r>
      <w:r w:rsidRPr="00AF48E2">
        <w:rPr>
          <w:rFonts w:ascii="Arial Narrow" w:hAnsi="Arial Narrow"/>
          <w:b/>
          <w:snapToGrid/>
          <w:sz w:val="20"/>
          <w:szCs w:val="18"/>
        </w:rPr>
        <w:t>minimisation analyses</w:t>
      </w:r>
      <w:bookmarkEnd w:id="27"/>
    </w:p>
    <w:tbl>
      <w:tblPr>
        <w:tblStyle w:val="TableGrid"/>
        <w:tblW w:w="0" w:type="auto"/>
        <w:tblInd w:w="704" w:type="dxa"/>
        <w:tblCellMar>
          <w:left w:w="28" w:type="dxa"/>
        </w:tblCellMar>
        <w:tblLook w:val="04A0" w:firstRow="1" w:lastRow="0" w:firstColumn="1" w:lastColumn="0" w:noHBand="0" w:noVBand="1"/>
        <w:tblCaption w:val="Table 8: Ustekinumab effective prices derived from cost-minimisation analyses"/>
      </w:tblPr>
      <w:tblGrid>
        <w:gridCol w:w="1559"/>
        <w:gridCol w:w="1276"/>
        <w:gridCol w:w="1701"/>
        <w:gridCol w:w="1559"/>
        <w:gridCol w:w="2217"/>
      </w:tblGrid>
      <w:tr w:rsidR="00727CAA" w:rsidRPr="00414040" w:rsidTr="00E63272">
        <w:trPr>
          <w:tblHeader/>
        </w:trPr>
        <w:tc>
          <w:tcPr>
            <w:tcW w:w="1559" w:type="dxa"/>
            <w:vMerge w:val="restart"/>
          </w:tcPr>
          <w:p w:rsidR="00727CAA" w:rsidRPr="00414040" w:rsidRDefault="00727CAA" w:rsidP="005212E6">
            <w:pPr>
              <w:rPr>
                <w:rFonts w:ascii="Arial Narrow" w:hAnsi="Arial Narrow"/>
                <w:b/>
                <w:bCs/>
                <w:sz w:val="20"/>
              </w:rPr>
            </w:pPr>
            <w:r w:rsidRPr="00414040">
              <w:rPr>
                <w:rFonts w:ascii="Arial Narrow" w:hAnsi="Arial Narrow"/>
                <w:b/>
                <w:bCs/>
                <w:sz w:val="20"/>
              </w:rPr>
              <w:t>Ustekinumab form and strength</w:t>
            </w:r>
          </w:p>
        </w:tc>
        <w:tc>
          <w:tcPr>
            <w:tcW w:w="1276" w:type="dxa"/>
            <w:vMerge w:val="restart"/>
          </w:tcPr>
          <w:p w:rsidR="00727CAA" w:rsidRPr="00414040" w:rsidRDefault="00727CAA" w:rsidP="005212E6">
            <w:pPr>
              <w:jc w:val="center"/>
              <w:rPr>
                <w:rFonts w:ascii="Arial Narrow" w:hAnsi="Arial Narrow"/>
                <w:b/>
                <w:bCs/>
                <w:sz w:val="20"/>
              </w:rPr>
            </w:pPr>
            <w:r w:rsidRPr="00414040">
              <w:rPr>
                <w:rFonts w:ascii="Arial Narrow" w:hAnsi="Arial Narrow"/>
                <w:b/>
                <w:bCs/>
                <w:sz w:val="20"/>
              </w:rPr>
              <w:t>Schedule</w:t>
            </w:r>
          </w:p>
        </w:tc>
        <w:tc>
          <w:tcPr>
            <w:tcW w:w="3260" w:type="dxa"/>
            <w:gridSpan w:val="2"/>
          </w:tcPr>
          <w:p w:rsidR="00727CAA" w:rsidRPr="00414040" w:rsidRDefault="00727CAA" w:rsidP="005212E6">
            <w:pPr>
              <w:jc w:val="center"/>
              <w:rPr>
                <w:rFonts w:ascii="Arial Narrow" w:hAnsi="Arial Narrow"/>
                <w:b/>
                <w:bCs/>
                <w:sz w:val="20"/>
              </w:rPr>
            </w:pPr>
            <w:r w:rsidRPr="00414040">
              <w:rPr>
                <w:rFonts w:ascii="Arial Narrow" w:hAnsi="Arial Narrow"/>
                <w:b/>
                <w:bCs/>
                <w:sz w:val="20"/>
              </w:rPr>
              <w:t>Derived based on DPMQs</w:t>
            </w:r>
          </w:p>
        </w:tc>
        <w:tc>
          <w:tcPr>
            <w:tcW w:w="2217" w:type="dxa"/>
            <w:shd w:val="clear" w:color="auto" w:fill="auto"/>
          </w:tcPr>
          <w:p w:rsidR="00727CAA" w:rsidRPr="00414040" w:rsidRDefault="00727CAA" w:rsidP="005212E6">
            <w:pPr>
              <w:jc w:val="center"/>
              <w:rPr>
                <w:rFonts w:ascii="Arial Narrow" w:hAnsi="Arial Narrow"/>
                <w:b/>
                <w:bCs/>
                <w:sz w:val="20"/>
              </w:rPr>
            </w:pPr>
            <w:r w:rsidRPr="00414040">
              <w:rPr>
                <w:rFonts w:ascii="Arial Narrow" w:hAnsi="Arial Narrow"/>
                <w:b/>
                <w:bCs/>
                <w:sz w:val="20"/>
              </w:rPr>
              <w:t>Derived based on AEMPs</w:t>
            </w:r>
          </w:p>
        </w:tc>
      </w:tr>
      <w:tr w:rsidR="00727CAA" w:rsidRPr="00414040" w:rsidTr="00E63272">
        <w:trPr>
          <w:tblHeader/>
        </w:trPr>
        <w:tc>
          <w:tcPr>
            <w:tcW w:w="1559" w:type="dxa"/>
            <w:vMerge/>
          </w:tcPr>
          <w:p w:rsidR="00727CAA" w:rsidRPr="00414040" w:rsidRDefault="00727CAA" w:rsidP="005212E6">
            <w:pPr>
              <w:rPr>
                <w:rFonts w:ascii="Arial Narrow" w:hAnsi="Arial Narrow"/>
                <w:b/>
                <w:bCs/>
                <w:sz w:val="20"/>
              </w:rPr>
            </w:pPr>
          </w:p>
        </w:tc>
        <w:tc>
          <w:tcPr>
            <w:tcW w:w="1276" w:type="dxa"/>
            <w:vMerge/>
          </w:tcPr>
          <w:p w:rsidR="00727CAA" w:rsidRPr="00414040" w:rsidRDefault="00727CAA" w:rsidP="005212E6">
            <w:pPr>
              <w:jc w:val="center"/>
              <w:rPr>
                <w:rFonts w:ascii="Arial Narrow" w:hAnsi="Arial Narrow"/>
                <w:b/>
                <w:bCs/>
                <w:sz w:val="20"/>
              </w:rPr>
            </w:pPr>
          </w:p>
        </w:tc>
        <w:tc>
          <w:tcPr>
            <w:tcW w:w="1701" w:type="dxa"/>
          </w:tcPr>
          <w:p w:rsidR="00727CAA" w:rsidRPr="00414040" w:rsidRDefault="00727CAA" w:rsidP="005212E6">
            <w:pPr>
              <w:jc w:val="center"/>
              <w:rPr>
                <w:rFonts w:ascii="Arial Narrow" w:hAnsi="Arial Narrow"/>
                <w:b/>
                <w:bCs/>
                <w:sz w:val="20"/>
              </w:rPr>
            </w:pPr>
            <w:r w:rsidRPr="00414040">
              <w:rPr>
                <w:rFonts w:ascii="Arial Narrow" w:hAnsi="Arial Narrow"/>
                <w:b/>
                <w:bCs/>
                <w:sz w:val="20"/>
              </w:rPr>
              <w:t>DPMQ (effective)</w:t>
            </w:r>
          </w:p>
        </w:tc>
        <w:tc>
          <w:tcPr>
            <w:tcW w:w="1559" w:type="dxa"/>
          </w:tcPr>
          <w:p w:rsidR="00727CAA" w:rsidRPr="00414040" w:rsidRDefault="00727CAA" w:rsidP="005212E6">
            <w:pPr>
              <w:jc w:val="center"/>
              <w:rPr>
                <w:rFonts w:ascii="Arial Narrow" w:hAnsi="Arial Narrow"/>
                <w:b/>
                <w:bCs/>
                <w:sz w:val="20"/>
              </w:rPr>
            </w:pPr>
            <w:r w:rsidRPr="00414040">
              <w:rPr>
                <w:rFonts w:ascii="Arial Narrow" w:hAnsi="Arial Narrow"/>
                <w:b/>
                <w:bCs/>
                <w:sz w:val="20"/>
              </w:rPr>
              <w:t>AEMP (effective)</w:t>
            </w:r>
          </w:p>
        </w:tc>
        <w:tc>
          <w:tcPr>
            <w:tcW w:w="2217" w:type="dxa"/>
            <w:shd w:val="clear" w:color="auto" w:fill="auto"/>
          </w:tcPr>
          <w:p w:rsidR="00727CAA" w:rsidRPr="00414040" w:rsidRDefault="00727CAA" w:rsidP="005212E6">
            <w:pPr>
              <w:jc w:val="center"/>
              <w:rPr>
                <w:rFonts w:ascii="Arial Narrow" w:hAnsi="Arial Narrow"/>
                <w:b/>
                <w:bCs/>
                <w:sz w:val="20"/>
              </w:rPr>
            </w:pPr>
            <w:r w:rsidRPr="00414040">
              <w:rPr>
                <w:rFonts w:ascii="Arial Narrow" w:hAnsi="Arial Narrow"/>
                <w:b/>
                <w:bCs/>
                <w:sz w:val="20"/>
              </w:rPr>
              <w:t>AEMP (effective)</w:t>
            </w:r>
          </w:p>
        </w:tc>
      </w:tr>
      <w:tr w:rsidR="00727CAA" w:rsidRPr="00414040" w:rsidTr="00801661">
        <w:tc>
          <w:tcPr>
            <w:tcW w:w="8312" w:type="dxa"/>
            <w:gridSpan w:val="5"/>
            <w:shd w:val="clear" w:color="auto" w:fill="auto"/>
          </w:tcPr>
          <w:p w:rsidR="00727CAA" w:rsidRPr="00414040" w:rsidRDefault="00727CAA" w:rsidP="005212E6">
            <w:pPr>
              <w:jc w:val="left"/>
              <w:rPr>
                <w:rFonts w:ascii="Arial Narrow" w:hAnsi="Arial Narrow"/>
                <w:i/>
                <w:iCs/>
                <w:sz w:val="20"/>
              </w:rPr>
            </w:pPr>
            <w:r w:rsidRPr="00414040">
              <w:rPr>
                <w:rFonts w:ascii="Arial Narrow" w:hAnsi="Arial Narrow"/>
                <w:b/>
                <w:bCs/>
                <w:sz w:val="20"/>
              </w:rPr>
              <w:t>Severe CD</w:t>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1 x 130 mg vial</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HSD - public</w:t>
            </w:r>
          </w:p>
        </w:tc>
        <w:tc>
          <w:tcPr>
            <w:tcW w:w="1701"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1559"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2217" w:type="dxa"/>
            <w:shd w:val="clear" w:color="auto" w:fill="auto"/>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1 x 130 mg vial</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HSD – private</w:t>
            </w:r>
          </w:p>
        </w:tc>
        <w:tc>
          <w:tcPr>
            <w:tcW w:w="1701"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1559"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2217" w:type="dxa"/>
            <w:shd w:val="clear" w:color="auto" w:fill="auto"/>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2 x 45 mg vials</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Section 85</w:t>
            </w:r>
          </w:p>
        </w:tc>
        <w:tc>
          <w:tcPr>
            <w:tcW w:w="1701" w:type="dxa"/>
          </w:tcPr>
          <w:p w:rsidR="00727CAA" w:rsidRPr="00414040" w:rsidRDefault="00727CAA" w:rsidP="005212E6">
            <w:pPr>
              <w:jc w:val="center"/>
              <w:rPr>
                <w:rFonts w:ascii="Arial Narrow" w:hAnsi="Arial Narrow"/>
                <w:sz w:val="20"/>
              </w:rPr>
            </w:pPr>
            <w:r w:rsidRPr="00414040">
              <w:rPr>
                <w:rFonts w:ascii="Arial Narrow" w:hAnsi="Arial Narrow"/>
                <w:sz w:val="20"/>
              </w:rPr>
              <w:t>$</w:t>
            </w:r>
            <w:r w:rsidR="00CA59E8">
              <w:rPr>
                <w:rFonts w:ascii="Arial Narrow" w:hAnsi="Arial Narrow"/>
                <w:noProof/>
                <w:color w:val="000000"/>
                <w:sz w:val="20"/>
                <w:highlight w:val="black"/>
              </w:rPr>
              <w:t>'''''''''''''''''''''</w:t>
            </w:r>
          </w:p>
        </w:tc>
        <w:tc>
          <w:tcPr>
            <w:tcW w:w="1559" w:type="dxa"/>
          </w:tcPr>
          <w:p w:rsidR="00727CAA" w:rsidRPr="00414040" w:rsidRDefault="00727CAA" w:rsidP="005212E6">
            <w:pPr>
              <w:jc w:val="center"/>
              <w:rPr>
                <w:rFonts w:ascii="Arial Narrow" w:hAnsi="Arial Narrow"/>
                <w:sz w:val="20"/>
              </w:rPr>
            </w:pPr>
            <w:r w:rsidRPr="00414040">
              <w:rPr>
                <w:rFonts w:ascii="Arial Narrow" w:hAnsi="Arial Narrow"/>
                <w:sz w:val="20"/>
              </w:rPr>
              <w:t>$</w:t>
            </w:r>
            <w:r w:rsidR="00CA59E8">
              <w:rPr>
                <w:rFonts w:ascii="Arial Narrow" w:hAnsi="Arial Narrow"/>
                <w:noProof/>
                <w:color w:val="000000"/>
                <w:sz w:val="20"/>
                <w:highlight w:val="black"/>
              </w:rPr>
              <w:t>''''''''''''''''''''</w:t>
            </w:r>
          </w:p>
        </w:tc>
        <w:tc>
          <w:tcPr>
            <w:tcW w:w="2217" w:type="dxa"/>
            <w:shd w:val="clear" w:color="auto" w:fill="auto"/>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r w:rsidR="00727CAA" w:rsidRPr="00414040" w:rsidTr="00801661">
        <w:tc>
          <w:tcPr>
            <w:tcW w:w="8312" w:type="dxa"/>
            <w:gridSpan w:val="5"/>
          </w:tcPr>
          <w:p w:rsidR="00727CAA" w:rsidRPr="00264D05" w:rsidRDefault="00727CAA" w:rsidP="005212E6">
            <w:pPr>
              <w:jc w:val="left"/>
              <w:rPr>
                <w:rFonts w:ascii="Arial Narrow" w:hAnsi="Arial Narrow"/>
                <w:iCs/>
                <w:sz w:val="20"/>
                <w:highlight w:val="lightGray"/>
              </w:rPr>
            </w:pPr>
            <w:r w:rsidRPr="00264D05">
              <w:rPr>
                <w:rFonts w:ascii="Arial Narrow" w:hAnsi="Arial Narrow"/>
                <w:b/>
                <w:bCs/>
                <w:sz w:val="20"/>
              </w:rPr>
              <w:t>Fistulising CD</w:t>
            </w:r>
            <w:r w:rsidRPr="00264D05">
              <w:rPr>
                <w:rFonts w:ascii="Arial Narrow" w:hAnsi="Arial Narrow"/>
                <w:b/>
                <w:bCs/>
                <w:sz w:val="20"/>
              </w:rPr>
              <w:tab/>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1 x 130 mg vial</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HSD - public</w:t>
            </w:r>
          </w:p>
        </w:tc>
        <w:tc>
          <w:tcPr>
            <w:tcW w:w="1701"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1559"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2217" w:type="dxa"/>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1 x 130 mg vial</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HSD – private</w:t>
            </w:r>
          </w:p>
        </w:tc>
        <w:tc>
          <w:tcPr>
            <w:tcW w:w="1701"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1559" w:type="dxa"/>
          </w:tcPr>
          <w:p w:rsidR="00727CAA" w:rsidRPr="00747EC5" w:rsidRDefault="00727CAA" w:rsidP="005212E6">
            <w:pPr>
              <w:jc w:val="center"/>
              <w:rPr>
                <w:rFonts w:ascii="Arial Narrow" w:hAnsi="Arial Narrow"/>
                <w:iCs/>
                <w:sz w:val="20"/>
              </w:rPr>
            </w:pPr>
            <w:r w:rsidRPr="00747EC5">
              <w:rPr>
                <w:rFonts w:ascii="Arial Narrow" w:hAnsi="Arial Narrow"/>
                <w:iCs/>
                <w:sz w:val="20"/>
              </w:rPr>
              <w:t>$</w:t>
            </w:r>
            <w:r w:rsidR="00CA59E8">
              <w:rPr>
                <w:rFonts w:ascii="Arial Narrow" w:hAnsi="Arial Narrow"/>
                <w:iCs/>
                <w:noProof/>
                <w:color w:val="000000"/>
                <w:sz w:val="20"/>
                <w:highlight w:val="black"/>
              </w:rPr>
              <w:t>'''''''''''''''''''''''</w:t>
            </w:r>
          </w:p>
        </w:tc>
        <w:tc>
          <w:tcPr>
            <w:tcW w:w="2217" w:type="dxa"/>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r w:rsidR="00727CAA" w:rsidRPr="00414040" w:rsidTr="00801661">
        <w:tc>
          <w:tcPr>
            <w:tcW w:w="1559" w:type="dxa"/>
          </w:tcPr>
          <w:p w:rsidR="00727CAA" w:rsidRPr="00414040" w:rsidRDefault="00727CAA" w:rsidP="005212E6">
            <w:pPr>
              <w:rPr>
                <w:rFonts w:ascii="Arial Narrow" w:hAnsi="Arial Narrow"/>
                <w:sz w:val="20"/>
              </w:rPr>
            </w:pPr>
            <w:r w:rsidRPr="00414040">
              <w:rPr>
                <w:rFonts w:ascii="Arial Narrow" w:hAnsi="Arial Narrow"/>
                <w:sz w:val="20"/>
              </w:rPr>
              <w:t>2 x 45 mg vials</w:t>
            </w:r>
          </w:p>
        </w:tc>
        <w:tc>
          <w:tcPr>
            <w:tcW w:w="1276" w:type="dxa"/>
          </w:tcPr>
          <w:p w:rsidR="00727CAA" w:rsidRPr="00414040" w:rsidRDefault="00727CAA" w:rsidP="005212E6">
            <w:pPr>
              <w:jc w:val="center"/>
              <w:rPr>
                <w:rFonts w:ascii="Arial Narrow" w:hAnsi="Arial Narrow"/>
                <w:sz w:val="20"/>
              </w:rPr>
            </w:pPr>
            <w:r w:rsidRPr="00414040">
              <w:rPr>
                <w:rFonts w:ascii="Arial Narrow" w:hAnsi="Arial Narrow"/>
                <w:sz w:val="20"/>
              </w:rPr>
              <w:t>Section 85</w:t>
            </w:r>
          </w:p>
        </w:tc>
        <w:tc>
          <w:tcPr>
            <w:tcW w:w="1701" w:type="dxa"/>
          </w:tcPr>
          <w:p w:rsidR="00727CAA" w:rsidRPr="00414040" w:rsidRDefault="00727CAA" w:rsidP="005212E6">
            <w:pPr>
              <w:jc w:val="center"/>
              <w:rPr>
                <w:rFonts w:ascii="Arial Narrow" w:hAnsi="Arial Narrow"/>
                <w:sz w:val="20"/>
              </w:rPr>
            </w:pPr>
            <w:r w:rsidRPr="00414040">
              <w:rPr>
                <w:rFonts w:ascii="Arial Narrow" w:hAnsi="Arial Narrow"/>
                <w:sz w:val="20"/>
              </w:rPr>
              <w:t>$</w:t>
            </w:r>
            <w:r w:rsidR="00CA59E8">
              <w:rPr>
                <w:rFonts w:ascii="Arial Narrow" w:hAnsi="Arial Narrow"/>
                <w:noProof/>
                <w:color w:val="000000"/>
                <w:sz w:val="20"/>
                <w:highlight w:val="black"/>
              </w:rPr>
              <w:t>''''''''''''''''''''</w:t>
            </w:r>
            <w:r w:rsidR="00CA59E8">
              <w:rPr>
                <w:rFonts w:ascii="Arial Narrow" w:hAnsi="Arial Narrow"/>
                <w:i/>
                <w:iCs/>
                <w:noProof/>
                <w:color w:val="000000"/>
                <w:sz w:val="20"/>
                <w:highlight w:val="black"/>
              </w:rPr>
              <w:t>''''</w:t>
            </w:r>
          </w:p>
        </w:tc>
        <w:tc>
          <w:tcPr>
            <w:tcW w:w="1559" w:type="dxa"/>
          </w:tcPr>
          <w:p w:rsidR="00727CAA" w:rsidRPr="00414040" w:rsidRDefault="00727CAA" w:rsidP="005212E6">
            <w:pPr>
              <w:jc w:val="center"/>
              <w:rPr>
                <w:rFonts w:ascii="Arial Narrow" w:hAnsi="Arial Narrow"/>
                <w:sz w:val="20"/>
              </w:rPr>
            </w:pPr>
            <w:r w:rsidRPr="00414040">
              <w:rPr>
                <w:rFonts w:ascii="Arial Narrow" w:hAnsi="Arial Narrow"/>
                <w:sz w:val="20"/>
              </w:rPr>
              <w:t>$</w:t>
            </w:r>
            <w:r w:rsidR="00CA59E8">
              <w:rPr>
                <w:rFonts w:ascii="Arial Narrow" w:hAnsi="Arial Narrow"/>
                <w:noProof/>
                <w:color w:val="000000"/>
                <w:sz w:val="20"/>
                <w:highlight w:val="black"/>
              </w:rPr>
              <w:t>''''''''''''''''</w:t>
            </w:r>
            <w:r w:rsidR="00CA59E8">
              <w:rPr>
                <w:rFonts w:ascii="Arial Narrow" w:hAnsi="Arial Narrow"/>
                <w:i/>
                <w:iCs/>
                <w:noProof/>
                <w:color w:val="000000"/>
                <w:sz w:val="20"/>
                <w:highlight w:val="black"/>
              </w:rPr>
              <w:t>'''</w:t>
            </w:r>
          </w:p>
        </w:tc>
        <w:tc>
          <w:tcPr>
            <w:tcW w:w="2217" w:type="dxa"/>
          </w:tcPr>
          <w:p w:rsidR="00727CAA" w:rsidRPr="00264D05" w:rsidRDefault="00727CAA" w:rsidP="005212E6">
            <w:pPr>
              <w:jc w:val="center"/>
              <w:rPr>
                <w:rFonts w:ascii="Arial Narrow" w:hAnsi="Arial Narrow"/>
                <w:iCs/>
                <w:sz w:val="20"/>
              </w:rPr>
            </w:pPr>
            <w:r w:rsidRPr="00264D05">
              <w:rPr>
                <w:rFonts w:ascii="Arial Narrow" w:hAnsi="Arial Narrow"/>
                <w:iCs/>
                <w:sz w:val="20"/>
              </w:rPr>
              <w:t>$</w:t>
            </w:r>
            <w:r w:rsidR="00CA59E8">
              <w:rPr>
                <w:rFonts w:ascii="Arial Narrow" w:hAnsi="Arial Narrow"/>
                <w:iCs/>
                <w:noProof/>
                <w:color w:val="000000"/>
                <w:sz w:val="20"/>
                <w:highlight w:val="black"/>
              </w:rPr>
              <w:t>''''''''''''''''''''</w:t>
            </w:r>
          </w:p>
        </w:tc>
      </w:tr>
    </w:tbl>
    <w:p w:rsidR="00727CAA" w:rsidRDefault="00727CAA" w:rsidP="00084353">
      <w:pPr>
        <w:pStyle w:val="TableFooter"/>
        <w:ind w:left="709"/>
      </w:pPr>
      <w:bookmarkStart w:id="28" w:name="_Toc471759029"/>
      <w:r w:rsidRPr="00084353">
        <w:t>Source: Table D.2.5, p15 of Section D of the submission</w:t>
      </w:r>
      <w:bookmarkEnd w:id="28"/>
      <w:r w:rsidR="00264D05">
        <w:t>. The effective AEMP</w:t>
      </w:r>
      <w:r w:rsidR="00535DF6">
        <w:t xml:space="preserve"> which were</w:t>
      </w:r>
      <w:r w:rsidR="00264D05">
        <w:t xml:space="preserve"> derived based on AEMPs were compiled during the evaluation.</w:t>
      </w:r>
    </w:p>
    <w:p w:rsidR="00BB2527" w:rsidRPr="00084353" w:rsidRDefault="00BB2527" w:rsidP="00084353">
      <w:pPr>
        <w:pStyle w:val="TableFooter"/>
        <w:ind w:left="709"/>
        <w:rPr>
          <w:i/>
          <w:iCs/>
        </w:rPr>
      </w:pPr>
    </w:p>
    <w:p w:rsidR="00E259D3" w:rsidRPr="00E259D3" w:rsidRDefault="004911EB" w:rsidP="00BB2527">
      <w:pPr>
        <w:pStyle w:val="ListParagraph"/>
        <w:widowControl/>
        <w:numPr>
          <w:ilvl w:val="1"/>
          <w:numId w:val="1"/>
        </w:numPr>
        <w:rPr>
          <w:szCs w:val="22"/>
        </w:rPr>
      </w:pPr>
      <w:r>
        <w:t xml:space="preserve">The PBAC </w:t>
      </w:r>
      <w:r w:rsidR="00E259D3">
        <w:t>noted i</w:t>
      </w:r>
      <w:r w:rsidR="00E259D3" w:rsidRPr="004C0645">
        <w:t xml:space="preserve">f treatment with UST was substantially more costly than an alternative therapy or alternative therapies, the PBAC could only recommend listing if it is satisfied that the UST provides, for some patients, a significant improvement in efficacy or reduction of toxicity over the alternative therapy or therapies. </w:t>
      </w:r>
      <w:r w:rsidR="00E259D3">
        <w:t xml:space="preserve">The lowest cost alternative therapy was </w:t>
      </w:r>
      <w:r w:rsidR="007C1E75">
        <w:t xml:space="preserve">noted </w:t>
      </w:r>
      <w:r w:rsidR="00E259D3">
        <w:t>to be infliximab.</w:t>
      </w:r>
    </w:p>
    <w:p w:rsidR="00E259D3" w:rsidRPr="00E259D3" w:rsidRDefault="00E259D3" w:rsidP="00E259D3">
      <w:pPr>
        <w:pStyle w:val="ListParagraph"/>
        <w:widowControl/>
        <w:rPr>
          <w:szCs w:val="22"/>
        </w:rPr>
      </w:pPr>
    </w:p>
    <w:p w:rsidR="00BB2527" w:rsidRPr="00841C6E" w:rsidRDefault="00BB2527" w:rsidP="00BB2527">
      <w:pPr>
        <w:pStyle w:val="ListParagraph"/>
        <w:widowControl/>
        <w:numPr>
          <w:ilvl w:val="1"/>
          <w:numId w:val="1"/>
        </w:numPr>
        <w:rPr>
          <w:szCs w:val="22"/>
        </w:rPr>
      </w:pPr>
      <w:r w:rsidRPr="00C51274">
        <w:t xml:space="preserve">The </w:t>
      </w:r>
      <w:r>
        <w:t xml:space="preserve">pre-PBAC response proposed </w:t>
      </w:r>
      <w:r w:rsidR="00B3029D">
        <w:t xml:space="preserve">a new price for ustekinumab consistent with the cost-minimised price to infliximab. The proposed prices </w:t>
      </w:r>
      <w:r w:rsidR="004911EB">
        <w:t xml:space="preserve">offered </w:t>
      </w:r>
      <w:r w:rsidR="00B3029D">
        <w:t>are $</w:t>
      </w:r>
      <w:r w:rsidR="00CA59E8">
        <w:rPr>
          <w:noProof/>
          <w:color w:val="000000"/>
          <w:highlight w:val="black"/>
        </w:rPr>
        <w:t>'''''''''''''''''''</w:t>
      </w:r>
      <w:r w:rsidR="00B3029D">
        <w:t xml:space="preserve"> for 1 x 30 mg vial and $</w:t>
      </w:r>
      <w:r w:rsidR="00CA59E8">
        <w:rPr>
          <w:noProof/>
          <w:color w:val="000000"/>
          <w:highlight w:val="black"/>
        </w:rPr>
        <w:t xml:space="preserve">'''''''''''''''''''''' </w:t>
      </w:r>
      <w:r w:rsidR="00B3029D">
        <w:t xml:space="preserve">for 2 x 45 mg vials. These new proposed prices correspond to a </w:t>
      </w:r>
      <w:r w:rsidR="00CA59E8">
        <w:rPr>
          <w:noProof/>
          <w:color w:val="000000"/>
          <w:highlight w:val="black"/>
        </w:rPr>
        <w:t>'''''''''''</w:t>
      </w:r>
      <w:r w:rsidR="00B3029D">
        <w:t xml:space="preserve">% price reduction for the 130 mg vial and </w:t>
      </w:r>
      <w:r w:rsidR="00CA59E8">
        <w:rPr>
          <w:noProof/>
          <w:color w:val="000000"/>
          <w:highlight w:val="black"/>
        </w:rPr>
        <w:t>'''''''''''</w:t>
      </w:r>
      <w:r w:rsidR="00B3029D">
        <w:t xml:space="preserve">% price reduction for the 2 x 45 mg vials. </w:t>
      </w:r>
    </w:p>
    <w:p w:rsidR="00841C6E" w:rsidRDefault="00841C6E" w:rsidP="00841C6E">
      <w:pPr>
        <w:ind w:firstLine="720"/>
        <w:rPr>
          <w:bCs/>
          <w:i/>
          <w:szCs w:val="22"/>
        </w:rPr>
      </w:pPr>
    </w:p>
    <w:p w:rsidR="00841C6E" w:rsidRPr="00841C6E" w:rsidRDefault="00841C6E" w:rsidP="00841C6E">
      <w:pPr>
        <w:ind w:firstLine="720"/>
        <w:rPr>
          <w:bCs/>
          <w:i/>
          <w:szCs w:val="22"/>
        </w:rPr>
      </w:pPr>
      <w:r w:rsidRPr="00841C6E">
        <w:rPr>
          <w:bCs/>
          <w:i/>
          <w:szCs w:val="22"/>
        </w:rPr>
        <w:t>For more detail on PBAC’s view, see section 7 “PBAC outcome”</w:t>
      </w:r>
    </w:p>
    <w:p w:rsidR="00841C6E" w:rsidRPr="00C51274" w:rsidRDefault="00841C6E" w:rsidP="00841C6E">
      <w:pPr>
        <w:pStyle w:val="ListParagraph"/>
        <w:widowControl/>
        <w:rPr>
          <w:szCs w:val="22"/>
        </w:rPr>
      </w:pPr>
    </w:p>
    <w:p w:rsidR="00727CAA" w:rsidRPr="00414040" w:rsidRDefault="00727CAA" w:rsidP="00727CAA">
      <w:pPr>
        <w:widowControl/>
        <w:rPr>
          <w:szCs w:val="22"/>
        </w:rPr>
      </w:pPr>
    </w:p>
    <w:p w:rsidR="0028737C" w:rsidRDefault="00727CAA" w:rsidP="00727CAA">
      <w:pPr>
        <w:pStyle w:val="Heading2"/>
        <w:rPr>
          <w:i/>
        </w:rPr>
      </w:pPr>
      <w:bookmarkStart w:id="29" w:name="_Toc472503708"/>
      <w:r w:rsidRPr="00414040">
        <w:rPr>
          <w:i/>
        </w:rPr>
        <w:t>Drug cost/patient/</w:t>
      </w:r>
      <w:r w:rsidR="00801661">
        <w:rPr>
          <w:i/>
        </w:rPr>
        <w:t>over 2 years</w:t>
      </w:r>
      <w:bookmarkEnd w:id="29"/>
    </w:p>
    <w:p w:rsidR="00C51274" w:rsidRPr="00C51274" w:rsidRDefault="00C51274" w:rsidP="00C51274"/>
    <w:p w:rsidR="00727CAA" w:rsidRPr="00C51274" w:rsidRDefault="00727CAA" w:rsidP="00506A87">
      <w:pPr>
        <w:pStyle w:val="ListParagraph"/>
        <w:widowControl/>
        <w:numPr>
          <w:ilvl w:val="1"/>
          <w:numId w:val="1"/>
        </w:numPr>
        <w:snapToGrid w:val="0"/>
        <w:rPr>
          <w:szCs w:val="22"/>
        </w:rPr>
      </w:pPr>
      <w:r w:rsidRPr="00C51274">
        <w:t>$</w:t>
      </w:r>
      <w:r w:rsidR="00CA59E8">
        <w:rPr>
          <w:noProof/>
          <w:color w:val="000000"/>
          <w:highlight w:val="black"/>
        </w:rPr>
        <w:t>''''''''''''''''''''</w:t>
      </w:r>
      <w:r w:rsidRPr="00C51274">
        <w:t xml:space="preserve"> during the 16 week induction </w:t>
      </w:r>
      <w:r w:rsidR="00E83337" w:rsidRPr="00C51274">
        <w:t xml:space="preserve">period </w:t>
      </w:r>
      <w:r w:rsidRPr="00C51274">
        <w:t>and $</w:t>
      </w:r>
      <w:r w:rsidR="00CA59E8">
        <w:rPr>
          <w:noProof/>
          <w:color w:val="000000"/>
          <w:highlight w:val="black"/>
        </w:rPr>
        <w:t>'''''''''''''''''''''''</w:t>
      </w:r>
      <w:r w:rsidRPr="00C51274">
        <w:t xml:space="preserve"> for continued maintenance</w:t>
      </w:r>
      <w:r w:rsidR="00801661" w:rsidRPr="00C51274">
        <w:t xml:space="preserve"> </w:t>
      </w:r>
      <w:r w:rsidR="00E83337" w:rsidRPr="00C51274">
        <w:t>period</w:t>
      </w:r>
      <w:r w:rsidR="00801661" w:rsidRPr="00C51274">
        <w:t xml:space="preserve"> (based on the effective DPMQs derived from cost</w:t>
      </w:r>
      <w:r w:rsidR="00CD599C">
        <w:t>-</w:t>
      </w:r>
      <w:r w:rsidR="00801661" w:rsidRPr="00C51274">
        <w:t xml:space="preserve">minimisation analysis versus a weighted mixed comparator of ADA </w:t>
      </w:r>
      <w:r w:rsidR="00CA59E8">
        <w:rPr>
          <w:noProof/>
          <w:color w:val="000000"/>
          <w:highlight w:val="black"/>
        </w:rPr>
        <w:t>''''''</w:t>
      </w:r>
      <w:r w:rsidR="00801661" w:rsidRPr="00C51274">
        <w:t>%, IFX</w:t>
      </w:r>
      <w:r w:rsidR="00801661" w:rsidRPr="00DC645A">
        <w:t xml:space="preserve"> </w:t>
      </w:r>
      <w:r w:rsidR="00CA59E8">
        <w:rPr>
          <w:noProof/>
          <w:color w:val="000000"/>
          <w:highlight w:val="black"/>
        </w:rPr>
        <w:t>''''''</w:t>
      </w:r>
      <w:r w:rsidR="00801661" w:rsidRPr="00C51274">
        <w:t xml:space="preserve">% and VDZ </w:t>
      </w:r>
      <w:r w:rsidR="00CA59E8">
        <w:rPr>
          <w:noProof/>
          <w:color w:val="000000"/>
          <w:highlight w:val="black"/>
        </w:rPr>
        <w:t>''''</w:t>
      </w:r>
      <w:r w:rsidR="00801661" w:rsidRPr="00C51274">
        <w:t xml:space="preserve">%).  Current utilisation on PBS is: </w:t>
      </w:r>
      <w:r w:rsidR="00801661" w:rsidRPr="00DC645A">
        <w:t>50.8</w:t>
      </w:r>
      <w:r w:rsidR="00E83337" w:rsidRPr="00C51274">
        <w:t xml:space="preserve">% ADA, </w:t>
      </w:r>
      <w:r w:rsidR="00E83337" w:rsidRPr="00DC645A">
        <w:t>46.2</w:t>
      </w:r>
      <w:r w:rsidR="00E83337" w:rsidRPr="00C51274">
        <w:t xml:space="preserve">% IFX and </w:t>
      </w:r>
      <w:r w:rsidR="00E83337" w:rsidRPr="00DC645A">
        <w:t>3</w:t>
      </w:r>
      <w:r w:rsidR="00E83337" w:rsidRPr="00C51274">
        <w:t>% VDZ</w:t>
      </w:r>
      <w:r w:rsidR="00B4008E">
        <w:t>.</w:t>
      </w:r>
    </w:p>
    <w:p w:rsidR="00727CAA" w:rsidRPr="00414040" w:rsidRDefault="00727CAA" w:rsidP="00727CAA">
      <w:pPr>
        <w:rPr>
          <w:szCs w:val="22"/>
        </w:rPr>
      </w:pPr>
    </w:p>
    <w:p w:rsidR="00727CAA" w:rsidRPr="00414040" w:rsidRDefault="00727CAA" w:rsidP="00727CAA">
      <w:pPr>
        <w:pStyle w:val="Heading2"/>
        <w:rPr>
          <w:i/>
        </w:rPr>
      </w:pPr>
      <w:bookmarkStart w:id="30" w:name="_Toc472503709"/>
      <w:r w:rsidRPr="00414040">
        <w:rPr>
          <w:i/>
        </w:rPr>
        <w:t>Estimated PBS usage &amp; financial implications</w:t>
      </w:r>
      <w:bookmarkEnd w:id="30"/>
    </w:p>
    <w:p w:rsidR="00727CAA" w:rsidRPr="00414040" w:rsidRDefault="00727CAA" w:rsidP="00727CAA">
      <w:pPr>
        <w:ind w:left="720" w:hanging="720"/>
        <w:rPr>
          <w:b/>
          <w:i/>
          <w:szCs w:val="22"/>
        </w:rPr>
      </w:pPr>
    </w:p>
    <w:p w:rsidR="00727CAA" w:rsidRPr="00414040" w:rsidRDefault="00727CAA" w:rsidP="00506A87">
      <w:pPr>
        <w:pStyle w:val="ListParagraph"/>
        <w:widowControl/>
        <w:numPr>
          <w:ilvl w:val="1"/>
          <w:numId w:val="1"/>
        </w:numPr>
        <w:snapToGrid w:val="0"/>
        <w:rPr>
          <w:snapToGrid/>
          <w:szCs w:val="22"/>
        </w:rPr>
      </w:pPr>
      <w:r w:rsidRPr="00414040">
        <w:t xml:space="preserve">This submission </w:t>
      </w:r>
      <w:r w:rsidR="00C51274">
        <w:t>was not</w:t>
      </w:r>
      <w:r w:rsidRPr="00414040">
        <w:t xml:space="preserve"> considered by DUSC</w:t>
      </w:r>
      <w:r w:rsidRPr="00414040">
        <w:rPr>
          <w:color w:val="0070C0"/>
        </w:rPr>
        <w:t xml:space="preserve">. </w:t>
      </w:r>
      <w:r w:rsidRPr="00414040">
        <w:rPr>
          <w:snapToGrid/>
        </w:rPr>
        <w:t xml:space="preserve">The submission primarily used a market share approach based on PBS 10% data to estimate the total use of </w:t>
      </w:r>
      <w:r w:rsidR="009F102A" w:rsidRPr="009F102A">
        <w:rPr>
          <w:snapToGrid/>
        </w:rPr>
        <w:t>UST</w:t>
      </w:r>
      <w:r w:rsidRPr="00414040">
        <w:rPr>
          <w:snapToGrid/>
        </w:rPr>
        <w:t xml:space="preserve"> for both indications (severe CD and fistulising CD</w:t>
      </w:r>
      <w:r w:rsidRPr="00414040">
        <w:t>).</w:t>
      </w:r>
    </w:p>
    <w:p w:rsidR="00727CAA" w:rsidRPr="00414040" w:rsidRDefault="00727CAA" w:rsidP="00727CAA">
      <w:pPr>
        <w:widowControl/>
        <w:rPr>
          <w:szCs w:val="22"/>
        </w:rPr>
      </w:pPr>
    </w:p>
    <w:p w:rsidR="00727CAA" w:rsidRPr="00414040" w:rsidRDefault="00727CAA" w:rsidP="00727CAA">
      <w:pPr>
        <w:ind w:firstLine="709"/>
        <w:rPr>
          <w:rStyle w:val="CommentReference"/>
        </w:rPr>
      </w:pPr>
      <w:r w:rsidRPr="00414040">
        <w:rPr>
          <w:rStyle w:val="CommentReference"/>
        </w:rPr>
        <w:t xml:space="preserve">Table </w:t>
      </w:r>
      <w:r w:rsidR="00584174">
        <w:rPr>
          <w:rStyle w:val="CommentReference"/>
        </w:rPr>
        <w:t>9</w:t>
      </w:r>
      <w:r w:rsidRPr="00414040">
        <w:rPr>
          <w:rStyle w:val="CommentReference"/>
        </w:rPr>
        <w:t>: Estimated use and financial implications</w:t>
      </w:r>
    </w:p>
    <w:tbl>
      <w:tblPr>
        <w:tblW w:w="454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1010"/>
        <w:gridCol w:w="1133"/>
        <w:gridCol w:w="1275"/>
        <w:gridCol w:w="1275"/>
        <w:gridCol w:w="1161"/>
      </w:tblGrid>
      <w:tr w:rsidR="00727CAA" w:rsidRPr="00414040" w:rsidTr="00FB784A">
        <w:trPr>
          <w:tblHeader/>
        </w:trPr>
        <w:tc>
          <w:tcPr>
            <w:tcW w:w="1451" w:type="pct"/>
            <w:shd w:val="clear" w:color="auto" w:fill="auto"/>
            <w:vAlign w:val="center"/>
          </w:tcPr>
          <w:p w:rsidR="00727CAA" w:rsidRPr="00414040" w:rsidRDefault="00727CAA" w:rsidP="005212E6">
            <w:pPr>
              <w:tabs>
                <w:tab w:val="left" w:pos="142"/>
              </w:tabs>
              <w:jc w:val="left"/>
              <w:rPr>
                <w:rFonts w:ascii="Arial Narrow" w:hAnsi="Arial Narrow"/>
                <w:b/>
                <w:sz w:val="20"/>
              </w:rPr>
            </w:pPr>
          </w:p>
        </w:tc>
        <w:tc>
          <w:tcPr>
            <w:tcW w:w="612" w:type="pct"/>
            <w:shd w:val="clear" w:color="auto" w:fill="auto"/>
            <w:vAlign w:val="center"/>
          </w:tcPr>
          <w:p w:rsidR="00727CAA" w:rsidRPr="00414040" w:rsidRDefault="00727CAA" w:rsidP="005212E6">
            <w:pPr>
              <w:jc w:val="center"/>
              <w:rPr>
                <w:rFonts w:ascii="Arial Narrow" w:hAnsi="Arial Narrow"/>
                <w:b/>
                <w:sz w:val="20"/>
              </w:rPr>
            </w:pPr>
            <w:r w:rsidRPr="00414040">
              <w:rPr>
                <w:rFonts w:ascii="Arial Narrow" w:hAnsi="Arial Narrow"/>
                <w:b/>
                <w:sz w:val="20"/>
              </w:rPr>
              <w:t>Year 1</w:t>
            </w:r>
          </w:p>
        </w:tc>
        <w:tc>
          <w:tcPr>
            <w:tcW w:w="687" w:type="pct"/>
            <w:shd w:val="clear" w:color="auto" w:fill="auto"/>
            <w:vAlign w:val="center"/>
          </w:tcPr>
          <w:p w:rsidR="00727CAA" w:rsidRPr="00414040" w:rsidRDefault="00727CAA" w:rsidP="005212E6">
            <w:pPr>
              <w:jc w:val="center"/>
              <w:rPr>
                <w:rFonts w:ascii="Arial Narrow" w:hAnsi="Arial Narrow"/>
                <w:b/>
                <w:sz w:val="20"/>
              </w:rPr>
            </w:pPr>
            <w:r w:rsidRPr="00414040">
              <w:rPr>
                <w:rFonts w:ascii="Arial Narrow" w:hAnsi="Arial Narrow"/>
                <w:b/>
                <w:sz w:val="20"/>
              </w:rPr>
              <w:t>Year 2</w:t>
            </w:r>
          </w:p>
        </w:tc>
        <w:tc>
          <w:tcPr>
            <w:tcW w:w="773" w:type="pct"/>
            <w:shd w:val="clear" w:color="auto" w:fill="auto"/>
            <w:vAlign w:val="center"/>
          </w:tcPr>
          <w:p w:rsidR="00727CAA" w:rsidRPr="00414040" w:rsidRDefault="00727CAA" w:rsidP="005212E6">
            <w:pPr>
              <w:jc w:val="center"/>
              <w:rPr>
                <w:rFonts w:ascii="Arial Narrow" w:hAnsi="Arial Narrow"/>
                <w:b/>
                <w:sz w:val="20"/>
              </w:rPr>
            </w:pPr>
            <w:r w:rsidRPr="00414040">
              <w:rPr>
                <w:rFonts w:ascii="Arial Narrow" w:hAnsi="Arial Narrow"/>
                <w:b/>
                <w:sz w:val="20"/>
              </w:rPr>
              <w:t>Year 3</w:t>
            </w:r>
          </w:p>
        </w:tc>
        <w:tc>
          <w:tcPr>
            <w:tcW w:w="773" w:type="pct"/>
            <w:shd w:val="clear" w:color="auto" w:fill="auto"/>
            <w:vAlign w:val="center"/>
          </w:tcPr>
          <w:p w:rsidR="00727CAA" w:rsidRPr="00414040" w:rsidRDefault="00727CAA" w:rsidP="005212E6">
            <w:pPr>
              <w:jc w:val="center"/>
              <w:rPr>
                <w:rFonts w:ascii="Arial Narrow" w:hAnsi="Arial Narrow"/>
                <w:b/>
                <w:sz w:val="20"/>
              </w:rPr>
            </w:pPr>
            <w:r w:rsidRPr="00414040">
              <w:rPr>
                <w:rFonts w:ascii="Arial Narrow" w:hAnsi="Arial Narrow"/>
                <w:b/>
                <w:sz w:val="20"/>
              </w:rPr>
              <w:t>Year 4</w:t>
            </w:r>
          </w:p>
        </w:tc>
        <w:tc>
          <w:tcPr>
            <w:tcW w:w="704" w:type="pct"/>
            <w:shd w:val="clear" w:color="auto" w:fill="auto"/>
            <w:vAlign w:val="center"/>
          </w:tcPr>
          <w:p w:rsidR="00727CAA" w:rsidRPr="00414040" w:rsidRDefault="00727CAA" w:rsidP="005212E6">
            <w:pPr>
              <w:jc w:val="center"/>
              <w:rPr>
                <w:rFonts w:ascii="Arial Narrow" w:hAnsi="Arial Narrow"/>
                <w:b/>
                <w:sz w:val="20"/>
              </w:rPr>
            </w:pPr>
            <w:r w:rsidRPr="00414040">
              <w:rPr>
                <w:rFonts w:ascii="Arial Narrow" w:hAnsi="Arial Narrow"/>
                <w:b/>
                <w:sz w:val="20"/>
              </w:rPr>
              <w:t>Year 5</w:t>
            </w:r>
          </w:p>
        </w:tc>
      </w:tr>
      <w:tr w:rsidR="00727CAA" w:rsidRPr="00414040" w:rsidTr="00FB784A">
        <w:tc>
          <w:tcPr>
            <w:tcW w:w="5000" w:type="pct"/>
            <w:gridSpan w:val="6"/>
            <w:shd w:val="clear" w:color="auto" w:fill="auto"/>
            <w:vAlign w:val="center"/>
          </w:tcPr>
          <w:p w:rsidR="00727CAA" w:rsidRPr="00414040" w:rsidRDefault="00727CAA" w:rsidP="005212E6">
            <w:pPr>
              <w:jc w:val="left"/>
              <w:rPr>
                <w:rFonts w:ascii="Arial Narrow" w:hAnsi="Arial Narrow"/>
                <w:b/>
                <w:bCs/>
                <w:color w:val="000000"/>
                <w:sz w:val="20"/>
              </w:rPr>
            </w:pPr>
            <w:r w:rsidRPr="00414040">
              <w:rPr>
                <w:rFonts w:ascii="Arial Narrow" w:hAnsi="Arial Narrow"/>
                <w:b/>
                <w:bCs/>
                <w:color w:val="000000"/>
                <w:sz w:val="20"/>
              </w:rPr>
              <w:t>Estimated extent of use</w:t>
            </w:r>
          </w:p>
        </w:tc>
      </w:tr>
      <w:tr w:rsidR="00727CAA" w:rsidRPr="00414040" w:rsidTr="00FB784A">
        <w:tc>
          <w:tcPr>
            <w:tcW w:w="1451" w:type="pct"/>
            <w:shd w:val="clear" w:color="auto" w:fill="auto"/>
            <w:vAlign w:val="center"/>
          </w:tcPr>
          <w:p w:rsidR="00727CAA" w:rsidRPr="00414040" w:rsidRDefault="00727CAA" w:rsidP="005212E6">
            <w:pPr>
              <w:tabs>
                <w:tab w:val="left" w:pos="142"/>
              </w:tabs>
              <w:jc w:val="left"/>
              <w:rPr>
                <w:rFonts w:ascii="Arial Narrow" w:hAnsi="Arial Narrow"/>
                <w:sz w:val="20"/>
              </w:rPr>
            </w:pPr>
            <w:r w:rsidRPr="00414040">
              <w:rPr>
                <w:rFonts w:ascii="Arial Narrow" w:hAnsi="Arial Narrow"/>
                <w:sz w:val="20"/>
              </w:rPr>
              <w:t>Number treated</w:t>
            </w:r>
          </w:p>
        </w:tc>
        <w:tc>
          <w:tcPr>
            <w:tcW w:w="612" w:type="pct"/>
          </w:tcPr>
          <w:p w:rsidR="00727CAA" w:rsidRPr="00CA59E8" w:rsidRDefault="00CA59E8" w:rsidP="005212E6">
            <w:pPr>
              <w:jc w:val="center"/>
              <w:rPr>
                <w:rFonts w:ascii="Arial Narrow" w:hAnsi="Arial Narrow"/>
                <w:bCs/>
                <w:color w:val="000000"/>
                <w:sz w:val="20"/>
                <w:highlight w:val="black"/>
              </w:rPr>
            </w:pPr>
            <w:r>
              <w:rPr>
                <w:rFonts w:ascii="Arial Narrow" w:hAnsi="Arial Narrow"/>
                <w:bCs/>
                <w:noProof/>
                <w:snapToGrid/>
                <w:color w:val="000000"/>
                <w:sz w:val="20"/>
                <w:szCs w:val="18"/>
                <w:highlight w:val="black"/>
              </w:rPr>
              <w:t>'''''''''</w:t>
            </w:r>
          </w:p>
        </w:tc>
        <w:tc>
          <w:tcPr>
            <w:tcW w:w="687" w:type="pct"/>
          </w:tcPr>
          <w:p w:rsidR="00727CAA" w:rsidRPr="00CA59E8" w:rsidRDefault="00CA59E8" w:rsidP="005212E6">
            <w:pPr>
              <w:jc w:val="center"/>
              <w:rPr>
                <w:rFonts w:ascii="Arial Narrow" w:hAnsi="Arial Narrow"/>
                <w:bCs/>
                <w:color w:val="000000"/>
                <w:sz w:val="20"/>
                <w:highlight w:val="black"/>
              </w:rPr>
            </w:pPr>
            <w:r>
              <w:rPr>
                <w:rFonts w:ascii="Arial Narrow" w:hAnsi="Arial Narrow"/>
                <w:bCs/>
                <w:noProof/>
                <w:snapToGrid/>
                <w:color w:val="000000"/>
                <w:sz w:val="20"/>
                <w:szCs w:val="18"/>
                <w:highlight w:val="black"/>
              </w:rPr>
              <w:t>'''''''''''''''</w:t>
            </w:r>
          </w:p>
        </w:tc>
        <w:tc>
          <w:tcPr>
            <w:tcW w:w="773" w:type="pct"/>
          </w:tcPr>
          <w:p w:rsidR="00727CAA" w:rsidRPr="00CA59E8" w:rsidRDefault="00CA59E8" w:rsidP="005212E6">
            <w:pPr>
              <w:jc w:val="center"/>
              <w:rPr>
                <w:rFonts w:ascii="Arial Narrow" w:hAnsi="Arial Narrow"/>
                <w:bCs/>
                <w:color w:val="000000"/>
                <w:sz w:val="20"/>
                <w:highlight w:val="black"/>
              </w:rPr>
            </w:pPr>
            <w:r>
              <w:rPr>
                <w:rFonts w:ascii="Arial Narrow" w:hAnsi="Arial Narrow"/>
                <w:bCs/>
                <w:noProof/>
                <w:snapToGrid/>
                <w:color w:val="000000"/>
                <w:sz w:val="20"/>
                <w:szCs w:val="18"/>
                <w:highlight w:val="black"/>
              </w:rPr>
              <w:t>''''''''''''''</w:t>
            </w:r>
          </w:p>
        </w:tc>
        <w:tc>
          <w:tcPr>
            <w:tcW w:w="773" w:type="pct"/>
          </w:tcPr>
          <w:p w:rsidR="00727CAA" w:rsidRPr="00CA59E8" w:rsidRDefault="00CA59E8" w:rsidP="005212E6">
            <w:pPr>
              <w:jc w:val="center"/>
              <w:rPr>
                <w:rFonts w:ascii="Arial Narrow" w:hAnsi="Arial Narrow"/>
                <w:bCs/>
                <w:color w:val="000000"/>
                <w:sz w:val="20"/>
                <w:highlight w:val="black"/>
              </w:rPr>
            </w:pPr>
            <w:r>
              <w:rPr>
                <w:rFonts w:ascii="Arial Narrow" w:hAnsi="Arial Narrow"/>
                <w:bCs/>
                <w:noProof/>
                <w:snapToGrid/>
                <w:color w:val="000000"/>
                <w:sz w:val="20"/>
                <w:szCs w:val="18"/>
                <w:highlight w:val="black"/>
              </w:rPr>
              <w:t>'''''''''''''''</w:t>
            </w:r>
          </w:p>
        </w:tc>
        <w:tc>
          <w:tcPr>
            <w:tcW w:w="704" w:type="pct"/>
          </w:tcPr>
          <w:p w:rsidR="00727CAA" w:rsidRPr="00CA59E8" w:rsidRDefault="00CA59E8" w:rsidP="005212E6">
            <w:pPr>
              <w:jc w:val="center"/>
              <w:rPr>
                <w:rFonts w:ascii="Arial Narrow" w:hAnsi="Arial Narrow"/>
                <w:bCs/>
                <w:color w:val="000000"/>
                <w:sz w:val="20"/>
                <w:highlight w:val="black"/>
              </w:rPr>
            </w:pPr>
            <w:r>
              <w:rPr>
                <w:rFonts w:ascii="Arial Narrow" w:hAnsi="Arial Narrow"/>
                <w:bCs/>
                <w:noProof/>
                <w:snapToGrid/>
                <w:color w:val="000000"/>
                <w:sz w:val="20"/>
                <w:szCs w:val="18"/>
                <w:highlight w:val="black"/>
              </w:rPr>
              <w:t>'''''''''''''</w:t>
            </w:r>
          </w:p>
        </w:tc>
      </w:tr>
      <w:tr w:rsidR="00727CAA" w:rsidRPr="00414040" w:rsidTr="00FB784A">
        <w:tc>
          <w:tcPr>
            <w:tcW w:w="1451" w:type="pct"/>
            <w:shd w:val="clear" w:color="auto" w:fill="auto"/>
            <w:vAlign w:val="center"/>
          </w:tcPr>
          <w:p w:rsidR="00727CAA" w:rsidRPr="00414040" w:rsidRDefault="00727CAA" w:rsidP="005212E6">
            <w:pPr>
              <w:tabs>
                <w:tab w:val="left" w:pos="142"/>
              </w:tabs>
              <w:jc w:val="left"/>
              <w:rPr>
                <w:rFonts w:ascii="Arial Narrow" w:hAnsi="Arial Narrow"/>
                <w:sz w:val="20"/>
              </w:rPr>
            </w:pPr>
            <w:r w:rsidRPr="00414040">
              <w:rPr>
                <w:rFonts w:ascii="Arial Narrow" w:hAnsi="Arial Narrow"/>
                <w:sz w:val="20"/>
              </w:rPr>
              <w:t>Market share</w:t>
            </w:r>
          </w:p>
        </w:tc>
        <w:tc>
          <w:tcPr>
            <w:tcW w:w="612" w:type="pct"/>
          </w:tcPr>
          <w:p w:rsidR="00727CAA" w:rsidRPr="00414040" w:rsidRDefault="00CA59E8" w:rsidP="005212E6">
            <w:pPr>
              <w:jc w:val="center"/>
              <w:rPr>
                <w:rFonts w:ascii="Arial Narrow" w:hAnsi="Arial Narrow"/>
                <w:bCs/>
                <w:color w:val="000000"/>
                <w:sz w:val="20"/>
              </w:rPr>
            </w:pPr>
            <w:r>
              <w:rPr>
                <w:rFonts w:ascii="Arial Narrow" w:hAnsi="Arial Narrow"/>
                <w:noProof/>
                <w:snapToGrid/>
                <w:color w:val="000000"/>
                <w:sz w:val="20"/>
                <w:szCs w:val="18"/>
                <w:highlight w:val="black"/>
              </w:rPr>
              <w:t>'''''</w:t>
            </w:r>
            <w:r w:rsidR="00727CAA" w:rsidRPr="00414040">
              <w:rPr>
                <w:rFonts w:ascii="Arial Narrow" w:hAnsi="Arial Narrow"/>
                <w:snapToGrid/>
                <w:sz w:val="20"/>
                <w:szCs w:val="18"/>
              </w:rPr>
              <w:t>%</w:t>
            </w:r>
          </w:p>
        </w:tc>
        <w:tc>
          <w:tcPr>
            <w:tcW w:w="687" w:type="pct"/>
          </w:tcPr>
          <w:p w:rsidR="00727CAA" w:rsidRPr="00414040" w:rsidRDefault="00CA59E8" w:rsidP="005212E6">
            <w:pPr>
              <w:jc w:val="center"/>
              <w:rPr>
                <w:rFonts w:ascii="Arial Narrow" w:hAnsi="Arial Narrow"/>
                <w:bCs/>
                <w:color w:val="000000"/>
                <w:sz w:val="20"/>
              </w:rPr>
            </w:pPr>
            <w:r>
              <w:rPr>
                <w:rFonts w:ascii="Arial Narrow" w:hAnsi="Arial Narrow"/>
                <w:noProof/>
                <w:snapToGrid/>
                <w:color w:val="000000"/>
                <w:sz w:val="20"/>
                <w:szCs w:val="18"/>
                <w:highlight w:val="black"/>
              </w:rPr>
              <w:t>''''''</w:t>
            </w:r>
            <w:r w:rsidR="00727CAA" w:rsidRPr="00414040">
              <w:rPr>
                <w:rFonts w:ascii="Arial Narrow" w:hAnsi="Arial Narrow"/>
                <w:snapToGrid/>
                <w:sz w:val="20"/>
                <w:szCs w:val="18"/>
              </w:rPr>
              <w:t>%</w:t>
            </w:r>
          </w:p>
        </w:tc>
        <w:tc>
          <w:tcPr>
            <w:tcW w:w="773" w:type="pct"/>
          </w:tcPr>
          <w:p w:rsidR="00727CAA" w:rsidRPr="00414040" w:rsidRDefault="00CA59E8" w:rsidP="005212E6">
            <w:pPr>
              <w:jc w:val="center"/>
              <w:rPr>
                <w:rFonts w:ascii="Arial Narrow" w:hAnsi="Arial Narrow"/>
                <w:bCs/>
                <w:color w:val="000000"/>
                <w:sz w:val="20"/>
              </w:rPr>
            </w:pPr>
            <w:r>
              <w:rPr>
                <w:rFonts w:ascii="Arial Narrow" w:hAnsi="Arial Narrow"/>
                <w:noProof/>
                <w:snapToGrid/>
                <w:color w:val="000000"/>
                <w:sz w:val="20"/>
                <w:szCs w:val="18"/>
                <w:highlight w:val="black"/>
              </w:rPr>
              <w:t>'''''''</w:t>
            </w:r>
            <w:r w:rsidR="00727CAA" w:rsidRPr="00414040">
              <w:rPr>
                <w:rFonts w:ascii="Arial Narrow" w:hAnsi="Arial Narrow"/>
                <w:snapToGrid/>
                <w:sz w:val="20"/>
                <w:szCs w:val="18"/>
              </w:rPr>
              <w:t>%</w:t>
            </w:r>
          </w:p>
        </w:tc>
        <w:tc>
          <w:tcPr>
            <w:tcW w:w="773" w:type="pct"/>
          </w:tcPr>
          <w:p w:rsidR="00727CAA" w:rsidRPr="00414040" w:rsidRDefault="00CA59E8" w:rsidP="005212E6">
            <w:pPr>
              <w:jc w:val="center"/>
              <w:rPr>
                <w:rFonts w:ascii="Arial Narrow" w:hAnsi="Arial Narrow"/>
                <w:bCs/>
                <w:color w:val="000000"/>
                <w:sz w:val="20"/>
              </w:rPr>
            </w:pPr>
            <w:r>
              <w:rPr>
                <w:rFonts w:ascii="Arial Narrow" w:hAnsi="Arial Narrow"/>
                <w:noProof/>
                <w:snapToGrid/>
                <w:color w:val="000000"/>
                <w:sz w:val="20"/>
                <w:szCs w:val="18"/>
                <w:highlight w:val="black"/>
              </w:rPr>
              <w:t>'''''</w:t>
            </w:r>
            <w:r w:rsidR="00727CAA" w:rsidRPr="00414040">
              <w:rPr>
                <w:rFonts w:ascii="Arial Narrow" w:hAnsi="Arial Narrow"/>
                <w:snapToGrid/>
                <w:sz w:val="20"/>
                <w:szCs w:val="18"/>
              </w:rPr>
              <w:t>%</w:t>
            </w:r>
          </w:p>
        </w:tc>
        <w:tc>
          <w:tcPr>
            <w:tcW w:w="704" w:type="pct"/>
          </w:tcPr>
          <w:p w:rsidR="00727CAA" w:rsidRPr="00414040" w:rsidRDefault="00CA59E8" w:rsidP="005212E6">
            <w:pPr>
              <w:jc w:val="center"/>
              <w:rPr>
                <w:rFonts w:ascii="Arial Narrow" w:hAnsi="Arial Narrow"/>
                <w:bCs/>
                <w:color w:val="000000"/>
                <w:sz w:val="20"/>
              </w:rPr>
            </w:pPr>
            <w:r>
              <w:rPr>
                <w:rFonts w:ascii="Arial Narrow" w:hAnsi="Arial Narrow"/>
                <w:noProof/>
                <w:snapToGrid/>
                <w:color w:val="000000"/>
                <w:sz w:val="20"/>
                <w:szCs w:val="18"/>
                <w:highlight w:val="black"/>
              </w:rPr>
              <w:t>''''''</w:t>
            </w:r>
            <w:r w:rsidR="00727CAA" w:rsidRPr="00414040">
              <w:rPr>
                <w:rFonts w:ascii="Arial Narrow" w:hAnsi="Arial Narrow"/>
                <w:snapToGrid/>
                <w:sz w:val="20"/>
                <w:szCs w:val="18"/>
              </w:rPr>
              <w:t>%</w:t>
            </w:r>
          </w:p>
        </w:tc>
      </w:tr>
      <w:tr w:rsidR="00727CAA" w:rsidRPr="00414040" w:rsidTr="00FB784A">
        <w:tc>
          <w:tcPr>
            <w:tcW w:w="1451" w:type="pct"/>
            <w:shd w:val="clear" w:color="auto" w:fill="auto"/>
            <w:vAlign w:val="center"/>
          </w:tcPr>
          <w:p w:rsidR="00727CAA" w:rsidRPr="00DE2BDF" w:rsidRDefault="00727CAA" w:rsidP="00DE2BDF">
            <w:pPr>
              <w:tabs>
                <w:tab w:val="left" w:pos="142"/>
              </w:tabs>
              <w:jc w:val="left"/>
              <w:rPr>
                <w:rFonts w:ascii="Arial Narrow" w:hAnsi="Arial Narrow"/>
                <w:sz w:val="20"/>
              </w:rPr>
            </w:pPr>
            <w:r w:rsidRPr="00414040">
              <w:rPr>
                <w:rFonts w:ascii="Arial Narrow" w:hAnsi="Arial Narrow"/>
                <w:sz w:val="20"/>
              </w:rPr>
              <w:t>Number on initial IV loading dose</w:t>
            </w:r>
            <w:r w:rsidR="00DE2BDF">
              <w:rPr>
                <w:rFonts w:ascii="Arial Narrow" w:hAnsi="Arial Narrow"/>
                <w:sz w:val="20"/>
              </w:rPr>
              <w:t xml:space="preserve"> (also equal to number of scripts)</w:t>
            </w:r>
          </w:p>
        </w:tc>
        <w:tc>
          <w:tcPr>
            <w:tcW w:w="612"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687"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04"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r>
      <w:tr w:rsidR="00727CAA" w:rsidRPr="00414040" w:rsidTr="00FB784A">
        <w:tc>
          <w:tcPr>
            <w:tcW w:w="1451" w:type="pct"/>
            <w:shd w:val="clear" w:color="auto" w:fill="auto"/>
            <w:vAlign w:val="center"/>
          </w:tcPr>
          <w:p w:rsidR="00727CAA" w:rsidRPr="00414040" w:rsidRDefault="00727CAA" w:rsidP="005212E6">
            <w:pPr>
              <w:tabs>
                <w:tab w:val="left" w:pos="142"/>
              </w:tabs>
              <w:jc w:val="left"/>
              <w:rPr>
                <w:rFonts w:ascii="Arial Narrow" w:hAnsi="Arial Narrow"/>
                <w:sz w:val="20"/>
              </w:rPr>
            </w:pPr>
            <w:r w:rsidRPr="00414040">
              <w:rPr>
                <w:rFonts w:ascii="Arial Narrow" w:hAnsi="Arial Narrow"/>
                <w:sz w:val="20"/>
              </w:rPr>
              <w:t>Number continuing from Week 16 to Week 52</w:t>
            </w:r>
          </w:p>
        </w:tc>
        <w:tc>
          <w:tcPr>
            <w:tcW w:w="612"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687"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04"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r>
      <w:tr w:rsidR="00727CAA" w:rsidRPr="00414040" w:rsidTr="00FB784A">
        <w:tc>
          <w:tcPr>
            <w:tcW w:w="1451" w:type="pct"/>
            <w:shd w:val="clear" w:color="auto" w:fill="auto"/>
            <w:vAlign w:val="center"/>
          </w:tcPr>
          <w:p w:rsidR="00727CAA" w:rsidRPr="00414040" w:rsidRDefault="00727CAA" w:rsidP="005212E6">
            <w:pPr>
              <w:tabs>
                <w:tab w:val="left" w:pos="142"/>
              </w:tabs>
              <w:jc w:val="left"/>
              <w:rPr>
                <w:rFonts w:ascii="Arial Narrow" w:hAnsi="Arial Narrow"/>
                <w:sz w:val="20"/>
              </w:rPr>
            </w:pPr>
            <w:r w:rsidRPr="00414040">
              <w:rPr>
                <w:rFonts w:ascii="Arial Narrow" w:hAnsi="Arial Narrow"/>
                <w:sz w:val="20"/>
              </w:rPr>
              <w:t>Number continuing from previous year</w:t>
            </w:r>
          </w:p>
        </w:tc>
        <w:tc>
          <w:tcPr>
            <w:tcW w:w="612" w:type="pct"/>
            <w:vAlign w:val="center"/>
          </w:tcPr>
          <w:p w:rsidR="00727CAA" w:rsidRPr="00414040" w:rsidRDefault="00CA59E8" w:rsidP="005212E6">
            <w:pPr>
              <w:jc w:val="center"/>
              <w:rPr>
                <w:rFonts w:ascii="Arial Narrow" w:hAnsi="Arial Narrow"/>
                <w:bCs/>
                <w:snapToGrid/>
                <w:sz w:val="20"/>
              </w:rPr>
            </w:pPr>
            <w:r>
              <w:rPr>
                <w:rFonts w:ascii="Arial Narrow" w:hAnsi="Arial Narrow"/>
                <w:bCs/>
                <w:noProof/>
                <w:snapToGrid/>
                <w:color w:val="000000"/>
                <w:sz w:val="20"/>
                <w:highlight w:val="black"/>
              </w:rPr>
              <w:t>''''''''''</w:t>
            </w:r>
            <w:r w:rsidR="00727CAA" w:rsidRPr="00414040">
              <w:rPr>
                <w:rFonts w:ascii="Arial Narrow" w:hAnsi="Arial Narrow"/>
                <w:sz w:val="20"/>
                <w:vertAlign w:val="superscript"/>
              </w:rPr>
              <w:t xml:space="preserve"> </w:t>
            </w:r>
            <w:r w:rsidR="00FB784A">
              <w:rPr>
                <w:rFonts w:ascii="Arial Narrow" w:hAnsi="Arial Narrow"/>
                <w:sz w:val="20"/>
                <w:vertAlign w:val="superscript"/>
              </w:rPr>
              <w:t>a</w:t>
            </w:r>
          </w:p>
        </w:tc>
        <w:tc>
          <w:tcPr>
            <w:tcW w:w="687"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04"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r>
      <w:tr w:rsidR="00727CAA" w:rsidRPr="00414040" w:rsidTr="00FB784A">
        <w:tc>
          <w:tcPr>
            <w:tcW w:w="1451" w:type="pct"/>
            <w:shd w:val="clear" w:color="auto" w:fill="auto"/>
            <w:vAlign w:val="center"/>
          </w:tcPr>
          <w:p w:rsidR="00727CAA" w:rsidRPr="00414040" w:rsidRDefault="00DE2BDF" w:rsidP="005212E6">
            <w:pPr>
              <w:tabs>
                <w:tab w:val="left" w:pos="142"/>
              </w:tabs>
              <w:jc w:val="left"/>
              <w:rPr>
                <w:rFonts w:ascii="Arial Narrow" w:hAnsi="Arial Narrow"/>
                <w:sz w:val="20"/>
              </w:rPr>
            </w:pPr>
            <w:r>
              <w:rPr>
                <w:rFonts w:ascii="Arial Narrow" w:hAnsi="Arial Narrow"/>
                <w:sz w:val="20"/>
              </w:rPr>
              <w:t>Number of 45 mg x 2 scripts</w:t>
            </w:r>
            <w:r w:rsidR="00727CAA" w:rsidRPr="00414040">
              <w:rPr>
                <w:rFonts w:ascii="Arial Narrow" w:hAnsi="Arial Narrow"/>
                <w:sz w:val="20"/>
              </w:rPr>
              <w:t xml:space="preserve"> </w:t>
            </w:r>
            <w:r w:rsidR="00FB784A">
              <w:rPr>
                <w:rFonts w:ascii="Arial Narrow" w:hAnsi="Arial Narrow"/>
                <w:sz w:val="20"/>
                <w:vertAlign w:val="superscript"/>
              </w:rPr>
              <w:t>b</w:t>
            </w:r>
          </w:p>
        </w:tc>
        <w:tc>
          <w:tcPr>
            <w:tcW w:w="612"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687"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73"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c>
          <w:tcPr>
            <w:tcW w:w="704" w:type="pct"/>
            <w:vAlign w:val="center"/>
          </w:tcPr>
          <w:p w:rsidR="00727CAA" w:rsidRPr="00CA59E8" w:rsidRDefault="00CA59E8" w:rsidP="005212E6">
            <w:pPr>
              <w:jc w:val="center"/>
              <w:rPr>
                <w:rFonts w:ascii="Arial Narrow" w:hAnsi="Arial Narrow"/>
                <w:bCs/>
                <w:snapToGrid/>
                <w:sz w:val="20"/>
                <w:highlight w:val="black"/>
              </w:rPr>
            </w:pPr>
            <w:r>
              <w:rPr>
                <w:rFonts w:ascii="Arial Narrow" w:hAnsi="Arial Narrow"/>
                <w:bCs/>
                <w:noProof/>
                <w:snapToGrid/>
                <w:color w:val="000000"/>
                <w:sz w:val="20"/>
                <w:highlight w:val="black"/>
              </w:rPr>
              <w:t>''''''''''''''''</w:t>
            </w:r>
          </w:p>
        </w:tc>
      </w:tr>
      <w:tr w:rsidR="00727CAA" w:rsidRPr="00414040" w:rsidTr="00FB784A">
        <w:tc>
          <w:tcPr>
            <w:tcW w:w="5000" w:type="pct"/>
            <w:gridSpan w:val="6"/>
            <w:shd w:val="clear" w:color="auto" w:fill="auto"/>
            <w:vAlign w:val="center"/>
          </w:tcPr>
          <w:p w:rsidR="00727CAA" w:rsidRPr="00414040" w:rsidRDefault="00727CAA" w:rsidP="005212E6">
            <w:pPr>
              <w:jc w:val="left"/>
              <w:rPr>
                <w:rFonts w:ascii="Arial Narrow" w:hAnsi="Arial Narrow"/>
                <w:b/>
                <w:bCs/>
                <w:color w:val="000000"/>
                <w:sz w:val="20"/>
              </w:rPr>
            </w:pPr>
            <w:r w:rsidRPr="00414040">
              <w:rPr>
                <w:rFonts w:ascii="Arial Narrow" w:hAnsi="Arial Narrow"/>
                <w:b/>
                <w:bCs/>
                <w:color w:val="000000"/>
                <w:sz w:val="20"/>
              </w:rPr>
              <w:t>Estimated net cost to PBS/RPBS/MBS</w:t>
            </w:r>
          </w:p>
        </w:tc>
      </w:tr>
      <w:tr w:rsidR="00DE2BDF" w:rsidRPr="00414040" w:rsidTr="00FB784A">
        <w:tc>
          <w:tcPr>
            <w:tcW w:w="1451" w:type="pct"/>
            <w:shd w:val="clear" w:color="auto" w:fill="auto"/>
            <w:vAlign w:val="center"/>
          </w:tcPr>
          <w:p w:rsidR="00DE2BDF" w:rsidRPr="00414040" w:rsidRDefault="00DE2BDF" w:rsidP="00DE2BDF">
            <w:pPr>
              <w:tabs>
                <w:tab w:val="left" w:pos="142"/>
              </w:tabs>
              <w:jc w:val="left"/>
              <w:rPr>
                <w:rFonts w:ascii="Arial Narrow" w:hAnsi="Arial Narrow"/>
                <w:sz w:val="19"/>
                <w:szCs w:val="19"/>
              </w:rPr>
            </w:pPr>
            <w:r w:rsidRPr="00414040">
              <w:rPr>
                <w:rFonts w:ascii="Arial Narrow" w:hAnsi="Arial Narrow"/>
                <w:sz w:val="19"/>
                <w:szCs w:val="19"/>
              </w:rPr>
              <w:t>Net cost to PBS/RPBS</w:t>
            </w:r>
          </w:p>
          <w:p w:rsidR="00DE2BDF" w:rsidRPr="00414040" w:rsidRDefault="00DE2BDF" w:rsidP="00DE2BDF">
            <w:pPr>
              <w:tabs>
                <w:tab w:val="left" w:pos="142"/>
              </w:tabs>
              <w:jc w:val="left"/>
              <w:rPr>
                <w:rFonts w:ascii="Arial Narrow" w:hAnsi="Arial Narrow"/>
                <w:sz w:val="20"/>
              </w:rPr>
            </w:pPr>
            <w:r w:rsidRPr="00414040">
              <w:rPr>
                <w:rFonts w:ascii="Arial Narrow" w:hAnsi="Arial Narrow"/>
                <w:sz w:val="19"/>
                <w:szCs w:val="19"/>
              </w:rPr>
              <w:t>(</w:t>
            </w:r>
            <w:r>
              <w:rPr>
                <w:rFonts w:ascii="Arial Narrow" w:hAnsi="Arial Narrow"/>
                <w:sz w:val="19"/>
                <w:szCs w:val="19"/>
              </w:rPr>
              <w:t>using cost</w:t>
            </w:r>
            <w:r w:rsidR="00CD599C">
              <w:rPr>
                <w:rFonts w:ascii="Arial Narrow" w:hAnsi="Arial Narrow"/>
                <w:sz w:val="19"/>
                <w:szCs w:val="19"/>
              </w:rPr>
              <w:t>-</w:t>
            </w:r>
            <w:r>
              <w:rPr>
                <w:rFonts w:ascii="Arial Narrow" w:hAnsi="Arial Narrow"/>
                <w:sz w:val="19"/>
                <w:szCs w:val="19"/>
              </w:rPr>
              <w:t xml:space="preserve">minimised </w:t>
            </w:r>
            <w:r w:rsidRPr="00414040">
              <w:rPr>
                <w:rFonts w:ascii="Arial Narrow" w:hAnsi="Arial Narrow"/>
                <w:sz w:val="19"/>
                <w:szCs w:val="19"/>
              </w:rPr>
              <w:t>prices for ustekinumab)</w:t>
            </w:r>
          </w:p>
        </w:tc>
        <w:tc>
          <w:tcPr>
            <w:tcW w:w="612" w:type="pct"/>
            <w:vAlign w:val="center"/>
          </w:tcPr>
          <w:p w:rsidR="00DE2BDF" w:rsidRPr="00DE2BDF" w:rsidRDefault="00DE2BDF" w:rsidP="00DE2BDF">
            <w:pPr>
              <w:jc w:val="center"/>
              <w:rPr>
                <w:rFonts w:ascii="Arial Narrow" w:hAnsi="Arial Narrow"/>
                <w:color w:val="000000"/>
                <w:sz w:val="20"/>
              </w:rPr>
            </w:pPr>
            <w:r w:rsidRPr="00DE2BDF">
              <w:rPr>
                <w:rFonts w:ascii="Arial Narrow" w:hAnsi="Arial Narrow"/>
                <w:bCs/>
                <w:sz w:val="20"/>
              </w:rPr>
              <w:t>$</w:t>
            </w:r>
            <w:r w:rsidR="00CA59E8">
              <w:rPr>
                <w:rFonts w:ascii="Arial Narrow" w:hAnsi="Arial Narrow"/>
                <w:bCs/>
                <w:noProof/>
                <w:color w:val="000000"/>
                <w:sz w:val="20"/>
                <w:highlight w:val="black"/>
              </w:rPr>
              <w:t>''''''''''''''''''''''''</w:t>
            </w:r>
          </w:p>
        </w:tc>
        <w:tc>
          <w:tcPr>
            <w:tcW w:w="687" w:type="pct"/>
            <w:vAlign w:val="center"/>
          </w:tcPr>
          <w:p w:rsidR="00DE2BDF" w:rsidRPr="00DE2BDF" w:rsidRDefault="00DE2BDF" w:rsidP="00DE2BDF">
            <w:pPr>
              <w:jc w:val="center"/>
              <w:rPr>
                <w:rFonts w:ascii="Arial Narrow" w:hAnsi="Arial Narrow"/>
                <w:color w:val="000000"/>
                <w:sz w:val="20"/>
              </w:rPr>
            </w:pPr>
            <w:r w:rsidRPr="00DE2BDF">
              <w:rPr>
                <w:rFonts w:ascii="Arial Narrow" w:hAnsi="Arial Narrow"/>
                <w:bCs/>
                <w:sz w:val="20"/>
              </w:rPr>
              <w:t>$</w:t>
            </w:r>
            <w:r w:rsidR="00CA59E8">
              <w:rPr>
                <w:rFonts w:ascii="Arial Narrow" w:hAnsi="Arial Narrow"/>
                <w:bCs/>
                <w:noProof/>
                <w:color w:val="000000"/>
                <w:sz w:val="20"/>
                <w:highlight w:val="black"/>
              </w:rPr>
              <w:t>'''''''''''''''''''''''''</w:t>
            </w:r>
          </w:p>
        </w:tc>
        <w:tc>
          <w:tcPr>
            <w:tcW w:w="773" w:type="pct"/>
            <w:vAlign w:val="center"/>
          </w:tcPr>
          <w:p w:rsidR="00DE2BDF" w:rsidRPr="00DE2BDF" w:rsidRDefault="00DE2BDF" w:rsidP="00DE2BDF">
            <w:pPr>
              <w:jc w:val="center"/>
              <w:rPr>
                <w:rFonts w:ascii="Arial Narrow" w:hAnsi="Arial Narrow"/>
                <w:color w:val="000000"/>
                <w:sz w:val="20"/>
              </w:rPr>
            </w:pPr>
            <w:r w:rsidRPr="00DE2BDF">
              <w:rPr>
                <w:rFonts w:ascii="Arial Narrow" w:hAnsi="Arial Narrow"/>
                <w:bCs/>
                <w:sz w:val="20"/>
              </w:rPr>
              <w:t>$</w:t>
            </w:r>
            <w:r w:rsidR="00CA59E8">
              <w:rPr>
                <w:rFonts w:ascii="Arial Narrow" w:hAnsi="Arial Narrow"/>
                <w:bCs/>
                <w:noProof/>
                <w:color w:val="000000"/>
                <w:sz w:val="20"/>
                <w:highlight w:val="black"/>
              </w:rPr>
              <w:t>''''''''''''''''''''''''</w:t>
            </w:r>
          </w:p>
        </w:tc>
        <w:tc>
          <w:tcPr>
            <w:tcW w:w="773" w:type="pct"/>
            <w:vAlign w:val="center"/>
          </w:tcPr>
          <w:p w:rsidR="00DE2BDF" w:rsidRPr="00DE2BDF" w:rsidRDefault="00DE2BDF" w:rsidP="00DE2BDF">
            <w:pPr>
              <w:jc w:val="center"/>
              <w:rPr>
                <w:rFonts w:ascii="Arial Narrow" w:hAnsi="Arial Narrow"/>
                <w:color w:val="000000"/>
                <w:sz w:val="20"/>
              </w:rPr>
            </w:pPr>
            <w:r w:rsidRPr="00DE2BDF">
              <w:rPr>
                <w:rFonts w:ascii="Arial Narrow" w:hAnsi="Arial Narrow"/>
                <w:bCs/>
                <w:sz w:val="20"/>
              </w:rPr>
              <w:t>$</w:t>
            </w:r>
            <w:r w:rsidR="00CA59E8">
              <w:rPr>
                <w:rFonts w:ascii="Arial Narrow" w:hAnsi="Arial Narrow"/>
                <w:bCs/>
                <w:noProof/>
                <w:color w:val="000000"/>
                <w:sz w:val="20"/>
                <w:highlight w:val="black"/>
              </w:rPr>
              <w:t>'''''''''''''''''''''''</w:t>
            </w:r>
          </w:p>
        </w:tc>
        <w:tc>
          <w:tcPr>
            <w:tcW w:w="704" w:type="pct"/>
            <w:vAlign w:val="center"/>
          </w:tcPr>
          <w:p w:rsidR="00DE2BDF" w:rsidRPr="00DE2BDF" w:rsidRDefault="00DE2BDF" w:rsidP="00DE2BDF">
            <w:pPr>
              <w:jc w:val="center"/>
              <w:rPr>
                <w:rFonts w:ascii="Arial Narrow" w:hAnsi="Arial Narrow"/>
                <w:color w:val="000000"/>
                <w:sz w:val="20"/>
              </w:rPr>
            </w:pPr>
            <w:r w:rsidRPr="00DE2BDF">
              <w:rPr>
                <w:rFonts w:ascii="Arial Narrow" w:hAnsi="Arial Narrow"/>
                <w:bCs/>
                <w:sz w:val="20"/>
              </w:rPr>
              <w:t>$</w:t>
            </w:r>
            <w:r w:rsidR="00CA59E8">
              <w:rPr>
                <w:rFonts w:ascii="Arial Narrow" w:hAnsi="Arial Narrow"/>
                <w:bCs/>
                <w:noProof/>
                <w:color w:val="000000"/>
                <w:sz w:val="20"/>
                <w:highlight w:val="black"/>
              </w:rPr>
              <w:t>''''''''''''''''''''''</w:t>
            </w:r>
          </w:p>
        </w:tc>
      </w:tr>
      <w:tr w:rsidR="00727CAA" w:rsidRPr="00414040" w:rsidTr="00FB784A">
        <w:tc>
          <w:tcPr>
            <w:tcW w:w="1451" w:type="pct"/>
            <w:shd w:val="clear" w:color="auto" w:fill="auto"/>
            <w:vAlign w:val="center"/>
          </w:tcPr>
          <w:p w:rsidR="00727CAA" w:rsidRPr="00414040" w:rsidRDefault="00727CAA" w:rsidP="005212E6">
            <w:pPr>
              <w:tabs>
                <w:tab w:val="left" w:pos="142"/>
              </w:tabs>
              <w:jc w:val="left"/>
              <w:rPr>
                <w:rFonts w:ascii="Arial Narrow" w:hAnsi="Arial Narrow"/>
                <w:sz w:val="20"/>
              </w:rPr>
            </w:pPr>
            <w:r w:rsidRPr="00414040">
              <w:rPr>
                <w:rFonts w:ascii="Arial Narrow" w:hAnsi="Arial Narrow"/>
                <w:sz w:val="19"/>
                <w:szCs w:val="19"/>
              </w:rPr>
              <w:t>Net cost to MBS</w:t>
            </w:r>
          </w:p>
        </w:tc>
        <w:tc>
          <w:tcPr>
            <w:tcW w:w="612" w:type="pct"/>
            <w:vAlign w:val="center"/>
          </w:tcPr>
          <w:p w:rsidR="00727CAA" w:rsidRPr="00414040" w:rsidRDefault="00727CAA" w:rsidP="005212E6">
            <w:pPr>
              <w:jc w:val="center"/>
              <w:rPr>
                <w:rFonts w:ascii="Arial Narrow" w:hAnsi="Arial Narrow"/>
                <w:bCs/>
                <w:color w:val="000000"/>
                <w:sz w:val="20"/>
              </w:rPr>
            </w:pPr>
            <w:r w:rsidRPr="00414040">
              <w:rPr>
                <w:rFonts w:ascii="Arial Narrow" w:hAnsi="Arial Narrow"/>
                <w:bCs/>
                <w:snapToGrid/>
                <w:sz w:val="20"/>
              </w:rPr>
              <w:t>-$</w:t>
            </w:r>
            <w:r w:rsidR="00CA59E8">
              <w:rPr>
                <w:rFonts w:ascii="Arial Narrow" w:hAnsi="Arial Narrow"/>
                <w:bCs/>
                <w:noProof/>
                <w:snapToGrid/>
                <w:color w:val="000000"/>
                <w:sz w:val="20"/>
                <w:highlight w:val="black"/>
              </w:rPr>
              <w:t>'''''''''''''''''''''</w:t>
            </w:r>
          </w:p>
        </w:tc>
        <w:tc>
          <w:tcPr>
            <w:tcW w:w="687" w:type="pct"/>
            <w:vAlign w:val="center"/>
          </w:tcPr>
          <w:p w:rsidR="00727CAA" w:rsidRPr="00414040" w:rsidRDefault="00727CAA" w:rsidP="005212E6">
            <w:pPr>
              <w:jc w:val="center"/>
              <w:rPr>
                <w:rFonts w:ascii="Arial Narrow" w:hAnsi="Arial Narrow"/>
                <w:bCs/>
                <w:color w:val="000000"/>
                <w:sz w:val="20"/>
              </w:rPr>
            </w:pPr>
            <w:r w:rsidRPr="00414040">
              <w:rPr>
                <w:rFonts w:ascii="Arial Narrow" w:hAnsi="Arial Narrow"/>
                <w:bCs/>
                <w:snapToGrid/>
                <w:sz w:val="20"/>
              </w:rPr>
              <w:t>-$</w:t>
            </w:r>
            <w:r w:rsidR="00CA59E8">
              <w:rPr>
                <w:rFonts w:ascii="Arial Narrow" w:hAnsi="Arial Narrow"/>
                <w:bCs/>
                <w:noProof/>
                <w:snapToGrid/>
                <w:color w:val="000000"/>
                <w:sz w:val="20"/>
                <w:highlight w:val="black"/>
              </w:rPr>
              <w:t>'''''''''''''''''''</w:t>
            </w:r>
          </w:p>
        </w:tc>
        <w:tc>
          <w:tcPr>
            <w:tcW w:w="773" w:type="pct"/>
            <w:vAlign w:val="center"/>
          </w:tcPr>
          <w:p w:rsidR="00727CAA" w:rsidRPr="00414040" w:rsidRDefault="00727CAA" w:rsidP="005212E6">
            <w:pPr>
              <w:jc w:val="center"/>
              <w:rPr>
                <w:rFonts w:ascii="Arial Narrow" w:hAnsi="Arial Narrow"/>
                <w:bCs/>
                <w:color w:val="000000"/>
                <w:sz w:val="20"/>
              </w:rPr>
            </w:pPr>
            <w:r w:rsidRPr="00414040">
              <w:rPr>
                <w:rFonts w:ascii="Arial Narrow" w:hAnsi="Arial Narrow"/>
                <w:bCs/>
                <w:snapToGrid/>
                <w:sz w:val="20"/>
              </w:rPr>
              <w:t>-$</w:t>
            </w:r>
            <w:r w:rsidR="00CA59E8">
              <w:rPr>
                <w:rFonts w:ascii="Arial Narrow" w:hAnsi="Arial Narrow"/>
                <w:bCs/>
                <w:noProof/>
                <w:snapToGrid/>
                <w:color w:val="000000"/>
                <w:sz w:val="20"/>
                <w:highlight w:val="black"/>
              </w:rPr>
              <w:t>'''''''''''''''''''</w:t>
            </w:r>
          </w:p>
        </w:tc>
        <w:tc>
          <w:tcPr>
            <w:tcW w:w="773" w:type="pct"/>
            <w:vAlign w:val="center"/>
          </w:tcPr>
          <w:p w:rsidR="00727CAA" w:rsidRPr="00414040" w:rsidRDefault="00727CAA" w:rsidP="005212E6">
            <w:pPr>
              <w:jc w:val="center"/>
              <w:rPr>
                <w:rFonts w:ascii="Arial Narrow" w:hAnsi="Arial Narrow"/>
                <w:bCs/>
                <w:color w:val="000000"/>
                <w:sz w:val="20"/>
              </w:rPr>
            </w:pPr>
            <w:r w:rsidRPr="00414040">
              <w:rPr>
                <w:rFonts w:ascii="Arial Narrow" w:hAnsi="Arial Narrow"/>
                <w:bCs/>
                <w:snapToGrid/>
                <w:sz w:val="20"/>
              </w:rPr>
              <w:t>-$</w:t>
            </w:r>
            <w:r w:rsidR="00CA59E8">
              <w:rPr>
                <w:rFonts w:ascii="Arial Narrow" w:hAnsi="Arial Narrow"/>
                <w:bCs/>
                <w:noProof/>
                <w:snapToGrid/>
                <w:color w:val="000000"/>
                <w:sz w:val="20"/>
                <w:highlight w:val="black"/>
              </w:rPr>
              <w:t>''''''''''''''''''''''</w:t>
            </w:r>
          </w:p>
        </w:tc>
        <w:tc>
          <w:tcPr>
            <w:tcW w:w="704" w:type="pct"/>
            <w:vAlign w:val="center"/>
          </w:tcPr>
          <w:p w:rsidR="00727CAA" w:rsidRPr="00414040" w:rsidRDefault="00727CAA" w:rsidP="005212E6">
            <w:pPr>
              <w:jc w:val="center"/>
              <w:rPr>
                <w:rFonts w:ascii="Arial Narrow" w:hAnsi="Arial Narrow"/>
                <w:bCs/>
                <w:color w:val="000000"/>
                <w:sz w:val="20"/>
              </w:rPr>
            </w:pPr>
            <w:r w:rsidRPr="00414040">
              <w:rPr>
                <w:rFonts w:ascii="Arial Narrow" w:hAnsi="Arial Narrow"/>
                <w:bCs/>
                <w:snapToGrid/>
                <w:sz w:val="20"/>
              </w:rPr>
              <w:t>-$</w:t>
            </w:r>
            <w:r w:rsidR="00CA59E8">
              <w:rPr>
                <w:rFonts w:ascii="Arial Narrow" w:hAnsi="Arial Narrow"/>
                <w:bCs/>
                <w:noProof/>
                <w:snapToGrid/>
                <w:color w:val="000000"/>
                <w:sz w:val="20"/>
                <w:highlight w:val="black"/>
              </w:rPr>
              <w:t>'''''''''''''''''''''</w:t>
            </w:r>
          </w:p>
        </w:tc>
      </w:tr>
      <w:tr w:rsidR="00727CAA" w:rsidRPr="00414040" w:rsidTr="00FB784A">
        <w:tc>
          <w:tcPr>
            <w:tcW w:w="5000" w:type="pct"/>
            <w:gridSpan w:val="6"/>
            <w:shd w:val="clear" w:color="auto" w:fill="auto"/>
            <w:vAlign w:val="center"/>
          </w:tcPr>
          <w:p w:rsidR="00727CAA" w:rsidRPr="00414040" w:rsidRDefault="00727CAA" w:rsidP="005212E6">
            <w:pPr>
              <w:jc w:val="left"/>
              <w:rPr>
                <w:rFonts w:ascii="Arial Narrow" w:hAnsi="Arial Narrow"/>
                <w:b/>
                <w:color w:val="000000"/>
                <w:sz w:val="20"/>
              </w:rPr>
            </w:pPr>
            <w:r w:rsidRPr="00414040">
              <w:rPr>
                <w:rFonts w:ascii="Arial Narrow" w:hAnsi="Arial Narrow"/>
                <w:b/>
                <w:color w:val="000000"/>
                <w:sz w:val="20"/>
              </w:rPr>
              <w:t>Estimated total net cost</w:t>
            </w:r>
          </w:p>
        </w:tc>
      </w:tr>
      <w:tr w:rsidR="00DE2BDF" w:rsidRPr="00414040" w:rsidTr="00FB784A">
        <w:tc>
          <w:tcPr>
            <w:tcW w:w="1451" w:type="pct"/>
            <w:shd w:val="clear" w:color="auto" w:fill="auto"/>
            <w:vAlign w:val="center"/>
          </w:tcPr>
          <w:p w:rsidR="00DE2BDF" w:rsidRPr="00414040" w:rsidRDefault="00DE2BDF" w:rsidP="00DE2BDF">
            <w:pPr>
              <w:tabs>
                <w:tab w:val="left" w:pos="142"/>
              </w:tabs>
              <w:jc w:val="left"/>
              <w:rPr>
                <w:rFonts w:ascii="Arial Narrow" w:hAnsi="Arial Narrow"/>
                <w:b/>
                <w:sz w:val="20"/>
              </w:rPr>
            </w:pPr>
            <w:r w:rsidRPr="00414040">
              <w:rPr>
                <w:rFonts w:ascii="Arial Narrow" w:hAnsi="Arial Narrow"/>
                <w:b/>
                <w:bCs/>
                <w:color w:val="000000"/>
                <w:sz w:val="20"/>
              </w:rPr>
              <w:t>Net cost to PBS/RPBS/MBS</w:t>
            </w:r>
          </w:p>
        </w:tc>
        <w:tc>
          <w:tcPr>
            <w:tcW w:w="612" w:type="pct"/>
            <w:vAlign w:val="bottom"/>
          </w:tcPr>
          <w:p w:rsidR="00DE2BDF" w:rsidRPr="00414040" w:rsidRDefault="00DE2BDF" w:rsidP="00DE2BDF">
            <w:pPr>
              <w:jc w:val="center"/>
              <w:rPr>
                <w:rFonts w:ascii="Arial Narrow" w:hAnsi="Arial Narrow"/>
                <w:color w:val="000000"/>
                <w:sz w:val="20"/>
              </w:rPr>
            </w:pPr>
            <w:r w:rsidRPr="001D0302">
              <w:rPr>
                <w:rFonts w:ascii="Arial Narrow" w:hAnsi="Arial Narrow"/>
                <w:b/>
                <w:bCs/>
                <w:sz w:val="20"/>
              </w:rPr>
              <w:t>$</w:t>
            </w:r>
            <w:r w:rsidR="00CA59E8">
              <w:rPr>
                <w:rFonts w:ascii="Arial Narrow" w:hAnsi="Arial Narrow"/>
                <w:b/>
                <w:bCs/>
                <w:noProof/>
                <w:color w:val="000000"/>
                <w:sz w:val="20"/>
                <w:highlight w:val="black"/>
              </w:rPr>
              <w:t>'''''''''''''''''''</w:t>
            </w:r>
          </w:p>
        </w:tc>
        <w:tc>
          <w:tcPr>
            <w:tcW w:w="687" w:type="pct"/>
            <w:vAlign w:val="bottom"/>
          </w:tcPr>
          <w:p w:rsidR="00DE2BDF" w:rsidRPr="00414040" w:rsidRDefault="00DE2BDF" w:rsidP="00DE2BDF">
            <w:pPr>
              <w:jc w:val="center"/>
              <w:rPr>
                <w:rFonts w:ascii="Arial Narrow" w:hAnsi="Arial Narrow"/>
                <w:color w:val="000000"/>
                <w:sz w:val="20"/>
              </w:rPr>
            </w:pPr>
            <w:r w:rsidRPr="001D0302">
              <w:rPr>
                <w:rFonts w:ascii="Arial Narrow" w:hAnsi="Arial Narrow"/>
                <w:b/>
                <w:bCs/>
                <w:sz w:val="20"/>
              </w:rPr>
              <w:t>$</w:t>
            </w:r>
            <w:r w:rsidR="00CA59E8">
              <w:rPr>
                <w:rFonts w:ascii="Arial Narrow" w:hAnsi="Arial Narrow"/>
                <w:b/>
                <w:bCs/>
                <w:noProof/>
                <w:color w:val="000000"/>
                <w:sz w:val="20"/>
                <w:highlight w:val="black"/>
              </w:rPr>
              <w:t>''''''''''''''''''</w:t>
            </w:r>
          </w:p>
        </w:tc>
        <w:tc>
          <w:tcPr>
            <w:tcW w:w="773" w:type="pct"/>
            <w:vAlign w:val="bottom"/>
          </w:tcPr>
          <w:p w:rsidR="00DE2BDF" w:rsidRPr="00414040" w:rsidRDefault="00DE2BDF" w:rsidP="00DE2BDF">
            <w:pPr>
              <w:jc w:val="center"/>
              <w:rPr>
                <w:rFonts w:ascii="Arial Narrow" w:hAnsi="Arial Narrow"/>
                <w:color w:val="000000"/>
                <w:sz w:val="20"/>
              </w:rPr>
            </w:pPr>
            <w:r w:rsidRPr="001D0302">
              <w:rPr>
                <w:rFonts w:ascii="Arial Narrow" w:hAnsi="Arial Narrow"/>
                <w:b/>
                <w:bCs/>
                <w:sz w:val="20"/>
              </w:rPr>
              <w:t>$</w:t>
            </w:r>
            <w:r w:rsidR="00CA59E8">
              <w:rPr>
                <w:rFonts w:ascii="Arial Narrow" w:hAnsi="Arial Narrow"/>
                <w:b/>
                <w:bCs/>
                <w:noProof/>
                <w:color w:val="000000"/>
                <w:sz w:val="20"/>
                <w:highlight w:val="black"/>
              </w:rPr>
              <w:t>'''''''''''''''''</w:t>
            </w:r>
          </w:p>
        </w:tc>
        <w:tc>
          <w:tcPr>
            <w:tcW w:w="773" w:type="pct"/>
            <w:vAlign w:val="bottom"/>
          </w:tcPr>
          <w:p w:rsidR="00DE2BDF" w:rsidRPr="00414040" w:rsidRDefault="00DE2BDF" w:rsidP="00DE2BDF">
            <w:pPr>
              <w:jc w:val="center"/>
              <w:rPr>
                <w:rFonts w:ascii="Arial Narrow" w:hAnsi="Arial Narrow"/>
                <w:color w:val="000000"/>
                <w:sz w:val="20"/>
              </w:rPr>
            </w:pPr>
            <w:r w:rsidRPr="001D0302">
              <w:rPr>
                <w:rFonts w:ascii="Arial Narrow" w:hAnsi="Arial Narrow"/>
                <w:b/>
                <w:bCs/>
                <w:sz w:val="20"/>
              </w:rPr>
              <w:t>$</w:t>
            </w:r>
            <w:r w:rsidR="00CA59E8">
              <w:rPr>
                <w:rFonts w:ascii="Arial Narrow" w:hAnsi="Arial Narrow"/>
                <w:b/>
                <w:bCs/>
                <w:noProof/>
                <w:color w:val="000000"/>
                <w:sz w:val="20"/>
                <w:highlight w:val="black"/>
              </w:rPr>
              <w:t>''''''''''''''''''''</w:t>
            </w:r>
          </w:p>
        </w:tc>
        <w:tc>
          <w:tcPr>
            <w:tcW w:w="704" w:type="pct"/>
            <w:vAlign w:val="bottom"/>
          </w:tcPr>
          <w:p w:rsidR="00DE2BDF" w:rsidRPr="00414040" w:rsidRDefault="00DE2BDF" w:rsidP="00DE2BDF">
            <w:pPr>
              <w:jc w:val="center"/>
              <w:rPr>
                <w:rFonts w:ascii="Arial Narrow" w:hAnsi="Arial Narrow"/>
                <w:color w:val="000000"/>
                <w:sz w:val="20"/>
              </w:rPr>
            </w:pPr>
            <w:r w:rsidRPr="001D0302">
              <w:rPr>
                <w:rFonts w:ascii="Arial Narrow" w:hAnsi="Arial Narrow"/>
                <w:b/>
                <w:bCs/>
                <w:sz w:val="20"/>
              </w:rPr>
              <w:t>$</w:t>
            </w:r>
            <w:r w:rsidR="00CA59E8">
              <w:rPr>
                <w:rFonts w:ascii="Arial Narrow" w:hAnsi="Arial Narrow"/>
                <w:b/>
                <w:bCs/>
                <w:noProof/>
                <w:color w:val="000000"/>
                <w:sz w:val="20"/>
                <w:highlight w:val="black"/>
              </w:rPr>
              <w:t>'''''''''''''''''''</w:t>
            </w:r>
          </w:p>
        </w:tc>
      </w:tr>
      <w:tr w:rsidR="00DE2BDF" w:rsidRPr="00414040" w:rsidTr="005E50FD">
        <w:tc>
          <w:tcPr>
            <w:tcW w:w="1451" w:type="pct"/>
            <w:vAlign w:val="center"/>
          </w:tcPr>
          <w:p w:rsidR="00DE2BDF" w:rsidRPr="005E50FD" w:rsidRDefault="00DE2BDF" w:rsidP="005E50FD">
            <w:pPr>
              <w:tabs>
                <w:tab w:val="left" w:pos="142"/>
              </w:tabs>
              <w:jc w:val="right"/>
              <w:rPr>
                <w:rFonts w:ascii="Arial Narrow" w:hAnsi="Arial Narrow"/>
                <w:b/>
                <w:bCs/>
                <w:color w:val="808080" w:themeColor="background1" w:themeShade="80"/>
                <w:sz w:val="20"/>
              </w:rPr>
            </w:pPr>
            <w:r w:rsidRPr="005E50FD">
              <w:rPr>
                <w:rFonts w:ascii="Arial Narrow" w:hAnsi="Arial Narrow"/>
                <w:bCs/>
                <w:snapToGrid/>
                <w:color w:val="808080" w:themeColor="background1" w:themeShade="80"/>
                <w:sz w:val="20"/>
              </w:rPr>
              <w:t>Severe CD</w:t>
            </w:r>
          </w:p>
        </w:tc>
        <w:tc>
          <w:tcPr>
            <w:tcW w:w="612"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687"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73"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73"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04"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r>
      <w:tr w:rsidR="00DE2BDF" w:rsidRPr="00414040" w:rsidTr="005E50FD">
        <w:tc>
          <w:tcPr>
            <w:tcW w:w="1451" w:type="pct"/>
            <w:vAlign w:val="center"/>
          </w:tcPr>
          <w:p w:rsidR="00DE2BDF" w:rsidRPr="005E50FD" w:rsidRDefault="00DE2BDF" w:rsidP="005E50FD">
            <w:pPr>
              <w:tabs>
                <w:tab w:val="left" w:pos="142"/>
              </w:tabs>
              <w:jc w:val="right"/>
              <w:rPr>
                <w:rFonts w:ascii="Arial Narrow" w:hAnsi="Arial Narrow"/>
                <w:b/>
                <w:bCs/>
                <w:color w:val="808080" w:themeColor="background1" w:themeShade="80"/>
                <w:sz w:val="20"/>
              </w:rPr>
            </w:pPr>
            <w:r w:rsidRPr="005E50FD">
              <w:rPr>
                <w:rFonts w:ascii="Arial Narrow" w:hAnsi="Arial Narrow"/>
                <w:bCs/>
                <w:snapToGrid/>
                <w:color w:val="808080" w:themeColor="background1" w:themeShade="80"/>
                <w:sz w:val="20"/>
              </w:rPr>
              <w:t>Fistulising CD</w:t>
            </w:r>
          </w:p>
        </w:tc>
        <w:tc>
          <w:tcPr>
            <w:tcW w:w="612"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687"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73"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73"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c>
          <w:tcPr>
            <w:tcW w:w="704" w:type="pct"/>
            <w:vAlign w:val="bottom"/>
          </w:tcPr>
          <w:p w:rsidR="00DE2BDF" w:rsidRPr="00414040" w:rsidRDefault="00DE2BDF" w:rsidP="00DE2BDF">
            <w:pPr>
              <w:jc w:val="center"/>
              <w:rPr>
                <w:rFonts w:ascii="Arial Narrow" w:hAnsi="Arial Narrow"/>
                <w:b/>
                <w:snapToGrid/>
                <w:sz w:val="20"/>
              </w:rPr>
            </w:pPr>
            <w:r w:rsidRPr="00D64941">
              <w:rPr>
                <w:rFonts w:ascii="Arial Narrow" w:hAnsi="Arial Narrow"/>
                <w:color w:val="808080" w:themeColor="background1" w:themeShade="80"/>
                <w:sz w:val="20"/>
              </w:rPr>
              <w:t>$</w:t>
            </w:r>
            <w:r w:rsidR="00CA59E8">
              <w:rPr>
                <w:rFonts w:ascii="Arial Narrow" w:hAnsi="Arial Narrow"/>
                <w:noProof/>
                <w:color w:val="000000"/>
                <w:sz w:val="20"/>
                <w:highlight w:val="black"/>
              </w:rPr>
              <w:t>'''''''''''''''''</w:t>
            </w:r>
          </w:p>
        </w:tc>
      </w:tr>
    </w:tbl>
    <w:p w:rsidR="00727CAA" w:rsidRPr="00414040" w:rsidRDefault="00FB784A" w:rsidP="00FB784A">
      <w:pPr>
        <w:pStyle w:val="TableFooter"/>
        <w:ind w:firstLine="720"/>
      </w:pPr>
      <w:r>
        <w:rPr>
          <w:vertAlign w:val="superscript"/>
        </w:rPr>
        <w:t>a</w:t>
      </w:r>
      <w:r w:rsidR="00727CAA" w:rsidRPr="00414040">
        <w:t xml:space="preserve"> </w:t>
      </w:r>
      <w:r>
        <w:tab/>
      </w:r>
      <w:r w:rsidR="00CA59E8">
        <w:rPr>
          <w:noProof/>
          <w:color w:val="000000"/>
          <w:highlight w:val="black"/>
        </w:rPr>
        <w:t>''''</w:t>
      </w:r>
      <w:r w:rsidR="00727CAA" w:rsidRPr="00414040">
        <w:t>% additional growth du</w:t>
      </w:r>
      <w:r w:rsidR="005E50FD">
        <w:t>e</w:t>
      </w:r>
      <w:r w:rsidR="00727CAA" w:rsidRPr="00414040">
        <w:t xml:space="preserve"> to grandfathered patients</w:t>
      </w:r>
    </w:p>
    <w:p w:rsidR="00727CAA" w:rsidRPr="00913156" w:rsidRDefault="00FB784A" w:rsidP="00FB784A">
      <w:pPr>
        <w:pStyle w:val="TableFooter"/>
        <w:ind w:left="850" w:hanging="130"/>
      </w:pPr>
      <w:r>
        <w:rPr>
          <w:vertAlign w:val="superscript"/>
        </w:rPr>
        <w:t>b</w:t>
      </w:r>
      <w:r>
        <w:rPr>
          <w:vertAlign w:val="superscript"/>
        </w:rPr>
        <w:tab/>
      </w:r>
      <w:r w:rsidR="00727CAA" w:rsidRPr="00414040">
        <w:rPr>
          <w:vertAlign w:val="superscript"/>
        </w:rPr>
        <w:t xml:space="preserve"> </w:t>
      </w:r>
      <w:r w:rsidR="00727CAA" w:rsidRPr="00414040">
        <w:t>4</w:t>
      </w:r>
      <w:r w:rsidR="00727CAA" w:rsidRPr="00913156">
        <w:t>.5 packs per patient for patients continuing beyond initiation to end of first year; 6.5 packs per patient per year for patients continuing from previous year.</w:t>
      </w:r>
    </w:p>
    <w:p w:rsidR="00727CAA" w:rsidRPr="00414040" w:rsidRDefault="00727CAA" w:rsidP="00727CAA">
      <w:pPr>
        <w:ind w:firstLine="720"/>
        <w:rPr>
          <w:rFonts w:ascii="Arial Narrow" w:hAnsi="Arial Narrow"/>
          <w:i/>
          <w:iCs/>
          <w:snapToGrid/>
          <w:sz w:val="18"/>
          <w:szCs w:val="18"/>
        </w:rPr>
      </w:pPr>
      <w:r w:rsidRPr="00913156">
        <w:rPr>
          <w:rFonts w:ascii="Arial Narrow" w:hAnsi="Arial Narrow"/>
          <w:sz w:val="18"/>
          <w:szCs w:val="18"/>
        </w:rPr>
        <w:t xml:space="preserve">Source: Tables E.2.4-E.2.6; E.4.1, pp.23-31 of Section E of the submission; </w:t>
      </w:r>
      <w:r w:rsidRPr="00913156">
        <w:rPr>
          <w:rFonts w:ascii="Arial Narrow" w:hAnsi="Arial Narrow"/>
          <w:iCs/>
          <w:snapToGrid/>
          <w:sz w:val="18"/>
          <w:szCs w:val="18"/>
        </w:rPr>
        <w:t>E5 worksheet of Section E EXCEL spreadsheet.</w:t>
      </w:r>
    </w:p>
    <w:p w:rsidR="00727CAA" w:rsidRDefault="00727CAA" w:rsidP="00727CAA">
      <w:pPr>
        <w:snapToGrid w:val="0"/>
        <w:rPr>
          <w:i/>
          <w:snapToGrid/>
        </w:rPr>
      </w:pPr>
    </w:p>
    <w:p w:rsidR="00051FF1" w:rsidRDefault="00051FF1" w:rsidP="00727CAA">
      <w:pPr>
        <w:snapToGrid w:val="0"/>
        <w:rPr>
          <w:snapToGrid/>
        </w:rPr>
      </w:pPr>
      <w:r>
        <w:rPr>
          <w:snapToGrid/>
        </w:rPr>
        <w:t>The redacted table shows that at year 5, the estimated number of patients was 10,000 – 50,000 per year and the net cost to the PBS would be less than $10 million.</w:t>
      </w:r>
    </w:p>
    <w:p w:rsidR="00051FF1" w:rsidRPr="00051FF1" w:rsidRDefault="00051FF1" w:rsidP="00727CAA">
      <w:pPr>
        <w:snapToGrid w:val="0"/>
        <w:rPr>
          <w:snapToGrid/>
        </w:rPr>
      </w:pPr>
    </w:p>
    <w:p w:rsidR="00584174" w:rsidRDefault="00526D81" w:rsidP="00506A87">
      <w:pPr>
        <w:pStyle w:val="ListParagraph"/>
        <w:widowControl/>
        <w:numPr>
          <w:ilvl w:val="1"/>
          <w:numId w:val="1"/>
        </w:numPr>
        <w:snapToGrid w:val="0"/>
        <w:rPr>
          <w:snapToGrid/>
        </w:rPr>
      </w:pPr>
      <w:r>
        <w:rPr>
          <w:snapToGrid/>
        </w:rPr>
        <w:t>The submission estimated a net cost to the government budget driven by:</w:t>
      </w:r>
      <w:r w:rsidR="00584174" w:rsidRPr="00584174">
        <w:rPr>
          <w:snapToGrid/>
        </w:rPr>
        <w:t xml:space="preserve"> i) the assumption of additional market growth (above background growth) for </w:t>
      </w:r>
      <w:r w:rsidR="009F102A" w:rsidRPr="009F102A">
        <w:rPr>
          <w:snapToGrid/>
        </w:rPr>
        <w:t>UST</w:t>
      </w:r>
      <w:r w:rsidR="00584174" w:rsidRPr="00584174">
        <w:rPr>
          <w:snapToGrid/>
        </w:rPr>
        <w:t xml:space="preserve"> as a result of patients who are refractory or intolerant to currently listed biologics returning for treatment, and ii) the grandfathering of a small </w:t>
      </w:r>
      <w:r w:rsidR="00584174">
        <w:rPr>
          <w:snapToGrid/>
        </w:rPr>
        <w:t>number of patients on the PBS.</w:t>
      </w:r>
    </w:p>
    <w:p w:rsidR="00584174" w:rsidRPr="00584174" w:rsidRDefault="00584174" w:rsidP="00584174">
      <w:pPr>
        <w:pStyle w:val="ListParagraph"/>
        <w:widowControl/>
        <w:snapToGrid w:val="0"/>
        <w:rPr>
          <w:snapToGrid/>
        </w:rPr>
      </w:pPr>
    </w:p>
    <w:p w:rsidR="00727CAA" w:rsidRPr="00C51274" w:rsidRDefault="00727CAA" w:rsidP="00506A87">
      <w:pPr>
        <w:pStyle w:val="ListParagraph"/>
        <w:widowControl/>
        <w:numPr>
          <w:ilvl w:val="1"/>
          <w:numId w:val="1"/>
        </w:numPr>
        <w:snapToGrid w:val="0"/>
        <w:rPr>
          <w:snapToGrid/>
        </w:rPr>
      </w:pPr>
      <w:r w:rsidRPr="00C51274">
        <w:rPr>
          <w:snapToGrid/>
        </w:rPr>
        <w:t xml:space="preserve">The </w:t>
      </w:r>
      <w:r w:rsidR="00CB206E">
        <w:rPr>
          <w:snapToGrid/>
        </w:rPr>
        <w:t xml:space="preserve">evaluation considered the </w:t>
      </w:r>
      <w:r w:rsidRPr="00C51274">
        <w:rPr>
          <w:snapToGrid/>
        </w:rPr>
        <w:t xml:space="preserve">net cost of listing </w:t>
      </w:r>
      <w:r w:rsidR="009F102A" w:rsidRPr="00C51274">
        <w:rPr>
          <w:snapToGrid/>
        </w:rPr>
        <w:t>UST</w:t>
      </w:r>
      <w:r w:rsidRPr="00C51274">
        <w:rPr>
          <w:snapToGrid/>
        </w:rPr>
        <w:t xml:space="preserve"> may be underestimated because </w:t>
      </w:r>
      <w:r w:rsidRPr="00C51274">
        <w:rPr>
          <w:szCs w:val="24"/>
        </w:rPr>
        <w:t xml:space="preserve">the submission assumed </w:t>
      </w:r>
      <w:r w:rsidRPr="00C51274">
        <w:rPr>
          <w:rFonts w:asciiTheme="minorBidi" w:hAnsiTheme="minorBidi" w:cstheme="minorBidi"/>
          <w:szCs w:val="22"/>
        </w:rPr>
        <w:t>Year 1 to be</w:t>
      </w:r>
      <w:r w:rsidRPr="00C51274">
        <w:rPr>
          <w:rFonts w:asciiTheme="minorBidi" w:hAnsiTheme="minorBidi" w:cstheme="minorBidi"/>
          <w:iCs/>
          <w:szCs w:val="22"/>
        </w:rPr>
        <w:t xml:space="preserve"> April 2016-March 2017. </w:t>
      </w:r>
      <w:r w:rsidRPr="00C51274">
        <w:rPr>
          <w:iCs/>
          <w:szCs w:val="18"/>
        </w:rPr>
        <w:t xml:space="preserve">The financial implications </w:t>
      </w:r>
      <w:r w:rsidR="00ED7CA2" w:rsidRPr="00C51274">
        <w:rPr>
          <w:iCs/>
          <w:szCs w:val="18"/>
        </w:rPr>
        <w:t>were</w:t>
      </w:r>
      <w:r w:rsidRPr="00C51274">
        <w:rPr>
          <w:iCs/>
          <w:szCs w:val="18"/>
        </w:rPr>
        <w:t xml:space="preserve"> most sensitive to the price of </w:t>
      </w:r>
      <w:r w:rsidR="009F102A" w:rsidRPr="00C51274">
        <w:rPr>
          <w:iCs/>
          <w:szCs w:val="18"/>
        </w:rPr>
        <w:t>UST</w:t>
      </w:r>
      <w:r w:rsidRPr="00C51274">
        <w:rPr>
          <w:iCs/>
          <w:szCs w:val="18"/>
        </w:rPr>
        <w:t>.</w:t>
      </w:r>
    </w:p>
    <w:p w:rsidR="00727CAA" w:rsidRPr="00414040" w:rsidRDefault="00727CAA" w:rsidP="00727CAA">
      <w:pPr>
        <w:widowControl/>
        <w:rPr>
          <w:szCs w:val="22"/>
        </w:rPr>
      </w:pPr>
    </w:p>
    <w:p w:rsidR="00727CAA" w:rsidRPr="00414040" w:rsidRDefault="00727CAA" w:rsidP="00727CAA">
      <w:pPr>
        <w:pStyle w:val="Heading2"/>
        <w:rPr>
          <w:i/>
        </w:rPr>
      </w:pPr>
      <w:bookmarkStart w:id="31" w:name="_Toc472503710"/>
      <w:r w:rsidRPr="00414040">
        <w:rPr>
          <w:i/>
        </w:rPr>
        <w:t>Quality Use of Medicines</w:t>
      </w:r>
      <w:bookmarkEnd w:id="31"/>
    </w:p>
    <w:p w:rsidR="00727CAA" w:rsidRPr="00414040" w:rsidRDefault="00727CAA" w:rsidP="00727CAA">
      <w:pPr>
        <w:widowControl/>
        <w:rPr>
          <w:szCs w:val="22"/>
        </w:rPr>
      </w:pPr>
    </w:p>
    <w:p w:rsidR="00727CAA" w:rsidRPr="00ED7CA2" w:rsidRDefault="00727CAA" w:rsidP="00506A87">
      <w:pPr>
        <w:pStyle w:val="ListParagraph"/>
        <w:widowControl/>
        <w:numPr>
          <w:ilvl w:val="1"/>
          <w:numId w:val="1"/>
        </w:numPr>
        <w:rPr>
          <w:szCs w:val="22"/>
        </w:rPr>
      </w:pPr>
      <w:r w:rsidRPr="00414040">
        <w:t xml:space="preserve">The submission stated that the quality use of </w:t>
      </w:r>
      <w:r w:rsidR="009F102A" w:rsidRPr="009F102A">
        <w:t>UST</w:t>
      </w:r>
      <w:r w:rsidRPr="00414040">
        <w:t xml:space="preserve"> would be ensured through the provision of education</w:t>
      </w:r>
      <w:r w:rsidR="00526D81">
        <w:t>al</w:t>
      </w:r>
      <w:r w:rsidRPr="00414040">
        <w:t xml:space="preserve"> resources and support </w:t>
      </w:r>
      <w:r w:rsidR="00526D81">
        <w:t xml:space="preserve">for </w:t>
      </w:r>
      <w:r w:rsidRPr="00414040">
        <w:t>patients, prescribers, dispenser and IBD (Inflammatory Bowel Disease) nurses, and the development of a Patient Support Program</w:t>
      </w:r>
      <w:r w:rsidR="008834B6">
        <w:t>.</w:t>
      </w:r>
    </w:p>
    <w:p w:rsidR="00727CAA" w:rsidRPr="00414040" w:rsidRDefault="00727CAA" w:rsidP="00727CAA">
      <w:pPr>
        <w:widowControl/>
        <w:rPr>
          <w:szCs w:val="22"/>
        </w:rPr>
      </w:pPr>
    </w:p>
    <w:p w:rsidR="00727CAA" w:rsidRPr="00414040" w:rsidRDefault="00727CAA" w:rsidP="009C4E5F">
      <w:pPr>
        <w:pStyle w:val="Heading2"/>
        <w:keepNext/>
        <w:rPr>
          <w:i/>
          <w:szCs w:val="22"/>
        </w:rPr>
      </w:pPr>
      <w:bookmarkStart w:id="32" w:name="_Toc472503711"/>
      <w:r w:rsidRPr="00414040">
        <w:rPr>
          <w:i/>
        </w:rPr>
        <w:t>Financial Management – Risk Sharing Arrangements</w:t>
      </w:r>
      <w:bookmarkEnd w:id="32"/>
    </w:p>
    <w:p w:rsidR="00727CAA" w:rsidRPr="00414040" w:rsidRDefault="00727CAA" w:rsidP="00727CAA">
      <w:pPr>
        <w:widowControl/>
        <w:rPr>
          <w:szCs w:val="22"/>
        </w:rPr>
      </w:pPr>
    </w:p>
    <w:p w:rsidR="00727CAA" w:rsidRPr="00414040" w:rsidRDefault="00727CAA" w:rsidP="00506A87">
      <w:pPr>
        <w:pStyle w:val="ListParagraph"/>
        <w:widowControl/>
        <w:numPr>
          <w:ilvl w:val="1"/>
          <w:numId w:val="1"/>
        </w:numPr>
        <w:rPr>
          <w:szCs w:val="22"/>
        </w:rPr>
      </w:pPr>
      <w:r w:rsidRPr="00414040">
        <w:t xml:space="preserve">The submission proposed a Special Pricing Arrangement whereby the </w:t>
      </w:r>
      <w:r w:rsidR="00526D81">
        <w:t xml:space="preserve">ex-manufacturer </w:t>
      </w:r>
      <w:r w:rsidRPr="00414040">
        <w:t>price</w:t>
      </w:r>
      <w:r w:rsidR="00526D81">
        <w:t>s</w:t>
      </w:r>
      <w:r w:rsidRPr="00414040">
        <w:t xml:space="preserve"> of </w:t>
      </w:r>
      <w:r w:rsidR="009F102A" w:rsidRPr="009F102A">
        <w:t>UST</w:t>
      </w:r>
      <w:r w:rsidRPr="00414040">
        <w:t xml:space="preserve"> for the single 130mg/26mL and 2 x 45mg/0.5mL </w:t>
      </w:r>
      <w:r w:rsidR="009F102A" w:rsidRPr="009F102A">
        <w:t>UST</w:t>
      </w:r>
      <w:r w:rsidRPr="00414040">
        <w:t xml:space="preserve"> vials $</w:t>
      </w:r>
      <w:r w:rsidR="00CA59E8">
        <w:rPr>
          <w:noProof/>
          <w:color w:val="000000"/>
          <w:highlight w:val="black"/>
        </w:rPr>
        <w:t>'''''''''''''''''''''</w:t>
      </w:r>
      <w:r w:rsidR="00526D81">
        <w:t xml:space="preserve"> and $</w:t>
      </w:r>
      <w:r w:rsidR="00CA59E8">
        <w:rPr>
          <w:noProof/>
          <w:color w:val="000000"/>
          <w:highlight w:val="black"/>
        </w:rPr>
        <w:t>''''''''''''''''''''</w:t>
      </w:r>
      <w:r w:rsidR="00526D81">
        <w:t xml:space="preserve"> respectively.</w:t>
      </w:r>
      <w:r>
        <w:t xml:space="preserve"> </w:t>
      </w:r>
      <w:r w:rsidR="00526D81">
        <w:t xml:space="preserve">Identical prices were proposed </w:t>
      </w:r>
      <w:r w:rsidRPr="00414040">
        <w:t>for the fistulising CD indication</w:t>
      </w:r>
      <w:r w:rsidR="008834B6">
        <w:t>.</w:t>
      </w:r>
    </w:p>
    <w:p w:rsidR="00B35260" w:rsidRDefault="00B35260">
      <w:pPr>
        <w:widowControl/>
        <w:jc w:val="left"/>
        <w:rPr>
          <w:b/>
          <w:u w:val="single"/>
        </w:rPr>
      </w:pPr>
    </w:p>
    <w:p w:rsidR="0080738D" w:rsidRDefault="0080738D">
      <w:pPr>
        <w:widowControl/>
        <w:jc w:val="left"/>
        <w:rPr>
          <w:b/>
          <w:u w:val="single"/>
        </w:rPr>
      </w:pPr>
    </w:p>
    <w:p w:rsidR="0080738D" w:rsidRPr="001A0BF3" w:rsidRDefault="0080738D" w:rsidP="00A641ED">
      <w:pPr>
        <w:pStyle w:val="PBACHeading1"/>
      </w:pPr>
      <w:r w:rsidRPr="001A0BF3">
        <w:t>PBAC Outcome</w:t>
      </w:r>
    </w:p>
    <w:p w:rsidR="0080738D" w:rsidRPr="001A0BF3" w:rsidRDefault="0080738D" w:rsidP="0080738D">
      <w:pPr>
        <w:rPr>
          <w:b/>
          <w:bCs/>
          <w:lang w:val="en-GB"/>
        </w:rPr>
      </w:pPr>
    </w:p>
    <w:p w:rsidR="003E44FF" w:rsidRDefault="001A0BF3" w:rsidP="00506A87">
      <w:pPr>
        <w:numPr>
          <w:ilvl w:val="1"/>
          <w:numId w:val="1"/>
        </w:numPr>
        <w:rPr>
          <w:bCs/>
          <w:lang w:val="en-GB"/>
        </w:rPr>
      </w:pPr>
      <w:r>
        <w:rPr>
          <w:bCs/>
          <w:lang w:val="en-GB"/>
        </w:rPr>
        <w:t>The PBAC recommended the listing of ustekinumab</w:t>
      </w:r>
      <w:r w:rsidR="00841C6E">
        <w:rPr>
          <w:bCs/>
          <w:lang w:val="en-GB"/>
        </w:rPr>
        <w:t xml:space="preserve"> (UST)</w:t>
      </w:r>
      <w:r w:rsidR="00A641ED">
        <w:rPr>
          <w:bCs/>
          <w:lang w:val="en-GB"/>
        </w:rPr>
        <w:t xml:space="preserve"> for the treatment of severe Crohn’s disease in adult patients</w:t>
      </w:r>
      <w:r w:rsidR="00962AF9">
        <w:rPr>
          <w:bCs/>
          <w:lang w:val="en-GB"/>
        </w:rPr>
        <w:t xml:space="preserve"> on the basis of cost-minimisation to infliximab</w:t>
      </w:r>
      <w:r w:rsidR="00A07856">
        <w:rPr>
          <w:bCs/>
          <w:lang w:val="en-GB"/>
        </w:rPr>
        <w:t>.</w:t>
      </w:r>
      <w:r w:rsidR="00A641ED">
        <w:rPr>
          <w:bCs/>
          <w:lang w:val="en-GB"/>
        </w:rPr>
        <w:t xml:space="preserve"> </w:t>
      </w:r>
      <w:r w:rsidR="00A07856">
        <w:rPr>
          <w:bCs/>
          <w:lang w:val="en-GB"/>
        </w:rPr>
        <w:t xml:space="preserve">The PBAC </w:t>
      </w:r>
      <w:r w:rsidR="00DF22E2">
        <w:rPr>
          <w:bCs/>
          <w:lang w:val="en-GB"/>
        </w:rPr>
        <w:t xml:space="preserve">accepted that </w:t>
      </w:r>
      <w:r w:rsidR="00841C6E">
        <w:rPr>
          <w:bCs/>
          <w:lang w:val="en-GB"/>
        </w:rPr>
        <w:t>UST</w:t>
      </w:r>
      <w:r w:rsidR="00DF22E2">
        <w:rPr>
          <w:bCs/>
          <w:lang w:val="en-GB"/>
        </w:rPr>
        <w:t xml:space="preserve"> leads to</w:t>
      </w:r>
      <w:r w:rsidR="00962AF9">
        <w:rPr>
          <w:bCs/>
          <w:lang w:val="en-GB"/>
        </w:rPr>
        <w:t xml:space="preserve"> clinical remission and maintenance of clinical remission w</w:t>
      </w:r>
      <w:r w:rsidR="00DF22E2">
        <w:rPr>
          <w:bCs/>
          <w:lang w:val="en-GB"/>
        </w:rPr>
        <w:t>hen</w:t>
      </w:r>
      <w:r w:rsidR="00962AF9">
        <w:rPr>
          <w:bCs/>
          <w:lang w:val="en-GB"/>
        </w:rPr>
        <w:t xml:space="preserve"> compared to placebo </w:t>
      </w:r>
      <w:r w:rsidR="00DF22E2">
        <w:rPr>
          <w:bCs/>
          <w:lang w:val="en-GB"/>
        </w:rPr>
        <w:t>and was considered non-inferior when compared with the alternative bDMARDs for severe Crohn’s disease (infliximab</w:t>
      </w:r>
      <w:r w:rsidR="00841C6E">
        <w:rPr>
          <w:bCs/>
          <w:lang w:val="en-GB"/>
        </w:rPr>
        <w:t xml:space="preserve"> (IFX)</w:t>
      </w:r>
      <w:r w:rsidR="00E75279">
        <w:rPr>
          <w:bCs/>
          <w:lang w:val="en-GB"/>
        </w:rPr>
        <w:t>,</w:t>
      </w:r>
      <w:r w:rsidR="00DF22E2">
        <w:rPr>
          <w:bCs/>
          <w:lang w:val="en-GB"/>
        </w:rPr>
        <w:t xml:space="preserve"> </w:t>
      </w:r>
      <w:r w:rsidR="00E75279">
        <w:rPr>
          <w:bCs/>
          <w:lang w:val="en-GB"/>
        </w:rPr>
        <w:t>adalimumab</w:t>
      </w:r>
      <w:r w:rsidR="00841C6E">
        <w:rPr>
          <w:bCs/>
          <w:lang w:val="en-GB"/>
        </w:rPr>
        <w:t xml:space="preserve"> (ADA)</w:t>
      </w:r>
      <w:r w:rsidR="00E75279">
        <w:rPr>
          <w:bCs/>
          <w:lang w:val="en-GB"/>
        </w:rPr>
        <w:t xml:space="preserve"> </w:t>
      </w:r>
      <w:r w:rsidR="00DF22E2">
        <w:rPr>
          <w:bCs/>
          <w:lang w:val="en-GB"/>
        </w:rPr>
        <w:t>and vedolizumab</w:t>
      </w:r>
      <w:r w:rsidR="00841C6E">
        <w:rPr>
          <w:bCs/>
          <w:lang w:val="en-GB"/>
        </w:rPr>
        <w:t xml:space="preserve"> (VED)</w:t>
      </w:r>
      <w:r w:rsidR="00DF22E2">
        <w:rPr>
          <w:bCs/>
          <w:lang w:val="en-GB"/>
        </w:rPr>
        <w:t>).</w:t>
      </w:r>
      <w:r w:rsidR="00A641ED">
        <w:rPr>
          <w:bCs/>
          <w:lang w:val="en-GB"/>
        </w:rPr>
        <w:t xml:space="preserve">The PBAC did not recommend the listing of </w:t>
      </w:r>
      <w:r w:rsidR="00841C6E">
        <w:rPr>
          <w:bCs/>
          <w:lang w:val="en-GB"/>
        </w:rPr>
        <w:t>UST</w:t>
      </w:r>
      <w:r w:rsidR="00A641ED">
        <w:rPr>
          <w:bCs/>
          <w:lang w:val="en-GB"/>
        </w:rPr>
        <w:t xml:space="preserve"> for the treatment of </w:t>
      </w:r>
      <w:r w:rsidR="003E44FF">
        <w:rPr>
          <w:bCs/>
          <w:lang w:val="en-GB"/>
        </w:rPr>
        <w:t xml:space="preserve">complex refractory fistulising Crohn’s disease </w:t>
      </w:r>
      <w:r w:rsidR="00B34E7E">
        <w:rPr>
          <w:bCs/>
          <w:lang w:val="en-GB"/>
        </w:rPr>
        <w:t xml:space="preserve">on the basis that </w:t>
      </w:r>
      <w:r w:rsidR="00DF22E2">
        <w:rPr>
          <w:bCs/>
          <w:lang w:val="en-GB"/>
        </w:rPr>
        <w:t xml:space="preserve">it was uncertain whether </w:t>
      </w:r>
      <w:r w:rsidR="00841C6E">
        <w:rPr>
          <w:bCs/>
          <w:lang w:val="en-GB"/>
        </w:rPr>
        <w:t>UST</w:t>
      </w:r>
      <w:r w:rsidR="00DF22E2">
        <w:rPr>
          <w:bCs/>
          <w:lang w:val="en-GB"/>
        </w:rPr>
        <w:t xml:space="preserve"> led to fistula remission or response when compared to placebo, and there wa</w:t>
      </w:r>
      <w:r w:rsidR="003E44FF">
        <w:rPr>
          <w:bCs/>
          <w:lang w:val="en-GB"/>
        </w:rPr>
        <w:t xml:space="preserve">s insufficient clinical evidence to support </w:t>
      </w:r>
      <w:r w:rsidR="00DF22E2">
        <w:rPr>
          <w:bCs/>
          <w:lang w:val="en-GB"/>
        </w:rPr>
        <w:t>non-inferiority with the alternative bDMARDs for fistulising Crohn’s disease (</w:t>
      </w:r>
      <w:r w:rsidR="00841C6E">
        <w:rPr>
          <w:bCs/>
          <w:lang w:val="en-GB"/>
        </w:rPr>
        <w:t>ADA</w:t>
      </w:r>
      <w:r w:rsidR="00DF22E2">
        <w:rPr>
          <w:bCs/>
          <w:lang w:val="en-GB"/>
        </w:rPr>
        <w:t xml:space="preserve"> and </w:t>
      </w:r>
      <w:r w:rsidR="00841C6E">
        <w:rPr>
          <w:bCs/>
          <w:lang w:val="en-GB"/>
        </w:rPr>
        <w:t>IFX</w:t>
      </w:r>
      <w:r w:rsidR="00DF22E2">
        <w:rPr>
          <w:bCs/>
          <w:lang w:val="en-GB"/>
        </w:rPr>
        <w:t>)</w:t>
      </w:r>
      <w:r w:rsidR="003E44FF">
        <w:rPr>
          <w:bCs/>
          <w:lang w:val="en-GB"/>
        </w:rPr>
        <w:t>.</w:t>
      </w:r>
    </w:p>
    <w:p w:rsidR="0080738D" w:rsidRDefault="0080738D" w:rsidP="003E44FF">
      <w:pPr>
        <w:ind w:left="720"/>
        <w:rPr>
          <w:bCs/>
          <w:lang w:val="en-GB"/>
        </w:rPr>
      </w:pPr>
    </w:p>
    <w:p w:rsidR="00E75279" w:rsidRDefault="00E75279" w:rsidP="008C4B55">
      <w:pPr>
        <w:numPr>
          <w:ilvl w:val="1"/>
          <w:numId w:val="1"/>
        </w:numPr>
        <w:rPr>
          <w:bCs/>
          <w:lang w:val="en-GB"/>
        </w:rPr>
      </w:pPr>
      <w:r>
        <w:rPr>
          <w:bCs/>
          <w:lang w:val="en-GB"/>
        </w:rPr>
        <w:t xml:space="preserve">The PBAC noted that </w:t>
      </w:r>
      <w:r w:rsidR="00841C6E">
        <w:rPr>
          <w:bCs/>
          <w:lang w:val="en-GB"/>
        </w:rPr>
        <w:t>UST</w:t>
      </w:r>
      <w:r>
        <w:rPr>
          <w:bCs/>
          <w:lang w:val="en-GB"/>
        </w:rPr>
        <w:t xml:space="preserve"> would provide patients with an alternative treatment option for severe Crohn’s disease with a different mechanism of action compared to current PBS-listed treatments of </w:t>
      </w:r>
      <w:r w:rsidR="00841C6E">
        <w:rPr>
          <w:bCs/>
          <w:lang w:val="en-GB"/>
        </w:rPr>
        <w:t>IFX, ADA</w:t>
      </w:r>
      <w:r>
        <w:rPr>
          <w:bCs/>
          <w:lang w:val="en-GB"/>
        </w:rPr>
        <w:t xml:space="preserve"> and </w:t>
      </w:r>
      <w:r w:rsidR="00841C6E">
        <w:rPr>
          <w:bCs/>
          <w:lang w:val="en-GB"/>
        </w:rPr>
        <w:t>VED</w:t>
      </w:r>
      <w:r w:rsidR="00B4008E">
        <w:rPr>
          <w:bCs/>
          <w:lang w:val="en-GB"/>
        </w:rPr>
        <w:t>.</w:t>
      </w:r>
    </w:p>
    <w:p w:rsidR="00123500" w:rsidRDefault="00123500" w:rsidP="00123500">
      <w:pPr>
        <w:pStyle w:val="ListParagraph"/>
        <w:rPr>
          <w:bCs/>
          <w:lang w:val="en-GB"/>
        </w:rPr>
      </w:pPr>
    </w:p>
    <w:p w:rsidR="004911EB" w:rsidRPr="00E37A53" w:rsidRDefault="009B4434" w:rsidP="00A87587">
      <w:pPr>
        <w:numPr>
          <w:ilvl w:val="1"/>
          <w:numId w:val="1"/>
        </w:numPr>
        <w:rPr>
          <w:bCs/>
          <w:lang w:val="en-GB"/>
        </w:rPr>
      </w:pPr>
      <w:r>
        <w:rPr>
          <w:bCs/>
          <w:lang w:val="en-GB"/>
        </w:rPr>
        <w:t xml:space="preserve">The PBAC recommended listing in the General Schedule and in the S100 Highly Specialised Drugs Program as </w:t>
      </w:r>
      <w:r w:rsidR="006366FA">
        <w:rPr>
          <w:bCs/>
          <w:lang w:val="en-GB"/>
        </w:rPr>
        <w:t xml:space="preserve">an Authority Required </w:t>
      </w:r>
      <w:r w:rsidR="00537EF6">
        <w:rPr>
          <w:bCs/>
          <w:lang w:val="en-GB"/>
        </w:rPr>
        <w:t>(in writing) benefit with the same conditions as IFX, ADA and VED for the treatment of sever</w:t>
      </w:r>
      <w:r w:rsidR="00024BDA">
        <w:rPr>
          <w:bCs/>
          <w:lang w:val="en-GB"/>
        </w:rPr>
        <w:t>e</w:t>
      </w:r>
      <w:r w:rsidR="00537EF6">
        <w:rPr>
          <w:bCs/>
          <w:lang w:val="en-GB"/>
        </w:rPr>
        <w:t xml:space="preserve"> Crohn’s diseas</w:t>
      </w:r>
      <w:r w:rsidR="00E37A53">
        <w:rPr>
          <w:bCs/>
          <w:lang w:val="en-GB"/>
        </w:rPr>
        <w:t>e.</w:t>
      </w:r>
    </w:p>
    <w:p w:rsidR="004911EB" w:rsidRDefault="004911EB" w:rsidP="004911EB">
      <w:pPr>
        <w:ind w:left="720"/>
        <w:rPr>
          <w:bCs/>
          <w:lang w:val="en-GB"/>
        </w:rPr>
      </w:pPr>
    </w:p>
    <w:p w:rsidR="004911EB" w:rsidRDefault="004911EB" w:rsidP="004911EB">
      <w:pPr>
        <w:numPr>
          <w:ilvl w:val="1"/>
          <w:numId w:val="1"/>
        </w:numPr>
        <w:rPr>
          <w:bCs/>
          <w:lang w:val="en-GB"/>
        </w:rPr>
      </w:pPr>
      <w:r w:rsidRPr="0075345D">
        <w:rPr>
          <w:bCs/>
          <w:lang w:val="en-GB"/>
        </w:rPr>
        <w:t xml:space="preserve">The PBAC noted that </w:t>
      </w:r>
      <w:r w:rsidR="00841C6E">
        <w:rPr>
          <w:bCs/>
          <w:lang w:val="en-GB"/>
        </w:rPr>
        <w:t>IFX</w:t>
      </w:r>
      <w:r w:rsidRPr="0075345D">
        <w:rPr>
          <w:bCs/>
          <w:lang w:val="en-GB"/>
        </w:rPr>
        <w:t xml:space="preserve"> and </w:t>
      </w:r>
      <w:r w:rsidR="00841C6E">
        <w:rPr>
          <w:bCs/>
          <w:lang w:val="en-GB"/>
        </w:rPr>
        <w:t xml:space="preserve">ADA </w:t>
      </w:r>
      <w:r w:rsidRPr="0075345D">
        <w:rPr>
          <w:bCs/>
          <w:lang w:val="en-GB"/>
        </w:rPr>
        <w:t xml:space="preserve">are also currently PBS-listed for the treatment of severe Crohn’s disease in patients aged 6 to 17 years. The PBAC considered it appropriate </w:t>
      </w:r>
      <w:r>
        <w:rPr>
          <w:bCs/>
          <w:lang w:val="en-GB"/>
        </w:rPr>
        <w:t>to exclude these</w:t>
      </w:r>
      <w:r w:rsidRPr="0075345D">
        <w:rPr>
          <w:bCs/>
          <w:lang w:val="en-GB"/>
        </w:rPr>
        <w:t xml:space="preserve"> patients </w:t>
      </w:r>
      <w:r>
        <w:rPr>
          <w:bCs/>
          <w:lang w:val="en-GB"/>
        </w:rPr>
        <w:t>from</w:t>
      </w:r>
      <w:r w:rsidRPr="0075345D">
        <w:rPr>
          <w:bCs/>
          <w:lang w:val="en-GB"/>
        </w:rPr>
        <w:t xml:space="preserve"> the eligible population for </w:t>
      </w:r>
      <w:r w:rsidR="00841C6E">
        <w:rPr>
          <w:bCs/>
          <w:lang w:val="en-GB"/>
        </w:rPr>
        <w:t>UST</w:t>
      </w:r>
      <w:r w:rsidRPr="0075345D">
        <w:rPr>
          <w:bCs/>
          <w:lang w:val="en-GB"/>
        </w:rPr>
        <w:t xml:space="preserve"> noting there is insufficient safety and efficacy data </w:t>
      </w:r>
      <w:r>
        <w:rPr>
          <w:bCs/>
          <w:lang w:val="en-GB"/>
        </w:rPr>
        <w:t>for</w:t>
      </w:r>
      <w:r w:rsidR="00B4008E">
        <w:rPr>
          <w:bCs/>
          <w:lang w:val="en-GB"/>
        </w:rPr>
        <w:t xml:space="preserve"> this patient population.</w:t>
      </w:r>
    </w:p>
    <w:p w:rsidR="004911EB" w:rsidRDefault="004911EB" w:rsidP="004911EB">
      <w:pPr>
        <w:ind w:left="720"/>
        <w:rPr>
          <w:bCs/>
          <w:lang w:val="en-GB"/>
        </w:rPr>
      </w:pPr>
    </w:p>
    <w:p w:rsidR="00A457E4" w:rsidRDefault="00A457E4" w:rsidP="00A457E4">
      <w:pPr>
        <w:numPr>
          <w:ilvl w:val="1"/>
          <w:numId w:val="1"/>
        </w:numPr>
        <w:rPr>
          <w:bCs/>
          <w:lang w:val="en-GB"/>
        </w:rPr>
      </w:pPr>
      <w:r>
        <w:rPr>
          <w:bCs/>
          <w:lang w:val="en-GB"/>
        </w:rPr>
        <w:t xml:space="preserve">The PBAC considered that in addition to the nominated comparator </w:t>
      </w:r>
      <w:r w:rsidR="00841C6E">
        <w:rPr>
          <w:bCs/>
          <w:lang w:val="en-GB"/>
        </w:rPr>
        <w:t>ADA</w:t>
      </w:r>
      <w:r>
        <w:rPr>
          <w:bCs/>
          <w:lang w:val="en-GB"/>
        </w:rPr>
        <w:t xml:space="preserve">, both </w:t>
      </w:r>
      <w:r w:rsidR="00841C6E">
        <w:rPr>
          <w:bCs/>
          <w:lang w:val="en-GB"/>
        </w:rPr>
        <w:t>IFX</w:t>
      </w:r>
      <w:r>
        <w:rPr>
          <w:bCs/>
          <w:lang w:val="en-GB"/>
        </w:rPr>
        <w:t xml:space="preserve"> and </w:t>
      </w:r>
      <w:r w:rsidR="00841C6E">
        <w:rPr>
          <w:bCs/>
          <w:lang w:val="en-GB"/>
        </w:rPr>
        <w:t>VED</w:t>
      </w:r>
      <w:r>
        <w:rPr>
          <w:bCs/>
          <w:lang w:val="en-GB"/>
        </w:rPr>
        <w:t xml:space="preserve"> are also appropriate comparators for the treatment of severe Crohn’s disease in adult patients as these alternative treatments may also be</w:t>
      </w:r>
      <w:r w:rsidR="00B4008E">
        <w:rPr>
          <w:bCs/>
          <w:lang w:val="en-GB"/>
        </w:rPr>
        <w:t xml:space="preserve"> replaced in clinical practice.</w:t>
      </w:r>
    </w:p>
    <w:p w:rsidR="0075345D" w:rsidRPr="0075345D" w:rsidRDefault="0075345D" w:rsidP="0075345D">
      <w:pPr>
        <w:rPr>
          <w:bCs/>
          <w:lang w:val="en-GB"/>
        </w:rPr>
      </w:pPr>
    </w:p>
    <w:p w:rsidR="0075345D" w:rsidRDefault="005D7337" w:rsidP="00506A87">
      <w:pPr>
        <w:numPr>
          <w:ilvl w:val="1"/>
          <w:numId w:val="1"/>
        </w:numPr>
        <w:rPr>
          <w:bCs/>
          <w:lang w:val="en-GB"/>
        </w:rPr>
      </w:pPr>
      <w:r>
        <w:rPr>
          <w:bCs/>
          <w:lang w:val="en-GB"/>
        </w:rPr>
        <w:t xml:space="preserve">The PBAC noted the results of the indirect comparisons between </w:t>
      </w:r>
      <w:r w:rsidR="00841C6E">
        <w:rPr>
          <w:bCs/>
          <w:lang w:val="en-GB"/>
        </w:rPr>
        <w:t>UST</w:t>
      </w:r>
      <w:r>
        <w:rPr>
          <w:bCs/>
          <w:lang w:val="en-GB"/>
        </w:rPr>
        <w:t xml:space="preserve"> </w:t>
      </w:r>
    </w:p>
    <w:p w:rsidR="0080738D" w:rsidRDefault="005D7337" w:rsidP="009C4E5F">
      <w:pPr>
        <w:widowControl/>
        <w:ind w:left="680" w:firstLine="40"/>
        <w:rPr>
          <w:bCs/>
          <w:lang w:val="en-GB"/>
        </w:rPr>
      </w:pPr>
      <w:r>
        <w:rPr>
          <w:bCs/>
          <w:lang w:val="en-GB"/>
        </w:rPr>
        <w:t>(UNITI-1</w:t>
      </w:r>
      <w:r w:rsidR="00D12C45">
        <w:rPr>
          <w:bCs/>
          <w:lang w:val="en-GB"/>
        </w:rPr>
        <w:t>,</w:t>
      </w:r>
      <w:r w:rsidR="003253D2">
        <w:rPr>
          <w:bCs/>
          <w:lang w:val="en-GB"/>
        </w:rPr>
        <w:t xml:space="preserve"> UNITI-2</w:t>
      </w:r>
      <w:r w:rsidR="00D12C45">
        <w:rPr>
          <w:bCs/>
          <w:lang w:val="en-GB"/>
        </w:rPr>
        <w:t xml:space="preserve"> and IM-UNITI</w:t>
      </w:r>
      <w:r w:rsidR="003253D2">
        <w:rPr>
          <w:bCs/>
          <w:lang w:val="en-GB"/>
        </w:rPr>
        <w:t xml:space="preserve">) and </w:t>
      </w:r>
      <w:r w:rsidR="00841C6E">
        <w:rPr>
          <w:bCs/>
          <w:lang w:val="en-GB"/>
        </w:rPr>
        <w:t>ADA</w:t>
      </w:r>
      <w:r w:rsidR="003253D2">
        <w:rPr>
          <w:bCs/>
          <w:lang w:val="en-GB"/>
        </w:rPr>
        <w:t xml:space="preserve"> (CLASSIC I, </w:t>
      </w:r>
      <w:r w:rsidR="007938ED">
        <w:rPr>
          <w:bCs/>
          <w:lang w:val="en-GB"/>
        </w:rPr>
        <w:t xml:space="preserve">GAIN, </w:t>
      </w:r>
      <w:r w:rsidR="003253D2">
        <w:rPr>
          <w:bCs/>
          <w:lang w:val="en-GB"/>
        </w:rPr>
        <w:t xml:space="preserve">CLASSIC II, CHARM and Watanabe); </w:t>
      </w:r>
      <w:r w:rsidR="00841C6E">
        <w:rPr>
          <w:bCs/>
          <w:lang w:val="en-GB"/>
        </w:rPr>
        <w:t>UST</w:t>
      </w:r>
      <w:r w:rsidR="003253D2">
        <w:rPr>
          <w:bCs/>
          <w:lang w:val="en-GB"/>
        </w:rPr>
        <w:t xml:space="preserve"> and </w:t>
      </w:r>
      <w:r w:rsidR="00841C6E">
        <w:rPr>
          <w:bCs/>
          <w:lang w:val="en-GB"/>
        </w:rPr>
        <w:t>IFX</w:t>
      </w:r>
      <w:r w:rsidR="003253D2">
        <w:rPr>
          <w:bCs/>
          <w:lang w:val="en-GB"/>
        </w:rPr>
        <w:t xml:space="preserve"> (T16 and ACCENT I) and </w:t>
      </w:r>
      <w:r w:rsidR="00841C6E">
        <w:rPr>
          <w:bCs/>
          <w:lang w:val="en-GB"/>
        </w:rPr>
        <w:t>UST</w:t>
      </w:r>
      <w:r w:rsidR="003253D2">
        <w:rPr>
          <w:bCs/>
          <w:lang w:val="en-GB"/>
        </w:rPr>
        <w:t xml:space="preserve"> and </w:t>
      </w:r>
      <w:r w:rsidR="00841C6E">
        <w:rPr>
          <w:bCs/>
          <w:lang w:val="en-GB"/>
        </w:rPr>
        <w:t>VED</w:t>
      </w:r>
      <w:r w:rsidR="003253D2">
        <w:rPr>
          <w:bCs/>
          <w:lang w:val="en-GB"/>
        </w:rPr>
        <w:t xml:space="preserve"> (GEMINI II and GEMINI III)</w:t>
      </w:r>
      <w:r w:rsidR="00D91B74">
        <w:rPr>
          <w:bCs/>
          <w:lang w:val="en-GB"/>
        </w:rPr>
        <w:t xml:space="preserve"> for severe Crohn’s disease</w:t>
      </w:r>
      <w:r w:rsidR="003253D2">
        <w:rPr>
          <w:bCs/>
          <w:lang w:val="en-GB"/>
        </w:rPr>
        <w:t xml:space="preserve">. The PBAC </w:t>
      </w:r>
      <w:r w:rsidR="00BF0E52">
        <w:rPr>
          <w:bCs/>
          <w:lang w:val="en-GB"/>
        </w:rPr>
        <w:t>considered</w:t>
      </w:r>
      <w:r w:rsidR="00D91B74">
        <w:rPr>
          <w:bCs/>
          <w:lang w:val="en-GB"/>
        </w:rPr>
        <w:t xml:space="preserve"> </w:t>
      </w:r>
      <w:r w:rsidR="00B34E7E">
        <w:rPr>
          <w:bCs/>
          <w:lang w:val="en-GB"/>
        </w:rPr>
        <w:t xml:space="preserve">that the indirect comparison results for induction and maintenance phase trials of </w:t>
      </w:r>
      <w:r w:rsidR="00841C6E">
        <w:rPr>
          <w:bCs/>
          <w:lang w:val="en-GB"/>
        </w:rPr>
        <w:t>UST</w:t>
      </w:r>
      <w:r w:rsidR="00B34E7E">
        <w:rPr>
          <w:bCs/>
          <w:lang w:val="en-GB"/>
        </w:rPr>
        <w:t xml:space="preserve"> vs </w:t>
      </w:r>
      <w:r w:rsidR="00841C6E">
        <w:rPr>
          <w:bCs/>
          <w:lang w:val="en-GB"/>
        </w:rPr>
        <w:t>ADA</w:t>
      </w:r>
      <w:r w:rsidR="00B34E7E">
        <w:rPr>
          <w:bCs/>
          <w:lang w:val="en-GB"/>
        </w:rPr>
        <w:t xml:space="preserve">, </w:t>
      </w:r>
      <w:r w:rsidR="00841C6E">
        <w:rPr>
          <w:bCs/>
          <w:lang w:val="en-GB"/>
        </w:rPr>
        <w:t>IFX</w:t>
      </w:r>
      <w:r w:rsidR="00B34E7E">
        <w:rPr>
          <w:bCs/>
          <w:lang w:val="en-GB"/>
        </w:rPr>
        <w:t xml:space="preserve"> and </w:t>
      </w:r>
      <w:r w:rsidR="00841C6E">
        <w:rPr>
          <w:bCs/>
          <w:lang w:val="en-GB"/>
        </w:rPr>
        <w:t>VED</w:t>
      </w:r>
      <w:r w:rsidR="00B34E7E">
        <w:rPr>
          <w:bCs/>
          <w:lang w:val="en-GB"/>
        </w:rPr>
        <w:t xml:space="preserve"> did not </w:t>
      </w:r>
      <w:r w:rsidR="000F4EB5">
        <w:rPr>
          <w:bCs/>
          <w:lang w:val="en-GB"/>
        </w:rPr>
        <w:t xml:space="preserve">strongly </w:t>
      </w:r>
      <w:r w:rsidR="00B34E7E">
        <w:rPr>
          <w:bCs/>
          <w:lang w:val="en-GB"/>
        </w:rPr>
        <w:t>support non-inferiority</w:t>
      </w:r>
      <w:r w:rsidR="007D0B32">
        <w:rPr>
          <w:bCs/>
          <w:lang w:val="en-GB"/>
        </w:rPr>
        <w:t xml:space="preserve"> in terms of efficacy</w:t>
      </w:r>
      <w:r w:rsidR="00841C6E">
        <w:rPr>
          <w:bCs/>
          <w:lang w:val="en-GB"/>
        </w:rPr>
        <w:t xml:space="preserve"> of UST</w:t>
      </w:r>
      <w:r w:rsidR="00B34E7E">
        <w:rPr>
          <w:bCs/>
          <w:lang w:val="en-GB"/>
        </w:rPr>
        <w:t xml:space="preserve"> over </w:t>
      </w:r>
      <w:r w:rsidR="00841C6E">
        <w:rPr>
          <w:bCs/>
          <w:lang w:val="en-GB"/>
        </w:rPr>
        <w:t>ADA</w:t>
      </w:r>
      <w:r w:rsidR="00B34E7E">
        <w:rPr>
          <w:bCs/>
          <w:lang w:val="en-GB"/>
        </w:rPr>
        <w:t xml:space="preserve">, </w:t>
      </w:r>
      <w:r w:rsidR="00841C6E">
        <w:rPr>
          <w:bCs/>
          <w:lang w:val="en-GB"/>
        </w:rPr>
        <w:t>IFX or VED</w:t>
      </w:r>
      <w:r w:rsidR="00B34E7E">
        <w:rPr>
          <w:bCs/>
          <w:lang w:val="en-GB"/>
        </w:rPr>
        <w:t>. However,</w:t>
      </w:r>
      <w:r w:rsidR="0032109C">
        <w:rPr>
          <w:bCs/>
          <w:lang w:val="en-GB"/>
        </w:rPr>
        <w:t xml:space="preserve"> the PBAC considered that given</w:t>
      </w:r>
      <w:r w:rsidR="00D12C45">
        <w:rPr>
          <w:bCs/>
          <w:lang w:val="en-GB"/>
        </w:rPr>
        <w:t xml:space="preserve"> a more biologic experienced and treatment refractory patient population were recruited to the </w:t>
      </w:r>
      <w:r w:rsidR="004911EB">
        <w:rPr>
          <w:bCs/>
          <w:lang w:val="en-GB"/>
        </w:rPr>
        <w:t>IM-UNITI</w:t>
      </w:r>
      <w:r w:rsidR="00D12C45">
        <w:rPr>
          <w:bCs/>
          <w:lang w:val="en-GB"/>
        </w:rPr>
        <w:t xml:space="preserve"> trial,</w:t>
      </w:r>
      <w:r w:rsidR="0032109C">
        <w:rPr>
          <w:bCs/>
          <w:lang w:val="en-GB"/>
        </w:rPr>
        <w:t xml:space="preserve"> the</w:t>
      </w:r>
      <w:r w:rsidR="00D12C45">
        <w:rPr>
          <w:bCs/>
          <w:lang w:val="en-GB"/>
        </w:rPr>
        <w:t xml:space="preserve"> longer biological half-life of </w:t>
      </w:r>
      <w:r w:rsidR="00841C6E">
        <w:rPr>
          <w:bCs/>
          <w:lang w:val="en-GB"/>
        </w:rPr>
        <w:t>UST</w:t>
      </w:r>
      <w:r w:rsidR="00D12C45">
        <w:rPr>
          <w:bCs/>
          <w:lang w:val="en-GB"/>
        </w:rPr>
        <w:t xml:space="preserve"> (compared</w:t>
      </w:r>
      <w:r w:rsidR="0032109C">
        <w:rPr>
          <w:bCs/>
          <w:lang w:val="en-GB"/>
        </w:rPr>
        <w:t xml:space="preserve"> to </w:t>
      </w:r>
      <w:r w:rsidR="00841C6E">
        <w:rPr>
          <w:bCs/>
          <w:lang w:val="en-GB"/>
        </w:rPr>
        <w:t>ADA</w:t>
      </w:r>
      <w:r w:rsidR="00D12C45">
        <w:rPr>
          <w:bCs/>
          <w:lang w:val="en-GB"/>
        </w:rPr>
        <w:t>)</w:t>
      </w:r>
      <w:r w:rsidR="0032109C">
        <w:rPr>
          <w:bCs/>
          <w:lang w:val="en-GB"/>
        </w:rPr>
        <w:t xml:space="preserve"> and greater durability of </w:t>
      </w:r>
      <w:r w:rsidR="00841C6E">
        <w:rPr>
          <w:bCs/>
          <w:lang w:val="en-GB"/>
        </w:rPr>
        <w:t>UST</w:t>
      </w:r>
      <w:r w:rsidR="0032109C">
        <w:rPr>
          <w:bCs/>
          <w:lang w:val="en-GB"/>
        </w:rPr>
        <w:t xml:space="preserve"> IV loading dose (compared to </w:t>
      </w:r>
      <w:r w:rsidR="00841C6E">
        <w:rPr>
          <w:bCs/>
          <w:lang w:val="en-GB"/>
        </w:rPr>
        <w:t>ADA</w:t>
      </w:r>
      <w:r w:rsidR="0032109C">
        <w:rPr>
          <w:bCs/>
          <w:lang w:val="en-GB"/>
        </w:rPr>
        <w:t xml:space="preserve">), the indirect comparisons may be biased against </w:t>
      </w:r>
      <w:r w:rsidR="00841C6E">
        <w:rPr>
          <w:bCs/>
          <w:lang w:val="en-GB"/>
        </w:rPr>
        <w:t>UST</w:t>
      </w:r>
      <w:r w:rsidR="0032109C">
        <w:rPr>
          <w:bCs/>
          <w:lang w:val="en-GB"/>
        </w:rPr>
        <w:t>.</w:t>
      </w:r>
      <w:r w:rsidR="00C262DE">
        <w:rPr>
          <w:bCs/>
          <w:lang w:val="en-GB"/>
        </w:rPr>
        <w:t xml:space="preserve"> Further, the PBAC noted that there were </w:t>
      </w:r>
      <w:r w:rsidR="00B63A60">
        <w:rPr>
          <w:bCs/>
          <w:lang w:val="en-GB"/>
        </w:rPr>
        <w:t xml:space="preserve">also </w:t>
      </w:r>
      <w:r w:rsidR="00C262DE">
        <w:rPr>
          <w:bCs/>
          <w:lang w:val="en-GB"/>
        </w:rPr>
        <w:t xml:space="preserve">exchangeability issues between the </w:t>
      </w:r>
      <w:r w:rsidR="00841C6E">
        <w:rPr>
          <w:bCs/>
          <w:lang w:val="en-GB"/>
        </w:rPr>
        <w:t>UST</w:t>
      </w:r>
      <w:r w:rsidR="00C262DE">
        <w:rPr>
          <w:bCs/>
          <w:lang w:val="en-GB"/>
        </w:rPr>
        <w:t xml:space="preserve">, </w:t>
      </w:r>
      <w:r w:rsidR="00841C6E">
        <w:rPr>
          <w:bCs/>
          <w:lang w:val="en-GB"/>
        </w:rPr>
        <w:t>VED</w:t>
      </w:r>
      <w:r w:rsidR="00C262DE">
        <w:rPr>
          <w:bCs/>
          <w:lang w:val="en-GB"/>
        </w:rPr>
        <w:t xml:space="preserve"> and </w:t>
      </w:r>
      <w:r w:rsidR="00841C6E">
        <w:rPr>
          <w:bCs/>
          <w:lang w:val="en-GB"/>
        </w:rPr>
        <w:t>IFX</w:t>
      </w:r>
      <w:r w:rsidR="00C262DE">
        <w:rPr>
          <w:bCs/>
          <w:lang w:val="en-GB"/>
        </w:rPr>
        <w:t xml:space="preserve"> trials.</w:t>
      </w:r>
      <w:r w:rsidR="0032109C">
        <w:rPr>
          <w:bCs/>
          <w:lang w:val="en-GB"/>
        </w:rPr>
        <w:t xml:space="preserve"> The PBAC considered</w:t>
      </w:r>
      <w:r w:rsidR="00B63A60">
        <w:rPr>
          <w:bCs/>
          <w:lang w:val="en-GB"/>
        </w:rPr>
        <w:t>, on balance,</w:t>
      </w:r>
      <w:r w:rsidR="0032109C">
        <w:rPr>
          <w:bCs/>
          <w:lang w:val="en-GB"/>
        </w:rPr>
        <w:t xml:space="preserve"> that overall, </w:t>
      </w:r>
      <w:r w:rsidR="00841C6E">
        <w:rPr>
          <w:bCs/>
          <w:lang w:val="en-GB"/>
        </w:rPr>
        <w:t>UST</w:t>
      </w:r>
      <w:r w:rsidR="0032109C">
        <w:rPr>
          <w:bCs/>
          <w:lang w:val="en-GB"/>
        </w:rPr>
        <w:t xml:space="preserve"> may be </w:t>
      </w:r>
      <w:r w:rsidR="00B63A60">
        <w:rPr>
          <w:bCs/>
          <w:lang w:val="en-GB"/>
        </w:rPr>
        <w:t>a reasonable alternative</w:t>
      </w:r>
      <w:r w:rsidR="00841C6E">
        <w:rPr>
          <w:bCs/>
          <w:lang w:val="en-GB"/>
        </w:rPr>
        <w:t xml:space="preserve"> to ADA</w:t>
      </w:r>
      <w:r w:rsidR="0032109C">
        <w:rPr>
          <w:bCs/>
          <w:lang w:val="en-GB"/>
        </w:rPr>
        <w:t xml:space="preserve">, </w:t>
      </w:r>
      <w:r w:rsidR="00841C6E">
        <w:rPr>
          <w:bCs/>
          <w:lang w:val="en-GB"/>
        </w:rPr>
        <w:t>IFX</w:t>
      </w:r>
      <w:r w:rsidR="0032109C">
        <w:rPr>
          <w:bCs/>
          <w:lang w:val="en-GB"/>
        </w:rPr>
        <w:t xml:space="preserve"> and </w:t>
      </w:r>
      <w:r w:rsidR="00841C6E">
        <w:rPr>
          <w:bCs/>
          <w:lang w:val="en-GB"/>
        </w:rPr>
        <w:t>VED</w:t>
      </w:r>
      <w:r w:rsidR="00B63A60">
        <w:rPr>
          <w:bCs/>
          <w:lang w:val="en-GB"/>
        </w:rPr>
        <w:t xml:space="preserve"> for severe Crohn’s disease</w:t>
      </w:r>
      <w:r w:rsidR="0032109C">
        <w:rPr>
          <w:bCs/>
          <w:lang w:val="en-GB"/>
        </w:rPr>
        <w:t xml:space="preserve">. </w:t>
      </w:r>
    </w:p>
    <w:p w:rsidR="007D0B32" w:rsidRDefault="007D0B32" w:rsidP="00B34E7E">
      <w:pPr>
        <w:ind w:left="680" w:firstLine="40"/>
        <w:rPr>
          <w:bCs/>
          <w:lang w:val="en-GB"/>
        </w:rPr>
      </w:pPr>
    </w:p>
    <w:p w:rsidR="00A07856" w:rsidRDefault="007D0B32" w:rsidP="007D0B32">
      <w:pPr>
        <w:numPr>
          <w:ilvl w:val="1"/>
          <w:numId w:val="1"/>
        </w:numPr>
        <w:rPr>
          <w:bCs/>
          <w:lang w:val="en-GB"/>
        </w:rPr>
      </w:pPr>
      <w:r w:rsidRPr="0075345D">
        <w:rPr>
          <w:bCs/>
          <w:lang w:val="en-GB"/>
        </w:rPr>
        <w:t xml:space="preserve">The PBAC </w:t>
      </w:r>
      <w:r>
        <w:rPr>
          <w:bCs/>
          <w:lang w:val="en-GB"/>
        </w:rPr>
        <w:t xml:space="preserve">considered that the claim of </w:t>
      </w:r>
      <w:r w:rsidR="00F20120">
        <w:rPr>
          <w:bCs/>
          <w:lang w:val="en-GB"/>
        </w:rPr>
        <w:t xml:space="preserve">non-inferior comparative safety over </w:t>
      </w:r>
      <w:r w:rsidR="00841C6E">
        <w:rPr>
          <w:bCs/>
          <w:lang w:val="en-GB"/>
        </w:rPr>
        <w:t>ADA</w:t>
      </w:r>
      <w:r w:rsidR="00F20120">
        <w:rPr>
          <w:bCs/>
          <w:lang w:val="en-GB"/>
        </w:rPr>
        <w:t xml:space="preserve"> was reasonable despite exchangeability issues between the trials and differences in trial duration.</w:t>
      </w:r>
    </w:p>
    <w:p w:rsidR="00E75279" w:rsidRPr="008C4B55" w:rsidRDefault="00E75279" w:rsidP="00E75279">
      <w:pPr>
        <w:ind w:left="720"/>
        <w:rPr>
          <w:bCs/>
          <w:lang w:val="en-GB"/>
        </w:rPr>
      </w:pPr>
    </w:p>
    <w:p w:rsidR="00E259D3" w:rsidRPr="00E259D3" w:rsidRDefault="00F06C83" w:rsidP="00E259D3">
      <w:pPr>
        <w:pStyle w:val="ListParagraph"/>
        <w:widowControl/>
        <w:numPr>
          <w:ilvl w:val="1"/>
          <w:numId w:val="1"/>
        </w:numPr>
        <w:rPr>
          <w:szCs w:val="22"/>
        </w:rPr>
      </w:pPr>
      <w:r>
        <w:t xml:space="preserve">The PBAC did not consider the proposed weighted price for </w:t>
      </w:r>
      <w:r w:rsidR="00841C6E">
        <w:t>UST</w:t>
      </w:r>
      <w:r>
        <w:t xml:space="preserve"> was justified given,</w:t>
      </w:r>
      <w:r w:rsidR="00E259D3">
        <w:t xml:space="preserve"> i</w:t>
      </w:r>
      <w:r w:rsidR="00E259D3" w:rsidRPr="004C0645">
        <w:t xml:space="preserve">f treatment with UST was substantially more costly than an alternative therapy or alternative therapies, the PBAC could only recommend listing if it is satisfied that the UST provides, for some patients, a significant improvement in efficacy or reduction of toxicity over the alternative therapy or therapies. </w:t>
      </w:r>
      <w:r>
        <w:t>No significant improvement in efficacy or safety for some patients was demonstrated and therefore, t</w:t>
      </w:r>
      <w:r w:rsidR="00E259D3">
        <w:t xml:space="preserve">he </w:t>
      </w:r>
      <w:r>
        <w:t xml:space="preserve">PBAC noted the cost-minimisation should be with the </w:t>
      </w:r>
      <w:r w:rsidR="00E259D3">
        <w:t>lowest cost alternative therapy</w:t>
      </w:r>
      <w:r>
        <w:t xml:space="preserve">, which </w:t>
      </w:r>
      <w:r w:rsidR="00E259D3">
        <w:t>was infliximab.</w:t>
      </w:r>
    </w:p>
    <w:p w:rsidR="00E259D3" w:rsidRDefault="00E259D3" w:rsidP="00E259D3">
      <w:pPr>
        <w:ind w:left="720"/>
        <w:rPr>
          <w:bCs/>
          <w:lang w:val="en-GB"/>
        </w:rPr>
      </w:pPr>
    </w:p>
    <w:p w:rsidR="00E75279" w:rsidRDefault="00E75279" w:rsidP="00E75279">
      <w:pPr>
        <w:numPr>
          <w:ilvl w:val="1"/>
          <w:numId w:val="1"/>
        </w:numPr>
        <w:rPr>
          <w:bCs/>
          <w:lang w:val="en-GB"/>
        </w:rPr>
      </w:pPr>
      <w:r>
        <w:rPr>
          <w:bCs/>
          <w:lang w:val="en-GB"/>
        </w:rPr>
        <w:t>The PBAC considered the equi-effective doses for treatment of severe Crohn’s disease in adult patients are:</w:t>
      </w:r>
    </w:p>
    <w:p w:rsidR="00E75279" w:rsidRDefault="00841C6E" w:rsidP="00E75279">
      <w:pPr>
        <w:pStyle w:val="ListParagraph"/>
        <w:numPr>
          <w:ilvl w:val="0"/>
          <w:numId w:val="9"/>
        </w:numPr>
        <w:rPr>
          <w:bCs/>
          <w:lang w:val="en-GB"/>
        </w:rPr>
      </w:pPr>
      <w:r>
        <w:rPr>
          <w:bCs/>
          <w:lang w:val="en-GB"/>
        </w:rPr>
        <w:t>IFX</w:t>
      </w:r>
      <w:r w:rsidR="00E75279">
        <w:rPr>
          <w:bCs/>
          <w:lang w:val="en-GB"/>
        </w:rPr>
        <w:t xml:space="preserve"> – 5 mg/kg administered at week 0, week 2, week 6 and then every 8 weeks thereafter; and</w:t>
      </w:r>
    </w:p>
    <w:p w:rsidR="00E75279" w:rsidRDefault="00841C6E" w:rsidP="00E75279">
      <w:pPr>
        <w:pStyle w:val="ListParagraph"/>
        <w:numPr>
          <w:ilvl w:val="0"/>
          <w:numId w:val="9"/>
        </w:numPr>
        <w:rPr>
          <w:bCs/>
          <w:lang w:val="en-GB"/>
        </w:rPr>
      </w:pPr>
      <w:r>
        <w:rPr>
          <w:bCs/>
          <w:lang w:val="en-GB"/>
        </w:rPr>
        <w:t>UST</w:t>
      </w:r>
      <w:r w:rsidR="00E75279">
        <w:rPr>
          <w:bCs/>
          <w:lang w:val="en-GB"/>
        </w:rPr>
        <w:t xml:space="preserve"> – administered as an IV tiered weight-based loading dose at week 0 and then subcutaneously 90 mg every 8 weeks.</w:t>
      </w:r>
    </w:p>
    <w:p w:rsidR="00E75279" w:rsidRPr="00D45610" w:rsidRDefault="00E75279" w:rsidP="00E75279">
      <w:pPr>
        <w:rPr>
          <w:bCs/>
          <w:lang w:val="en-GB"/>
        </w:rPr>
      </w:pPr>
    </w:p>
    <w:p w:rsidR="007D0B32" w:rsidRPr="00F364F7" w:rsidRDefault="000B7838" w:rsidP="00F364F7">
      <w:pPr>
        <w:numPr>
          <w:ilvl w:val="1"/>
          <w:numId w:val="1"/>
        </w:numPr>
        <w:rPr>
          <w:bCs/>
          <w:lang w:val="en-GB"/>
        </w:rPr>
      </w:pPr>
      <w:r>
        <w:rPr>
          <w:bCs/>
          <w:lang w:val="en-GB"/>
        </w:rPr>
        <w:t xml:space="preserve">The PBAC noted that </w:t>
      </w:r>
      <w:r w:rsidR="00841C6E">
        <w:rPr>
          <w:bCs/>
          <w:lang w:val="en-GB"/>
        </w:rPr>
        <w:t>UST</w:t>
      </w:r>
      <w:r>
        <w:rPr>
          <w:bCs/>
          <w:lang w:val="en-GB"/>
        </w:rPr>
        <w:t xml:space="preserve"> was not significantly more effective in inducing fistula response (≥50% reduction in fistulas) compared with placebo </w:t>
      </w:r>
      <w:r w:rsidR="00310435">
        <w:rPr>
          <w:bCs/>
          <w:lang w:val="en-GB"/>
        </w:rPr>
        <w:t xml:space="preserve">in either induction (UNITI-1 and UNITI-2) or maintenance trials </w:t>
      </w:r>
      <w:r w:rsidR="00F364F7">
        <w:rPr>
          <w:bCs/>
          <w:lang w:val="en-GB"/>
        </w:rPr>
        <w:t xml:space="preserve">(IM-UNITI) whereas the </w:t>
      </w:r>
      <w:r w:rsidR="00841C6E">
        <w:rPr>
          <w:bCs/>
          <w:lang w:val="en-GB"/>
        </w:rPr>
        <w:t>ADA</w:t>
      </w:r>
      <w:r w:rsidR="00F364F7">
        <w:rPr>
          <w:bCs/>
          <w:lang w:val="en-GB"/>
        </w:rPr>
        <w:t xml:space="preserve"> (CHARM) and </w:t>
      </w:r>
      <w:r w:rsidR="00841C6E">
        <w:rPr>
          <w:bCs/>
          <w:lang w:val="en-GB"/>
        </w:rPr>
        <w:t>IFX</w:t>
      </w:r>
      <w:r w:rsidR="00F364F7">
        <w:rPr>
          <w:bCs/>
          <w:lang w:val="en-GB"/>
        </w:rPr>
        <w:t xml:space="preserve"> (ACCENT II) trials showed a significant improvement over placebo for fistula remission during maintenance. The PBAC noted that the trial data for </w:t>
      </w:r>
      <w:r w:rsidR="00841C6E">
        <w:rPr>
          <w:bCs/>
          <w:lang w:val="en-GB"/>
        </w:rPr>
        <w:t>UST</w:t>
      </w:r>
      <w:r w:rsidR="00F364F7">
        <w:rPr>
          <w:bCs/>
          <w:lang w:val="en-GB"/>
        </w:rPr>
        <w:t xml:space="preserve"> for the treatment of fistulising Crohn’s disease was poor with only eight patients in the</w:t>
      </w:r>
      <w:r w:rsidR="00F06C83">
        <w:rPr>
          <w:bCs/>
          <w:lang w:val="en-GB"/>
        </w:rPr>
        <w:t xml:space="preserve"> treatment arm of the</w:t>
      </w:r>
      <w:r w:rsidR="00F364F7">
        <w:rPr>
          <w:bCs/>
          <w:lang w:val="en-GB"/>
        </w:rPr>
        <w:t xml:space="preserve"> maintenance trial IM</w:t>
      </w:r>
      <w:r w:rsidR="00447670">
        <w:rPr>
          <w:bCs/>
          <w:lang w:val="en-GB"/>
        </w:rPr>
        <w:t>-</w:t>
      </w:r>
      <w:r w:rsidR="00F364F7">
        <w:rPr>
          <w:bCs/>
          <w:lang w:val="en-GB"/>
        </w:rPr>
        <w:t xml:space="preserve">UNITI. The PBAC therefore concluded that non-inferiority of </w:t>
      </w:r>
      <w:r w:rsidR="00841C6E">
        <w:rPr>
          <w:bCs/>
          <w:lang w:val="en-GB"/>
        </w:rPr>
        <w:t>UST</w:t>
      </w:r>
      <w:r w:rsidR="00F364F7">
        <w:rPr>
          <w:bCs/>
          <w:lang w:val="en-GB"/>
        </w:rPr>
        <w:t xml:space="preserve"> compared with </w:t>
      </w:r>
      <w:r w:rsidR="00841C6E">
        <w:rPr>
          <w:bCs/>
          <w:lang w:val="en-GB"/>
        </w:rPr>
        <w:t>ADA</w:t>
      </w:r>
      <w:r w:rsidR="00F364F7">
        <w:rPr>
          <w:bCs/>
          <w:lang w:val="en-GB"/>
        </w:rPr>
        <w:t>/</w:t>
      </w:r>
      <w:r w:rsidR="00841C6E">
        <w:rPr>
          <w:bCs/>
          <w:lang w:val="en-GB"/>
        </w:rPr>
        <w:t>IFX</w:t>
      </w:r>
      <w:r w:rsidR="00F364F7">
        <w:rPr>
          <w:bCs/>
          <w:lang w:val="en-GB"/>
        </w:rPr>
        <w:t xml:space="preserve"> was not supported</w:t>
      </w:r>
      <w:r w:rsidR="00403262">
        <w:rPr>
          <w:bCs/>
          <w:lang w:val="en-GB"/>
        </w:rPr>
        <w:t xml:space="preserve"> in the submission</w:t>
      </w:r>
      <w:r w:rsidR="00F364F7">
        <w:rPr>
          <w:bCs/>
          <w:lang w:val="en-GB"/>
        </w:rPr>
        <w:t xml:space="preserve">. </w:t>
      </w:r>
      <w:r w:rsidR="00310435" w:rsidRPr="00F364F7">
        <w:rPr>
          <w:bCs/>
          <w:lang w:val="en-GB"/>
        </w:rPr>
        <w:t xml:space="preserve">Further, the PBAC noted that </w:t>
      </w:r>
      <w:r w:rsidR="00841C6E">
        <w:rPr>
          <w:bCs/>
          <w:lang w:val="en-GB"/>
        </w:rPr>
        <w:t>UST</w:t>
      </w:r>
      <w:r w:rsidR="00310435" w:rsidRPr="00F364F7">
        <w:rPr>
          <w:bCs/>
          <w:lang w:val="en-GB"/>
        </w:rPr>
        <w:t xml:space="preserve"> was not currently TGA registered for the fistulis</w:t>
      </w:r>
      <w:r w:rsidR="00B4008E">
        <w:rPr>
          <w:bCs/>
          <w:lang w:val="en-GB"/>
        </w:rPr>
        <w:t>ing Crohn’s disease indication.</w:t>
      </w:r>
    </w:p>
    <w:p w:rsidR="00B34E7E" w:rsidRPr="0069654D" w:rsidRDefault="00B34E7E" w:rsidP="00B34E7E">
      <w:pPr>
        <w:ind w:left="680" w:firstLine="40"/>
        <w:rPr>
          <w:bCs/>
          <w:highlight w:val="yellow"/>
          <w:lang w:val="en-GB"/>
        </w:rPr>
      </w:pPr>
    </w:p>
    <w:p w:rsidR="0080738D" w:rsidRPr="001A0BF3" w:rsidRDefault="0080738D" w:rsidP="00506A87">
      <w:pPr>
        <w:numPr>
          <w:ilvl w:val="1"/>
          <w:numId w:val="1"/>
        </w:numPr>
        <w:rPr>
          <w:bCs/>
          <w:lang w:val="en-GB"/>
        </w:rPr>
      </w:pPr>
      <w:r w:rsidRPr="001A0BF3">
        <w:rPr>
          <w:bCs/>
          <w:lang w:val="en-GB"/>
        </w:rPr>
        <w:t xml:space="preserve">The PBAC advised that </w:t>
      </w:r>
      <w:r w:rsidR="001A0BF3" w:rsidRPr="001A0BF3">
        <w:rPr>
          <w:bCs/>
          <w:lang w:val="en-GB"/>
        </w:rPr>
        <w:t>ustekinumab</w:t>
      </w:r>
      <w:r w:rsidRPr="001A0BF3">
        <w:rPr>
          <w:bCs/>
          <w:lang w:val="en-GB"/>
        </w:rPr>
        <w:t xml:space="preserve"> is not suitable for prescribing by nurse practitioners.</w:t>
      </w:r>
    </w:p>
    <w:p w:rsidR="0080738D" w:rsidRPr="0069654D" w:rsidRDefault="0080738D" w:rsidP="0080738D">
      <w:pPr>
        <w:rPr>
          <w:bCs/>
          <w:highlight w:val="yellow"/>
          <w:lang w:val="en-GB"/>
        </w:rPr>
      </w:pPr>
    </w:p>
    <w:p w:rsidR="0080738D" w:rsidRDefault="0080738D" w:rsidP="00506A87">
      <w:pPr>
        <w:numPr>
          <w:ilvl w:val="1"/>
          <w:numId w:val="1"/>
        </w:numPr>
        <w:rPr>
          <w:bCs/>
          <w:lang w:val="en-GB"/>
        </w:rPr>
      </w:pPr>
      <w:r w:rsidRPr="001A0BF3">
        <w:rPr>
          <w:bCs/>
          <w:lang w:val="en-GB"/>
        </w:rPr>
        <w:t>The PBAC recommended that the Early Supply Rule should</w:t>
      </w:r>
      <w:r w:rsidR="001A0BF3" w:rsidRPr="001A0BF3">
        <w:rPr>
          <w:bCs/>
          <w:lang w:val="en-GB"/>
        </w:rPr>
        <w:t xml:space="preserve"> not apply to ustekinumab</w:t>
      </w:r>
      <w:r w:rsidR="001A0BF3">
        <w:rPr>
          <w:bCs/>
          <w:lang w:val="en-GB"/>
        </w:rPr>
        <w:t>.</w:t>
      </w:r>
    </w:p>
    <w:p w:rsidR="0044692C" w:rsidRDefault="0044692C" w:rsidP="0044692C">
      <w:pPr>
        <w:pStyle w:val="ListParagraph"/>
        <w:rPr>
          <w:bCs/>
          <w:lang w:val="en-GB"/>
        </w:rPr>
      </w:pPr>
    </w:p>
    <w:p w:rsidR="0044692C" w:rsidRPr="001A0BF3" w:rsidRDefault="0044692C" w:rsidP="00506A87">
      <w:pPr>
        <w:numPr>
          <w:ilvl w:val="1"/>
          <w:numId w:val="1"/>
        </w:numPr>
        <w:rPr>
          <w:bCs/>
          <w:lang w:val="en-GB"/>
        </w:rPr>
      </w:pPr>
      <w:r>
        <w:t>In accordance with subsection 101(3BA) of the Act the PBAC advised that it is of the opinion that, on the basis if the material available to it at its March 2017 meeting, ustekinumab should not be treated as interchangeable on an individual patient basis with any other drugs.</w:t>
      </w:r>
    </w:p>
    <w:p w:rsidR="0080738D" w:rsidRPr="001A0BF3" w:rsidRDefault="0080738D" w:rsidP="0080738D">
      <w:pPr>
        <w:rPr>
          <w:bCs/>
          <w:lang w:val="en-GB"/>
        </w:rPr>
      </w:pPr>
    </w:p>
    <w:p w:rsidR="0080738D" w:rsidRPr="001A0BF3" w:rsidRDefault="0080738D" w:rsidP="00506A87">
      <w:pPr>
        <w:numPr>
          <w:ilvl w:val="1"/>
          <w:numId w:val="1"/>
        </w:numPr>
        <w:rPr>
          <w:bCs/>
          <w:lang w:val="en-GB"/>
        </w:rPr>
      </w:pPr>
      <w:r w:rsidRPr="001A0BF3">
        <w:rPr>
          <w:bCs/>
          <w:lang w:val="en-GB"/>
        </w:rPr>
        <w:t xml:space="preserve"> </w:t>
      </w:r>
      <w:r w:rsidR="001A0BF3" w:rsidRPr="001A0BF3">
        <w:rPr>
          <w:bCs/>
          <w:lang w:val="en-GB"/>
        </w:rPr>
        <w:t>The PBAC noted that this</w:t>
      </w:r>
      <w:r w:rsidR="00B4008E">
        <w:rPr>
          <w:bCs/>
          <w:lang w:val="en-GB"/>
        </w:rPr>
        <w:t xml:space="preserve"> will be a complex restriction.</w:t>
      </w:r>
    </w:p>
    <w:p w:rsidR="00747441" w:rsidRPr="001A0BF3" w:rsidRDefault="00747441" w:rsidP="001A0BF3">
      <w:pPr>
        <w:rPr>
          <w:bCs/>
          <w:highlight w:val="yellow"/>
          <w:lang w:val="en-GB"/>
        </w:rPr>
      </w:pPr>
    </w:p>
    <w:p w:rsidR="00747441" w:rsidRPr="00705A48" w:rsidRDefault="00747441" w:rsidP="00506A87">
      <w:pPr>
        <w:pStyle w:val="ListParagraph"/>
        <w:numPr>
          <w:ilvl w:val="1"/>
          <w:numId w:val="1"/>
        </w:numPr>
        <w:rPr>
          <w:szCs w:val="22"/>
        </w:rPr>
      </w:pPr>
      <w:r>
        <w:rPr>
          <w:szCs w:val="22"/>
        </w:rPr>
        <w:t>The PBAC noted that this submission</w:t>
      </w:r>
      <w:r w:rsidRPr="00705A48">
        <w:rPr>
          <w:szCs w:val="22"/>
        </w:rPr>
        <w:t xml:space="preserve"> </w:t>
      </w:r>
      <w:r>
        <w:rPr>
          <w:szCs w:val="22"/>
        </w:rPr>
        <w:t>is not eligible for an Independent Review because the PBAC has made a positive recommendation.</w:t>
      </w:r>
    </w:p>
    <w:p w:rsidR="0080738D" w:rsidRPr="0069654D" w:rsidRDefault="0080738D" w:rsidP="0080738D">
      <w:pPr>
        <w:rPr>
          <w:b/>
          <w:bCs/>
          <w:highlight w:val="yellow"/>
          <w:lang w:val="en-GB"/>
        </w:rPr>
      </w:pPr>
    </w:p>
    <w:p w:rsidR="0080738D" w:rsidRPr="00747441" w:rsidRDefault="0080738D" w:rsidP="0080738D">
      <w:pPr>
        <w:rPr>
          <w:b/>
          <w:bCs/>
          <w:lang w:val="en-GB"/>
        </w:rPr>
      </w:pPr>
      <w:r w:rsidRPr="00747441">
        <w:rPr>
          <w:b/>
          <w:bCs/>
          <w:lang w:val="en-GB"/>
        </w:rPr>
        <w:t>Outcome:</w:t>
      </w:r>
    </w:p>
    <w:p w:rsidR="0080738D" w:rsidRPr="00747441" w:rsidRDefault="0080738D" w:rsidP="0080738D">
      <w:pPr>
        <w:rPr>
          <w:bCs/>
          <w:lang w:val="en-GB"/>
        </w:rPr>
      </w:pPr>
      <w:r w:rsidRPr="00747441">
        <w:rPr>
          <w:bCs/>
          <w:lang w:val="en-GB"/>
        </w:rPr>
        <w:t>Recommended</w:t>
      </w:r>
    </w:p>
    <w:p w:rsidR="0080738D" w:rsidRPr="0069654D" w:rsidRDefault="0080738D" w:rsidP="0080738D">
      <w:pPr>
        <w:rPr>
          <w:bCs/>
          <w:highlight w:val="yellow"/>
          <w:lang w:val="en-GB"/>
        </w:rPr>
      </w:pPr>
    </w:p>
    <w:p w:rsidR="0080738D" w:rsidRPr="0069654D" w:rsidRDefault="0080738D" w:rsidP="0080738D">
      <w:pPr>
        <w:rPr>
          <w:b/>
          <w:bCs/>
          <w:highlight w:val="yellow"/>
        </w:rPr>
      </w:pPr>
    </w:p>
    <w:p w:rsidR="0080738D" w:rsidRPr="00D06D00" w:rsidRDefault="0080738D" w:rsidP="00D06D00">
      <w:pPr>
        <w:pStyle w:val="PBACHeading1"/>
      </w:pPr>
      <w:r w:rsidRPr="00D06D00">
        <w:t>Recommended listing</w:t>
      </w:r>
    </w:p>
    <w:p w:rsidR="0080738D" w:rsidRPr="00747441" w:rsidRDefault="0080738D" w:rsidP="0080738D">
      <w:pPr>
        <w:rPr>
          <w:b/>
          <w:bCs/>
          <w:i/>
          <w:lang w:val="en-GB"/>
        </w:rPr>
      </w:pPr>
    </w:p>
    <w:p w:rsidR="00487776" w:rsidRPr="00487776" w:rsidRDefault="00487776" w:rsidP="00056197">
      <w:pPr>
        <w:pStyle w:val="ListParagraph"/>
        <w:numPr>
          <w:ilvl w:val="1"/>
          <w:numId w:val="1"/>
        </w:numPr>
        <w:rPr>
          <w:bCs/>
          <w:lang w:val="en-GB"/>
        </w:rPr>
      </w:pPr>
      <w:r w:rsidRPr="00487776">
        <w:rPr>
          <w:bCs/>
          <w:lang w:val="en-GB"/>
        </w:rPr>
        <w:t xml:space="preserve">The PBAC noted that flow-on restriction changes to </w:t>
      </w:r>
      <w:r>
        <w:rPr>
          <w:bCs/>
          <w:lang w:val="en-GB"/>
        </w:rPr>
        <w:t>IFX</w:t>
      </w:r>
      <w:r w:rsidRPr="00487776">
        <w:rPr>
          <w:bCs/>
          <w:lang w:val="en-GB"/>
        </w:rPr>
        <w:t xml:space="preserve">, </w:t>
      </w:r>
      <w:r w:rsidR="00841C6E">
        <w:rPr>
          <w:bCs/>
          <w:lang w:val="en-GB"/>
        </w:rPr>
        <w:t>ADA</w:t>
      </w:r>
      <w:r w:rsidRPr="00487776">
        <w:rPr>
          <w:bCs/>
          <w:lang w:val="en-GB"/>
        </w:rPr>
        <w:t xml:space="preserve"> and </w:t>
      </w:r>
      <w:r>
        <w:rPr>
          <w:bCs/>
          <w:lang w:val="en-GB"/>
        </w:rPr>
        <w:t>VED</w:t>
      </w:r>
      <w:r w:rsidRPr="00487776">
        <w:rPr>
          <w:bCs/>
          <w:lang w:val="en-GB"/>
        </w:rPr>
        <w:t xml:space="preserve"> for severe Crohn’s disease in adults </w:t>
      </w:r>
      <w:r w:rsidR="00012084">
        <w:rPr>
          <w:bCs/>
          <w:lang w:val="en-GB"/>
        </w:rPr>
        <w:t xml:space="preserve">will be </w:t>
      </w:r>
      <w:r w:rsidRPr="00487776">
        <w:rPr>
          <w:bCs/>
          <w:lang w:val="en-GB"/>
        </w:rPr>
        <w:t>required</w:t>
      </w:r>
      <w:r w:rsidR="00012084">
        <w:rPr>
          <w:bCs/>
          <w:lang w:val="en-GB"/>
        </w:rPr>
        <w:t xml:space="preserve"> when UST is listed</w:t>
      </w:r>
      <w:r w:rsidRPr="00487776">
        <w:rPr>
          <w:bCs/>
          <w:lang w:val="en-GB"/>
        </w:rPr>
        <w:t xml:space="preserve">. </w:t>
      </w:r>
      <w:r>
        <w:rPr>
          <w:bCs/>
          <w:lang w:val="en-GB"/>
        </w:rPr>
        <w:t>The</w:t>
      </w:r>
      <w:r w:rsidRPr="00487776">
        <w:rPr>
          <w:bCs/>
          <w:lang w:val="en-GB"/>
        </w:rPr>
        <w:t xml:space="preserve"> restrictions for IFX, ADA and VED </w:t>
      </w:r>
      <w:r>
        <w:rPr>
          <w:bCs/>
          <w:lang w:val="en-GB"/>
        </w:rPr>
        <w:t xml:space="preserve">will need </w:t>
      </w:r>
      <w:r w:rsidRPr="00487776">
        <w:rPr>
          <w:bCs/>
          <w:lang w:val="en-GB"/>
        </w:rPr>
        <w:t xml:space="preserve">to be updated to include UST </w:t>
      </w:r>
      <w:r w:rsidR="00056197">
        <w:rPr>
          <w:bCs/>
          <w:lang w:val="en-GB"/>
        </w:rPr>
        <w:t xml:space="preserve">as one of the </w:t>
      </w:r>
      <w:r w:rsidR="00056197" w:rsidRPr="00056197">
        <w:rPr>
          <w:bCs/>
          <w:lang w:val="en-GB"/>
        </w:rPr>
        <w:t xml:space="preserve">biological disease modifying drugs (bDMDs) </w:t>
      </w:r>
      <w:r w:rsidR="00056197">
        <w:rPr>
          <w:bCs/>
          <w:lang w:val="en-GB"/>
        </w:rPr>
        <w:t xml:space="preserve">options for the treatment of severe Crohn’s disease </w:t>
      </w:r>
      <w:r w:rsidRPr="00487776">
        <w:rPr>
          <w:bCs/>
          <w:lang w:val="en-GB"/>
        </w:rPr>
        <w:t>(</w:t>
      </w:r>
      <w:r>
        <w:rPr>
          <w:bCs/>
          <w:lang w:val="en-GB"/>
        </w:rPr>
        <w:t xml:space="preserve">the </w:t>
      </w:r>
      <w:r w:rsidRPr="00487776">
        <w:rPr>
          <w:bCs/>
          <w:lang w:val="en-GB"/>
        </w:rPr>
        <w:t>4th drug in this setting)</w:t>
      </w:r>
      <w:r>
        <w:rPr>
          <w:bCs/>
          <w:lang w:val="en-GB"/>
        </w:rPr>
        <w:t>.</w:t>
      </w:r>
    </w:p>
    <w:p w:rsidR="00487776" w:rsidRDefault="00487776" w:rsidP="00487776">
      <w:pPr>
        <w:ind w:left="720"/>
        <w:rPr>
          <w:bCs/>
        </w:rPr>
      </w:pPr>
    </w:p>
    <w:p w:rsidR="0080738D" w:rsidRPr="00747441" w:rsidRDefault="0080738D" w:rsidP="00506A87">
      <w:pPr>
        <w:numPr>
          <w:ilvl w:val="1"/>
          <w:numId w:val="1"/>
        </w:numPr>
        <w:rPr>
          <w:bCs/>
        </w:rPr>
      </w:pPr>
      <w:r w:rsidRPr="00747441">
        <w:rPr>
          <w:bCs/>
        </w:rPr>
        <w:t>Add new item</w:t>
      </w:r>
      <w:r w:rsidR="00D53A0F">
        <w:rPr>
          <w:bCs/>
        </w:rPr>
        <w:t xml:space="preserve"> (to be finalised)</w:t>
      </w:r>
      <w:r w:rsidRPr="00747441">
        <w:rPr>
          <w:bCs/>
        </w:rPr>
        <w:t>:</w:t>
      </w:r>
    </w:p>
    <w:p w:rsidR="0080738D" w:rsidRPr="0069654D" w:rsidRDefault="0080738D" w:rsidP="0080738D">
      <w:pPr>
        <w:rPr>
          <w:b/>
          <w:bCs/>
          <w:highlight w:val="yellow"/>
        </w:rPr>
      </w:pPr>
    </w:p>
    <w:tbl>
      <w:tblPr>
        <w:tblW w:w="4620" w:type="pct"/>
        <w:tblInd w:w="709" w:type="dxa"/>
        <w:tblCellMar>
          <w:left w:w="28" w:type="dxa"/>
          <w:right w:w="28" w:type="dxa"/>
        </w:tblCellMar>
        <w:tblLook w:val="04A0" w:firstRow="1" w:lastRow="0" w:firstColumn="1" w:lastColumn="0" w:noHBand="0" w:noVBand="1"/>
      </w:tblPr>
      <w:tblGrid>
        <w:gridCol w:w="28"/>
        <w:gridCol w:w="970"/>
        <w:gridCol w:w="1440"/>
        <w:gridCol w:w="700"/>
        <w:gridCol w:w="468"/>
        <w:gridCol w:w="386"/>
        <w:gridCol w:w="791"/>
        <w:gridCol w:w="999"/>
        <w:gridCol w:w="2610"/>
      </w:tblGrid>
      <w:tr w:rsidR="005E4796" w:rsidRPr="00414040" w:rsidTr="005E4796">
        <w:trPr>
          <w:cantSplit/>
          <w:trHeight w:val="471"/>
        </w:trPr>
        <w:tc>
          <w:tcPr>
            <w:tcW w:w="1870" w:type="pct"/>
            <w:gridSpan w:val="4"/>
            <w:tcBorders>
              <w:top w:val="nil"/>
              <w:left w:val="nil"/>
              <w:bottom w:val="single" w:sz="4" w:space="0" w:color="auto"/>
              <w:right w:val="nil"/>
            </w:tcBorders>
            <w:hideMark/>
          </w:tcPr>
          <w:p w:rsidR="005E4796" w:rsidRPr="00414040" w:rsidRDefault="005E4796" w:rsidP="00F979BD">
            <w:pPr>
              <w:keepNext/>
              <w:rPr>
                <w:sz w:val="20"/>
              </w:rPr>
            </w:pPr>
            <w:r w:rsidRPr="00414040">
              <w:rPr>
                <w:sz w:val="20"/>
              </w:rPr>
              <w:t>Name, Restriction,</w:t>
            </w:r>
          </w:p>
          <w:p w:rsidR="005E4796" w:rsidRPr="00414040" w:rsidRDefault="005E4796" w:rsidP="00F979BD">
            <w:pPr>
              <w:keepNext/>
              <w:rPr>
                <w:sz w:val="20"/>
              </w:rPr>
            </w:pPr>
            <w:r w:rsidRPr="00414040">
              <w:rPr>
                <w:sz w:val="20"/>
              </w:rPr>
              <w:t>Manner of administration and form</w:t>
            </w:r>
          </w:p>
        </w:tc>
        <w:tc>
          <w:tcPr>
            <w:tcW w:w="509" w:type="pct"/>
            <w:gridSpan w:val="2"/>
            <w:tcBorders>
              <w:top w:val="nil"/>
              <w:left w:val="nil"/>
              <w:bottom w:val="single" w:sz="4" w:space="0" w:color="auto"/>
              <w:right w:val="nil"/>
            </w:tcBorders>
            <w:hideMark/>
          </w:tcPr>
          <w:p w:rsidR="005E4796" w:rsidRPr="00414040" w:rsidRDefault="005E4796" w:rsidP="00F979BD">
            <w:pPr>
              <w:keepNext/>
              <w:jc w:val="center"/>
              <w:rPr>
                <w:sz w:val="20"/>
              </w:rPr>
            </w:pPr>
            <w:r w:rsidRPr="00414040">
              <w:rPr>
                <w:sz w:val="20"/>
              </w:rPr>
              <w:t>Max.</w:t>
            </w:r>
          </w:p>
          <w:p w:rsidR="005E4796" w:rsidRPr="00414040" w:rsidRDefault="005E4796" w:rsidP="00F979BD">
            <w:pPr>
              <w:keepNext/>
              <w:jc w:val="center"/>
              <w:rPr>
                <w:sz w:val="20"/>
              </w:rPr>
            </w:pPr>
            <w:r w:rsidRPr="00414040">
              <w:rPr>
                <w:sz w:val="20"/>
              </w:rPr>
              <w:t>Qty</w:t>
            </w:r>
          </w:p>
        </w:tc>
        <w:tc>
          <w:tcPr>
            <w:tcW w:w="471" w:type="pct"/>
            <w:tcBorders>
              <w:top w:val="nil"/>
              <w:left w:val="nil"/>
              <w:bottom w:val="single" w:sz="4" w:space="0" w:color="auto"/>
              <w:right w:val="nil"/>
            </w:tcBorders>
            <w:hideMark/>
          </w:tcPr>
          <w:p w:rsidR="005E4796" w:rsidRPr="00414040" w:rsidRDefault="005E4796" w:rsidP="00F979BD">
            <w:pPr>
              <w:keepNext/>
              <w:jc w:val="center"/>
              <w:rPr>
                <w:sz w:val="20"/>
              </w:rPr>
            </w:pPr>
            <w:r w:rsidRPr="00414040">
              <w:rPr>
                <w:sz w:val="20"/>
              </w:rPr>
              <w:t>№.of</w:t>
            </w:r>
          </w:p>
          <w:p w:rsidR="005E4796" w:rsidRPr="00414040" w:rsidRDefault="005E4796" w:rsidP="00F979BD">
            <w:pPr>
              <w:keepNext/>
              <w:jc w:val="center"/>
              <w:rPr>
                <w:sz w:val="20"/>
              </w:rPr>
            </w:pPr>
            <w:r w:rsidRPr="00414040">
              <w:rPr>
                <w:sz w:val="20"/>
              </w:rPr>
              <w:t>Rpts</w:t>
            </w:r>
          </w:p>
        </w:tc>
        <w:tc>
          <w:tcPr>
            <w:tcW w:w="2150" w:type="pct"/>
            <w:gridSpan w:val="2"/>
            <w:tcBorders>
              <w:top w:val="nil"/>
              <w:left w:val="nil"/>
              <w:bottom w:val="single" w:sz="4" w:space="0" w:color="auto"/>
              <w:right w:val="nil"/>
            </w:tcBorders>
            <w:hideMark/>
          </w:tcPr>
          <w:p w:rsidR="005E4796" w:rsidRPr="00414040" w:rsidRDefault="005E4796" w:rsidP="00F979BD">
            <w:pPr>
              <w:keepNext/>
              <w:jc w:val="center"/>
              <w:rPr>
                <w:sz w:val="20"/>
              </w:rPr>
            </w:pPr>
            <w:r w:rsidRPr="00414040">
              <w:rPr>
                <w:sz w:val="20"/>
              </w:rPr>
              <w:t>Proprietary Name and Manufacturer</w:t>
            </w:r>
          </w:p>
        </w:tc>
      </w:tr>
      <w:tr w:rsidR="005E4796" w:rsidRPr="00414040" w:rsidTr="005E4796">
        <w:trPr>
          <w:cantSplit/>
          <w:trHeight w:val="70"/>
        </w:trPr>
        <w:tc>
          <w:tcPr>
            <w:tcW w:w="1870" w:type="pct"/>
            <w:gridSpan w:val="4"/>
          </w:tcPr>
          <w:p w:rsidR="005E4796" w:rsidRPr="00414040" w:rsidRDefault="005E4796" w:rsidP="00F979BD">
            <w:pPr>
              <w:keepNext/>
              <w:rPr>
                <w:b/>
                <w:bCs/>
                <w:smallCaps/>
                <w:sz w:val="20"/>
              </w:rPr>
            </w:pPr>
          </w:p>
        </w:tc>
        <w:tc>
          <w:tcPr>
            <w:tcW w:w="509" w:type="pct"/>
            <w:gridSpan w:val="2"/>
          </w:tcPr>
          <w:p w:rsidR="005E4796" w:rsidRPr="00414040" w:rsidRDefault="005E4796" w:rsidP="00F979BD">
            <w:pPr>
              <w:keepNext/>
              <w:jc w:val="center"/>
              <w:rPr>
                <w:sz w:val="20"/>
              </w:rPr>
            </w:pPr>
          </w:p>
        </w:tc>
        <w:tc>
          <w:tcPr>
            <w:tcW w:w="471" w:type="pct"/>
          </w:tcPr>
          <w:p w:rsidR="005E4796" w:rsidRPr="00414040" w:rsidRDefault="005E4796" w:rsidP="00F979BD">
            <w:pPr>
              <w:keepNext/>
              <w:jc w:val="center"/>
              <w:rPr>
                <w:sz w:val="20"/>
              </w:rPr>
            </w:pPr>
          </w:p>
        </w:tc>
        <w:tc>
          <w:tcPr>
            <w:tcW w:w="595" w:type="pct"/>
          </w:tcPr>
          <w:p w:rsidR="005E4796" w:rsidRPr="00414040" w:rsidRDefault="005E4796" w:rsidP="00F979BD">
            <w:pPr>
              <w:keepNext/>
              <w:jc w:val="center"/>
              <w:rPr>
                <w:sz w:val="20"/>
              </w:rPr>
            </w:pPr>
          </w:p>
        </w:tc>
        <w:tc>
          <w:tcPr>
            <w:tcW w:w="1555" w:type="pct"/>
          </w:tcPr>
          <w:p w:rsidR="005E4796" w:rsidRPr="00414040" w:rsidRDefault="005E4796" w:rsidP="00F979BD">
            <w:pPr>
              <w:keepNext/>
              <w:jc w:val="center"/>
              <w:rPr>
                <w:sz w:val="20"/>
              </w:rPr>
            </w:pPr>
          </w:p>
        </w:tc>
      </w:tr>
      <w:tr w:rsidR="005E4796" w:rsidRPr="00414040" w:rsidTr="005E4796">
        <w:trPr>
          <w:cantSplit/>
          <w:trHeight w:val="80"/>
        </w:trPr>
        <w:tc>
          <w:tcPr>
            <w:tcW w:w="1870" w:type="pct"/>
            <w:gridSpan w:val="4"/>
          </w:tcPr>
          <w:p w:rsidR="005E4796" w:rsidRPr="00414040" w:rsidRDefault="005E4796" w:rsidP="00F979BD">
            <w:pPr>
              <w:keepNext/>
              <w:ind w:left="114"/>
              <w:rPr>
                <w:sz w:val="20"/>
              </w:rPr>
            </w:pPr>
            <w:r w:rsidRPr="00414040">
              <w:rPr>
                <w:smallCaps/>
                <w:sz w:val="20"/>
              </w:rPr>
              <w:t>Ustekinumab</w:t>
            </w:r>
          </w:p>
          <w:p w:rsidR="005E4796" w:rsidRPr="00414040" w:rsidRDefault="005E4796" w:rsidP="00F979BD">
            <w:pPr>
              <w:keepNext/>
              <w:ind w:left="114"/>
              <w:rPr>
                <w:sz w:val="20"/>
              </w:rPr>
            </w:pPr>
            <w:r w:rsidRPr="00414040">
              <w:rPr>
                <w:sz w:val="20"/>
              </w:rPr>
              <w:t>130mg/26mL injection, 26mL vial</w:t>
            </w:r>
          </w:p>
          <w:p w:rsidR="005E4796" w:rsidRPr="00414040" w:rsidRDefault="005E4796" w:rsidP="006444E6">
            <w:pPr>
              <w:keepNext/>
              <w:rPr>
                <w:smallCaps/>
                <w:sz w:val="20"/>
              </w:rPr>
            </w:pPr>
          </w:p>
          <w:p w:rsidR="005E4796" w:rsidRPr="00414040" w:rsidRDefault="005E4796" w:rsidP="00F979BD">
            <w:pPr>
              <w:keepNext/>
              <w:tabs>
                <w:tab w:val="left" w:pos="1785"/>
              </w:tabs>
              <w:ind w:left="114"/>
              <w:rPr>
                <w:sz w:val="20"/>
              </w:rPr>
            </w:pPr>
            <w:r w:rsidRPr="00414040">
              <w:rPr>
                <w:smallCaps/>
                <w:sz w:val="20"/>
              </w:rPr>
              <w:t>Ustekinumab</w:t>
            </w:r>
            <w:r w:rsidRPr="00414040">
              <w:rPr>
                <w:smallCaps/>
                <w:sz w:val="20"/>
              </w:rPr>
              <w:tab/>
            </w:r>
          </w:p>
          <w:p w:rsidR="005E4796" w:rsidRPr="00414040" w:rsidRDefault="005E4796" w:rsidP="00F979BD">
            <w:pPr>
              <w:keepNext/>
              <w:ind w:left="114"/>
              <w:rPr>
                <w:smallCaps/>
                <w:sz w:val="20"/>
              </w:rPr>
            </w:pPr>
            <w:r w:rsidRPr="00414040">
              <w:rPr>
                <w:sz w:val="20"/>
              </w:rPr>
              <w:t>45mg/0.5mL injection, 0.5mL vial</w:t>
            </w:r>
          </w:p>
        </w:tc>
        <w:tc>
          <w:tcPr>
            <w:tcW w:w="509" w:type="pct"/>
            <w:gridSpan w:val="2"/>
          </w:tcPr>
          <w:p w:rsidR="005E4796" w:rsidRPr="00414040" w:rsidRDefault="005E4796" w:rsidP="00F979BD">
            <w:pPr>
              <w:keepNext/>
              <w:jc w:val="center"/>
              <w:rPr>
                <w:sz w:val="20"/>
              </w:rPr>
            </w:pPr>
          </w:p>
          <w:p w:rsidR="005E4796" w:rsidRPr="00414040" w:rsidRDefault="005E4796" w:rsidP="00F979BD">
            <w:pPr>
              <w:keepNext/>
              <w:jc w:val="center"/>
              <w:rPr>
                <w:sz w:val="20"/>
              </w:rPr>
            </w:pPr>
            <w:r w:rsidRPr="00414040">
              <w:rPr>
                <w:sz w:val="20"/>
              </w:rPr>
              <w:t>1</w:t>
            </w:r>
          </w:p>
          <w:p w:rsidR="005E4796" w:rsidRPr="00414040" w:rsidRDefault="005E4796" w:rsidP="00F979BD">
            <w:pPr>
              <w:keepNext/>
              <w:jc w:val="center"/>
              <w:rPr>
                <w:sz w:val="20"/>
              </w:rPr>
            </w:pPr>
          </w:p>
          <w:p w:rsidR="005E4796" w:rsidRPr="00414040" w:rsidRDefault="005E4796" w:rsidP="00F979BD">
            <w:pPr>
              <w:keepNext/>
              <w:jc w:val="center"/>
              <w:rPr>
                <w:sz w:val="20"/>
              </w:rPr>
            </w:pPr>
          </w:p>
          <w:p w:rsidR="005E4796" w:rsidRPr="00414040" w:rsidRDefault="005E4796" w:rsidP="00F979BD">
            <w:pPr>
              <w:keepNext/>
              <w:jc w:val="center"/>
              <w:rPr>
                <w:sz w:val="20"/>
              </w:rPr>
            </w:pPr>
          </w:p>
          <w:p w:rsidR="005E4796" w:rsidRPr="00414040" w:rsidRDefault="005E4796" w:rsidP="00F979BD">
            <w:pPr>
              <w:keepNext/>
              <w:jc w:val="center"/>
              <w:rPr>
                <w:sz w:val="20"/>
              </w:rPr>
            </w:pPr>
            <w:r w:rsidRPr="00414040">
              <w:rPr>
                <w:sz w:val="20"/>
              </w:rPr>
              <w:t>2</w:t>
            </w:r>
          </w:p>
        </w:tc>
        <w:tc>
          <w:tcPr>
            <w:tcW w:w="471" w:type="pct"/>
          </w:tcPr>
          <w:p w:rsidR="005E4796" w:rsidRPr="00414040" w:rsidRDefault="005E4796" w:rsidP="00F979BD">
            <w:pPr>
              <w:keepNext/>
              <w:jc w:val="center"/>
              <w:rPr>
                <w:sz w:val="20"/>
              </w:rPr>
            </w:pPr>
          </w:p>
          <w:p w:rsidR="005E4796" w:rsidRPr="00414040" w:rsidRDefault="005E4796" w:rsidP="00F979BD">
            <w:pPr>
              <w:keepNext/>
              <w:jc w:val="center"/>
              <w:rPr>
                <w:sz w:val="20"/>
              </w:rPr>
            </w:pPr>
            <w:r w:rsidRPr="00414040">
              <w:rPr>
                <w:sz w:val="20"/>
              </w:rPr>
              <w:t>0</w:t>
            </w:r>
          </w:p>
          <w:p w:rsidR="005E4796" w:rsidRPr="00414040" w:rsidRDefault="005E4796" w:rsidP="00F979BD">
            <w:pPr>
              <w:keepNext/>
              <w:jc w:val="center"/>
              <w:rPr>
                <w:sz w:val="20"/>
              </w:rPr>
            </w:pPr>
          </w:p>
          <w:p w:rsidR="005E4796" w:rsidRPr="00414040" w:rsidRDefault="005E4796" w:rsidP="00F979BD">
            <w:pPr>
              <w:keepNext/>
              <w:jc w:val="center"/>
              <w:rPr>
                <w:sz w:val="20"/>
              </w:rPr>
            </w:pPr>
          </w:p>
          <w:p w:rsidR="005E4796" w:rsidRPr="00414040" w:rsidRDefault="005E4796" w:rsidP="00F979BD">
            <w:pPr>
              <w:keepNext/>
              <w:jc w:val="center"/>
              <w:rPr>
                <w:sz w:val="20"/>
              </w:rPr>
            </w:pPr>
          </w:p>
          <w:p w:rsidR="005E4796" w:rsidRPr="00414040" w:rsidRDefault="005E4796" w:rsidP="00F979BD">
            <w:pPr>
              <w:keepNext/>
              <w:jc w:val="center"/>
              <w:rPr>
                <w:sz w:val="20"/>
              </w:rPr>
            </w:pPr>
            <w:r w:rsidRPr="00414040">
              <w:rPr>
                <w:sz w:val="20"/>
              </w:rPr>
              <w:t>0</w:t>
            </w:r>
          </w:p>
        </w:tc>
        <w:tc>
          <w:tcPr>
            <w:tcW w:w="595" w:type="pct"/>
            <w:vMerge w:val="restart"/>
            <w:vAlign w:val="center"/>
          </w:tcPr>
          <w:p w:rsidR="005E4796" w:rsidRPr="00414040" w:rsidRDefault="005E4796" w:rsidP="00F979BD">
            <w:pPr>
              <w:keepNext/>
              <w:jc w:val="center"/>
              <w:rPr>
                <w:sz w:val="20"/>
              </w:rPr>
            </w:pPr>
            <w:r w:rsidRPr="00414040">
              <w:rPr>
                <w:sz w:val="20"/>
              </w:rPr>
              <w:t>Stelara®</w:t>
            </w:r>
          </w:p>
        </w:tc>
        <w:tc>
          <w:tcPr>
            <w:tcW w:w="1555" w:type="pct"/>
            <w:vMerge w:val="restart"/>
            <w:vAlign w:val="center"/>
          </w:tcPr>
          <w:p w:rsidR="005E4796" w:rsidRPr="00414040" w:rsidRDefault="005E4796" w:rsidP="00F979BD">
            <w:pPr>
              <w:keepNext/>
              <w:jc w:val="center"/>
              <w:rPr>
                <w:sz w:val="20"/>
              </w:rPr>
            </w:pPr>
            <w:r w:rsidRPr="00414040">
              <w:rPr>
                <w:sz w:val="20"/>
              </w:rPr>
              <w:t>Janssen Cilag</w:t>
            </w:r>
          </w:p>
        </w:tc>
      </w:tr>
      <w:tr w:rsidR="005E4796" w:rsidRPr="00414040" w:rsidTr="005E4796">
        <w:trPr>
          <w:cantSplit/>
          <w:trHeight w:val="80"/>
        </w:trPr>
        <w:tc>
          <w:tcPr>
            <w:tcW w:w="1870" w:type="pct"/>
            <w:gridSpan w:val="4"/>
          </w:tcPr>
          <w:p w:rsidR="005E4796" w:rsidRPr="00414040" w:rsidRDefault="005E4796" w:rsidP="00F979BD">
            <w:pPr>
              <w:keepNext/>
              <w:rPr>
                <w:b/>
                <w:bCs/>
                <w:smallCaps/>
                <w:sz w:val="20"/>
              </w:rPr>
            </w:pPr>
          </w:p>
        </w:tc>
        <w:tc>
          <w:tcPr>
            <w:tcW w:w="509" w:type="pct"/>
            <w:gridSpan w:val="2"/>
          </w:tcPr>
          <w:p w:rsidR="005E4796" w:rsidRPr="00414040" w:rsidRDefault="005E4796" w:rsidP="00F979BD">
            <w:pPr>
              <w:keepNext/>
              <w:jc w:val="center"/>
              <w:rPr>
                <w:sz w:val="20"/>
              </w:rPr>
            </w:pPr>
          </w:p>
        </w:tc>
        <w:tc>
          <w:tcPr>
            <w:tcW w:w="471" w:type="pct"/>
          </w:tcPr>
          <w:p w:rsidR="005E4796" w:rsidRPr="00414040" w:rsidRDefault="005E4796" w:rsidP="00F979BD">
            <w:pPr>
              <w:keepNext/>
              <w:jc w:val="center"/>
              <w:rPr>
                <w:sz w:val="20"/>
              </w:rPr>
            </w:pPr>
          </w:p>
        </w:tc>
        <w:tc>
          <w:tcPr>
            <w:tcW w:w="595" w:type="pct"/>
            <w:vMerge/>
          </w:tcPr>
          <w:p w:rsidR="005E4796" w:rsidRPr="00414040" w:rsidRDefault="005E4796" w:rsidP="00F979BD">
            <w:pPr>
              <w:keepNext/>
              <w:jc w:val="center"/>
              <w:rPr>
                <w:sz w:val="20"/>
              </w:rPr>
            </w:pPr>
          </w:p>
        </w:tc>
        <w:tc>
          <w:tcPr>
            <w:tcW w:w="1555" w:type="pct"/>
            <w:vMerge/>
          </w:tcPr>
          <w:p w:rsidR="005E4796" w:rsidRPr="00414040" w:rsidRDefault="005E4796" w:rsidP="00F979BD">
            <w:pPr>
              <w:keepNext/>
              <w:jc w:val="center"/>
              <w:rPr>
                <w:sz w:val="20"/>
              </w:rPr>
            </w:pPr>
          </w:p>
        </w:tc>
      </w:tr>
      <w:tr w:rsidR="005E4796" w:rsidRPr="00414040" w:rsidTr="005E4796">
        <w:trPr>
          <w:gridAfter w:val="4"/>
          <w:wAfter w:w="2852" w:type="pct"/>
          <w:cantSplit/>
          <w:trHeight w:val="317"/>
        </w:trPr>
        <w:tc>
          <w:tcPr>
            <w:tcW w:w="595" w:type="pct"/>
            <w:gridSpan w:val="2"/>
            <w:hideMark/>
          </w:tcPr>
          <w:p w:rsidR="005E4796" w:rsidRPr="00414040" w:rsidRDefault="005E4796" w:rsidP="006444E6">
            <w:pPr>
              <w:keepNext/>
              <w:jc w:val="center"/>
              <w:rPr>
                <w:sz w:val="20"/>
              </w:rPr>
            </w:pPr>
          </w:p>
        </w:tc>
        <w:tc>
          <w:tcPr>
            <w:tcW w:w="1554" w:type="pct"/>
            <w:gridSpan w:val="3"/>
            <w:hideMark/>
          </w:tcPr>
          <w:p w:rsidR="005E4796" w:rsidRPr="00414040" w:rsidRDefault="005E4796" w:rsidP="006444E6">
            <w:pPr>
              <w:keepNext/>
              <w:jc w:val="center"/>
              <w:rPr>
                <w:sz w:val="20"/>
              </w:rPr>
            </w:pP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 xml:space="preserve">Category / </w:t>
            </w:r>
          </w:p>
          <w:p w:rsidR="005E4796" w:rsidRPr="00260CE3" w:rsidRDefault="005E4796" w:rsidP="00E0286A">
            <w:pPr>
              <w:rPr>
                <w:rFonts w:ascii="Arial Narrow" w:hAnsi="Arial Narrow"/>
                <w:b/>
                <w:sz w:val="20"/>
              </w:rPr>
            </w:pPr>
            <w:r w:rsidRPr="00260CE3">
              <w:rPr>
                <w:rFonts w:ascii="Arial Narrow" w:hAnsi="Arial Narrow"/>
                <w:b/>
                <w:sz w:val="20"/>
              </w:rPr>
              <w:t>Program</w:t>
            </w: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r w:rsidRPr="00260CE3">
              <w:rPr>
                <w:rFonts w:ascii="Arial Narrow" w:hAnsi="Arial Narrow"/>
                <w:sz w:val="20"/>
              </w:rPr>
              <w:t>GENERAL – General Schedule (Code GE)</w:t>
            </w:r>
          </w:p>
          <w:p w:rsidR="005E4796" w:rsidRPr="00260CE3" w:rsidRDefault="005E4796" w:rsidP="00E0286A">
            <w:pPr>
              <w:rPr>
                <w:rFonts w:ascii="Arial Narrow" w:hAnsi="Arial Narrow"/>
                <w:sz w:val="20"/>
              </w:rPr>
            </w:pPr>
            <w:r w:rsidRPr="00260CE3">
              <w:rPr>
                <w:rFonts w:ascii="Arial Narrow" w:hAnsi="Arial Narrow"/>
                <w:sz w:val="20"/>
              </w:rPr>
              <w:t>Section 100 – Highly Specialised Drugs Program</w:t>
            </w:r>
          </w:p>
          <w:p w:rsidR="005E4796" w:rsidRPr="00260CE3" w:rsidRDefault="005E4796" w:rsidP="00E0286A">
            <w:pPr>
              <w:rPr>
                <w:rFonts w:ascii="Arial Narrow" w:hAnsi="Arial Narrow"/>
                <w:sz w:val="20"/>
              </w:rPr>
            </w:pP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Prescriber type:</w:t>
            </w: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E4796" w:rsidRPr="00260CE3" w:rsidRDefault="005E4796" w:rsidP="00E0286A">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Condition:</w:t>
            </w: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r w:rsidRPr="00DF7453">
              <w:rPr>
                <w:rFonts w:ascii="Arial Narrow" w:hAnsi="Arial Narrow"/>
                <w:b/>
                <w:sz w:val="20"/>
              </w:rPr>
              <w:t>Severe Crohn disease</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PBS Indication:</w:t>
            </w: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r w:rsidRPr="00DF7453">
              <w:rPr>
                <w:rFonts w:ascii="Arial Narrow" w:hAnsi="Arial Narrow"/>
                <w:b/>
                <w:sz w:val="20"/>
              </w:rPr>
              <w:t>Severe Crohn disease</w:t>
            </w:r>
            <w:r>
              <w:rPr>
                <w:rFonts w:ascii="Arial Narrow" w:hAnsi="Arial Narrow"/>
                <w:b/>
                <w:sz w:val="20"/>
              </w:rPr>
              <w:t xml:space="preserve"> </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Treatment phase:</w:t>
            </w:r>
          </w:p>
          <w:p w:rsidR="005E4796" w:rsidRPr="00260CE3" w:rsidRDefault="005E4796" w:rsidP="00E0286A">
            <w:pPr>
              <w:rPr>
                <w:rFonts w:ascii="Arial Narrow" w:hAnsi="Arial Narrow"/>
                <w:i/>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r w:rsidRPr="00DF7453">
              <w:rPr>
                <w:rFonts w:ascii="Arial Narrow" w:hAnsi="Arial Narrow"/>
                <w:b/>
                <w:sz w:val="20"/>
              </w:rPr>
              <w:t>Initial treatment (new patient – initial 1)</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5E4796" w:rsidRPr="00260CE3" w:rsidRDefault="005E4796" w:rsidP="00E0286A">
            <w:pPr>
              <w:rPr>
                <w:rFonts w:ascii="Arial Narrow" w:hAnsi="Arial Narrow"/>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5E4796" w:rsidRPr="00106BCF" w:rsidRDefault="005E4796" w:rsidP="00E0286A">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5E4796" w:rsidRPr="00106BCF" w:rsidRDefault="005E4796" w:rsidP="00E0286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5E4796" w:rsidRPr="00224CFD" w:rsidRDefault="00224CFD" w:rsidP="00E0286A">
            <w:pPr>
              <w:rPr>
                <w:rFonts w:ascii="Arial Narrow" w:hAnsi="Arial Narrow"/>
                <w:sz w:val="20"/>
              </w:rPr>
            </w:pPr>
            <w:r w:rsidRPr="00224CFD">
              <w:rPr>
                <w:rFonts w:ascii="Arial Narrow" w:hAnsi="Arial Narrow"/>
                <w:sz w:val="20"/>
              </w:rPr>
              <w:fldChar w:fldCharType="begin">
                <w:ffData>
                  <w:name w:val="Check3"/>
                  <w:enabled/>
                  <w:calcOnExit w:val="0"/>
                  <w:checkBox>
                    <w:sizeAuto/>
                    <w:default w:val="0"/>
                  </w:checkBox>
                </w:ffData>
              </w:fldChar>
            </w:r>
            <w:r w:rsidRPr="00224CFD">
              <w:rPr>
                <w:rFonts w:ascii="Arial Narrow" w:hAnsi="Arial Narrow"/>
                <w:sz w:val="20"/>
              </w:rPr>
              <w:instrText xml:space="preserve"> </w:instrText>
            </w:r>
            <w:bookmarkStart w:id="33" w:name="Check3"/>
            <w:r w:rsidRPr="00224CFD">
              <w:rPr>
                <w:rFonts w:ascii="Arial Narrow" w:hAnsi="Arial Narrow"/>
                <w:sz w:val="20"/>
              </w:rPr>
              <w:instrText xml:space="preserve">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bookmarkEnd w:id="33"/>
            <w:r w:rsidR="005E4796" w:rsidRPr="00224CFD">
              <w:rPr>
                <w:rFonts w:ascii="Arial Narrow" w:hAnsi="Arial Narrow"/>
                <w:sz w:val="20"/>
              </w:rPr>
              <w:t>Authority Required - Telephone</w:t>
            </w:r>
          </w:p>
          <w:p w:rsidR="005E4796" w:rsidRPr="00224CFD" w:rsidRDefault="00224CFD" w:rsidP="00E0286A">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5E4796" w:rsidRPr="00224CFD">
              <w:rPr>
                <w:rFonts w:ascii="Arial Narrow" w:hAnsi="Arial Narrow"/>
                <w:sz w:val="20"/>
              </w:rPr>
              <w:t>Authority Required – Emergency</w:t>
            </w:r>
          </w:p>
          <w:p w:rsidR="005E4796" w:rsidRPr="00106BCF" w:rsidRDefault="00224CFD" w:rsidP="00E0286A">
            <w:pPr>
              <w:rPr>
                <w:rFonts w:ascii="Arial Narrow" w:hAnsi="Arial Narrow"/>
                <w:sz w:val="20"/>
              </w:rPr>
            </w:pPr>
            <w:r w:rsidRPr="00224CFD">
              <w:rPr>
                <w:rFonts w:ascii="Arial Narrow" w:hAnsi="Arial Narrow"/>
                <w:sz w:val="20"/>
              </w:rPr>
              <w:fldChar w:fldCharType="begin">
                <w:ffData>
                  <w:name w:val="Check5"/>
                  <w:enabled/>
                  <w:calcOnExit w:val="0"/>
                  <w:checkBox>
                    <w:sizeAuto/>
                    <w:default w:val="0"/>
                  </w:checkBox>
                </w:ffData>
              </w:fldChar>
            </w:r>
            <w:r w:rsidRPr="00224CFD">
              <w:rPr>
                <w:rFonts w:ascii="Arial Narrow" w:hAnsi="Arial Narrow"/>
                <w:sz w:val="20"/>
              </w:rPr>
              <w:instrText xml:space="preserve"> </w:instrText>
            </w:r>
            <w:bookmarkStart w:id="34" w:name="Check5"/>
            <w:r w:rsidRPr="00224CFD">
              <w:rPr>
                <w:rFonts w:ascii="Arial Narrow" w:hAnsi="Arial Narrow"/>
                <w:sz w:val="20"/>
              </w:rPr>
              <w:instrText xml:space="preserve">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bookmarkEnd w:id="34"/>
            <w:r w:rsidR="005E4796" w:rsidRPr="00224CFD">
              <w:rPr>
                <w:rFonts w:ascii="Arial Narrow" w:hAnsi="Arial Narrow"/>
                <w:sz w:val="20"/>
              </w:rPr>
              <w:t>Authority Required - Electronic</w:t>
            </w:r>
          </w:p>
          <w:p w:rsidR="005E4796" w:rsidRPr="00260CE3" w:rsidRDefault="005E4796" w:rsidP="00E0286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Pr>
                <w:rFonts w:ascii="Arial Narrow" w:hAnsi="Arial Narrow"/>
                <w:b/>
                <w:sz w:val="20"/>
              </w:rPr>
              <w:t>Treatment criteria:</w:t>
            </w:r>
          </w:p>
        </w:tc>
        <w:tc>
          <w:tcPr>
            <w:tcW w:w="3547" w:type="pct"/>
            <w:gridSpan w:val="6"/>
            <w:tcBorders>
              <w:top w:val="single" w:sz="4" w:space="0" w:color="auto"/>
              <w:left w:val="single" w:sz="4" w:space="0" w:color="auto"/>
              <w:bottom w:val="single" w:sz="4" w:space="0" w:color="auto"/>
              <w:right w:val="single" w:sz="4" w:space="0" w:color="auto"/>
            </w:tcBorders>
          </w:tcPr>
          <w:p w:rsidR="00E0286A" w:rsidRPr="00DF7453" w:rsidRDefault="00E0286A" w:rsidP="00E0286A">
            <w:pPr>
              <w:rPr>
                <w:rFonts w:ascii="Arial Narrow" w:hAnsi="Arial Narrow"/>
                <w:sz w:val="20"/>
              </w:rPr>
            </w:pPr>
            <w:r w:rsidRPr="00DF7453">
              <w:rPr>
                <w:rFonts w:ascii="Arial Narrow" w:hAnsi="Arial Narrow"/>
                <w:sz w:val="20"/>
              </w:rPr>
              <w:t>Must be treated by a gastroenterologist (code 87); OR</w:t>
            </w:r>
          </w:p>
          <w:p w:rsidR="00E0286A" w:rsidRPr="00DF7453" w:rsidRDefault="00E0286A" w:rsidP="00E0286A">
            <w:pPr>
              <w:rPr>
                <w:rFonts w:ascii="Arial Narrow" w:hAnsi="Arial Narrow"/>
                <w:sz w:val="20"/>
              </w:rPr>
            </w:pPr>
            <w:r w:rsidRPr="00DF7453">
              <w:rPr>
                <w:rFonts w:ascii="Arial Narrow" w:hAnsi="Arial Narrow"/>
                <w:sz w:val="20"/>
              </w:rPr>
              <w:t>Must be treated by a  consultant physician [internal medicine specialising in gastroenterology (code 81)]; OR</w:t>
            </w:r>
          </w:p>
          <w:p w:rsidR="005E4796" w:rsidRPr="00106BCF" w:rsidRDefault="00E0286A" w:rsidP="00E0286A">
            <w:pPr>
              <w:rPr>
                <w:rFonts w:ascii="Arial Narrow" w:hAnsi="Arial Narrow"/>
                <w:sz w:val="20"/>
              </w:rPr>
            </w:pPr>
            <w:r w:rsidRPr="00DF7453">
              <w:rPr>
                <w:rFonts w:ascii="Arial Narrow" w:hAnsi="Arial Narrow"/>
                <w:sz w:val="20"/>
              </w:rPr>
              <w:t>Must be treated by a consultant physician [general medicine specialising in gastroenterology (code 82)].</w:t>
            </w: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487776">
            <w:pPr>
              <w:rPr>
                <w:rFonts w:ascii="Arial Narrow" w:hAnsi="Arial Narrow"/>
                <w:b/>
                <w:sz w:val="20"/>
              </w:rPr>
            </w:pPr>
            <w:r w:rsidRPr="00260CE3">
              <w:rPr>
                <w:rFonts w:ascii="Arial Narrow" w:hAnsi="Arial Narrow"/>
                <w:b/>
                <w:sz w:val="20"/>
              </w:rPr>
              <w:t>Clinical criteria:</w:t>
            </w:r>
          </w:p>
          <w:p w:rsidR="005E4796" w:rsidRPr="00260CE3" w:rsidRDefault="005E4796" w:rsidP="00E0286A">
            <w:pPr>
              <w:rPr>
                <w:rFonts w:ascii="Arial Narrow" w:hAnsi="Arial Narrow"/>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5E4796" w:rsidRPr="00DF7453" w:rsidRDefault="005E4796" w:rsidP="00E0286A">
            <w:pPr>
              <w:rPr>
                <w:rFonts w:ascii="Arial Narrow" w:hAnsi="Arial Narrow"/>
                <w:sz w:val="20"/>
              </w:rPr>
            </w:pPr>
            <w:r w:rsidRPr="00DF7453">
              <w:rPr>
                <w:rFonts w:ascii="Arial Narrow" w:hAnsi="Arial Narrow"/>
                <w:sz w:val="20"/>
              </w:rPr>
              <w:t xml:space="preserve">Patient must have confirmed severe Crohn disease, defined by standard clinical, endoscopic and/or imaging features, including histological evidence, with the diagnosis confirmed by a gastroenterologist or a consultant physician, </w:t>
            </w:r>
          </w:p>
          <w:p w:rsidR="00861ACE" w:rsidRDefault="00861ACE" w:rsidP="00E0286A">
            <w:pPr>
              <w:rPr>
                <w:rFonts w:ascii="Arial Narrow" w:hAnsi="Arial Narrow"/>
                <w:sz w:val="20"/>
              </w:rPr>
            </w:pPr>
          </w:p>
          <w:p w:rsidR="005E4796" w:rsidRPr="00DF7453" w:rsidRDefault="005E4796" w:rsidP="00E0286A">
            <w:pPr>
              <w:rPr>
                <w:rFonts w:ascii="Arial Narrow" w:hAnsi="Arial Narrow"/>
                <w:sz w:val="20"/>
              </w:rPr>
            </w:pPr>
            <w:r w:rsidRPr="00DF7453">
              <w:rPr>
                <w:rFonts w:ascii="Arial Narrow" w:hAnsi="Arial Narrow"/>
                <w:sz w:val="20"/>
              </w:rPr>
              <w:t>AND</w:t>
            </w:r>
          </w:p>
          <w:p w:rsidR="005E4796" w:rsidRPr="00DF7453" w:rsidRDefault="005E4796" w:rsidP="00E0286A">
            <w:pPr>
              <w:rPr>
                <w:rFonts w:ascii="Arial Narrow" w:hAnsi="Arial Narrow"/>
                <w:sz w:val="20"/>
              </w:rPr>
            </w:pPr>
            <w:r w:rsidRPr="00DF7453">
              <w:rPr>
                <w:rFonts w:ascii="Arial Narrow" w:hAnsi="Arial Narrow"/>
                <w:sz w:val="20"/>
              </w:rPr>
              <w:t xml:space="preserve">Patient must have failed to achieve an adequate response to prior systemic therapy with a tapered course of steroids, starting at a dose of at least 40 mg prednisolone (or equivalent), over a 6 week period; OR </w:t>
            </w:r>
          </w:p>
          <w:p w:rsidR="005E4796" w:rsidRPr="00DF7453" w:rsidRDefault="005E4796" w:rsidP="00E0286A">
            <w:pPr>
              <w:rPr>
                <w:rFonts w:ascii="Arial Narrow" w:hAnsi="Arial Narrow"/>
                <w:sz w:val="20"/>
              </w:rPr>
            </w:pPr>
            <w:r w:rsidRPr="00DF7453">
              <w:rPr>
                <w:rFonts w:ascii="Arial Narrow" w:hAnsi="Arial Narrow"/>
                <w:sz w:val="20"/>
              </w:rPr>
              <w:t xml:space="preserve">Patient must have a documented intolerance of a severity necessitating permanent treatment withdrawal or a contraindication to steroids, </w:t>
            </w:r>
          </w:p>
          <w:p w:rsidR="00861ACE" w:rsidRDefault="00861ACE" w:rsidP="00E0286A">
            <w:pPr>
              <w:rPr>
                <w:rFonts w:ascii="Arial Narrow" w:hAnsi="Arial Narrow"/>
                <w:sz w:val="20"/>
              </w:rPr>
            </w:pPr>
          </w:p>
          <w:p w:rsidR="005E4796" w:rsidRPr="00DF7453" w:rsidRDefault="005E4796" w:rsidP="00E0286A">
            <w:pPr>
              <w:rPr>
                <w:rFonts w:ascii="Arial Narrow" w:hAnsi="Arial Narrow"/>
                <w:sz w:val="20"/>
              </w:rPr>
            </w:pPr>
            <w:r w:rsidRPr="00DF7453">
              <w:rPr>
                <w:rFonts w:ascii="Arial Narrow" w:hAnsi="Arial Narrow"/>
                <w:sz w:val="20"/>
              </w:rPr>
              <w:t>AND</w:t>
            </w:r>
          </w:p>
          <w:p w:rsidR="005E4796" w:rsidRPr="00DF7453" w:rsidRDefault="005E4796" w:rsidP="00E0286A">
            <w:pPr>
              <w:rPr>
                <w:rFonts w:ascii="Arial Narrow" w:hAnsi="Arial Narrow"/>
                <w:sz w:val="20"/>
              </w:rPr>
            </w:pPr>
            <w:r w:rsidRPr="00DF7453">
              <w:rPr>
                <w:rFonts w:ascii="Arial Narrow" w:hAnsi="Arial Narrow"/>
                <w:sz w:val="20"/>
              </w:rPr>
              <w:t xml:space="preserve">Patient must have failed to achieve adequate response to prior systemic immunosuppressive therapy with azathioprine at a dose of at least 2 mg per kg daily for 3 or more months or have a documented intolerance of a severity necessitating permanent treatment withdrawal or a contraindication to this drug; OR </w:t>
            </w:r>
          </w:p>
          <w:p w:rsidR="00861ACE" w:rsidRDefault="00861ACE" w:rsidP="00E0286A">
            <w:pPr>
              <w:rPr>
                <w:rFonts w:ascii="Arial Narrow" w:hAnsi="Arial Narrow"/>
                <w:sz w:val="20"/>
              </w:rPr>
            </w:pPr>
          </w:p>
          <w:p w:rsidR="005E4796" w:rsidRPr="00DF7453" w:rsidRDefault="005E4796" w:rsidP="00E0286A">
            <w:pPr>
              <w:rPr>
                <w:rFonts w:ascii="Arial Narrow" w:hAnsi="Arial Narrow"/>
                <w:sz w:val="20"/>
              </w:rPr>
            </w:pPr>
            <w:r w:rsidRPr="00DF7453">
              <w:rPr>
                <w:rFonts w:ascii="Arial Narrow" w:hAnsi="Arial Narrow"/>
                <w:sz w:val="20"/>
              </w:rPr>
              <w:t xml:space="preserve">Patient must have failed to achieve adequate response to prior systemic immunosuppressive therapy with 6-mercaptopurine at a dose of at least 1 mg per kg daily for 3 or more months or have a documented intolerance of a severity necessitating permanent treatment withdrawal or a contraindication to this drug; OR </w:t>
            </w:r>
          </w:p>
          <w:p w:rsidR="00861ACE" w:rsidRDefault="00861ACE" w:rsidP="00E0286A">
            <w:pPr>
              <w:rPr>
                <w:rFonts w:ascii="Arial Narrow" w:hAnsi="Arial Narrow"/>
                <w:sz w:val="20"/>
              </w:rPr>
            </w:pPr>
          </w:p>
          <w:p w:rsidR="005E4796" w:rsidRDefault="005E4796" w:rsidP="00E0286A">
            <w:pPr>
              <w:rPr>
                <w:rFonts w:ascii="Arial Narrow" w:hAnsi="Arial Narrow"/>
                <w:sz w:val="20"/>
              </w:rPr>
            </w:pPr>
            <w:r w:rsidRPr="00DF7453">
              <w:rPr>
                <w:rFonts w:ascii="Arial Narrow" w:hAnsi="Arial Narrow"/>
                <w:sz w:val="20"/>
              </w:rPr>
              <w:t xml:space="preserve">Patient must have failed to achieve adequate response to prior systemic immunosuppressive therapy with methotrexate at a dose of at least 15 mg weekly for 3 or more months or have a documented intolerance of a severity necessitating permanent treatment withdrawal or a contraindication to this drug, </w:t>
            </w:r>
          </w:p>
          <w:p w:rsidR="00E0286A" w:rsidRPr="00DF7453" w:rsidRDefault="00E0286A" w:rsidP="00E0286A">
            <w:pPr>
              <w:rPr>
                <w:rFonts w:ascii="Arial Narrow" w:hAnsi="Arial Narrow"/>
                <w:sz w:val="20"/>
              </w:rPr>
            </w:pPr>
          </w:p>
          <w:p w:rsidR="005E4796" w:rsidRDefault="005E4796" w:rsidP="00E0286A">
            <w:pPr>
              <w:rPr>
                <w:rFonts w:ascii="Arial Narrow" w:hAnsi="Arial Narrow"/>
                <w:sz w:val="20"/>
              </w:rPr>
            </w:pPr>
            <w:r w:rsidRPr="00DF7453">
              <w:rPr>
                <w:rFonts w:ascii="Arial Narrow" w:hAnsi="Arial Narrow"/>
                <w:sz w:val="20"/>
              </w:rPr>
              <w:t>AND</w:t>
            </w:r>
          </w:p>
          <w:p w:rsidR="005E4796" w:rsidRDefault="005E4796" w:rsidP="00E0286A">
            <w:pPr>
              <w:rPr>
                <w:rFonts w:ascii="Arial Narrow" w:hAnsi="Arial Narrow"/>
                <w:sz w:val="20"/>
              </w:rPr>
            </w:pPr>
            <w:r w:rsidRPr="00DF7453">
              <w:rPr>
                <w:rFonts w:ascii="Arial Narrow" w:hAnsi="Arial Narrow"/>
                <w:sz w:val="20"/>
              </w:rPr>
              <w:t xml:space="preserve">Patient must have severity of disease activity which results in a Crohn Disease Activity Index (CDAI) Score greater than or equal to 220 if affected by extensive small intestine disease; OR </w:t>
            </w:r>
          </w:p>
          <w:p w:rsidR="00E0286A" w:rsidRPr="00DF7453" w:rsidRDefault="00E0286A" w:rsidP="00E0286A">
            <w:pPr>
              <w:rPr>
                <w:rFonts w:ascii="Arial Narrow" w:hAnsi="Arial Narrow"/>
                <w:sz w:val="20"/>
              </w:rPr>
            </w:pPr>
          </w:p>
          <w:p w:rsidR="005E4796" w:rsidRDefault="005E4796" w:rsidP="00E0286A">
            <w:pPr>
              <w:rPr>
                <w:rFonts w:ascii="Arial Narrow" w:hAnsi="Arial Narrow"/>
                <w:sz w:val="20"/>
              </w:rPr>
            </w:pPr>
            <w:r w:rsidRPr="00DF7453">
              <w:rPr>
                <w:rFonts w:ascii="Arial Narrow" w:hAnsi="Arial Narrow"/>
                <w:sz w:val="20"/>
              </w:rPr>
              <w:t xml:space="preserve">Patient must have severity of disease activity which results in a Crohn Disease Activity Index (CDAI) Score greater than or equal to 300 if not affected by extensive small intestine disease, short gut syndrome or is an ostomy patient, </w:t>
            </w:r>
          </w:p>
          <w:p w:rsidR="00E0286A" w:rsidRPr="00DF7453" w:rsidRDefault="00E0286A" w:rsidP="00E0286A">
            <w:pPr>
              <w:rPr>
                <w:rFonts w:ascii="Arial Narrow" w:hAnsi="Arial Narrow"/>
                <w:sz w:val="20"/>
              </w:rPr>
            </w:pPr>
          </w:p>
          <w:p w:rsidR="005E4796" w:rsidRDefault="005E4796" w:rsidP="00E0286A">
            <w:pPr>
              <w:rPr>
                <w:rFonts w:ascii="Arial Narrow" w:hAnsi="Arial Narrow"/>
                <w:sz w:val="20"/>
              </w:rPr>
            </w:pPr>
            <w:r w:rsidRPr="00DF7453">
              <w:rPr>
                <w:rFonts w:ascii="Arial Narrow" w:hAnsi="Arial Narrow"/>
                <w:sz w:val="20"/>
              </w:rPr>
              <w:t>AND</w:t>
            </w:r>
          </w:p>
          <w:p w:rsidR="005E4796" w:rsidRDefault="005E4796" w:rsidP="00E0286A">
            <w:pPr>
              <w:rPr>
                <w:rFonts w:ascii="Arial Narrow" w:hAnsi="Arial Narrow"/>
                <w:sz w:val="20"/>
              </w:rPr>
            </w:pPr>
            <w:r w:rsidRPr="00DF7453">
              <w:rPr>
                <w:rFonts w:ascii="Arial Narrow" w:hAnsi="Arial Narrow"/>
                <w:sz w:val="20"/>
              </w:rPr>
              <w:t xml:space="preserve">Patient must have evidence of intestinal inflammation and have diagnostic imaging or surgical evidence of short gut syndrome if affected by the syndrome or has an ileostomy or colostomy; OR </w:t>
            </w:r>
          </w:p>
          <w:p w:rsidR="00E0286A" w:rsidRPr="00DF7453" w:rsidRDefault="00E0286A" w:rsidP="00E0286A">
            <w:pPr>
              <w:rPr>
                <w:rFonts w:ascii="Arial Narrow" w:hAnsi="Arial Narrow"/>
                <w:sz w:val="20"/>
              </w:rPr>
            </w:pPr>
          </w:p>
          <w:p w:rsidR="005E4796" w:rsidRDefault="005E4796" w:rsidP="00E0286A">
            <w:pPr>
              <w:rPr>
                <w:rFonts w:ascii="Arial Narrow" w:hAnsi="Arial Narrow"/>
                <w:sz w:val="20"/>
              </w:rPr>
            </w:pPr>
            <w:r w:rsidRPr="00DF7453">
              <w:rPr>
                <w:rFonts w:ascii="Arial Narrow" w:hAnsi="Arial Narrow"/>
                <w:sz w:val="20"/>
              </w:rPr>
              <w:t>Patient must have radiological evidence of intestinal inflammation if the patient has extensive small intestinal disease affecting more than 50 cm of the small intestine; OR</w:t>
            </w:r>
          </w:p>
          <w:p w:rsidR="00E0286A" w:rsidRPr="00DF7453" w:rsidRDefault="00E0286A" w:rsidP="00E0286A">
            <w:pPr>
              <w:rPr>
                <w:rFonts w:ascii="Arial Narrow" w:hAnsi="Arial Narrow"/>
                <w:sz w:val="20"/>
              </w:rPr>
            </w:pPr>
          </w:p>
          <w:p w:rsidR="005E4796" w:rsidRPr="00260CE3" w:rsidRDefault="005E4796" w:rsidP="00E0286A">
            <w:pPr>
              <w:rPr>
                <w:rFonts w:ascii="Arial Narrow" w:hAnsi="Arial Narrow"/>
                <w:sz w:val="20"/>
              </w:rPr>
            </w:pPr>
            <w:r w:rsidRPr="00DF7453">
              <w:rPr>
                <w:rFonts w:ascii="Arial Narrow" w:hAnsi="Arial Narrow"/>
                <w:sz w:val="20"/>
              </w:rPr>
              <w:t>Patient must (a) have evidence of intestinal inflammation, including: (i)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 or (b) be assessed clinically as being in a high faecal output state; or (c) be assessed clinically as requiring surgery or total parenteral nutrition (TPN) as the next therapeutic option, in the absence of this drug, if affected by short gut syndrome, extensive small intestine disease or is an ostomy patient.</w:t>
            </w:r>
          </w:p>
          <w:p w:rsidR="005E4796" w:rsidRPr="00260CE3" w:rsidRDefault="005E4796" w:rsidP="00E0286A">
            <w:pPr>
              <w:rPr>
                <w:rFonts w:ascii="Arial Narrow" w:hAnsi="Arial Narrow"/>
                <w:sz w:val="20"/>
              </w:rPr>
            </w:pPr>
          </w:p>
          <w:p w:rsidR="005E4796" w:rsidRPr="00260CE3" w:rsidRDefault="005E4796" w:rsidP="00E0286A">
            <w:pPr>
              <w:rPr>
                <w:rFonts w:ascii="Arial Narrow" w:hAnsi="Arial Narrow"/>
                <w:sz w:val="20"/>
              </w:rPr>
            </w:pP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b/>
                <w:sz w:val="20"/>
              </w:rPr>
            </w:pPr>
            <w:r w:rsidRPr="00260CE3">
              <w:rPr>
                <w:rFonts w:ascii="Arial Narrow" w:hAnsi="Arial Narrow"/>
                <w:b/>
                <w:sz w:val="20"/>
              </w:rPr>
              <w:t>Population criteria:</w:t>
            </w:r>
          </w:p>
          <w:p w:rsidR="005E4796" w:rsidRPr="00260CE3" w:rsidRDefault="005E4796" w:rsidP="00E0286A">
            <w:pPr>
              <w:rPr>
                <w:rFonts w:ascii="Arial Narrow" w:hAnsi="Arial Narrow"/>
                <w:i/>
                <w:sz w:val="20"/>
              </w:rPr>
            </w:pPr>
          </w:p>
          <w:p w:rsidR="005E4796" w:rsidRPr="00260CE3" w:rsidRDefault="005E4796" w:rsidP="00E0286A">
            <w:pPr>
              <w:rPr>
                <w:rFonts w:ascii="Arial Narrow" w:hAnsi="Arial Narrow"/>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5E4796" w:rsidRPr="00260CE3" w:rsidRDefault="005E4796" w:rsidP="00E0286A">
            <w:pPr>
              <w:rPr>
                <w:rFonts w:ascii="Arial Narrow" w:hAnsi="Arial Narrow"/>
                <w:sz w:val="20"/>
              </w:rPr>
            </w:pPr>
          </w:p>
          <w:p w:rsidR="005E4796" w:rsidRPr="00260CE3" w:rsidRDefault="005E4796" w:rsidP="00E0286A">
            <w:pPr>
              <w:rPr>
                <w:rFonts w:ascii="Arial Narrow" w:hAnsi="Arial Narrow"/>
                <w:sz w:val="20"/>
              </w:rPr>
            </w:pPr>
            <w:r w:rsidRPr="00DF7453">
              <w:rPr>
                <w:rFonts w:ascii="Arial Narrow" w:hAnsi="Arial Narrow"/>
                <w:sz w:val="20"/>
              </w:rPr>
              <w:t>Patient must be aged 18 years or older</w:t>
            </w:r>
          </w:p>
          <w:p w:rsidR="005E4796" w:rsidRPr="00260CE3" w:rsidRDefault="005E4796" w:rsidP="00E0286A">
            <w:pPr>
              <w:rPr>
                <w:rFonts w:ascii="Arial Narrow" w:hAnsi="Arial Narrow"/>
                <w:sz w:val="20"/>
              </w:rPr>
            </w:pP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5E4796">
            <w:pPr>
              <w:rPr>
                <w:rFonts w:ascii="Arial Narrow" w:hAnsi="Arial Narrow"/>
                <w:b/>
                <w:sz w:val="20"/>
              </w:rPr>
            </w:pPr>
            <w:r w:rsidRPr="00260CE3">
              <w:rPr>
                <w:rFonts w:ascii="Arial Narrow" w:hAnsi="Arial Narrow"/>
                <w:b/>
                <w:sz w:val="20"/>
              </w:rPr>
              <w:t>Prescriber Instructions</w:t>
            </w:r>
          </w:p>
          <w:p w:rsidR="005E4796" w:rsidRPr="00260CE3" w:rsidRDefault="005E4796" w:rsidP="00E0286A">
            <w:pPr>
              <w:rPr>
                <w:rFonts w:ascii="Arial Narrow" w:hAnsi="Arial Narrow"/>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E0286A" w:rsidRPr="00DF7453" w:rsidRDefault="00E0286A" w:rsidP="00E0286A">
            <w:pPr>
              <w:rPr>
                <w:rFonts w:ascii="Arial Narrow" w:hAnsi="Arial Narrow"/>
                <w:sz w:val="20"/>
              </w:rPr>
            </w:pPr>
            <w:r w:rsidRPr="00DF7453">
              <w:rPr>
                <w:rFonts w:ascii="Arial Narrow" w:hAnsi="Arial Narrow"/>
                <w:sz w:val="20"/>
              </w:rPr>
              <w:t>Applications for authorisation must be made in writing and must include:</w:t>
            </w:r>
          </w:p>
          <w:p w:rsidR="00E0286A" w:rsidRPr="00DF7453" w:rsidRDefault="00E0286A" w:rsidP="00E0286A">
            <w:pPr>
              <w:rPr>
                <w:rFonts w:ascii="Arial Narrow" w:hAnsi="Arial Narrow"/>
                <w:sz w:val="20"/>
              </w:rPr>
            </w:pPr>
            <w:r w:rsidRPr="00DF7453">
              <w:rPr>
                <w:rFonts w:ascii="Arial Narrow" w:hAnsi="Arial Narrow"/>
                <w:sz w:val="20"/>
              </w:rPr>
              <w:t>(a) two completed authority prescription forms; and</w:t>
            </w:r>
          </w:p>
          <w:p w:rsidR="00E0286A" w:rsidRPr="00DF7453" w:rsidRDefault="00E0286A" w:rsidP="00E0286A">
            <w:pPr>
              <w:rPr>
                <w:rFonts w:ascii="Arial Narrow" w:hAnsi="Arial Narrow"/>
                <w:sz w:val="20"/>
              </w:rPr>
            </w:pPr>
            <w:r w:rsidRPr="00DF7453">
              <w:rPr>
                <w:rFonts w:ascii="Arial Narrow" w:hAnsi="Arial Narrow"/>
                <w:sz w:val="20"/>
              </w:rPr>
              <w:t xml:space="preserve">(b) a completed Crohn Disease PBS Authority Application - Supporting Information Form which includes the following: </w:t>
            </w:r>
          </w:p>
          <w:p w:rsidR="00E0286A" w:rsidRPr="00DF7453" w:rsidRDefault="00E0286A" w:rsidP="00E0286A">
            <w:pPr>
              <w:rPr>
                <w:rFonts w:ascii="Arial Narrow" w:hAnsi="Arial Narrow"/>
                <w:sz w:val="20"/>
              </w:rPr>
            </w:pPr>
            <w:r w:rsidRPr="00DF7453">
              <w:rPr>
                <w:rFonts w:ascii="Arial Narrow" w:hAnsi="Arial Narrow"/>
                <w:sz w:val="20"/>
              </w:rPr>
              <w:t xml:space="preserve">(i) the completed current Crohn Disease Activity Index (CDAI) calculation sheet including the date of assessment of the patient's condition if relevant; and </w:t>
            </w:r>
          </w:p>
          <w:p w:rsidR="00E0286A" w:rsidRPr="00DF7453" w:rsidRDefault="00E0286A" w:rsidP="00E0286A">
            <w:pPr>
              <w:rPr>
                <w:rFonts w:ascii="Arial Narrow" w:hAnsi="Arial Narrow"/>
                <w:sz w:val="20"/>
              </w:rPr>
            </w:pPr>
            <w:r w:rsidRPr="00DF7453">
              <w:rPr>
                <w:rFonts w:ascii="Arial Narrow" w:hAnsi="Arial Narrow"/>
                <w:sz w:val="20"/>
              </w:rPr>
              <w:t xml:space="preserve">(ii) details of prior systemic drug therapy [dosage, date of commencement and duration of therapy]; and </w:t>
            </w:r>
          </w:p>
          <w:p w:rsidR="00E0286A" w:rsidRPr="00DF7453" w:rsidRDefault="00E0286A" w:rsidP="00E0286A">
            <w:pPr>
              <w:rPr>
                <w:rFonts w:ascii="Arial Narrow" w:hAnsi="Arial Narrow"/>
                <w:sz w:val="20"/>
              </w:rPr>
            </w:pPr>
            <w:r w:rsidRPr="00DF7453">
              <w:rPr>
                <w:rFonts w:ascii="Arial Narrow" w:hAnsi="Arial Narrow"/>
                <w:sz w:val="20"/>
              </w:rPr>
              <w:t xml:space="preserve">(iii) the reports and dates of the pathology or diagnostic imaging test(s) nominated as the response criterion, if relevant; and </w:t>
            </w:r>
          </w:p>
          <w:p w:rsidR="00E0286A" w:rsidRPr="00DF7453" w:rsidRDefault="00E0286A" w:rsidP="00E0286A">
            <w:pPr>
              <w:rPr>
                <w:rFonts w:ascii="Arial Narrow" w:hAnsi="Arial Narrow"/>
                <w:sz w:val="20"/>
              </w:rPr>
            </w:pPr>
            <w:r w:rsidRPr="00DF7453">
              <w:rPr>
                <w:rFonts w:ascii="Arial Narrow" w:hAnsi="Arial Narrow"/>
                <w:sz w:val="20"/>
              </w:rPr>
              <w:t xml:space="preserve">(iv) the date of the most recent clinical assessment; and </w:t>
            </w:r>
          </w:p>
          <w:p w:rsidR="005E4796" w:rsidRDefault="00E0286A" w:rsidP="00E0286A">
            <w:pPr>
              <w:rPr>
                <w:rFonts w:ascii="Arial Narrow" w:hAnsi="Arial Narrow"/>
                <w:sz w:val="20"/>
              </w:rPr>
            </w:pPr>
            <w:r w:rsidRPr="00DF7453">
              <w:rPr>
                <w:rFonts w:ascii="Arial Narrow" w:hAnsi="Arial Narrow"/>
                <w:sz w:val="20"/>
              </w:rPr>
              <w:t>(v) the signed patient acknowledgement indicating they understand and acknowledge that the PBS-subsidised treatment will cease if they do not meet the predetermined response criterion for ongoing PBS-subsidised treatment, as outlined in the restriction for continuing treatment.</w:t>
            </w:r>
          </w:p>
          <w:p w:rsidR="00E0286A"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At the time of authority application, medical practitioners should request the appropriate number of 130 mg vials to provide sufficient drug, based on the weight of the patient, for a single infusion. Up to a maximum of 4 vials will be authorised.</w:t>
            </w:r>
          </w:p>
          <w:p w:rsidR="00E0286A"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Two completed authority prescriptions must be submitted with the initial application. One prescription must be for the IV loading dose for a sufficient number of 130 mg vials for one dose based on the patient's weight with no repeats. The second prescription must be written for the 45 mg vials for SC injection, with a maximum quantity of 2 and no repeats.</w:t>
            </w:r>
          </w:p>
          <w:p w:rsidR="00E0286A"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Where no authority prescription for subcutaneous injection are requested at the time of the initial application, authority approvals for sufficient 45 mg vials to complete a maximum of 16 weeks of treatment with ustekinumab (two 45 mg vials and no repeats) may be requested by telephone by contacting the Department of Human Services and applying through the Balance of Supply restriction.</w:t>
            </w:r>
          </w:p>
          <w:p w:rsidR="00E0286A" w:rsidRDefault="00E0286A" w:rsidP="00E0286A">
            <w:pPr>
              <w:rPr>
                <w:rFonts w:ascii="Arial Narrow" w:hAnsi="Arial Narrow"/>
                <w:sz w:val="20"/>
              </w:rPr>
            </w:pPr>
          </w:p>
          <w:p w:rsidR="00E0286A" w:rsidRPr="00DF7453" w:rsidRDefault="00E0286A" w:rsidP="00E0286A">
            <w:pPr>
              <w:rPr>
                <w:rFonts w:ascii="Arial Narrow" w:hAnsi="Arial Narrow"/>
                <w:sz w:val="20"/>
              </w:rPr>
            </w:pPr>
            <w:r w:rsidRPr="00DF7453">
              <w:rPr>
                <w:rFonts w:ascii="Arial Narrow" w:hAnsi="Arial Narrow"/>
                <w:sz w:val="20"/>
              </w:rPr>
              <w:t>Under no circumstances will telephone approvals be granted for initial authority applications, or for treatment that would otherwise extend the initial treatment period.</w:t>
            </w:r>
          </w:p>
          <w:p w:rsidR="000C4846" w:rsidRDefault="000C4846"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All assessments, pathology tests and diagnostic imaging studies must be made within 1 month of the date of application.</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If treatment with any of the specified prior conventional drugs is contraindicated according to the relevant TGA-approved Product Information, please provide details at the time of application.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If intolerance to treatment develops during the relevant period of use, which is of a severity necessitating permanent treatment withdrawal, details of this toxicity must be provided at the time of application.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Details of the accepted toxicities including severity can be found on the Department of Human Services website.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A maximum quantity and number of repeats to provide for an initial 16 week course of this drug will be authorised.</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The assessment of the patient's response to this initial course of treatment must be made following a minimum of 12 weeks of therapy so that there is adequate time for a response to be demonstrated.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 xml:space="preserve">This assessment, which will be used to determine eligibility for further continuing treatment, must be submitted to the Department of Human Services no later than 1 month from the date of completion of this course of treatment. </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Where a response assessment is not undertaken and submitted to the Department of Human Services within these timeframes, the patient will be deemed to have failed to respond to treatment with this drug.</w:t>
            </w:r>
          </w:p>
          <w:p w:rsidR="00224CFD" w:rsidRPr="00260CE3" w:rsidRDefault="00224CFD" w:rsidP="00E0286A">
            <w:pPr>
              <w:rPr>
                <w:rFonts w:ascii="Arial Narrow" w:hAnsi="Arial Narrow"/>
                <w:sz w:val="20"/>
              </w:rPr>
            </w:pPr>
          </w:p>
        </w:tc>
      </w:tr>
      <w:tr w:rsidR="005E4796" w:rsidRPr="00260CE3" w:rsidTr="00E0286A">
        <w:tblPrEx>
          <w:tblCellMar>
            <w:left w:w="108" w:type="dxa"/>
            <w:right w:w="108" w:type="dxa"/>
          </w:tblCellMar>
          <w:tblLook w:val="0000" w:firstRow="0" w:lastRow="0" w:firstColumn="0" w:lastColumn="0" w:noHBand="0" w:noVBand="0"/>
        </w:tblPrEx>
        <w:trPr>
          <w:gridBefore w:val="1"/>
          <w:wBefore w:w="17" w:type="pct"/>
          <w:trHeight w:val="360"/>
        </w:trPr>
        <w:tc>
          <w:tcPr>
            <w:tcW w:w="1436" w:type="pct"/>
            <w:gridSpan w:val="2"/>
            <w:tcBorders>
              <w:top w:val="single" w:sz="4" w:space="0" w:color="auto"/>
              <w:left w:val="single" w:sz="4" w:space="0" w:color="auto"/>
              <w:bottom w:val="single" w:sz="4" w:space="0" w:color="auto"/>
              <w:right w:val="single" w:sz="4" w:space="0" w:color="auto"/>
            </w:tcBorders>
          </w:tcPr>
          <w:p w:rsidR="005E4796" w:rsidRPr="00260CE3" w:rsidRDefault="005E4796" w:rsidP="005E4796">
            <w:pPr>
              <w:rPr>
                <w:rFonts w:ascii="Arial Narrow" w:hAnsi="Arial Narrow"/>
                <w:b/>
                <w:sz w:val="20"/>
              </w:rPr>
            </w:pPr>
            <w:r w:rsidRPr="00260CE3">
              <w:rPr>
                <w:rFonts w:ascii="Arial Narrow" w:hAnsi="Arial Narrow"/>
                <w:b/>
                <w:sz w:val="20"/>
              </w:rPr>
              <w:t>Administrative Advice</w:t>
            </w:r>
          </w:p>
          <w:p w:rsidR="005E4796" w:rsidRPr="00260CE3" w:rsidRDefault="005E4796" w:rsidP="00E0286A">
            <w:pPr>
              <w:rPr>
                <w:rFonts w:ascii="Arial Narrow" w:hAnsi="Arial Narrow"/>
                <w:i/>
                <w:sz w:val="20"/>
              </w:rPr>
            </w:pPr>
          </w:p>
        </w:tc>
        <w:tc>
          <w:tcPr>
            <w:tcW w:w="3547" w:type="pct"/>
            <w:gridSpan w:val="6"/>
            <w:tcBorders>
              <w:top w:val="single" w:sz="4" w:space="0" w:color="auto"/>
              <w:left w:val="single" w:sz="4" w:space="0" w:color="auto"/>
              <w:bottom w:val="single" w:sz="4" w:space="0" w:color="auto"/>
              <w:right w:val="single" w:sz="4" w:space="0" w:color="auto"/>
            </w:tcBorders>
          </w:tcPr>
          <w:p w:rsidR="00E0286A" w:rsidRDefault="00E0286A" w:rsidP="00E0286A">
            <w:pPr>
              <w:rPr>
                <w:rFonts w:ascii="Arial Narrow" w:hAnsi="Arial Narrow"/>
                <w:sz w:val="20"/>
              </w:rPr>
            </w:pPr>
            <w:r w:rsidRPr="00DF7453">
              <w:rPr>
                <w:rFonts w:ascii="Arial Narrow" w:hAnsi="Arial Narrow"/>
                <w:sz w:val="20"/>
              </w:rPr>
              <w:t>No increase in the maximum quantity or number of units may be authorised.</w:t>
            </w:r>
          </w:p>
          <w:p w:rsidR="00E0286A" w:rsidRPr="00DF7453" w:rsidRDefault="00E0286A" w:rsidP="00E0286A">
            <w:pPr>
              <w:rPr>
                <w:rFonts w:ascii="Arial Narrow" w:hAnsi="Arial Narrow"/>
                <w:sz w:val="20"/>
              </w:rPr>
            </w:pPr>
          </w:p>
          <w:p w:rsidR="00E0286A" w:rsidRDefault="00E0286A" w:rsidP="00E0286A">
            <w:pPr>
              <w:rPr>
                <w:rFonts w:ascii="Arial Narrow" w:hAnsi="Arial Narrow"/>
                <w:sz w:val="20"/>
              </w:rPr>
            </w:pPr>
            <w:r w:rsidRPr="00DF7453">
              <w:rPr>
                <w:rFonts w:ascii="Arial Narrow" w:hAnsi="Arial Narrow"/>
                <w:sz w:val="20"/>
              </w:rPr>
              <w:t>No increase in the maximum number of repeats may be authorised.</w:t>
            </w:r>
          </w:p>
          <w:p w:rsidR="00E0286A" w:rsidRPr="00DF7453" w:rsidRDefault="00E0286A" w:rsidP="00E0286A">
            <w:pPr>
              <w:rPr>
                <w:rFonts w:ascii="Arial Narrow" w:hAnsi="Arial Narrow"/>
                <w:sz w:val="20"/>
              </w:rPr>
            </w:pPr>
          </w:p>
          <w:p w:rsidR="00E0286A" w:rsidRPr="00260CE3" w:rsidRDefault="00E0286A" w:rsidP="00E0286A">
            <w:pPr>
              <w:rPr>
                <w:rFonts w:ascii="Arial Narrow" w:hAnsi="Arial Narrow"/>
                <w:sz w:val="20"/>
              </w:rPr>
            </w:pPr>
            <w:r w:rsidRPr="00DF7453">
              <w:rPr>
                <w:rFonts w:ascii="Arial Narrow" w:hAnsi="Arial Narrow"/>
                <w:sz w:val="20"/>
              </w:rPr>
              <w:t>It is recommended that an application for continuing treatment is posted to the Department of Human Services at the time of the 12 week assessment, to ensure continuity of treatment for those patients who meet the continuation criterion for PBS-subsidised treatment with this drug.</w:t>
            </w:r>
          </w:p>
        </w:tc>
      </w:tr>
    </w:tbl>
    <w:p w:rsidR="0080738D" w:rsidRDefault="0080738D" w:rsidP="0080738D"/>
    <w:p w:rsidR="00E0286A" w:rsidRDefault="00E0286A" w:rsidP="0080738D"/>
    <w:p w:rsidR="00E0286A" w:rsidRDefault="00E0286A" w:rsidP="0080738D"/>
    <w:tbl>
      <w:tblPr>
        <w:tblW w:w="4562" w:type="pct"/>
        <w:tblInd w:w="817" w:type="dxa"/>
        <w:tblLook w:val="0000" w:firstRow="0" w:lastRow="0" w:firstColumn="0" w:lastColumn="0" w:noHBand="0" w:noVBand="0"/>
      </w:tblPr>
      <w:tblGrid>
        <w:gridCol w:w="2353"/>
        <w:gridCol w:w="6079"/>
      </w:tblGrid>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 xml:space="preserve">Category / </w:t>
            </w:r>
          </w:p>
          <w:p w:rsidR="00E0286A" w:rsidRPr="00260CE3" w:rsidRDefault="00E0286A" w:rsidP="006444E6">
            <w:pPr>
              <w:rPr>
                <w:rFonts w:ascii="Arial Narrow" w:hAnsi="Arial Narrow"/>
                <w:b/>
                <w:sz w:val="20"/>
              </w:rPr>
            </w:pPr>
            <w:r w:rsidRPr="00260CE3">
              <w:rPr>
                <w:rFonts w:ascii="Arial Narrow" w:hAnsi="Arial Narrow"/>
                <w:b/>
                <w:sz w:val="20"/>
              </w:rPr>
              <w:t>Program</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260CE3">
              <w:rPr>
                <w:rFonts w:ascii="Arial Narrow" w:hAnsi="Arial Narrow"/>
                <w:sz w:val="20"/>
              </w:rPr>
              <w:t>GENERAL – General Schedule (Code GE)</w:t>
            </w:r>
          </w:p>
          <w:p w:rsidR="00E0286A" w:rsidRPr="00260CE3" w:rsidRDefault="00E0286A" w:rsidP="006444E6">
            <w:pPr>
              <w:rPr>
                <w:rFonts w:ascii="Arial Narrow" w:hAnsi="Arial Narrow"/>
                <w:sz w:val="20"/>
              </w:rPr>
            </w:pPr>
            <w:r w:rsidRPr="00260CE3">
              <w:rPr>
                <w:rFonts w:ascii="Arial Narrow" w:hAnsi="Arial Narrow"/>
                <w:sz w:val="20"/>
              </w:rPr>
              <w:t>Section 100 – Highly Specialised Drugs Program</w:t>
            </w:r>
          </w:p>
          <w:p w:rsidR="00E0286A" w:rsidRPr="00260CE3" w:rsidRDefault="00E0286A" w:rsidP="006444E6">
            <w:pPr>
              <w:rPr>
                <w:rFonts w:ascii="Arial Narrow" w:hAnsi="Arial Narrow"/>
                <w:sz w:val="20"/>
              </w:rPr>
            </w:pP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Prescriber type:</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0286A" w:rsidRPr="00260CE3" w:rsidRDefault="00E0286A" w:rsidP="006444E6">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Condition:</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Severe Crohn disease</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PBS Indication:</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Severe Crohn disease</w:t>
            </w:r>
            <w:r>
              <w:rPr>
                <w:rFonts w:ascii="Arial Narrow" w:hAnsi="Arial Narrow"/>
                <w:b/>
                <w:sz w:val="20"/>
              </w:rPr>
              <w:t xml:space="preserve"> </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Treatment phase:</w:t>
            </w:r>
          </w:p>
          <w:p w:rsidR="00E0286A" w:rsidRPr="00260CE3" w:rsidRDefault="00E0286A"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Change or re-commencement of treatment (Initial 2)</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106BCF" w:rsidRDefault="00E0286A" w:rsidP="006444E6">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0286A" w:rsidRPr="00106BCF" w:rsidRDefault="00E0286A" w:rsidP="006444E6">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E0286A" w:rsidRPr="00224CFD"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E0286A" w:rsidRPr="00224CFD">
              <w:rPr>
                <w:rFonts w:ascii="Arial Narrow" w:hAnsi="Arial Narrow"/>
                <w:sz w:val="20"/>
              </w:rPr>
              <w:t>Authority Required - Telephone</w:t>
            </w:r>
          </w:p>
          <w:p w:rsidR="00E0286A" w:rsidRPr="00224CFD"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E0286A" w:rsidRPr="00224CFD">
              <w:rPr>
                <w:rFonts w:ascii="Arial Narrow" w:hAnsi="Arial Narrow"/>
                <w:sz w:val="20"/>
              </w:rPr>
              <w:t>Authority Required – Emergency</w:t>
            </w:r>
          </w:p>
          <w:p w:rsidR="00E0286A" w:rsidRPr="00106BCF"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E0286A" w:rsidRPr="00224CFD">
              <w:rPr>
                <w:rFonts w:ascii="Arial Narrow" w:hAnsi="Arial Narrow"/>
                <w:sz w:val="20"/>
              </w:rPr>
              <w:t>Authority Required - Electronic</w:t>
            </w:r>
          </w:p>
          <w:p w:rsidR="00E0286A" w:rsidRPr="00260CE3" w:rsidRDefault="00E0286A" w:rsidP="006444E6">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E0286A" w:rsidRPr="00106BCF"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Pr>
                <w:rFonts w:ascii="Arial Narrow" w:hAnsi="Arial Narrow"/>
                <w:b/>
                <w:sz w:val="20"/>
              </w:rPr>
              <w:t>Treatment criteria:</w:t>
            </w:r>
          </w:p>
        </w:tc>
        <w:tc>
          <w:tcPr>
            <w:tcW w:w="3605" w:type="pct"/>
            <w:tcBorders>
              <w:top w:val="single" w:sz="4" w:space="0" w:color="auto"/>
              <w:left w:val="single" w:sz="4" w:space="0" w:color="auto"/>
              <w:bottom w:val="single" w:sz="4" w:space="0" w:color="auto"/>
              <w:right w:val="single" w:sz="4" w:space="0" w:color="auto"/>
            </w:tcBorders>
          </w:tcPr>
          <w:p w:rsidR="00E0286A" w:rsidRPr="00DF7453" w:rsidRDefault="00E0286A" w:rsidP="006444E6">
            <w:pPr>
              <w:rPr>
                <w:rFonts w:ascii="Arial Narrow" w:hAnsi="Arial Narrow"/>
                <w:sz w:val="20"/>
              </w:rPr>
            </w:pPr>
            <w:r w:rsidRPr="00DF7453">
              <w:rPr>
                <w:rFonts w:ascii="Arial Narrow" w:hAnsi="Arial Narrow"/>
                <w:sz w:val="20"/>
              </w:rPr>
              <w:t>Must be treated by a gastroenterologist (code 87); OR</w:t>
            </w:r>
          </w:p>
          <w:p w:rsidR="00E0286A" w:rsidRPr="00DF7453" w:rsidRDefault="00E0286A" w:rsidP="006444E6">
            <w:pPr>
              <w:rPr>
                <w:rFonts w:ascii="Arial Narrow" w:hAnsi="Arial Narrow"/>
                <w:sz w:val="20"/>
              </w:rPr>
            </w:pPr>
            <w:r w:rsidRPr="00DF7453">
              <w:rPr>
                <w:rFonts w:ascii="Arial Narrow" w:hAnsi="Arial Narrow"/>
                <w:sz w:val="20"/>
              </w:rPr>
              <w:t>Must be treated by a  consultant physician [internal medicine specialising in gastroenterology (code 81)]; OR</w:t>
            </w:r>
          </w:p>
          <w:p w:rsidR="00E0286A" w:rsidRPr="00106BCF" w:rsidRDefault="00E0286A" w:rsidP="006444E6">
            <w:pPr>
              <w:rPr>
                <w:rFonts w:ascii="Arial Narrow" w:hAnsi="Arial Narrow"/>
                <w:sz w:val="20"/>
              </w:rPr>
            </w:pPr>
            <w:r w:rsidRPr="00DF7453">
              <w:rPr>
                <w:rFonts w:ascii="Arial Narrow" w:hAnsi="Arial Narrow"/>
                <w:sz w:val="20"/>
              </w:rPr>
              <w:t>Must be treated by a consultant physician [general medicine specialising in gastroenterology (code 82)].</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Clinical criteria:</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DF7453" w:rsidRDefault="00E0286A" w:rsidP="006444E6">
            <w:pPr>
              <w:rPr>
                <w:rFonts w:ascii="Arial Narrow" w:hAnsi="Arial Narrow"/>
                <w:sz w:val="20"/>
              </w:rPr>
            </w:pPr>
            <w:r w:rsidRPr="00DF7453">
              <w:rPr>
                <w:rFonts w:ascii="Arial Narrow" w:hAnsi="Arial Narrow"/>
                <w:sz w:val="20"/>
              </w:rPr>
              <w:t>Patient must have received prior PBS-subsidised treatment with a biological disease modifying drug for this condition in this treatment cycle,</w:t>
            </w:r>
          </w:p>
          <w:p w:rsidR="00E0286A" w:rsidRPr="00DF7453" w:rsidRDefault="00E0286A" w:rsidP="006444E6">
            <w:pPr>
              <w:rPr>
                <w:rFonts w:ascii="Arial Narrow" w:hAnsi="Arial Narrow"/>
                <w:sz w:val="20"/>
              </w:rPr>
            </w:pPr>
            <w:r w:rsidRPr="00DF7453">
              <w:rPr>
                <w:rFonts w:ascii="Arial Narrow" w:hAnsi="Arial Narrow"/>
                <w:sz w:val="20"/>
              </w:rPr>
              <w:t>AND</w:t>
            </w:r>
          </w:p>
          <w:p w:rsidR="00E0286A" w:rsidRPr="00260CE3" w:rsidRDefault="00E0286A" w:rsidP="006444E6">
            <w:pPr>
              <w:rPr>
                <w:rFonts w:ascii="Arial Narrow" w:hAnsi="Arial Narrow"/>
                <w:sz w:val="20"/>
              </w:rPr>
            </w:pPr>
            <w:r w:rsidRPr="00DF7453">
              <w:rPr>
                <w:rFonts w:ascii="Arial Narrow" w:hAnsi="Arial Narrow"/>
                <w:sz w:val="20"/>
              </w:rPr>
              <w:t xml:space="preserve">Patient must not have failed PBS-subsidised therapy with this drug for this condition more than once in the current treatment cycle </w:t>
            </w:r>
          </w:p>
          <w:p w:rsidR="00E0286A" w:rsidRPr="00260CE3" w:rsidRDefault="00E0286A" w:rsidP="006444E6">
            <w:pPr>
              <w:rPr>
                <w:rFonts w:ascii="Arial Narrow" w:hAnsi="Arial Narrow"/>
                <w:sz w:val="20"/>
              </w:rPr>
            </w:pP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Population criteria:</w:t>
            </w:r>
          </w:p>
          <w:p w:rsidR="00E0286A" w:rsidRPr="00260CE3" w:rsidRDefault="00E0286A" w:rsidP="006444E6">
            <w:pPr>
              <w:rPr>
                <w:rFonts w:ascii="Arial Narrow" w:hAnsi="Arial Narrow"/>
                <w:i/>
                <w:sz w:val="20"/>
              </w:rPr>
            </w:pP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p>
          <w:p w:rsidR="00E0286A" w:rsidRPr="00260CE3" w:rsidRDefault="00E0286A" w:rsidP="006444E6">
            <w:pPr>
              <w:rPr>
                <w:rFonts w:ascii="Arial Narrow" w:hAnsi="Arial Narrow"/>
                <w:sz w:val="20"/>
              </w:rPr>
            </w:pPr>
            <w:r w:rsidRPr="00DF7453">
              <w:rPr>
                <w:rFonts w:ascii="Arial Narrow" w:hAnsi="Arial Narrow"/>
                <w:sz w:val="20"/>
              </w:rPr>
              <w:t>Patient must be aged 18 years or older</w:t>
            </w:r>
          </w:p>
          <w:p w:rsidR="00E0286A" w:rsidRPr="00260CE3" w:rsidRDefault="00E0286A" w:rsidP="006444E6">
            <w:pPr>
              <w:rPr>
                <w:rFonts w:ascii="Arial Narrow" w:hAnsi="Arial Narrow"/>
                <w:sz w:val="20"/>
              </w:rPr>
            </w:pP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Prescriber Instructions</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DF7453" w:rsidRDefault="00E0286A" w:rsidP="006444E6">
            <w:pPr>
              <w:rPr>
                <w:rFonts w:ascii="Arial Narrow" w:hAnsi="Arial Narrow"/>
                <w:sz w:val="20"/>
              </w:rPr>
            </w:pPr>
            <w:r w:rsidRPr="00DF7453">
              <w:rPr>
                <w:rFonts w:ascii="Arial Narrow" w:hAnsi="Arial Narrow"/>
                <w:sz w:val="20"/>
              </w:rPr>
              <w:t>Applications for authorisation must be made in writing and must include:</w:t>
            </w:r>
          </w:p>
          <w:p w:rsidR="00E0286A" w:rsidRPr="00DF7453" w:rsidRDefault="00E0286A" w:rsidP="006444E6">
            <w:pPr>
              <w:rPr>
                <w:rFonts w:ascii="Arial Narrow" w:hAnsi="Arial Narrow"/>
                <w:sz w:val="20"/>
              </w:rPr>
            </w:pPr>
            <w:r w:rsidRPr="00DF7453">
              <w:rPr>
                <w:rFonts w:ascii="Arial Narrow" w:hAnsi="Arial Narrow"/>
                <w:sz w:val="20"/>
              </w:rPr>
              <w:t>(a) two completed authority prescription forms; and</w:t>
            </w:r>
          </w:p>
          <w:p w:rsidR="00E0286A" w:rsidRPr="00DF7453" w:rsidRDefault="00E0286A" w:rsidP="006444E6">
            <w:pPr>
              <w:rPr>
                <w:rFonts w:ascii="Arial Narrow" w:hAnsi="Arial Narrow"/>
                <w:sz w:val="20"/>
              </w:rPr>
            </w:pPr>
            <w:r w:rsidRPr="00DF7453">
              <w:rPr>
                <w:rFonts w:ascii="Arial Narrow" w:hAnsi="Arial Narrow"/>
                <w:sz w:val="20"/>
              </w:rPr>
              <w:t xml:space="preserve">(b) a completed Crohn Disease PBS Authority Application - Supporting Information Form which includes the following: </w:t>
            </w:r>
          </w:p>
          <w:p w:rsidR="00E0286A" w:rsidRPr="00DF7453" w:rsidRDefault="00E0286A" w:rsidP="006444E6">
            <w:pPr>
              <w:rPr>
                <w:rFonts w:ascii="Arial Narrow" w:hAnsi="Arial Narrow"/>
                <w:sz w:val="20"/>
              </w:rPr>
            </w:pPr>
            <w:r w:rsidRPr="00DF7453">
              <w:rPr>
                <w:rFonts w:ascii="Arial Narrow" w:hAnsi="Arial Narrow"/>
                <w:sz w:val="20"/>
              </w:rPr>
              <w:t xml:space="preserve">(i) the completed current Crohn Disease Activity Index (CDAI) calculation sheet including the date of assessment of the patient's condition if relevant; and </w:t>
            </w:r>
          </w:p>
          <w:p w:rsidR="00E0286A" w:rsidRPr="00DF7453" w:rsidRDefault="00E0286A" w:rsidP="006444E6">
            <w:pPr>
              <w:rPr>
                <w:rFonts w:ascii="Arial Narrow" w:hAnsi="Arial Narrow"/>
                <w:sz w:val="20"/>
              </w:rPr>
            </w:pPr>
            <w:r w:rsidRPr="00DF7453">
              <w:rPr>
                <w:rFonts w:ascii="Arial Narrow" w:hAnsi="Arial Narrow"/>
                <w:sz w:val="20"/>
              </w:rPr>
              <w:t xml:space="preserve">(ii) details of prior systemic drug therapy [dosage, date of commencement and duration of therapy]; and </w:t>
            </w:r>
          </w:p>
          <w:p w:rsidR="00E0286A" w:rsidRPr="00DF7453" w:rsidRDefault="00E0286A" w:rsidP="006444E6">
            <w:pPr>
              <w:rPr>
                <w:rFonts w:ascii="Arial Narrow" w:hAnsi="Arial Narrow"/>
                <w:sz w:val="20"/>
              </w:rPr>
            </w:pPr>
            <w:r w:rsidRPr="00DF7453">
              <w:rPr>
                <w:rFonts w:ascii="Arial Narrow" w:hAnsi="Arial Narrow"/>
                <w:sz w:val="20"/>
              </w:rPr>
              <w:t xml:space="preserve">(iii) the reports and dates of the pathology or diagnostic imaging test(s) nominated as the response criterion, if relevant; and </w:t>
            </w:r>
          </w:p>
          <w:p w:rsidR="00E0286A" w:rsidRPr="00DF7453" w:rsidRDefault="00E0286A" w:rsidP="006444E6">
            <w:pPr>
              <w:rPr>
                <w:rFonts w:ascii="Arial Narrow" w:hAnsi="Arial Narrow"/>
                <w:sz w:val="20"/>
              </w:rPr>
            </w:pPr>
            <w:r w:rsidRPr="00DF7453">
              <w:rPr>
                <w:rFonts w:ascii="Arial Narrow" w:hAnsi="Arial Narrow"/>
                <w:sz w:val="20"/>
              </w:rPr>
              <w:t xml:space="preserve">(iv) the date of the most recent clinical assessment; </w:t>
            </w:r>
          </w:p>
          <w:p w:rsidR="00E0286A" w:rsidRDefault="00E0286A" w:rsidP="006444E6">
            <w:pPr>
              <w:rPr>
                <w:rFonts w:ascii="Arial Narrow" w:hAnsi="Arial Narrow"/>
                <w:sz w:val="20"/>
              </w:rPr>
            </w:pPr>
          </w:p>
          <w:p w:rsidR="00E0286A" w:rsidRDefault="00E0286A" w:rsidP="006444E6">
            <w:pPr>
              <w:rPr>
                <w:rFonts w:ascii="Arial Narrow" w:hAnsi="Arial Narrow"/>
                <w:sz w:val="20"/>
              </w:rPr>
            </w:pPr>
            <w:r w:rsidRPr="00DF7453">
              <w:rPr>
                <w:rFonts w:ascii="Arial Narrow" w:hAnsi="Arial Narrow"/>
                <w:sz w:val="20"/>
              </w:rPr>
              <w:t>At the time of authority application, medical practitioners should request the appropriate number of 130 mg vials to provide sufficient drug, based on the weight of the patient, for a single infusion. Up to a maximum of 4 vials will be authorised.</w:t>
            </w:r>
          </w:p>
          <w:p w:rsidR="00E0286A" w:rsidRDefault="00E0286A" w:rsidP="006444E6">
            <w:pPr>
              <w:rPr>
                <w:rFonts w:ascii="Arial Narrow" w:hAnsi="Arial Narrow"/>
                <w:sz w:val="20"/>
              </w:rPr>
            </w:pPr>
          </w:p>
          <w:p w:rsidR="00E0286A" w:rsidRDefault="00E0286A" w:rsidP="006444E6">
            <w:pPr>
              <w:rPr>
                <w:rFonts w:ascii="Arial Narrow" w:hAnsi="Arial Narrow"/>
                <w:sz w:val="20"/>
              </w:rPr>
            </w:pPr>
            <w:r w:rsidRPr="00DF7453">
              <w:rPr>
                <w:rFonts w:ascii="Arial Narrow" w:hAnsi="Arial Narrow"/>
                <w:sz w:val="20"/>
              </w:rPr>
              <w:t>Two completed authority prescriptions must be submitted with the initial application. One prescription must be for the IV loading dose for a sufficient number of 130 mg vials for one dose based on the patient's weight with no repeats. The second prescription must be written for the 45 mg vials for SC injection, with a maximum quantity of 2 and no repeats.</w:t>
            </w:r>
          </w:p>
          <w:p w:rsid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To demonstrate a response to treatment the application must be accompanied by the results of the most recent course of biological disease modifying drug (bDMD) therapy within the timeframes specified in the relevant restriction.</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Where the most recent course of PBS-subsidised bDMD treatment was approved under an initial treatment restriction, the patient must have been assessed for response to that course following a minimum of 12 weeks of therapy for adalimumab or ustekinumab and up to 12 weeks after the first dose (6 weeks following the third dose) for infliximab and vedolizumab and this assessment must be submitted to the Department of Human Services no later than 4 weeks from the date that course was ceased.</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If the response assessment to the previous course of bDMD treatment is not submitted as detailed above, the patient will be deemed to have failed therapy with that particular course of bDMD.</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A maximum quantity and number of repeats to provide for an initial 16 week course of this drug will be authorised.</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 xml:space="preserve">The assessment of the patient's response to this initial course of treatment must be made following a minimum of 12 weeks of therapy so that there is adequate time for a response to be demonstrated. </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 xml:space="preserve">This assessment, which will be used to determine eligibility for further continuing treatment, must be submitted to the Department of Human Services no later than 1 month from the date of completion of this course of treatment. </w:t>
            </w:r>
          </w:p>
          <w:p w:rsidR="00E0286A" w:rsidRPr="00E0286A" w:rsidRDefault="00E0286A" w:rsidP="006444E6">
            <w:pPr>
              <w:rPr>
                <w:rFonts w:ascii="Arial Narrow" w:hAnsi="Arial Narrow"/>
                <w:sz w:val="20"/>
              </w:rPr>
            </w:pPr>
          </w:p>
          <w:p w:rsidR="00E0286A" w:rsidRDefault="00E0286A" w:rsidP="006444E6">
            <w:pPr>
              <w:rPr>
                <w:rFonts w:ascii="Arial Narrow" w:hAnsi="Arial Narrow"/>
                <w:sz w:val="20"/>
              </w:rPr>
            </w:pPr>
            <w:r w:rsidRPr="00E0286A">
              <w:rPr>
                <w:rFonts w:ascii="Arial Narrow" w:hAnsi="Arial Narrow"/>
                <w:sz w:val="20"/>
              </w:rPr>
              <w:t>Where a response assessment is not undertaken and submitted to the Department of Human Services within these timeframes, the patient will be deemed to have failed to respond to treatment with this drug.</w:t>
            </w:r>
          </w:p>
          <w:p w:rsidR="00224CFD" w:rsidRPr="00260CE3" w:rsidRDefault="00224CFD" w:rsidP="006444E6">
            <w:pPr>
              <w:rPr>
                <w:rFonts w:ascii="Arial Narrow" w:hAnsi="Arial Narrow"/>
                <w:sz w:val="20"/>
              </w:rPr>
            </w:pP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Administrative Advice</w:t>
            </w:r>
          </w:p>
          <w:p w:rsidR="00E0286A" w:rsidRPr="00260CE3" w:rsidRDefault="00E0286A"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DF7453" w:rsidRDefault="00E0286A" w:rsidP="006444E6">
            <w:pPr>
              <w:rPr>
                <w:rFonts w:ascii="Arial Narrow" w:hAnsi="Arial Narrow"/>
                <w:sz w:val="20"/>
              </w:rPr>
            </w:pPr>
            <w:r w:rsidRPr="00DF7453">
              <w:rPr>
                <w:rFonts w:ascii="Arial Narrow" w:hAnsi="Arial Narrow"/>
                <w:sz w:val="20"/>
              </w:rPr>
              <w:t>No increase in the maximum quantity or number of units may be authorised.</w:t>
            </w:r>
          </w:p>
          <w:p w:rsidR="00E0286A" w:rsidRPr="00DF7453" w:rsidRDefault="00E0286A" w:rsidP="006444E6">
            <w:pPr>
              <w:rPr>
                <w:rFonts w:ascii="Arial Narrow" w:hAnsi="Arial Narrow"/>
                <w:sz w:val="20"/>
              </w:rPr>
            </w:pPr>
            <w:r w:rsidRPr="00DF7453">
              <w:rPr>
                <w:rFonts w:ascii="Arial Narrow" w:hAnsi="Arial Narrow"/>
                <w:sz w:val="20"/>
              </w:rPr>
              <w:t>No increase in the maximum number of repeats may be authorised.</w:t>
            </w:r>
          </w:p>
          <w:p w:rsidR="00E0286A" w:rsidRDefault="00E0286A" w:rsidP="006444E6">
            <w:pPr>
              <w:rPr>
                <w:rFonts w:ascii="Arial Narrow" w:hAnsi="Arial Narrow"/>
                <w:sz w:val="20"/>
              </w:rPr>
            </w:pPr>
            <w:r w:rsidRPr="00DF7453">
              <w:rPr>
                <w:rFonts w:ascii="Arial Narrow" w:hAnsi="Arial Narrow"/>
                <w:sz w:val="20"/>
              </w:rPr>
              <w:t>It is recommended that an application for continuing treatment is posted to the Department of Human Services at the time of the 12 week assessment, to ensure continuity of treatment for those patients who meet the continuation criterion for PBS-subsidised treatment with this drug.</w:t>
            </w:r>
          </w:p>
          <w:p w:rsidR="00224CFD" w:rsidRPr="00260CE3" w:rsidRDefault="00224CFD" w:rsidP="006444E6">
            <w:pPr>
              <w:rPr>
                <w:rFonts w:ascii="Arial Narrow" w:hAnsi="Arial Narrow"/>
                <w:sz w:val="20"/>
              </w:rPr>
            </w:pPr>
          </w:p>
        </w:tc>
      </w:tr>
    </w:tbl>
    <w:p w:rsidR="00E0286A" w:rsidRDefault="00E0286A" w:rsidP="0080738D"/>
    <w:p w:rsidR="005E4796" w:rsidRDefault="005E4796" w:rsidP="0080738D"/>
    <w:tbl>
      <w:tblPr>
        <w:tblW w:w="4562" w:type="pct"/>
        <w:tblInd w:w="817" w:type="dxa"/>
        <w:tblLook w:val="0000" w:firstRow="0" w:lastRow="0" w:firstColumn="0" w:lastColumn="0" w:noHBand="0" w:noVBand="0"/>
      </w:tblPr>
      <w:tblGrid>
        <w:gridCol w:w="2353"/>
        <w:gridCol w:w="6079"/>
      </w:tblGrid>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 xml:space="preserve">Category / </w:t>
            </w:r>
          </w:p>
          <w:p w:rsidR="00E0286A" w:rsidRPr="00260CE3" w:rsidRDefault="00E0286A" w:rsidP="006444E6">
            <w:pPr>
              <w:rPr>
                <w:rFonts w:ascii="Arial Narrow" w:hAnsi="Arial Narrow"/>
                <w:b/>
                <w:sz w:val="20"/>
              </w:rPr>
            </w:pPr>
            <w:r w:rsidRPr="00260CE3">
              <w:rPr>
                <w:rFonts w:ascii="Arial Narrow" w:hAnsi="Arial Narrow"/>
                <w:b/>
                <w:sz w:val="20"/>
              </w:rPr>
              <w:t>Program</w:t>
            </w:r>
          </w:p>
        </w:tc>
        <w:tc>
          <w:tcPr>
            <w:tcW w:w="3605" w:type="pct"/>
            <w:tcBorders>
              <w:top w:val="single" w:sz="4" w:space="0" w:color="auto"/>
              <w:left w:val="single" w:sz="4" w:space="0" w:color="auto"/>
              <w:bottom w:val="single" w:sz="4" w:space="0" w:color="auto"/>
              <w:right w:val="single" w:sz="4" w:space="0" w:color="auto"/>
            </w:tcBorders>
          </w:tcPr>
          <w:p w:rsidR="00AF5B6D" w:rsidRPr="00260CE3" w:rsidRDefault="00E0286A" w:rsidP="006444E6">
            <w:pPr>
              <w:rPr>
                <w:rFonts w:ascii="Arial Narrow" w:hAnsi="Arial Narrow"/>
                <w:sz w:val="20"/>
              </w:rPr>
            </w:pPr>
            <w:r w:rsidRPr="00260CE3">
              <w:rPr>
                <w:rFonts w:ascii="Arial Narrow" w:hAnsi="Arial Narrow"/>
                <w:sz w:val="20"/>
              </w:rPr>
              <w:t>GENERAL – General Schedule (Code GE)</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Prescriber type:</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0286A" w:rsidRPr="00260CE3" w:rsidRDefault="00E0286A" w:rsidP="006444E6">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Condition:</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Severe Crohn disease</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PBS Indication:</w:t>
            </w: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Severe Crohn disease</w:t>
            </w:r>
            <w:r>
              <w:rPr>
                <w:rFonts w:ascii="Arial Narrow" w:hAnsi="Arial Narrow"/>
                <w:b/>
                <w:sz w:val="20"/>
              </w:rPr>
              <w:t xml:space="preserve"> </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Treatment phase:</w:t>
            </w:r>
          </w:p>
          <w:p w:rsidR="00E0286A" w:rsidRPr="00260CE3" w:rsidRDefault="00E0286A"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b/>
                <w:sz w:val="20"/>
              </w:rPr>
              <w:t>Continuing treatment</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106BCF" w:rsidRDefault="00E0286A" w:rsidP="006444E6">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0286A" w:rsidRPr="00106BCF" w:rsidRDefault="00E0286A" w:rsidP="006444E6">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E0286A" w:rsidRPr="00224CFD" w:rsidRDefault="00224CFD" w:rsidP="006444E6">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00E0286A" w:rsidRPr="00224CFD">
              <w:rPr>
                <w:rFonts w:ascii="Arial Narrow" w:hAnsi="Arial Narrow"/>
                <w:sz w:val="20"/>
              </w:rPr>
              <w:t>Authority Required - Telephone</w:t>
            </w:r>
          </w:p>
          <w:p w:rsidR="00E0286A" w:rsidRPr="00224CFD" w:rsidRDefault="00224CFD" w:rsidP="006444E6">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00E0286A" w:rsidRPr="00224CFD">
              <w:rPr>
                <w:rFonts w:ascii="Arial Narrow" w:hAnsi="Arial Narrow"/>
                <w:sz w:val="20"/>
              </w:rPr>
              <w:t>Authority Required – Emergency</w:t>
            </w:r>
          </w:p>
          <w:p w:rsidR="00E0286A" w:rsidRPr="00106BCF"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E0286A" w:rsidRPr="00224CFD">
              <w:rPr>
                <w:rFonts w:ascii="Arial Narrow" w:hAnsi="Arial Narrow"/>
                <w:sz w:val="20"/>
              </w:rPr>
              <w:t>Authority Required - Electronic</w:t>
            </w:r>
          </w:p>
          <w:p w:rsidR="00E0286A" w:rsidRPr="00260CE3" w:rsidRDefault="00E0286A" w:rsidP="006444E6">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E0286A" w:rsidRPr="00106BCF"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Pr>
                <w:rFonts w:ascii="Arial Narrow" w:hAnsi="Arial Narrow"/>
                <w:b/>
                <w:sz w:val="20"/>
              </w:rPr>
              <w:t>Treatment criteria:</w:t>
            </w:r>
          </w:p>
        </w:tc>
        <w:tc>
          <w:tcPr>
            <w:tcW w:w="3605" w:type="pct"/>
            <w:tcBorders>
              <w:top w:val="single" w:sz="4" w:space="0" w:color="auto"/>
              <w:left w:val="single" w:sz="4" w:space="0" w:color="auto"/>
              <w:bottom w:val="single" w:sz="4" w:space="0" w:color="auto"/>
              <w:right w:val="single" w:sz="4" w:space="0" w:color="auto"/>
            </w:tcBorders>
          </w:tcPr>
          <w:p w:rsidR="00E0286A" w:rsidRPr="00DF7453" w:rsidRDefault="00E0286A" w:rsidP="006444E6">
            <w:pPr>
              <w:rPr>
                <w:rFonts w:ascii="Arial Narrow" w:hAnsi="Arial Narrow"/>
                <w:sz w:val="20"/>
              </w:rPr>
            </w:pPr>
            <w:r w:rsidRPr="00DF7453">
              <w:rPr>
                <w:rFonts w:ascii="Arial Narrow" w:hAnsi="Arial Narrow"/>
                <w:sz w:val="20"/>
              </w:rPr>
              <w:t>Must be treated by a gastroenterologist (code 87); OR</w:t>
            </w:r>
          </w:p>
          <w:p w:rsidR="00E0286A" w:rsidRPr="00DF7453" w:rsidRDefault="00E0286A" w:rsidP="006444E6">
            <w:pPr>
              <w:rPr>
                <w:rFonts w:ascii="Arial Narrow" w:hAnsi="Arial Narrow"/>
                <w:sz w:val="20"/>
              </w:rPr>
            </w:pPr>
            <w:r w:rsidRPr="00DF7453">
              <w:rPr>
                <w:rFonts w:ascii="Arial Narrow" w:hAnsi="Arial Narrow"/>
                <w:sz w:val="20"/>
              </w:rPr>
              <w:t>Must be treated by a  consultant physician [internal medicine specialising in gastroenterology (code 81)]; OR</w:t>
            </w:r>
          </w:p>
          <w:p w:rsidR="00E0286A" w:rsidRPr="00106BCF" w:rsidRDefault="00E0286A" w:rsidP="006444E6">
            <w:pPr>
              <w:rPr>
                <w:rFonts w:ascii="Arial Narrow" w:hAnsi="Arial Narrow"/>
                <w:sz w:val="20"/>
              </w:rPr>
            </w:pPr>
            <w:r w:rsidRPr="00DF7453">
              <w:rPr>
                <w:rFonts w:ascii="Arial Narrow" w:hAnsi="Arial Narrow"/>
                <w:sz w:val="20"/>
              </w:rPr>
              <w:t>Must be treated by a consultant physician [general medicine specialising in gastroenterology (code 82)].</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Clinical criteria:</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5C102B" w:rsidRDefault="006444E6" w:rsidP="006444E6">
            <w:pPr>
              <w:rPr>
                <w:rFonts w:ascii="Arial Narrow" w:hAnsi="Arial Narrow"/>
                <w:sz w:val="20"/>
              </w:rPr>
            </w:pPr>
            <w:r w:rsidRPr="00DF7453">
              <w:rPr>
                <w:rFonts w:ascii="Arial Narrow" w:hAnsi="Arial Narrow"/>
                <w:sz w:val="20"/>
              </w:rPr>
              <w:t xml:space="preserve">Patient must have previously </w:t>
            </w:r>
            <w:r w:rsidR="005C102B">
              <w:rPr>
                <w:rFonts w:ascii="Arial Narrow" w:hAnsi="Arial Narrow"/>
                <w:sz w:val="20"/>
              </w:rPr>
              <w:t xml:space="preserve">received PBS-subsidised treatment with </w:t>
            </w:r>
            <w:r w:rsidRPr="00DF7453">
              <w:rPr>
                <w:rFonts w:ascii="Arial Narrow" w:hAnsi="Arial Narrow"/>
                <w:sz w:val="20"/>
              </w:rPr>
              <w:t xml:space="preserve">this drug for this condition, </w:t>
            </w:r>
          </w:p>
          <w:p w:rsidR="006444E6" w:rsidRPr="00DF7453" w:rsidRDefault="006444E6" w:rsidP="006444E6">
            <w:pPr>
              <w:rPr>
                <w:rFonts w:ascii="Arial Narrow" w:hAnsi="Arial Narrow"/>
                <w:sz w:val="20"/>
              </w:rPr>
            </w:pPr>
            <w:r w:rsidRPr="00DF7453">
              <w:rPr>
                <w:rFonts w:ascii="Arial Narrow" w:hAnsi="Arial Narrow"/>
                <w:sz w:val="20"/>
              </w:rPr>
              <w:t>AND</w:t>
            </w:r>
          </w:p>
          <w:p w:rsidR="006444E6" w:rsidRPr="00DF7453" w:rsidRDefault="006444E6" w:rsidP="006444E6">
            <w:pPr>
              <w:rPr>
                <w:rFonts w:ascii="Arial Narrow" w:hAnsi="Arial Narrow"/>
                <w:sz w:val="20"/>
              </w:rPr>
            </w:pPr>
            <w:r w:rsidRPr="00DF7453">
              <w:rPr>
                <w:rFonts w:ascii="Arial Narrow" w:hAnsi="Arial Narrow"/>
                <w:sz w:val="20"/>
              </w:rPr>
              <w:t>Patient must have demonstrated or sustained an adequate response to treatment with this drug,</w:t>
            </w:r>
          </w:p>
          <w:p w:rsidR="000C4846" w:rsidRDefault="000C4846"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AND</w:t>
            </w:r>
          </w:p>
          <w:p w:rsidR="006444E6" w:rsidRPr="00DF7453" w:rsidRDefault="006444E6" w:rsidP="006444E6">
            <w:pPr>
              <w:rPr>
                <w:rFonts w:ascii="Arial Narrow" w:hAnsi="Arial Narrow"/>
                <w:sz w:val="20"/>
              </w:rPr>
            </w:pPr>
            <w:r w:rsidRPr="00DF7453">
              <w:rPr>
                <w:rFonts w:ascii="Arial Narrow" w:hAnsi="Arial Narrow"/>
                <w:sz w:val="20"/>
              </w:rPr>
              <w:t xml:space="preserve">Patient must have an adequate response to this drug defined as a reduction in Crohn Disease Activity Index (CDAI) Score to a level no greater than 150 if assessed by CDAI or if affected by extensive small intestine disease; OR </w:t>
            </w:r>
          </w:p>
          <w:p w:rsidR="000C4846" w:rsidRDefault="000C4846" w:rsidP="006444E6">
            <w:pPr>
              <w:rPr>
                <w:rFonts w:ascii="Arial Narrow" w:hAnsi="Arial Narrow"/>
                <w:sz w:val="20"/>
              </w:rPr>
            </w:pPr>
          </w:p>
          <w:p w:rsidR="00E0286A" w:rsidRPr="00260CE3" w:rsidRDefault="006444E6" w:rsidP="006444E6">
            <w:pPr>
              <w:rPr>
                <w:rFonts w:ascii="Arial Narrow" w:hAnsi="Arial Narrow"/>
                <w:sz w:val="20"/>
              </w:rPr>
            </w:pPr>
            <w:r w:rsidRPr="00DF7453">
              <w:rPr>
                <w:rFonts w:ascii="Arial Narrow" w:hAnsi="Arial Narrow"/>
                <w:sz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Population criteria:</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sz w:val="20"/>
              </w:rPr>
            </w:pPr>
            <w:r w:rsidRPr="00DF7453">
              <w:rPr>
                <w:rFonts w:ascii="Arial Narrow" w:hAnsi="Arial Narrow"/>
                <w:sz w:val="20"/>
              </w:rPr>
              <w:t>Patient must be aged 18 years or older</w:t>
            </w:r>
          </w:p>
        </w:tc>
      </w:tr>
      <w:tr w:rsidR="00E0286A"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Prescriber Instructions</w:t>
            </w:r>
          </w:p>
          <w:p w:rsidR="00E0286A" w:rsidRPr="00260CE3" w:rsidRDefault="00E0286A"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Applications for authorisation must be made in writing and must include:</w:t>
            </w:r>
          </w:p>
          <w:p w:rsidR="006444E6" w:rsidRPr="00DF7453" w:rsidRDefault="006444E6" w:rsidP="006444E6">
            <w:pPr>
              <w:rPr>
                <w:rFonts w:ascii="Arial Narrow" w:hAnsi="Arial Narrow"/>
                <w:sz w:val="20"/>
              </w:rPr>
            </w:pPr>
            <w:r w:rsidRPr="00DF7453">
              <w:rPr>
                <w:rFonts w:ascii="Arial Narrow" w:hAnsi="Arial Narrow"/>
                <w:sz w:val="20"/>
              </w:rPr>
              <w:t>(a) a completed authority prescription form; and</w:t>
            </w:r>
          </w:p>
          <w:p w:rsidR="006444E6" w:rsidRPr="00DF7453" w:rsidRDefault="006444E6" w:rsidP="006444E6">
            <w:pPr>
              <w:rPr>
                <w:rFonts w:ascii="Arial Narrow" w:hAnsi="Arial Narrow"/>
                <w:sz w:val="20"/>
              </w:rPr>
            </w:pPr>
            <w:r w:rsidRPr="00DF7453">
              <w:rPr>
                <w:rFonts w:ascii="Arial Narrow" w:hAnsi="Arial Narrow"/>
                <w:sz w:val="20"/>
              </w:rPr>
              <w:t xml:space="preserve">(b) a completed Crohn Disease PBS Authority Application - Supporting Information Form which includes the following: </w:t>
            </w:r>
          </w:p>
          <w:p w:rsidR="006444E6" w:rsidRPr="00DF7453" w:rsidRDefault="006444E6" w:rsidP="006444E6">
            <w:pPr>
              <w:rPr>
                <w:rFonts w:ascii="Arial Narrow" w:hAnsi="Arial Narrow"/>
                <w:sz w:val="20"/>
              </w:rPr>
            </w:pPr>
            <w:r w:rsidRPr="00DF7453">
              <w:rPr>
                <w:rFonts w:ascii="Arial Narrow" w:hAnsi="Arial Narrow"/>
                <w:sz w:val="20"/>
              </w:rPr>
              <w:t xml:space="preserve">(i) the completed Crohn Disease Activity Index (CDAI) Score calculation sheet including the date of the assessment of the patient's condition, if relevant; or </w:t>
            </w:r>
          </w:p>
          <w:p w:rsidR="006444E6" w:rsidRPr="00DF7453" w:rsidRDefault="006444E6" w:rsidP="006444E6">
            <w:pPr>
              <w:rPr>
                <w:rFonts w:ascii="Arial Narrow" w:hAnsi="Arial Narrow"/>
                <w:sz w:val="20"/>
              </w:rPr>
            </w:pPr>
            <w:r w:rsidRPr="00DF7453">
              <w:rPr>
                <w:rFonts w:ascii="Arial Narrow" w:hAnsi="Arial Narrow"/>
                <w:sz w:val="20"/>
              </w:rPr>
              <w:t xml:space="preserve">(ii) the reports and dates of the pathology test or diagnostic imaging test(s) used to assess response to therapy for patients with short gut syndrome, extensive small intestine disease or an ostomy, if relevant; and </w:t>
            </w:r>
          </w:p>
          <w:p w:rsidR="006444E6" w:rsidRPr="00DF7453" w:rsidRDefault="006444E6" w:rsidP="006444E6">
            <w:pPr>
              <w:rPr>
                <w:rFonts w:ascii="Arial Narrow" w:hAnsi="Arial Narrow"/>
                <w:sz w:val="20"/>
              </w:rPr>
            </w:pPr>
            <w:r w:rsidRPr="00DF7453">
              <w:rPr>
                <w:rFonts w:ascii="Arial Narrow" w:hAnsi="Arial Narrow"/>
                <w:sz w:val="20"/>
              </w:rPr>
              <w:t>(iii) the date of clinical assessment.</w:t>
            </w:r>
          </w:p>
          <w:p w:rsidR="006444E6" w:rsidRPr="00DF7453" w:rsidRDefault="006444E6"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 xml:space="preserve">All assessments, pathology tests, and diagnostic imaging studies must be made within 1 month of the date of application. </w:t>
            </w:r>
          </w:p>
          <w:p w:rsidR="006444E6" w:rsidRPr="00DF7453" w:rsidRDefault="006444E6"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 xml:space="preserve">If the application is the first application for continuing treatment with this drug, an assessment of the patient's response to the initial course of treatment must be following a minimum of 12 weeks after the first dose so that there is adequate time for a response to be demonstrated. </w:t>
            </w:r>
          </w:p>
          <w:p w:rsidR="00015FBA" w:rsidRDefault="00015FBA"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 xml:space="preserve">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 </w:t>
            </w:r>
          </w:p>
          <w:p w:rsidR="00015FBA" w:rsidRDefault="00015FBA"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 xml:space="preserve">Where an assessment is not submitted to the Department of Human Services within these timeframes, patients will be deemed to have failed to respond, or to have failed to sustain a response, to treatment with this drug. </w:t>
            </w:r>
          </w:p>
          <w:p w:rsidR="00015FBA" w:rsidRDefault="00015FBA"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 xml:space="preserve">Patients are eligible to receive continuing treatment with this drug in courses of up to 24 weeks providing they continue to sustain the response. </w:t>
            </w:r>
          </w:p>
          <w:p w:rsidR="00015FBA" w:rsidRDefault="00015FBA"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 xml:space="preserve">At the time of the authority application, medical practitioners should request the appropriate quantity and number of repeats to provide sufficient dose. Up to a maximum of 2 repeats will be authorised. </w:t>
            </w:r>
          </w:p>
          <w:p w:rsidR="006444E6" w:rsidRPr="00DF7453" w:rsidRDefault="006444E6" w:rsidP="006444E6">
            <w:pPr>
              <w:rPr>
                <w:rFonts w:ascii="Arial Narrow" w:hAnsi="Arial Narrow"/>
                <w:sz w:val="20"/>
              </w:rPr>
            </w:pPr>
          </w:p>
          <w:p w:rsidR="00E0286A" w:rsidRPr="00260CE3" w:rsidRDefault="006444E6" w:rsidP="006444E6">
            <w:pPr>
              <w:rPr>
                <w:rFonts w:ascii="Arial Narrow" w:hAnsi="Arial Narrow"/>
                <w:sz w:val="20"/>
              </w:rPr>
            </w:pPr>
            <w:r w:rsidRPr="00DF7453">
              <w:rPr>
                <w:rFonts w:ascii="Arial Narrow" w:hAnsi="Arial Narrow"/>
                <w:sz w:val="20"/>
              </w:rPr>
              <w:t>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the Department of Human Services and applying through the Balance of Supply restriction. Under no circumstances will telephone approvals be granted for treatment that would otherwise extend the relevant treatment phase.</w:t>
            </w:r>
          </w:p>
        </w:tc>
      </w:tr>
      <w:tr w:rsidR="00E0286A" w:rsidRPr="00260CE3" w:rsidTr="00A7502B">
        <w:trPr>
          <w:trHeight w:val="574"/>
        </w:trPr>
        <w:tc>
          <w:tcPr>
            <w:tcW w:w="1395" w:type="pct"/>
            <w:tcBorders>
              <w:top w:val="single" w:sz="4" w:space="0" w:color="auto"/>
              <w:left w:val="single" w:sz="4" w:space="0" w:color="auto"/>
              <w:bottom w:val="single" w:sz="4" w:space="0" w:color="auto"/>
              <w:right w:val="single" w:sz="4" w:space="0" w:color="auto"/>
            </w:tcBorders>
          </w:tcPr>
          <w:p w:rsidR="00E0286A" w:rsidRPr="00260CE3" w:rsidRDefault="00E0286A" w:rsidP="006444E6">
            <w:pPr>
              <w:rPr>
                <w:rFonts w:ascii="Arial Narrow" w:hAnsi="Arial Narrow"/>
                <w:b/>
                <w:sz w:val="20"/>
              </w:rPr>
            </w:pPr>
            <w:r w:rsidRPr="00260CE3">
              <w:rPr>
                <w:rFonts w:ascii="Arial Narrow" w:hAnsi="Arial Narrow"/>
                <w:b/>
                <w:sz w:val="20"/>
              </w:rPr>
              <w:t>Administrative Advice</w:t>
            </w:r>
          </w:p>
          <w:p w:rsidR="00E0286A" w:rsidRPr="00260CE3" w:rsidRDefault="00E0286A"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No applications for increased maximum quantities will be authorised.</w:t>
            </w:r>
          </w:p>
          <w:p w:rsidR="00E0286A" w:rsidRPr="00260CE3" w:rsidRDefault="006444E6" w:rsidP="006444E6">
            <w:pPr>
              <w:rPr>
                <w:rFonts w:ascii="Arial Narrow" w:hAnsi="Arial Narrow"/>
                <w:sz w:val="20"/>
              </w:rPr>
            </w:pPr>
            <w:r w:rsidRPr="00DF7453">
              <w:rPr>
                <w:rFonts w:ascii="Arial Narrow" w:hAnsi="Arial Narrow"/>
                <w:sz w:val="20"/>
              </w:rPr>
              <w:t>No increase in the maximum number of repeats may be authorised.</w:t>
            </w:r>
          </w:p>
        </w:tc>
      </w:tr>
    </w:tbl>
    <w:p w:rsidR="00E0286A" w:rsidRDefault="00E0286A" w:rsidP="0080738D"/>
    <w:p w:rsidR="006444E6" w:rsidRDefault="006444E6" w:rsidP="0080738D"/>
    <w:tbl>
      <w:tblPr>
        <w:tblW w:w="4562" w:type="pct"/>
        <w:tblInd w:w="817" w:type="dxa"/>
        <w:tblLook w:val="0000" w:firstRow="0" w:lastRow="0" w:firstColumn="0" w:lastColumn="0" w:noHBand="0" w:noVBand="0"/>
      </w:tblPr>
      <w:tblGrid>
        <w:gridCol w:w="2353"/>
        <w:gridCol w:w="6079"/>
      </w:tblGrid>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 xml:space="preserve">Category / </w:t>
            </w:r>
          </w:p>
          <w:p w:rsidR="006444E6" w:rsidRPr="00260CE3" w:rsidRDefault="006444E6" w:rsidP="006444E6">
            <w:pPr>
              <w:rPr>
                <w:rFonts w:ascii="Arial Narrow" w:hAnsi="Arial Narrow"/>
                <w:b/>
                <w:sz w:val="20"/>
              </w:rPr>
            </w:pPr>
            <w:r w:rsidRPr="00260CE3">
              <w:rPr>
                <w:rFonts w:ascii="Arial Narrow" w:hAnsi="Arial Narrow"/>
                <w:b/>
                <w:sz w:val="20"/>
              </w:rPr>
              <w:t>Program</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260CE3">
              <w:rPr>
                <w:rFonts w:ascii="Arial Narrow" w:hAnsi="Arial Narrow"/>
                <w:sz w:val="20"/>
              </w:rPr>
              <w:t>GENERAL – General Schedule (Code GE)</w:t>
            </w:r>
          </w:p>
          <w:p w:rsidR="006444E6" w:rsidRPr="00260CE3" w:rsidRDefault="006444E6" w:rsidP="006444E6">
            <w:pPr>
              <w:rPr>
                <w:rFonts w:ascii="Arial Narrow" w:hAnsi="Arial Narrow"/>
                <w:sz w:val="20"/>
              </w:rPr>
            </w:pPr>
            <w:r w:rsidRPr="00260CE3">
              <w:rPr>
                <w:rFonts w:ascii="Arial Narrow" w:hAnsi="Arial Narrow"/>
                <w:sz w:val="20"/>
              </w:rPr>
              <w:t>Section 100 – Highly Specialised Drugs Program</w:t>
            </w:r>
          </w:p>
          <w:p w:rsidR="006444E6" w:rsidRPr="00260CE3" w:rsidRDefault="006444E6" w:rsidP="006444E6">
            <w:pPr>
              <w:rPr>
                <w:rFonts w:ascii="Arial Narrow" w:hAnsi="Arial Narrow"/>
                <w:sz w:val="20"/>
              </w:rPr>
            </w:pP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Prescriber type:</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444E6" w:rsidRPr="00260CE3" w:rsidRDefault="006444E6" w:rsidP="006444E6">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Condition:</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Severe Crohn disease</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PBS Indication:</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Severe Crohn disease</w:t>
            </w:r>
            <w:r>
              <w:rPr>
                <w:rFonts w:ascii="Arial Narrow" w:hAnsi="Arial Narrow"/>
                <w:b/>
                <w:sz w:val="20"/>
              </w:rPr>
              <w:t xml:space="preserve"> </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Treatment phase:</w:t>
            </w:r>
          </w:p>
          <w:p w:rsidR="006444E6" w:rsidRPr="00260CE3" w:rsidRDefault="006444E6"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Initial PBS-subsidised treatment (Grandfather)</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106BCF" w:rsidRDefault="006444E6" w:rsidP="006444E6">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444E6" w:rsidRPr="00106BCF" w:rsidRDefault="006444E6" w:rsidP="006444E6">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6444E6" w:rsidRPr="00224CFD" w:rsidRDefault="00224CFD" w:rsidP="006444E6">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006444E6" w:rsidRPr="00224CFD">
              <w:rPr>
                <w:rFonts w:ascii="Arial Narrow" w:hAnsi="Arial Narrow"/>
                <w:sz w:val="20"/>
              </w:rPr>
              <w:t>Authority Required - Telephone</w:t>
            </w:r>
          </w:p>
          <w:p w:rsidR="006444E6" w:rsidRPr="00224CFD" w:rsidRDefault="00224CFD" w:rsidP="006444E6">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006444E6" w:rsidRPr="00224CFD">
              <w:rPr>
                <w:rFonts w:ascii="Arial Narrow" w:hAnsi="Arial Narrow"/>
                <w:sz w:val="20"/>
              </w:rPr>
              <w:t>Authority Required – Emergency</w:t>
            </w:r>
          </w:p>
          <w:p w:rsidR="006444E6" w:rsidRPr="00106BCF"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6444E6" w:rsidRPr="00224CFD">
              <w:rPr>
                <w:rFonts w:ascii="Arial Narrow" w:hAnsi="Arial Narrow"/>
                <w:sz w:val="20"/>
              </w:rPr>
              <w:t>Authority Required - Electronic</w:t>
            </w:r>
          </w:p>
          <w:p w:rsidR="006444E6" w:rsidRPr="00260CE3" w:rsidRDefault="006444E6" w:rsidP="006444E6">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6444E6" w:rsidRPr="00106BCF"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Pr>
                <w:rFonts w:ascii="Arial Narrow" w:hAnsi="Arial Narrow"/>
                <w:b/>
                <w:sz w:val="20"/>
              </w:rPr>
              <w:t>Treatment criteria:</w:t>
            </w: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Must be treated by a gastroenterologist (code 87); OR</w:t>
            </w:r>
          </w:p>
          <w:p w:rsidR="006444E6" w:rsidRPr="00DF7453" w:rsidRDefault="006444E6" w:rsidP="006444E6">
            <w:pPr>
              <w:rPr>
                <w:rFonts w:ascii="Arial Narrow" w:hAnsi="Arial Narrow"/>
                <w:sz w:val="20"/>
              </w:rPr>
            </w:pPr>
            <w:r w:rsidRPr="00DF7453">
              <w:rPr>
                <w:rFonts w:ascii="Arial Narrow" w:hAnsi="Arial Narrow"/>
                <w:sz w:val="20"/>
              </w:rPr>
              <w:t>Must be treated by a  consultant physician [internal medicine specialising in gastroenterology (code 81)]; OR</w:t>
            </w:r>
          </w:p>
          <w:p w:rsidR="006444E6" w:rsidRPr="00106BCF" w:rsidRDefault="006444E6" w:rsidP="006444E6">
            <w:pPr>
              <w:rPr>
                <w:rFonts w:ascii="Arial Narrow" w:hAnsi="Arial Narrow"/>
                <w:sz w:val="20"/>
              </w:rPr>
            </w:pPr>
            <w:r w:rsidRPr="00DF7453">
              <w:rPr>
                <w:rFonts w:ascii="Arial Narrow" w:hAnsi="Arial Narrow"/>
                <w:sz w:val="20"/>
              </w:rPr>
              <w:t>Must be treated by a consultant physician [general medicine specialising in gastroenterology (code 82)].</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Clinical criteria:</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 xml:space="preserve">Patient must have previously received non-PBS-subsidised therapy with this drug for this condition prior to &lt;&lt;PBS listing date&gt;&gt;, </w:t>
            </w:r>
          </w:p>
          <w:p w:rsidR="006444E6" w:rsidRPr="00DF7453" w:rsidRDefault="006444E6" w:rsidP="006444E6">
            <w:pPr>
              <w:rPr>
                <w:rFonts w:ascii="Arial Narrow" w:hAnsi="Arial Narrow"/>
                <w:sz w:val="20"/>
              </w:rPr>
            </w:pPr>
            <w:r w:rsidRPr="00DF7453">
              <w:rPr>
                <w:rFonts w:ascii="Arial Narrow" w:hAnsi="Arial Narrow"/>
                <w:sz w:val="20"/>
              </w:rPr>
              <w:t>AND</w:t>
            </w:r>
          </w:p>
          <w:p w:rsidR="006444E6" w:rsidRPr="00DF7453" w:rsidRDefault="006444E6" w:rsidP="006444E6">
            <w:pPr>
              <w:rPr>
                <w:rFonts w:ascii="Arial Narrow" w:hAnsi="Arial Narrow"/>
                <w:sz w:val="20"/>
              </w:rPr>
            </w:pPr>
            <w:r w:rsidRPr="00DF7453">
              <w:rPr>
                <w:rFonts w:ascii="Arial Narrow" w:hAnsi="Arial Narrow"/>
                <w:sz w:val="20"/>
              </w:rPr>
              <w:t>Patient must have had a Crohn Disease Activity Index (CDAI) Score of greater than or equal to 300 prior to commencing treatment with this drug; OR</w:t>
            </w:r>
          </w:p>
          <w:p w:rsidR="002363C0" w:rsidRDefault="002363C0"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Patient must have a documented history of intestinal inflammation and have diagnostic imaging or surgical evidence of short gut syndrome if affected by the syndrome or has an ileostomy or colostomy; OR</w:t>
            </w:r>
          </w:p>
          <w:p w:rsidR="002363C0" w:rsidRDefault="002363C0"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Patient must have a documented history and radiological evidence of intestinal inflammation if the patient has extensive small intestinal disease affecting more than 50 cm of the small intestine,</w:t>
            </w:r>
          </w:p>
          <w:p w:rsidR="002363C0" w:rsidRDefault="002363C0"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AND</w:t>
            </w:r>
          </w:p>
          <w:p w:rsidR="006444E6" w:rsidRPr="00DF7453" w:rsidRDefault="006444E6" w:rsidP="006444E6">
            <w:pPr>
              <w:rPr>
                <w:rFonts w:ascii="Arial Narrow" w:hAnsi="Arial Narrow"/>
                <w:sz w:val="20"/>
              </w:rPr>
            </w:pPr>
            <w:r w:rsidRPr="00DF7453">
              <w:rPr>
                <w:rFonts w:ascii="Arial Narrow" w:hAnsi="Arial Narrow"/>
                <w:sz w:val="20"/>
              </w:rPr>
              <w:t>Patient must have an adequate response to this drug defined as a reduction in Crohn Disease Activity Index (CDAI) Score to a level no greater than 150 if assessed by CDAI or if affected by extensive small intestine disease; OR</w:t>
            </w:r>
          </w:p>
          <w:p w:rsidR="006444E6" w:rsidRPr="00DF7453" w:rsidRDefault="006444E6" w:rsidP="006444E6">
            <w:pPr>
              <w:rPr>
                <w:rFonts w:ascii="Arial Narrow" w:hAnsi="Arial Narrow"/>
                <w:sz w:val="20"/>
              </w:rPr>
            </w:pPr>
            <w:r w:rsidRPr="00DF7453">
              <w:rPr>
                <w:rFonts w:ascii="Arial Narrow" w:hAnsi="Arial Narrow"/>
                <w:sz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p w:rsidR="006444E6" w:rsidRPr="00260CE3" w:rsidRDefault="006444E6" w:rsidP="006444E6">
            <w:pPr>
              <w:rPr>
                <w:rFonts w:ascii="Arial Narrow" w:hAnsi="Arial Narrow"/>
                <w:sz w:val="20"/>
              </w:rPr>
            </w:pP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Population criteria:</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sz w:val="20"/>
              </w:rPr>
              <w:t>Patient must be aged 18 years or older</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Prescriber Instructions</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Applications for authorisation must be made in writing and must include:</w:t>
            </w:r>
          </w:p>
          <w:p w:rsidR="006444E6" w:rsidRPr="00DF7453" w:rsidRDefault="006444E6" w:rsidP="006444E6">
            <w:pPr>
              <w:rPr>
                <w:rFonts w:ascii="Arial Narrow" w:hAnsi="Arial Narrow"/>
                <w:sz w:val="20"/>
              </w:rPr>
            </w:pPr>
            <w:r w:rsidRPr="00DF7453">
              <w:rPr>
                <w:rFonts w:ascii="Arial Narrow" w:hAnsi="Arial Narrow"/>
                <w:sz w:val="20"/>
              </w:rPr>
              <w:t>(a) a completed authority prescription form; and</w:t>
            </w:r>
          </w:p>
          <w:p w:rsidR="006444E6" w:rsidRPr="00DF7453" w:rsidRDefault="006444E6" w:rsidP="006444E6">
            <w:pPr>
              <w:rPr>
                <w:rFonts w:ascii="Arial Narrow" w:hAnsi="Arial Narrow"/>
                <w:sz w:val="20"/>
              </w:rPr>
            </w:pPr>
            <w:r w:rsidRPr="00DF7453">
              <w:rPr>
                <w:rFonts w:ascii="Arial Narrow" w:hAnsi="Arial Narrow"/>
                <w:sz w:val="20"/>
              </w:rPr>
              <w:t>(b) a completed Crohn Disease PBS Authority Application - Supporting Information Form which includes the following:</w:t>
            </w:r>
          </w:p>
          <w:p w:rsidR="006444E6" w:rsidRPr="00DF7453" w:rsidRDefault="006444E6" w:rsidP="006444E6">
            <w:pPr>
              <w:rPr>
                <w:rFonts w:ascii="Arial Narrow" w:hAnsi="Arial Narrow"/>
                <w:sz w:val="20"/>
              </w:rPr>
            </w:pPr>
            <w:r w:rsidRPr="00DF7453">
              <w:rPr>
                <w:rFonts w:ascii="Arial Narrow" w:hAnsi="Arial Narrow"/>
                <w:sz w:val="20"/>
              </w:rPr>
              <w:t>(i) the completed current Crohn Disease Activity Index (CDAI) calculation sheet including the date of assessment of the patient's condition if relevant; and</w:t>
            </w:r>
          </w:p>
          <w:p w:rsidR="006444E6" w:rsidRPr="00DF7453" w:rsidRDefault="006444E6" w:rsidP="006444E6">
            <w:pPr>
              <w:rPr>
                <w:rFonts w:ascii="Arial Narrow" w:hAnsi="Arial Narrow"/>
                <w:sz w:val="20"/>
              </w:rPr>
            </w:pPr>
            <w:r w:rsidRPr="00DF7453">
              <w:rPr>
                <w:rFonts w:ascii="Arial Narrow" w:hAnsi="Arial Narrow"/>
                <w:sz w:val="20"/>
              </w:rPr>
              <w:t>(ii) details of prior systemic drug therapy [dosage, date of commencement and duration of therapy]; and</w:t>
            </w:r>
          </w:p>
          <w:p w:rsidR="006444E6" w:rsidRPr="00DF7453" w:rsidRDefault="006444E6" w:rsidP="006444E6">
            <w:pPr>
              <w:rPr>
                <w:rFonts w:ascii="Arial Narrow" w:hAnsi="Arial Narrow"/>
                <w:sz w:val="20"/>
              </w:rPr>
            </w:pPr>
            <w:r w:rsidRPr="00DF7453">
              <w:rPr>
                <w:rFonts w:ascii="Arial Narrow" w:hAnsi="Arial Narrow"/>
                <w:sz w:val="20"/>
              </w:rPr>
              <w:t>(iii) the reports and dates of the pathology or diagnostic imaging test(s) nominated as the response criterion, if relevant; and</w:t>
            </w:r>
          </w:p>
          <w:p w:rsidR="006444E6" w:rsidRPr="00DF7453" w:rsidRDefault="006444E6" w:rsidP="006444E6">
            <w:pPr>
              <w:rPr>
                <w:rFonts w:ascii="Arial Narrow" w:hAnsi="Arial Narrow"/>
                <w:sz w:val="20"/>
              </w:rPr>
            </w:pPr>
            <w:r w:rsidRPr="00DF7453">
              <w:rPr>
                <w:rFonts w:ascii="Arial Narrow" w:hAnsi="Arial Narrow"/>
                <w:sz w:val="20"/>
              </w:rPr>
              <w:t>(iv) the date of the most recent clinical assessment; and</w:t>
            </w:r>
          </w:p>
          <w:p w:rsidR="006444E6" w:rsidRPr="00DF7453" w:rsidRDefault="006444E6" w:rsidP="006444E6">
            <w:pPr>
              <w:rPr>
                <w:rFonts w:ascii="Arial Narrow" w:hAnsi="Arial Narrow"/>
                <w:sz w:val="20"/>
              </w:rPr>
            </w:pPr>
            <w:r w:rsidRPr="00DF7453">
              <w:rPr>
                <w:rFonts w:ascii="Arial Narrow" w:hAnsi="Arial Narrow"/>
                <w:sz w:val="20"/>
              </w:rPr>
              <w:t>(v) the signed patient acknowledgement indicating they understand and acknowledge that the PBS-subsidised treatment will cease if they do not meet the predetermined response criterion for ongoing PBS-subsidised treatment, as outlined in the restriction for continuing treatment.</w:t>
            </w:r>
          </w:p>
          <w:p w:rsidR="006444E6" w:rsidRPr="00DF7453" w:rsidRDefault="006444E6"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p>
          <w:p w:rsidR="006D690B" w:rsidRPr="00DF7453" w:rsidRDefault="006D690B"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Where an assessment is not submitted to the Department of Human Services within these timeframes, patients will be deemed to have failed to respond, or to have failed to sustain a response, to treatment with this drug.</w:t>
            </w:r>
          </w:p>
          <w:p w:rsidR="006D690B" w:rsidRPr="00DF7453" w:rsidRDefault="006D690B"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Patients are eligible to receive continuing treatment with this drug in courses of up to 24 weeks providing they continue to sustain the response.</w:t>
            </w:r>
          </w:p>
          <w:p w:rsidR="006D690B" w:rsidRPr="00DF7453" w:rsidRDefault="006D690B"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 xml:space="preserve">At the time of the authority application, medical practitioners should request the appropriate quantity and number of repeats to provide sufficient dose. Up to a maximum of 2 repeats will be authorised. </w:t>
            </w:r>
          </w:p>
          <w:p w:rsidR="006D690B" w:rsidRPr="00DF7453" w:rsidRDefault="006D690B"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the Department of Human Services and applying through the Balance of Supply restriction. Under no circumstances will telephone approvals be granted for treatment that would otherwise extend the relevant treatment phase.</w:t>
            </w:r>
          </w:p>
          <w:p w:rsidR="00B072B6" w:rsidRPr="00DF7453" w:rsidRDefault="00B072B6" w:rsidP="006444E6">
            <w:pPr>
              <w:rPr>
                <w:rFonts w:ascii="Arial Narrow" w:hAnsi="Arial Narrow"/>
                <w:sz w:val="20"/>
              </w:rPr>
            </w:pPr>
          </w:p>
          <w:p w:rsidR="006444E6" w:rsidRPr="00260CE3" w:rsidRDefault="006444E6" w:rsidP="006444E6">
            <w:pPr>
              <w:rPr>
                <w:rFonts w:ascii="Arial Narrow" w:hAnsi="Arial Narrow"/>
                <w:sz w:val="20"/>
              </w:rPr>
            </w:pPr>
            <w:r w:rsidRPr="00DF7453">
              <w:rPr>
                <w:rFonts w:ascii="Arial Narrow" w:hAnsi="Arial Narrow"/>
                <w:sz w:val="20"/>
              </w:rPr>
              <w:t>A patient may qualify for PBS-subsidised treatment under this restriction once only.</w:t>
            </w:r>
          </w:p>
        </w:tc>
      </w:tr>
      <w:tr w:rsidR="006444E6" w:rsidRPr="00260CE3" w:rsidTr="00A7502B">
        <w:trPr>
          <w:trHeight w:val="574"/>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Administrative Advice</w:t>
            </w:r>
          </w:p>
          <w:p w:rsidR="006444E6" w:rsidRPr="00260CE3" w:rsidRDefault="006444E6"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No applications for increased maximum quantities will be authorised.</w:t>
            </w:r>
          </w:p>
          <w:p w:rsidR="006444E6" w:rsidRPr="00260CE3" w:rsidRDefault="006444E6" w:rsidP="006444E6">
            <w:pPr>
              <w:rPr>
                <w:rFonts w:ascii="Arial Narrow" w:hAnsi="Arial Narrow"/>
                <w:sz w:val="20"/>
              </w:rPr>
            </w:pPr>
            <w:r w:rsidRPr="00DF7453">
              <w:rPr>
                <w:rFonts w:ascii="Arial Narrow" w:hAnsi="Arial Narrow"/>
                <w:sz w:val="20"/>
              </w:rPr>
              <w:t>No increase in the maximum number of repeats may be authorised.</w:t>
            </w:r>
          </w:p>
        </w:tc>
      </w:tr>
    </w:tbl>
    <w:p w:rsidR="006444E6" w:rsidRDefault="006444E6" w:rsidP="0080738D"/>
    <w:p w:rsidR="00E0286A" w:rsidRDefault="00E0286A" w:rsidP="0080738D"/>
    <w:tbl>
      <w:tblPr>
        <w:tblW w:w="4562" w:type="pct"/>
        <w:tblInd w:w="817" w:type="dxa"/>
        <w:tblLook w:val="0000" w:firstRow="0" w:lastRow="0" w:firstColumn="0" w:lastColumn="0" w:noHBand="0" w:noVBand="0"/>
      </w:tblPr>
      <w:tblGrid>
        <w:gridCol w:w="2353"/>
        <w:gridCol w:w="6079"/>
      </w:tblGrid>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 xml:space="preserve">Category / </w:t>
            </w:r>
          </w:p>
          <w:p w:rsidR="006444E6" w:rsidRPr="00260CE3" w:rsidRDefault="006444E6" w:rsidP="006444E6">
            <w:pPr>
              <w:rPr>
                <w:rFonts w:ascii="Arial Narrow" w:hAnsi="Arial Narrow"/>
                <w:b/>
                <w:sz w:val="20"/>
              </w:rPr>
            </w:pPr>
            <w:r w:rsidRPr="00260CE3">
              <w:rPr>
                <w:rFonts w:ascii="Arial Narrow" w:hAnsi="Arial Narrow"/>
                <w:b/>
                <w:sz w:val="20"/>
              </w:rPr>
              <w:t>Program</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260CE3">
              <w:rPr>
                <w:rFonts w:ascii="Arial Narrow" w:hAnsi="Arial Narrow"/>
                <w:sz w:val="20"/>
              </w:rPr>
              <w:t>GENERAL – General Schedule (Code GE)</w:t>
            </w:r>
          </w:p>
          <w:p w:rsidR="006444E6" w:rsidRPr="00260CE3" w:rsidRDefault="006444E6" w:rsidP="006444E6">
            <w:pPr>
              <w:rPr>
                <w:rFonts w:ascii="Arial Narrow" w:hAnsi="Arial Narrow"/>
                <w:sz w:val="20"/>
              </w:rPr>
            </w:pP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Prescriber type:</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444E6" w:rsidRPr="00260CE3" w:rsidRDefault="006444E6" w:rsidP="006444E6">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Condition:</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Severe Crohn disease</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PBS Indication:</w:t>
            </w: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Severe Crohn disease</w:t>
            </w:r>
            <w:r>
              <w:rPr>
                <w:rFonts w:ascii="Arial Narrow" w:hAnsi="Arial Narrow"/>
                <w:b/>
                <w:sz w:val="20"/>
              </w:rPr>
              <w:t xml:space="preserve"> </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Treatment phase:</w:t>
            </w:r>
          </w:p>
          <w:p w:rsidR="006444E6" w:rsidRPr="00260CE3" w:rsidRDefault="006444E6"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b/>
                <w:sz w:val="20"/>
              </w:rPr>
              <w:t>Balance of supply</w:t>
            </w:r>
            <w:r>
              <w:rPr>
                <w:rFonts w:ascii="Arial Narrow" w:hAnsi="Arial Narrow"/>
                <w:b/>
                <w:sz w:val="20"/>
              </w:rPr>
              <w:t xml:space="preserve"> </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106BCF" w:rsidRDefault="006444E6" w:rsidP="006444E6">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444E6" w:rsidRPr="00106BCF" w:rsidRDefault="006444E6" w:rsidP="006444E6">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6444E6" w:rsidRPr="00106BCF" w:rsidRDefault="006444E6" w:rsidP="006444E6">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6444E6" w:rsidRPr="00106BCF" w:rsidRDefault="00224CFD" w:rsidP="006444E6">
            <w:pPr>
              <w:rPr>
                <w:rFonts w:ascii="Arial Narrow" w:hAnsi="Arial Narrow"/>
                <w:sz w:val="20"/>
              </w:rPr>
            </w:pPr>
            <w:r w:rsidRPr="00224CFD">
              <w:rPr>
                <w:rFonts w:ascii="Arial Narrow" w:hAnsi="Arial Narrow"/>
                <w:sz w:val="20"/>
              </w:rPr>
              <w:fldChar w:fldCharType="begin">
                <w:ffData>
                  <w:name w:val=""/>
                  <w:enabled/>
                  <w:calcOnExit w:val="0"/>
                  <w:checkBox>
                    <w:sizeAuto/>
                    <w:default w:val="0"/>
                  </w:checkBox>
                </w:ffData>
              </w:fldChar>
            </w:r>
            <w:r w:rsidRPr="00224CFD">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224CFD">
              <w:rPr>
                <w:rFonts w:ascii="Arial Narrow" w:hAnsi="Arial Narrow"/>
                <w:sz w:val="20"/>
              </w:rPr>
              <w:fldChar w:fldCharType="end"/>
            </w:r>
            <w:r w:rsidR="006444E6" w:rsidRPr="00224CFD">
              <w:rPr>
                <w:rFonts w:ascii="Arial Narrow" w:hAnsi="Arial Narrow"/>
                <w:sz w:val="20"/>
              </w:rPr>
              <w:t>Authority Required – Emergency</w:t>
            </w:r>
          </w:p>
          <w:p w:rsidR="006444E6" w:rsidRPr="00106BCF" w:rsidRDefault="006444E6" w:rsidP="006444E6">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6444E6" w:rsidRPr="00260CE3" w:rsidRDefault="006444E6" w:rsidP="006444E6">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A59E8">
              <w:rPr>
                <w:rFonts w:ascii="Arial Narrow" w:hAnsi="Arial Narrow"/>
                <w:sz w:val="20"/>
              </w:rPr>
            </w:r>
            <w:r w:rsidR="00CA59E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6444E6" w:rsidRPr="00106BCF"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Pr>
                <w:rFonts w:ascii="Arial Narrow" w:hAnsi="Arial Narrow"/>
                <w:b/>
                <w:sz w:val="20"/>
              </w:rPr>
              <w:t>Treatment criteria:</w:t>
            </w: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Must be treated by a gastroenterologist (code 87); OR</w:t>
            </w:r>
          </w:p>
          <w:p w:rsidR="006444E6" w:rsidRPr="00DF7453" w:rsidRDefault="006444E6" w:rsidP="006444E6">
            <w:pPr>
              <w:rPr>
                <w:rFonts w:ascii="Arial Narrow" w:hAnsi="Arial Narrow"/>
                <w:sz w:val="20"/>
              </w:rPr>
            </w:pPr>
            <w:r w:rsidRPr="00DF7453">
              <w:rPr>
                <w:rFonts w:ascii="Arial Narrow" w:hAnsi="Arial Narrow"/>
                <w:sz w:val="20"/>
              </w:rPr>
              <w:t>Must be treated by a  consultant physician [internal medicine specialising in gastroenterology (code 81)]; OR</w:t>
            </w:r>
          </w:p>
          <w:p w:rsidR="006444E6" w:rsidRPr="00106BCF" w:rsidRDefault="006444E6" w:rsidP="006444E6">
            <w:pPr>
              <w:rPr>
                <w:rFonts w:ascii="Arial Narrow" w:hAnsi="Arial Narrow"/>
                <w:sz w:val="20"/>
              </w:rPr>
            </w:pPr>
            <w:r w:rsidRPr="00DF7453">
              <w:rPr>
                <w:rFonts w:ascii="Arial Narrow" w:hAnsi="Arial Narrow"/>
                <w:sz w:val="20"/>
              </w:rPr>
              <w:t>Must be treated by a consultant physician [general medicine specialising in gastroenterology (code 82)].</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Clinical criteria:</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Default="006444E6" w:rsidP="006444E6">
            <w:pPr>
              <w:rPr>
                <w:rFonts w:ascii="Arial Narrow" w:hAnsi="Arial Narrow"/>
                <w:sz w:val="20"/>
              </w:rPr>
            </w:pPr>
            <w:r w:rsidRPr="00DF7453">
              <w:rPr>
                <w:rFonts w:ascii="Arial Narrow" w:hAnsi="Arial Narrow"/>
                <w:sz w:val="20"/>
              </w:rPr>
              <w:t>Patient must have received insufficient therapy with this drug under the Initial 1 (new patient) or Initial 2 (change or re-commencing patient) restriction to complete the initial dose (i.e. the subcutaneous injection at 8 weeks); OR</w:t>
            </w:r>
          </w:p>
          <w:p w:rsidR="00325397" w:rsidRPr="00DF7453" w:rsidRDefault="00325397"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Patient must have received insufficient therapy with this drug under the Continuing treatment restriction to complete 24 weeks of treatment, OR</w:t>
            </w:r>
          </w:p>
          <w:p w:rsidR="00325397" w:rsidRPr="00DF7453" w:rsidRDefault="00325397" w:rsidP="006444E6">
            <w:pPr>
              <w:rPr>
                <w:rFonts w:ascii="Arial Narrow" w:hAnsi="Arial Narrow"/>
                <w:sz w:val="20"/>
              </w:rPr>
            </w:pPr>
          </w:p>
          <w:p w:rsidR="006444E6" w:rsidRDefault="006444E6" w:rsidP="006444E6">
            <w:pPr>
              <w:rPr>
                <w:rFonts w:ascii="Arial Narrow" w:hAnsi="Arial Narrow"/>
                <w:sz w:val="20"/>
              </w:rPr>
            </w:pPr>
            <w:r w:rsidRPr="00DF7453">
              <w:rPr>
                <w:rFonts w:ascii="Arial Narrow" w:hAnsi="Arial Narrow"/>
                <w:sz w:val="20"/>
              </w:rPr>
              <w:t>Patient must have received insufficient therapy with this drug to complete 24 weeks of treatment under the Initial PBS-subsidised treatment restriction for patients who had previously received non-PBS subsidised treatment (Grandfathered patient),</w:t>
            </w:r>
          </w:p>
          <w:p w:rsidR="00325397" w:rsidRPr="00DF7453" w:rsidRDefault="00325397" w:rsidP="006444E6">
            <w:pPr>
              <w:rPr>
                <w:rFonts w:ascii="Arial Narrow" w:hAnsi="Arial Narrow"/>
                <w:sz w:val="20"/>
              </w:rPr>
            </w:pPr>
          </w:p>
          <w:p w:rsidR="006444E6" w:rsidRPr="00DF7453" w:rsidRDefault="006444E6" w:rsidP="006444E6">
            <w:pPr>
              <w:rPr>
                <w:rFonts w:ascii="Arial Narrow" w:hAnsi="Arial Narrow"/>
                <w:sz w:val="20"/>
              </w:rPr>
            </w:pPr>
            <w:r w:rsidRPr="00DF7453">
              <w:rPr>
                <w:rFonts w:ascii="Arial Narrow" w:hAnsi="Arial Narrow"/>
                <w:sz w:val="20"/>
              </w:rPr>
              <w:t>AND</w:t>
            </w:r>
          </w:p>
          <w:p w:rsidR="006444E6" w:rsidRDefault="006444E6" w:rsidP="006444E6">
            <w:pPr>
              <w:rPr>
                <w:rFonts w:ascii="Arial Narrow" w:hAnsi="Arial Narrow"/>
                <w:sz w:val="20"/>
              </w:rPr>
            </w:pPr>
            <w:r w:rsidRPr="00DF7453">
              <w:rPr>
                <w:rFonts w:ascii="Arial Narrow" w:hAnsi="Arial Narrow"/>
                <w:sz w:val="20"/>
              </w:rPr>
              <w:t>The treatment must provide no more than the balance of up to 1 dose (Initial 1 or Initial 2) or 2 repeats (Continuing or grandfathered patients).</w:t>
            </w:r>
          </w:p>
          <w:p w:rsidR="006444E6" w:rsidRPr="00260CE3" w:rsidRDefault="006444E6" w:rsidP="006444E6">
            <w:pPr>
              <w:rPr>
                <w:rFonts w:ascii="Arial Narrow" w:hAnsi="Arial Narrow"/>
                <w:sz w:val="20"/>
              </w:rPr>
            </w:pP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Population criteria:</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sz w:val="20"/>
              </w:rPr>
            </w:pPr>
            <w:r w:rsidRPr="00DF7453">
              <w:rPr>
                <w:rFonts w:ascii="Arial Narrow" w:hAnsi="Arial Narrow"/>
                <w:sz w:val="20"/>
              </w:rPr>
              <w:t>Patient must be aged 18 years or older</w:t>
            </w:r>
          </w:p>
        </w:tc>
      </w:tr>
      <w:tr w:rsidR="006444E6" w:rsidRPr="00260CE3" w:rsidTr="00A7502B">
        <w:trPr>
          <w:trHeight w:val="360"/>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Prescriber Instructions</w:t>
            </w:r>
          </w:p>
          <w:p w:rsidR="006444E6" w:rsidRPr="00260CE3" w:rsidRDefault="006444E6" w:rsidP="006444E6">
            <w:pPr>
              <w:rPr>
                <w:rFonts w:ascii="Arial Narrow" w:hAnsi="Arial Narrow"/>
                <w:sz w:val="20"/>
              </w:rPr>
            </w:pPr>
          </w:p>
        </w:tc>
        <w:tc>
          <w:tcPr>
            <w:tcW w:w="3605" w:type="pct"/>
            <w:tcBorders>
              <w:top w:val="single" w:sz="4" w:space="0" w:color="auto"/>
              <w:left w:val="single" w:sz="4" w:space="0" w:color="auto"/>
              <w:bottom w:val="single" w:sz="4" w:space="0" w:color="auto"/>
              <w:right w:val="single" w:sz="4" w:space="0" w:color="auto"/>
            </w:tcBorders>
          </w:tcPr>
          <w:p w:rsidR="006444E6" w:rsidRDefault="006444E6" w:rsidP="006444E6">
            <w:pPr>
              <w:rPr>
                <w:rFonts w:ascii="Arial Narrow" w:hAnsi="Arial Narrow"/>
                <w:sz w:val="20"/>
              </w:rPr>
            </w:pPr>
            <w:r w:rsidRPr="00DF7453">
              <w:rPr>
                <w:rFonts w:ascii="Arial Narrow" w:hAnsi="Arial Narrow"/>
                <w:sz w:val="20"/>
              </w:rPr>
              <w:t>Authority approval for sufficient therapy to complete a maximum of 1 initial dose or 2 repeats may be requested by telephone by contacting the Department of Human Services</w:t>
            </w:r>
            <w:r>
              <w:rPr>
                <w:rFonts w:ascii="Arial Narrow" w:hAnsi="Arial Narrow"/>
                <w:sz w:val="20"/>
              </w:rPr>
              <w:t>.</w:t>
            </w:r>
          </w:p>
          <w:p w:rsidR="006444E6" w:rsidRPr="00260CE3" w:rsidRDefault="006444E6" w:rsidP="006444E6">
            <w:pPr>
              <w:rPr>
                <w:rFonts w:ascii="Arial Narrow" w:hAnsi="Arial Narrow"/>
                <w:sz w:val="20"/>
              </w:rPr>
            </w:pPr>
          </w:p>
        </w:tc>
      </w:tr>
      <w:tr w:rsidR="006444E6" w:rsidRPr="00260CE3" w:rsidTr="00A7502B">
        <w:trPr>
          <w:trHeight w:val="574"/>
        </w:trPr>
        <w:tc>
          <w:tcPr>
            <w:tcW w:w="1395" w:type="pct"/>
            <w:tcBorders>
              <w:top w:val="single" w:sz="4" w:space="0" w:color="auto"/>
              <w:left w:val="single" w:sz="4" w:space="0" w:color="auto"/>
              <w:bottom w:val="single" w:sz="4" w:space="0" w:color="auto"/>
              <w:right w:val="single" w:sz="4" w:space="0" w:color="auto"/>
            </w:tcBorders>
          </w:tcPr>
          <w:p w:rsidR="006444E6" w:rsidRPr="00260CE3" w:rsidRDefault="006444E6" w:rsidP="006444E6">
            <w:pPr>
              <w:rPr>
                <w:rFonts w:ascii="Arial Narrow" w:hAnsi="Arial Narrow"/>
                <w:b/>
                <w:sz w:val="20"/>
              </w:rPr>
            </w:pPr>
            <w:r w:rsidRPr="00260CE3">
              <w:rPr>
                <w:rFonts w:ascii="Arial Narrow" w:hAnsi="Arial Narrow"/>
                <w:b/>
                <w:sz w:val="20"/>
              </w:rPr>
              <w:t>Administrative Advice</w:t>
            </w:r>
          </w:p>
          <w:p w:rsidR="006444E6" w:rsidRPr="00260CE3" w:rsidRDefault="006444E6" w:rsidP="006444E6">
            <w:pPr>
              <w:rPr>
                <w:rFonts w:ascii="Arial Narrow" w:hAnsi="Arial Narrow"/>
                <w:i/>
                <w:sz w:val="20"/>
              </w:rPr>
            </w:pPr>
          </w:p>
        </w:tc>
        <w:tc>
          <w:tcPr>
            <w:tcW w:w="3605" w:type="pct"/>
            <w:tcBorders>
              <w:top w:val="single" w:sz="4" w:space="0" w:color="auto"/>
              <w:left w:val="single" w:sz="4" w:space="0" w:color="auto"/>
              <w:bottom w:val="single" w:sz="4" w:space="0" w:color="auto"/>
              <w:right w:val="single" w:sz="4" w:space="0" w:color="auto"/>
            </w:tcBorders>
          </w:tcPr>
          <w:p w:rsidR="006444E6" w:rsidRPr="00DF7453" w:rsidRDefault="006444E6" w:rsidP="006444E6">
            <w:pPr>
              <w:rPr>
                <w:rFonts w:ascii="Arial Narrow" w:hAnsi="Arial Narrow"/>
                <w:sz w:val="20"/>
              </w:rPr>
            </w:pPr>
            <w:r w:rsidRPr="00DF7453">
              <w:rPr>
                <w:rFonts w:ascii="Arial Narrow" w:hAnsi="Arial Narrow"/>
                <w:sz w:val="20"/>
              </w:rPr>
              <w:t>No applications for increased maximum quantities will be authorised.</w:t>
            </w:r>
          </w:p>
          <w:p w:rsidR="006444E6" w:rsidRPr="00260CE3" w:rsidRDefault="006444E6" w:rsidP="006444E6">
            <w:pPr>
              <w:rPr>
                <w:rFonts w:ascii="Arial Narrow" w:hAnsi="Arial Narrow"/>
                <w:sz w:val="20"/>
              </w:rPr>
            </w:pPr>
            <w:r w:rsidRPr="00DF7453">
              <w:rPr>
                <w:rFonts w:ascii="Arial Narrow" w:hAnsi="Arial Narrow"/>
                <w:sz w:val="20"/>
              </w:rPr>
              <w:t>No increase in the maximum number of repeats may be authorised.</w:t>
            </w:r>
          </w:p>
        </w:tc>
      </w:tr>
      <w:bookmarkEnd w:id="1"/>
      <w:bookmarkEnd w:id="2"/>
      <w:bookmarkEnd w:id="3"/>
      <w:bookmarkEnd w:id="4"/>
      <w:bookmarkEnd w:id="5"/>
    </w:tbl>
    <w:p w:rsidR="00C51274" w:rsidRDefault="00C51274" w:rsidP="00B4008E">
      <w:pPr>
        <w:widowControl/>
        <w:rPr>
          <w:b/>
          <w:snapToGrid/>
          <w:szCs w:val="22"/>
        </w:rPr>
      </w:pPr>
    </w:p>
    <w:p w:rsidR="00F23DF6" w:rsidRDefault="00F23DF6" w:rsidP="00F23DF6">
      <w:pPr>
        <w:pStyle w:val="PBACHeading1"/>
        <w:ind w:left="709" w:hanging="709"/>
      </w:pPr>
      <w:r w:rsidRPr="00485DD3">
        <w:t>Context for Decision</w:t>
      </w:r>
    </w:p>
    <w:p w:rsidR="00F23DF6" w:rsidRDefault="00F23DF6" w:rsidP="00F23DF6">
      <w:pPr>
        <w:ind w:left="709"/>
      </w:pPr>
    </w:p>
    <w:p w:rsidR="00F23DF6" w:rsidRDefault="00F23DF6" w:rsidP="00F23DF6">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23DF6" w:rsidRDefault="00F23DF6" w:rsidP="00F23DF6">
      <w:pPr>
        <w:ind w:left="709"/>
      </w:pPr>
    </w:p>
    <w:p w:rsidR="00F23DF6" w:rsidRDefault="00F23DF6" w:rsidP="00F23DF6">
      <w:pPr>
        <w:ind w:left="709"/>
      </w:pPr>
    </w:p>
    <w:p w:rsidR="00F23DF6" w:rsidRPr="00B0280B" w:rsidRDefault="00F23DF6" w:rsidP="00F23DF6">
      <w:pPr>
        <w:pStyle w:val="PBACHeading1"/>
        <w:ind w:left="709" w:hanging="709"/>
      </w:pPr>
      <w:r w:rsidRPr="00485DD3">
        <w:t>Sponsor’s Comment</w:t>
      </w:r>
    </w:p>
    <w:p w:rsidR="00F23DF6" w:rsidRDefault="00F23DF6" w:rsidP="00F23DF6">
      <w:pPr>
        <w:ind w:left="709"/>
        <w:rPr>
          <w:bCs/>
          <w:highlight w:val="yellow"/>
          <w:lang w:val="en-GB"/>
        </w:rPr>
      </w:pPr>
    </w:p>
    <w:p w:rsidR="00F23DF6" w:rsidRPr="00D53228" w:rsidRDefault="00F23DF6" w:rsidP="00D53228">
      <w:pPr>
        <w:spacing w:after="120"/>
        <w:ind w:left="426" w:firstLine="283"/>
        <w:rPr>
          <w:bCs/>
        </w:rPr>
      </w:pPr>
      <w:r w:rsidRPr="003035CC">
        <w:rPr>
          <w:bCs/>
        </w:rPr>
        <w:t>The sponsor had no comment.</w:t>
      </w:r>
    </w:p>
    <w:sectPr w:rsidR="00F23DF6" w:rsidRPr="00D53228" w:rsidSect="004C064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E8" w:rsidRDefault="00CA59E8" w:rsidP="00124A51">
      <w:r>
        <w:separator/>
      </w:r>
    </w:p>
  </w:endnote>
  <w:endnote w:type="continuationSeparator" w:id="0">
    <w:p w:rsidR="00CA59E8" w:rsidRDefault="00CA59E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E8" w:rsidRDefault="00CA5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3C" w:rsidRPr="006A1E4A" w:rsidRDefault="0013573C" w:rsidP="006A1E4A">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CA59E8">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E8" w:rsidRDefault="00CA5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E8" w:rsidRDefault="00CA59E8" w:rsidP="00124A51">
      <w:r>
        <w:separator/>
      </w:r>
    </w:p>
  </w:footnote>
  <w:footnote w:type="continuationSeparator" w:id="0">
    <w:p w:rsidR="00CA59E8" w:rsidRDefault="00CA59E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E8" w:rsidRDefault="00CA5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3C" w:rsidRPr="00DF217D" w:rsidRDefault="0013573C" w:rsidP="00F23DF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13573C" w:rsidRDefault="001357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E8" w:rsidRDefault="00CA5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003CCA"/>
    <w:multiLevelType w:val="hybridMultilevel"/>
    <w:tmpl w:val="BBD80450"/>
    <w:lvl w:ilvl="0" w:tplc="0C090001">
      <w:start w:val="1"/>
      <w:numFmt w:val="bullet"/>
      <w:lvlText w:val=""/>
      <w:lvlJc w:val="left"/>
      <w:pPr>
        <w:ind w:left="687" w:hanging="360"/>
      </w:pPr>
      <w:rPr>
        <w:rFonts w:ascii="Symbol" w:hAnsi="Symbol" w:hint="default"/>
      </w:rPr>
    </w:lvl>
    <w:lvl w:ilvl="1" w:tplc="0C090003" w:tentative="1">
      <w:start w:val="1"/>
      <w:numFmt w:val="bullet"/>
      <w:lvlText w:val="o"/>
      <w:lvlJc w:val="left"/>
      <w:pPr>
        <w:ind w:left="1407" w:hanging="360"/>
      </w:pPr>
      <w:rPr>
        <w:rFonts w:ascii="Courier New" w:hAnsi="Courier New" w:cs="Courier New" w:hint="default"/>
      </w:rPr>
    </w:lvl>
    <w:lvl w:ilvl="2" w:tplc="0C090005" w:tentative="1">
      <w:start w:val="1"/>
      <w:numFmt w:val="bullet"/>
      <w:lvlText w:val=""/>
      <w:lvlJc w:val="left"/>
      <w:pPr>
        <w:ind w:left="2127" w:hanging="360"/>
      </w:pPr>
      <w:rPr>
        <w:rFonts w:ascii="Wingdings" w:hAnsi="Wingdings" w:hint="default"/>
      </w:rPr>
    </w:lvl>
    <w:lvl w:ilvl="3" w:tplc="0C090001" w:tentative="1">
      <w:start w:val="1"/>
      <w:numFmt w:val="bullet"/>
      <w:lvlText w:val=""/>
      <w:lvlJc w:val="left"/>
      <w:pPr>
        <w:ind w:left="2847" w:hanging="360"/>
      </w:pPr>
      <w:rPr>
        <w:rFonts w:ascii="Symbol" w:hAnsi="Symbol" w:hint="default"/>
      </w:rPr>
    </w:lvl>
    <w:lvl w:ilvl="4" w:tplc="0C090003" w:tentative="1">
      <w:start w:val="1"/>
      <w:numFmt w:val="bullet"/>
      <w:lvlText w:val="o"/>
      <w:lvlJc w:val="left"/>
      <w:pPr>
        <w:ind w:left="3567" w:hanging="360"/>
      </w:pPr>
      <w:rPr>
        <w:rFonts w:ascii="Courier New" w:hAnsi="Courier New" w:cs="Courier New" w:hint="default"/>
      </w:rPr>
    </w:lvl>
    <w:lvl w:ilvl="5" w:tplc="0C090005" w:tentative="1">
      <w:start w:val="1"/>
      <w:numFmt w:val="bullet"/>
      <w:lvlText w:val=""/>
      <w:lvlJc w:val="left"/>
      <w:pPr>
        <w:ind w:left="4287" w:hanging="360"/>
      </w:pPr>
      <w:rPr>
        <w:rFonts w:ascii="Wingdings" w:hAnsi="Wingdings" w:hint="default"/>
      </w:rPr>
    </w:lvl>
    <w:lvl w:ilvl="6" w:tplc="0C090001" w:tentative="1">
      <w:start w:val="1"/>
      <w:numFmt w:val="bullet"/>
      <w:lvlText w:val=""/>
      <w:lvlJc w:val="left"/>
      <w:pPr>
        <w:ind w:left="5007" w:hanging="360"/>
      </w:pPr>
      <w:rPr>
        <w:rFonts w:ascii="Symbol" w:hAnsi="Symbol" w:hint="default"/>
      </w:rPr>
    </w:lvl>
    <w:lvl w:ilvl="7" w:tplc="0C090003" w:tentative="1">
      <w:start w:val="1"/>
      <w:numFmt w:val="bullet"/>
      <w:lvlText w:val="o"/>
      <w:lvlJc w:val="left"/>
      <w:pPr>
        <w:ind w:left="5727" w:hanging="360"/>
      </w:pPr>
      <w:rPr>
        <w:rFonts w:ascii="Courier New" w:hAnsi="Courier New" w:cs="Courier New" w:hint="default"/>
      </w:rPr>
    </w:lvl>
    <w:lvl w:ilvl="8" w:tplc="0C090005" w:tentative="1">
      <w:start w:val="1"/>
      <w:numFmt w:val="bullet"/>
      <w:lvlText w:val=""/>
      <w:lvlJc w:val="left"/>
      <w:pPr>
        <w:ind w:left="6447" w:hanging="360"/>
      </w:pPr>
      <w:rPr>
        <w:rFonts w:ascii="Wingdings" w:hAnsi="Wingdings" w:hint="default"/>
      </w:rPr>
    </w:lvl>
  </w:abstractNum>
  <w:abstractNum w:abstractNumId="2">
    <w:nsid w:val="3A701E44"/>
    <w:multiLevelType w:val="hybridMultilevel"/>
    <w:tmpl w:val="B8CA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93F0380"/>
    <w:multiLevelType w:val="hybridMultilevel"/>
    <w:tmpl w:val="CCAC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BE40D26"/>
    <w:multiLevelType w:val="hybridMultilevel"/>
    <w:tmpl w:val="4176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884991"/>
    <w:multiLevelType w:val="hybridMultilevel"/>
    <w:tmpl w:val="12B0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31B21C1"/>
    <w:multiLevelType w:val="hybridMultilevel"/>
    <w:tmpl w:val="5B6A6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2B969282"/>
    <w:lvl w:ilvl="0">
      <w:start w:val="1"/>
      <w:numFmt w:val="decimal"/>
      <w:pStyle w:val="PBACHeading1"/>
      <w:lvlText w:val="%1"/>
      <w:lvlJc w:val="left"/>
      <w:pPr>
        <w:ind w:left="720" w:hanging="7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DB55EDC"/>
    <w:multiLevelType w:val="hybridMultilevel"/>
    <w:tmpl w:val="D4788FC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5"/>
  </w:num>
  <w:num w:numId="8">
    <w:abstractNumId w:val="2"/>
  </w:num>
  <w:num w:numId="9">
    <w:abstractNumId w:val="8"/>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96"/>
    <w:rsid w:val="00000790"/>
    <w:rsid w:val="0000110B"/>
    <w:rsid w:val="0000200F"/>
    <w:rsid w:val="000028E2"/>
    <w:rsid w:val="000029BA"/>
    <w:rsid w:val="000030DD"/>
    <w:rsid w:val="000033CE"/>
    <w:rsid w:val="00003499"/>
    <w:rsid w:val="00003A7D"/>
    <w:rsid w:val="00003C35"/>
    <w:rsid w:val="00003D62"/>
    <w:rsid w:val="00003F3F"/>
    <w:rsid w:val="00004088"/>
    <w:rsid w:val="0000417F"/>
    <w:rsid w:val="00004183"/>
    <w:rsid w:val="00005AF6"/>
    <w:rsid w:val="00005FFB"/>
    <w:rsid w:val="00006071"/>
    <w:rsid w:val="0000676E"/>
    <w:rsid w:val="00006D8F"/>
    <w:rsid w:val="0000717F"/>
    <w:rsid w:val="000074B1"/>
    <w:rsid w:val="00007652"/>
    <w:rsid w:val="00007910"/>
    <w:rsid w:val="00007A71"/>
    <w:rsid w:val="0001059C"/>
    <w:rsid w:val="00010A30"/>
    <w:rsid w:val="00010EF9"/>
    <w:rsid w:val="0001118A"/>
    <w:rsid w:val="00011251"/>
    <w:rsid w:val="00012084"/>
    <w:rsid w:val="00012611"/>
    <w:rsid w:val="0001282D"/>
    <w:rsid w:val="00013247"/>
    <w:rsid w:val="00013E86"/>
    <w:rsid w:val="00014347"/>
    <w:rsid w:val="000156DD"/>
    <w:rsid w:val="00015886"/>
    <w:rsid w:val="00015A1E"/>
    <w:rsid w:val="00015AF0"/>
    <w:rsid w:val="00015FBA"/>
    <w:rsid w:val="00016230"/>
    <w:rsid w:val="000162EF"/>
    <w:rsid w:val="00016769"/>
    <w:rsid w:val="000168FD"/>
    <w:rsid w:val="000170BB"/>
    <w:rsid w:val="00017F6D"/>
    <w:rsid w:val="000203CA"/>
    <w:rsid w:val="00020443"/>
    <w:rsid w:val="00020709"/>
    <w:rsid w:val="00020D91"/>
    <w:rsid w:val="00021440"/>
    <w:rsid w:val="00021676"/>
    <w:rsid w:val="000219F1"/>
    <w:rsid w:val="00021B10"/>
    <w:rsid w:val="00021ED4"/>
    <w:rsid w:val="0002225F"/>
    <w:rsid w:val="00022924"/>
    <w:rsid w:val="00022D75"/>
    <w:rsid w:val="00022E19"/>
    <w:rsid w:val="00022EEE"/>
    <w:rsid w:val="00023027"/>
    <w:rsid w:val="00023763"/>
    <w:rsid w:val="00023A37"/>
    <w:rsid w:val="00023B88"/>
    <w:rsid w:val="0002491A"/>
    <w:rsid w:val="00024BD3"/>
    <w:rsid w:val="00024BDA"/>
    <w:rsid w:val="000257D6"/>
    <w:rsid w:val="000267CC"/>
    <w:rsid w:val="000274BE"/>
    <w:rsid w:val="000276E0"/>
    <w:rsid w:val="00027A0B"/>
    <w:rsid w:val="00027BB5"/>
    <w:rsid w:val="00030A94"/>
    <w:rsid w:val="00030ECA"/>
    <w:rsid w:val="000310F9"/>
    <w:rsid w:val="0003160D"/>
    <w:rsid w:val="0003189B"/>
    <w:rsid w:val="000327CA"/>
    <w:rsid w:val="00033213"/>
    <w:rsid w:val="00033233"/>
    <w:rsid w:val="000337AB"/>
    <w:rsid w:val="000337BC"/>
    <w:rsid w:val="00033D70"/>
    <w:rsid w:val="00034196"/>
    <w:rsid w:val="00034571"/>
    <w:rsid w:val="00034B8B"/>
    <w:rsid w:val="00035794"/>
    <w:rsid w:val="00035C7B"/>
    <w:rsid w:val="00036B79"/>
    <w:rsid w:val="000370B5"/>
    <w:rsid w:val="0003742F"/>
    <w:rsid w:val="0003780E"/>
    <w:rsid w:val="00037CE9"/>
    <w:rsid w:val="00040044"/>
    <w:rsid w:val="000407E8"/>
    <w:rsid w:val="00040895"/>
    <w:rsid w:val="00040A7B"/>
    <w:rsid w:val="00040C14"/>
    <w:rsid w:val="0004109B"/>
    <w:rsid w:val="000418EB"/>
    <w:rsid w:val="000428B2"/>
    <w:rsid w:val="00042E9D"/>
    <w:rsid w:val="00042F7A"/>
    <w:rsid w:val="00043B53"/>
    <w:rsid w:val="00043C2D"/>
    <w:rsid w:val="00043C37"/>
    <w:rsid w:val="00043CA6"/>
    <w:rsid w:val="00043F5B"/>
    <w:rsid w:val="0004444C"/>
    <w:rsid w:val="000444E6"/>
    <w:rsid w:val="000445AB"/>
    <w:rsid w:val="00044801"/>
    <w:rsid w:val="000457FD"/>
    <w:rsid w:val="00045D5F"/>
    <w:rsid w:val="00046037"/>
    <w:rsid w:val="0004614E"/>
    <w:rsid w:val="00046385"/>
    <w:rsid w:val="000463B8"/>
    <w:rsid w:val="00046759"/>
    <w:rsid w:val="000471F6"/>
    <w:rsid w:val="00047AA0"/>
    <w:rsid w:val="0005004A"/>
    <w:rsid w:val="00050363"/>
    <w:rsid w:val="00050452"/>
    <w:rsid w:val="00050AA8"/>
    <w:rsid w:val="000514A5"/>
    <w:rsid w:val="00051A00"/>
    <w:rsid w:val="00051FF1"/>
    <w:rsid w:val="00053092"/>
    <w:rsid w:val="000538D5"/>
    <w:rsid w:val="00053DF2"/>
    <w:rsid w:val="000546D7"/>
    <w:rsid w:val="00055092"/>
    <w:rsid w:val="00055F74"/>
    <w:rsid w:val="00056197"/>
    <w:rsid w:val="0005665A"/>
    <w:rsid w:val="000566A0"/>
    <w:rsid w:val="000567B4"/>
    <w:rsid w:val="0005720A"/>
    <w:rsid w:val="00057BB1"/>
    <w:rsid w:val="00060576"/>
    <w:rsid w:val="00060F88"/>
    <w:rsid w:val="00062A47"/>
    <w:rsid w:val="00063517"/>
    <w:rsid w:val="00063EB1"/>
    <w:rsid w:val="00064342"/>
    <w:rsid w:val="00064415"/>
    <w:rsid w:val="0006448F"/>
    <w:rsid w:val="000644A1"/>
    <w:rsid w:val="000648D6"/>
    <w:rsid w:val="00064B23"/>
    <w:rsid w:val="000653AA"/>
    <w:rsid w:val="000657ED"/>
    <w:rsid w:val="0006583C"/>
    <w:rsid w:val="00065998"/>
    <w:rsid w:val="0006619A"/>
    <w:rsid w:val="00066395"/>
    <w:rsid w:val="00066ADF"/>
    <w:rsid w:val="00066DE3"/>
    <w:rsid w:val="00070A32"/>
    <w:rsid w:val="00071248"/>
    <w:rsid w:val="00071A05"/>
    <w:rsid w:val="00071B5C"/>
    <w:rsid w:val="00071DEA"/>
    <w:rsid w:val="000720B9"/>
    <w:rsid w:val="0007213D"/>
    <w:rsid w:val="00072179"/>
    <w:rsid w:val="00072CB2"/>
    <w:rsid w:val="00073014"/>
    <w:rsid w:val="0007481A"/>
    <w:rsid w:val="00074C7A"/>
    <w:rsid w:val="00074E82"/>
    <w:rsid w:val="00074F09"/>
    <w:rsid w:val="00075112"/>
    <w:rsid w:val="0007586C"/>
    <w:rsid w:val="000759C3"/>
    <w:rsid w:val="00075A60"/>
    <w:rsid w:val="0007603B"/>
    <w:rsid w:val="00076306"/>
    <w:rsid w:val="00076AC4"/>
    <w:rsid w:val="00076AF7"/>
    <w:rsid w:val="00077385"/>
    <w:rsid w:val="00077BBB"/>
    <w:rsid w:val="000804C4"/>
    <w:rsid w:val="00080AC8"/>
    <w:rsid w:val="00080F0B"/>
    <w:rsid w:val="000811CF"/>
    <w:rsid w:val="000812CA"/>
    <w:rsid w:val="00081515"/>
    <w:rsid w:val="00081998"/>
    <w:rsid w:val="00082294"/>
    <w:rsid w:val="00082454"/>
    <w:rsid w:val="00082B66"/>
    <w:rsid w:val="00083445"/>
    <w:rsid w:val="00083605"/>
    <w:rsid w:val="000837E1"/>
    <w:rsid w:val="00083D80"/>
    <w:rsid w:val="00084353"/>
    <w:rsid w:val="00084392"/>
    <w:rsid w:val="000843C7"/>
    <w:rsid w:val="00084E5B"/>
    <w:rsid w:val="0008573E"/>
    <w:rsid w:val="00086403"/>
    <w:rsid w:val="0008648E"/>
    <w:rsid w:val="00087036"/>
    <w:rsid w:val="0008707E"/>
    <w:rsid w:val="00087264"/>
    <w:rsid w:val="0008777C"/>
    <w:rsid w:val="00087A9D"/>
    <w:rsid w:val="00090356"/>
    <w:rsid w:val="00090C7E"/>
    <w:rsid w:val="000914CE"/>
    <w:rsid w:val="000931D1"/>
    <w:rsid w:val="0009321C"/>
    <w:rsid w:val="00093960"/>
    <w:rsid w:val="00093A7E"/>
    <w:rsid w:val="00093CF0"/>
    <w:rsid w:val="00093E20"/>
    <w:rsid w:val="00094AA4"/>
    <w:rsid w:val="00095D28"/>
    <w:rsid w:val="000969D3"/>
    <w:rsid w:val="0009754F"/>
    <w:rsid w:val="0009774F"/>
    <w:rsid w:val="0009776B"/>
    <w:rsid w:val="00097BB8"/>
    <w:rsid w:val="000A00A0"/>
    <w:rsid w:val="000A0391"/>
    <w:rsid w:val="000A0B4F"/>
    <w:rsid w:val="000A1085"/>
    <w:rsid w:val="000A172C"/>
    <w:rsid w:val="000A1843"/>
    <w:rsid w:val="000A19D7"/>
    <w:rsid w:val="000A21AA"/>
    <w:rsid w:val="000A29FE"/>
    <w:rsid w:val="000A2DFF"/>
    <w:rsid w:val="000A3898"/>
    <w:rsid w:val="000A39A5"/>
    <w:rsid w:val="000A536A"/>
    <w:rsid w:val="000A5E9D"/>
    <w:rsid w:val="000A608C"/>
    <w:rsid w:val="000A6D4D"/>
    <w:rsid w:val="000A7391"/>
    <w:rsid w:val="000A7669"/>
    <w:rsid w:val="000B0C1D"/>
    <w:rsid w:val="000B0F4B"/>
    <w:rsid w:val="000B1347"/>
    <w:rsid w:val="000B28E6"/>
    <w:rsid w:val="000B3956"/>
    <w:rsid w:val="000B4671"/>
    <w:rsid w:val="000B4A46"/>
    <w:rsid w:val="000B4C8D"/>
    <w:rsid w:val="000B5B44"/>
    <w:rsid w:val="000B5B98"/>
    <w:rsid w:val="000B6372"/>
    <w:rsid w:val="000B70FC"/>
    <w:rsid w:val="000B7838"/>
    <w:rsid w:val="000C0A87"/>
    <w:rsid w:val="000C0CC5"/>
    <w:rsid w:val="000C0FB3"/>
    <w:rsid w:val="000C1EBF"/>
    <w:rsid w:val="000C2047"/>
    <w:rsid w:val="000C27B6"/>
    <w:rsid w:val="000C3B93"/>
    <w:rsid w:val="000C4437"/>
    <w:rsid w:val="000C4567"/>
    <w:rsid w:val="000C4846"/>
    <w:rsid w:val="000C50BB"/>
    <w:rsid w:val="000C543B"/>
    <w:rsid w:val="000C59A7"/>
    <w:rsid w:val="000C5F92"/>
    <w:rsid w:val="000C60DA"/>
    <w:rsid w:val="000C7A79"/>
    <w:rsid w:val="000D02F5"/>
    <w:rsid w:val="000D0807"/>
    <w:rsid w:val="000D082E"/>
    <w:rsid w:val="000D0ACD"/>
    <w:rsid w:val="000D0B26"/>
    <w:rsid w:val="000D1491"/>
    <w:rsid w:val="000D1703"/>
    <w:rsid w:val="000D1BD0"/>
    <w:rsid w:val="000D1BFC"/>
    <w:rsid w:val="000D20ED"/>
    <w:rsid w:val="000D30E4"/>
    <w:rsid w:val="000D31BD"/>
    <w:rsid w:val="000D3AF3"/>
    <w:rsid w:val="000D3C00"/>
    <w:rsid w:val="000D4510"/>
    <w:rsid w:val="000D4DD4"/>
    <w:rsid w:val="000D666E"/>
    <w:rsid w:val="000E265C"/>
    <w:rsid w:val="000E2A4F"/>
    <w:rsid w:val="000E2DFD"/>
    <w:rsid w:val="000E309F"/>
    <w:rsid w:val="000E324D"/>
    <w:rsid w:val="000E5328"/>
    <w:rsid w:val="000E58EF"/>
    <w:rsid w:val="000E6579"/>
    <w:rsid w:val="000E66A1"/>
    <w:rsid w:val="000E679C"/>
    <w:rsid w:val="000E6B11"/>
    <w:rsid w:val="000E6BD2"/>
    <w:rsid w:val="000E6FAD"/>
    <w:rsid w:val="000E7B51"/>
    <w:rsid w:val="000F0753"/>
    <w:rsid w:val="000F0C4B"/>
    <w:rsid w:val="000F16F0"/>
    <w:rsid w:val="000F2C67"/>
    <w:rsid w:val="000F3BB3"/>
    <w:rsid w:val="000F3BCD"/>
    <w:rsid w:val="000F3C2D"/>
    <w:rsid w:val="000F44E2"/>
    <w:rsid w:val="000F44EE"/>
    <w:rsid w:val="000F4B91"/>
    <w:rsid w:val="000F4BB8"/>
    <w:rsid w:val="000F4EB5"/>
    <w:rsid w:val="000F5620"/>
    <w:rsid w:val="000F581B"/>
    <w:rsid w:val="000F5D78"/>
    <w:rsid w:val="000F5F97"/>
    <w:rsid w:val="000F7127"/>
    <w:rsid w:val="000F734B"/>
    <w:rsid w:val="000F74F8"/>
    <w:rsid w:val="000F7B53"/>
    <w:rsid w:val="000F7C31"/>
    <w:rsid w:val="001001F2"/>
    <w:rsid w:val="001007C5"/>
    <w:rsid w:val="00100F8A"/>
    <w:rsid w:val="00101F69"/>
    <w:rsid w:val="0010293B"/>
    <w:rsid w:val="00102DAE"/>
    <w:rsid w:val="0010328B"/>
    <w:rsid w:val="0010334E"/>
    <w:rsid w:val="00103CD6"/>
    <w:rsid w:val="001045EB"/>
    <w:rsid w:val="0010501D"/>
    <w:rsid w:val="00105596"/>
    <w:rsid w:val="001059B6"/>
    <w:rsid w:val="0010648B"/>
    <w:rsid w:val="001066B8"/>
    <w:rsid w:val="00110146"/>
    <w:rsid w:val="0011032E"/>
    <w:rsid w:val="001104EA"/>
    <w:rsid w:val="001108CA"/>
    <w:rsid w:val="00111852"/>
    <w:rsid w:val="00111A58"/>
    <w:rsid w:val="00111AFF"/>
    <w:rsid w:val="00111C48"/>
    <w:rsid w:val="00112BE9"/>
    <w:rsid w:val="00112EB4"/>
    <w:rsid w:val="0011306B"/>
    <w:rsid w:val="001133C5"/>
    <w:rsid w:val="0011348B"/>
    <w:rsid w:val="0011381F"/>
    <w:rsid w:val="00113EBA"/>
    <w:rsid w:val="001147A5"/>
    <w:rsid w:val="00115101"/>
    <w:rsid w:val="00116333"/>
    <w:rsid w:val="00116A59"/>
    <w:rsid w:val="00116D59"/>
    <w:rsid w:val="00117345"/>
    <w:rsid w:val="00117695"/>
    <w:rsid w:val="001179C2"/>
    <w:rsid w:val="00117A9D"/>
    <w:rsid w:val="00117E53"/>
    <w:rsid w:val="0012010C"/>
    <w:rsid w:val="00121799"/>
    <w:rsid w:val="00121B93"/>
    <w:rsid w:val="00121E42"/>
    <w:rsid w:val="001222FC"/>
    <w:rsid w:val="0012301F"/>
    <w:rsid w:val="00123500"/>
    <w:rsid w:val="00123B08"/>
    <w:rsid w:val="00123B93"/>
    <w:rsid w:val="00124692"/>
    <w:rsid w:val="00124A03"/>
    <w:rsid w:val="00124A51"/>
    <w:rsid w:val="00125159"/>
    <w:rsid w:val="0012547F"/>
    <w:rsid w:val="00125F92"/>
    <w:rsid w:val="00126621"/>
    <w:rsid w:val="00126660"/>
    <w:rsid w:val="0012669D"/>
    <w:rsid w:val="001268FD"/>
    <w:rsid w:val="00126DB9"/>
    <w:rsid w:val="00126E6C"/>
    <w:rsid w:val="001301E9"/>
    <w:rsid w:val="00130F24"/>
    <w:rsid w:val="00131DC9"/>
    <w:rsid w:val="00132285"/>
    <w:rsid w:val="00132EE1"/>
    <w:rsid w:val="001352E3"/>
    <w:rsid w:val="001353FF"/>
    <w:rsid w:val="00135481"/>
    <w:rsid w:val="0013573C"/>
    <w:rsid w:val="00135878"/>
    <w:rsid w:val="00135B8E"/>
    <w:rsid w:val="00135C8A"/>
    <w:rsid w:val="00136098"/>
    <w:rsid w:val="00136704"/>
    <w:rsid w:val="00136BEF"/>
    <w:rsid w:val="00137645"/>
    <w:rsid w:val="00137E96"/>
    <w:rsid w:val="0014015A"/>
    <w:rsid w:val="001406AA"/>
    <w:rsid w:val="00140B25"/>
    <w:rsid w:val="00140DC1"/>
    <w:rsid w:val="00140E99"/>
    <w:rsid w:val="001419D3"/>
    <w:rsid w:val="00142A29"/>
    <w:rsid w:val="00142C9B"/>
    <w:rsid w:val="00143580"/>
    <w:rsid w:val="001439A1"/>
    <w:rsid w:val="00143BF2"/>
    <w:rsid w:val="00143FF4"/>
    <w:rsid w:val="00144514"/>
    <w:rsid w:val="001450A0"/>
    <w:rsid w:val="00145540"/>
    <w:rsid w:val="001456B0"/>
    <w:rsid w:val="00145BBD"/>
    <w:rsid w:val="00146CCB"/>
    <w:rsid w:val="00146F1F"/>
    <w:rsid w:val="0014750F"/>
    <w:rsid w:val="00147714"/>
    <w:rsid w:val="00147DAF"/>
    <w:rsid w:val="001510F5"/>
    <w:rsid w:val="0015126B"/>
    <w:rsid w:val="00151E0F"/>
    <w:rsid w:val="0015326C"/>
    <w:rsid w:val="00154DB3"/>
    <w:rsid w:val="00154EDB"/>
    <w:rsid w:val="00157130"/>
    <w:rsid w:val="00157268"/>
    <w:rsid w:val="00160427"/>
    <w:rsid w:val="001612EE"/>
    <w:rsid w:val="00161D3F"/>
    <w:rsid w:val="0016214A"/>
    <w:rsid w:val="00162913"/>
    <w:rsid w:val="00162CEF"/>
    <w:rsid w:val="00162E8B"/>
    <w:rsid w:val="001632DE"/>
    <w:rsid w:val="00163946"/>
    <w:rsid w:val="00163AB6"/>
    <w:rsid w:val="00163EFF"/>
    <w:rsid w:val="001640E8"/>
    <w:rsid w:val="001644E9"/>
    <w:rsid w:val="00164DCE"/>
    <w:rsid w:val="0016533B"/>
    <w:rsid w:val="001661FB"/>
    <w:rsid w:val="001663C9"/>
    <w:rsid w:val="00167005"/>
    <w:rsid w:val="0016769C"/>
    <w:rsid w:val="00167A2A"/>
    <w:rsid w:val="00167A99"/>
    <w:rsid w:val="001704A5"/>
    <w:rsid w:val="001705E5"/>
    <w:rsid w:val="00170E79"/>
    <w:rsid w:val="00171BBE"/>
    <w:rsid w:val="00171D66"/>
    <w:rsid w:val="00171F2D"/>
    <w:rsid w:val="00172229"/>
    <w:rsid w:val="001724F9"/>
    <w:rsid w:val="001728E0"/>
    <w:rsid w:val="00173724"/>
    <w:rsid w:val="00173BEA"/>
    <w:rsid w:val="00174481"/>
    <w:rsid w:val="0017488D"/>
    <w:rsid w:val="00174E11"/>
    <w:rsid w:val="00175C89"/>
    <w:rsid w:val="00176121"/>
    <w:rsid w:val="001764D7"/>
    <w:rsid w:val="001777F7"/>
    <w:rsid w:val="00177E13"/>
    <w:rsid w:val="00180045"/>
    <w:rsid w:val="00180075"/>
    <w:rsid w:val="0018089E"/>
    <w:rsid w:val="00180BB0"/>
    <w:rsid w:val="00181BE5"/>
    <w:rsid w:val="00182004"/>
    <w:rsid w:val="00183404"/>
    <w:rsid w:val="00184801"/>
    <w:rsid w:val="001855D5"/>
    <w:rsid w:val="00185E96"/>
    <w:rsid w:val="00185ECB"/>
    <w:rsid w:val="00186D24"/>
    <w:rsid w:val="00186D3E"/>
    <w:rsid w:val="00186F4D"/>
    <w:rsid w:val="001872A0"/>
    <w:rsid w:val="0018745E"/>
    <w:rsid w:val="0018752F"/>
    <w:rsid w:val="00187E06"/>
    <w:rsid w:val="0019084C"/>
    <w:rsid w:val="00190C01"/>
    <w:rsid w:val="001918C0"/>
    <w:rsid w:val="001928CE"/>
    <w:rsid w:val="00192AAA"/>
    <w:rsid w:val="0019305D"/>
    <w:rsid w:val="00193B10"/>
    <w:rsid w:val="001945BC"/>
    <w:rsid w:val="0019466F"/>
    <w:rsid w:val="00194CAD"/>
    <w:rsid w:val="00195222"/>
    <w:rsid w:val="00195717"/>
    <w:rsid w:val="00195C11"/>
    <w:rsid w:val="00196CB9"/>
    <w:rsid w:val="001975D8"/>
    <w:rsid w:val="00197D72"/>
    <w:rsid w:val="00197E9A"/>
    <w:rsid w:val="001A003F"/>
    <w:rsid w:val="001A0BF3"/>
    <w:rsid w:val="001A1049"/>
    <w:rsid w:val="001A12D8"/>
    <w:rsid w:val="001A1D36"/>
    <w:rsid w:val="001A24EA"/>
    <w:rsid w:val="001A273C"/>
    <w:rsid w:val="001A2756"/>
    <w:rsid w:val="001A307D"/>
    <w:rsid w:val="001A413A"/>
    <w:rsid w:val="001A44ED"/>
    <w:rsid w:val="001A58AF"/>
    <w:rsid w:val="001A5962"/>
    <w:rsid w:val="001A5A5C"/>
    <w:rsid w:val="001A5AB6"/>
    <w:rsid w:val="001A6174"/>
    <w:rsid w:val="001A707E"/>
    <w:rsid w:val="001B0619"/>
    <w:rsid w:val="001B0A6E"/>
    <w:rsid w:val="001B0E60"/>
    <w:rsid w:val="001B14A8"/>
    <w:rsid w:val="001B18E4"/>
    <w:rsid w:val="001B2BE2"/>
    <w:rsid w:val="001B2CEE"/>
    <w:rsid w:val="001B3170"/>
    <w:rsid w:val="001B3198"/>
    <w:rsid w:val="001B31F5"/>
    <w:rsid w:val="001B339F"/>
    <w:rsid w:val="001B3443"/>
    <w:rsid w:val="001B363B"/>
    <w:rsid w:val="001B386C"/>
    <w:rsid w:val="001B451D"/>
    <w:rsid w:val="001B4DB8"/>
    <w:rsid w:val="001B5CFB"/>
    <w:rsid w:val="001B5E01"/>
    <w:rsid w:val="001B5F42"/>
    <w:rsid w:val="001B6220"/>
    <w:rsid w:val="001C032F"/>
    <w:rsid w:val="001C14A3"/>
    <w:rsid w:val="001C2B28"/>
    <w:rsid w:val="001C3326"/>
    <w:rsid w:val="001C40AA"/>
    <w:rsid w:val="001C40C6"/>
    <w:rsid w:val="001C4202"/>
    <w:rsid w:val="001C6E66"/>
    <w:rsid w:val="001C7482"/>
    <w:rsid w:val="001C7776"/>
    <w:rsid w:val="001C7ACC"/>
    <w:rsid w:val="001D03A0"/>
    <w:rsid w:val="001D2301"/>
    <w:rsid w:val="001D28E8"/>
    <w:rsid w:val="001D2ADF"/>
    <w:rsid w:val="001D39D9"/>
    <w:rsid w:val="001D3AB7"/>
    <w:rsid w:val="001D3B4B"/>
    <w:rsid w:val="001D4FB3"/>
    <w:rsid w:val="001D6B32"/>
    <w:rsid w:val="001D748F"/>
    <w:rsid w:val="001D7D26"/>
    <w:rsid w:val="001E0497"/>
    <w:rsid w:val="001E0515"/>
    <w:rsid w:val="001E07EB"/>
    <w:rsid w:val="001E174D"/>
    <w:rsid w:val="001E238E"/>
    <w:rsid w:val="001E2956"/>
    <w:rsid w:val="001E297E"/>
    <w:rsid w:val="001E29EA"/>
    <w:rsid w:val="001E2B1E"/>
    <w:rsid w:val="001E34A9"/>
    <w:rsid w:val="001E3C7D"/>
    <w:rsid w:val="001E4115"/>
    <w:rsid w:val="001E418C"/>
    <w:rsid w:val="001E45F4"/>
    <w:rsid w:val="001E46CA"/>
    <w:rsid w:val="001E48D7"/>
    <w:rsid w:val="001E4A17"/>
    <w:rsid w:val="001E4C27"/>
    <w:rsid w:val="001E4FE0"/>
    <w:rsid w:val="001E512A"/>
    <w:rsid w:val="001E52EB"/>
    <w:rsid w:val="001E5686"/>
    <w:rsid w:val="001E5FFF"/>
    <w:rsid w:val="001E6016"/>
    <w:rsid w:val="001E6615"/>
    <w:rsid w:val="001E66CB"/>
    <w:rsid w:val="001E67D5"/>
    <w:rsid w:val="001E69A7"/>
    <w:rsid w:val="001E6CEA"/>
    <w:rsid w:val="001E740C"/>
    <w:rsid w:val="001E78FA"/>
    <w:rsid w:val="001E7BAB"/>
    <w:rsid w:val="001F0059"/>
    <w:rsid w:val="001F0160"/>
    <w:rsid w:val="001F0524"/>
    <w:rsid w:val="001F07FB"/>
    <w:rsid w:val="001F0C3F"/>
    <w:rsid w:val="001F1235"/>
    <w:rsid w:val="001F128A"/>
    <w:rsid w:val="001F128C"/>
    <w:rsid w:val="001F1CB3"/>
    <w:rsid w:val="001F22D2"/>
    <w:rsid w:val="001F2434"/>
    <w:rsid w:val="001F2B91"/>
    <w:rsid w:val="001F314C"/>
    <w:rsid w:val="001F3C28"/>
    <w:rsid w:val="001F3CAF"/>
    <w:rsid w:val="001F64C8"/>
    <w:rsid w:val="001F6522"/>
    <w:rsid w:val="001F6FEB"/>
    <w:rsid w:val="001F72A2"/>
    <w:rsid w:val="001F7361"/>
    <w:rsid w:val="002006C6"/>
    <w:rsid w:val="00200820"/>
    <w:rsid w:val="00200986"/>
    <w:rsid w:val="00200E62"/>
    <w:rsid w:val="00201D38"/>
    <w:rsid w:val="00202627"/>
    <w:rsid w:val="00202B16"/>
    <w:rsid w:val="00203220"/>
    <w:rsid w:val="0020385F"/>
    <w:rsid w:val="00204650"/>
    <w:rsid w:val="00205606"/>
    <w:rsid w:val="00205893"/>
    <w:rsid w:val="00205FA8"/>
    <w:rsid w:val="00206D54"/>
    <w:rsid w:val="00206FDA"/>
    <w:rsid w:val="00207021"/>
    <w:rsid w:val="0020723E"/>
    <w:rsid w:val="00207D00"/>
    <w:rsid w:val="00207F0D"/>
    <w:rsid w:val="002105C1"/>
    <w:rsid w:val="00211070"/>
    <w:rsid w:val="00211283"/>
    <w:rsid w:val="00211B2A"/>
    <w:rsid w:val="00211E47"/>
    <w:rsid w:val="00211EA2"/>
    <w:rsid w:val="00212308"/>
    <w:rsid w:val="00214BD9"/>
    <w:rsid w:val="00215824"/>
    <w:rsid w:val="002159EC"/>
    <w:rsid w:val="002165D7"/>
    <w:rsid w:val="00216E3C"/>
    <w:rsid w:val="00217444"/>
    <w:rsid w:val="00217CCD"/>
    <w:rsid w:val="0022039C"/>
    <w:rsid w:val="00220495"/>
    <w:rsid w:val="00220951"/>
    <w:rsid w:val="002209C7"/>
    <w:rsid w:val="00220A5C"/>
    <w:rsid w:val="00220E13"/>
    <w:rsid w:val="00221A4D"/>
    <w:rsid w:val="00221F69"/>
    <w:rsid w:val="002222A4"/>
    <w:rsid w:val="0022247A"/>
    <w:rsid w:val="00222989"/>
    <w:rsid w:val="00223109"/>
    <w:rsid w:val="00223182"/>
    <w:rsid w:val="00223B49"/>
    <w:rsid w:val="002240F2"/>
    <w:rsid w:val="002245E8"/>
    <w:rsid w:val="00224CFD"/>
    <w:rsid w:val="00224DD4"/>
    <w:rsid w:val="00225635"/>
    <w:rsid w:val="002268F3"/>
    <w:rsid w:val="00226D94"/>
    <w:rsid w:val="0022784B"/>
    <w:rsid w:val="00227C09"/>
    <w:rsid w:val="0023042A"/>
    <w:rsid w:val="00230484"/>
    <w:rsid w:val="002309CC"/>
    <w:rsid w:val="002310DC"/>
    <w:rsid w:val="00231258"/>
    <w:rsid w:val="002320E7"/>
    <w:rsid w:val="002337BD"/>
    <w:rsid w:val="00233D44"/>
    <w:rsid w:val="0023478E"/>
    <w:rsid w:val="00235037"/>
    <w:rsid w:val="002350C5"/>
    <w:rsid w:val="002352D2"/>
    <w:rsid w:val="00235EFA"/>
    <w:rsid w:val="00236093"/>
    <w:rsid w:val="002362BA"/>
    <w:rsid w:val="002363C0"/>
    <w:rsid w:val="00237A06"/>
    <w:rsid w:val="0024005F"/>
    <w:rsid w:val="002403EF"/>
    <w:rsid w:val="00240B2C"/>
    <w:rsid w:val="002412FA"/>
    <w:rsid w:val="00241480"/>
    <w:rsid w:val="00242702"/>
    <w:rsid w:val="00242D36"/>
    <w:rsid w:val="00243559"/>
    <w:rsid w:val="002437C3"/>
    <w:rsid w:val="00243F48"/>
    <w:rsid w:val="002452EA"/>
    <w:rsid w:val="0024641E"/>
    <w:rsid w:val="00246820"/>
    <w:rsid w:val="0024716F"/>
    <w:rsid w:val="00247D1D"/>
    <w:rsid w:val="002502CC"/>
    <w:rsid w:val="00251398"/>
    <w:rsid w:val="002516E0"/>
    <w:rsid w:val="00251CDF"/>
    <w:rsid w:val="00252152"/>
    <w:rsid w:val="00252316"/>
    <w:rsid w:val="002528A9"/>
    <w:rsid w:val="00252EDB"/>
    <w:rsid w:val="002541E8"/>
    <w:rsid w:val="002541F6"/>
    <w:rsid w:val="00254DCF"/>
    <w:rsid w:val="0025534B"/>
    <w:rsid w:val="00255B8C"/>
    <w:rsid w:val="00255BB7"/>
    <w:rsid w:val="00255CE9"/>
    <w:rsid w:val="0025710D"/>
    <w:rsid w:val="002600CE"/>
    <w:rsid w:val="00260955"/>
    <w:rsid w:val="002610F9"/>
    <w:rsid w:val="00261899"/>
    <w:rsid w:val="00261951"/>
    <w:rsid w:val="00261A7B"/>
    <w:rsid w:val="00261F73"/>
    <w:rsid w:val="0026236C"/>
    <w:rsid w:val="002623D4"/>
    <w:rsid w:val="00262A87"/>
    <w:rsid w:val="0026407B"/>
    <w:rsid w:val="00264302"/>
    <w:rsid w:val="00264D05"/>
    <w:rsid w:val="0026541A"/>
    <w:rsid w:val="0026569A"/>
    <w:rsid w:val="002656D8"/>
    <w:rsid w:val="002658E6"/>
    <w:rsid w:val="00265A34"/>
    <w:rsid w:val="0026642D"/>
    <w:rsid w:val="002665AB"/>
    <w:rsid w:val="002666A8"/>
    <w:rsid w:val="002676FE"/>
    <w:rsid w:val="00267E51"/>
    <w:rsid w:val="00271002"/>
    <w:rsid w:val="002719AA"/>
    <w:rsid w:val="00271D5B"/>
    <w:rsid w:val="00271F61"/>
    <w:rsid w:val="002721FF"/>
    <w:rsid w:val="00272D7E"/>
    <w:rsid w:val="002734C1"/>
    <w:rsid w:val="00273E38"/>
    <w:rsid w:val="00274A9D"/>
    <w:rsid w:val="00274C1A"/>
    <w:rsid w:val="00275114"/>
    <w:rsid w:val="00275B24"/>
    <w:rsid w:val="00275C5A"/>
    <w:rsid w:val="00275E5E"/>
    <w:rsid w:val="00276A84"/>
    <w:rsid w:val="00277392"/>
    <w:rsid w:val="00277D0C"/>
    <w:rsid w:val="00277F4A"/>
    <w:rsid w:val="00280225"/>
    <w:rsid w:val="002804B3"/>
    <w:rsid w:val="00281014"/>
    <w:rsid w:val="0028181D"/>
    <w:rsid w:val="002819D9"/>
    <w:rsid w:val="00281DB7"/>
    <w:rsid w:val="00282267"/>
    <w:rsid w:val="002829A6"/>
    <w:rsid w:val="00282F04"/>
    <w:rsid w:val="00283A1E"/>
    <w:rsid w:val="0028402A"/>
    <w:rsid w:val="00285255"/>
    <w:rsid w:val="0028550E"/>
    <w:rsid w:val="00286917"/>
    <w:rsid w:val="00287198"/>
    <w:rsid w:val="0028723D"/>
    <w:rsid w:val="0028737C"/>
    <w:rsid w:val="00290518"/>
    <w:rsid w:val="00290E39"/>
    <w:rsid w:val="002914F4"/>
    <w:rsid w:val="00291B3A"/>
    <w:rsid w:val="002924C1"/>
    <w:rsid w:val="0029256D"/>
    <w:rsid w:val="00293027"/>
    <w:rsid w:val="002933A2"/>
    <w:rsid w:val="00293717"/>
    <w:rsid w:val="00293F5C"/>
    <w:rsid w:val="00294325"/>
    <w:rsid w:val="00294359"/>
    <w:rsid w:val="0029479C"/>
    <w:rsid w:val="00295529"/>
    <w:rsid w:val="00295BE6"/>
    <w:rsid w:val="002A1308"/>
    <w:rsid w:val="002A14AB"/>
    <w:rsid w:val="002A174A"/>
    <w:rsid w:val="002A225B"/>
    <w:rsid w:val="002A27E7"/>
    <w:rsid w:val="002A3C75"/>
    <w:rsid w:val="002A3F23"/>
    <w:rsid w:val="002A4681"/>
    <w:rsid w:val="002A5154"/>
    <w:rsid w:val="002A535F"/>
    <w:rsid w:val="002A574A"/>
    <w:rsid w:val="002A6691"/>
    <w:rsid w:val="002A684B"/>
    <w:rsid w:val="002B0571"/>
    <w:rsid w:val="002B0999"/>
    <w:rsid w:val="002B0AF6"/>
    <w:rsid w:val="002B1C1F"/>
    <w:rsid w:val="002B24BE"/>
    <w:rsid w:val="002B26A9"/>
    <w:rsid w:val="002B278E"/>
    <w:rsid w:val="002B2CCF"/>
    <w:rsid w:val="002B2EE3"/>
    <w:rsid w:val="002B3F3C"/>
    <w:rsid w:val="002B432F"/>
    <w:rsid w:val="002B438E"/>
    <w:rsid w:val="002B4393"/>
    <w:rsid w:val="002B5169"/>
    <w:rsid w:val="002B55CD"/>
    <w:rsid w:val="002B5A50"/>
    <w:rsid w:val="002B61A1"/>
    <w:rsid w:val="002B6CCE"/>
    <w:rsid w:val="002B7138"/>
    <w:rsid w:val="002B78D7"/>
    <w:rsid w:val="002B7BE3"/>
    <w:rsid w:val="002C0479"/>
    <w:rsid w:val="002C086A"/>
    <w:rsid w:val="002C08C3"/>
    <w:rsid w:val="002C09A9"/>
    <w:rsid w:val="002C0E4E"/>
    <w:rsid w:val="002C1CAD"/>
    <w:rsid w:val="002C21DC"/>
    <w:rsid w:val="002C24B2"/>
    <w:rsid w:val="002C2775"/>
    <w:rsid w:val="002C27C1"/>
    <w:rsid w:val="002C2F62"/>
    <w:rsid w:val="002C30DF"/>
    <w:rsid w:val="002C313C"/>
    <w:rsid w:val="002C3A3E"/>
    <w:rsid w:val="002C4088"/>
    <w:rsid w:val="002C4216"/>
    <w:rsid w:val="002C4372"/>
    <w:rsid w:val="002C45C1"/>
    <w:rsid w:val="002C4678"/>
    <w:rsid w:val="002C509E"/>
    <w:rsid w:val="002C5300"/>
    <w:rsid w:val="002C53D6"/>
    <w:rsid w:val="002C5E4D"/>
    <w:rsid w:val="002C5EAB"/>
    <w:rsid w:val="002C66F9"/>
    <w:rsid w:val="002C7DE8"/>
    <w:rsid w:val="002D0302"/>
    <w:rsid w:val="002D0937"/>
    <w:rsid w:val="002D17F6"/>
    <w:rsid w:val="002D19A5"/>
    <w:rsid w:val="002D2251"/>
    <w:rsid w:val="002D2B8D"/>
    <w:rsid w:val="002D2BEE"/>
    <w:rsid w:val="002D2C62"/>
    <w:rsid w:val="002D38C4"/>
    <w:rsid w:val="002D45E8"/>
    <w:rsid w:val="002D57F7"/>
    <w:rsid w:val="002D599C"/>
    <w:rsid w:val="002D5B48"/>
    <w:rsid w:val="002D7551"/>
    <w:rsid w:val="002D7575"/>
    <w:rsid w:val="002D775E"/>
    <w:rsid w:val="002D7DDF"/>
    <w:rsid w:val="002D7EE7"/>
    <w:rsid w:val="002D7F7B"/>
    <w:rsid w:val="002E0632"/>
    <w:rsid w:val="002E1897"/>
    <w:rsid w:val="002E1929"/>
    <w:rsid w:val="002E1F51"/>
    <w:rsid w:val="002E279A"/>
    <w:rsid w:val="002E2919"/>
    <w:rsid w:val="002E2A1E"/>
    <w:rsid w:val="002E2F4C"/>
    <w:rsid w:val="002E31CC"/>
    <w:rsid w:val="002E326B"/>
    <w:rsid w:val="002E32A0"/>
    <w:rsid w:val="002E330F"/>
    <w:rsid w:val="002E3D40"/>
    <w:rsid w:val="002E4106"/>
    <w:rsid w:val="002E45A7"/>
    <w:rsid w:val="002E4913"/>
    <w:rsid w:val="002E4C18"/>
    <w:rsid w:val="002E53D2"/>
    <w:rsid w:val="002E683A"/>
    <w:rsid w:val="002E6B54"/>
    <w:rsid w:val="002E6D62"/>
    <w:rsid w:val="002E7160"/>
    <w:rsid w:val="002E77B9"/>
    <w:rsid w:val="002E7A0A"/>
    <w:rsid w:val="002E7F62"/>
    <w:rsid w:val="002F0D76"/>
    <w:rsid w:val="002F1852"/>
    <w:rsid w:val="002F1AA9"/>
    <w:rsid w:val="002F1CF1"/>
    <w:rsid w:val="002F291B"/>
    <w:rsid w:val="002F2F06"/>
    <w:rsid w:val="002F306B"/>
    <w:rsid w:val="002F42F7"/>
    <w:rsid w:val="002F4CE6"/>
    <w:rsid w:val="002F5278"/>
    <w:rsid w:val="00300AE3"/>
    <w:rsid w:val="00300EC2"/>
    <w:rsid w:val="00301017"/>
    <w:rsid w:val="00301261"/>
    <w:rsid w:val="00301942"/>
    <w:rsid w:val="00301A65"/>
    <w:rsid w:val="003024DC"/>
    <w:rsid w:val="00302D71"/>
    <w:rsid w:val="003034D7"/>
    <w:rsid w:val="00303C7B"/>
    <w:rsid w:val="00304E95"/>
    <w:rsid w:val="00305992"/>
    <w:rsid w:val="00306660"/>
    <w:rsid w:val="0030692A"/>
    <w:rsid w:val="003076EA"/>
    <w:rsid w:val="0030786C"/>
    <w:rsid w:val="00307B86"/>
    <w:rsid w:val="003101EC"/>
    <w:rsid w:val="0031031A"/>
    <w:rsid w:val="00310435"/>
    <w:rsid w:val="003105A1"/>
    <w:rsid w:val="00310943"/>
    <w:rsid w:val="0031096B"/>
    <w:rsid w:val="00310981"/>
    <w:rsid w:val="00310BDE"/>
    <w:rsid w:val="0031174B"/>
    <w:rsid w:val="00311852"/>
    <w:rsid w:val="0031408D"/>
    <w:rsid w:val="003142B2"/>
    <w:rsid w:val="003142C9"/>
    <w:rsid w:val="0031546C"/>
    <w:rsid w:val="00315498"/>
    <w:rsid w:val="00315550"/>
    <w:rsid w:val="00315EAD"/>
    <w:rsid w:val="00316756"/>
    <w:rsid w:val="00316801"/>
    <w:rsid w:val="003168A6"/>
    <w:rsid w:val="00317581"/>
    <w:rsid w:val="003177FB"/>
    <w:rsid w:val="00317C30"/>
    <w:rsid w:val="00317DD6"/>
    <w:rsid w:val="00320B0B"/>
    <w:rsid w:val="0032109C"/>
    <w:rsid w:val="0032147B"/>
    <w:rsid w:val="00322D4B"/>
    <w:rsid w:val="00322DC0"/>
    <w:rsid w:val="00323608"/>
    <w:rsid w:val="0032361E"/>
    <w:rsid w:val="0032415B"/>
    <w:rsid w:val="00325397"/>
    <w:rsid w:val="003253D2"/>
    <w:rsid w:val="00325416"/>
    <w:rsid w:val="003260B2"/>
    <w:rsid w:val="003267A9"/>
    <w:rsid w:val="00326A45"/>
    <w:rsid w:val="00327369"/>
    <w:rsid w:val="0032765E"/>
    <w:rsid w:val="00331BE2"/>
    <w:rsid w:val="00331E3D"/>
    <w:rsid w:val="00333567"/>
    <w:rsid w:val="00333E2E"/>
    <w:rsid w:val="003347B2"/>
    <w:rsid w:val="003354F6"/>
    <w:rsid w:val="0033627B"/>
    <w:rsid w:val="003366C9"/>
    <w:rsid w:val="003371B0"/>
    <w:rsid w:val="00337D68"/>
    <w:rsid w:val="00340638"/>
    <w:rsid w:val="00341614"/>
    <w:rsid w:val="00341974"/>
    <w:rsid w:val="00341B15"/>
    <w:rsid w:val="00342C8E"/>
    <w:rsid w:val="00343B95"/>
    <w:rsid w:val="00344524"/>
    <w:rsid w:val="00344618"/>
    <w:rsid w:val="00344D02"/>
    <w:rsid w:val="003450EA"/>
    <w:rsid w:val="003453DA"/>
    <w:rsid w:val="00345AE6"/>
    <w:rsid w:val="00345EA1"/>
    <w:rsid w:val="00346B1C"/>
    <w:rsid w:val="00347AA5"/>
    <w:rsid w:val="003501A7"/>
    <w:rsid w:val="00350842"/>
    <w:rsid w:val="00351070"/>
    <w:rsid w:val="003511AE"/>
    <w:rsid w:val="00352038"/>
    <w:rsid w:val="0035251D"/>
    <w:rsid w:val="0035279F"/>
    <w:rsid w:val="00352852"/>
    <w:rsid w:val="00353818"/>
    <w:rsid w:val="003545F7"/>
    <w:rsid w:val="00354970"/>
    <w:rsid w:val="0035559C"/>
    <w:rsid w:val="0035620E"/>
    <w:rsid w:val="00357E09"/>
    <w:rsid w:val="003609DF"/>
    <w:rsid w:val="003611A2"/>
    <w:rsid w:val="00361697"/>
    <w:rsid w:val="003618F4"/>
    <w:rsid w:val="00361F81"/>
    <w:rsid w:val="003622AC"/>
    <w:rsid w:val="00362A69"/>
    <w:rsid w:val="00364D3D"/>
    <w:rsid w:val="00364EF7"/>
    <w:rsid w:val="00365107"/>
    <w:rsid w:val="003656AB"/>
    <w:rsid w:val="00366B28"/>
    <w:rsid w:val="003678DD"/>
    <w:rsid w:val="00370242"/>
    <w:rsid w:val="00371934"/>
    <w:rsid w:val="00372474"/>
    <w:rsid w:val="00372A93"/>
    <w:rsid w:val="003733B3"/>
    <w:rsid w:val="003737D1"/>
    <w:rsid w:val="00373BEF"/>
    <w:rsid w:val="00374467"/>
    <w:rsid w:val="0037451A"/>
    <w:rsid w:val="00374692"/>
    <w:rsid w:val="0037471E"/>
    <w:rsid w:val="00374EDC"/>
    <w:rsid w:val="00376058"/>
    <w:rsid w:val="00377109"/>
    <w:rsid w:val="00377860"/>
    <w:rsid w:val="00380C93"/>
    <w:rsid w:val="003812B0"/>
    <w:rsid w:val="003815CC"/>
    <w:rsid w:val="00381CD8"/>
    <w:rsid w:val="00381DB6"/>
    <w:rsid w:val="00381F74"/>
    <w:rsid w:val="003823A1"/>
    <w:rsid w:val="00382B24"/>
    <w:rsid w:val="00383451"/>
    <w:rsid w:val="0038365C"/>
    <w:rsid w:val="00383824"/>
    <w:rsid w:val="00383B59"/>
    <w:rsid w:val="00383ECD"/>
    <w:rsid w:val="00384544"/>
    <w:rsid w:val="00384C64"/>
    <w:rsid w:val="003851A4"/>
    <w:rsid w:val="00385D8B"/>
    <w:rsid w:val="00387001"/>
    <w:rsid w:val="00387537"/>
    <w:rsid w:val="003876EF"/>
    <w:rsid w:val="00387AC7"/>
    <w:rsid w:val="00387E0B"/>
    <w:rsid w:val="003907B7"/>
    <w:rsid w:val="003913FC"/>
    <w:rsid w:val="00391AC2"/>
    <w:rsid w:val="00392644"/>
    <w:rsid w:val="00392792"/>
    <w:rsid w:val="003928E3"/>
    <w:rsid w:val="00392B84"/>
    <w:rsid w:val="003931D9"/>
    <w:rsid w:val="00393242"/>
    <w:rsid w:val="0039336F"/>
    <w:rsid w:val="00393847"/>
    <w:rsid w:val="00393DFB"/>
    <w:rsid w:val="00394423"/>
    <w:rsid w:val="00394467"/>
    <w:rsid w:val="00395008"/>
    <w:rsid w:val="00395D99"/>
    <w:rsid w:val="0039606C"/>
    <w:rsid w:val="0039648A"/>
    <w:rsid w:val="0039689E"/>
    <w:rsid w:val="00396BBC"/>
    <w:rsid w:val="00396FD0"/>
    <w:rsid w:val="00397137"/>
    <w:rsid w:val="0039734F"/>
    <w:rsid w:val="003976FC"/>
    <w:rsid w:val="00397B0F"/>
    <w:rsid w:val="003A01FA"/>
    <w:rsid w:val="003A1A7A"/>
    <w:rsid w:val="003A261E"/>
    <w:rsid w:val="003A2BB9"/>
    <w:rsid w:val="003A31C6"/>
    <w:rsid w:val="003A34DB"/>
    <w:rsid w:val="003A3DEC"/>
    <w:rsid w:val="003A4938"/>
    <w:rsid w:val="003A5761"/>
    <w:rsid w:val="003A5DE0"/>
    <w:rsid w:val="003A5E52"/>
    <w:rsid w:val="003A6160"/>
    <w:rsid w:val="003A7504"/>
    <w:rsid w:val="003A7A3B"/>
    <w:rsid w:val="003B0028"/>
    <w:rsid w:val="003B0AD1"/>
    <w:rsid w:val="003B1077"/>
    <w:rsid w:val="003B146D"/>
    <w:rsid w:val="003B1A7C"/>
    <w:rsid w:val="003B2021"/>
    <w:rsid w:val="003B20C0"/>
    <w:rsid w:val="003B23B4"/>
    <w:rsid w:val="003B2602"/>
    <w:rsid w:val="003B38EE"/>
    <w:rsid w:val="003B5B1F"/>
    <w:rsid w:val="003B6633"/>
    <w:rsid w:val="003B6970"/>
    <w:rsid w:val="003B6975"/>
    <w:rsid w:val="003B71F9"/>
    <w:rsid w:val="003B73E5"/>
    <w:rsid w:val="003C06C9"/>
    <w:rsid w:val="003C0EC2"/>
    <w:rsid w:val="003C2216"/>
    <w:rsid w:val="003C2446"/>
    <w:rsid w:val="003C2897"/>
    <w:rsid w:val="003C29D1"/>
    <w:rsid w:val="003C3074"/>
    <w:rsid w:val="003C31DD"/>
    <w:rsid w:val="003C37E4"/>
    <w:rsid w:val="003C4218"/>
    <w:rsid w:val="003C48E4"/>
    <w:rsid w:val="003C4E8A"/>
    <w:rsid w:val="003C4F6C"/>
    <w:rsid w:val="003C508D"/>
    <w:rsid w:val="003C5DEF"/>
    <w:rsid w:val="003C6209"/>
    <w:rsid w:val="003C643D"/>
    <w:rsid w:val="003C6759"/>
    <w:rsid w:val="003C69DE"/>
    <w:rsid w:val="003C717E"/>
    <w:rsid w:val="003D09F0"/>
    <w:rsid w:val="003D1828"/>
    <w:rsid w:val="003D2422"/>
    <w:rsid w:val="003D2A56"/>
    <w:rsid w:val="003D2E3A"/>
    <w:rsid w:val="003D32BC"/>
    <w:rsid w:val="003D3DFC"/>
    <w:rsid w:val="003D499A"/>
    <w:rsid w:val="003D4DFB"/>
    <w:rsid w:val="003D51D1"/>
    <w:rsid w:val="003D51D8"/>
    <w:rsid w:val="003D6D57"/>
    <w:rsid w:val="003D6E3D"/>
    <w:rsid w:val="003D748D"/>
    <w:rsid w:val="003E04EE"/>
    <w:rsid w:val="003E0972"/>
    <w:rsid w:val="003E0B0B"/>
    <w:rsid w:val="003E0E4C"/>
    <w:rsid w:val="003E16F0"/>
    <w:rsid w:val="003E1836"/>
    <w:rsid w:val="003E1AF2"/>
    <w:rsid w:val="003E20DB"/>
    <w:rsid w:val="003E33EA"/>
    <w:rsid w:val="003E39F4"/>
    <w:rsid w:val="003E41EE"/>
    <w:rsid w:val="003E44FF"/>
    <w:rsid w:val="003E47F6"/>
    <w:rsid w:val="003E4A9E"/>
    <w:rsid w:val="003E4AEA"/>
    <w:rsid w:val="003E5645"/>
    <w:rsid w:val="003E5B21"/>
    <w:rsid w:val="003E5FD2"/>
    <w:rsid w:val="003E619D"/>
    <w:rsid w:val="003E660A"/>
    <w:rsid w:val="003E6879"/>
    <w:rsid w:val="003E6D04"/>
    <w:rsid w:val="003E73A9"/>
    <w:rsid w:val="003E770D"/>
    <w:rsid w:val="003F07A7"/>
    <w:rsid w:val="003F0CB1"/>
    <w:rsid w:val="003F0F6D"/>
    <w:rsid w:val="003F102E"/>
    <w:rsid w:val="003F108E"/>
    <w:rsid w:val="003F128C"/>
    <w:rsid w:val="003F1A7A"/>
    <w:rsid w:val="003F2BB1"/>
    <w:rsid w:val="003F3351"/>
    <w:rsid w:val="003F3A30"/>
    <w:rsid w:val="003F4046"/>
    <w:rsid w:val="003F4156"/>
    <w:rsid w:val="003F437B"/>
    <w:rsid w:val="003F4822"/>
    <w:rsid w:val="003F5DBD"/>
    <w:rsid w:val="003F5F97"/>
    <w:rsid w:val="003F638E"/>
    <w:rsid w:val="003F7204"/>
    <w:rsid w:val="0040063B"/>
    <w:rsid w:val="004009EE"/>
    <w:rsid w:val="00402474"/>
    <w:rsid w:val="0040262B"/>
    <w:rsid w:val="0040287D"/>
    <w:rsid w:val="00402BA7"/>
    <w:rsid w:val="00402D36"/>
    <w:rsid w:val="00403262"/>
    <w:rsid w:val="004036C5"/>
    <w:rsid w:val="0040390D"/>
    <w:rsid w:val="00403C96"/>
    <w:rsid w:val="004042BC"/>
    <w:rsid w:val="00404393"/>
    <w:rsid w:val="004045C4"/>
    <w:rsid w:val="004046E7"/>
    <w:rsid w:val="004050E3"/>
    <w:rsid w:val="00410708"/>
    <w:rsid w:val="00410855"/>
    <w:rsid w:val="00410EC7"/>
    <w:rsid w:val="004115F3"/>
    <w:rsid w:val="00411DD1"/>
    <w:rsid w:val="00412982"/>
    <w:rsid w:val="00412E6D"/>
    <w:rsid w:val="00413166"/>
    <w:rsid w:val="004137F9"/>
    <w:rsid w:val="00413986"/>
    <w:rsid w:val="00413E7B"/>
    <w:rsid w:val="00414233"/>
    <w:rsid w:val="00414476"/>
    <w:rsid w:val="00414ADE"/>
    <w:rsid w:val="00416242"/>
    <w:rsid w:val="0041708F"/>
    <w:rsid w:val="00417475"/>
    <w:rsid w:val="0042081B"/>
    <w:rsid w:val="004208D9"/>
    <w:rsid w:val="00420B9F"/>
    <w:rsid w:val="00421C21"/>
    <w:rsid w:val="00422141"/>
    <w:rsid w:val="004229D4"/>
    <w:rsid w:val="00423B5E"/>
    <w:rsid w:val="004240C3"/>
    <w:rsid w:val="0042478E"/>
    <w:rsid w:val="004258CC"/>
    <w:rsid w:val="0042635A"/>
    <w:rsid w:val="00426473"/>
    <w:rsid w:val="00426E74"/>
    <w:rsid w:val="00427BE3"/>
    <w:rsid w:val="00430542"/>
    <w:rsid w:val="00431001"/>
    <w:rsid w:val="004318F6"/>
    <w:rsid w:val="004319F8"/>
    <w:rsid w:val="00432530"/>
    <w:rsid w:val="00432DEA"/>
    <w:rsid w:val="00433044"/>
    <w:rsid w:val="00433486"/>
    <w:rsid w:val="00435001"/>
    <w:rsid w:val="004358AA"/>
    <w:rsid w:val="0043596C"/>
    <w:rsid w:val="00435CC2"/>
    <w:rsid w:val="00437576"/>
    <w:rsid w:val="004376EB"/>
    <w:rsid w:val="004379B4"/>
    <w:rsid w:val="004379B6"/>
    <w:rsid w:val="0044012E"/>
    <w:rsid w:val="00441286"/>
    <w:rsid w:val="00441799"/>
    <w:rsid w:val="00441BF9"/>
    <w:rsid w:val="00441F84"/>
    <w:rsid w:val="00442AE0"/>
    <w:rsid w:val="00442C26"/>
    <w:rsid w:val="00443E8D"/>
    <w:rsid w:val="004443A7"/>
    <w:rsid w:val="004450A0"/>
    <w:rsid w:val="0044556C"/>
    <w:rsid w:val="004464EB"/>
    <w:rsid w:val="0044692C"/>
    <w:rsid w:val="00446F1E"/>
    <w:rsid w:val="00447043"/>
    <w:rsid w:val="00447670"/>
    <w:rsid w:val="00447E70"/>
    <w:rsid w:val="00450935"/>
    <w:rsid w:val="00450C6F"/>
    <w:rsid w:val="00450D8A"/>
    <w:rsid w:val="0045231A"/>
    <w:rsid w:val="00453CCA"/>
    <w:rsid w:val="00453D5E"/>
    <w:rsid w:val="00454003"/>
    <w:rsid w:val="00454D0D"/>
    <w:rsid w:val="0045598A"/>
    <w:rsid w:val="00455AB5"/>
    <w:rsid w:val="00455D45"/>
    <w:rsid w:val="00456C42"/>
    <w:rsid w:val="00457BD1"/>
    <w:rsid w:val="004605B3"/>
    <w:rsid w:val="0046095B"/>
    <w:rsid w:val="004609D7"/>
    <w:rsid w:val="00460B05"/>
    <w:rsid w:val="004636FF"/>
    <w:rsid w:val="00464595"/>
    <w:rsid w:val="00464637"/>
    <w:rsid w:val="004646AF"/>
    <w:rsid w:val="00465646"/>
    <w:rsid w:val="00465C58"/>
    <w:rsid w:val="00466A4B"/>
    <w:rsid w:val="00466ADF"/>
    <w:rsid w:val="0046767D"/>
    <w:rsid w:val="00467B06"/>
    <w:rsid w:val="00470E7B"/>
    <w:rsid w:val="004712A8"/>
    <w:rsid w:val="004713D7"/>
    <w:rsid w:val="00472B81"/>
    <w:rsid w:val="00473CD4"/>
    <w:rsid w:val="00474074"/>
    <w:rsid w:val="0047431D"/>
    <w:rsid w:val="004749BA"/>
    <w:rsid w:val="00474B37"/>
    <w:rsid w:val="00474D4A"/>
    <w:rsid w:val="00475265"/>
    <w:rsid w:val="004760E8"/>
    <w:rsid w:val="00476387"/>
    <w:rsid w:val="004763AC"/>
    <w:rsid w:val="00476B2F"/>
    <w:rsid w:val="00476C94"/>
    <w:rsid w:val="00476E6D"/>
    <w:rsid w:val="00477219"/>
    <w:rsid w:val="00480165"/>
    <w:rsid w:val="00480C16"/>
    <w:rsid w:val="00480EAB"/>
    <w:rsid w:val="0048152C"/>
    <w:rsid w:val="00481BC0"/>
    <w:rsid w:val="00482454"/>
    <w:rsid w:val="00482EDB"/>
    <w:rsid w:val="00483437"/>
    <w:rsid w:val="004834D2"/>
    <w:rsid w:val="0048490D"/>
    <w:rsid w:val="00484A39"/>
    <w:rsid w:val="00484C17"/>
    <w:rsid w:val="00484E1B"/>
    <w:rsid w:val="004850F4"/>
    <w:rsid w:val="0048539B"/>
    <w:rsid w:val="0048547C"/>
    <w:rsid w:val="004854BB"/>
    <w:rsid w:val="0048661A"/>
    <w:rsid w:val="004867E2"/>
    <w:rsid w:val="00486BAA"/>
    <w:rsid w:val="00487776"/>
    <w:rsid w:val="004878AB"/>
    <w:rsid w:val="004911DD"/>
    <w:rsid w:val="004911EB"/>
    <w:rsid w:val="0049125D"/>
    <w:rsid w:val="004914EB"/>
    <w:rsid w:val="00491615"/>
    <w:rsid w:val="00491676"/>
    <w:rsid w:val="00491B3A"/>
    <w:rsid w:val="00491C07"/>
    <w:rsid w:val="00491EB6"/>
    <w:rsid w:val="004920D1"/>
    <w:rsid w:val="00492883"/>
    <w:rsid w:val="00492CFD"/>
    <w:rsid w:val="00492ED6"/>
    <w:rsid w:val="00493E15"/>
    <w:rsid w:val="00493E84"/>
    <w:rsid w:val="0049488C"/>
    <w:rsid w:val="00494A46"/>
    <w:rsid w:val="00494B6F"/>
    <w:rsid w:val="0049534A"/>
    <w:rsid w:val="004953B7"/>
    <w:rsid w:val="0049567B"/>
    <w:rsid w:val="004956EA"/>
    <w:rsid w:val="00495D25"/>
    <w:rsid w:val="004961AB"/>
    <w:rsid w:val="004962D2"/>
    <w:rsid w:val="004964B3"/>
    <w:rsid w:val="00496CD3"/>
    <w:rsid w:val="004976F5"/>
    <w:rsid w:val="00497C67"/>
    <w:rsid w:val="00497C9A"/>
    <w:rsid w:val="00497DEC"/>
    <w:rsid w:val="004A01CF"/>
    <w:rsid w:val="004A071A"/>
    <w:rsid w:val="004A0983"/>
    <w:rsid w:val="004A0DA1"/>
    <w:rsid w:val="004A2036"/>
    <w:rsid w:val="004A31BE"/>
    <w:rsid w:val="004A3E13"/>
    <w:rsid w:val="004A3F47"/>
    <w:rsid w:val="004A4A75"/>
    <w:rsid w:val="004A58DB"/>
    <w:rsid w:val="004A5C20"/>
    <w:rsid w:val="004A5D88"/>
    <w:rsid w:val="004A633C"/>
    <w:rsid w:val="004A6597"/>
    <w:rsid w:val="004A6AF2"/>
    <w:rsid w:val="004B0AC0"/>
    <w:rsid w:val="004B17A9"/>
    <w:rsid w:val="004B1A6F"/>
    <w:rsid w:val="004B1CB4"/>
    <w:rsid w:val="004B1E28"/>
    <w:rsid w:val="004B26B7"/>
    <w:rsid w:val="004B2BF0"/>
    <w:rsid w:val="004B2F18"/>
    <w:rsid w:val="004B2FE9"/>
    <w:rsid w:val="004B31BC"/>
    <w:rsid w:val="004B3949"/>
    <w:rsid w:val="004B398E"/>
    <w:rsid w:val="004B3DDB"/>
    <w:rsid w:val="004B44FD"/>
    <w:rsid w:val="004B4D5D"/>
    <w:rsid w:val="004B54EF"/>
    <w:rsid w:val="004B559B"/>
    <w:rsid w:val="004B5CFC"/>
    <w:rsid w:val="004B7501"/>
    <w:rsid w:val="004B7697"/>
    <w:rsid w:val="004B7D0C"/>
    <w:rsid w:val="004B7FD1"/>
    <w:rsid w:val="004C0645"/>
    <w:rsid w:val="004C15E7"/>
    <w:rsid w:val="004C2132"/>
    <w:rsid w:val="004C2409"/>
    <w:rsid w:val="004C2742"/>
    <w:rsid w:val="004C35A7"/>
    <w:rsid w:val="004C40A0"/>
    <w:rsid w:val="004C41C6"/>
    <w:rsid w:val="004C4AED"/>
    <w:rsid w:val="004C4FF9"/>
    <w:rsid w:val="004C5777"/>
    <w:rsid w:val="004C5B00"/>
    <w:rsid w:val="004C651B"/>
    <w:rsid w:val="004C65B4"/>
    <w:rsid w:val="004C6CD3"/>
    <w:rsid w:val="004C7149"/>
    <w:rsid w:val="004C74E1"/>
    <w:rsid w:val="004C76FD"/>
    <w:rsid w:val="004C78BF"/>
    <w:rsid w:val="004C7C44"/>
    <w:rsid w:val="004D000E"/>
    <w:rsid w:val="004D0434"/>
    <w:rsid w:val="004D0665"/>
    <w:rsid w:val="004D06CE"/>
    <w:rsid w:val="004D0A12"/>
    <w:rsid w:val="004D0D54"/>
    <w:rsid w:val="004D14E3"/>
    <w:rsid w:val="004D1B9C"/>
    <w:rsid w:val="004D2410"/>
    <w:rsid w:val="004D35E3"/>
    <w:rsid w:val="004D3D9B"/>
    <w:rsid w:val="004D3F61"/>
    <w:rsid w:val="004D4858"/>
    <w:rsid w:val="004D6209"/>
    <w:rsid w:val="004D62B8"/>
    <w:rsid w:val="004D6B3A"/>
    <w:rsid w:val="004D7CEF"/>
    <w:rsid w:val="004E033B"/>
    <w:rsid w:val="004E0EB8"/>
    <w:rsid w:val="004E13E2"/>
    <w:rsid w:val="004E1CF5"/>
    <w:rsid w:val="004E1F27"/>
    <w:rsid w:val="004E1FA6"/>
    <w:rsid w:val="004E24B3"/>
    <w:rsid w:val="004E26A2"/>
    <w:rsid w:val="004E2A3A"/>
    <w:rsid w:val="004E2ADC"/>
    <w:rsid w:val="004E2BD4"/>
    <w:rsid w:val="004E2E2C"/>
    <w:rsid w:val="004E3F0C"/>
    <w:rsid w:val="004E3FDE"/>
    <w:rsid w:val="004E41FA"/>
    <w:rsid w:val="004E43B2"/>
    <w:rsid w:val="004E4A3C"/>
    <w:rsid w:val="004E5256"/>
    <w:rsid w:val="004E5F50"/>
    <w:rsid w:val="004E6271"/>
    <w:rsid w:val="004E7057"/>
    <w:rsid w:val="004E7512"/>
    <w:rsid w:val="004E7E82"/>
    <w:rsid w:val="004E7F38"/>
    <w:rsid w:val="004F0261"/>
    <w:rsid w:val="004F0B4A"/>
    <w:rsid w:val="004F1D02"/>
    <w:rsid w:val="004F2679"/>
    <w:rsid w:val="004F2AD7"/>
    <w:rsid w:val="004F30C3"/>
    <w:rsid w:val="004F332A"/>
    <w:rsid w:val="004F332D"/>
    <w:rsid w:val="004F4B33"/>
    <w:rsid w:val="004F513B"/>
    <w:rsid w:val="004F5372"/>
    <w:rsid w:val="004F623E"/>
    <w:rsid w:val="004F7865"/>
    <w:rsid w:val="00501E98"/>
    <w:rsid w:val="005037BB"/>
    <w:rsid w:val="00504809"/>
    <w:rsid w:val="005052DC"/>
    <w:rsid w:val="0050540D"/>
    <w:rsid w:val="005058A4"/>
    <w:rsid w:val="00505C7E"/>
    <w:rsid w:val="0050647F"/>
    <w:rsid w:val="00506623"/>
    <w:rsid w:val="00506928"/>
    <w:rsid w:val="00506A87"/>
    <w:rsid w:val="00510429"/>
    <w:rsid w:val="005105D2"/>
    <w:rsid w:val="00510B59"/>
    <w:rsid w:val="00510C5D"/>
    <w:rsid w:val="00510E29"/>
    <w:rsid w:val="00511CE2"/>
    <w:rsid w:val="00511FDE"/>
    <w:rsid w:val="0051216E"/>
    <w:rsid w:val="00512400"/>
    <w:rsid w:val="00512720"/>
    <w:rsid w:val="005127DD"/>
    <w:rsid w:val="00512CC0"/>
    <w:rsid w:val="00512D2A"/>
    <w:rsid w:val="005131F0"/>
    <w:rsid w:val="0051356E"/>
    <w:rsid w:val="00513912"/>
    <w:rsid w:val="00514358"/>
    <w:rsid w:val="005147CA"/>
    <w:rsid w:val="00514A20"/>
    <w:rsid w:val="0051515A"/>
    <w:rsid w:val="005152B5"/>
    <w:rsid w:val="0051615C"/>
    <w:rsid w:val="005167F6"/>
    <w:rsid w:val="005179F5"/>
    <w:rsid w:val="00517A30"/>
    <w:rsid w:val="00517E81"/>
    <w:rsid w:val="00520708"/>
    <w:rsid w:val="00520A0E"/>
    <w:rsid w:val="00520EDE"/>
    <w:rsid w:val="005212E6"/>
    <w:rsid w:val="00521319"/>
    <w:rsid w:val="005216C6"/>
    <w:rsid w:val="005220F6"/>
    <w:rsid w:val="00522112"/>
    <w:rsid w:val="00522A61"/>
    <w:rsid w:val="0052329C"/>
    <w:rsid w:val="00523C28"/>
    <w:rsid w:val="00524799"/>
    <w:rsid w:val="005248B4"/>
    <w:rsid w:val="00524A56"/>
    <w:rsid w:val="0052636C"/>
    <w:rsid w:val="0052664B"/>
    <w:rsid w:val="00526759"/>
    <w:rsid w:val="00526879"/>
    <w:rsid w:val="005269A9"/>
    <w:rsid w:val="00526D81"/>
    <w:rsid w:val="005276AF"/>
    <w:rsid w:val="00530ECA"/>
    <w:rsid w:val="005317B6"/>
    <w:rsid w:val="00531889"/>
    <w:rsid w:val="00531E54"/>
    <w:rsid w:val="005320D4"/>
    <w:rsid w:val="005339C7"/>
    <w:rsid w:val="005340EC"/>
    <w:rsid w:val="005344F7"/>
    <w:rsid w:val="00534BE2"/>
    <w:rsid w:val="005355A2"/>
    <w:rsid w:val="00535600"/>
    <w:rsid w:val="00535C76"/>
    <w:rsid w:val="00535DF6"/>
    <w:rsid w:val="00535F5B"/>
    <w:rsid w:val="00536A83"/>
    <w:rsid w:val="00536BD7"/>
    <w:rsid w:val="00536CA6"/>
    <w:rsid w:val="00537950"/>
    <w:rsid w:val="00537EF6"/>
    <w:rsid w:val="00540702"/>
    <w:rsid w:val="005419DD"/>
    <w:rsid w:val="00542532"/>
    <w:rsid w:val="00542673"/>
    <w:rsid w:val="00542AD1"/>
    <w:rsid w:val="00542CDB"/>
    <w:rsid w:val="00542ED0"/>
    <w:rsid w:val="00543169"/>
    <w:rsid w:val="00543A76"/>
    <w:rsid w:val="00543D4B"/>
    <w:rsid w:val="00543FB9"/>
    <w:rsid w:val="00544D09"/>
    <w:rsid w:val="00544F76"/>
    <w:rsid w:val="0054502C"/>
    <w:rsid w:val="00545944"/>
    <w:rsid w:val="005460AD"/>
    <w:rsid w:val="005468C5"/>
    <w:rsid w:val="0054796B"/>
    <w:rsid w:val="0055046F"/>
    <w:rsid w:val="00550747"/>
    <w:rsid w:val="00550CBB"/>
    <w:rsid w:val="005511A3"/>
    <w:rsid w:val="00551980"/>
    <w:rsid w:val="00551AA0"/>
    <w:rsid w:val="00551ABB"/>
    <w:rsid w:val="00551F51"/>
    <w:rsid w:val="00552010"/>
    <w:rsid w:val="00552BD3"/>
    <w:rsid w:val="00553FA4"/>
    <w:rsid w:val="00554325"/>
    <w:rsid w:val="00555109"/>
    <w:rsid w:val="005551CA"/>
    <w:rsid w:val="00555776"/>
    <w:rsid w:val="005558C1"/>
    <w:rsid w:val="005559B6"/>
    <w:rsid w:val="00555C91"/>
    <w:rsid w:val="005568E8"/>
    <w:rsid w:val="00557E22"/>
    <w:rsid w:val="005608C3"/>
    <w:rsid w:val="005610BA"/>
    <w:rsid w:val="005610E9"/>
    <w:rsid w:val="00561C96"/>
    <w:rsid w:val="00561D74"/>
    <w:rsid w:val="005623E7"/>
    <w:rsid w:val="0056245A"/>
    <w:rsid w:val="00562865"/>
    <w:rsid w:val="00562AF8"/>
    <w:rsid w:val="00562B4C"/>
    <w:rsid w:val="0056349C"/>
    <w:rsid w:val="005640DB"/>
    <w:rsid w:val="00564A10"/>
    <w:rsid w:val="00564AFD"/>
    <w:rsid w:val="00564D3B"/>
    <w:rsid w:val="00565260"/>
    <w:rsid w:val="0056542A"/>
    <w:rsid w:val="00565DC4"/>
    <w:rsid w:val="0056658A"/>
    <w:rsid w:val="0056696F"/>
    <w:rsid w:val="00566C86"/>
    <w:rsid w:val="00566E97"/>
    <w:rsid w:val="00567B90"/>
    <w:rsid w:val="00567BAF"/>
    <w:rsid w:val="00571783"/>
    <w:rsid w:val="005732C3"/>
    <w:rsid w:val="00574A50"/>
    <w:rsid w:val="00574C3C"/>
    <w:rsid w:val="00574EE2"/>
    <w:rsid w:val="00575022"/>
    <w:rsid w:val="00575D8D"/>
    <w:rsid w:val="00576972"/>
    <w:rsid w:val="00576A39"/>
    <w:rsid w:val="00577DAD"/>
    <w:rsid w:val="00577E97"/>
    <w:rsid w:val="005802D0"/>
    <w:rsid w:val="005807AE"/>
    <w:rsid w:val="00580A4F"/>
    <w:rsid w:val="005811B8"/>
    <w:rsid w:val="005812FA"/>
    <w:rsid w:val="00581343"/>
    <w:rsid w:val="00581C03"/>
    <w:rsid w:val="00581CE2"/>
    <w:rsid w:val="005822B3"/>
    <w:rsid w:val="00582D7B"/>
    <w:rsid w:val="00583052"/>
    <w:rsid w:val="00583699"/>
    <w:rsid w:val="00583C6D"/>
    <w:rsid w:val="00583CF4"/>
    <w:rsid w:val="00584174"/>
    <w:rsid w:val="00584599"/>
    <w:rsid w:val="00584EDA"/>
    <w:rsid w:val="00585191"/>
    <w:rsid w:val="005856DF"/>
    <w:rsid w:val="00585870"/>
    <w:rsid w:val="005858B6"/>
    <w:rsid w:val="00585BFE"/>
    <w:rsid w:val="0058659C"/>
    <w:rsid w:val="00586A95"/>
    <w:rsid w:val="00586D2F"/>
    <w:rsid w:val="005871BF"/>
    <w:rsid w:val="005875C0"/>
    <w:rsid w:val="00587B21"/>
    <w:rsid w:val="00590104"/>
    <w:rsid w:val="00590422"/>
    <w:rsid w:val="00590C5A"/>
    <w:rsid w:val="00591204"/>
    <w:rsid w:val="0059224B"/>
    <w:rsid w:val="005923C8"/>
    <w:rsid w:val="00592706"/>
    <w:rsid w:val="00592BE3"/>
    <w:rsid w:val="00592CA7"/>
    <w:rsid w:val="005931BF"/>
    <w:rsid w:val="00593C65"/>
    <w:rsid w:val="00593DCF"/>
    <w:rsid w:val="00594461"/>
    <w:rsid w:val="005946BB"/>
    <w:rsid w:val="0059577D"/>
    <w:rsid w:val="00595917"/>
    <w:rsid w:val="00595CC6"/>
    <w:rsid w:val="005961FC"/>
    <w:rsid w:val="00596D80"/>
    <w:rsid w:val="00596EFE"/>
    <w:rsid w:val="00597D4B"/>
    <w:rsid w:val="00597E5F"/>
    <w:rsid w:val="005A0023"/>
    <w:rsid w:val="005A100C"/>
    <w:rsid w:val="005A1E8A"/>
    <w:rsid w:val="005A2403"/>
    <w:rsid w:val="005A259A"/>
    <w:rsid w:val="005A2B05"/>
    <w:rsid w:val="005A2D5D"/>
    <w:rsid w:val="005A2F33"/>
    <w:rsid w:val="005A35EE"/>
    <w:rsid w:val="005A38CC"/>
    <w:rsid w:val="005A3A5D"/>
    <w:rsid w:val="005A40DE"/>
    <w:rsid w:val="005A4224"/>
    <w:rsid w:val="005A44A3"/>
    <w:rsid w:val="005A46D8"/>
    <w:rsid w:val="005A486E"/>
    <w:rsid w:val="005A48D2"/>
    <w:rsid w:val="005A4C0D"/>
    <w:rsid w:val="005A5F0C"/>
    <w:rsid w:val="005A65CC"/>
    <w:rsid w:val="005A7821"/>
    <w:rsid w:val="005B0036"/>
    <w:rsid w:val="005B0A04"/>
    <w:rsid w:val="005B10E3"/>
    <w:rsid w:val="005B180F"/>
    <w:rsid w:val="005B211F"/>
    <w:rsid w:val="005B2149"/>
    <w:rsid w:val="005B2831"/>
    <w:rsid w:val="005B405B"/>
    <w:rsid w:val="005B4379"/>
    <w:rsid w:val="005B45CC"/>
    <w:rsid w:val="005B48D6"/>
    <w:rsid w:val="005B4E71"/>
    <w:rsid w:val="005B4F6F"/>
    <w:rsid w:val="005B5857"/>
    <w:rsid w:val="005B5D7B"/>
    <w:rsid w:val="005B62C9"/>
    <w:rsid w:val="005B6DDC"/>
    <w:rsid w:val="005B6FAC"/>
    <w:rsid w:val="005B7348"/>
    <w:rsid w:val="005B7BF6"/>
    <w:rsid w:val="005B7D86"/>
    <w:rsid w:val="005C047D"/>
    <w:rsid w:val="005C081F"/>
    <w:rsid w:val="005C102B"/>
    <w:rsid w:val="005C1209"/>
    <w:rsid w:val="005C1B83"/>
    <w:rsid w:val="005C263F"/>
    <w:rsid w:val="005C346B"/>
    <w:rsid w:val="005C38B9"/>
    <w:rsid w:val="005C53C5"/>
    <w:rsid w:val="005C5F5A"/>
    <w:rsid w:val="005C62A7"/>
    <w:rsid w:val="005C7033"/>
    <w:rsid w:val="005D0163"/>
    <w:rsid w:val="005D01E6"/>
    <w:rsid w:val="005D044D"/>
    <w:rsid w:val="005D1056"/>
    <w:rsid w:val="005D18AD"/>
    <w:rsid w:val="005D1A81"/>
    <w:rsid w:val="005D1BC4"/>
    <w:rsid w:val="005D2194"/>
    <w:rsid w:val="005D226E"/>
    <w:rsid w:val="005D23AC"/>
    <w:rsid w:val="005D38C0"/>
    <w:rsid w:val="005D38E5"/>
    <w:rsid w:val="005D3CAA"/>
    <w:rsid w:val="005D3EC9"/>
    <w:rsid w:val="005D71EA"/>
    <w:rsid w:val="005D7337"/>
    <w:rsid w:val="005D760C"/>
    <w:rsid w:val="005D76A6"/>
    <w:rsid w:val="005D7B37"/>
    <w:rsid w:val="005E011A"/>
    <w:rsid w:val="005E0F0B"/>
    <w:rsid w:val="005E137F"/>
    <w:rsid w:val="005E1692"/>
    <w:rsid w:val="005E23CD"/>
    <w:rsid w:val="005E2779"/>
    <w:rsid w:val="005E33D3"/>
    <w:rsid w:val="005E38C6"/>
    <w:rsid w:val="005E4796"/>
    <w:rsid w:val="005E481A"/>
    <w:rsid w:val="005E4A52"/>
    <w:rsid w:val="005E50FD"/>
    <w:rsid w:val="005E5223"/>
    <w:rsid w:val="005E6BD3"/>
    <w:rsid w:val="005E70B2"/>
    <w:rsid w:val="005E73C0"/>
    <w:rsid w:val="005E7CEF"/>
    <w:rsid w:val="005F077F"/>
    <w:rsid w:val="005F0A3D"/>
    <w:rsid w:val="005F125D"/>
    <w:rsid w:val="005F1564"/>
    <w:rsid w:val="005F2706"/>
    <w:rsid w:val="005F3372"/>
    <w:rsid w:val="005F35A4"/>
    <w:rsid w:val="005F3C07"/>
    <w:rsid w:val="005F4857"/>
    <w:rsid w:val="005F4C15"/>
    <w:rsid w:val="005F5E2E"/>
    <w:rsid w:val="005F63DC"/>
    <w:rsid w:val="005F65D2"/>
    <w:rsid w:val="005F6A8F"/>
    <w:rsid w:val="005F6F92"/>
    <w:rsid w:val="005F70E9"/>
    <w:rsid w:val="005F789F"/>
    <w:rsid w:val="0060042D"/>
    <w:rsid w:val="006004B0"/>
    <w:rsid w:val="00600AC2"/>
    <w:rsid w:val="00601601"/>
    <w:rsid w:val="00601768"/>
    <w:rsid w:val="0060176A"/>
    <w:rsid w:val="0060186D"/>
    <w:rsid w:val="00601F10"/>
    <w:rsid w:val="0060259A"/>
    <w:rsid w:val="00602D13"/>
    <w:rsid w:val="00602D33"/>
    <w:rsid w:val="00602E64"/>
    <w:rsid w:val="006036BA"/>
    <w:rsid w:val="00603720"/>
    <w:rsid w:val="00603744"/>
    <w:rsid w:val="00603DFA"/>
    <w:rsid w:val="00603F55"/>
    <w:rsid w:val="0060417F"/>
    <w:rsid w:val="00604F94"/>
    <w:rsid w:val="006051ED"/>
    <w:rsid w:val="00605B41"/>
    <w:rsid w:val="00605E0A"/>
    <w:rsid w:val="00605F47"/>
    <w:rsid w:val="00606AEA"/>
    <w:rsid w:val="00607046"/>
    <w:rsid w:val="00607073"/>
    <w:rsid w:val="00607669"/>
    <w:rsid w:val="006076DF"/>
    <w:rsid w:val="00610E15"/>
    <w:rsid w:val="006127C3"/>
    <w:rsid w:val="006129B4"/>
    <w:rsid w:val="00612F97"/>
    <w:rsid w:val="0061328D"/>
    <w:rsid w:val="0061368B"/>
    <w:rsid w:val="0061379D"/>
    <w:rsid w:val="006138B6"/>
    <w:rsid w:val="00613996"/>
    <w:rsid w:val="00614217"/>
    <w:rsid w:val="006143B6"/>
    <w:rsid w:val="00614794"/>
    <w:rsid w:val="00614AE4"/>
    <w:rsid w:val="006154AC"/>
    <w:rsid w:val="00615AC3"/>
    <w:rsid w:val="00615B57"/>
    <w:rsid w:val="00616802"/>
    <w:rsid w:val="006172E3"/>
    <w:rsid w:val="00617AF2"/>
    <w:rsid w:val="00617E12"/>
    <w:rsid w:val="00620016"/>
    <w:rsid w:val="00621477"/>
    <w:rsid w:val="006214C4"/>
    <w:rsid w:val="006220B8"/>
    <w:rsid w:val="00623FCC"/>
    <w:rsid w:val="00624E69"/>
    <w:rsid w:val="0062506C"/>
    <w:rsid w:val="00625F29"/>
    <w:rsid w:val="00627160"/>
    <w:rsid w:val="006275D5"/>
    <w:rsid w:val="006277CA"/>
    <w:rsid w:val="006305AE"/>
    <w:rsid w:val="00630ABD"/>
    <w:rsid w:val="00631D6B"/>
    <w:rsid w:val="00631F70"/>
    <w:rsid w:val="00632132"/>
    <w:rsid w:val="00633AF1"/>
    <w:rsid w:val="006342A8"/>
    <w:rsid w:val="0063479F"/>
    <w:rsid w:val="006358E9"/>
    <w:rsid w:val="0063619B"/>
    <w:rsid w:val="006364A1"/>
    <w:rsid w:val="006366FA"/>
    <w:rsid w:val="00636B02"/>
    <w:rsid w:val="00636BC3"/>
    <w:rsid w:val="00636BE0"/>
    <w:rsid w:val="006375E8"/>
    <w:rsid w:val="00637BFD"/>
    <w:rsid w:val="00641585"/>
    <w:rsid w:val="00641D50"/>
    <w:rsid w:val="0064247E"/>
    <w:rsid w:val="00643345"/>
    <w:rsid w:val="00643711"/>
    <w:rsid w:val="00643C21"/>
    <w:rsid w:val="006444E6"/>
    <w:rsid w:val="00645324"/>
    <w:rsid w:val="0064583E"/>
    <w:rsid w:val="00645AA2"/>
    <w:rsid w:val="006465E0"/>
    <w:rsid w:val="006466E1"/>
    <w:rsid w:val="006468E4"/>
    <w:rsid w:val="00646C47"/>
    <w:rsid w:val="00646FD0"/>
    <w:rsid w:val="006471CC"/>
    <w:rsid w:val="0064747E"/>
    <w:rsid w:val="00647EF7"/>
    <w:rsid w:val="0065062E"/>
    <w:rsid w:val="0065079F"/>
    <w:rsid w:val="00651186"/>
    <w:rsid w:val="00651EDE"/>
    <w:rsid w:val="0065293A"/>
    <w:rsid w:val="00652A87"/>
    <w:rsid w:val="00653B59"/>
    <w:rsid w:val="006544DC"/>
    <w:rsid w:val="00654552"/>
    <w:rsid w:val="006545BF"/>
    <w:rsid w:val="006547F7"/>
    <w:rsid w:val="00654844"/>
    <w:rsid w:val="0065525F"/>
    <w:rsid w:val="006552C0"/>
    <w:rsid w:val="00655319"/>
    <w:rsid w:val="00655955"/>
    <w:rsid w:val="00655BB5"/>
    <w:rsid w:val="00656812"/>
    <w:rsid w:val="00657ACD"/>
    <w:rsid w:val="00657D2B"/>
    <w:rsid w:val="0066062A"/>
    <w:rsid w:val="006606BF"/>
    <w:rsid w:val="006607A9"/>
    <w:rsid w:val="00660C46"/>
    <w:rsid w:val="0066201A"/>
    <w:rsid w:val="00663B1D"/>
    <w:rsid w:val="00665B34"/>
    <w:rsid w:val="006660A1"/>
    <w:rsid w:val="00666303"/>
    <w:rsid w:val="00666547"/>
    <w:rsid w:val="006669ED"/>
    <w:rsid w:val="00667488"/>
    <w:rsid w:val="006676D5"/>
    <w:rsid w:val="00670413"/>
    <w:rsid w:val="006715CC"/>
    <w:rsid w:val="006721AA"/>
    <w:rsid w:val="00673015"/>
    <w:rsid w:val="006735EC"/>
    <w:rsid w:val="00673CD3"/>
    <w:rsid w:val="00673D8B"/>
    <w:rsid w:val="00674A5E"/>
    <w:rsid w:val="00674ABF"/>
    <w:rsid w:val="00674BC6"/>
    <w:rsid w:val="00674E42"/>
    <w:rsid w:val="0067561A"/>
    <w:rsid w:val="0067611A"/>
    <w:rsid w:val="0067714E"/>
    <w:rsid w:val="00677906"/>
    <w:rsid w:val="0068022B"/>
    <w:rsid w:val="00680802"/>
    <w:rsid w:val="00681180"/>
    <w:rsid w:val="00681AD1"/>
    <w:rsid w:val="00681E70"/>
    <w:rsid w:val="00682112"/>
    <w:rsid w:val="00682219"/>
    <w:rsid w:val="00682413"/>
    <w:rsid w:val="00682B3D"/>
    <w:rsid w:val="00683248"/>
    <w:rsid w:val="00683F0D"/>
    <w:rsid w:val="00686199"/>
    <w:rsid w:val="00686208"/>
    <w:rsid w:val="0068657D"/>
    <w:rsid w:val="006872BA"/>
    <w:rsid w:val="006879CE"/>
    <w:rsid w:val="006917D7"/>
    <w:rsid w:val="00691DFB"/>
    <w:rsid w:val="00692918"/>
    <w:rsid w:val="00692E2B"/>
    <w:rsid w:val="006939CE"/>
    <w:rsid w:val="00693C88"/>
    <w:rsid w:val="006944A1"/>
    <w:rsid w:val="0069477F"/>
    <w:rsid w:val="00694F44"/>
    <w:rsid w:val="0069561D"/>
    <w:rsid w:val="00695AA1"/>
    <w:rsid w:val="00695C0E"/>
    <w:rsid w:val="00695E47"/>
    <w:rsid w:val="00696422"/>
    <w:rsid w:val="00696B3F"/>
    <w:rsid w:val="00696C04"/>
    <w:rsid w:val="006977FF"/>
    <w:rsid w:val="006A00CA"/>
    <w:rsid w:val="006A0703"/>
    <w:rsid w:val="006A0724"/>
    <w:rsid w:val="006A0EE9"/>
    <w:rsid w:val="006A1B99"/>
    <w:rsid w:val="006A1E4A"/>
    <w:rsid w:val="006A20D3"/>
    <w:rsid w:val="006A2495"/>
    <w:rsid w:val="006A35E7"/>
    <w:rsid w:val="006A3F6F"/>
    <w:rsid w:val="006A410B"/>
    <w:rsid w:val="006A4982"/>
    <w:rsid w:val="006A4CFD"/>
    <w:rsid w:val="006B0781"/>
    <w:rsid w:val="006B09FA"/>
    <w:rsid w:val="006B0C25"/>
    <w:rsid w:val="006B0E78"/>
    <w:rsid w:val="006B0EC2"/>
    <w:rsid w:val="006B1103"/>
    <w:rsid w:val="006B1C99"/>
    <w:rsid w:val="006B2339"/>
    <w:rsid w:val="006B268F"/>
    <w:rsid w:val="006B2699"/>
    <w:rsid w:val="006B30A6"/>
    <w:rsid w:val="006B3653"/>
    <w:rsid w:val="006B380E"/>
    <w:rsid w:val="006B4C85"/>
    <w:rsid w:val="006B4CC6"/>
    <w:rsid w:val="006B576C"/>
    <w:rsid w:val="006B5973"/>
    <w:rsid w:val="006B63EF"/>
    <w:rsid w:val="006B6A3F"/>
    <w:rsid w:val="006B7CBF"/>
    <w:rsid w:val="006C0398"/>
    <w:rsid w:val="006C09D5"/>
    <w:rsid w:val="006C0BD3"/>
    <w:rsid w:val="006C0BF4"/>
    <w:rsid w:val="006C130D"/>
    <w:rsid w:val="006C1681"/>
    <w:rsid w:val="006C1D2A"/>
    <w:rsid w:val="006C1E4B"/>
    <w:rsid w:val="006C1F4C"/>
    <w:rsid w:val="006C1FB8"/>
    <w:rsid w:val="006C212B"/>
    <w:rsid w:val="006C26FE"/>
    <w:rsid w:val="006C2A8E"/>
    <w:rsid w:val="006C2D51"/>
    <w:rsid w:val="006C331A"/>
    <w:rsid w:val="006C46F6"/>
    <w:rsid w:val="006C4834"/>
    <w:rsid w:val="006C4B36"/>
    <w:rsid w:val="006C5578"/>
    <w:rsid w:val="006C57B4"/>
    <w:rsid w:val="006C5D41"/>
    <w:rsid w:val="006C6191"/>
    <w:rsid w:val="006C6FCE"/>
    <w:rsid w:val="006C7B36"/>
    <w:rsid w:val="006C7CD9"/>
    <w:rsid w:val="006C7E2D"/>
    <w:rsid w:val="006D0436"/>
    <w:rsid w:val="006D0C04"/>
    <w:rsid w:val="006D11B8"/>
    <w:rsid w:val="006D1E37"/>
    <w:rsid w:val="006D2A32"/>
    <w:rsid w:val="006D2DC8"/>
    <w:rsid w:val="006D3232"/>
    <w:rsid w:val="006D329A"/>
    <w:rsid w:val="006D3382"/>
    <w:rsid w:val="006D37FF"/>
    <w:rsid w:val="006D3932"/>
    <w:rsid w:val="006D3C7D"/>
    <w:rsid w:val="006D3DD1"/>
    <w:rsid w:val="006D4CD9"/>
    <w:rsid w:val="006D53E5"/>
    <w:rsid w:val="006D5558"/>
    <w:rsid w:val="006D57F5"/>
    <w:rsid w:val="006D5AFB"/>
    <w:rsid w:val="006D5D5F"/>
    <w:rsid w:val="006D5E34"/>
    <w:rsid w:val="006D6617"/>
    <w:rsid w:val="006D690B"/>
    <w:rsid w:val="006D6C27"/>
    <w:rsid w:val="006D6E99"/>
    <w:rsid w:val="006E0581"/>
    <w:rsid w:val="006E0875"/>
    <w:rsid w:val="006E099B"/>
    <w:rsid w:val="006E199D"/>
    <w:rsid w:val="006E23D6"/>
    <w:rsid w:val="006E2A37"/>
    <w:rsid w:val="006E2A4E"/>
    <w:rsid w:val="006E2D6B"/>
    <w:rsid w:val="006E3237"/>
    <w:rsid w:val="006E391D"/>
    <w:rsid w:val="006E43D4"/>
    <w:rsid w:val="006E48F9"/>
    <w:rsid w:val="006E4E85"/>
    <w:rsid w:val="006E613D"/>
    <w:rsid w:val="006E64FE"/>
    <w:rsid w:val="006E6891"/>
    <w:rsid w:val="006E6D18"/>
    <w:rsid w:val="006E7265"/>
    <w:rsid w:val="006E7501"/>
    <w:rsid w:val="006E7A5C"/>
    <w:rsid w:val="006F0D57"/>
    <w:rsid w:val="006F216E"/>
    <w:rsid w:val="006F26C5"/>
    <w:rsid w:val="006F2D36"/>
    <w:rsid w:val="006F3F4D"/>
    <w:rsid w:val="006F445C"/>
    <w:rsid w:val="006F53ED"/>
    <w:rsid w:val="006F5DC3"/>
    <w:rsid w:val="006F5EC7"/>
    <w:rsid w:val="006F5F9F"/>
    <w:rsid w:val="006F63A5"/>
    <w:rsid w:val="006F6C7B"/>
    <w:rsid w:val="006F6D40"/>
    <w:rsid w:val="006F6F29"/>
    <w:rsid w:val="006F70AB"/>
    <w:rsid w:val="006F76C7"/>
    <w:rsid w:val="006F7D5B"/>
    <w:rsid w:val="006F7F9F"/>
    <w:rsid w:val="007002A6"/>
    <w:rsid w:val="00700359"/>
    <w:rsid w:val="00700B3D"/>
    <w:rsid w:val="00701225"/>
    <w:rsid w:val="00701A56"/>
    <w:rsid w:val="007021B0"/>
    <w:rsid w:val="007023A7"/>
    <w:rsid w:val="0070276E"/>
    <w:rsid w:val="00702F8F"/>
    <w:rsid w:val="007033CA"/>
    <w:rsid w:val="007036A9"/>
    <w:rsid w:val="007048DD"/>
    <w:rsid w:val="00704BF0"/>
    <w:rsid w:val="0070590C"/>
    <w:rsid w:val="0070761B"/>
    <w:rsid w:val="00710487"/>
    <w:rsid w:val="00710507"/>
    <w:rsid w:val="00710606"/>
    <w:rsid w:val="007113F5"/>
    <w:rsid w:val="00711A36"/>
    <w:rsid w:val="00711CC6"/>
    <w:rsid w:val="0071211A"/>
    <w:rsid w:val="00712543"/>
    <w:rsid w:val="00712AAB"/>
    <w:rsid w:val="00712D58"/>
    <w:rsid w:val="00712D6A"/>
    <w:rsid w:val="00712E33"/>
    <w:rsid w:val="00712E84"/>
    <w:rsid w:val="00713195"/>
    <w:rsid w:val="007134B7"/>
    <w:rsid w:val="00713A74"/>
    <w:rsid w:val="00713AC8"/>
    <w:rsid w:val="007150AD"/>
    <w:rsid w:val="00715493"/>
    <w:rsid w:val="0071575B"/>
    <w:rsid w:val="00715D15"/>
    <w:rsid w:val="007161CA"/>
    <w:rsid w:val="0071682F"/>
    <w:rsid w:val="00716A91"/>
    <w:rsid w:val="00716B6C"/>
    <w:rsid w:val="00716BB2"/>
    <w:rsid w:val="007172AD"/>
    <w:rsid w:val="00717F1E"/>
    <w:rsid w:val="00717F3B"/>
    <w:rsid w:val="00720090"/>
    <w:rsid w:val="0072025D"/>
    <w:rsid w:val="0072033A"/>
    <w:rsid w:val="0072246F"/>
    <w:rsid w:val="007227B7"/>
    <w:rsid w:val="00722B2B"/>
    <w:rsid w:val="00722D8E"/>
    <w:rsid w:val="0072416F"/>
    <w:rsid w:val="00724875"/>
    <w:rsid w:val="007248A4"/>
    <w:rsid w:val="007249EB"/>
    <w:rsid w:val="00724BD1"/>
    <w:rsid w:val="00724C74"/>
    <w:rsid w:val="00724D2C"/>
    <w:rsid w:val="00724DFB"/>
    <w:rsid w:val="00725127"/>
    <w:rsid w:val="00725909"/>
    <w:rsid w:val="00725913"/>
    <w:rsid w:val="00725928"/>
    <w:rsid w:val="00726EB5"/>
    <w:rsid w:val="0072755B"/>
    <w:rsid w:val="00727754"/>
    <w:rsid w:val="007278D8"/>
    <w:rsid w:val="00727908"/>
    <w:rsid w:val="00727A76"/>
    <w:rsid w:val="00727CAA"/>
    <w:rsid w:val="00727EE9"/>
    <w:rsid w:val="00730AED"/>
    <w:rsid w:val="00731ED5"/>
    <w:rsid w:val="00732E7D"/>
    <w:rsid w:val="007336AD"/>
    <w:rsid w:val="00733FD6"/>
    <w:rsid w:val="00734315"/>
    <w:rsid w:val="00734498"/>
    <w:rsid w:val="00735328"/>
    <w:rsid w:val="00735E80"/>
    <w:rsid w:val="0073665F"/>
    <w:rsid w:val="0073685B"/>
    <w:rsid w:val="007374EE"/>
    <w:rsid w:val="00737B55"/>
    <w:rsid w:val="00737C47"/>
    <w:rsid w:val="007407A3"/>
    <w:rsid w:val="00740C6D"/>
    <w:rsid w:val="00740F87"/>
    <w:rsid w:val="00741F3C"/>
    <w:rsid w:val="00742065"/>
    <w:rsid w:val="007421C5"/>
    <w:rsid w:val="007423AB"/>
    <w:rsid w:val="00742663"/>
    <w:rsid w:val="00742F3C"/>
    <w:rsid w:val="007434A8"/>
    <w:rsid w:val="00743DB1"/>
    <w:rsid w:val="007452AC"/>
    <w:rsid w:val="007459B4"/>
    <w:rsid w:val="00745ED3"/>
    <w:rsid w:val="0074612E"/>
    <w:rsid w:val="0074635E"/>
    <w:rsid w:val="00747191"/>
    <w:rsid w:val="00747441"/>
    <w:rsid w:val="007479EA"/>
    <w:rsid w:val="00747B37"/>
    <w:rsid w:val="00747EC5"/>
    <w:rsid w:val="00747FCB"/>
    <w:rsid w:val="00750182"/>
    <w:rsid w:val="007507A3"/>
    <w:rsid w:val="00750A9C"/>
    <w:rsid w:val="00751574"/>
    <w:rsid w:val="00751F73"/>
    <w:rsid w:val="00752895"/>
    <w:rsid w:val="00753155"/>
    <w:rsid w:val="0075345D"/>
    <w:rsid w:val="00753FD1"/>
    <w:rsid w:val="007555AF"/>
    <w:rsid w:val="00756254"/>
    <w:rsid w:val="00756EB9"/>
    <w:rsid w:val="00757AF9"/>
    <w:rsid w:val="00757B7D"/>
    <w:rsid w:val="007605D5"/>
    <w:rsid w:val="007613F2"/>
    <w:rsid w:val="0076229A"/>
    <w:rsid w:val="0076230A"/>
    <w:rsid w:val="00762F37"/>
    <w:rsid w:val="007640E2"/>
    <w:rsid w:val="007645C7"/>
    <w:rsid w:val="007646FB"/>
    <w:rsid w:val="007648EF"/>
    <w:rsid w:val="00764B1B"/>
    <w:rsid w:val="0076506D"/>
    <w:rsid w:val="007657D6"/>
    <w:rsid w:val="00765C73"/>
    <w:rsid w:val="007668F6"/>
    <w:rsid w:val="00766D4F"/>
    <w:rsid w:val="007675D9"/>
    <w:rsid w:val="0076771C"/>
    <w:rsid w:val="00770049"/>
    <w:rsid w:val="007707CE"/>
    <w:rsid w:val="00770DCC"/>
    <w:rsid w:val="00770EEB"/>
    <w:rsid w:val="007711AB"/>
    <w:rsid w:val="007713BE"/>
    <w:rsid w:val="007715A8"/>
    <w:rsid w:val="0077213E"/>
    <w:rsid w:val="00773120"/>
    <w:rsid w:val="007733D2"/>
    <w:rsid w:val="00773C2D"/>
    <w:rsid w:val="00774796"/>
    <w:rsid w:val="00774A00"/>
    <w:rsid w:val="00774B5F"/>
    <w:rsid w:val="00775959"/>
    <w:rsid w:val="00775AB6"/>
    <w:rsid w:val="00775E29"/>
    <w:rsid w:val="007763E6"/>
    <w:rsid w:val="007764D7"/>
    <w:rsid w:val="00776536"/>
    <w:rsid w:val="0077695A"/>
    <w:rsid w:val="00776F23"/>
    <w:rsid w:val="00777E80"/>
    <w:rsid w:val="00780ED9"/>
    <w:rsid w:val="007816E8"/>
    <w:rsid w:val="007819CD"/>
    <w:rsid w:val="00782574"/>
    <w:rsid w:val="0078320F"/>
    <w:rsid w:val="007837E8"/>
    <w:rsid w:val="00783842"/>
    <w:rsid w:val="00783960"/>
    <w:rsid w:val="0078496F"/>
    <w:rsid w:val="00785514"/>
    <w:rsid w:val="00785A48"/>
    <w:rsid w:val="00785B08"/>
    <w:rsid w:val="00786171"/>
    <w:rsid w:val="00786299"/>
    <w:rsid w:val="00787211"/>
    <w:rsid w:val="00787247"/>
    <w:rsid w:val="007879F7"/>
    <w:rsid w:val="007900D4"/>
    <w:rsid w:val="007901FA"/>
    <w:rsid w:val="0079059E"/>
    <w:rsid w:val="00790BF8"/>
    <w:rsid w:val="00791872"/>
    <w:rsid w:val="00792087"/>
    <w:rsid w:val="00792E08"/>
    <w:rsid w:val="00793183"/>
    <w:rsid w:val="007938ED"/>
    <w:rsid w:val="007939A5"/>
    <w:rsid w:val="007940CA"/>
    <w:rsid w:val="00794505"/>
    <w:rsid w:val="0079469A"/>
    <w:rsid w:val="00794D64"/>
    <w:rsid w:val="00795330"/>
    <w:rsid w:val="00795546"/>
    <w:rsid w:val="00795C11"/>
    <w:rsid w:val="00796D83"/>
    <w:rsid w:val="00796FC1"/>
    <w:rsid w:val="007975AB"/>
    <w:rsid w:val="00797DEE"/>
    <w:rsid w:val="00797E97"/>
    <w:rsid w:val="007A0001"/>
    <w:rsid w:val="007A0271"/>
    <w:rsid w:val="007A0A12"/>
    <w:rsid w:val="007A0FA3"/>
    <w:rsid w:val="007A1B54"/>
    <w:rsid w:val="007A1EAB"/>
    <w:rsid w:val="007A3842"/>
    <w:rsid w:val="007A3FD7"/>
    <w:rsid w:val="007A4FF7"/>
    <w:rsid w:val="007A5BE5"/>
    <w:rsid w:val="007A5FA0"/>
    <w:rsid w:val="007A60FA"/>
    <w:rsid w:val="007A6AFA"/>
    <w:rsid w:val="007A74EE"/>
    <w:rsid w:val="007A7641"/>
    <w:rsid w:val="007A7EE6"/>
    <w:rsid w:val="007B0AFE"/>
    <w:rsid w:val="007B0DA9"/>
    <w:rsid w:val="007B0F95"/>
    <w:rsid w:val="007B112E"/>
    <w:rsid w:val="007B17B6"/>
    <w:rsid w:val="007B251D"/>
    <w:rsid w:val="007B550D"/>
    <w:rsid w:val="007B5A5C"/>
    <w:rsid w:val="007B5B5C"/>
    <w:rsid w:val="007B5C55"/>
    <w:rsid w:val="007B5EC1"/>
    <w:rsid w:val="007B670F"/>
    <w:rsid w:val="007B77D1"/>
    <w:rsid w:val="007B77E4"/>
    <w:rsid w:val="007B79AE"/>
    <w:rsid w:val="007B7E00"/>
    <w:rsid w:val="007B7FC9"/>
    <w:rsid w:val="007C03EE"/>
    <w:rsid w:val="007C0D07"/>
    <w:rsid w:val="007C117E"/>
    <w:rsid w:val="007C1726"/>
    <w:rsid w:val="007C1E75"/>
    <w:rsid w:val="007C2044"/>
    <w:rsid w:val="007C24F7"/>
    <w:rsid w:val="007C29B1"/>
    <w:rsid w:val="007C2CA2"/>
    <w:rsid w:val="007C2D79"/>
    <w:rsid w:val="007C3118"/>
    <w:rsid w:val="007C34C3"/>
    <w:rsid w:val="007C356C"/>
    <w:rsid w:val="007C361D"/>
    <w:rsid w:val="007C4116"/>
    <w:rsid w:val="007C414C"/>
    <w:rsid w:val="007C4BD3"/>
    <w:rsid w:val="007C55C7"/>
    <w:rsid w:val="007C570A"/>
    <w:rsid w:val="007C5A37"/>
    <w:rsid w:val="007C5C10"/>
    <w:rsid w:val="007C5DD4"/>
    <w:rsid w:val="007C5F2B"/>
    <w:rsid w:val="007D0303"/>
    <w:rsid w:val="007D083C"/>
    <w:rsid w:val="007D0B32"/>
    <w:rsid w:val="007D0B38"/>
    <w:rsid w:val="007D12D1"/>
    <w:rsid w:val="007D15D6"/>
    <w:rsid w:val="007D1BAD"/>
    <w:rsid w:val="007D1F13"/>
    <w:rsid w:val="007D2BD0"/>
    <w:rsid w:val="007D2D54"/>
    <w:rsid w:val="007D2E16"/>
    <w:rsid w:val="007D3856"/>
    <w:rsid w:val="007D3ED6"/>
    <w:rsid w:val="007D3F55"/>
    <w:rsid w:val="007D42CD"/>
    <w:rsid w:val="007D4690"/>
    <w:rsid w:val="007D4FC7"/>
    <w:rsid w:val="007D512A"/>
    <w:rsid w:val="007D532F"/>
    <w:rsid w:val="007D5763"/>
    <w:rsid w:val="007D621C"/>
    <w:rsid w:val="007D6642"/>
    <w:rsid w:val="007E0585"/>
    <w:rsid w:val="007E0C6A"/>
    <w:rsid w:val="007E1BD3"/>
    <w:rsid w:val="007E2231"/>
    <w:rsid w:val="007E24B9"/>
    <w:rsid w:val="007E2EA2"/>
    <w:rsid w:val="007E30D3"/>
    <w:rsid w:val="007E3373"/>
    <w:rsid w:val="007E46ED"/>
    <w:rsid w:val="007E5091"/>
    <w:rsid w:val="007E5201"/>
    <w:rsid w:val="007E55A8"/>
    <w:rsid w:val="007E5985"/>
    <w:rsid w:val="007E5A7F"/>
    <w:rsid w:val="007E5D13"/>
    <w:rsid w:val="007E60E8"/>
    <w:rsid w:val="007E6A21"/>
    <w:rsid w:val="007E7270"/>
    <w:rsid w:val="007E737E"/>
    <w:rsid w:val="007E790A"/>
    <w:rsid w:val="007F034A"/>
    <w:rsid w:val="007F0E39"/>
    <w:rsid w:val="007F1017"/>
    <w:rsid w:val="007F12A4"/>
    <w:rsid w:val="007F1ACE"/>
    <w:rsid w:val="007F2281"/>
    <w:rsid w:val="007F2EE4"/>
    <w:rsid w:val="007F33B5"/>
    <w:rsid w:val="007F3A72"/>
    <w:rsid w:val="007F414B"/>
    <w:rsid w:val="007F49C1"/>
    <w:rsid w:val="007F4A3F"/>
    <w:rsid w:val="007F4B63"/>
    <w:rsid w:val="007F4DEC"/>
    <w:rsid w:val="007F58E7"/>
    <w:rsid w:val="007F60B7"/>
    <w:rsid w:val="007F62BF"/>
    <w:rsid w:val="007F6CF8"/>
    <w:rsid w:val="007F70C6"/>
    <w:rsid w:val="007F73C8"/>
    <w:rsid w:val="007F7F70"/>
    <w:rsid w:val="00800EC6"/>
    <w:rsid w:val="00801661"/>
    <w:rsid w:val="008019D6"/>
    <w:rsid w:val="00801A0D"/>
    <w:rsid w:val="00801EA9"/>
    <w:rsid w:val="0080228D"/>
    <w:rsid w:val="00802658"/>
    <w:rsid w:val="00803C66"/>
    <w:rsid w:val="00804B05"/>
    <w:rsid w:val="00805142"/>
    <w:rsid w:val="00806D66"/>
    <w:rsid w:val="00806F9E"/>
    <w:rsid w:val="00806FE5"/>
    <w:rsid w:val="0080738D"/>
    <w:rsid w:val="00807729"/>
    <w:rsid w:val="00807A8B"/>
    <w:rsid w:val="00810421"/>
    <w:rsid w:val="00810628"/>
    <w:rsid w:val="00810696"/>
    <w:rsid w:val="00811039"/>
    <w:rsid w:val="008111B1"/>
    <w:rsid w:val="0081172D"/>
    <w:rsid w:val="00812149"/>
    <w:rsid w:val="008132BC"/>
    <w:rsid w:val="00813885"/>
    <w:rsid w:val="008146DD"/>
    <w:rsid w:val="00815822"/>
    <w:rsid w:val="00815B52"/>
    <w:rsid w:val="00816324"/>
    <w:rsid w:val="008166EF"/>
    <w:rsid w:val="00816708"/>
    <w:rsid w:val="008169A2"/>
    <w:rsid w:val="00816A96"/>
    <w:rsid w:val="0082011D"/>
    <w:rsid w:val="00821241"/>
    <w:rsid w:val="00822D6A"/>
    <w:rsid w:val="00823886"/>
    <w:rsid w:val="00823B81"/>
    <w:rsid w:val="00824C63"/>
    <w:rsid w:val="00825062"/>
    <w:rsid w:val="00825600"/>
    <w:rsid w:val="008259BD"/>
    <w:rsid w:val="008260F6"/>
    <w:rsid w:val="00826120"/>
    <w:rsid w:val="0082614B"/>
    <w:rsid w:val="008264EB"/>
    <w:rsid w:val="00827B94"/>
    <w:rsid w:val="00830402"/>
    <w:rsid w:val="00830522"/>
    <w:rsid w:val="00831B73"/>
    <w:rsid w:val="008323A9"/>
    <w:rsid w:val="008323B4"/>
    <w:rsid w:val="008324C0"/>
    <w:rsid w:val="00833432"/>
    <w:rsid w:val="0083367B"/>
    <w:rsid w:val="00833B05"/>
    <w:rsid w:val="008343A7"/>
    <w:rsid w:val="00834947"/>
    <w:rsid w:val="00834A4F"/>
    <w:rsid w:val="008350A8"/>
    <w:rsid w:val="008370C5"/>
    <w:rsid w:val="008378C9"/>
    <w:rsid w:val="008405B7"/>
    <w:rsid w:val="00840921"/>
    <w:rsid w:val="00840CA2"/>
    <w:rsid w:val="008410C3"/>
    <w:rsid w:val="00841115"/>
    <w:rsid w:val="00841252"/>
    <w:rsid w:val="008414C9"/>
    <w:rsid w:val="00841C6E"/>
    <w:rsid w:val="008424F7"/>
    <w:rsid w:val="00843687"/>
    <w:rsid w:val="00843774"/>
    <w:rsid w:val="008438C3"/>
    <w:rsid w:val="00843BC5"/>
    <w:rsid w:val="00845095"/>
    <w:rsid w:val="00845955"/>
    <w:rsid w:val="00845DC0"/>
    <w:rsid w:val="0084623D"/>
    <w:rsid w:val="00846D9F"/>
    <w:rsid w:val="00846FA7"/>
    <w:rsid w:val="00847502"/>
    <w:rsid w:val="0084751A"/>
    <w:rsid w:val="008477E8"/>
    <w:rsid w:val="00850216"/>
    <w:rsid w:val="0085035F"/>
    <w:rsid w:val="00850568"/>
    <w:rsid w:val="008509FB"/>
    <w:rsid w:val="00850D28"/>
    <w:rsid w:val="00851ADB"/>
    <w:rsid w:val="00852053"/>
    <w:rsid w:val="00852421"/>
    <w:rsid w:val="00852642"/>
    <w:rsid w:val="00852757"/>
    <w:rsid w:val="00852E0E"/>
    <w:rsid w:val="0085341F"/>
    <w:rsid w:val="00853F68"/>
    <w:rsid w:val="00854372"/>
    <w:rsid w:val="00854B14"/>
    <w:rsid w:val="00854BBA"/>
    <w:rsid w:val="00855098"/>
    <w:rsid w:val="00855C92"/>
    <w:rsid w:val="008560AB"/>
    <w:rsid w:val="008563B6"/>
    <w:rsid w:val="0085699D"/>
    <w:rsid w:val="00856A11"/>
    <w:rsid w:val="00856E9A"/>
    <w:rsid w:val="0085751C"/>
    <w:rsid w:val="008576F0"/>
    <w:rsid w:val="00857934"/>
    <w:rsid w:val="00857D47"/>
    <w:rsid w:val="00860244"/>
    <w:rsid w:val="008602EA"/>
    <w:rsid w:val="00860AD6"/>
    <w:rsid w:val="00860CBE"/>
    <w:rsid w:val="00860CFA"/>
    <w:rsid w:val="008612B9"/>
    <w:rsid w:val="008612DE"/>
    <w:rsid w:val="00861ACE"/>
    <w:rsid w:val="00861FD5"/>
    <w:rsid w:val="00862406"/>
    <w:rsid w:val="00862502"/>
    <w:rsid w:val="008626A4"/>
    <w:rsid w:val="0086309C"/>
    <w:rsid w:val="0086321C"/>
    <w:rsid w:val="0086327C"/>
    <w:rsid w:val="00864007"/>
    <w:rsid w:val="00864431"/>
    <w:rsid w:val="00864619"/>
    <w:rsid w:val="0086480C"/>
    <w:rsid w:val="00865428"/>
    <w:rsid w:val="00865C31"/>
    <w:rsid w:val="00865E17"/>
    <w:rsid w:val="00865ED7"/>
    <w:rsid w:val="008665E0"/>
    <w:rsid w:val="0086711B"/>
    <w:rsid w:val="00867E78"/>
    <w:rsid w:val="008703D6"/>
    <w:rsid w:val="008705BB"/>
    <w:rsid w:val="00870658"/>
    <w:rsid w:val="008708F3"/>
    <w:rsid w:val="0087122E"/>
    <w:rsid w:val="00872206"/>
    <w:rsid w:val="00872461"/>
    <w:rsid w:val="00872717"/>
    <w:rsid w:val="00872A37"/>
    <w:rsid w:val="00872DFD"/>
    <w:rsid w:val="00873717"/>
    <w:rsid w:val="00874A74"/>
    <w:rsid w:val="00874D55"/>
    <w:rsid w:val="00875C32"/>
    <w:rsid w:val="00876886"/>
    <w:rsid w:val="00877005"/>
    <w:rsid w:val="00877101"/>
    <w:rsid w:val="00877641"/>
    <w:rsid w:val="00877655"/>
    <w:rsid w:val="008778BF"/>
    <w:rsid w:val="00880609"/>
    <w:rsid w:val="00880C13"/>
    <w:rsid w:val="00881A54"/>
    <w:rsid w:val="00882045"/>
    <w:rsid w:val="00882874"/>
    <w:rsid w:val="008828C2"/>
    <w:rsid w:val="00883045"/>
    <w:rsid w:val="008834B6"/>
    <w:rsid w:val="0088374D"/>
    <w:rsid w:val="00883787"/>
    <w:rsid w:val="00883980"/>
    <w:rsid w:val="00883BD4"/>
    <w:rsid w:val="0088446E"/>
    <w:rsid w:val="0088473E"/>
    <w:rsid w:val="00884E9B"/>
    <w:rsid w:val="00885256"/>
    <w:rsid w:val="00885FD8"/>
    <w:rsid w:val="0088630A"/>
    <w:rsid w:val="008873B9"/>
    <w:rsid w:val="00887C69"/>
    <w:rsid w:val="00887D44"/>
    <w:rsid w:val="00887E60"/>
    <w:rsid w:val="008919E7"/>
    <w:rsid w:val="00891D86"/>
    <w:rsid w:val="008921E8"/>
    <w:rsid w:val="008932BF"/>
    <w:rsid w:val="00894489"/>
    <w:rsid w:val="0089457C"/>
    <w:rsid w:val="008946B2"/>
    <w:rsid w:val="008963A5"/>
    <w:rsid w:val="00896FE5"/>
    <w:rsid w:val="00897691"/>
    <w:rsid w:val="008A038C"/>
    <w:rsid w:val="008A04F1"/>
    <w:rsid w:val="008A0C2F"/>
    <w:rsid w:val="008A0E04"/>
    <w:rsid w:val="008A0E87"/>
    <w:rsid w:val="008A1269"/>
    <w:rsid w:val="008A1B91"/>
    <w:rsid w:val="008A2511"/>
    <w:rsid w:val="008A285B"/>
    <w:rsid w:val="008A3C3E"/>
    <w:rsid w:val="008A3EBD"/>
    <w:rsid w:val="008A5205"/>
    <w:rsid w:val="008A52B2"/>
    <w:rsid w:val="008A557D"/>
    <w:rsid w:val="008A68A1"/>
    <w:rsid w:val="008A696C"/>
    <w:rsid w:val="008A6ED9"/>
    <w:rsid w:val="008A70BD"/>
    <w:rsid w:val="008A721E"/>
    <w:rsid w:val="008A736E"/>
    <w:rsid w:val="008A7658"/>
    <w:rsid w:val="008A79DE"/>
    <w:rsid w:val="008B178A"/>
    <w:rsid w:val="008B1BBC"/>
    <w:rsid w:val="008B2B73"/>
    <w:rsid w:val="008B4F3D"/>
    <w:rsid w:val="008B542B"/>
    <w:rsid w:val="008B595F"/>
    <w:rsid w:val="008B71F0"/>
    <w:rsid w:val="008B734D"/>
    <w:rsid w:val="008B745F"/>
    <w:rsid w:val="008B7657"/>
    <w:rsid w:val="008B7D7E"/>
    <w:rsid w:val="008C0A92"/>
    <w:rsid w:val="008C1444"/>
    <w:rsid w:val="008C21E1"/>
    <w:rsid w:val="008C277E"/>
    <w:rsid w:val="008C34E5"/>
    <w:rsid w:val="008C3709"/>
    <w:rsid w:val="008C3810"/>
    <w:rsid w:val="008C4172"/>
    <w:rsid w:val="008C447A"/>
    <w:rsid w:val="008C4715"/>
    <w:rsid w:val="008C4B55"/>
    <w:rsid w:val="008C4C58"/>
    <w:rsid w:val="008C6377"/>
    <w:rsid w:val="008C63B9"/>
    <w:rsid w:val="008C69F8"/>
    <w:rsid w:val="008C7068"/>
    <w:rsid w:val="008C7746"/>
    <w:rsid w:val="008C7D97"/>
    <w:rsid w:val="008C7ECB"/>
    <w:rsid w:val="008D015F"/>
    <w:rsid w:val="008D0339"/>
    <w:rsid w:val="008D0540"/>
    <w:rsid w:val="008D127D"/>
    <w:rsid w:val="008D17A9"/>
    <w:rsid w:val="008D19B0"/>
    <w:rsid w:val="008D1F56"/>
    <w:rsid w:val="008D3061"/>
    <w:rsid w:val="008D336C"/>
    <w:rsid w:val="008D3658"/>
    <w:rsid w:val="008D3BCC"/>
    <w:rsid w:val="008D3C6D"/>
    <w:rsid w:val="008D3CB2"/>
    <w:rsid w:val="008D3F50"/>
    <w:rsid w:val="008D4EFD"/>
    <w:rsid w:val="008D53A9"/>
    <w:rsid w:val="008D5B58"/>
    <w:rsid w:val="008D7ED7"/>
    <w:rsid w:val="008E027B"/>
    <w:rsid w:val="008E031D"/>
    <w:rsid w:val="008E05DF"/>
    <w:rsid w:val="008E1364"/>
    <w:rsid w:val="008E1B9E"/>
    <w:rsid w:val="008E327D"/>
    <w:rsid w:val="008E4FF2"/>
    <w:rsid w:val="008E73E6"/>
    <w:rsid w:val="008E7F65"/>
    <w:rsid w:val="008F120A"/>
    <w:rsid w:val="008F12C2"/>
    <w:rsid w:val="008F176C"/>
    <w:rsid w:val="008F21EF"/>
    <w:rsid w:val="008F25AE"/>
    <w:rsid w:val="008F2FB3"/>
    <w:rsid w:val="008F3207"/>
    <w:rsid w:val="008F4356"/>
    <w:rsid w:val="008F4598"/>
    <w:rsid w:val="008F487D"/>
    <w:rsid w:val="008F48EB"/>
    <w:rsid w:val="008F4BD0"/>
    <w:rsid w:val="008F4E79"/>
    <w:rsid w:val="008F4F0B"/>
    <w:rsid w:val="008F6150"/>
    <w:rsid w:val="008F6A96"/>
    <w:rsid w:val="008F6B03"/>
    <w:rsid w:val="008F706A"/>
    <w:rsid w:val="008F7177"/>
    <w:rsid w:val="008F7312"/>
    <w:rsid w:val="008F7CA4"/>
    <w:rsid w:val="009010CE"/>
    <w:rsid w:val="00901B4E"/>
    <w:rsid w:val="00902BA1"/>
    <w:rsid w:val="00902C2A"/>
    <w:rsid w:val="00903C64"/>
    <w:rsid w:val="0090471C"/>
    <w:rsid w:val="00904CAA"/>
    <w:rsid w:val="00905D32"/>
    <w:rsid w:val="00905D77"/>
    <w:rsid w:val="00905DBC"/>
    <w:rsid w:val="00905F54"/>
    <w:rsid w:val="009060A0"/>
    <w:rsid w:val="009062A5"/>
    <w:rsid w:val="009067BF"/>
    <w:rsid w:val="00906A6D"/>
    <w:rsid w:val="0090772B"/>
    <w:rsid w:val="00910B94"/>
    <w:rsid w:val="00910C58"/>
    <w:rsid w:val="00911272"/>
    <w:rsid w:val="00911A1B"/>
    <w:rsid w:val="00911E3A"/>
    <w:rsid w:val="00911EF3"/>
    <w:rsid w:val="00913156"/>
    <w:rsid w:val="009131C7"/>
    <w:rsid w:val="00913932"/>
    <w:rsid w:val="00913BAE"/>
    <w:rsid w:val="00913DD8"/>
    <w:rsid w:val="00914C89"/>
    <w:rsid w:val="00914CA3"/>
    <w:rsid w:val="00915A48"/>
    <w:rsid w:val="00916751"/>
    <w:rsid w:val="00916BD3"/>
    <w:rsid w:val="0091705F"/>
    <w:rsid w:val="009175E4"/>
    <w:rsid w:val="009201BB"/>
    <w:rsid w:val="00921328"/>
    <w:rsid w:val="0092180F"/>
    <w:rsid w:val="00921D51"/>
    <w:rsid w:val="00922354"/>
    <w:rsid w:val="00922871"/>
    <w:rsid w:val="00922E7F"/>
    <w:rsid w:val="00922ED5"/>
    <w:rsid w:val="00923451"/>
    <w:rsid w:val="00923B62"/>
    <w:rsid w:val="00923C00"/>
    <w:rsid w:val="00923D9B"/>
    <w:rsid w:val="00924C84"/>
    <w:rsid w:val="00926428"/>
    <w:rsid w:val="00927384"/>
    <w:rsid w:val="00927B40"/>
    <w:rsid w:val="00930199"/>
    <w:rsid w:val="00930CEC"/>
    <w:rsid w:val="00931044"/>
    <w:rsid w:val="00931206"/>
    <w:rsid w:val="00931209"/>
    <w:rsid w:val="009320EE"/>
    <w:rsid w:val="00932165"/>
    <w:rsid w:val="00932826"/>
    <w:rsid w:val="009337C0"/>
    <w:rsid w:val="00933E4B"/>
    <w:rsid w:val="00933EEC"/>
    <w:rsid w:val="0093468D"/>
    <w:rsid w:val="00935080"/>
    <w:rsid w:val="009350BB"/>
    <w:rsid w:val="00935224"/>
    <w:rsid w:val="0093558C"/>
    <w:rsid w:val="00935A14"/>
    <w:rsid w:val="00935C77"/>
    <w:rsid w:val="00936A7B"/>
    <w:rsid w:val="00936D8D"/>
    <w:rsid w:val="0094019F"/>
    <w:rsid w:val="0094073C"/>
    <w:rsid w:val="00940D89"/>
    <w:rsid w:val="00941D0E"/>
    <w:rsid w:val="00942804"/>
    <w:rsid w:val="00942CE6"/>
    <w:rsid w:val="00942E92"/>
    <w:rsid w:val="00943082"/>
    <w:rsid w:val="009432A7"/>
    <w:rsid w:val="00943702"/>
    <w:rsid w:val="00943C78"/>
    <w:rsid w:val="00943E93"/>
    <w:rsid w:val="009445AF"/>
    <w:rsid w:val="00945D22"/>
    <w:rsid w:val="00945FE7"/>
    <w:rsid w:val="009460A6"/>
    <w:rsid w:val="00946874"/>
    <w:rsid w:val="00946A20"/>
    <w:rsid w:val="00946C62"/>
    <w:rsid w:val="00946EF8"/>
    <w:rsid w:val="009513B7"/>
    <w:rsid w:val="00951BC5"/>
    <w:rsid w:val="0095264E"/>
    <w:rsid w:val="0095372B"/>
    <w:rsid w:val="00955519"/>
    <w:rsid w:val="00955664"/>
    <w:rsid w:val="00955845"/>
    <w:rsid w:val="00955BCB"/>
    <w:rsid w:val="0095604A"/>
    <w:rsid w:val="00956163"/>
    <w:rsid w:val="009566C0"/>
    <w:rsid w:val="00956900"/>
    <w:rsid w:val="009570F3"/>
    <w:rsid w:val="00957802"/>
    <w:rsid w:val="0096046A"/>
    <w:rsid w:val="00960CF6"/>
    <w:rsid w:val="00960F0B"/>
    <w:rsid w:val="00960FAA"/>
    <w:rsid w:val="00961AAB"/>
    <w:rsid w:val="00961B6B"/>
    <w:rsid w:val="00961F68"/>
    <w:rsid w:val="00962039"/>
    <w:rsid w:val="009624A8"/>
    <w:rsid w:val="00962AF9"/>
    <w:rsid w:val="00962CB9"/>
    <w:rsid w:val="00962F4C"/>
    <w:rsid w:val="009637C4"/>
    <w:rsid w:val="00963BE1"/>
    <w:rsid w:val="00963CCE"/>
    <w:rsid w:val="00963CEA"/>
    <w:rsid w:val="00964312"/>
    <w:rsid w:val="00965039"/>
    <w:rsid w:val="00965ABA"/>
    <w:rsid w:val="009668CC"/>
    <w:rsid w:val="00967041"/>
    <w:rsid w:val="009674A7"/>
    <w:rsid w:val="0096754B"/>
    <w:rsid w:val="00967CB4"/>
    <w:rsid w:val="00970864"/>
    <w:rsid w:val="009714FE"/>
    <w:rsid w:val="0097167A"/>
    <w:rsid w:val="00971FB9"/>
    <w:rsid w:val="009720C9"/>
    <w:rsid w:val="00972B95"/>
    <w:rsid w:val="00974477"/>
    <w:rsid w:val="00974B7D"/>
    <w:rsid w:val="00975698"/>
    <w:rsid w:val="0097574A"/>
    <w:rsid w:val="009759D7"/>
    <w:rsid w:val="009769E8"/>
    <w:rsid w:val="0097755C"/>
    <w:rsid w:val="00977D23"/>
    <w:rsid w:val="009803B9"/>
    <w:rsid w:val="009803D2"/>
    <w:rsid w:val="00980BF9"/>
    <w:rsid w:val="00980D65"/>
    <w:rsid w:val="0098197C"/>
    <w:rsid w:val="00981C06"/>
    <w:rsid w:val="00981E0E"/>
    <w:rsid w:val="009820AF"/>
    <w:rsid w:val="00982204"/>
    <w:rsid w:val="009822B4"/>
    <w:rsid w:val="00983168"/>
    <w:rsid w:val="0098360C"/>
    <w:rsid w:val="0098387F"/>
    <w:rsid w:val="0098394E"/>
    <w:rsid w:val="00983E57"/>
    <w:rsid w:val="00983FD5"/>
    <w:rsid w:val="00984AE0"/>
    <w:rsid w:val="009850AA"/>
    <w:rsid w:val="00985785"/>
    <w:rsid w:val="00985801"/>
    <w:rsid w:val="00985BD7"/>
    <w:rsid w:val="00986139"/>
    <w:rsid w:val="00987C7A"/>
    <w:rsid w:val="00987C9C"/>
    <w:rsid w:val="00990211"/>
    <w:rsid w:val="009908C3"/>
    <w:rsid w:val="009908C6"/>
    <w:rsid w:val="00991A93"/>
    <w:rsid w:val="0099258C"/>
    <w:rsid w:val="00992AA9"/>
    <w:rsid w:val="00992C50"/>
    <w:rsid w:val="0099333D"/>
    <w:rsid w:val="0099347D"/>
    <w:rsid w:val="00993921"/>
    <w:rsid w:val="00993E7A"/>
    <w:rsid w:val="009943D1"/>
    <w:rsid w:val="009956A8"/>
    <w:rsid w:val="00996098"/>
    <w:rsid w:val="00996B1A"/>
    <w:rsid w:val="00997EE0"/>
    <w:rsid w:val="00997EF8"/>
    <w:rsid w:val="00997FA3"/>
    <w:rsid w:val="009A0A35"/>
    <w:rsid w:val="009A1326"/>
    <w:rsid w:val="009A16E7"/>
    <w:rsid w:val="009A17B2"/>
    <w:rsid w:val="009A18CC"/>
    <w:rsid w:val="009A1AC5"/>
    <w:rsid w:val="009A312E"/>
    <w:rsid w:val="009A33AF"/>
    <w:rsid w:val="009A37D2"/>
    <w:rsid w:val="009A3CBB"/>
    <w:rsid w:val="009A44E5"/>
    <w:rsid w:val="009A4657"/>
    <w:rsid w:val="009A5386"/>
    <w:rsid w:val="009A5BBC"/>
    <w:rsid w:val="009A63EC"/>
    <w:rsid w:val="009A6605"/>
    <w:rsid w:val="009A6A86"/>
    <w:rsid w:val="009A6D37"/>
    <w:rsid w:val="009A7370"/>
    <w:rsid w:val="009A778C"/>
    <w:rsid w:val="009A7B24"/>
    <w:rsid w:val="009A7E88"/>
    <w:rsid w:val="009B0F1D"/>
    <w:rsid w:val="009B17D5"/>
    <w:rsid w:val="009B1ECA"/>
    <w:rsid w:val="009B2517"/>
    <w:rsid w:val="009B2837"/>
    <w:rsid w:val="009B302A"/>
    <w:rsid w:val="009B31E5"/>
    <w:rsid w:val="009B357D"/>
    <w:rsid w:val="009B3A05"/>
    <w:rsid w:val="009B3E26"/>
    <w:rsid w:val="009B4434"/>
    <w:rsid w:val="009B4B84"/>
    <w:rsid w:val="009B4B92"/>
    <w:rsid w:val="009B51C2"/>
    <w:rsid w:val="009B6477"/>
    <w:rsid w:val="009B6CB7"/>
    <w:rsid w:val="009B75D7"/>
    <w:rsid w:val="009C0014"/>
    <w:rsid w:val="009C057E"/>
    <w:rsid w:val="009C086D"/>
    <w:rsid w:val="009C1761"/>
    <w:rsid w:val="009C1D83"/>
    <w:rsid w:val="009C2169"/>
    <w:rsid w:val="009C2474"/>
    <w:rsid w:val="009C37A5"/>
    <w:rsid w:val="009C3BC9"/>
    <w:rsid w:val="009C40C4"/>
    <w:rsid w:val="009C4C92"/>
    <w:rsid w:val="009C4D29"/>
    <w:rsid w:val="009C4E5F"/>
    <w:rsid w:val="009C5070"/>
    <w:rsid w:val="009C5BAC"/>
    <w:rsid w:val="009C6311"/>
    <w:rsid w:val="009C6AD7"/>
    <w:rsid w:val="009C6EE0"/>
    <w:rsid w:val="009C755C"/>
    <w:rsid w:val="009D0148"/>
    <w:rsid w:val="009D0402"/>
    <w:rsid w:val="009D16D0"/>
    <w:rsid w:val="009D1853"/>
    <w:rsid w:val="009D18A4"/>
    <w:rsid w:val="009D18D7"/>
    <w:rsid w:val="009D1B3C"/>
    <w:rsid w:val="009D1CB5"/>
    <w:rsid w:val="009D2707"/>
    <w:rsid w:val="009D3E2E"/>
    <w:rsid w:val="009D4467"/>
    <w:rsid w:val="009D490E"/>
    <w:rsid w:val="009D5186"/>
    <w:rsid w:val="009D5B91"/>
    <w:rsid w:val="009D62DE"/>
    <w:rsid w:val="009D6A44"/>
    <w:rsid w:val="009D6B00"/>
    <w:rsid w:val="009D73CE"/>
    <w:rsid w:val="009D7685"/>
    <w:rsid w:val="009D7B6B"/>
    <w:rsid w:val="009D7DF4"/>
    <w:rsid w:val="009D7ED0"/>
    <w:rsid w:val="009E02D0"/>
    <w:rsid w:val="009E1062"/>
    <w:rsid w:val="009E2EE8"/>
    <w:rsid w:val="009E33BB"/>
    <w:rsid w:val="009E36A9"/>
    <w:rsid w:val="009E45F3"/>
    <w:rsid w:val="009E4827"/>
    <w:rsid w:val="009E4BCE"/>
    <w:rsid w:val="009E4C07"/>
    <w:rsid w:val="009E4EC3"/>
    <w:rsid w:val="009E54FF"/>
    <w:rsid w:val="009E5756"/>
    <w:rsid w:val="009E66B7"/>
    <w:rsid w:val="009E7AD2"/>
    <w:rsid w:val="009F01DE"/>
    <w:rsid w:val="009F0359"/>
    <w:rsid w:val="009F102A"/>
    <w:rsid w:val="009F1A54"/>
    <w:rsid w:val="009F2216"/>
    <w:rsid w:val="009F2EBB"/>
    <w:rsid w:val="009F2F31"/>
    <w:rsid w:val="009F3DC0"/>
    <w:rsid w:val="009F4B0C"/>
    <w:rsid w:val="009F4FF6"/>
    <w:rsid w:val="009F5226"/>
    <w:rsid w:val="009F53FF"/>
    <w:rsid w:val="009F61D6"/>
    <w:rsid w:val="009F7329"/>
    <w:rsid w:val="009F7F45"/>
    <w:rsid w:val="00A0011F"/>
    <w:rsid w:val="00A007B4"/>
    <w:rsid w:val="00A00F8F"/>
    <w:rsid w:val="00A01A3E"/>
    <w:rsid w:val="00A020F9"/>
    <w:rsid w:val="00A0224C"/>
    <w:rsid w:val="00A0250B"/>
    <w:rsid w:val="00A028C8"/>
    <w:rsid w:val="00A03349"/>
    <w:rsid w:val="00A033A3"/>
    <w:rsid w:val="00A03A30"/>
    <w:rsid w:val="00A03B3C"/>
    <w:rsid w:val="00A03D43"/>
    <w:rsid w:val="00A03D7D"/>
    <w:rsid w:val="00A03EC1"/>
    <w:rsid w:val="00A04380"/>
    <w:rsid w:val="00A0474B"/>
    <w:rsid w:val="00A058AF"/>
    <w:rsid w:val="00A06623"/>
    <w:rsid w:val="00A06C6E"/>
    <w:rsid w:val="00A07856"/>
    <w:rsid w:val="00A07A24"/>
    <w:rsid w:val="00A10767"/>
    <w:rsid w:val="00A119AF"/>
    <w:rsid w:val="00A120DB"/>
    <w:rsid w:val="00A129A0"/>
    <w:rsid w:val="00A12B96"/>
    <w:rsid w:val="00A13948"/>
    <w:rsid w:val="00A13F78"/>
    <w:rsid w:val="00A14ED4"/>
    <w:rsid w:val="00A16C8B"/>
    <w:rsid w:val="00A171AE"/>
    <w:rsid w:val="00A17D88"/>
    <w:rsid w:val="00A17D98"/>
    <w:rsid w:val="00A201DF"/>
    <w:rsid w:val="00A20D22"/>
    <w:rsid w:val="00A21659"/>
    <w:rsid w:val="00A2166C"/>
    <w:rsid w:val="00A219C5"/>
    <w:rsid w:val="00A22104"/>
    <w:rsid w:val="00A22961"/>
    <w:rsid w:val="00A22BD9"/>
    <w:rsid w:val="00A22CA4"/>
    <w:rsid w:val="00A23451"/>
    <w:rsid w:val="00A2482B"/>
    <w:rsid w:val="00A24AD0"/>
    <w:rsid w:val="00A24C14"/>
    <w:rsid w:val="00A25131"/>
    <w:rsid w:val="00A2593B"/>
    <w:rsid w:val="00A25C17"/>
    <w:rsid w:val="00A25FE2"/>
    <w:rsid w:val="00A269F0"/>
    <w:rsid w:val="00A27AEC"/>
    <w:rsid w:val="00A3058F"/>
    <w:rsid w:val="00A309EC"/>
    <w:rsid w:val="00A30FC5"/>
    <w:rsid w:val="00A32836"/>
    <w:rsid w:val="00A32F15"/>
    <w:rsid w:val="00A330FE"/>
    <w:rsid w:val="00A34DDE"/>
    <w:rsid w:val="00A352C8"/>
    <w:rsid w:val="00A3533B"/>
    <w:rsid w:val="00A3566D"/>
    <w:rsid w:val="00A35C8F"/>
    <w:rsid w:val="00A35D16"/>
    <w:rsid w:val="00A35F70"/>
    <w:rsid w:val="00A36448"/>
    <w:rsid w:val="00A3659B"/>
    <w:rsid w:val="00A3670F"/>
    <w:rsid w:val="00A3698C"/>
    <w:rsid w:val="00A36F7B"/>
    <w:rsid w:val="00A371CA"/>
    <w:rsid w:val="00A37D46"/>
    <w:rsid w:val="00A402AD"/>
    <w:rsid w:val="00A40545"/>
    <w:rsid w:val="00A409BF"/>
    <w:rsid w:val="00A40A0D"/>
    <w:rsid w:val="00A40F46"/>
    <w:rsid w:val="00A411E7"/>
    <w:rsid w:val="00A41498"/>
    <w:rsid w:val="00A41F70"/>
    <w:rsid w:val="00A42045"/>
    <w:rsid w:val="00A4228F"/>
    <w:rsid w:val="00A426C5"/>
    <w:rsid w:val="00A42DD9"/>
    <w:rsid w:val="00A42F7B"/>
    <w:rsid w:val="00A43A03"/>
    <w:rsid w:val="00A43C59"/>
    <w:rsid w:val="00A4409B"/>
    <w:rsid w:val="00A4435E"/>
    <w:rsid w:val="00A450AC"/>
    <w:rsid w:val="00A457E4"/>
    <w:rsid w:val="00A4581B"/>
    <w:rsid w:val="00A45DB3"/>
    <w:rsid w:val="00A469D0"/>
    <w:rsid w:val="00A472B5"/>
    <w:rsid w:val="00A472D3"/>
    <w:rsid w:val="00A475E8"/>
    <w:rsid w:val="00A47A74"/>
    <w:rsid w:val="00A47C8D"/>
    <w:rsid w:val="00A50507"/>
    <w:rsid w:val="00A5063C"/>
    <w:rsid w:val="00A50ECD"/>
    <w:rsid w:val="00A510CC"/>
    <w:rsid w:val="00A51CF6"/>
    <w:rsid w:val="00A51D41"/>
    <w:rsid w:val="00A520B6"/>
    <w:rsid w:val="00A52729"/>
    <w:rsid w:val="00A5353F"/>
    <w:rsid w:val="00A53675"/>
    <w:rsid w:val="00A53888"/>
    <w:rsid w:val="00A53944"/>
    <w:rsid w:val="00A5456E"/>
    <w:rsid w:val="00A545B2"/>
    <w:rsid w:val="00A54B0B"/>
    <w:rsid w:val="00A55B18"/>
    <w:rsid w:val="00A55C40"/>
    <w:rsid w:val="00A55E46"/>
    <w:rsid w:val="00A55F00"/>
    <w:rsid w:val="00A561EF"/>
    <w:rsid w:val="00A56B6A"/>
    <w:rsid w:val="00A56E82"/>
    <w:rsid w:val="00A57594"/>
    <w:rsid w:val="00A5759A"/>
    <w:rsid w:val="00A578DC"/>
    <w:rsid w:val="00A60B83"/>
    <w:rsid w:val="00A611AC"/>
    <w:rsid w:val="00A612F8"/>
    <w:rsid w:val="00A6135B"/>
    <w:rsid w:val="00A61AD1"/>
    <w:rsid w:val="00A61EE8"/>
    <w:rsid w:val="00A6231C"/>
    <w:rsid w:val="00A6275A"/>
    <w:rsid w:val="00A62949"/>
    <w:rsid w:val="00A62D56"/>
    <w:rsid w:val="00A631A3"/>
    <w:rsid w:val="00A635C3"/>
    <w:rsid w:val="00A6398D"/>
    <w:rsid w:val="00A63995"/>
    <w:rsid w:val="00A63FAF"/>
    <w:rsid w:val="00A641ED"/>
    <w:rsid w:val="00A65845"/>
    <w:rsid w:val="00A65BB4"/>
    <w:rsid w:val="00A66948"/>
    <w:rsid w:val="00A66FC3"/>
    <w:rsid w:val="00A6725B"/>
    <w:rsid w:val="00A701B4"/>
    <w:rsid w:val="00A710AB"/>
    <w:rsid w:val="00A71131"/>
    <w:rsid w:val="00A712E1"/>
    <w:rsid w:val="00A71450"/>
    <w:rsid w:val="00A71ABE"/>
    <w:rsid w:val="00A7227F"/>
    <w:rsid w:val="00A72755"/>
    <w:rsid w:val="00A72782"/>
    <w:rsid w:val="00A73119"/>
    <w:rsid w:val="00A7365E"/>
    <w:rsid w:val="00A73B32"/>
    <w:rsid w:val="00A73D13"/>
    <w:rsid w:val="00A74668"/>
    <w:rsid w:val="00A74699"/>
    <w:rsid w:val="00A7470A"/>
    <w:rsid w:val="00A7475C"/>
    <w:rsid w:val="00A74C90"/>
    <w:rsid w:val="00A7502B"/>
    <w:rsid w:val="00A75757"/>
    <w:rsid w:val="00A75C32"/>
    <w:rsid w:val="00A75C5F"/>
    <w:rsid w:val="00A75DDD"/>
    <w:rsid w:val="00A76350"/>
    <w:rsid w:val="00A76FF0"/>
    <w:rsid w:val="00A77AF9"/>
    <w:rsid w:val="00A808E9"/>
    <w:rsid w:val="00A80A86"/>
    <w:rsid w:val="00A81219"/>
    <w:rsid w:val="00A815DB"/>
    <w:rsid w:val="00A81A40"/>
    <w:rsid w:val="00A827BF"/>
    <w:rsid w:val="00A82BEE"/>
    <w:rsid w:val="00A8350A"/>
    <w:rsid w:val="00A837D8"/>
    <w:rsid w:val="00A840F7"/>
    <w:rsid w:val="00A85E7C"/>
    <w:rsid w:val="00A86387"/>
    <w:rsid w:val="00A863A2"/>
    <w:rsid w:val="00A86E8B"/>
    <w:rsid w:val="00A87587"/>
    <w:rsid w:val="00A877CB"/>
    <w:rsid w:val="00A87C9D"/>
    <w:rsid w:val="00A9119F"/>
    <w:rsid w:val="00A9138C"/>
    <w:rsid w:val="00A920D7"/>
    <w:rsid w:val="00A92372"/>
    <w:rsid w:val="00A92481"/>
    <w:rsid w:val="00A92D4A"/>
    <w:rsid w:val="00A93072"/>
    <w:rsid w:val="00A93097"/>
    <w:rsid w:val="00A936CE"/>
    <w:rsid w:val="00A9394F"/>
    <w:rsid w:val="00A94124"/>
    <w:rsid w:val="00A94210"/>
    <w:rsid w:val="00A94430"/>
    <w:rsid w:val="00A94F59"/>
    <w:rsid w:val="00A9509A"/>
    <w:rsid w:val="00A953FE"/>
    <w:rsid w:val="00A958E3"/>
    <w:rsid w:val="00A959D8"/>
    <w:rsid w:val="00A95CAD"/>
    <w:rsid w:val="00A965DB"/>
    <w:rsid w:val="00A96705"/>
    <w:rsid w:val="00A970C8"/>
    <w:rsid w:val="00AA0E63"/>
    <w:rsid w:val="00AA0F01"/>
    <w:rsid w:val="00AA16F5"/>
    <w:rsid w:val="00AA1A2C"/>
    <w:rsid w:val="00AA1E42"/>
    <w:rsid w:val="00AA254F"/>
    <w:rsid w:val="00AA3441"/>
    <w:rsid w:val="00AA3C6E"/>
    <w:rsid w:val="00AA4285"/>
    <w:rsid w:val="00AA51F9"/>
    <w:rsid w:val="00AA547B"/>
    <w:rsid w:val="00AA56F1"/>
    <w:rsid w:val="00AA6AE2"/>
    <w:rsid w:val="00AA7859"/>
    <w:rsid w:val="00AA7DC3"/>
    <w:rsid w:val="00AA7F89"/>
    <w:rsid w:val="00AB042A"/>
    <w:rsid w:val="00AB076A"/>
    <w:rsid w:val="00AB0DFB"/>
    <w:rsid w:val="00AB0EC3"/>
    <w:rsid w:val="00AB1920"/>
    <w:rsid w:val="00AB1FFF"/>
    <w:rsid w:val="00AB20A1"/>
    <w:rsid w:val="00AB20CA"/>
    <w:rsid w:val="00AB2C69"/>
    <w:rsid w:val="00AB2D34"/>
    <w:rsid w:val="00AB3430"/>
    <w:rsid w:val="00AB38C5"/>
    <w:rsid w:val="00AB3A8F"/>
    <w:rsid w:val="00AB3CE1"/>
    <w:rsid w:val="00AB3DD9"/>
    <w:rsid w:val="00AB4124"/>
    <w:rsid w:val="00AB4B39"/>
    <w:rsid w:val="00AB7281"/>
    <w:rsid w:val="00AB72E7"/>
    <w:rsid w:val="00AB7CFA"/>
    <w:rsid w:val="00AC0690"/>
    <w:rsid w:val="00AC0AB1"/>
    <w:rsid w:val="00AC0D45"/>
    <w:rsid w:val="00AC2427"/>
    <w:rsid w:val="00AC3662"/>
    <w:rsid w:val="00AC39D2"/>
    <w:rsid w:val="00AC3D3F"/>
    <w:rsid w:val="00AC4449"/>
    <w:rsid w:val="00AC48BA"/>
    <w:rsid w:val="00AC4FA3"/>
    <w:rsid w:val="00AC5177"/>
    <w:rsid w:val="00AC5183"/>
    <w:rsid w:val="00AC51A7"/>
    <w:rsid w:val="00AC520B"/>
    <w:rsid w:val="00AC5B28"/>
    <w:rsid w:val="00AC5D7A"/>
    <w:rsid w:val="00AC5DAC"/>
    <w:rsid w:val="00AC649F"/>
    <w:rsid w:val="00AC690C"/>
    <w:rsid w:val="00AC6C17"/>
    <w:rsid w:val="00AC72EA"/>
    <w:rsid w:val="00AD07B3"/>
    <w:rsid w:val="00AD0993"/>
    <w:rsid w:val="00AD09D6"/>
    <w:rsid w:val="00AD14D8"/>
    <w:rsid w:val="00AD15B8"/>
    <w:rsid w:val="00AD1B63"/>
    <w:rsid w:val="00AD23CF"/>
    <w:rsid w:val="00AD243F"/>
    <w:rsid w:val="00AD2A1F"/>
    <w:rsid w:val="00AD2D00"/>
    <w:rsid w:val="00AD2F12"/>
    <w:rsid w:val="00AD3351"/>
    <w:rsid w:val="00AD3836"/>
    <w:rsid w:val="00AD4038"/>
    <w:rsid w:val="00AD428D"/>
    <w:rsid w:val="00AD4F49"/>
    <w:rsid w:val="00AD619A"/>
    <w:rsid w:val="00AD631C"/>
    <w:rsid w:val="00AD67A8"/>
    <w:rsid w:val="00AD705F"/>
    <w:rsid w:val="00AD72FB"/>
    <w:rsid w:val="00AD7664"/>
    <w:rsid w:val="00AE0314"/>
    <w:rsid w:val="00AE0717"/>
    <w:rsid w:val="00AE10EC"/>
    <w:rsid w:val="00AE1173"/>
    <w:rsid w:val="00AE1352"/>
    <w:rsid w:val="00AE14B5"/>
    <w:rsid w:val="00AE2B46"/>
    <w:rsid w:val="00AE2DA9"/>
    <w:rsid w:val="00AE2F35"/>
    <w:rsid w:val="00AE37F0"/>
    <w:rsid w:val="00AE3826"/>
    <w:rsid w:val="00AE4993"/>
    <w:rsid w:val="00AE4CF8"/>
    <w:rsid w:val="00AE4E48"/>
    <w:rsid w:val="00AE5C7A"/>
    <w:rsid w:val="00AE6AA1"/>
    <w:rsid w:val="00AE6FD7"/>
    <w:rsid w:val="00AE7117"/>
    <w:rsid w:val="00AF01BB"/>
    <w:rsid w:val="00AF082B"/>
    <w:rsid w:val="00AF1979"/>
    <w:rsid w:val="00AF2750"/>
    <w:rsid w:val="00AF28CF"/>
    <w:rsid w:val="00AF2988"/>
    <w:rsid w:val="00AF3FDB"/>
    <w:rsid w:val="00AF408B"/>
    <w:rsid w:val="00AF4140"/>
    <w:rsid w:val="00AF48E2"/>
    <w:rsid w:val="00AF5B6D"/>
    <w:rsid w:val="00B00CC1"/>
    <w:rsid w:val="00B01CAC"/>
    <w:rsid w:val="00B02D79"/>
    <w:rsid w:val="00B03340"/>
    <w:rsid w:val="00B04ED4"/>
    <w:rsid w:val="00B05068"/>
    <w:rsid w:val="00B051C7"/>
    <w:rsid w:val="00B05776"/>
    <w:rsid w:val="00B05F96"/>
    <w:rsid w:val="00B06A89"/>
    <w:rsid w:val="00B072B6"/>
    <w:rsid w:val="00B104B8"/>
    <w:rsid w:val="00B10614"/>
    <w:rsid w:val="00B10D24"/>
    <w:rsid w:val="00B112D5"/>
    <w:rsid w:val="00B13538"/>
    <w:rsid w:val="00B13E65"/>
    <w:rsid w:val="00B13F96"/>
    <w:rsid w:val="00B14CC8"/>
    <w:rsid w:val="00B1559D"/>
    <w:rsid w:val="00B171CB"/>
    <w:rsid w:val="00B175CA"/>
    <w:rsid w:val="00B2002F"/>
    <w:rsid w:val="00B2037D"/>
    <w:rsid w:val="00B2138C"/>
    <w:rsid w:val="00B22D53"/>
    <w:rsid w:val="00B232F9"/>
    <w:rsid w:val="00B238EB"/>
    <w:rsid w:val="00B24718"/>
    <w:rsid w:val="00B24EFD"/>
    <w:rsid w:val="00B25489"/>
    <w:rsid w:val="00B256E2"/>
    <w:rsid w:val="00B25B17"/>
    <w:rsid w:val="00B2602A"/>
    <w:rsid w:val="00B277A8"/>
    <w:rsid w:val="00B27AE4"/>
    <w:rsid w:val="00B27D78"/>
    <w:rsid w:val="00B3029D"/>
    <w:rsid w:val="00B30879"/>
    <w:rsid w:val="00B30ACF"/>
    <w:rsid w:val="00B30AEA"/>
    <w:rsid w:val="00B31027"/>
    <w:rsid w:val="00B312D9"/>
    <w:rsid w:val="00B315A3"/>
    <w:rsid w:val="00B31815"/>
    <w:rsid w:val="00B324A6"/>
    <w:rsid w:val="00B326C5"/>
    <w:rsid w:val="00B333A7"/>
    <w:rsid w:val="00B33485"/>
    <w:rsid w:val="00B34C73"/>
    <w:rsid w:val="00B34E7E"/>
    <w:rsid w:val="00B35260"/>
    <w:rsid w:val="00B35460"/>
    <w:rsid w:val="00B355B0"/>
    <w:rsid w:val="00B35A63"/>
    <w:rsid w:val="00B35F52"/>
    <w:rsid w:val="00B36158"/>
    <w:rsid w:val="00B366ED"/>
    <w:rsid w:val="00B36DC2"/>
    <w:rsid w:val="00B36F4E"/>
    <w:rsid w:val="00B37B13"/>
    <w:rsid w:val="00B4008E"/>
    <w:rsid w:val="00B41852"/>
    <w:rsid w:val="00B41FEE"/>
    <w:rsid w:val="00B42338"/>
    <w:rsid w:val="00B42480"/>
    <w:rsid w:val="00B42851"/>
    <w:rsid w:val="00B4368E"/>
    <w:rsid w:val="00B440A2"/>
    <w:rsid w:val="00B447F8"/>
    <w:rsid w:val="00B44E57"/>
    <w:rsid w:val="00B4542F"/>
    <w:rsid w:val="00B46C04"/>
    <w:rsid w:val="00B5021B"/>
    <w:rsid w:val="00B5025F"/>
    <w:rsid w:val="00B50DB8"/>
    <w:rsid w:val="00B51369"/>
    <w:rsid w:val="00B51965"/>
    <w:rsid w:val="00B53055"/>
    <w:rsid w:val="00B535D1"/>
    <w:rsid w:val="00B53905"/>
    <w:rsid w:val="00B54B5B"/>
    <w:rsid w:val="00B54EA0"/>
    <w:rsid w:val="00B5562E"/>
    <w:rsid w:val="00B559D2"/>
    <w:rsid w:val="00B55F0E"/>
    <w:rsid w:val="00B57000"/>
    <w:rsid w:val="00B5759B"/>
    <w:rsid w:val="00B57EA9"/>
    <w:rsid w:val="00B60939"/>
    <w:rsid w:val="00B609D9"/>
    <w:rsid w:val="00B60AFD"/>
    <w:rsid w:val="00B61A4C"/>
    <w:rsid w:val="00B61BD1"/>
    <w:rsid w:val="00B62033"/>
    <w:rsid w:val="00B6247A"/>
    <w:rsid w:val="00B62715"/>
    <w:rsid w:val="00B62D3C"/>
    <w:rsid w:val="00B63A60"/>
    <w:rsid w:val="00B63A74"/>
    <w:rsid w:val="00B64579"/>
    <w:rsid w:val="00B6576D"/>
    <w:rsid w:val="00B6581B"/>
    <w:rsid w:val="00B664FC"/>
    <w:rsid w:val="00B665E1"/>
    <w:rsid w:val="00B66A34"/>
    <w:rsid w:val="00B679DD"/>
    <w:rsid w:val="00B67AD2"/>
    <w:rsid w:val="00B67B07"/>
    <w:rsid w:val="00B67C7E"/>
    <w:rsid w:val="00B67FC7"/>
    <w:rsid w:val="00B70B87"/>
    <w:rsid w:val="00B716F4"/>
    <w:rsid w:val="00B71737"/>
    <w:rsid w:val="00B724E0"/>
    <w:rsid w:val="00B7435D"/>
    <w:rsid w:val="00B75AD3"/>
    <w:rsid w:val="00B76245"/>
    <w:rsid w:val="00B76B73"/>
    <w:rsid w:val="00B775CF"/>
    <w:rsid w:val="00B77690"/>
    <w:rsid w:val="00B807D3"/>
    <w:rsid w:val="00B80D2D"/>
    <w:rsid w:val="00B816F7"/>
    <w:rsid w:val="00B818A4"/>
    <w:rsid w:val="00B82060"/>
    <w:rsid w:val="00B82699"/>
    <w:rsid w:val="00B83252"/>
    <w:rsid w:val="00B84409"/>
    <w:rsid w:val="00B84891"/>
    <w:rsid w:val="00B84F02"/>
    <w:rsid w:val="00B84F34"/>
    <w:rsid w:val="00B85238"/>
    <w:rsid w:val="00B8649C"/>
    <w:rsid w:val="00B8681E"/>
    <w:rsid w:val="00B875BF"/>
    <w:rsid w:val="00B87D99"/>
    <w:rsid w:val="00B90B61"/>
    <w:rsid w:val="00B90FED"/>
    <w:rsid w:val="00B91157"/>
    <w:rsid w:val="00B922C7"/>
    <w:rsid w:val="00B92446"/>
    <w:rsid w:val="00B92CF1"/>
    <w:rsid w:val="00B92D0B"/>
    <w:rsid w:val="00B93B23"/>
    <w:rsid w:val="00B93F0F"/>
    <w:rsid w:val="00B94945"/>
    <w:rsid w:val="00B94C8B"/>
    <w:rsid w:val="00B95DFB"/>
    <w:rsid w:val="00B95FB7"/>
    <w:rsid w:val="00B96183"/>
    <w:rsid w:val="00B96457"/>
    <w:rsid w:val="00B96D28"/>
    <w:rsid w:val="00BA01BE"/>
    <w:rsid w:val="00BA0C1A"/>
    <w:rsid w:val="00BA1C76"/>
    <w:rsid w:val="00BA1E5C"/>
    <w:rsid w:val="00BA23CB"/>
    <w:rsid w:val="00BA23F2"/>
    <w:rsid w:val="00BA470F"/>
    <w:rsid w:val="00BA580D"/>
    <w:rsid w:val="00BA5EC0"/>
    <w:rsid w:val="00BA5F42"/>
    <w:rsid w:val="00BA6265"/>
    <w:rsid w:val="00BA70E7"/>
    <w:rsid w:val="00BA7448"/>
    <w:rsid w:val="00BA748B"/>
    <w:rsid w:val="00BA79F9"/>
    <w:rsid w:val="00BB03C0"/>
    <w:rsid w:val="00BB0725"/>
    <w:rsid w:val="00BB0D48"/>
    <w:rsid w:val="00BB0F99"/>
    <w:rsid w:val="00BB1164"/>
    <w:rsid w:val="00BB1982"/>
    <w:rsid w:val="00BB1F06"/>
    <w:rsid w:val="00BB24A1"/>
    <w:rsid w:val="00BB2527"/>
    <w:rsid w:val="00BB27F6"/>
    <w:rsid w:val="00BB2F15"/>
    <w:rsid w:val="00BB42CC"/>
    <w:rsid w:val="00BB462F"/>
    <w:rsid w:val="00BB549E"/>
    <w:rsid w:val="00BB5EF1"/>
    <w:rsid w:val="00BB7405"/>
    <w:rsid w:val="00BB7AF9"/>
    <w:rsid w:val="00BB7B39"/>
    <w:rsid w:val="00BB7C12"/>
    <w:rsid w:val="00BB7F82"/>
    <w:rsid w:val="00BC0533"/>
    <w:rsid w:val="00BC102F"/>
    <w:rsid w:val="00BC1E81"/>
    <w:rsid w:val="00BC2748"/>
    <w:rsid w:val="00BC343B"/>
    <w:rsid w:val="00BC4C98"/>
    <w:rsid w:val="00BC58DA"/>
    <w:rsid w:val="00BC6C60"/>
    <w:rsid w:val="00BC6DA5"/>
    <w:rsid w:val="00BC74B1"/>
    <w:rsid w:val="00BC7ECC"/>
    <w:rsid w:val="00BD0104"/>
    <w:rsid w:val="00BD01DA"/>
    <w:rsid w:val="00BD055A"/>
    <w:rsid w:val="00BD0EDB"/>
    <w:rsid w:val="00BD0F95"/>
    <w:rsid w:val="00BD148D"/>
    <w:rsid w:val="00BD16BB"/>
    <w:rsid w:val="00BD1929"/>
    <w:rsid w:val="00BD195F"/>
    <w:rsid w:val="00BD1A70"/>
    <w:rsid w:val="00BD1CCD"/>
    <w:rsid w:val="00BD27C7"/>
    <w:rsid w:val="00BD2DF5"/>
    <w:rsid w:val="00BD2F8E"/>
    <w:rsid w:val="00BD354E"/>
    <w:rsid w:val="00BD4449"/>
    <w:rsid w:val="00BD4C2E"/>
    <w:rsid w:val="00BD4FD4"/>
    <w:rsid w:val="00BD51BB"/>
    <w:rsid w:val="00BD5489"/>
    <w:rsid w:val="00BD548A"/>
    <w:rsid w:val="00BD5493"/>
    <w:rsid w:val="00BD5A6B"/>
    <w:rsid w:val="00BD66FE"/>
    <w:rsid w:val="00BD6CF3"/>
    <w:rsid w:val="00BD6F97"/>
    <w:rsid w:val="00BD71D6"/>
    <w:rsid w:val="00BD74BD"/>
    <w:rsid w:val="00BD7925"/>
    <w:rsid w:val="00BD7958"/>
    <w:rsid w:val="00BE007C"/>
    <w:rsid w:val="00BE0E9B"/>
    <w:rsid w:val="00BE0F98"/>
    <w:rsid w:val="00BE1219"/>
    <w:rsid w:val="00BE1B44"/>
    <w:rsid w:val="00BE2180"/>
    <w:rsid w:val="00BE2C1A"/>
    <w:rsid w:val="00BE2D63"/>
    <w:rsid w:val="00BE3D9D"/>
    <w:rsid w:val="00BE4275"/>
    <w:rsid w:val="00BE42D0"/>
    <w:rsid w:val="00BE469E"/>
    <w:rsid w:val="00BE52F6"/>
    <w:rsid w:val="00BE53F1"/>
    <w:rsid w:val="00BE62B6"/>
    <w:rsid w:val="00BE675B"/>
    <w:rsid w:val="00BE6930"/>
    <w:rsid w:val="00BE7185"/>
    <w:rsid w:val="00BE7226"/>
    <w:rsid w:val="00BF0C73"/>
    <w:rsid w:val="00BF0E52"/>
    <w:rsid w:val="00BF1304"/>
    <w:rsid w:val="00BF2433"/>
    <w:rsid w:val="00BF3C4E"/>
    <w:rsid w:val="00BF46D8"/>
    <w:rsid w:val="00BF4A38"/>
    <w:rsid w:val="00BF5138"/>
    <w:rsid w:val="00BF5E4C"/>
    <w:rsid w:val="00BF61C9"/>
    <w:rsid w:val="00BF68F2"/>
    <w:rsid w:val="00BF7503"/>
    <w:rsid w:val="00BF7690"/>
    <w:rsid w:val="00BF76AF"/>
    <w:rsid w:val="00BF7AA1"/>
    <w:rsid w:val="00C0001F"/>
    <w:rsid w:val="00C0068D"/>
    <w:rsid w:val="00C0090A"/>
    <w:rsid w:val="00C00F38"/>
    <w:rsid w:val="00C03112"/>
    <w:rsid w:val="00C0398D"/>
    <w:rsid w:val="00C03B75"/>
    <w:rsid w:val="00C04006"/>
    <w:rsid w:val="00C0571A"/>
    <w:rsid w:val="00C063D9"/>
    <w:rsid w:val="00C065DA"/>
    <w:rsid w:val="00C06CEF"/>
    <w:rsid w:val="00C06DA6"/>
    <w:rsid w:val="00C105C5"/>
    <w:rsid w:val="00C11073"/>
    <w:rsid w:val="00C114B6"/>
    <w:rsid w:val="00C118D9"/>
    <w:rsid w:val="00C11F67"/>
    <w:rsid w:val="00C12179"/>
    <w:rsid w:val="00C12238"/>
    <w:rsid w:val="00C12309"/>
    <w:rsid w:val="00C128D8"/>
    <w:rsid w:val="00C129F3"/>
    <w:rsid w:val="00C12A4B"/>
    <w:rsid w:val="00C13356"/>
    <w:rsid w:val="00C1382D"/>
    <w:rsid w:val="00C14F01"/>
    <w:rsid w:val="00C15049"/>
    <w:rsid w:val="00C15888"/>
    <w:rsid w:val="00C15B66"/>
    <w:rsid w:val="00C16400"/>
    <w:rsid w:val="00C164D3"/>
    <w:rsid w:val="00C16852"/>
    <w:rsid w:val="00C17179"/>
    <w:rsid w:val="00C1733D"/>
    <w:rsid w:val="00C17639"/>
    <w:rsid w:val="00C177A9"/>
    <w:rsid w:val="00C17AB3"/>
    <w:rsid w:val="00C2032D"/>
    <w:rsid w:val="00C20703"/>
    <w:rsid w:val="00C23259"/>
    <w:rsid w:val="00C25418"/>
    <w:rsid w:val="00C255D3"/>
    <w:rsid w:val="00C25744"/>
    <w:rsid w:val="00C25D9C"/>
    <w:rsid w:val="00C260EB"/>
    <w:rsid w:val="00C262DE"/>
    <w:rsid w:val="00C27219"/>
    <w:rsid w:val="00C304E6"/>
    <w:rsid w:val="00C30D0D"/>
    <w:rsid w:val="00C31649"/>
    <w:rsid w:val="00C31BF5"/>
    <w:rsid w:val="00C3219F"/>
    <w:rsid w:val="00C322E2"/>
    <w:rsid w:val="00C32933"/>
    <w:rsid w:val="00C33948"/>
    <w:rsid w:val="00C33D0A"/>
    <w:rsid w:val="00C3430F"/>
    <w:rsid w:val="00C3602F"/>
    <w:rsid w:val="00C3684B"/>
    <w:rsid w:val="00C37088"/>
    <w:rsid w:val="00C372B0"/>
    <w:rsid w:val="00C3765A"/>
    <w:rsid w:val="00C40385"/>
    <w:rsid w:val="00C41213"/>
    <w:rsid w:val="00C414C1"/>
    <w:rsid w:val="00C4207B"/>
    <w:rsid w:val="00C423B2"/>
    <w:rsid w:val="00C42A22"/>
    <w:rsid w:val="00C42C22"/>
    <w:rsid w:val="00C42FFE"/>
    <w:rsid w:val="00C433D4"/>
    <w:rsid w:val="00C44285"/>
    <w:rsid w:val="00C44353"/>
    <w:rsid w:val="00C4441D"/>
    <w:rsid w:val="00C44F83"/>
    <w:rsid w:val="00C45300"/>
    <w:rsid w:val="00C45B67"/>
    <w:rsid w:val="00C46D00"/>
    <w:rsid w:val="00C46D2F"/>
    <w:rsid w:val="00C47516"/>
    <w:rsid w:val="00C4765B"/>
    <w:rsid w:val="00C47C89"/>
    <w:rsid w:val="00C506C5"/>
    <w:rsid w:val="00C51274"/>
    <w:rsid w:val="00C51418"/>
    <w:rsid w:val="00C51928"/>
    <w:rsid w:val="00C5296D"/>
    <w:rsid w:val="00C52F14"/>
    <w:rsid w:val="00C53152"/>
    <w:rsid w:val="00C53D12"/>
    <w:rsid w:val="00C55A1E"/>
    <w:rsid w:val="00C56160"/>
    <w:rsid w:val="00C566D4"/>
    <w:rsid w:val="00C56A26"/>
    <w:rsid w:val="00C57492"/>
    <w:rsid w:val="00C57D9E"/>
    <w:rsid w:val="00C60696"/>
    <w:rsid w:val="00C60F9D"/>
    <w:rsid w:val="00C616AB"/>
    <w:rsid w:val="00C61E00"/>
    <w:rsid w:val="00C61F86"/>
    <w:rsid w:val="00C62216"/>
    <w:rsid w:val="00C6265E"/>
    <w:rsid w:val="00C64D37"/>
    <w:rsid w:val="00C6556C"/>
    <w:rsid w:val="00C65576"/>
    <w:rsid w:val="00C658DB"/>
    <w:rsid w:val="00C65EF6"/>
    <w:rsid w:val="00C66165"/>
    <w:rsid w:val="00C66446"/>
    <w:rsid w:val="00C66C17"/>
    <w:rsid w:val="00C67AC0"/>
    <w:rsid w:val="00C71028"/>
    <w:rsid w:val="00C710CD"/>
    <w:rsid w:val="00C7132E"/>
    <w:rsid w:val="00C718CA"/>
    <w:rsid w:val="00C71CA5"/>
    <w:rsid w:val="00C720ED"/>
    <w:rsid w:val="00C72533"/>
    <w:rsid w:val="00C72B8F"/>
    <w:rsid w:val="00C744E0"/>
    <w:rsid w:val="00C747A1"/>
    <w:rsid w:val="00C750C8"/>
    <w:rsid w:val="00C75E56"/>
    <w:rsid w:val="00C76489"/>
    <w:rsid w:val="00C76590"/>
    <w:rsid w:val="00C76BD6"/>
    <w:rsid w:val="00C7713F"/>
    <w:rsid w:val="00C7778D"/>
    <w:rsid w:val="00C7786E"/>
    <w:rsid w:val="00C77C9A"/>
    <w:rsid w:val="00C80365"/>
    <w:rsid w:val="00C805DD"/>
    <w:rsid w:val="00C8071B"/>
    <w:rsid w:val="00C80871"/>
    <w:rsid w:val="00C80AE4"/>
    <w:rsid w:val="00C80C07"/>
    <w:rsid w:val="00C817A5"/>
    <w:rsid w:val="00C81BB0"/>
    <w:rsid w:val="00C8213F"/>
    <w:rsid w:val="00C8245F"/>
    <w:rsid w:val="00C82F45"/>
    <w:rsid w:val="00C83E81"/>
    <w:rsid w:val="00C84214"/>
    <w:rsid w:val="00C844D2"/>
    <w:rsid w:val="00C84576"/>
    <w:rsid w:val="00C84758"/>
    <w:rsid w:val="00C848BC"/>
    <w:rsid w:val="00C84D92"/>
    <w:rsid w:val="00C84D97"/>
    <w:rsid w:val="00C859A3"/>
    <w:rsid w:val="00C87517"/>
    <w:rsid w:val="00C87637"/>
    <w:rsid w:val="00C8765F"/>
    <w:rsid w:val="00C8797A"/>
    <w:rsid w:val="00C87C08"/>
    <w:rsid w:val="00C87DF6"/>
    <w:rsid w:val="00C87F14"/>
    <w:rsid w:val="00C902E7"/>
    <w:rsid w:val="00C91404"/>
    <w:rsid w:val="00C91DC4"/>
    <w:rsid w:val="00C92C2D"/>
    <w:rsid w:val="00C92E6A"/>
    <w:rsid w:val="00C938CF"/>
    <w:rsid w:val="00C939B0"/>
    <w:rsid w:val="00C94255"/>
    <w:rsid w:val="00C94BCD"/>
    <w:rsid w:val="00C94FFC"/>
    <w:rsid w:val="00C9577D"/>
    <w:rsid w:val="00C95E57"/>
    <w:rsid w:val="00C963BB"/>
    <w:rsid w:val="00C96568"/>
    <w:rsid w:val="00C96571"/>
    <w:rsid w:val="00C969EB"/>
    <w:rsid w:val="00C97300"/>
    <w:rsid w:val="00C975CB"/>
    <w:rsid w:val="00C97D31"/>
    <w:rsid w:val="00CA02F1"/>
    <w:rsid w:val="00CA049D"/>
    <w:rsid w:val="00CA0587"/>
    <w:rsid w:val="00CA1311"/>
    <w:rsid w:val="00CA1A84"/>
    <w:rsid w:val="00CA28AA"/>
    <w:rsid w:val="00CA343C"/>
    <w:rsid w:val="00CA3807"/>
    <w:rsid w:val="00CA3943"/>
    <w:rsid w:val="00CA3A16"/>
    <w:rsid w:val="00CA422D"/>
    <w:rsid w:val="00CA4C04"/>
    <w:rsid w:val="00CA5245"/>
    <w:rsid w:val="00CA5438"/>
    <w:rsid w:val="00CA59E8"/>
    <w:rsid w:val="00CA5C5A"/>
    <w:rsid w:val="00CA6BA4"/>
    <w:rsid w:val="00CA6BE2"/>
    <w:rsid w:val="00CA75F5"/>
    <w:rsid w:val="00CA7B09"/>
    <w:rsid w:val="00CA7EAD"/>
    <w:rsid w:val="00CB17E1"/>
    <w:rsid w:val="00CB1B1D"/>
    <w:rsid w:val="00CB1BEC"/>
    <w:rsid w:val="00CB1FBB"/>
    <w:rsid w:val="00CB206E"/>
    <w:rsid w:val="00CB331D"/>
    <w:rsid w:val="00CB3BF7"/>
    <w:rsid w:val="00CB4653"/>
    <w:rsid w:val="00CB47D3"/>
    <w:rsid w:val="00CB4B70"/>
    <w:rsid w:val="00CB52BE"/>
    <w:rsid w:val="00CB5AF3"/>
    <w:rsid w:val="00CB5B1A"/>
    <w:rsid w:val="00CB6650"/>
    <w:rsid w:val="00CB71F5"/>
    <w:rsid w:val="00CB771A"/>
    <w:rsid w:val="00CB7925"/>
    <w:rsid w:val="00CC1FE6"/>
    <w:rsid w:val="00CC283A"/>
    <w:rsid w:val="00CC3406"/>
    <w:rsid w:val="00CC4354"/>
    <w:rsid w:val="00CC44D5"/>
    <w:rsid w:val="00CC48B5"/>
    <w:rsid w:val="00CC61EC"/>
    <w:rsid w:val="00CC6F01"/>
    <w:rsid w:val="00CC6FD4"/>
    <w:rsid w:val="00CD0D32"/>
    <w:rsid w:val="00CD1C91"/>
    <w:rsid w:val="00CD2FA0"/>
    <w:rsid w:val="00CD3B70"/>
    <w:rsid w:val="00CD4873"/>
    <w:rsid w:val="00CD599C"/>
    <w:rsid w:val="00CD5A4F"/>
    <w:rsid w:val="00CD6298"/>
    <w:rsid w:val="00CD630E"/>
    <w:rsid w:val="00CD6571"/>
    <w:rsid w:val="00CD6ADC"/>
    <w:rsid w:val="00CD7162"/>
    <w:rsid w:val="00CD731A"/>
    <w:rsid w:val="00CD73C8"/>
    <w:rsid w:val="00CE0D4D"/>
    <w:rsid w:val="00CE0FC9"/>
    <w:rsid w:val="00CE1456"/>
    <w:rsid w:val="00CE16B7"/>
    <w:rsid w:val="00CE16BD"/>
    <w:rsid w:val="00CE1A59"/>
    <w:rsid w:val="00CE1D92"/>
    <w:rsid w:val="00CE2290"/>
    <w:rsid w:val="00CE257B"/>
    <w:rsid w:val="00CE2585"/>
    <w:rsid w:val="00CE2BF3"/>
    <w:rsid w:val="00CE2E72"/>
    <w:rsid w:val="00CE3514"/>
    <w:rsid w:val="00CE3864"/>
    <w:rsid w:val="00CE45A5"/>
    <w:rsid w:val="00CE4811"/>
    <w:rsid w:val="00CE4A08"/>
    <w:rsid w:val="00CE4D9F"/>
    <w:rsid w:val="00CE4EF3"/>
    <w:rsid w:val="00CE50A4"/>
    <w:rsid w:val="00CE5B92"/>
    <w:rsid w:val="00CE5EE4"/>
    <w:rsid w:val="00CE6195"/>
    <w:rsid w:val="00CE6274"/>
    <w:rsid w:val="00CE62B4"/>
    <w:rsid w:val="00CE62EF"/>
    <w:rsid w:val="00CE7087"/>
    <w:rsid w:val="00CE7E57"/>
    <w:rsid w:val="00CF00A7"/>
    <w:rsid w:val="00CF1C29"/>
    <w:rsid w:val="00CF1D22"/>
    <w:rsid w:val="00CF1D32"/>
    <w:rsid w:val="00CF1E07"/>
    <w:rsid w:val="00CF22FC"/>
    <w:rsid w:val="00CF2984"/>
    <w:rsid w:val="00CF2FA2"/>
    <w:rsid w:val="00CF3758"/>
    <w:rsid w:val="00CF3A77"/>
    <w:rsid w:val="00CF3D92"/>
    <w:rsid w:val="00CF3F28"/>
    <w:rsid w:val="00CF456B"/>
    <w:rsid w:val="00CF4AE2"/>
    <w:rsid w:val="00CF5320"/>
    <w:rsid w:val="00CF55AA"/>
    <w:rsid w:val="00CF5A22"/>
    <w:rsid w:val="00CF6475"/>
    <w:rsid w:val="00CF6D09"/>
    <w:rsid w:val="00CF6F4B"/>
    <w:rsid w:val="00D001C6"/>
    <w:rsid w:val="00D00824"/>
    <w:rsid w:val="00D00AFE"/>
    <w:rsid w:val="00D0262E"/>
    <w:rsid w:val="00D02F83"/>
    <w:rsid w:val="00D03489"/>
    <w:rsid w:val="00D035D6"/>
    <w:rsid w:val="00D061E5"/>
    <w:rsid w:val="00D06518"/>
    <w:rsid w:val="00D06D00"/>
    <w:rsid w:val="00D0782F"/>
    <w:rsid w:val="00D079BB"/>
    <w:rsid w:val="00D07F28"/>
    <w:rsid w:val="00D10214"/>
    <w:rsid w:val="00D10A8A"/>
    <w:rsid w:val="00D110BD"/>
    <w:rsid w:val="00D11530"/>
    <w:rsid w:val="00D11A0F"/>
    <w:rsid w:val="00D121DD"/>
    <w:rsid w:val="00D12540"/>
    <w:rsid w:val="00D127FC"/>
    <w:rsid w:val="00D12C45"/>
    <w:rsid w:val="00D12F53"/>
    <w:rsid w:val="00D13156"/>
    <w:rsid w:val="00D13FBE"/>
    <w:rsid w:val="00D14FAC"/>
    <w:rsid w:val="00D1588B"/>
    <w:rsid w:val="00D15DC6"/>
    <w:rsid w:val="00D16146"/>
    <w:rsid w:val="00D171A0"/>
    <w:rsid w:val="00D17423"/>
    <w:rsid w:val="00D17841"/>
    <w:rsid w:val="00D17D6C"/>
    <w:rsid w:val="00D17F64"/>
    <w:rsid w:val="00D20ADD"/>
    <w:rsid w:val="00D21298"/>
    <w:rsid w:val="00D21748"/>
    <w:rsid w:val="00D219D0"/>
    <w:rsid w:val="00D221CA"/>
    <w:rsid w:val="00D239AA"/>
    <w:rsid w:val="00D23A5E"/>
    <w:rsid w:val="00D25265"/>
    <w:rsid w:val="00D252A9"/>
    <w:rsid w:val="00D2530C"/>
    <w:rsid w:val="00D25761"/>
    <w:rsid w:val="00D274E3"/>
    <w:rsid w:val="00D27811"/>
    <w:rsid w:val="00D3001B"/>
    <w:rsid w:val="00D315A8"/>
    <w:rsid w:val="00D32030"/>
    <w:rsid w:val="00D322A9"/>
    <w:rsid w:val="00D3265B"/>
    <w:rsid w:val="00D329F9"/>
    <w:rsid w:val="00D334F8"/>
    <w:rsid w:val="00D336F5"/>
    <w:rsid w:val="00D33E62"/>
    <w:rsid w:val="00D3414D"/>
    <w:rsid w:val="00D347F9"/>
    <w:rsid w:val="00D357FF"/>
    <w:rsid w:val="00D35873"/>
    <w:rsid w:val="00D367E3"/>
    <w:rsid w:val="00D374F9"/>
    <w:rsid w:val="00D376E8"/>
    <w:rsid w:val="00D40058"/>
    <w:rsid w:val="00D40675"/>
    <w:rsid w:val="00D40B6E"/>
    <w:rsid w:val="00D40C57"/>
    <w:rsid w:val="00D40C6F"/>
    <w:rsid w:val="00D41104"/>
    <w:rsid w:val="00D41ED8"/>
    <w:rsid w:val="00D422A1"/>
    <w:rsid w:val="00D42774"/>
    <w:rsid w:val="00D43014"/>
    <w:rsid w:val="00D433DF"/>
    <w:rsid w:val="00D43E2F"/>
    <w:rsid w:val="00D43EDF"/>
    <w:rsid w:val="00D44720"/>
    <w:rsid w:val="00D45073"/>
    <w:rsid w:val="00D452C3"/>
    <w:rsid w:val="00D45610"/>
    <w:rsid w:val="00D45BAC"/>
    <w:rsid w:val="00D46378"/>
    <w:rsid w:val="00D468AD"/>
    <w:rsid w:val="00D46AFC"/>
    <w:rsid w:val="00D46EC5"/>
    <w:rsid w:val="00D47321"/>
    <w:rsid w:val="00D47C4A"/>
    <w:rsid w:val="00D51473"/>
    <w:rsid w:val="00D51E29"/>
    <w:rsid w:val="00D51FAF"/>
    <w:rsid w:val="00D52202"/>
    <w:rsid w:val="00D5278D"/>
    <w:rsid w:val="00D5311D"/>
    <w:rsid w:val="00D53212"/>
    <w:rsid w:val="00D53228"/>
    <w:rsid w:val="00D53A0F"/>
    <w:rsid w:val="00D53EC9"/>
    <w:rsid w:val="00D53FE8"/>
    <w:rsid w:val="00D547AF"/>
    <w:rsid w:val="00D550DD"/>
    <w:rsid w:val="00D56622"/>
    <w:rsid w:val="00D56777"/>
    <w:rsid w:val="00D56E8B"/>
    <w:rsid w:val="00D60512"/>
    <w:rsid w:val="00D60827"/>
    <w:rsid w:val="00D60B20"/>
    <w:rsid w:val="00D616B5"/>
    <w:rsid w:val="00D632FD"/>
    <w:rsid w:val="00D64086"/>
    <w:rsid w:val="00D6411B"/>
    <w:rsid w:val="00D64422"/>
    <w:rsid w:val="00D6466E"/>
    <w:rsid w:val="00D6468B"/>
    <w:rsid w:val="00D64785"/>
    <w:rsid w:val="00D64F05"/>
    <w:rsid w:val="00D65BAA"/>
    <w:rsid w:val="00D668F8"/>
    <w:rsid w:val="00D66B56"/>
    <w:rsid w:val="00D6753B"/>
    <w:rsid w:val="00D676E5"/>
    <w:rsid w:val="00D70027"/>
    <w:rsid w:val="00D71402"/>
    <w:rsid w:val="00D71581"/>
    <w:rsid w:val="00D71851"/>
    <w:rsid w:val="00D71B8F"/>
    <w:rsid w:val="00D72174"/>
    <w:rsid w:val="00D733FE"/>
    <w:rsid w:val="00D7456B"/>
    <w:rsid w:val="00D748AA"/>
    <w:rsid w:val="00D757AF"/>
    <w:rsid w:val="00D75881"/>
    <w:rsid w:val="00D76085"/>
    <w:rsid w:val="00D767EB"/>
    <w:rsid w:val="00D76972"/>
    <w:rsid w:val="00D76A44"/>
    <w:rsid w:val="00D76B94"/>
    <w:rsid w:val="00D76EFF"/>
    <w:rsid w:val="00D777F7"/>
    <w:rsid w:val="00D80D66"/>
    <w:rsid w:val="00D8114A"/>
    <w:rsid w:val="00D8152E"/>
    <w:rsid w:val="00D81569"/>
    <w:rsid w:val="00D82077"/>
    <w:rsid w:val="00D824D9"/>
    <w:rsid w:val="00D82755"/>
    <w:rsid w:val="00D836A3"/>
    <w:rsid w:val="00D83835"/>
    <w:rsid w:val="00D8426E"/>
    <w:rsid w:val="00D844EB"/>
    <w:rsid w:val="00D857EF"/>
    <w:rsid w:val="00D85ADD"/>
    <w:rsid w:val="00D85C2D"/>
    <w:rsid w:val="00D867B9"/>
    <w:rsid w:val="00D86E99"/>
    <w:rsid w:val="00D86F28"/>
    <w:rsid w:val="00D876BB"/>
    <w:rsid w:val="00D8791C"/>
    <w:rsid w:val="00D9004A"/>
    <w:rsid w:val="00D9060D"/>
    <w:rsid w:val="00D91644"/>
    <w:rsid w:val="00D91958"/>
    <w:rsid w:val="00D91B74"/>
    <w:rsid w:val="00D91D23"/>
    <w:rsid w:val="00D92508"/>
    <w:rsid w:val="00D931F3"/>
    <w:rsid w:val="00D93753"/>
    <w:rsid w:val="00D93B2A"/>
    <w:rsid w:val="00D95344"/>
    <w:rsid w:val="00D96413"/>
    <w:rsid w:val="00D96FD0"/>
    <w:rsid w:val="00D97D30"/>
    <w:rsid w:val="00D97F0E"/>
    <w:rsid w:val="00DA0338"/>
    <w:rsid w:val="00DA037B"/>
    <w:rsid w:val="00DA0582"/>
    <w:rsid w:val="00DA1453"/>
    <w:rsid w:val="00DA19D2"/>
    <w:rsid w:val="00DA32E7"/>
    <w:rsid w:val="00DA3D4D"/>
    <w:rsid w:val="00DA3E85"/>
    <w:rsid w:val="00DA52C3"/>
    <w:rsid w:val="00DA5910"/>
    <w:rsid w:val="00DA5BC4"/>
    <w:rsid w:val="00DA64E1"/>
    <w:rsid w:val="00DA6741"/>
    <w:rsid w:val="00DA741B"/>
    <w:rsid w:val="00DA77A5"/>
    <w:rsid w:val="00DB079F"/>
    <w:rsid w:val="00DB0C54"/>
    <w:rsid w:val="00DB0E42"/>
    <w:rsid w:val="00DB205C"/>
    <w:rsid w:val="00DB22B6"/>
    <w:rsid w:val="00DB2C20"/>
    <w:rsid w:val="00DB3014"/>
    <w:rsid w:val="00DB30CF"/>
    <w:rsid w:val="00DB3109"/>
    <w:rsid w:val="00DB5274"/>
    <w:rsid w:val="00DB5452"/>
    <w:rsid w:val="00DB5634"/>
    <w:rsid w:val="00DB5FD5"/>
    <w:rsid w:val="00DB6498"/>
    <w:rsid w:val="00DB6977"/>
    <w:rsid w:val="00DB697C"/>
    <w:rsid w:val="00DB6B5A"/>
    <w:rsid w:val="00DB75CD"/>
    <w:rsid w:val="00DC0694"/>
    <w:rsid w:val="00DC0BB1"/>
    <w:rsid w:val="00DC10DA"/>
    <w:rsid w:val="00DC1CDC"/>
    <w:rsid w:val="00DC275E"/>
    <w:rsid w:val="00DC2AB0"/>
    <w:rsid w:val="00DC2CDE"/>
    <w:rsid w:val="00DC3C4A"/>
    <w:rsid w:val="00DC539B"/>
    <w:rsid w:val="00DC5407"/>
    <w:rsid w:val="00DC5501"/>
    <w:rsid w:val="00DC5670"/>
    <w:rsid w:val="00DC57E8"/>
    <w:rsid w:val="00DC5AE0"/>
    <w:rsid w:val="00DC5C62"/>
    <w:rsid w:val="00DC645A"/>
    <w:rsid w:val="00DC70EB"/>
    <w:rsid w:val="00DC7313"/>
    <w:rsid w:val="00DC7482"/>
    <w:rsid w:val="00DC7B13"/>
    <w:rsid w:val="00DD0607"/>
    <w:rsid w:val="00DD0C0C"/>
    <w:rsid w:val="00DD0D71"/>
    <w:rsid w:val="00DD0E45"/>
    <w:rsid w:val="00DD198D"/>
    <w:rsid w:val="00DD19C7"/>
    <w:rsid w:val="00DD23F2"/>
    <w:rsid w:val="00DD273D"/>
    <w:rsid w:val="00DD2AAC"/>
    <w:rsid w:val="00DD2E8F"/>
    <w:rsid w:val="00DD32D4"/>
    <w:rsid w:val="00DD34FE"/>
    <w:rsid w:val="00DD3B27"/>
    <w:rsid w:val="00DD3F28"/>
    <w:rsid w:val="00DD431F"/>
    <w:rsid w:val="00DD44B9"/>
    <w:rsid w:val="00DD4537"/>
    <w:rsid w:val="00DD4E15"/>
    <w:rsid w:val="00DD63A8"/>
    <w:rsid w:val="00DD6909"/>
    <w:rsid w:val="00DD72DF"/>
    <w:rsid w:val="00DD7831"/>
    <w:rsid w:val="00DD78EC"/>
    <w:rsid w:val="00DE052B"/>
    <w:rsid w:val="00DE16E1"/>
    <w:rsid w:val="00DE2BDF"/>
    <w:rsid w:val="00DE2FFD"/>
    <w:rsid w:val="00DE3615"/>
    <w:rsid w:val="00DE388D"/>
    <w:rsid w:val="00DE3E2B"/>
    <w:rsid w:val="00DE4815"/>
    <w:rsid w:val="00DE4AEA"/>
    <w:rsid w:val="00DE4FCB"/>
    <w:rsid w:val="00DE56D2"/>
    <w:rsid w:val="00DF0103"/>
    <w:rsid w:val="00DF0302"/>
    <w:rsid w:val="00DF03F2"/>
    <w:rsid w:val="00DF06B2"/>
    <w:rsid w:val="00DF07CE"/>
    <w:rsid w:val="00DF0B8F"/>
    <w:rsid w:val="00DF0C4D"/>
    <w:rsid w:val="00DF0FF1"/>
    <w:rsid w:val="00DF14D8"/>
    <w:rsid w:val="00DF22E2"/>
    <w:rsid w:val="00DF37E1"/>
    <w:rsid w:val="00DF3B0E"/>
    <w:rsid w:val="00DF50D0"/>
    <w:rsid w:val="00DF5221"/>
    <w:rsid w:val="00DF55F0"/>
    <w:rsid w:val="00DF5894"/>
    <w:rsid w:val="00DF5D2B"/>
    <w:rsid w:val="00DF60CF"/>
    <w:rsid w:val="00DF64C4"/>
    <w:rsid w:val="00DF6AB2"/>
    <w:rsid w:val="00DF6E44"/>
    <w:rsid w:val="00DF7453"/>
    <w:rsid w:val="00DF7535"/>
    <w:rsid w:val="00E000CA"/>
    <w:rsid w:val="00E005F4"/>
    <w:rsid w:val="00E00AB5"/>
    <w:rsid w:val="00E017D3"/>
    <w:rsid w:val="00E01A97"/>
    <w:rsid w:val="00E01BDE"/>
    <w:rsid w:val="00E022C9"/>
    <w:rsid w:val="00E0286A"/>
    <w:rsid w:val="00E03C09"/>
    <w:rsid w:val="00E041CF"/>
    <w:rsid w:val="00E04238"/>
    <w:rsid w:val="00E0449D"/>
    <w:rsid w:val="00E05206"/>
    <w:rsid w:val="00E05855"/>
    <w:rsid w:val="00E059CF"/>
    <w:rsid w:val="00E05C61"/>
    <w:rsid w:val="00E05F30"/>
    <w:rsid w:val="00E06C54"/>
    <w:rsid w:val="00E07C3A"/>
    <w:rsid w:val="00E07D59"/>
    <w:rsid w:val="00E10149"/>
    <w:rsid w:val="00E1018C"/>
    <w:rsid w:val="00E10605"/>
    <w:rsid w:val="00E1173C"/>
    <w:rsid w:val="00E11B7E"/>
    <w:rsid w:val="00E124A3"/>
    <w:rsid w:val="00E124BA"/>
    <w:rsid w:val="00E128F9"/>
    <w:rsid w:val="00E131EE"/>
    <w:rsid w:val="00E13249"/>
    <w:rsid w:val="00E132DA"/>
    <w:rsid w:val="00E13508"/>
    <w:rsid w:val="00E1425C"/>
    <w:rsid w:val="00E14496"/>
    <w:rsid w:val="00E14D73"/>
    <w:rsid w:val="00E15015"/>
    <w:rsid w:val="00E150FF"/>
    <w:rsid w:val="00E15812"/>
    <w:rsid w:val="00E15BC1"/>
    <w:rsid w:val="00E16372"/>
    <w:rsid w:val="00E16B4C"/>
    <w:rsid w:val="00E16FB4"/>
    <w:rsid w:val="00E17725"/>
    <w:rsid w:val="00E17AED"/>
    <w:rsid w:val="00E20A08"/>
    <w:rsid w:val="00E20A30"/>
    <w:rsid w:val="00E20DC0"/>
    <w:rsid w:val="00E20ED6"/>
    <w:rsid w:val="00E21358"/>
    <w:rsid w:val="00E21EBE"/>
    <w:rsid w:val="00E221B2"/>
    <w:rsid w:val="00E2249B"/>
    <w:rsid w:val="00E22787"/>
    <w:rsid w:val="00E2281A"/>
    <w:rsid w:val="00E22A0D"/>
    <w:rsid w:val="00E23248"/>
    <w:rsid w:val="00E239EE"/>
    <w:rsid w:val="00E2445A"/>
    <w:rsid w:val="00E247E7"/>
    <w:rsid w:val="00E25184"/>
    <w:rsid w:val="00E254C6"/>
    <w:rsid w:val="00E255F6"/>
    <w:rsid w:val="00E25781"/>
    <w:rsid w:val="00E259D3"/>
    <w:rsid w:val="00E25A70"/>
    <w:rsid w:val="00E25BAF"/>
    <w:rsid w:val="00E25D62"/>
    <w:rsid w:val="00E264C8"/>
    <w:rsid w:val="00E2771E"/>
    <w:rsid w:val="00E27D04"/>
    <w:rsid w:val="00E300EA"/>
    <w:rsid w:val="00E30580"/>
    <w:rsid w:val="00E31166"/>
    <w:rsid w:val="00E3169A"/>
    <w:rsid w:val="00E323E5"/>
    <w:rsid w:val="00E33004"/>
    <w:rsid w:val="00E33039"/>
    <w:rsid w:val="00E33CD6"/>
    <w:rsid w:val="00E33D7F"/>
    <w:rsid w:val="00E3431B"/>
    <w:rsid w:val="00E3473A"/>
    <w:rsid w:val="00E34D62"/>
    <w:rsid w:val="00E34F47"/>
    <w:rsid w:val="00E35CF0"/>
    <w:rsid w:val="00E35F58"/>
    <w:rsid w:val="00E36484"/>
    <w:rsid w:val="00E37569"/>
    <w:rsid w:val="00E37A53"/>
    <w:rsid w:val="00E40226"/>
    <w:rsid w:val="00E411AD"/>
    <w:rsid w:val="00E4145D"/>
    <w:rsid w:val="00E41B2E"/>
    <w:rsid w:val="00E41DB2"/>
    <w:rsid w:val="00E41E30"/>
    <w:rsid w:val="00E422A4"/>
    <w:rsid w:val="00E4263C"/>
    <w:rsid w:val="00E43035"/>
    <w:rsid w:val="00E43074"/>
    <w:rsid w:val="00E43419"/>
    <w:rsid w:val="00E43570"/>
    <w:rsid w:val="00E43D70"/>
    <w:rsid w:val="00E44262"/>
    <w:rsid w:val="00E44804"/>
    <w:rsid w:val="00E44DE8"/>
    <w:rsid w:val="00E4501D"/>
    <w:rsid w:val="00E45545"/>
    <w:rsid w:val="00E45642"/>
    <w:rsid w:val="00E4589D"/>
    <w:rsid w:val="00E45D21"/>
    <w:rsid w:val="00E46055"/>
    <w:rsid w:val="00E46374"/>
    <w:rsid w:val="00E46657"/>
    <w:rsid w:val="00E4686B"/>
    <w:rsid w:val="00E47B2C"/>
    <w:rsid w:val="00E5024C"/>
    <w:rsid w:val="00E50261"/>
    <w:rsid w:val="00E5137E"/>
    <w:rsid w:val="00E51560"/>
    <w:rsid w:val="00E51EA2"/>
    <w:rsid w:val="00E51F12"/>
    <w:rsid w:val="00E5309C"/>
    <w:rsid w:val="00E5332A"/>
    <w:rsid w:val="00E54895"/>
    <w:rsid w:val="00E54B31"/>
    <w:rsid w:val="00E550AC"/>
    <w:rsid w:val="00E55424"/>
    <w:rsid w:val="00E55BB5"/>
    <w:rsid w:val="00E55EB8"/>
    <w:rsid w:val="00E55F84"/>
    <w:rsid w:val="00E564B0"/>
    <w:rsid w:val="00E56CAF"/>
    <w:rsid w:val="00E56F3A"/>
    <w:rsid w:val="00E57704"/>
    <w:rsid w:val="00E57A1A"/>
    <w:rsid w:val="00E604B6"/>
    <w:rsid w:val="00E61866"/>
    <w:rsid w:val="00E62606"/>
    <w:rsid w:val="00E627BF"/>
    <w:rsid w:val="00E62FD3"/>
    <w:rsid w:val="00E63272"/>
    <w:rsid w:val="00E643EE"/>
    <w:rsid w:val="00E647C0"/>
    <w:rsid w:val="00E655C0"/>
    <w:rsid w:val="00E655EF"/>
    <w:rsid w:val="00E65E79"/>
    <w:rsid w:val="00E670C5"/>
    <w:rsid w:val="00E67224"/>
    <w:rsid w:val="00E67416"/>
    <w:rsid w:val="00E710FA"/>
    <w:rsid w:val="00E718B6"/>
    <w:rsid w:val="00E71C03"/>
    <w:rsid w:val="00E71FD3"/>
    <w:rsid w:val="00E72CE9"/>
    <w:rsid w:val="00E73581"/>
    <w:rsid w:val="00E736F3"/>
    <w:rsid w:val="00E74277"/>
    <w:rsid w:val="00E74355"/>
    <w:rsid w:val="00E75279"/>
    <w:rsid w:val="00E754ED"/>
    <w:rsid w:val="00E758E8"/>
    <w:rsid w:val="00E77140"/>
    <w:rsid w:val="00E774A3"/>
    <w:rsid w:val="00E77C5E"/>
    <w:rsid w:val="00E77DC3"/>
    <w:rsid w:val="00E80510"/>
    <w:rsid w:val="00E80521"/>
    <w:rsid w:val="00E805F0"/>
    <w:rsid w:val="00E80A73"/>
    <w:rsid w:val="00E815A4"/>
    <w:rsid w:val="00E81727"/>
    <w:rsid w:val="00E82914"/>
    <w:rsid w:val="00E82B0A"/>
    <w:rsid w:val="00E83028"/>
    <w:rsid w:val="00E83337"/>
    <w:rsid w:val="00E839C4"/>
    <w:rsid w:val="00E83B81"/>
    <w:rsid w:val="00E83BDF"/>
    <w:rsid w:val="00E840DE"/>
    <w:rsid w:val="00E84B40"/>
    <w:rsid w:val="00E864B3"/>
    <w:rsid w:val="00E868AF"/>
    <w:rsid w:val="00E86B78"/>
    <w:rsid w:val="00E90EA1"/>
    <w:rsid w:val="00E911CE"/>
    <w:rsid w:val="00E91239"/>
    <w:rsid w:val="00E91B44"/>
    <w:rsid w:val="00E92129"/>
    <w:rsid w:val="00E9249C"/>
    <w:rsid w:val="00E926F6"/>
    <w:rsid w:val="00E92916"/>
    <w:rsid w:val="00E92A08"/>
    <w:rsid w:val="00E92AAC"/>
    <w:rsid w:val="00E93A85"/>
    <w:rsid w:val="00E948A0"/>
    <w:rsid w:val="00E94A37"/>
    <w:rsid w:val="00E94CCC"/>
    <w:rsid w:val="00E950EB"/>
    <w:rsid w:val="00E95AA2"/>
    <w:rsid w:val="00E95AA5"/>
    <w:rsid w:val="00E95BFE"/>
    <w:rsid w:val="00E96C8C"/>
    <w:rsid w:val="00E9708D"/>
    <w:rsid w:val="00E97BB6"/>
    <w:rsid w:val="00EA033C"/>
    <w:rsid w:val="00EA04E8"/>
    <w:rsid w:val="00EA05AA"/>
    <w:rsid w:val="00EA11C4"/>
    <w:rsid w:val="00EA184E"/>
    <w:rsid w:val="00EA1B31"/>
    <w:rsid w:val="00EA248F"/>
    <w:rsid w:val="00EA27E9"/>
    <w:rsid w:val="00EA2C25"/>
    <w:rsid w:val="00EA31E2"/>
    <w:rsid w:val="00EA33FD"/>
    <w:rsid w:val="00EA35A0"/>
    <w:rsid w:val="00EA3864"/>
    <w:rsid w:val="00EA4719"/>
    <w:rsid w:val="00EA4E20"/>
    <w:rsid w:val="00EA5118"/>
    <w:rsid w:val="00EA540F"/>
    <w:rsid w:val="00EA5506"/>
    <w:rsid w:val="00EA63C1"/>
    <w:rsid w:val="00EA644A"/>
    <w:rsid w:val="00EA6699"/>
    <w:rsid w:val="00EA6CC4"/>
    <w:rsid w:val="00EA6E2F"/>
    <w:rsid w:val="00EA7346"/>
    <w:rsid w:val="00EA737A"/>
    <w:rsid w:val="00EA7C01"/>
    <w:rsid w:val="00EA7FF9"/>
    <w:rsid w:val="00EB05B5"/>
    <w:rsid w:val="00EB0CB4"/>
    <w:rsid w:val="00EB15B6"/>
    <w:rsid w:val="00EB1D50"/>
    <w:rsid w:val="00EB1D6E"/>
    <w:rsid w:val="00EB1F32"/>
    <w:rsid w:val="00EB2BD0"/>
    <w:rsid w:val="00EB3D2B"/>
    <w:rsid w:val="00EB43A2"/>
    <w:rsid w:val="00EB4916"/>
    <w:rsid w:val="00EB4D20"/>
    <w:rsid w:val="00EB57F9"/>
    <w:rsid w:val="00EB6ADE"/>
    <w:rsid w:val="00EB7FE1"/>
    <w:rsid w:val="00EC000A"/>
    <w:rsid w:val="00EC00C9"/>
    <w:rsid w:val="00EC0427"/>
    <w:rsid w:val="00EC11B1"/>
    <w:rsid w:val="00EC1668"/>
    <w:rsid w:val="00EC20C9"/>
    <w:rsid w:val="00EC284E"/>
    <w:rsid w:val="00EC29E8"/>
    <w:rsid w:val="00EC31BC"/>
    <w:rsid w:val="00EC33E8"/>
    <w:rsid w:val="00EC3D9F"/>
    <w:rsid w:val="00EC4477"/>
    <w:rsid w:val="00EC5720"/>
    <w:rsid w:val="00EC59CE"/>
    <w:rsid w:val="00EC622F"/>
    <w:rsid w:val="00EC6A87"/>
    <w:rsid w:val="00EC7275"/>
    <w:rsid w:val="00EC774E"/>
    <w:rsid w:val="00EC7ADC"/>
    <w:rsid w:val="00ED0233"/>
    <w:rsid w:val="00ED0F42"/>
    <w:rsid w:val="00ED25F0"/>
    <w:rsid w:val="00ED2912"/>
    <w:rsid w:val="00ED29DB"/>
    <w:rsid w:val="00ED2B2B"/>
    <w:rsid w:val="00ED2B7B"/>
    <w:rsid w:val="00ED305E"/>
    <w:rsid w:val="00ED38A5"/>
    <w:rsid w:val="00ED3E34"/>
    <w:rsid w:val="00ED42E6"/>
    <w:rsid w:val="00ED4488"/>
    <w:rsid w:val="00ED4F3C"/>
    <w:rsid w:val="00ED4FA0"/>
    <w:rsid w:val="00ED558C"/>
    <w:rsid w:val="00ED67DB"/>
    <w:rsid w:val="00ED6E37"/>
    <w:rsid w:val="00ED7BC8"/>
    <w:rsid w:val="00ED7CA2"/>
    <w:rsid w:val="00EE0250"/>
    <w:rsid w:val="00EE0327"/>
    <w:rsid w:val="00EE07D3"/>
    <w:rsid w:val="00EE247D"/>
    <w:rsid w:val="00EE2992"/>
    <w:rsid w:val="00EE2F1B"/>
    <w:rsid w:val="00EE345A"/>
    <w:rsid w:val="00EE39AE"/>
    <w:rsid w:val="00EE3A53"/>
    <w:rsid w:val="00EE47CB"/>
    <w:rsid w:val="00EE4AA3"/>
    <w:rsid w:val="00EE5476"/>
    <w:rsid w:val="00EE54DA"/>
    <w:rsid w:val="00EE56CF"/>
    <w:rsid w:val="00EE5BB8"/>
    <w:rsid w:val="00EE603C"/>
    <w:rsid w:val="00EE6058"/>
    <w:rsid w:val="00EE76F3"/>
    <w:rsid w:val="00EF054D"/>
    <w:rsid w:val="00EF1270"/>
    <w:rsid w:val="00EF15B1"/>
    <w:rsid w:val="00EF1D0F"/>
    <w:rsid w:val="00EF1DE2"/>
    <w:rsid w:val="00EF1F0A"/>
    <w:rsid w:val="00EF221F"/>
    <w:rsid w:val="00EF2805"/>
    <w:rsid w:val="00EF2F40"/>
    <w:rsid w:val="00EF3187"/>
    <w:rsid w:val="00EF3A01"/>
    <w:rsid w:val="00EF465F"/>
    <w:rsid w:val="00EF46E2"/>
    <w:rsid w:val="00EF48C6"/>
    <w:rsid w:val="00EF5200"/>
    <w:rsid w:val="00EF5401"/>
    <w:rsid w:val="00EF669F"/>
    <w:rsid w:val="00EF68F3"/>
    <w:rsid w:val="00EF6C75"/>
    <w:rsid w:val="00EF718B"/>
    <w:rsid w:val="00F00F80"/>
    <w:rsid w:val="00F0162A"/>
    <w:rsid w:val="00F02305"/>
    <w:rsid w:val="00F0320D"/>
    <w:rsid w:val="00F032CB"/>
    <w:rsid w:val="00F041C2"/>
    <w:rsid w:val="00F0468D"/>
    <w:rsid w:val="00F04718"/>
    <w:rsid w:val="00F04D07"/>
    <w:rsid w:val="00F05CD9"/>
    <w:rsid w:val="00F05E3F"/>
    <w:rsid w:val="00F06552"/>
    <w:rsid w:val="00F065EF"/>
    <w:rsid w:val="00F067A2"/>
    <w:rsid w:val="00F06C83"/>
    <w:rsid w:val="00F07A79"/>
    <w:rsid w:val="00F10140"/>
    <w:rsid w:val="00F10146"/>
    <w:rsid w:val="00F10B3B"/>
    <w:rsid w:val="00F10C37"/>
    <w:rsid w:val="00F119A8"/>
    <w:rsid w:val="00F11E3B"/>
    <w:rsid w:val="00F122EA"/>
    <w:rsid w:val="00F123A2"/>
    <w:rsid w:val="00F12671"/>
    <w:rsid w:val="00F12E43"/>
    <w:rsid w:val="00F13123"/>
    <w:rsid w:val="00F13428"/>
    <w:rsid w:val="00F13574"/>
    <w:rsid w:val="00F13EA2"/>
    <w:rsid w:val="00F13F34"/>
    <w:rsid w:val="00F146C6"/>
    <w:rsid w:val="00F15202"/>
    <w:rsid w:val="00F1557E"/>
    <w:rsid w:val="00F15837"/>
    <w:rsid w:val="00F161CD"/>
    <w:rsid w:val="00F162FE"/>
    <w:rsid w:val="00F1704E"/>
    <w:rsid w:val="00F17B08"/>
    <w:rsid w:val="00F17B5A"/>
    <w:rsid w:val="00F17BF6"/>
    <w:rsid w:val="00F17EA8"/>
    <w:rsid w:val="00F20120"/>
    <w:rsid w:val="00F2046F"/>
    <w:rsid w:val="00F2076C"/>
    <w:rsid w:val="00F20795"/>
    <w:rsid w:val="00F20960"/>
    <w:rsid w:val="00F21285"/>
    <w:rsid w:val="00F21879"/>
    <w:rsid w:val="00F218B4"/>
    <w:rsid w:val="00F21F53"/>
    <w:rsid w:val="00F2268F"/>
    <w:rsid w:val="00F237ED"/>
    <w:rsid w:val="00F23B61"/>
    <w:rsid w:val="00F23DF6"/>
    <w:rsid w:val="00F23FF7"/>
    <w:rsid w:val="00F24837"/>
    <w:rsid w:val="00F24FA7"/>
    <w:rsid w:val="00F251C0"/>
    <w:rsid w:val="00F2575F"/>
    <w:rsid w:val="00F2587D"/>
    <w:rsid w:val="00F25FEB"/>
    <w:rsid w:val="00F269E1"/>
    <w:rsid w:val="00F27095"/>
    <w:rsid w:val="00F276EB"/>
    <w:rsid w:val="00F27BB6"/>
    <w:rsid w:val="00F27C6F"/>
    <w:rsid w:val="00F304F3"/>
    <w:rsid w:val="00F306BD"/>
    <w:rsid w:val="00F30BE3"/>
    <w:rsid w:val="00F314F8"/>
    <w:rsid w:val="00F318F6"/>
    <w:rsid w:val="00F3347A"/>
    <w:rsid w:val="00F33DE9"/>
    <w:rsid w:val="00F3404B"/>
    <w:rsid w:val="00F349DA"/>
    <w:rsid w:val="00F34CC8"/>
    <w:rsid w:val="00F351DC"/>
    <w:rsid w:val="00F35E6A"/>
    <w:rsid w:val="00F3619A"/>
    <w:rsid w:val="00F364F7"/>
    <w:rsid w:val="00F36A0B"/>
    <w:rsid w:val="00F36D00"/>
    <w:rsid w:val="00F37762"/>
    <w:rsid w:val="00F37A90"/>
    <w:rsid w:val="00F40A43"/>
    <w:rsid w:val="00F40E49"/>
    <w:rsid w:val="00F418A5"/>
    <w:rsid w:val="00F42204"/>
    <w:rsid w:val="00F434B6"/>
    <w:rsid w:val="00F43913"/>
    <w:rsid w:val="00F445F8"/>
    <w:rsid w:val="00F44D7D"/>
    <w:rsid w:val="00F4530E"/>
    <w:rsid w:val="00F45DB6"/>
    <w:rsid w:val="00F46164"/>
    <w:rsid w:val="00F46213"/>
    <w:rsid w:val="00F46224"/>
    <w:rsid w:val="00F46A56"/>
    <w:rsid w:val="00F46C20"/>
    <w:rsid w:val="00F46CB6"/>
    <w:rsid w:val="00F46EBA"/>
    <w:rsid w:val="00F50275"/>
    <w:rsid w:val="00F504DE"/>
    <w:rsid w:val="00F50716"/>
    <w:rsid w:val="00F50A18"/>
    <w:rsid w:val="00F50B9A"/>
    <w:rsid w:val="00F510CB"/>
    <w:rsid w:val="00F515F3"/>
    <w:rsid w:val="00F5165E"/>
    <w:rsid w:val="00F51A43"/>
    <w:rsid w:val="00F51F99"/>
    <w:rsid w:val="00F52C17"/>
    <w:rsid w:val="00F52C8D"/>
    <w:rsid w:val="00F52F58"/>
    <w:rsid w:val="00F53951"/>
    <w:rsid w:val="00F5397C"/>
    <w:rsid w:val="00F53B7B"/>
    <w:rsid w:val="00F5482C"/>
    <w:rsid w:val="00F55345"/>
    <w:rsid w:val="00F5554E"/>
    <w:rsid w:val="00F5560E"/>
    <w:rsid w:val="00F55857"/>
    <w:rsid w:val="00F55E73"/>
    <w:rsid w:val="00F60092"/>
    <w:rsid w:val="00F60110"/>
    <w:rsid w:val="00F60244"/>
    <w:rsid w:val="00F603CB"/>
    <w:rsid w:val="00F60874"/>
    <w:rsid w:val="00F60ABE"/>
    <w:rsid w:val="00F60E29"/>
    <w:rsid w:val="00F60F2C"/>
    <w:rsid w:val="00F6172D"/>
    <w:rsid w:val="00F621F8"/>
    <w:rsid w:val="00F6236F"/>
    <w:rsid w:val="00F629EB"/>
    <w:rsid w:val="00F636B0"/>
    <w:rsid w:val="00F63C03"/>
    <w:rsid w:val="00F63C77"/>
    <w:rsid w:val="00F64857"/>
    <w:rsid w:val="00F65848"/>
    <w:rsid w:val="00F66AB8"/>
    <w:rsid w:val="00F66C1A"/>
    <w:rsid w:val="00F704B5"/>
    <w:rsid w:val="00F70519"/>
    <w:rsid w:val="00F70BDD"/>
    <w:rsid w:val="00F70D3D"/>
    <w:rsid w:val="00F70E85"/>
    <w:rsid w:val="00F7192E"/>
    <w:rsid w:val="00F71E8C"/>
    <w:rsid w:val="00F722E3"/>
    <w:rsid w:val="00F72483"/>
    <w:rsid w:val="00F725A6"/>
    <w:rsid w:val="00F728B6"/>
    <w:rsid w:val="00F734BD"/>
    <w:rsid w:val="00F7440A"/>
    <w:rsid w:val="00F74549"/>
    <w:rsid w:val="00F74C35"/>
    <w:rsid w:val="00F74E51"/>
    <w:rsid w:val="00F753E0"/>
    <w:rsid w:val="00F75E96"/>
    <w:rsid w:val="00F77004"/>
    <w:rsid w:val="00F80163"/>
    <w:rsid w:val="00F8029C"/>
    <w:rsid w:val="00F80676"/>
    <w:rsid w:val="00F806F8"/>
    <w:rsid w:val="00F80E5D"/>
    <w:rsid w:val="00F811F3"/>
    <w:rsid w:val="00F81D05"/>
    <w:rsid w:val="00F820EF"/>
    <w:rsid w:val="00F82BA3"/>
    <w:rsid w:val="00F83DA3"/>
    <w:rsid w:val="00F84F56"/>
    <w:rsid w:val="00F850F1"/>
    <w:rsid w:val="00F851CE"/>
    <w:rsid w:val="00F85DBF"/>
    <w:rsid w:val="00F865AE"/>
    <w:rsid w:val="00F86B7E"/>
    <w:rsid w:val="00F8744F"/>
    <w:rsid w:val="00F8776E"/>
    <w:rsid w:val="00F87A1B"/>
    <w:rsid w:val="00F87E0C"/>
    <w:rsid w:val="00F87E9F"/>
    <w:rsid w:val="00F90534"/>
    <w:rsid w:val="00F9056B"/>
    <w:rsid w:val="00F906D6"/>
    <w:rsid w:val="00F90E02"/>
    <w:rsid w:val="00F91A38"/>
    <w:rsid w:val="00F91B28"/>
    <w:rsid w:val="00F91F65"/>
    <w:rsid w:val="00F924DA"/>
    <w:rsid w:val="00F925CC"/>
    <w:rsid w:val="00F94220"/>
    <w:rsid w:val="00F94437"/>
    <w:rsid w:val="00F95737"/>
    <w:rsid w:val="00F9794B"/>
    <w:rsid w:val="00F979BD"/>
    <w:rsid w:val="00F97A78"/>
    <w:rsid w:val="00FA0703"/>
    <w:rsid w:val="00FA0B0B"/>
    <w:rsid w:val="00FA0B0F"/>
    <w:rsid w:val="00FA0DE3"/>
    <w:rsid w:val="00FA0EFC"/>
    <w:rsid w:val="00FA1B0D"/>
    <w:rsid w:val="00FA2342"/>
    <w:rsid w:val="00FA24CB"/>
    <w:rsid w:val="00FA24E7"/>
    <w:rsid w:val="00FA2AC5"/>
    <w:rsid w:val="00FA317A"/>
    <w:rsid w:val="00FA3460"/>
    <w:rsid w:val="00FA3CF7"/>
    <w:rsid w:val="00FA410B"/>
    <w:rsid w:val="00FA4875"/>
    <w:rsid w:val="00FA4D74"/>
    <w:rsid w:val="00FA52C4"/>
    <w:rsid w:val="00FA57DD"/>
    <w:rsid w:val="00FA5D8E"/>
    <w:rsid w:val="00FA604F"/>
    <w:rsid w:val="00FA63B3"/>
    <w:rsid w:val="00FA6593"/>
    <w:rsid w:val="00FA717B"/>
    <w:rsid w:val="00FA7577"/>
    <w:rsid w:val="00FA7B78"/>
    <w:rsid w:val="00FA7D28"/>
    <w:rsid w:val="00FA7E83"/>
    <w:rsid w:val="00FB00D2"/>
    <w:rsid w:val="00FB18EC"/>
    <w:rsid w:val="00FB1CC8"/>
    <w:rsid w:val="00FB1CDA"/>
    <w:rsid w:val="00FB2F16"/>
    <w:rsid w:val="00FB2F4E"/>
    <w:rsid w:val="00FB2FCB"/>
    <w:rsid w:val="00FB452B"/>
    <w:rsid w:val="00FB46A8"/>
    <w:rsid w:val="00FB47F3"/>
    <w:rsid w:val="00FB4894"/>
    <w:rsid w:val="00FB5457"/>
    <w:rsid w:val="00FB5751"/>
    <w:rsid w:val="00FB58EF"/>
    <w:rsid w:val="00FB5B7F"/>
    <w:rsid w:val="00FB65F3"/>
    <w:rsid w:val="00FB730C"/>
    <w:rsid w:val="00FB784A"/>
    <w:rsid w:val="00FB7C7D"/>
    <w:rsid w:val="00FC0DAF"/>
    <w:rsid w:val="00FC0E27"/>
    <w:rsid w:val="00FC1074"/>
    <w:rsid w:val="00FC1567"/>
    <w:rsid w:val="00FC1884"/>
    <w:rsid w:val="00FC2351"/>
    <w:rsid w:val="00FC2826"/>
    <w:rsid w:val="00FC342F"/>
    <w:rsid w:val="00FC3C9A"/>
    <w:rsid w:val="00FC54C1"/>
    <w:rsid w:val="00FC67A7"/>
    <w:rsid w:val="00FC6844"/>
    <w:rsid w:val="00FC697F"/>
    <w:rsid w:val="00FC7304"/>
    <w:rsid w:val="00FC78C1"/>
    <w:rsid w:val="00FC78F9"/>
    <w:rsid w:val="00FC7FC6"/>
    <w:rsid w:val="00FD15F9"/>
    <w:rsid w:val="00FD1802"/>
    <w:rsid w:val="00FD1C65"/>
    <w:rsid w:val="00FD2100"/>
    <w:rsid w:val="00FD2723"/>
    <w:rsid w:val="00FD2878"/>
    <w:rsid w:val="00FD2F6D"/>
    <w:rsid w:val="00FD38C2"/>
    <w:rsid w:val="00FD4024"/>
    <w:rsid w:val="00FD414F"/>
    <w:rsid w:val="00FD446D"/>
    <w:rsid w:val="00FD44F4"/>
    <w:rsid w:val="00FD4BD3"/>
    <w:rsid w:val="00FD6075"/>
    <w:rsid w:val="00FD63A6"/>
    <w:rsid w:val="00FD6964"/>
    <w:rsid w:val="00FD7649"/>
    <w:rsid w:val="00FE00B7"/>
    <w:rsid w:val="00FE0359"/>
    <w:rsid w:val="00FE09FA"/>
    <w:rsid w:val="00FE0E27"/>
    <w:rsid w:val="00FE1F52"/>
    <w:rsid w:val="00FE252B"/>
    <w:rsid w:val="00FE2AD2"/>
    <w:rsid w:val="00FE30E1"/>
    <w:rsid w:val="00FE4622"/>
    <w:rsid w:val="00FE569B"/>
    <w:rsid w:val="00FE657C"/>
    <w:rsid w:val="00FE65B6"/>
    <w:rsid w:val="00FE69B9"/>
    <w:rsid w:val="00FE72FF"/>
    <w:rsid w:val="00FE7421"/>
    <w:rsid w:val="00FE75B2"/>
    <w:rsid w:val="00FE79D6"/>
    <w:rsid w:val="00FF11F9"/>
    <w:rsid w:val="00FF12BE"/>
    <w:rsid w:val="00FF12C5"/>
    <w:rsid w:val="00FF147E"/>
    <w:rsid w:val="00FF1C16"/>
    <w:rsid w:val="00FF257E"/>
    <w:rsid w:val="00FF279D"/>
    <w:rsid w:val="00FF2D6B"/>
    <w:rsid w:val="00FF3DCF"/>
    <w:rsid w:val="00FF4730"/>
    <w:rsid w:val="00FF4A3E"/>
    <w:rsid w:val="00FF55AB"/>
    <w:rsid w:val="00FF5AA3"/>
    <w:rsid w:val="00FF6656"/>
    <w:rsid w:val="00FF66C3"/>
    <w:rsid w:val="00FF6725"/>
    <w:rsid w:val="00FF6817"/>
    <w:rsid w:val="00FF6E14"/>
    <w:rsid w:val="00FF6FB0"/>
    <w:rsid w:val="00FF7508"/>
    <w:rsid w:val="00FF7930"/>
    <w:rsid w:val="00FF7AF6"/>
    <w:rsid w:val="00FF7E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rmal Table" w:semiHidden="0" w:unhideWhenUsed="0"/>
    <w:lsdException w:name="No List" w:uiPriority="99"/>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41C6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C0645"/>
    <w:pPr>
      <w:numPr>
        <w:numId w:val="1"/>
      </w:numPr>
      <w:outlineLvl w:val="0"/>
    </w:pPr>
    <w:rPr>
      <w:rFonts w:ascii="Arial" w:hAnsi="Arial" w:cs="Arial"/>
      <w:b/>
      <w:snapToGrid w:val="0"/>
      <w:sz w:val="22"/>
      <w:szCs w:val="22"/>
      <w:lang w:eastAsia="en-US"/>
    </w:rPr>
  </w:style>
  <w:style w:type="numbering" w:customStyle="1" w:styleId="NoList1">
    <w:name w:val="No List1"/>
    <w:next w:val="NoList"/>
    <w:uiPriority w:val="99"/>
    <w:semiHidden/>
    <w:unhideWhenUsed/>
    <w:rsid w:val="000457FD"/>
  </w:style>
  <w:style w:type="paragraph" w:customStyle="1" w:styleId="TableNotes">
    <w:name w:val="TableNotes"/>
    <w:basedOn w:val="Normal"/>
    <w:next w:val="Normal"/>
    <w:uiPriority w:val="3"/>
    <w:qFormat/>
    <w:rsid w:val="000457FD"/>
    <w:pPr>
      <w:widowControl/>
      <w:tabs>
        <w:tab w:val="left" w:pos="1134"/>
      </w:tabs>
      <w:snapToGrid w:val="0"/>
      <w:ind w:left="1134" w:hanging="1134"/>
      <w:jc w:val="left"/>
    </w:pPr>
    <w:rPr>
      <w:rFonts w:ascii="Calibri" w:eastAsiaTheme="minorEastAsia" w:hAnsi="Calibri" w:cstheme="minorBidi"/>
      <w:sz w:val="18"/>
      <w:szCs w:val="18"/>
    </w:rPr>
  </w:style>
  <w:style w:type="character" w:customStyle="1" w:styleId="TableTextChar0">
    <w:name w:val="TableText Char"/>
    <w:basedOn w:val="DefaultParagraphFont"/>
    <w:link w:val="TableText0"/>
    <w:uiPriority w:val="3"/>
    <w:rsid w:val="000457FD"/>
    <w:rPr>
      <w:rFonts w:ascii="Arial Narrow" w:hAnsi="Arial Narrow" w:cs="Arial Narrow"/>
      <w:lang w:eastAsia="en-US"/>
    </w:rPr>
  </w:style>
  <w:style w:type="character" w:customStyle="1" w:styleId="Heading3Char">
    <w:name w:val="Heading 3 Char"/>
    <w:basedOn w:val="DefaultParagraphFont"/>
    <w:link w:val="Heading3"/>
    <w:rsid w:val="000457FD"/>
    <w:rPr>
      <w:rFonts w:ascii="Arial" w:hAnsi="Arial" w:cs="Arial"/>
      <w:snapToGrid w:val="0"/>
      <w:sz w:val="22"/>
      <w:u w:val="single"/>
      <w:lang w:eastAsia="en-US"/>
    </w:rPr>
  </w:style>
  <w:style w:type="paragraph" w:styleId="FootnoteText">
    <w:name w:val="footnote text"/>
    <w:basedOn w:val="Normal"/>
    <w:link w:val="FootnoteTextChar"/>
    <w:uiPriority w:val="99"/>
    <w:unhideWhenUsed/>
    <w:rsid w:val="000457FD"/>
    <w:pPr>
      <w:snapToGrid w:val="0"/>
    </w:pPr>
    <w:rPr>
      <w:snapToGrid/>
      <w:sz w:val="20"/>
    </w:rPr>
  </w:style>
  <w:style w:type="character" w:customStyle="1" w:styleId="FootnoteTextChar">
    <w:name w:val="Footnote Text Char"/>
    <w:basedOn w:val="DefaultParagraphFont"/>
    <w:link w:val="FootnoteText"/>
    <w:uiPriority w:val="99"/>
    <w:rsid w:val="000457FD"/>
    <w:rPr>
      <w:rFonts w:ascii="Arial" w:hAnsi="Arial" w:cs="Arial"/>
      <w:lang w:eastAsia="en-US"/>
    </w:rPr>
  </w:style>
  <w:style w:type="character" w:styleId="FootnoteReference">
    <w:name w:val="footnote reference"/>
    <w:basedOn w:val="DefaultParagraphFont"/>
    <w:uiPriority w:val="99"/>
    <w:semiHidden/>
    <w:unhideWhenUsed/>
    <w:rsid w:val="000457FD"/>
    <w:rPr>
      <w:vertAlign w:val="superscript"/>
    </w:rPr>
  </w:style>
  <w:style w:type="character" w:customStyle="1" w:styleId="ListParagraphChar">
    <w:name w:val="List Paragraph Char"/>
    <w:aliases w:val="BulletPoints Char"/>
    <w:link w:val="ListParagraph"/>
    <w:uiPriority w:val="72"/>
    <w:rsid w:val="000457FD"/>
    <w:rPr>
      <w:rFonts w:ascii="Arial" w:hAnsi="Arial" w:cs="Arial"/>
      <w:snapToGrid w:val="0"/>
      <w:sz w:val="22"/>
      <w:lang w:eastAsia="en-US"/>
    </w:rPr>
  </w:style>
  <w:style w:type="table" w:customStyle="1" w:styleId="TableGrid4">
    <w:name w:val="Table Grid4"/>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name">
    <w:name w:val="journalname"/>
    <w:basedOn w:val="DefaultParagraphFont"/>
    <w:rsid w:val="000457FD"/>
  </w:style>
  <w:style w:type="character" w:customStyle="1" w:styleId="apple-converted-space">
    <w:name w:val="apple-converted-space"/>
    <w:basedOn w:val="DefaultParagraphFont"/>
    <w:rsid w:val="000457FD"/>
  </w:style>
  <w:style w:type="table" w:customStyle="1" w:styleId="TableGrid14">
    <w:name w:val="Table Grid14"/>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0457FD"/>
    <w:pPr>
      <w:ind w:left="720" w:hanging="720"/>
    </w:pPr>
    <w:rPr>
      <w:rFonts w:ascii="Arial" w:hAnsi="Arial" w:cs="Arial"/>
      <w:snapToGrid w:val="0"/>
      <w:sz w:val="22"/>
      <w:szCs w:val="22"/>
      <w:lang w:eastAsia="en-US"/>
    </w:rPr>
  </w:style>
  <w:style w:type="table" w:customStyle="1" w:styleId="TableGrid1">
    <w:name w:val="Table Grid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C14"/>
    <w:pPr>
      <w:autoSpaceDE w:val="0"/>
      <w:autoSpaceDN w:val="0"/>
      <w:adjustRightInd w:val="0"/>
    </w:pPr>
    <w:rPr>
      <w:color w:val="000000"/>
      <w:sz w:val="24"/>
      <w:szCs w:val="24"/>
    </w:rPr>
  </w:style>
  <w:style w:type="paragraph" w:customStyle="1" w:styleId="TableorfigureAbbreviationsandSource">
    <w:name w:val="Table or figure Abbreviations and Source"/>
    <w:next w:val="Normal"/>
    <w:qFormat/>
    <w:rsid w:val="00BB03C0"/>
    <w:pPr>
      <w:spacing w:after="240"/>
      <w:contextualSpacing/>
    </w:pPr>
    <w:rPr>
      <w:rFonts w:ascii="Calibri" w:eastAsia="Calibri" w:hAnsi="Calibri"/>
      <w:sz w:val="16"/>
      <w:szCs w:val="22"/>
      <w:lang w:eastAsia="zh-CN"/>
    </w:rPr>
  </w:style>
  <w:style w:type="paragraph" w:customStyle="1" w:styleId="SummaryBoxtext">
    <w:name w:val="Summary Box text"/>
    <w:basedOn w:val="Normal"/>
    <w:qFormat/>
    <w:rsid w:val="004911DD"/>
    <w:pPr>
      <w:widowControl/>
      <w:spacing w:before="120" w:after="120" w:line="360" w:lineRule="auto"/>
    </w:pPr>
    <w:rPr>
      <w:rFonts w:ascii="Calibri" w:eastAsia="Calibri" w:hAnsi="Calibri" w:cs="Times New Roman"/>
      <w:snapToGrid/>
      <w:sz w:val="20"/>
      <w:szCs w:val="22"/>
    </w:rPr>
  </w:style>
  <w:style w:type="character" w:customStyle="1" w:styleId="StyleCalibri">
    <w:name w:val="Style Calibri"/>
    <w:rsid w:val="001C2B28"/>
    <w:rPr>
      <w:szCs w:val="22"/>
    </w:rPr>
  </w:style>
  <w:style w:type="character" w:customStyle="1" w:styleId="Heading1Char">
    <w:name w:val="Heading 1 Char"/>
    <w:basedOn w:val="DefaultParagraphFont"/>
    <w:link w:val="Heading1"/>
    <w:uiPriority w:val="9"/>
    <w:locked/>
    <w:rsid w:val="00B05F96"/>
    <w:rPr>
      <w:rFonts w:ascii="Arial Bold" w:hAnsi="Arial Bold" w:cs="Arial"/>
      <w:b/>
      <w:caps/>
      <w:snapToGrid w:val="0"/>
      <w:sz w:val="22"/>
      <w:lang w:eastAsia="en-US"/>
    </w:rPr>
  </w:style>
  <w:style w:type="character" w:customStyle="1" w:styleId="Heading4Char">
    <w:name w:val="Heading 4 Char"/>
    <w:basedOn w:val="DefaultParagraphFont"/>
    <w:link w:val="Heading4"/>
    <w:uiPriority w:val="9"/>
    <w:locked/>
    <w:rsid w:val="00B05F96"/>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locked/>
    <w:rsid w:val="00B05F96"/>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locked/>
    <w:rsid w:val="00B05F96"/>
    <w:rPr>
      <w:rFonts w:ascii="Arial" w:hAnsi="Arial" w:cs="Arial"/>
      <w:b/>
      <w:bCs/>
      <w:i/>
      <w:snapToGrid w:val="0"/>
      <w:sz w:val="22"/>
      <w:szCs w:val="22"/>
      <w:lang w:eastAsia="en-US"/>
    </w:rPr>
  </w:style>
  <w:style w:type="character" w:customStyle="1" w:styleId="SubtitleChar11">
    <w:name w:val="Subtitle Char11"/>
    <w:basedOn w:val="DefaultParagraphFont"/>
    <w:rsid w:val="00B05F96"/>
    <w:rPr>
      <w:rFonts w:asciiTheme="minorHAnsi" w:eastAsiaTheme="minorEastAsia" w:hAnsiTheme="minorHAnsi" w:cs="Arial"/>
      <w:color w:val="5A5A5A" w:themeColor="text1" w:themeTint="A5"/>
      <w:spacing w:val="15"/>
      <w:sz w:val="22"/>
      <w:szCs w:val="22"/>
      <w:lang w:val="x-none"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509FB"/>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80738D"/>
    <w:rPr>
      <w:b/>
      <w:bCs/>
      <w:smallCaps/>
      <w:color w:val="C0504D" w:themeColor="accent2"/>
      <w:spacing w:val="5"/>
      <w:u w:val="single"/>
    </w:rPr>
  </w:style>
  <w:style w:type="character" w:styleId="FollowedHyperlink">
    <w:name w:val="FollowedHyperlink"/>
    <w:basedOn w:val="DefaultParagraphFont"/>
    <w:semiHidden/>
    <w:unhideWhenUsed/>
    <w:rsid w:val="005F12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rmal Table" w:semiHidden="0" w:unhideWhenUsed="0"/>
    <w:lsdException w:name="No List" w:uiPriority="99"/>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41C6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C0645"/>
    <w:pPr>
      <w:numPr>
        <w:numId w:val="1"/>
      </w:numPr>
      <w:outlineLvl w:val="0"/>
    </w:pPr>
    <w:rPr>
      <w:rFonts w:ascii="Arial" w:hAnsi="Arial" w:cs="Arial"/>
      <w:b/>
      <w:snapToGrid w:val="0"/>
      <w:sz w:val="22"/>
      <w:szCs w:val="22"/>
      <w:lang w:eastAsia="en-US"/>
    </w:rPr>
  </w:style>
  <w:style w:type="numbering" w:customStyle="1" w:styleId="NoList1">
    <w:name w:val="No List1"/>
    <w:next w:val="NoList"/>
    <w:uiPriority w:val="99"/>
    <w:semiHidden/>
    <w:unhideWhenUsed/>
    <w:rsid w:val="000457FD"/>
  </w:style>
  <w:style w:type="paragraph" w:customStyle="1" w:styleId="TableNotes">
    <w:name w:val="TableNotes"/>
    <w:basedOn w:val="Normal"/>
    <w:next w:val="Normal"/>
    <w:uiPriority w:val="3"/>
    <w:qFormat/>
    <w:rsid w:val="000457FD"/>
    <w:pPr>
      <w:widowControl/>
      <w:tabs>
        <w:tab w:val="left" w:pos="1134"/>
      </w:tabs>
      <w:snapToGrid w:val="0"/>
      <w:ind w:left="1134" w:hanging="1134"/>
      <w:jc w:val="left"/>
    </w:pPr>
    <w:rPr>
      <w:rFonts w:ascii="Calibri" w:eastAsiaTheme="minorEastAsia" w:hAnsi="Calibri" w:cstheme="minorBidi"/>
      <w:sz w:val="18"/>
      <w:szCs w:val="18"/>
    </w:rPr>
  </w:style>
  <w:style w:type="character" w:customStyle="1" w:styleId="TableTextChar0">
    <w:name w:val="TableText Char"/>
    <w:basedOn w:val="DefaultParagraphFont"/>
    <w:link w:val="TableText0"/>
    <w:uiPriority w:val="3"/>
    <w:rsid w:val="000457FD"/>
    <w:rPr>
      <w:rFonts w:ascii="Arial Narrow" w:hAnsi="Arial Narrow" w:cs="Arial Narrow"/>
      <w:lang w:eastAsia="en-US"/>
    </w:rPr>
  </w:style>
  <w:style w:type="character" w:customStyle="1" w:styleId="Heading3Char">
    <w:name w:val="Heading 3 Char"/>
    <w:basedOn w:val="DefaultParagraphFont"/>
    <w:link w:val="Heading3"/>
    <w:rsid w:val="000457FD"/>
    <w:rPr>
      <w:rFonts w:ascii="Arial" w:hAnsi="Arial" w:cs="Arial"/>
      <w:snapToGrid w:val="0"/>
      <w:sz w:val="22"/>
      <w:u w:val="single"/>
      <w:lang w:eastAsia="en-US"/>
    </w:rPr>
  </w:style>
  <w:style w:type="paragraph" w:styleId="FootnoteText">
    <w:name w:val="footnote text"/>
    <w:basedOn w:val="Normal"/>
    <w:link w:val="FootnoteTextChar"/>
    <w:uiPriority w:val="99"/>
    <w:unhideWhenUsed/>
    <w:rsid w:val="000457FD"/>
    <w:pPr>
      <w:snapToGrid w:val="0"/>
    </w:pPr>
    <w:rPr>
      <w:snapToGrid/>
      <w:sz w:val="20"/>
    </w:rPr>
  </w:style>
  <w:style w:type="character" w:customStyle="1" w:styleId="FootnoteTextChar">
    <w:name w:val="Footnote Text Char"/>
    <w:basedOn w:val="DefaultParagraphFont"/>
    <w:link w:val="FootnoteText"/>
    <w:uiPriority w:val="99"/>
    <w:rsid w:val="000457FD"/>
    <w:rPr>
      <w:rFonts w:ascii="Arial" w:hAnsi="Arial" w:cs="Arial"/>
      <w:lang w:eastAsia="en-US"/>
    </w:rPr>
  </w:style>
  <w:style w:type="character" w:styleId="FootnoteReference">
    <w:name w:val="footnote reference"/>
    <w:basedOn w:val="DefaultParagraphFont"/>
    <w:uiPriority w:val="99"/>
    <w:semiHidden/>
    <w:unhideWhenUsed/>
    <w:rsid w:val="000457FD"/>
    <w:rPr>
      <w:vertAlign w:val="superscript"/>
    </w:rPr>
  </w:style>
  <w:style w:type="character" w:customStyle="1" w:styleId="ListParagraphChar">
    <w:name w:val="List Paragraph Char"/>
    <w:aliases w:val="BulletPoints Char"/>
    <w:link w:val="ListParagraph"/>
    <w:uiPriority w:val="72"/>
    <w:rsid w:val="000457FD"/>
    <w:rPr>
      <w:rFonts w:ascii="Arial" w:hAnsi="Arial" w:cs="Arial"/>
      <w:snapToGrid w:val="0"/>
      <w:sz w:val="22"/>
      <w:lang w:eastAsia="en-US"/>
    </w:rPr>
  </w:style>
  <w:style w:type="table" w:customStyle="1" w:styleId="TableGrid4">
    <w:name w:val="Table Grid4"/>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name">
    <w:name w:val="journalname"/>
    <w:basedOn w:val="DefaultParagraphFont"/>
    <w:rsid w:val="000457FD"/>
  </w:style>
  <w:style w:type="character" w:customStyle="1" w:styleId="apple-converted-space">
    <w:name w:val="apple-converted-space"/>
    <w:basedOn w:val="DefaultParagraphFont"/>
    <w:rsid w:val="000457FD"/>
  </w:style>
  <w:style w:type="table" w:customStyle="1" w:styleId="TableGrid14">
    <w:name w:val="Table Grid14"/>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0457FD"/>
    <w:pPr>
      <w:ind w:left="720" w:hanging="720"/>
    </w:pPr>
    <w:rPr>
      <w:rFonts w:ascii="Arial" w:hAnsi="Arial" w:cs="Arial"/>
      <w:snapToGrid w:val="0"/>
      <w:sz w:val="22"/>
      <w:szCs w:val="22"/>
      <w:lang w:eastAsia="en-US"/>
    </w:rPr>
  </w:style>
  <w:style w:type="table" w:customStyle="1" w:styleId="TableGrid1">
    <w:name w:val="Table Grid1"/>
    <w:basedOn w:val="TableNormal"/>
    <w:next w:val="TableGrid"/>
    <w:uiPriority w:val="59"/>
    <w:rsid w:val="00045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C14"/>
    <w:pPr>
      <w:autoSpaceDE w:val="0"/>
      <w:autoSpaceDN w:val="0"/>
      <w:adjustRightInd w:val="0"/>
    </w:pPr>
    <w:rPr>
      <w:color w:val="000000"/>
      <w:sz w:val="24"/>
      <w:szCs w:val="24"/>
    </w:rPr>
  </w:style>
  <w:style w:type="paragraph" w:customStyle="1" w:styleId="TableorfigureAbbreviationsandSource">
    <w:name w:val="Table or figure Abbreviations and Source"/>
    <w:next w:val="Normal"/>
    <w:qFormat/>
    <w:rsid w:val="00BB03C0"/>
    <w:pPr>
      <w:spacing w:after="240"/>
      <w:contextualSpacing/>
    </w:pPr>
    <w:rPr>
      <w:rFonts w:ascii="Calibri" w:eastAsia="Calibri" w:hAnsi="Calibri"/>
      <w:sz w:val="16"/>
      <w:szCs w:val="22"/>
      <w:lang w:eastAsia="zh-CN"/>
    </w:rPr>
  </w:style>
  <w:style w:type="paragraph" w:customStyle="1" w:styleId="SummaryBoxtext">
    <w:name w:val="Summary Box text"/>
    <w:basedOn w:val="Normal"/>
    <w:qFormat/>
    <w:rsid w:val="004911DD"/>
    <w:pPr>
      <w:widowControl/>
      <w:spacing w:before="120" w:after="120" w:line="360" w:lineRule="auto"/>
    </w:pPr>
    <w:rPr>
      <w:rFonts w:ascii="Calibri" w:eastAsia="Calibri" w:hAnsi="Calibri" w:cs="Times New Roman"/>
      <w:snapToGrid/>
      <w:sz w:val="20"/>
      <w:szCs w:val="22"/>
    </w:rPr>
  </w:style>
  <w:style w:type="character" w:customStyle="1" w:styleId="StyleCalibri">
    <w:name w:val="Style Calibri"/>
    <w:rsid w:val="001C2B28"/>
    <w:rPr>
      <w:szCs w:val="22"/>
    </w:rPr>
  </w:style>
  <w:style w:type="character" w:customStyle="1" w:styleId="Heading1Char">
    <w:name w:val="Heading 1 Char"/>
    <w:basedOn w:val="DefaultParagraphFont"/>
    <w:link w:val="Heading1"/>
    <w:uiPriority w:val="9"/>
    <w:locked/>
    <w:rsid w:val="00B05F96"/>
    <w:rPr>
      <w:rFonts w:ascii="Arial Bold" w:hAnsi="Arial Bold" w:cs="Arial"/>
      <w:b/>
      <w:caps/>
      <w:snapToGrid w:val="0"/>
      <w:sz w:val="22"/>
      <w:lang w:eastAsia="en-US"/>
    </w:rPr>
  </w:style>
  <w:style w:type="character" w:customStyle="1" w:styleId="Heading4Char">
    <w:name w:val="Heading 4 Char"/>
    <w:basedOn w:val="DefaultParagraphFont"/>
    <w:link w:val="Heading4"/>
    <w:uiPriority w:val="9"/>
    <w:locked/>
    <w:rsid w:val="00B05F96"/>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locked/>
    <w:rsid w:val="00B05F96"/>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locked/>
    <w:rsid w:val="00B05F96"/>
    <w:rPr>
      <w:rFonts w:ascii="Arial" w:hAnsi="Arial" w:cs="Arial"/>
      <w:b/>
      <w:bCs/>
      <w:i/>
      <w:snapToGrid w:val="0"/>
      <w:sz w:val="22"/>
      <w:szCs w:val="22"/>
      <w:lang w:eastAsia="en-US"/>
    </w:rPr>
  </w:style>
  <w:style w:type="character" w:customStyle="1" w:styleId="SubtitleChar11">
    <w:name w:val="Subtitle Char11"/>
    <w:basedOn w:val="DefaultParagraphFont"/>
    <w:rsid w:val="00B05F96"/>
    <w:rPr>
      <w:rFonts w:asciiTheme="minorHAnsi" w:eastAsiaTheme="minorEastAsia" w:hAnsiTheme="minorHAnsi" w:cs="Arial"/>
      <w:color w:val="5A5A5A" w:themeColor="text1" w:themeTint="A5"/>
      <w:spacing w:val="15"/>
      <w:sz w:val="22"/>
      <w:szCs w:val="22"/>
      <w:lang w:val="x-none"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509FB"/>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80738D"/>
    <w:rPr>
      <w:b/>
      <w:bCs/>
      <w:smallCaps/>
      <w:color w:val="C0504D" w:themeColor="accent2"/>
      <w:spacing w:val="5"/>
      <w:u w:val="single"/>
    </w:rPr>
  </w:style>
  <w:style w:type="character" w:styleId="FollowedHyperlink">
    <w:name w:val="FollowedHyperlink"/>
    <w:basedOn w:val="DefaultParagraphFont"/>
    <w:semiHidden/>
    <w:unhideWhenUsed/>
    <w:rsid w:val="005F12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3195">
      <w:bodyDiv w:val="1"/>
      <w:marLeft w:val="0"/>
      <w:marRight w:val="0"/>
      <w:marTop w:val="0"/>
      <w:marBottom w:val="0"/>
      <w:divBdr>
        <w:top w:val="none" w:sz="0" w:space="0" w:color="auto"/>
        <w:left w:val="none" w:sz="0" w:space="0" w:color="auto"/>
        <w:bottom w:val="none" w:sz="0" w:space="0" w:color="auto"/>
        <w:right w:val="none" w:sz="0" w:space="0" w:color="auto"/>
      </w:divBdr>
      <w:divsChild>
        <w:div w:id="1371766389">
          <w:marLeft w:val="75"/>
          <w:marRight w:val="75"/>
          <w:marTop w:val="75"/>
          <w:marBottom w:val="75"/>
          <w:divBdr>
            <w:top w:val="none" w:sz="0" w:space="0" w:color="auto"/>
            <w:left w:val="none" w:sz="0" w:space="0" w:color="auto"/>
            <w:bottom w:val="none" w:sz="0" w:space="0" w:color="auto"/>
            <w:right w:val="none" w:sz="0" w:space="0" w:color="auto"/>
          </w:divBdr>
          <w:divsChild>
            <w:div w:id="807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215507191">
      <w:bodyDiv w:val="1"/>
      <w:marLeft w:val="0"/>
      <w:marRight w:val="0"/>
      <w:marTop w:val="0"/>
      <w:marBottom w:val="0"/>
      <w:divBdr>
        <w:top w:val="none" w:sz="0" w:space="0" w:color="auto"/>
        <w:left w:val="none" w:sz="0" w:space="0" w:color="auto"/>
        <w:bottom w:val="none" w:sz="0" w:space="0" w:color="auto"/>
        <w:right w:val="none" w:sz="0" w:space="0" w:color="auto"/>
      </w:divBdr>
    </w:div>
    <w:div w:id="331375455">
      <w:bodyDiv w:val="1"/>
      <w:marLeft w:val="0"/>
      <w:marRight w:val="0"/>
      <w:marTop w:val="0"/>
      <w:marBottom w:val="0"/>
      <w:divBdr>
        <w:top w:val="none" w:sz="0" w:space="0" w:color="auto"/>
        <w:left w:val="none" w:sz="0" w:space="0" w:color="auto"/>
        <w:bottom w:val="none" w:sz="0" w:space="0" w:color="auto"/>
        <w:right w:val="none" w:sz="0" w:space="0" w:color="auto"/>
      </w:divBdr>
    </w:div>
    <w:div w:id="392898986">
      <w:bodyDiv w:val="1"/>
      <w:marLeft w:val="0"/>
      <w:marRight w:val="0"/>
      <w:marTop w:val="0"/>
      <w:marBottom w:val="0"/>
      <w:divBdr>
        <w:top w:val="none" w:sz="0" w:space="0" w:color="auto"/>
        <w:left w:val="none" w:sz="0" w:space="0" w:color="auto"/>
        <w:bottom w:val="none" w:sz="0" w:space="0" w:color="auto"/>
        <w:right w:val="none" w:sz="0" w:space="0" w:color="auto"/>
      </w:divBdr>
    </w:div>
    <w:div w:id="861668672">
      <w:bodyDiv w:val="1"/>
      <w:marLeft w:val="0"/>
      <w:marRight w:val="0"/>
      <w:marTop w:val="0"/>
      <w:marBottom w:val="0"/>
      <w:divBdr>
        <w:top w:val="none" w:sz="0" w:space="0" w:color="auto"/>
        <w:left w:val="none" w:sz="0" w:space="0" w:color="auto"/>
        <w:bottom w:val="none" w:sz="0" w:space="0" w:color="auto"/>
        <w:right w:val="none" w:sz="0" w:space="0" w:color="auto"/>
      </w:divBdr>
    </w:div>
    <w:div w:id="1088424048">
      <w:bodyDiv w:val="1"/>
      <w:marLeft w:val="0"/>
      <w:marRight w:val="0"/>
      <w:marTop w:val="0"/>
      <w:marBottom w:val="0"/>
      <w:divBdr>
        <w:top w:val="none" w:sz="0" w:space="0" w:color="auto"/>
        <w:left w:val="none" w:sz="0" w:space="0" w:color="auto"/>
        <w:bottom w:val="none" w:sz="0" w:space="0" w:color="auto"/>
        <w:right w:val="none" w:sz="0" w:space="0" w:color="auto"/>
      </w:divBdr>
    </w:div>
    <w:div w:id="1125468178">
      <w:bodyDiv w:val="1"/>
      <w:marLeft w:val="0"/>
      <w:marRight w:val="0"/>
      <w:marTop w:val="0"/>
      <w:marBottom w:val="0"/>
      <w:divBdr>
        <w:top w:val="none" w:sz="0" w:space="0" w:color="auto"/>
        <w:left w:val="none" w:sz="0" w:space="0" w:color="auto"/>
        <w:bottom w:val="none" w:sz="0" w:space="0" w:color="auto"/>
        <w:right w:val="none" w:sz="0" w:space="0" w:color="auto"/>
      </w:divBdr>
    </w:div>
    <w:div w:id="1203635341">
      <w:bodyDiv w:val="1"/>
      <w:marLeft w:val="0"/>
      <w:marRight w:val="0"/>
      <w:marTop w:val="0"/>
      <w:marBottom w:val="0"/>
      <w:divBdr>
        <w:top w:val="none" w:sz="0" w:space="0" w:color="auto"/>
        <w:left w:val="none" w:sz="0" w:space="0" w:color="auto"/>
        <w:bottom w:val="none" w:sz="0" w:space="0" w:color="auto"/>
        <w:right w:val="none" w:sz="0" w:space="0" w:color="auto"/>
      </w:divBdr>
    </w:div>
    <w:div w:id="1206063639">
      <w:bodyDiv w:val="1"/>
      <w:marLeft w:val="0"/>
      <w:marRight w:val="0"/>
      <w:marTop w:val="0"/>
      <w:marBottom w:val="0"/>
      <w:divBdr>
        <w:top w:val="none" w:sz="0" w:space="0" w:color="auto"/>
        <w:left w:val="none" w:sz="0" w:space="0" w:color="auto"/>
        <w:bottom w:val="none" w:sz="0" w:space="0" w:color="auto"/>
        <w:right w:val="none" w:sz="0" w:space="0" w:color="auto"/>
      </w:divBdr>
    </w:div>
    <w:div w:id="1214587046">
      <w:bodyDiv w:val="1"/>
      <w:marLeft w:val="0"/>
      <w:marRight w:val="0"/>
      <w:marTop w:val="0"/>
      <w:marBottom w:val="0"/>
      <w:divBdr>
        <w:top w:val="none" w:sz="0" w:space="0" w:color="auto"/>
        <w:left w:val="none" w:sz="0" w:space="0" w:color="auto"/>
        <w:bottom w:val="none" w:sz="0" w:space="0" w:color="auto"/>
        <w:right w:val="none" w:sz="0" w:space="0" w:color="auto"/>
      </w:divBdr>
    </w:div>
    <w:div w:id="1902788026">
      <w:bodyDiv w:val="1"/>
      <w:marLeft w:val="0"/>
      <w:marRight w:val="0"/>
      <w:marTop w:val="0"/>
      <w:marBottom w:val="0"/>
      <w:divBdr>
        <w:top w:val="none" w:sz="0" w:space="0" w:color="auto"/>
        <w:left w:val="none" w:sz="0" w:space="0" w:color="auto"/>
        <w:bottom w:val="none" w:sz="0" w:space="0" w:color="auto"/>
        <w:right w:val="none" w:sz="0" w:space="0" w:color="auto"/>
      </w:divBdr>
    </w:div>
    <w:div w:id="20909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12141</Words>
  <Characters>69209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2017-06-15T05:11:00Z</dcterms:created>
  <dcterms:modified xsi:type="dcterms:W3CDTF">2017-06-15T05:11:00Z</dcterms:modified>
</cp:coreProperties>
</file>