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C4" w:rsidRPr="00BD088C" w:rsidRDefault="000D73BD" w:rsidP="00BD088C">
      <w:pPr>
        <w:pStyle w:val="Title"/>
        <w:ind w:left="720" w:hanging="720"/>
        <w:rPr>
          <w:szCs w:val="28"/>
        </w:rPr>
      </w:pPr>
      <w:bookmarkStart w:id="0" w:name="_GoBack"/>
      <w:bookmarkEnd w:id="0"/>
      <w:r w:rsidRPr="007B28E7">
        <w:rPr>
          <w:szCs w:val="28"/>
        </w:rPr>
        <w:t>7.10</w:t>
      </w:r>
      <w:r w:rsidR="007C0F57" w:rsidRPr="007B28E7">
        <w:rPr>
          <w:szCs w:val="28"/>
        </w:rPr>
        <w:tab/>
      </w:r>
      <w:r w:rsidRPr="007B28E7">
        <w:rPr>
          <w:szCs w:val="28"/>
        </w:rPr>
        <w:t>TRIFLURIDINE with TIPIRACIL</w:t>
      </w:r>
      <w:r w:rsidR="008A50F1" w:rsidRPr="007B28E7">
        <w:rPr>
          <w:szCs w:val="28"/>
        </w:rPr>
        <w:t xml:space="preserve"> </w:t>
      </w:r>
      <w:r w:rsidR="008A50F1" w:rsidRPr="007B28E7">
        <w:rPr>
          <w:szCs w:val="28"/>
        </w:rPr>
        <w:br/>
      </w:r>
      <w:r w:rsidR="00BD088C" w:rsidRPr="00BD088C">
        <w:rPr>
          <w:szCs w:val="28"/>
        </w:rPr>
        <w:t>Tablet containing 15 mg trifluridine with 6.14 mg tipiracil (as hydrochloride)</w:t>
      </w:r>
      <w:r w:rsidR="00BD088C">
        <w:rPr>
          <w:szCs w:val="28"/>
        </w:rPr>
        <w:t>,</w:t>
      </w:r>
      <w:r w:rsidR="00BD088C">
        <w:rPr>
          <w:szCs w:val="28"/>
        </w:rPr>
        <w:br/>
      </w:r>
      <w:r w:rsidR="00BD088C" w:rsidRPr="00BD088C">
        <w:rPr>
          <w:szCs w:val="28"/>
        </w:rPr>
        <w:t>Tablet containing 20 mg trifluridine with 8.19 mg tipiracil (as hydrochloride)</w:t>
      </w:r>
      <w:r w:rsidR="00BD088C">
        <w:rPr>
          <w:szCs w:val="28"/>
        </w:rPr>
        <w:t>,</w:t>
      </w:r>
      <w:r w:rsidR="008A50F1" w:rsidRPr="007B28E7">
        <w:rPr>
          <w:szCs w:val="28"/>
        </w:rPr>
        <w:br/>
      </w:r>
      <w:r w:rsidRPr="007B28E7">
        <w:rPr>
          <w:szCs w:val="28"/>
        </w:rPr>
        <w:t>L</w:t>
      </w:r>
      <w:r w:rsidR="009202D1">
        <w:rPr>
          <w:szCs w:val="28"/>
        </w:rPr>
        <w:t>onsurf</w:t>
      </w:r>
      <w:r w:rsidR="0004240E" w:rsidRPr="007B28E7">
        <w:rPr>
          <w:szCs w:val="28"/>
          <w:vertAlign w:val="superscript"/>
        </w:rPr>
        <w:t>®</w:t>
      </w:r>
      <w:r w:rsidR="00EF44A0" w:rsidRPr="007B28E7">
        <w:rPr>
          <w:szCs w:val="28"/>
        </w:rPr>
        <w:t xml:space="preserve">, </w:t>
      </w:r>
      <w:r w:rsidRPr="007B28E7">
        <w:rPr>
          <w:szCs w:val="28"/>
        </w:rPr>
        <w:t xml:space="preserve">Servier Laboratories (Australia) Pty Ltd. </w:t>
      </w:r>
    </w:p>
    <w:p w:rsidR="00C27B58" w:rsidRPr="007B28E7" w:rsidRDefault="00C27B58" w:rsidP="00C27B58">
      <w:pPr>
        <w:pStyle w:val="NoSpacing"/>
      </w:pPr>
    </w:p>
    <w:p w:rsidR="00E15627" w:rsidRPr="007B28E7" w:rsidRDefault="00CE10C4" w:rsidP="00E15627">
      <w:pPr>
        <w:pStyle w:val="PBACHeading1"/>
      </w:pPr>
      <w:r w:rsidRPr="007B28E7">
        <w:t xml:space="preserve">Purpose of </w:t>
      </w:r>
      <w:r w:rsidR="0004240E" w:rsidRPr="007B28E7">
        <w:t>Application</w:t>
      </w:r>
    </w:p>
    <w:p w:rsidR="008A50F1" w:rsidRPr="007B28E7" w:rsidRDefault="008A50F1" w:rsidP="00E15627"/>
    <w:p w:rsidR="00F9629A" w:rsidRPr="007B28E7" w:rsidRDefault="00873C27" w:rsidP="00873C27">
      <w:pPr>
        <w:pStyle w:val="ListParagraph"/>
        <w:widowControl/>
        <w:numPr>
          <w:ilvl w:val="1"/>
          <w:numId w:val="5"/>
        </w:numPr>
        <w:rPr>
          <w:szCs w:val="22"/>
        </w:rPr>
      </w:pPr>
      <w:r w:rsidRPr="007B28E7">
        <w:t>Authority Required / Authority Required (STREAMLINED) listing for trifluridine with tipiracil (thereafter referred to as trifluridine/tipiracil) for the treatment of patients with metastatic colorectal cancer (mCRC) who have been previously treated with, or are not considered candidates for, available therapies including fluoropyrimidine, oxaliplatin and irinotecan-based chemotherapy, anti-VEGF therapy and anti-EGFR therapy.</w:t>
      </w:r>
    </w:p>
    <w:p w:rsidR="00EF44A0" w:rsidRDefault="00EF44A0" w:rsidP="00C27B58">
      <w:pPr>
        <w:pStyle w:val="NoSpacing"/>
      </w:pPr>
    </w:p>
    <w:p w:rsidR="00FB32B0" w:rsidRPr="007B28E7" w:rsidRDefault="00FB32B0" w:rsidP="00C27B58">
      <w:pPr>
        <w:pStyle w:val="NoSpacing"/>
      </w:pPr>
    </w:p>
    <w:p w:rsidR="00962223" w:rsidRPr="007B28E7" w:rsidRDefault="006A12A5" w:rsidP="008A50F1">
      <w:pPr>
        <w:pStyle w:val="PBACHeading1"/>
      </w:pPr>
      <w:r w:rsidRPr="007B28E7">
        <w:t>Requested listing</w:t>
      </w:r>
    </w:p>
    <w:p w:rsidR="006A12A5" w:rsidRPr="007B28E7" w:rsidRDefault="006A12A5" w:rsidP="00882085">
      <w:pPr>
        <w:jc w:val="both"/>
        <w:rPr>
          <w:rFonts w:ascii="Arial" w:hAnsi="Arial"/>
          <w:b/>
          <w:sz w:val="22"/>
          <w:szCs w:val="22"/>
        </w:rPr>
      </w:pPr>
    </w:p>
    <w:p w:rsidR="00155794" w:rsidRPr="007B28E7" w:rsidRDefault="002358F2" w:rsidP="002358F2">
      <w:pPr>
        <w:pStyle w:val="ListParagraph"/>
        <w:numPr>
          <w:ilvl w:val="1"/>
          <w:numId w:val="5"/>
        </w:numPr>
        <w:rPr>
          <w:szCs w:val="22"/>
        </w:rPr>
      </w:pPr>
      <w:r w:rsidRPr="007B28E7">
        <w:rPr>
          <w:szCs w:val="22"/>
        </w:rPr>
        <w:t>The requested restriction is presented below, including initial and continuing criteria</w:t>
      </w:r>
      <w:r w:rsidR="006E5303" w:rsidRPr="007B28E7">
        <w:rPr>
          <w:szCs w:val="22"/>
        </w:rPr>
        <w:t>.</w:t>
      </w:r>
    </w:p>
    <w:p w:rsidR="002358F2" w:rsidRPr="007B28E7" w:rsidRDefault="002358F2" w:rsidP="00155794">
      <w:pPr>
        <w:pStyle w:val="ListParagraph"/>
        <w:rPr>
          <w:szCs w:val="22"/>
        </w:rPr>
      </w:pPr>
    </w:p>
    <w:p w:rsidR="007103BF" w:rsidRDefault="0030441F" w:rsidP="00C0226F">
      <w:pPr>
        <w:pStyle w:val="ListParagraph"/>
        <w:numPr>
          <w:ilvl w:val="1"/>
          <w:numId w:val="5"/>
        </w:numPr>
        <w:rPr>
          <w:szCs w:val="22"/>
        </w:rPr>
      </w:pPr>
      <w:r w:rsidRPr="007B28E7">
        <w:rPr>
          <w:szCs w:val="22"/>
        </w:rPr>
        <w:t xml:space="preserve">The minor </w:t>
      </w:r>
      <w:r w:rsidR="00A37D31" w:rsidRPr="007B28E7">
        <w:rPr>
          <w:szCs w:val="22"/>
        </w:rPr>
        <w:t>re</w:t>
      </w:r>
      <w:r w:rsidR="00155794" w:rsidRPr="007B28E7">
        <w:rPr>
          <w:szCs w:val="22"/>
        </w:rPr>
        <w:t xml:space="preserve">submission requested </w:t>
      </w:r>
      <w:r w:rsidR="002358F2" w:rsidRPr="007B28E7">
        <w:rPr>
          <w:szCs w:val="22"/>
        </w:rPr>
        <w:t xml:space="preserve">both </w:t>
      </w:r>
      <w:r w:rsidR="00155794" w:rsidRPr="007B28E7">
        <w:rPr>
          <w:szCs w:val="22"/>
        </w:rPr>
        <w:t>Authority Required and Authority Required (STREAMLINED)</w:t>
      </w:r>
      <w:r w:rsidR="002358F2" w:rsidRPr="007B28E7">
        <w:rPr>
          <w:szCs w:val="22"/>
        </w:rPr>
        <w:t xml:space="preserve"> listings</w:t>
      </w:r>
      <w:r w:rsidR="00155794" w:rsidRPr="007B28E7">
        <w:rPr>
          <w:szCs w:val="22"/>
        </w:rPr>
        <w:t>.</w:t>
      </w:r>
      <w:r w:rsidR="00F23D03" w:rsidRPr="007B28E7">
        <w:rPr>
          <w:szCs w:val="22"/>
        </w:rPr>
        <w:t xml:space="preserve"> </w:t>
      </w:r>
      <w:r w:rsidR="00C0226F" w:rsidRPr="007B28E7">
        <w:rPr>
          <w:szCs w:val="22"/>
        </w:rPr>
        <w:t xml:space="preserve">The pre-PBAC response (p1) indicated preference for an Authority Required (STREAMLINED) listing. </w:t>
      </w:r>
      <w:r w:rsidR="00CC6BDA" w:rsidRPr="007B28E7">
        <w:rPr>
          <w:szCs w:val="22"/>
        </w:rPr>
        <w:t>The PBAC considered the risk of leakage to indications other than mCRC to be small and hence that a STREAMLINED authority may be acceptable.</w:t>
      </w:r>
    </w:p>
    <w:p w:rsidR="00C0226F" w:rsidRPr="007103BF" w:rsidRDefault="007103BF" w:rsidP="007103BF">
      <w:pPr>
        <w:rPr>
          <w:rFonts w:ascii="Arial" w:hAnsi="Arial" w:cs="Arial"/>
          <w:snapToGrid w:val="0"/>
          <w:sz w:val="22"/>
          <w:lang w:eastAsia="en-US"/>
        </w:rPr>
      </w:pPr>
      <w:r>
        <w:br w:type="page"/>
      </w:r>
    </w:p>
    <w:p w:rsidR="00826F6D" w:rsidRPr="007B28E7" w:rsidRDefault="00826F6D" w:rsidP="00C27B58">
      <w:pPr>
        <w:pStyle w:val="NoSpacing"/>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826F6D" w:rsidRPr="007B28E7" w:rsidTr="00C27B58">
        <w:trPr>
          <w:cantSplit/>
          <w:trHeight w:val="471"/>
        </w:trPr>
        <w:tc>
          <w:tcPr>
            <w:tcW w:w="3119" w:type="dxa"/>
            <w:gridSpan w:val="2"/>
            <w:tcBorders>
              <w:bottom w:val="single" w:sz="4" w:space="0" w:color="auto"/>
            </w:tcBorders>
          </w:tcPr>
          <w:p w:rsidR="00826F6D" w:rsidRPr="007B28E7" w:rsidRDefault="00826F6D" w:rsidP="00C27B58">
            <w:pPr>
              <w:keepNext/>
              <w:ind w:left="-108"/>
              <w:jc w:val="both"/>
              <w:rPr>
                <w:rFonts w:ascii="Arial Narrow" w:hAnsi="Arial Narrow" w:cs="Arial"/>
                <w:b/>
                <w:sz w:val="20"/>
                <w:szCs w:val="20"/>
              </w:rPr>
            </w:pPr>
            <w:r w:rsidRPr="007B28E7">
              <w:rPr>
                <w:rFonts w:ascii="Arial Narrow" w:hAnsi="Arial Narrow" w:cs="Arial"/>
                <w:b/>
                <w:sz w:val="20"/>
                <w:szCs w:val="20"/>
              </w:rPr>
              <w:t>Name, Restriction,</w:t>
            </w:r>
          </w:p>
          <w:p w:rsidR="00826F6D" w:rsidRPr="007B28E7" w:rsidRDefault="00826F6D" w:rsidP="00C27B58">
            <w:pPr>
              <w:keepNext/>
              <w:ind w:left="-108"/>
              <w:jc w:val="both"/>
              <w:rPr>
                <w:rFonts w:ascii="Arial Narrow" w:hAnsi="Arial Narrow" w:cs="Arial"/>
                <w:b/>
                <w:sz w:val="20"/>
                <w:szCs w:val="20"/>
              </w:rPr>
            </w:pPr>
            <w:r w:rsidRPr="007B28E7">
              <w:rPr>
                <w:rFonts w:ascii="Arial Narrow" w:hAnsi="Arial Narrow" w:cs="Arial"/>
                <w:b/>
                <w:sz w:val="20"/>
                <w:szCs w:val="20"/>
              </w:rPr>
              <w:t>Manner of administration and form</w:t>
            </w:r>
          </w:p>
        </w:tc>
        <w:tc>
          <w:tcPr>
            <w:tcW w:w="850" w:type="dxa"/>
            <w:tcBorders>
              <w:bottom w:val="single" w:sz="4" w:space="0" w:color="auto"/>
            </w:tcBorders>
          </w:tcPr>
          <w:p w:rsidR="00826F6D" w:rsidRPr="007B28E7" w:rsidRDefault="00826F6D" w:rsidP="00C27B58">
            <w:pPr>
              <w:keepNext/>
              <w:ind w:left="-108"/>
              <w:jc w:val="both"/>
              <w:rPr>
                <w:rFonts w:ascii="Arial Narrow" w:hAnsi="Arial Narrow" w:cs="Arial"/>
                <w:b/>
                <w:sz w:val="20"/>
                <w:szCs w:val="20"/>
              </w:rPr>
            </w:pPr>
            <w:r w:rsidRPr="007B28E7">
              <w:rPr>
                <w:rFonts w:ascii="Arial Narrow" w:hAnsi="Arial Narrow" w:cs="Arial"/>
                <w:b/>
                <w:sz w:val="20"/>
                <w:szCs w:val="20"/>
              </w:rPr>
              <w:t>Max.</w:t>
            </w:r>
          </w:p>
          <w:p w:rsidR="00826F6D" w:rsidRPr="007B28E7" w:rsidRDefault="00826F6D" w:rsidP="00C27B58">
            <w:pPr>
              <w:keepNext/>
              <w:ind w:left="-108"/>
              <w:jc w:val="both"/>
              <w:rPr>
                <w:rFonts w:ascii="Arial Narrow" w:hAnsi="Arial Narrow" w:cs="Arial"/>
                <w:b/>
                <w:sz w:val="20"/>
                <w:szCs w:val="20"/>
              </w:rPr>
            </w:pPr>
            <w:r w:rsidRPr="007B28E7">
              <w:rPr>
                <w:rFonts w:ascii="Arial Narrow" w:hAnsi="Arial Narrow" w:cs="Arial"/>
                <w:b/>
                <w:sz w:val="20"/>
                <w:szCs w:val="20"/>
              </w:rPr>
              <w:t>Qty</w:t>
            </w:r>
          </w:p>
        </w:tc>
        <w:tc>
          <w:tcPr>
            <w:tcW w:w="709" w:type="dxa"/>
            <w:tcBorders>
              <w:bottom w:val="single" w:sz="4" w:space="0" w:color="auto"/>
            </w:tcBorders>
          </w:tcPr>
          <w:p w:rsidR="00826F6D" w:rsidRPr="007B28E7" w:rsidRDefault="00826F6D" w:rsidP="00C27B58">
            <w:pPr>
              <w:keepNext/>
              <w:ind w:left="-108"/>
              <w:jc w:val="both"/>
              <w:rPr>
                <w:rFonts w:ascii="Arial Narrow" w:hAnsi="Arial Narrow" w:cs="Arial"/>
                <w:b/>
                <w:sz w:val="20"/>
                <w:szCs w:val="20"/>
              </w:rPr>
            </w:pPr>
            <w:r w:rsidRPr="007B28E7">
              <w:rPr>
                <w:rFonts w:ascii="Arial Narrow" w:hAnsi="Arial Narrow" w:cs="Arial"/>
                <w:b/>
                <w:sz w:val="20"/>
                <w:szCs w:val="20"/>
              </w:rPr>
              <w:t>№.of</w:t>
            </w:r>
          </w:p>
          <w:p w:rsidR="00826F6D" w:rsidRPr="007B28E7" w:rsidRDefault="00826F6D" w:rsidP="00C27B58">
            <w:pPr>
              <w:keepNext/>
              <w:ind w:left="-108"/>
              <w:jc w:val="both"/>
              <w:rPr>
                <w:rFonts w:ascii="Arial Narrow" w:hAnsi="Arial Narrow" w:cs="Arial"/>
                <w:b/>
                <w:sz w:val="20"/>
                <w:szCs w:val="20"/>
              </w:rPr>
            </w:pPr>
            <w:r w:rsidRPr="007B28E7">
              <w:rPr>
                <w:rFonts w:ascii="Arial Narrow" w:hAnsi="Arial Narrow" w:cs="Arial"/>
                <w:b/>
                <w:sz w:val="20"/>
                <w:szCs w:val="20"/>
              </w:rPr>
              <w:t>Rpts</w:t>
            </w:r>
          </w:p>
        </w:tc>
        <w:tc>
          <w:tcPr>
            <w:tcW w:w="1276" w:type="dxa"/>
            <w:tcBorders>
              <w:bottom w:val="single" w:sz="4" w:space="0" w:color="auto"/>
            </w:tcBorders>
          </w:tcPr>
          <w:p w:rsidR="00826F6D" w:rsidRPr="007B28E7" w:rsidRDefault="00826F6D" w:rsidP="00C27B58">
            <w:pPr>
              <w:keepNext/>
              <w:ind w:left="-108"/>
              <w:jc w:val="both"/>
              <w:rPr>
                <w:rFonts w:ascii="Arial Narrow" w:hAnsi="Arial Narrow" w:cs="Arial"/>
                <w:b/>
                <w:sz w:val="20"/>
                <w:szCs w:val="20"/>
              </w:rPr>
            </w:pPr>
            <w:r w:rsidRPr="007B28E7">
              <w:rPr>
                <w:rFonts w:ascii="Arial Narrow" w:hAnsi="Arial Narrow" w:cs="Arial"/>
                <w:b/>
                <w:sz w:val="20"/>
                <w:szCs w:val="20"/>
              </w:rPr>
              <w:t>Dispensed Price for Max. Qty</w:t>
            </w:r>
          </w:p>
        </w:tc>
        <w:tc>
          <w:tcPr>
            <w:tcW w:w="2409" w:type="dxa"/>
            <w:gridSpan w:val="2"/>
            <w:tcBorders>
              <w:bottom w:val="single" w:sz="4" w:space="0" w:color="auto"/>
            </w:tcBorders>
          </w:tcPr>
          <w:p w:rsidR="00826F6D" w:rsidRPr="007B28E7" w:rsidRDefault="00826F6D" w:rsidP="00C27B58">
            <w:pPr>
              <w:keepNext/>
              <w:jc w:val="both"/>
              <w:rPr>
                <w:rFonts w:ascii="Arial Narrow" w:hAnsi="Arial Narrow" w:cs="Arial"/>
                <w:b/>
                <w:sz w:val="20"/>
                <w:szCs w:val="20"/>
              </w:rPr>
            </w:pPr>
            <w:r w:rsidRPr="007B28E7">
              <w:rPr>
                <w:rFonts w:ascii="Arial Narrow" w:hAnsi="Arial Narrow" w:cs="Arial"/>
                <w:b/>
                <w:sz w:val="20"/>
                <w:szCs w:val="20"/>
              </w:rPr>
              <w:t>Proprietary Name and Manufacturer</w:t>
            </w:r>
          </w:p>
        </w:tc>
      </w:tr>
      <w:tr w:rsidR="00826F6D" w:rsidRPr="007B28E7" w:rsidTr="00C27B58">
        <w:trPr>
          <w:cantSplit/>
          <w:trHeight w:val="577"/>
        </w:trPr>
        <w:tc>
          <w:tcPr>
            <w:tcW w:w="3119" w:type="dxa"/>
            <w:gridSpan w:val="2"/>
          </w:tcPr>
          <w:p w:rsidR="00826F6D" w:rsidRPr="007B28E7" w:rsidRDefault="00003EDD" w:rsidP="00003EDD">
            <w:pPr>
              <w:keepNext/>
              <w:ind w:left="-108"/>
              <w:jc w:val="both"/>
              <w:rPr>
                <w:rFonts w:ascii="Arial Narrow" w:hAnsi="Arial Narrow" w:cs="Arial"/>
                <w:smallCaps/>
                <w:sz w:val="20"/>
                <w:szCs w:val="20"/>
              </w:rPr>
            </w:pPr>
            <w:r w:rsidRPr="007B28E7">
              <w:rPr>
                <w:rFonts w:ascii="Arial Narrow" w:hAnsi="Arial Narrow" w:cs="Arial"/>
                <w:smallCaps/>
                <w:sz w:val="20"/>
                <w:szCs w:val="20"/>
              </w:rPr>
              <w:t>TRIFLURIDINE + TIPIRACIL</w:t>
            </w:r>
          </w:p>
          <w:p w:rsidR="00003EDD" w:rsidRPr="007B28E7" w:rsidRDefault="00003EDD" w:rsidP="00003EDD">
            <w:pPr>
              <w:keepNext/>
              <w:ind w:left="-108"/>
              <w:jc w:val="both"/>
              <w:rPr>
                <w:rFonts w:ascii="Arial Narrow" w:hAnsi="Arial Narrow" w:cs="Arial"/>
                <w:sz w:val="20"/>
                <w:szCs w:val="20"/>
              </w:rPr>
            </w:pPr>
            <w:r w:rsidRPr="007B28E7">
              <w:rPr>
                <w:rFonts w:ascii="Arial Narrow" w:hAnsi="Arial Narrow" w:cs="Arial"/>
                <w:sz w:val="20"/>
                <w:szCs w:val="20"/>
              </w:rPr>
              <w:t>Trifluridine 15 mg + tipiracil 6.14 mg tablet, 20</w:t>
            </w:r>
          </w:p>
          <w:p w:rsidR="00003EDD" w:rsidRPr="007B28E7" w:rsidRDefault="00003EDD" w:rsidP="00003EDD">
            <w:pPr>
              <w:keepNext/>
              <w:ind w:left="-108"/>
              <w:jc w:val="both"/>
              <w:rPr>
                <w:rFonts w:ascii="Arial Narrow" w:hAnsi="Arial Narrow" w:cs="Arial"/>
                <w:sz w:val="20"/>
                <w:szCs w:val="20"/>
              </w:rPr>
            </w:pPr>
            <w:r w:rsidRPr="007B28E7">
              <w:rPr>
                <w:rFonts w:ascii="Arial Narrow" w:hAnsi="Arial Narrow" w:cs="Arial"/>
                <w:sz w:val="20"/>
                <w:szCs w:val="20"/>
              </w:rPr>
              <w:t>Trifluridine 20 mg + tipiracil 8.19 mg tablet, 20</w:t>
            </w:r>
          </w:p>
        </w:tc>
        <w:tc>
          <w:tcPr>
            <w:tcW w:w="850" w:type="dxa"/>
          </w:tcPr>
          <w:p w:rsidR="00826F6D" w:rsidRPr="007B28E7" w:rsidRDefault="00826F6D" w:rsidP="00C27B58">
            <w:pPr>
              <w:keepNext/>
              <w:ind w:left="-108"/>
              <w:jc w:val="both"/>
              <w:rPr>
                <w:rFonts w:ascii="Arial Narrow" w:hAnsi="Arial Narrow" w:cs="Arial"/>
                <w:sz w:val="20"/>
                <w:szCs w:val="20"/>
              </w:rPr>
            </w:pPr>
          </w:p>
          <w:p w:rsidR="00826F6D" w:rsidRPr="007B28E7" w:rsidRDefault="00003EDD" w:rsidP="00C27B58">
            <w:pPr>
              <w:keepNext/>
              <w:ind w:left="-108"/>
              <w:jc w:val="both"/>
              <w:rPr>
                <w:rFonts w:ascii="Arial Narrow" w:hAnsi="Arial Narrow" w:cs="Arial"/>
                <w:sz w:val="20"/>
                <w:szCs w:val="20"/>
              </w:rPr>
            </w:pPr>
            <w:r w:rsidRPr="007B28E7">
              <w:rPr>
                <w:rFonts w:ascii="Arial Narrow" w:hAnsi="Arial Narrow" w:cs="Arial"/>
                <w:sz w:val="20"/>
                <w:szCs w:val="20"/>
              </w:rPr>
              <w:t>3</w:t>
            </w:r>
          </w:p>
          <w:p w:rsidR="00003EDD" w:rsidRPr="007B28E7" w:rsidRDefault="00003EDD" w:rsidP="00C27B58">
            <w:pPr>
              <w:keepNext/>
              <w:ind w:left="-108"/>
              <w:jc w:val="both"/>
              <w:rPr>
                <w:rFonts w:ascii="Arial Narrow" w:hAnsi="Arial Narrow" w:cs="Arial"/>
                <w:sz w:val="20"/>
                <w:szCs w:val="20"/>
              </w:rPr>
            </w:pPr>
          </w:p>
          <w:p w:rsidR="00003EDD" w:rsidRPr="007B28E7" w:rsidRDefault="00003EDD" w:rsidP="00C27B58">
            <w:pPr>
              <w:keepNext/>
              <w:ind w:left="-108"/>
              <w:jc w:val="both"/>
              <w:rPr>
                <w:rFonts w:ascii="Arial Narrow" w:hAnsi="Arial Narrow" w:cs="Arial"/>
                <w:sz w:val="20"/>
                <w:szCs w:val="20"/>
              </w:rPr>
            </w:pPr>
            <w:r w:rsidRPr="007B28E7">
              <w:rPr>
                <w:rFonts w:ascii="Arial Narrow" w:hAnsi="Arial Narrow" w:cs="Arial"/>
                <w:sz w:val="20"/>
                <w:szCs w:val="20"/>
              </w:rPr>
              <w:t>4</w:t>
            </w:r>
          </w:p>
        </w:tc>
        <w:tc>
          <w:tcPr>
            <w:tcW w:w="709" w:type="dxa"/>
          </w:tcPr>
          <w:p w:rsidR="00826F6D" w:rsidRPr="007B28E7" w:rsidRDefault="00826F6D" w:rsidP="00C27B58">
            <w:pPr>
              <w:keepNext/>
              <w:ind w:left="-108"/>
              <w:jc w:val="both"/>
              <w:rPr>
                <w:rFonts w:ascii="Arial Narrow" w:hAnsi="Arial Narrow" w:cs="Arial"/>
                <w:sz w:val="20"/>
                <w:szCs w:val="20"/>
              </w:rPr>
            </w:pPr>
          </w:p>
          <w:p w:rsidR="00826F6D" w:rsidRPr="007B28E7" w:rsidRDefault="00003EDD" w:rsidP="00C27B58">
            <w:pPr>
              <w:keepNext/>
              <w:ind w:left="-108"/>
              <w:jc w:val="both"/>
              <w:rPr>
                <w:rFonts w:ascii="Arial Narrow" w:hAnsi="Arial Narrow" w:cs="Arial"/>
                <w:sz w:val="20"/>
                <w:szCs w:val="20"/>
              </w:rPr>
            </w:pPr>
            <w:r w:rsidRPr="007B28E7">
              <w:rPr>
                <w:rFonts w:ascii="Arial Narrow" w:hAnsi="Arial Narrow" w:cs="Arial"/>
                <w:sz w:val="20"/>
                <w:szCs w:val="20"/>
              </w:rPr>
              <w:t>2</w:t>
            </w:r>
          </w:p>
          <w:p w:rsidR="00003EDD" w:rsidRPr="007B28E7" w:rsidRDefault="00003EDD" w:rsidP="00C27B58">
            <w:pPr>
              <w:keepNext/>
              <w:ind w:left="-108"/>
              <w:jc w:val="both"/>
              <w:rPr>
                <w:rFonts w:ascii="Arial Narrow" w:hAnsi="Arial Narrow" w:cs="Arial"/>
                <w:sz w:val="20"/>
                <w:szCs w:val="20"/>
              </w:rPr>
            </w:pPr>
          </w:p>
          <w:p w:rsidR="00003EDD" w:rsidRPr="007B28E7" w:rsidRDefault="00003EDD" w:rsidP="00C27B58">
            <w:pPr>
              <w:keepNext/>
              <w:ind w:left="-108"/>
              <w:jc w:val="both"/>
              <w:rPr>
                <w:rFonts w:ascii="Arial Narrow" w:hAnsi="Arial Narrow" w:cs="Arial"/>
                <w:sz w:val="20"/>
                <w:szCs w:val="20"/>
              </w:rPr>
            </w:pPr>
            <w:r w:rsidRPr="007B28E7">
              <w:rPr>
                <w:rFonts w:ascii="Arial Narrow" w:hAnsi="Arial Narrow" w:cs="Arial"/>
                <w:sz w:val="20"/>
                <w:szCs w:val="20"/>
              </w:rPr>
              <w:t>2</w:t>
            </w:r>
          </w:p>
        </w:tc>
        <w:tc>
          <w:tcPr>
            <w:tcW w:w="1276" w:type="dxa"/>
          </w:tcPr>
          <w:p w:rsidR="00826F6D" w:rsidRPr="007B28E7" w:rsidRDefault="00826F6D" w:rsidP="00C27B58">
            <w:pPr>
              <w:keepNext/>
              <w:ind w:left="-108"/>
              <w:jc w:val="both"/>
              <w:rPr>
                <w:rFonts w:ascii="Arial Narrow" w:hAnsi="Arial Narrow" w:cs="Arial"/>
                <w:sz w:val="20"/>
                <w:szCs w:val="20"/>
              </w:rPr>
            </w:pPr>
          </w:p>
          <w:p w:rsidR="00826F6D" w:rsidRPr="007B28E7" w:rsidRDefault="00003EDD" w:rsidP="00C27B58">
            <w:pPr>
              <w:keepNext/>
              <w:ind w:left="-108"/>
              <w:jc w:val="both"/>
              <w:rPr>
                <w:rFonts w:ascii="Arial Narrow" w:hAnsi="Arial Narrow" w:cs="Arial"/>
                <w:sz w:val="20"/>
                <w:szCs w:val="20"/>
                <w:vertAlign w:val="superscript"/>
              </w:rPr>
            </w:pPr>
            <w:r w:rsidRPr="007B28E7">
              <w:rPr>
                <w:rFonts w:ascii="Arial Narrow" w:hAnsi="Arial Narrow" w:cs="Arial"/>
                <w:sz w:val="20"/>
                <w:szCs w:val="20"/>
              </w:rPr>
              <w:t>$</w:t>
            </w:r>
            <w:r w:rsidR="00FF6257">
              <w:rPr>
                <w:rFonts w:ascii="Arial Narrow" w:hAnsi="Arial Narrow" w:cs="Arial"/>
                <w:noProof/>
                <w:color w:val="000000"/>
                <w:sz w:val="20"/>
                <w:szCs w:val="20"/>
                <w:highlight w:val="black"/>
              </w:rPr>
              <w:t>'''''''''''''''''''</w:t>
            </w:r>
            <w:r w:rsidR="00F700F4" w:rsidRPr="007B28E7">
              <w:rPr>
                <w:rFonts w:ascii="Arial Narrow" w:hAnsi="Arial Narrow" w:cs="Arial"/>
                <w:sz w:val="20"/>
                <w:szCs w:val="20"/>
                <w:vertAlign w:val="superscript"/>
              </w:rPr>
              <w:t>a</w:t>
            </w:r>
          </w:p>
          <w:p w:rsidR="00003EDD" w:rsidRPr="007B28E7" w:rsidRDefault="00003EDD" w:rsidP="00C27B58">
            <w:pPr>
              <w:keepNext/>
              <w:ind w:left="-108"/>
              <w:jc w:val="both"/>
              <w:rPr>
                <w:rFonts w:ascii="Arial Narrow" w:hAnsi="Arial Narrow" w:cs="Arial"/>
                <w:sz w:val="20"/>
                <w:szCs w:val="20"/>
              </w:rPr>
            </w:pPr>
          </w:p>
          <w:p w:rsidR="00003EDD" w:rsidRPr="007B28E7" w:rsidRDefault="00003EDD" w:rsidP="00964364">
            <w:pPr>
              <w:keepNext/>
              <w:ind w:left="-108"/>
              <w:jc w:val="both"/>
              <w:rPr>
                <w:rFonts w:ascii="Arial Narrow" w:hAnsi="Arial Narrow" w:cs="Arial"/>
                <w:sz w:val="20"/>
                <w:szCs w:val="20"/>
              </w:rPr>
            </w:pPr>
            <w:r w:rsidRPr="007B28E7">
              <w:rPr>
                <w:rFonts w:ascii="Arial Narrow" w:hAnsi="Arial Narrow" w:cs="Arial"/>
                <w:sz w:val="20"/>
                <w:szCs w:val="20"/>
              </w:rPr>
              <w:t>$</w:t>
            </w:r>
            <w:r w:rsidR="00FF6257">
              <w:rPr>
                <w:rFonts w:ascii="Arial Narrow" w:hAnsi="Arial Narrow" w:cs="Arial"/>
                <w:noProof/>
                <w:color w:val="000000"/>
                <w:sz w:val="20"/>
                <w:szCs w:val="20"/>
                <w:highlight w:val="black"/>
              </w:rPr>
              <w:t>''''''''''''''''''''''</w:t>
            </w:r>
            <w:r w:rsidR="00F700F4" w:rsidRPr="007B28E7">
              <w:rPr>
                <w:rFonts w:ascii="Arial Narrow" w:hAnsi="Arial Narrow" w:cs="Arial"/>
                <w:sz w:val="20"/>
                <w:szCs w:val="20"/>
                <w:vertAlign w:val="superscript"/>
              </w:rPr>
              <w:t>b</w:t>
            </w:r>
          </w:p>
        </w:tc>
        <w:tc>
          <w:tcPr>
            <w:tcW w:w="1275" w:type="dxa"/>
          </w:tcPr>
          <w:p w:rsidR="00C27B58" w:rsidRPr="007B28E7" w:rsidRDefault="00C27B58" w:rsidP="00C27B58">
            <w:pPr>
              <w:keepNext/>
              <w:jc w:val="both"/>
              <w:rPr>
                <w:rFonts w:ascii="Arial Narrow" w:hAnsi="Arial Narrow" w:cs="Arial"/>
                <w:sz w:val="20"/>
                <w:szCs w:val="20"/>
              </w:rPr>
            </w:pPr>
          </w:p>
          <w:p w:rsidR="00826F6D" w:rsidRPr="007B28E7" w:rsidRDefault="00003EDD" w:rsidP="00C27B58">
            <w:pPr>
              <w:keepNext/>
              <w:jc w:val="both"/>
              <w:rPr>
                <w:rFonts w:ascii="Arial Narrow" w:hAnsi="Arial Narrow" w:cs="Arial"/>
                <w:sz w:val="20"/>
                <w:szCs w:val="20"/>
              </w:rPr>
            </w:pPr>
            <w:r w:rsidRPr="007B28E7">
              <w:rPr>
                <w:rFonts w:ascii="Arial Narrow" w:hAnsi="Arial Narrow" w:cs="Arial"/>
                <w:sz w:val="20"/>
                <w:szCs w:val="20"/>
              </w:rPr>
              <w:t>LONSURF</w:t>
            </w:r>
          </w:p>
        </w:tc>
        <w:tc>
          <w:tcPr>
            <w:tcW w:w="1134" w:type="dxa"/>
          </w:tcPr>
          <w:p w:rsidR="00C27B58" w:rsidRPr="007B28E7" w:rsidRDefault="00C27B58" w:rsidP="00C27B58">
            <w:pPr>
              <w:keepNext/>
              <w:jc w:val="both"/>
              <w:rPr>
                <w:rFonts w:ascii="Arial Narrow" w:hAnsi="Arial Narrow" w:cs="Arial"/>
                <w:sz w:val="20"/>
                <w:szCs w:val="20"/>
              </w:rPr>
            </w:pPr>
          </w:p>
          <w:p w:rsidR="00826F6D" w:rsidRPr="007B28E7" w:rsidRDefault="00003EDD" w:rsidP="00C27B58">
            <w:pPr>
              <w:keepNext/>
              <w:jc w:val="both"/>
              <w:rPr>
                <w:rFonts w:ascii="Arial Narrow" w:hAnsi="Arial Narrow" w:cs="Arial"/>
                <w:sz w:val="20"/>
                <w:szCs w:val="20"/>
              </w:rPr>
            </w:pPr>
            <w:r w:rsidRPr="007B28E7">
              <w:rPr>
                <w:rFonts w:ascii="Arial Narrow" w:hAnsi="Arial Narrow" w:cs="Arial"/>
                <w:sz w:val="20"/>
                <w:szCs w:val="20"/>
              </w:rPr>
              <w:t>Servier Laboratories</w:t>
            </w:r>
          </w:p>
        </w:tc>
      </w:tr>
      <w:tr w:rsidR="00826F6D" w:rsidRPr="007B28E7"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7B28E7" w:rsidRDefault="00826F6D" w:rsidP="00C27B58">
            <w:pPr>
              <w:jc w:val="both"/>
              <w:rPr>
                <w:rFonts w:ascii="Arial Narrow" w:hAnsi="Arial Narrow" w:cs="Arial"/>
                <w:b/>
                <w:sz w:val="20"/>
                <w:szCs w:val="20"/>
              </w:rPr>
            </w:pPr>
            <w:r w:rsidRPr="007B28E7">
              <w:rPr>
                <w:rFonts w:ascii="Arial Narrow" w:hAnsi="Arial Narrow" w:cs="Arial"/>
                <w:b/>
                <w:sz w:val="20"/>
                <w:szCs w:val="20"/>
              </w:rPr>
              <w:t xml:space="preserve">Category / </w:t>
            </w:r>
          </w:p>
          <w:p w:rsidR="00826F6D" w:rsidRPr="007B28E7" w:rsidRDefault="00826F6D" w:rsidP="00C27B58">
            <w:pPr>
              <w:jc w:val="both"/>
              <w:rPr>
                <w:rFonts w:ascii="Arial Narrow" w:hAnsi="Arial Narrow" w:cs="Arial"/>
                <w:b/>
                <w:sz w:val="20"/>
                <w:szCs w:val="20"/>
              </w:rPr>
            </w:pPr>
            <w:r w:rsidRPr="007B28E7">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7B28E7" w:rsidRDefault="00826F6D" w:rsidP="00003EDD">
            <w:pPr>
              <w:rPr>
                <w:rFonts w:ascii="Arial Narrow" w:hAnsi="Arial Narrow" w:cs="Arial"/>
                <w:sz w:val="20"/>
                <w:szCs w:val="20"/>
              </w:rPr>
            </w:pPr>
            <w:r w:rsidRPr="007B28E7">
              <w:rPr>
                <w:rFonts w:ascii="Arial Narrow" w:hAnsi="Arial Narrow" w:cs="Arial"/>
                <w:sz w:val="20"/>
                <w:szCs w:val="20"/>
              </w:rPr>
              <w:t>GENERAL – General Schedule (Code GE)</w:t>
            </w:r>
          </w:p>
        </w:tc>
      </w:tr>
      <w:tr w:rsidR="00826F6D" w:rsidRPr="007B28E7"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7B28E7" w:rsidRDefault="00826F6D" w:rsidP="00C27B58">
            <w:pPr>
              <w:jc w:val="both"/>
              <w:rPr>
                <w:rFonts w:ascii="Arial Narrow" w:hAnsi="Arial Narrow" w:cs="Arial"/>
                <w:b/>
                <w:sz w:val="20"/>
                <w:szCs w:val="20"/>
              </w:rPr>
            </w:pPr>
            <w:r w:rsidRPr="007B28E7">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7B28E7" w:rsidRDefault="00826F6D" w:rsidP="00C27B58">
            <w:pPr>
              <w:rPr>
                <w:rFonts w:ascii="Arial Narrow" w:hAnsi="Arial Narrow" w:cs="Arial"/>
                <w:sz w:val="20"/>
                <w:szCs w:val="20"/>
              </w:rPr>
            </w:pPr>
            <w:r w:rsidRPr="007B28E7">
              <w:rPr>
                <w:rFonts w:ascii="Arial Narrow" w:hAnsi="Arial Narrow" w:cs="Arial"/>
                <w:sz w:val="20"/>
                <w:szCs w:val="20"/>
              </w:rPr>
              <w:fldChar w:fldCharType="begin">
                <w:ffData>
                  <w:name w:val="Check1"/>
                  <w:enabled/>
                  <w:calcOnExit w:val="0"/>
                  <w:checkBox>
                    <w:sizeAuto/>
                    <w:default w:val="0"/>
                  </w:checkBox>
                </w:ffData>
              </w:fldChar>
            </w:r>
            <w:r w:rsidRPr="007B28E7">
              <w:rPr>
                <w:rFonts w:ascii="Arial Narrow" w:hAnsi="Arial Narrow" w:cs="Arial"/>
                <w:sz w:val="20"/>
                <w:szCs w:val="20"/>
              </w:rPr>
              <w:instrText xml:space="preserve"> FORMCHECKBOX </w:instrText>
            </w:r>
            <w:r w:rsidR="00FF6257">
              <w:rPr>
                <w:rFonts w:ascii="Arial Narrow" w:hAnsi="Arial Narrow" w:cs="Arial"/>
                <w:sz w:val="20"/>
                <w:szCs w:val="20"/>
              </w:rPr>
            </w:r>
            <w:r w:rsidR="00FF6257">
              <w:rPr>
                <w:rFonts w:ascii="Arial Narrow" w:hAnsi="Arial Narrow" w:cs="Arial"/>
                <w:sz w:val="20"/>
                <w:szCs w:val="20"/>
              </w:rPr>
              <w:fldChar w:fldCharType="separate"/>
            </w:r>
            <w:r w:rsidRPr="007B28E7">
              <w:rPr>
                <w:rFonts w:ascii="Arial Narrow" w:hAnsi="Arial Narrow" w:cs="Arial"/>
                <w:sz w:val="20"/>
                <w:szCs w:val="20"/>
              </w:rPr>
              <w:fldChar w:fldCharType="end"/>
            </w:r>
            <w:r w:rsidRPr="007B28E7">
              <w:rPr>
                <w:rFonts w:ascii="Arial Narrow" w:hAnsi="Arial Narrow" w:cs="Arial"/>
                <w:sz w:val="20"/>
                <w:szCs w:val="20"/>
              </w:rPr>
              <w:t xml:space="preserve">Dental  </w:t>
            </w:r>
            <w:r w:rsidR="007F7E86" w:rsidRPr="007B28E7">
              <w:rPr>
                <w:rFonts w:ascii="Arial Narrow" w:hAnsi="Arial Narrow" w:cs="Arial"/>
                <w:sz w:val="20"/>
                <w:szCs w:val="20"/>
              </w:rPr>
              <w:fldChar w:fldCharType="begin">
                <w:ffData>
                  <w:name w:val=""/>
                  <w:enabled/>
                  <w:calcOnExit w:val="0"/>
                  <w:checkBox>
                    <w:sizeAuto/>
                    <w:default w:val="1"/>
                  </w:checkBox>
                </w:ffData>
              </w:fldChar>
            </w:r>
            <w:r w:rsidR="007F7E86" w:rsidRPr="007B28E7">
              <w:rPr>
                <w:rFonts w:ascii="Arial Narrow" w:hAnsi="Arial Narrow" w:cs="Arial"/>
                <w:sz w:val="20"/>
                <w:szCs w:val="20"/>
              </w:rPr>
              <w:instrText xml:space="preserve"> FORMCHECKBOX </w:instrText>
            </w:r>
            <w:r w:rsidR="00FF6257">
              <w:rPr>
                <w:rFonts w:ascii="Arial Narrow" w:hAnsi="Arial Narrow" w:cs="Arial"/>
                <w:sz w:val="20"/>
                <w:szCs w:val="20"/>
              </w:rPr>
            </w:r>
            <w:r w:rsidR="00FF6257">
              <w:rPr>
                <w:rFonts w:ascii="Arial Narrow" w:hAnsi="Arial Narrow" w:cs="Arial"/>
                <w:sz w:val="20"/>
                <w:szCs w:val="20"/>
              </w:rPr>
              <w:fldChar w:fldCharType="separate"/>
            </w:r>
            <w:r w:rsidR="007F7E86" w:rsidRPr="007B28E7">
              <w:rPr>
                <w:rFonts w:ascii="Arial Narrow" w:hAnsi="Arial Narrow" w:cs="Arial"/>
                <w:sz w:val="20"/>
                <w:szCs w:val="20"/>
              </w:rPr>
              <w:fldChar w:fldCharType="end"/>
            </w:r>
            <w:r w:rsidRPr="007B28E7">
              <w:rPr>
                <w:rFonts w:ascii="Arial Narrow" w:hAnsi="Arial Narrow" w:cs="Arial"/>
                <w:sz w:val="20"/>
                <w:szCs w:val="20"/>
              </w:rPr>
              <w:t xml:space="preserve">Medical Practitioners  </w:t>
            </w:r>
            <w:r w:rsidRPr="007B28E7">
              <w:rPr>
                <w:rFonts w:ascii="Arial Narrow" w:hAnsi="Arial Narrow" w:cs="Arial"/>
                <w:sz w:val="20"/>
                <w:szCs w:val="20"/>
              </w:rPr>
              <w:fldChar w:fldCharType="begin">
                <w:ffData>
                  <w:name w:val="Check3"/>
                  <w:enabled/>
                  <w:calcOnExit w:val="0"/>
                  <w:checkBox>
                    <w:sizeAuto/>
                    <w:default w:val="0"/>
                  </w:checkBox>
                </w:ffData>
              </w:fldChar>
            </w:r>
            <w:r w:rsidRPr="007B28E7">
              <w:rPr>
                <w:rFonts w:ascii="Arial Narrow" w:hAnsi="Arial Narrow" w:cs="Arial"/>
                <w:sz w:val="20"/>
                <w:szCs w:val="20"/>
              </w:rPr>
              <w:instrText xml:space="preserve"> FORMCHECKBOX </w:instrText>
            </w:r>
            <w:r w:rsidR="00FF6257">
              <w:rPr>
                <w:rFonts w:ascii="Arial Narrow" w:hAnsi="Arial Narrow" w:cs="Arial"/>
                <w:sz w:val="20"/>
                <w:szCs w:val="20"/>
              </w:rPr>
            </w:r>
            <w:r w:rsidR="00FF6257">
              <w:rPr>
                <w:rFonts w:ascii="Arial Narrow" w:hAnsi="Arial Narrow" w:cs="Arial"/>
                <w:sz w:val="20"/>
                <w:szCs w:val="20"/>
              </w:rPr>
              <w:fldChar w:fldCharType="separate"/>
            </w:r>
            <w:r w:rsidRPr="007B28E7">
              <w:rPr>
                <w:rFonts w:ascii="Arial Narrow" w:hAnsi="Arial Narrow" w:cs="Arial"/>
                <w:sz w:val="20"/>
                <w:szCs w:val="20"/>
              </w:rPr>
              <w:fldChar w:fldCharType="end"/>
            </w:r>
            <w:r w:rsidRPr="007B28E7">
              <w:rPr>
                <w:rFonts w:ascii="Arial Narrow" w:hAnsi="Arial Narrow" w:cs="Arial"/>
                <w:sz w:val="20"/>
                <w:szCs w:val="20"/>
              </w:rPr>
              <w:t xml:space="preserve">Nurse practitioners  </w:t>
            </w:r>
            <w:r w:rsidRPr="007B28E7">
              <w:rPr>
                <w:rFonts w:ascii="Arial Narrow" w:hAnsi="Arial Narrow" w:cs="Arial"/>
                <w:sz w:val="20"/>
                <w:szCs w:val="20"/>
              </w:rPr>
              <w:fldChar w:fldCharType="begin">
                <w:ffData>
                  <w:name w:val=""/>
                  <w:enabled/>
                  <w:calcOnExit w:val="0"/>
                  <w:checkBox>
                    <w:sizeAuto/>
                    <w:default w:val="0"/>
                  </w:checkBox>
                </w:ffData>
              </w:fldChar>
            </w:r>
            <w:r w:rsidRPr="007B28E7">
              <w:rPr>
                <w:rFonts w:ascii="Arial Narrow" w:hAnsi="Arial Narrow" w:cs="Arial"/>
                <w:sz w:val="20"/>
                <w:szCs w:val="20"/>
              </w:rPr>
              <w:instrText xml:space="preserve"> FORMCHECKBOX </w:instrText>
            </w:r>
            <w:r w:rsidR="00FF6257">
              <w:rPr>
                <w:rFonts w:ascii="Arial Narrow" w:hAnsi="Arial Narrow" w:cs="Arial"/>
                <w:sz w:val="20"/>
                <w:szCs w:val="20"/>
              </w:rPr>
            </w:r>
            <w:r w:rsidR="00FF6257">
              <w:rPr>
                <w:rFonts w:ascii="Arial Narrow" w:hAnsi="Arial Narrow" w:cs="Arial"/>
                <w:sz w:val="20"/>
                <w:szCs w:val="20"/>
              </w:rPr>
              <w:fldChar w:fldCharType="separate"/>
            </w:r>
            <w:r w:rsidRPr="007B28E7">
              <w:rPr>
                <w:rFonts w:ascii="Arial Narrow" w:hAnsi="Arial Narrow" w:cs="Arial"/>
                <w:sz w:val="20"/>
                <w:szCs w:val="20"/>
              </w:rPr>
              <w:fldChar w:fldCharType="end"/>
            </w:r>
            <w:r w:rsidRPr="007B28E7">
              <w:rPr>
                <w:rFonts w:ascii="Arial Narrow" w:hAnsi="Arial Narrow" w:cs="Arial"/>
                <w:sz w:val="20"/>
                <w:szCs w:val="20"/>
              </w:rPr>
              <w:t>Optometrists</w:t>
            </w:r>
          </w:p>
          <w:p w:rsidR="00826F6D" w:rsidRPr="007B28E7" w:rsidRDefault="00826F6D" w:rsidP="00C27B58">
            <w:pPr>
              <w:rPr>
                <w:rFonts w:ascii="Arial Narrow" w:hAnsi="Arial Narrow" w:cs="Arial"/>
                <w:sz w:val="20"/>
                <w:szCs w:val="20"/>
              </w:rPr>
            </w:pPr>
            <w:r w:rsidRPr="007B28E7">
              <w:rPr>
                <w:rFonts w:ascii="Arial Narrow" w:hAnsi="Arial Narrow" w:cs="Arial"/>
                <w:sz w:val="20"/>
                <w:szCs w:val="20"/>
              </w:rPr>
              <w:fldChar w:fldCharType="begin">
                <w:ffData>
                  <w:name w:val="Check5"/>
                  <w:enabled/>
                  <w:calcOnExit w:val="0"/>
                  <w:checkBox>
                    <w:sizeAuto/>
                    <w:default w:val="0"/>
                  </w:checkBox>
                </w:ffData>
              </w:fldChar>
            </w:r>
            <w:r w:rsidRPr="007B28E7">
              <w:rPr>
                <w:rFonts w:ascii="Arial Narrow" w:hAnsi="Arial Narrow" w:cs="Arial"/>
                <w:sz w:val="20"/>
                <w:szCs w:val="20"/>
              </w:rPr>
              <w:instrText xml:space="preserve"> FORMCHECKBOX </w:instrText>
            </w:r>
            <w:r w:rsidR="00FF6257">
              <w:rPr>
                <w:rFonts w:ascii="Arial Narrow" w:hAnsi="Arial Narrow" w:cs="Arial"/>
                <w:sz w:val="20"/>
                <w:szCs w:val="20"/>
              </w:rPr>
            </w:r>
            <w:r w:rsidR="00FF6257">
              <w:rPr>
                <w:rFonts w:ascii="Arial Narrow" w:hAnsi="Arial Narrow" w:cs="Arial"/>
                <w:sz w:val="20"/>
                <w:szCs w:val="20"/>
              </w:rPr>
              <w:fldChar w:fldCharType="separate"/>
            </w:r>
            <w:r w:rsidRPr="007B28E7">
              <w:rPr>
                <w:rFonts w:ascii="Arial Narrow" w:hAnsi="Arial Narrow" w:cs="Arial"/>
                <w:sz w:val="20"/>
                <w:szCs w:val="20"/>
              </w:rPr>
              <w:fldChar w:fldCharType="end"/>
            </w:r>
            <w:r w:rsidRPr="007B28E7">
              <w:rPr>
                <w:rFonts w:ascii="Arial Narrow" w:hAnsi="Arial Narrow" w:cs="Arial"/>
                <w:sz w:val="20"/>
                <w:szCs w:val="20"/>
              </w:rPr>
              <w:t>Midwives</w:t>
            </w:r>
          </w:p>
        </w:tc>
      </w:tr>
      <w:tr w:rsidR="00826F6D" w:rsidRPr="007B28E7"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7B28E7" w:rsidRDefault="00826F6D" w:rsidP="00C27B58">
            <w:pPr>
              <w:jc w:val="both"/>
              <w:rPr>
                <w:rFonts w:ascii="Arial Narrow" w:hAnsi="Arial Narrow" w:cs="Arial"/>
                <w:b/>
                <w:sz w:val="20"/>
                <w:szCs w:val="20"/>
              </w:rPr>
            </w:pPr>
            <w:r w:rsidRPr="007B28E7">
              <w:rPr>
                <w:rFonts w:ascii="Arial Narrow" w:hAnsi="Arial Narrow" w:cs="Arial"/>
                <w:b/>
                <w:sz w:val="20"/>
                <w:szCs w:val="20"/>
              </w:rPr>
              <w:t>Episodicity:</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7B28E7" w:rsidRDefault="007F7E86" w:rsidP="00C27B58">
            <w:pPr>
              <w:rPr>
                <w:rFonts w:ascii="Arial Narrow" w:hAnsi="Arial Narrow" w:cs="Arial"/>
                <w:sz w:val="20"/>
                <w:szCs w:val="20"/>
              </w:rPr>
            </w:pPr>
            <w:r w:rsidRPr="007B28E7">
              <w:rPr>
                <w:rFonts w:ascii="Arial Narrow" w:hAnsi="Arial Narrow" w:cs="Arial"/>
                <w:sz w:val="20"/>
                <w:szCs w:val="20"/>
              </w:rPr>
              <w:t>-</w:t>
            </w:r>
          </w:p>
        </w:tc>
      </w:tr>
      <w:tr w:rsidR="00826F6D" w:rsidRPr="007B28E7"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7B28E7" w:rsidRDefault="00826F6D" w:rsidP="00C27B58">
            <w:pPr>
              <w:jc w:val="both"/>
              <w:rPr>
                <w:rFonts w:ascii="Arial Narrow" w:hAnsi="Arial Narrow" w:cs="Arial"/>
                <w:b/>
                <w:sz w:val="20"/>
                <w:szCs w:val="20"/>
              </w:rPr>
            </w:pPr>
            <w:r w:rsidRPr="007B28E7">
              <w:rPr>
                <w:rFonts w:ascii="Arial Narrow" w:hAnsi="Arial Narrow" w:cs="Arial"/>
                <w:b/>
                <w:sz w:val="20"/>
                <w:szCs w:val="20"/>
              </w:rPr>
              <w:t>Severity:</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7B28E7" w:rsidRDefault="00003EDD" w:rsidP="00C27B58">
            <w:pPr>
              <w:rPr>
                <w:rFonts w:ascii="Arial Narrow" w:hAnsi="Arial Narrow" w:cs="Arial"/>
                <w:sz w:val="20"/>
                <w:szCs w:val="20"/>
              </w:rPr>
            </w:pPr>
            <w:r w:rsidRPr="007B28E7">
              <w:rPr>
                <w:rFonts w:ascii="Arial Narrow" w:hAnsi="Arial Narrow" w:cs="Arial"/>
                <w:sz w:val="20"/>
                <w:szCs w:val="20"/>
              </w:rPr>
              <w:t xml:space="preserve">Metastatic </w:t>
            </w:r>
          </w:p>
        </w:tc>
      </w:tr>
      <w:tr w:rsidR="00826F6D" w:rsidRPr="007B28E7"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7B28E7" w:rsidRDefault="00826F6D" w:rsidP="00C27B58">
            <w:pPr>
              <w:jc w:val="both"/>
              <w:rPr>
                <w:rFonts w:ascii="Arial Narrow" w:hAnsi="Arial Narrow" w:cs="Arial"/>
                <w:b/>
                <w:sz w:val="20"/>
                <w:szCs w:val="20"/>
              </w:rPr>
            </w:pPr>
            <w:r w:rsidRPr="007B28E7">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7B28E7" w:rsidRDefault="00003EDD" w:rsidP="00C27B58">
            <w:pPr>
              <w:rPr>
                <w:rFonts w:ascii="Arial Narrow" w:hAnsi="Arial Narrow" w:cs="Arial"/>
                <w:sz w:val="20"/>
                <w:szCs w:val="20"/>
              </w:rPr>
            </w:pPr>
            <w:r w:rsidRPr="007B28E7">
              <w:rPr>
                <w:rFonts w:ascii="Arial Narrow" w:hAnsi="Arial Narrow" w:cs="Arial"/>
                <w:sz w:val="20"/>
                <w:szCs w:val="20"/>
              </w:rPr>
              <w:t>Metastatic colorectal cancer</w:t>
            </w:r>
          </w:p>
        </w:tc>
      </w:tr>
      <w:tr w:rsidR="00826F6D" w:rsidRPr="007B28E7"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7B28E7" w:rsidRDefault="00826F6D" w:rsidP="00C27B58">
            <w:pPr>
              <w:jc w:val="both"/>
              <w:rPr>
                <w:rFonts w:ascii="Arial Narrow" w:hAnsi="Arial Narrow" w:cs="Arial"/>
                <w:b/>
                <w:sz w:val="20"/>
                <w:szCs w:val="20"/>
              </w:rPr>
            </w:pPr>
            <w:r w:rsidRPr="007B28E7">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7B28E7" w:rsidRDefault="00003EDD" w:rsidP="00C27B58">
            <w:pPr>
              <w:rPr>
                <w:rFonts w:ascii="Arial Narrow" w:hAnsi="Arial Narrow" w:cs="Arial"/>
                <w:sz w:val="20"/>
                <w:szCs w:val="20"/>
              </w:rPr>
            </w:pPr>
            <w:r w:rsidRPr="007B28E7">
              <w:rPr>
                <w:rFonts w:ascii="Arial Narrow" w:hAnsi="Arial Narrow" w:cs="Arial"/>
                <w:sz w:val="20"/>
                <w:szCs w:val="20"/>
              </w:rPr>
              <w:t xml:space="preserve">Metastatic colorectal cancer </w:t>
            </w:r>
          </w:p>
        </w:tc>
      </w:tr>
      <w:tr w:rsidR="00826F6D" w:rsidRPr="007B28E7"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7B28E7" w:rsidRDefault="00826F6D" w:rsidP="00C27B58">
            <w:pPr>
              <w:jc w:val="both"/>
              <w:rPr>
                <w:rFonts w:ascii="Arial Narrow" w:hAnsi="Arial Narrow" w:cs="Arial"/>
                <w:b/>
                <w:sz w:val="20"/>
                <w:szCs w:val="20"/>
              </w:rPr>
            </w:pPr>
            <w:r w:rsidRPr="007B28E7">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7B28E7" w:rsidRDefault="00104313" w:rsidP="00C27B58">
            <w:pPr>
              <w:rPr>
                <w:rFonts w:ascii="Arial Narrow" w:hAnsi="Arial Narrow" w:cs="Arial"/>
                <w:sz w:val="20"/>
                <w:szCs w:val="20"/>
              </w:rPr>
            </w:pPr>
            <w:r w:rsidRPr="007B28E7">
              <w:rPr>
                <w:rFonts w:ascii="Arial Narrow" w:hAnsi="Arial Narrow" w:cs="Arial"/>
                <w:sz w:val="20"/>
                <w:szCs w:val="20"/>
              </w:rPr>
              <w:t xml:space="preserve">Initial treatment </w:t>
            </w:r>
          </w:p>
        </w:tc>
      </w:tr>
      <w:tr w:rsidR="00826F6D" w:rsidRPr="007B28E7"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7B28E7" w:rsidRDefault="00826F6D" w:rsidP="00C27B58">
            <w:pPr>
              <w:jc w:val="both"/>
              <w:rPr>
                <w:rFonts w:ascii="Arial Narrow" w:hAnsi="Arial Narrow" w:cs="Arial"/>
                <w:b/>
                <w:sz w:val="20"/>
                <w:szCs w:val="20"/>
              </w:rPr>
            </w:pPr>
            <w:r w:rsidRPr="007B28E7">
              <w:rPr>
                <w:rFonts w:ascii="Arial Narrow" w:hAnsi="Arial Narrow" w:cs="Arial"/>
                <w:b/>
                <w:sz w:val="20"/>
                <w:szCs w:val="20"/>
              </w:rPr>
              <w:t>Restriction Level / Method:</w:t>
            </w:r>
          </w:p>
          <w:p w:rsidR="00826F6D" w:rsidRPr="007B28E7" w:rsidRDefault="00826F6D" w:rsidP="00C27B5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7B28E7" w:rsidRDefault="00826F6D" w:rsidP="00C27B58">
            <w:pPr>
              <w:rPr>
                <w:rFonts w:ascii="Arial Narrow" w:hAnsi="Arial Narrow" w:cs="Arial"/>
                <w:sz w:val="20"/>
                <w:szCs w:val="20"/>
              </w:rPr>
            </w:pPr>
            <w:r w:rsidRPr="007B28E7">
              <w:rPr>
                <w:rFonts w:ascii="Arial Narrow" w:hAnsi="Arial Narrow" w:cs="Arial"/>
                <w:sz w:val="20"/>
                <w:szCs w:val="20"/>
              </w:rPr>
              <w:fldChar w:fldCharType="begin">
                <w:ffData>
                  <w:name w:val="Check1"/>
                  <w:enabled/>
                  <w:calcOnExit w:val="0"/>
                  <w:checkBox>
                    <w:sizeAuto/>
                    <w:default w:val="0"/>
                  </w:checkBox>
                </w:ffData>
              </w:fldChar>
            </w:r>
            <w:r w:rsidRPr="007B28E7">
              <w:rPr>
                <w:rFonts w:ascii="Arial Narrow" w:hAnsi="Arial Narrow" w:cs="Arial"/>
                <w:sz w:val="20"/>
                <w:szCs w:val="20"/>
              </w:rPr>
              <w:instrText xml:space="preserve"> FORMCHECKBOX </w:instrText>
            </w:r>
            <w:r w:rsidR="00FF6257">
              <w:rPr>
                <w:rFonts w:ascii="Arial Narrow" w:hAnsi="Arial Narrow" w:cs="Arial"/>
                <w:sz w:val="20"/>
                <w:szCs w:val="20"/>
              </w:rPr>
            </w:r>
            <w:r w:rsidR="00FF6257">
              <w:rPr>
                <w:rFonts w:ascii="Arial Narrow" w:hAnsi="Arial Narrow" w:cs="Arial"/>
                <w:sz w:val="20"/>
                <w:szCs w:val="20"/>
              </w:rPr>
              <w:fldChar w:fldCharType="separate"/>
            </w:r>
            <w:r w:rsidRPr="007B28E7">
              <w:rPr>
                <w:rFonts w:ascii="Arial Narrow" w:hAnsi="Arial Narrow" w:cs="Arial"/>
                <w:sz w:val="20"/>
                <w:szCs w:val="20"/>
              </w:rPr>
              <w:fldChar w:fldCharType="end"/>
            </w:r>
            <w:r w:rsidRPr="007B28E7">
              <w:rPr>
                <w:rFonts w:ascii="Arial Narrow" w:hAnsi="Arial Narrow" w:cs="Arial"/>
                <w:sz w:val="20"/>
                <w:szCs w:val="20"/>
              </w:rPr>
              <w:t>Restricted benefit</w:t>
            </w:r>
          </w:p>
          <w:p w:rsidR="00826F6D" w:rsidRPr="007B28E7" w:rsidRDefault="00F530EF" w:rsidP="00C27B58">
            <w:pPr>
              <w:rPr>
                <w:rFonts w:ascii="Arial Narrow" w:hAnsi="Arial Narrow" w:cs="Arial"/>
                <w:sz w:val="20"/>
                <w:szCs w:val="20"/>
              </w:rPr>
            </w:pPr>
            <w:r w:rsidRPr="007B28E7">
              <w:rPr>
                <w:rFonts w:ascii="Arial Narrow" w:hAnsi="Arial Narrow" w:cs="Arial"/>
                <w:sz w:val="20"/>
                <w:szCs w:val="20"/>
              </w:rPr>
              <w:fldChar w:fldCharType="begin">
                <w:ffData>
                  <w:name w:val=""/>
                  <w:enabled/>
                  <w:calcOnExit w:val="0"/>
                  <w:checkBox>
                    <w:sizeAuto/>
                    <w:default w:val="1"/>
                  </w:checkBox>
                </w:ffData>
              </w:fldChar>
            </w:r>
            <w:r w:rsidRPr="007B28E7">
              <w:rPr>
                <w:rFonts w:ascii="Arial Narrow" w:hAnsi="Arial Narrow" w:cs="Arial"/>
                <w:sz w:val="20"/>
                <w:szCs w:val="20"/>
              </w:rPr>
              <w:instrText xml:space="preserve"> FORMCHECKBOX </w:instrText>
            </w:r>
            <w:r w:rsidR="00FF6257">
              <w:rPr>
                <w:rFonts w:ascii="Arial Narrow" w:hAnsi="Arial Narrow" w:cs="Arial"/>
                <w:sz w:val="20"/>
                <w:szCs w:val="20"/>
              </w:rPr>
            </w:r>
            <w:r w:rsidR="00FF6257">
              <w:rPr>
                <w:rFonts w:ascii="Arial Narrow" w:hAnsi="Arial Narrow" w:cs="Arial"/>
                <w:sz w:val="20"/>
                <w:szCs w:val="20"/>
              </w:rPr>
              <w:fldChar w:fldCharType="separate"/>
            </w:r>
            <w:r w:rsidRPr="007B28E7">
              <w:rPr>
                <w:rFonts w:ascii="Arial Narrow" w:hAnsi="Arial Narrow" w:cs="Arial"/>
                <w:sz w:val="20"/>
                <w:szCs w:val="20"/>
              </w:rPr>
              <w:fldChar w:fldCharType="end"/>
            </w:r>
            <w:r w:rsidR="00826F6D" w:rsidRPr="007B28E7">
              <w:rPr>
                <w:rFonts w:ascii="Arial Narrow" w:hAnsi="Arial Narrow" w:cs="Arial"/>
                <w:sz w:val="20"/>
                <w:szCs w:val="20"/>
              </w:rPr>
              <w:t>Authority Required - In Writing</w:t>
            </w:r>
          </w:p>
          <w:p w:rsidR="00826F6D" w:rsidRPr="007B28E7" w:rsidRDefault="00342C01" w:rsidP="00C27B58">
            <w:pPr>
              <w:rPr>
                <w:rFonts w:ascii="Arial Narrow" w:hAnsi="Arial Narrow" w:cs="Arial"/>
                <w:sz w:val="20"/>
                <w:szCs w:val="20"/>
              </w:rPr>
            </w:pPr>
            <w:r w:rsidRPr="007B28E7">
              <w:rPr>
                <w:rFonts w:ascii="Arial Narrow" w:hAnsi="Arial Narrow" w:cs="Arial"/>
                <w:sz w:val="20"/>
                <w:szCs w:val="20"/>
              </w:rPr>
              <w:fldChar w:fldCharType="begin">
                <w:ffData>
                  <w:name w:val="Check3"/>
                  <w:enabled/>
                  <w:calcOnExit w:val="0"/>
                  <w:checkBox>
                    <w:sizeAuto/>
                    <w:default w:val="1"/>
                  </w:checkBox>
                </w:ffData>
              </w:fldChar>
            </w:r>
            <w:bookmarkStart w:id="1" w:name="Check3"/>
            <w:r w:rsidRPr="007B28E7">
              <w:rPr>
                <w:rFonts w:ascii="Arial Narrow" w:hAnsi="Arial Narrow" w:cs="Arial"/>
                <w:sz w:val="20"/>
                <w:szCs w:val="20"/>
              </w:rPr>
              <w:instrText xml:space="preserve"> FORMCHECKBOX </w:instrText>
            </w:r>
            <w:r w:rsidR="00FF6257">
              <w:rPr>
                <w:rFonts w:ascii="Arial Narrow" w:hAnsi="Arial Narrow" w:cs="Arial"/>
                <w:sz w:val="20"/>
                <w:szCs w:val="20"/>
              </w:rPr>
            </w:r>
            <w:r w:rsidR="00FF6257">
              <w:rPr>
                <w:rFonts w:ascii="Arial Narrow" w:hAnsi="Arial Narrow" w:cs="Arial"/>
                <w:sz w:val="20"/>
                <w:szCs w:val="20"/>
              </w:rPr>
              <w:fldChar w:fldCharType="separate"/>
            </w:r>
            <w:r w:rsidRPr="007B28E7">
              <w:rPr>
                <w:rFonts w:ascii="Arial Narrow" w:hAnsi="Arial Narrow" w:cs="Arial"/>
                <w:sz w:val="20"/>
                <w:szCs w:val="20"/>
              </w:rPr>
              <w:fldChar w:fldCharType="end"/>
            </w:r>
            <w:bookmarkEnd w:id="1"/>
            <w:r w:rsidR="00826F6D" w:rsidRPr="007B28E7">
              <w:rPr>
                <w:rFonts w:ascii="Arial Narrow" w:hAnsi="Arial Narrow" w:cs="Arial"/>
                <w:sz w:val="20"/>
                <w:szCs w:val="20"/>
              </w:rPr>
              <w:t>Authority Required - Telephone</w:t>
            </w:r>
          </w:p>
          <w:p w:rsidR="00826F6D" w:rsidRPr="007B28E7" w:rsidRDefault="00F530EF" w:rsidP="00C27B58">
            <w:pPr>
              <w:rPr>
                <w:rFonts w:ascii="Arial Narrow" w:hAnsi="Arial Narrow" w:cs="Arial"/>
                <w:sz w:val="20"/>
                <w:szCs w:val="20"/>
              </w:rPr>
            </w:pPr>
            <w:r w:rsidRPr="007B28E7">
              <w:rPr>
                <w:rFonts w:ascii="Arial Narrow" w:hAnsi="Arial Narrow" w:cs="Arial"/>
                <w:sz w:val="20"/>
                <w:szCs w:val="20"/>
              </w:rPr>
              <w:fldChar w:fldCharType="begin">
                <w:ffData>
                  <w:name w:val=""/>
                  <w:enabled/>
                  <w:calcOnExit w:val="0"/>
                  <w:checkBox>
                    <w:sizeAuto/>
                    <w:default w:val="1"/>
                  </w:checkBox>
                </w:ffData>
              </w:fldChar>
            </w:r>
            <w:r w:rsidRPr="007B28E7">
              <w:rPr>
                <w:rFonts w:ascii="Arial Narrow" w:hAnsi="Arial Narrow" w:cs="Arial"/>
                <w:sz w:val="20"/>
                <w:szCs w:val="20"/>
              </w:rPr>
              <w:instrText xml:space="preserve"> FORMCHECKBOX </w:instrText>
            </w:r>
            <w:r w:rsidR="00FF6257">
              <w:rPr>
                <w:rFonts w:ascii="Arial Narrow" w:hAnsi="Arial Narrow" w:cs="Arial"/>
                <w:sz w:val="20"/>
                <w:szCs w:val="20"/>
              </w:rPr>
            </w:r>
            <w:r w:rsidR="00FF6257">
              <w:rPr>
                <w:rFonts w:ascii="Arial Narrow" w:hAnsi="Arial Narrow" w:cs="Arial"/>
                <w:sz w:val="20"/>
                <w:szCs w:val="20"/>
              </w:rPr>
              <w:fldChar w:fldCharType="separate"/>
            </w:r>
            <w:r w:rsidRPr="007B28E7">
              <w:rPr>
                <w:rFonts w:ascii="Arial Narrow" w:hAnsi="Arial Narrow" w:cs="Arial"/>
                <w:sz w:val="20"/>
                <w:szCs w:val="20"/>
              </w:rPr>
              <w:fldChar w:fldCharType="end"/>
            </w:r>
            <w:r w:rsidR="00826F6D" w:rsidRPr="007B28E7">
              <w:rPr>
                <w:rFonts w:ascii="Arial Narrow" w:hAnsi="Arial Narrow" w:cs="Arial"/>
                <w:sz w:val="20"/>
                <w:szCs w:val="20"/>
              </w:rPr>
              <w:t>Authority Required – Emergency</w:t>
            </w:r>
          </w:p>
          <w:p w:rsidR="00826F6D" w:rsidRPr="007B28E7" w:rsidRDefault="00F530EF" w:rsidP="00C27B58">
            <w:pPr>
              <w:rPr>
                <w:rFonts w:ascii="Arial Narrow" w:hAnsi="Arial Narrow" w:cs="Arial"/>
                <w:sz w:val="20"/>
                <w:szCs w:val="20"/>
              </w:rPr>
            </w:pPr>
            <w:r w:rsidRPr="007B28E7">
              <w:rPr>
                <w:rFonts w:ascii="Arial Narrow" w:hAnsi="Arial Narrow" w:cs="Arial"/>
                <w:sz w:val="20"/>
                <w:szCs w:val="20"/>
              </w:rPr>
              <w:fldChar w:fldCharType="begin">
                <w:ffData>
                  <w:name w:val=""/>
                  <w:enabled/>
                  <w:calcOnExit w:val="0"/>
                  <w:checkBox>
                    <w:sizeAuto/>
                    <w:default w:val="1"/>
                  </w:checkBox>
                </w:ffData>
              </w:fldChar>
            </w:r>
            <w:r w:rsidRPr="007B28E7">
              <w:rPr>
                <w:rFonts w:ascii="Arial Narrow" w:hAnsi="Arial Narrow" w:cs="Arial"/>
                <w:sz w:val="20"/>
                <w:szCs w:val="20"/>
              </w:rPr>
              <w:instrText xml:space="preserve"> FORMCHECKBOX </w:instrText>
            </w:r>
            <w:r w:rsidR="00FF6257">
              <w:rPr>
                <w:rFonts w:ascii="Arial Narrow" w:hAnsi="Arial Narrow" w:cs="Arial"/>
                <w:sz w:val="20"/>
                <w:szCs w:val="20"/>
              </w:rPr>
            </w:r>
            <w:r w:rsidR="00FF6257">
              <w:rPr>
                <w:rFonts w:ascii="Arial Narrow" w:hAnsi="Arial Narrow" w:cs="Arial"/>
                <w:sz w:val="20"/>
                <w:szCs w:val="20"/>
              </w:rPr>
              <w:fldChar w:fldCharType="separate"/>
            </w:r>
            <w:r w:rsidRPr="007B28E7">
              <w:rPr>
                <w:rFonts w:ascii="Arial Narrow" w:hAnsi="Arial Narrow" w:cs="Arial"/>
                <w:sz w:val="20"/>
                <w:szCs w:val="20"/>
              </w:rPr>
              <w:fldChar w:fldCharType="end"/>
            </w:r>
            <w:r w:rsidR="00826F6D" w:rsidRPr="007B28E7">
              <w:rPr>
                <w:rFonts w:ascii="Arial Narrow" w:hAnsi="Arial Narrow" w:cs="Arial"/>
                <w:sz w:val="20"/>
                <w:szCs w:val="20"/>
              </w:rPr>
              <w:t>Authority Required - Electronic</w:t>
            </w:r>
          </w:p>
          <w:p w:rsidR="00826F6D" w:rsidRPr="007B28E7" w:rsidRDefault="00F530EF" w:rsidP="00C27B58">
            <w:pPr>
              <w:rPr>
                <w:rFonts w:ascii="Arial Narrow" w:hAnsi="Arial Narrow" w:cs="Arial"/>
                <w:sz w:val="20"/>
                <w:szCs w:val="20"/>
              </w:rPr>
            </w:pPr>
            <w:r w:rsidRPr="007B28E7">
              <w:rPr>
                <w:rFonts w:ascii="Arial Narrow" w:hAnsi="Arial Narrow" w:cs="Arial"/>
                <w:sz w:val="20"/>
                <w:szCs w:val="20"/>
              </w:rPr>
              <w:fldChar w:fldCharType="begin">
                <w:ffData>
                  <w:name w:val="Check5"/>
                  <w:enabled/>
                  <w:calcOnExit w:val="0"/>
                  <w:checkBox>
                    <w:sizeAuto/>
                    <w:default w:val="1"/>
                  </w:checkBox>
                </w:ffData>
              </w:fldChar>
            </w:r>
            <w:bookmarkStart w:id="2" w:name="Check5"/>
            <w:r w:rsidRPr="007B28E7">
              <w:rPr>
                <w:rFonts w:ascii="Arial Narrow" w:hAnsi="Arial Narrow" w:cs="Arial"/>
                <w:sz w:val="20"/>
                <w:szCs w:val="20"/>
              </w:rPr>
              <w:instrText xml:space="preserve"> FORMCHECKBOX </w:instrText>
            </w:r>
            <w:r w:rsidR="00FF6257">
              <w:rPr>
                <w:rFonts w:ascii="Arial Narrow" w:hAnsi="Arial Narrow" w:cs="Arial"/>
                <w:sz w:val="20"/>
                <w:szCs w:val="20"/>
              </w:rPr>
            </w:r>
            <w:r w:rsidR="00FF6257">
              <w:rPr>
                <w:rFonts w:ascii="Arial Narrow" w:hAnsi="Arial Narrow" w:cs="Arial"/>
                <w:sz w:val="20"/>
                <w:szCs w:val="20"/>
              </w:rPr>
              <w:fldChar w:fldCharType="separate"/>
            </w:r>
            <w:r w:rsidRPr="007B28E7">
              <w:rPr>
                <w:rFonts w:ascii="Arial Narrow" w:hAnsi="Arial Narrow" w:cs="Arial"/>
                <w:sz w:val="20"/>
                <w:szCs w:val="20"/>
              </w:rPr>
              <w:fldChar w:fldCharType="end"/>
            </w:r>
            <w:bookmarkEnd w:id="2"/>
            <w:r w:rsidR="00826F6D" w:rsidRPr="007B28E7">
              <w:rPr>
                <w:rFonts w:ascii="Arial Narrow" w:hAnsi="Arial Narrow" w:cs="Arial"/>
                <w:sz w:val="20"/>
                <w:szCs w:val="20"/>
              </w:rPr>
              <w:t>Streamlined</w:t>
            </w:r>
          </w:p>
        </w:tc>
      </w:tr>
      <w:tr w:rsidR="00826F6D" w:rsidRPr="007B28E7"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7B28E7" w:rsidRDefault="00826F6D" w:rsidP="00C27B58">
            <w:pPr>
              <w:jc w:val="both"/>
              <w:rPr>
                <w:rFonts w:ascii="Arial Narrow" w:hAnsi="Arial Narrow" w:cs="Arial"/>
                <w:b/>
                <w:sz w:val="20"/>
                <w:szCs w:val="20"/>
              </w:rPr>
            </w:pPr>
            <w:r w:rsidRPr="007B28E7">
              <w:rPr>
                <w:rFonts w:ascii="Arial Narrow" w:hAnsi="Arial Narrow" w:cs="Arial"/>
                <w:b/>
                <w:sz w:val="20"/>
                <w:szCs w:val="20"/>
              </w:rPr>
              <w:t>Clinical criteria:</w:t>
            </w:r>
          </w:p>
          <w:p w:rsidR="00826F6D" w:rsidRPr="007B28E7" w:rsidRDefault="00826F6D" w:rsidP="00C27B58">
            <w:pPr>
              <w:jc w:val="both"/>
              <w:rPr>
                <w:rFonts w:ascii="Arial Narrow" w:hAnsi="Arial Narrow" w:cs="Arial"/>
                <w:i/>
                <w:sz w:val="20"/>
                <w:szCs w:val="20"/>
              </w:rPr>
            </w:pPr>
          </w:p>
          <w:p w:rsidR="00826F6D" w:rsidRPr="007B28E7" w:rsidRDefault="00826F6D" w:rsidP="00104313">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7B28E7" w:rsidRDefault="00104313" w:rsidP="00C27B58">
            <w:pPr>
              <w:rPr>
                <w:rFonts w:ascii="Arial Narrow" w:hAnsi="Arial Narrow" w:cs="Arial"/>
                <w:sz w:val="20"/>
                <w:szCs w:val="20"/>
              </w:rPr>
            </w:pPr>
            <w:r w:rsidRPr="007B28E7">
              <w:rPr>
                <w:rFonts w:ascii="Arial Narrow" w:hAnsi="Arial Narrow" w:cs="Arial"/>
                <w:sz w:val="20"/>
                <w:szCs w:val="20"/>
              </w:rPr>
              <w:t>Patient must have a WHO performance status of 1 or less,</w:t>
            </w:r>
          </w:p>
          <w:p w:rsidR="00870124" w:rsidRPr="007B28E7" w:rsidRDefault="00870124" w:rsidP="00C27B58">
            <w:pPr>
              <w:rPr>
                <w:rFonts w:ascii="Arial Narrow" w:hAnsi="Arial Narrow" w:cs="Arial"/>
                <w:sz w:val="20"/>
                <w:szCs w:val="20"/>
              </w:rPr>
            </w:pPr>
          </w:p>
          <w:p w:rsidR="00826F6D" w:rsidRPr="007B28E7" w:rsidRDefault="00104313" w:rsidP="00C27B58">
            <w:pPr>
              <w:rPr>
                <w:rFonts w:ascii="Arial Narrow" w:hAnsi="Arial Narrow" w:cs="Arial"/>
                <w:sz w:val="20"/>
                <w:szCs w:val="20"/>
              </w:rPr>
            </w:pPr>
            <w:r w:rsidRPr="007B28E7">
              <w:rPr>
                <w:rFonts w:ascii="Arial Narrow" w:hAnsi="Arial Narrow" w:cs="Arial"/>
                <w:sz w:val="20"/>
                <w:szCs w:val="20"/>
              </w:rPr>
              <w:t>AND</w:t>
            </w:r>
          </w:p>
          <w:p w:rsidR="00870124" w:rsidRPr="007B28E7" w:rsidRDefault="00870124" w:rsidP="00C27B58">
            <w:pPr>
              <w:rPr>
                <w:rFonts w:ascii="Arial Narrow" w:hAnsi="Arial Narrow" w:cs="Arial"/>
                <w:sz w:val="20"/>
                <w:szCs w:val="20"/>
              </w:rPr>
            </w:pPr>
          </w:p>
          <w:p w:rsidR="00104313" w:rsidRPr="007B28E7" w:rsidRDefault="00104313" w:rsidP="00104313">
            <w:pPr>
              <w:jc w:val="both"/>
              <w:rPr>
                <w:rFonts w:ascii="Arial Narrow" w:hAnsi="Arial Narrow" w:cs="Arial"/>
                <w:snapToGrid w:val="0"/>
                <w:sz w:val="20"/>
                <w:szCs w:val="20"/>
                <w:lang w:eastAsia="en-US"/>
              </w:rPr>
            </w:pPr>
            <w:r w:rsidRPr="007B28E7">
              <w:rPr>
                <w:rFonts w:ascii="Arial Narrow" w:hAnsi="Arial Narrow" w:cs="Arial"/>
                <w:snapToGrid w:val="0"/>
                <w:sz w:val="20"/>
                <w:szCs w:val="20"/>
                <w:lang w:eastAsia="en-US"/>
              </w:rPr>
              <w:t>Patient must have previously received treatment with fluoropyrimidine, oxaliplatin,</w:t>
            </w:r>
            <w:r w:rsidR="00F530EF" w:rsidRPr="007B28E7">
              <w:rPr>
                <w:rFonts w:ascii="Arial Narrow" w:hAnsi="Arial Narrow" w:cs="Arial"/>
                <w:snapToGrid w:val="0"/>
                <w:sz w:val="20"/>
                <w:szCs w:val="20"/>
                <w:lang w:eastAsia="en-US"/>
              </w:rPr>
              <w:t xml:space="preserve"> </w:t>
            </w:r>
            <w:r w:rsidRPr="007B28E7">
              <w:rPr>
                <w:rFonts w:ascii="Arial Narrow" w:hAnsi="Arial Narrow" w:cs="Arial"/>
                <w:snapToGrid w:val="0"/>
                <w:sz w:val="20"/>
                <w:szCs w:val="20"/>
                <w:lang w:eastAsia="en-US"/>
              </w:rPr>
              <w:t>irinotecan-based chemotherapies, an anti-VEGF agent</w:t>
            </w:r>
            <w:r w:rsidR="00FE6907" w:rsidRPr="007B28E7">
              <w:rPr>
                <w:rFonts w:ascii="Arial Narrow" w:hAnsi="Arial Narrow" w:cs="Arial"/>
                <w:snapToGrid w:val="0"/>
                <w:sz w:val="20"/>
                <w:szCs w:val="20"/>
                <w:lang w:eastAsia="en-US"/>
              </w:rPr>
              <w:t xml:space="preserve"> </w:t>
            </w:r>
            <w:r w:rsidRPr="007B28E7">
              <w:rPr>
                <w:rFonts w:ascii="Arial Narrow" w:hAnsi="Arial Narrow" w:cs="Arial"/>
                <w:snapToGrid w:val="0"/>
                <w:sz w:val="20"/>
                <w:szCs w:val="20"/>
                <w:lang w:eastAsia="en-US"/>
              </w:rPr>
              <w:t>and an anti-EGFR agent, OR</w:t>
            </w:r>
          </w:p>
          <w:p w:rsidR="00870124" w:rsidRPr="007B28E7" w:rsidRDefault="00870124" w:rsidP="00104313">
            <w:pPr>
              <w:jc w:val="both"/>
              <w:rPr>
                <w:rFonts w:ascii="Arial Narrow" w:hAnsi="Arial Narrow" w:cs="Arial"/>
                <w:snapToGrid w:val="0"/>
                <w:sz w:val="20"/>
                <w:szCs w:val="20"/>
                <w:lang w:eastAsia="en-US"/>
              </w:rPr>
            </w:pPr>
          </w:p>
          <w:p w:rsidR="00826F6D" w:rsidRPr="007B28E7" w:rsidRDefault="00104313" w:rsidP="00C27B58">
            <w:pPr>
              <w:jc w:val="both"/>
              <w:rPr>
                <w:rFonts w:ascii="Arial Narrow" w:hAnsi="Arial Narrow" w:cs="Arial"/>
                <w:sz w:val="20"/>
                <w:szCs w:val="20"/>
              </w:rPr>
            </w:pPr>
            <w:r w:rsidRPr="007B28E7">
              <w:rPr>
                <w:rFonts w:ascii="Arial Narrow" w:hAnsi="Arial Narrow" w:cs="Arial"/>
                <w:snapToGrid w:val="0"/>
                <w:sz w:val="20"/>
                <w:szCs w:val="20"/>
                <w:lang w:eastAsia="en-US"/>
              </w:rPr>
              <w:t xml:space="preserve">Patient must not be a candidate for treatment with </w:t>
            </w:r>
            <w:r w:rsidR="00FE6907" w:rsidRPr="007B28E7">
              <w:rPr>
                <w:rFonts w:ascii="Arial Narrow" w:hAnsi="Arial Narrow" w:cs="Arial"/>
                <w:snapToGrid w:val="0"/>
                <w:sz w:val="20"/>
                <w:szCs w:val="20"/>
                <w:lang w:eastAsia="en-US"/>
              </w:rPr>
              <w:t>fluoropyrimidine</w:t>
            </w:r>
            <w:r w:rsidRPr="007B28E7">
              <w:rPr>
                <w:rFonts w:ascii="Arial Narrow" w:hAnsi="Arial Narrow" w:cs="Arial"/>
                <w:snapToGrid w:val="0"/>
                <w:sz w:val="20"/>
                <w:szCs w:val="20"/>
                <w:lang w:eastAsia="en-US"/>
              </w:rPr>
              <w:t>, oxaliplatin, and irinotecan-based chemotherapies, anti-VEGF agents and anti-EGFR agents.</w:t>
            </w:r>
          </w:p>
        </w:tc>
      </w:tr>
      <w:tr w:rsidR="00826F6D" w:rsidRPr="007B28E7"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7B28E7" w:rsidRDefault="00826F6D" w:rsidP="00C27B58">
            <w:pPr>
              <w:jc w:val="both"/>
              <w:rPr>
                <w:rFonts w:ascii="Arial Narrow" w:hAnsi="Arial Narrow" w:cs="Arial"/>
                <w:b/>
                <w:sz w:val="20"/>
                <w:szCs w:val="20"/>
              </w:rPr>
            </w:pPr>
            <w:r w:rsidRPr="007B28E7">
              <w:rPr>
                <w:rFonts w:ascii="Arial Narrow" w:hAnsi="Arial Narrow" w:cs="Arial"/>
                <w:b/>
                <w:sz w:val="20"/>
                <w:szCs w:val="20"/>
              </w:rPr>
              <w:t>Administrative Advice</w:t>
            </w:r>
          </w:p>
          <w:p w:rsidR="00826F6D" w:rsidRPr="007B28E7" w:rsidRDefault="00826F6D" w:rsidP="00DC09D9">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DC09D9" w:rsidRPr="007B28E7" w:rsidRDefault="00DC09D9" w:rsidP="00DC09D9">
            <w:pPr>
              <w:jc w:val="both"/>
              <w:rPr>
                <w:rFonts w:ascii="Arial Narrow" w:hAnsi="Arial Narrow" w:cs="Arial"/>
                <w:snapToGrid w:val="0"/>
                <w:sz w:val="20"/>
                <w:szCs w:val="20"/>
                <w:lang w:eastAsia="en-US"/>
              </w:rPr>
            </w:pPr>
            <w:r w:rsidRPr="007B28E7">
              <w:rPr>
                <w:rFonts w:ascii="Arial Narrow" w:hAnsi="Arial Narrow" w:cs="Arial"/>
                <w:snapToGrid w:val="0"/>
                <w:sz w:val="20"/>
                <w:szCs w:val="20"/>
                <w:lang w:eastAsia="en-US"/>
              </w:rPr>
              <w:t>The prescribed dose is not permitted to be increased once it has been reduced.</w:t>
            </w:r>
          </w:p>
          <w:p w:rsidR="00F530EF" w:rsidRPr="007B28E7" w:rsidRDefault="00F530EF" w:rsidP="00DC09D9">
            <w:pPr>
              <w:jc w:val="both"/>
              <w:rPr>
                <w:rFonts w:ascii="Arial Narrow" w:hAnsi="Arial Narrow" w:cs="Arial"/>
                <w:snapToGrid w:val="0"/>
                <w:sz w:val="20"/>
                <w:szCs w:val="20"/>
                <w:lang w:eastAsia="en-US"/>
              </w:rPr>
            </w:pPr>
          </w:p>
          <w:p w:rsidR="00DC09D9" w:rsidRPr="007B28E7" w:rsidRDefault="00DC09D9" w:rsidP="00DC09D9">
            <w:pPr>
              <w:jc w:val="both"/>
              <w:rPr>
                <w:rFonts w:ascii="Arial Narrow" w:hAnsi="Arial Narrow" w:cs="Arial"/>
                <w:snapToGrid w:val="0"/>
                <w:sz w:val="20"/>
                <w:szCs w:val="20"/>
                <w:lang w:eastAsia="en-US"/>
              </w:rPr>
            </w:pPr>
            <w:r w:rsidRPr="007B28E7">
              <w:rPr>
                <w:rFonts w:ascii="Arial Narrow" w:hAnsi="Arial Narrow" w:cs="Arial"/>
                <w:snapToGrid w:val="0"/>
                <w:sz w:val="20"/>
                <w:szCs w:val="20"/>
                <w:lang w:eastAsia="en-US"/>
              </w:rPr>
              <w:t xml:space="preserve">No increase in maximum quantity or number of units may be authorised. </w:t>
            </w:r>
          </w:p>
          <w:p w:rsidR="00F530EF" w:rsidRPr="007B28E7" w:rsidRDefault="00F530EF" w:rsidP="00DC09D9">
            <w:pPr>
              <w:jc w:val="both"/>
              <w:rPr>
                <w:rFonts w:ascii="Arial Narrow" w:hAnsi="Arial Narrow" w:cs="Arial"/>
                <w:snapToGrid w:val="0"/>
                <w:sz w:val="20"/>
                <w:szCs w:val="20"/>
                <w:lang w:eastAsia="en-US"/>
              </w:rPr>
            </w:pPr>
          </w:p>
          <w:p w:rsidR="00826F6D" w:rsidRPr="007B28E7" w:rsidRDefault="00DC09D9" w:rsidP="00DC09D9">
            <w:pPr>
              <w:rPr>
                <w:rFonts w:ascii="Arial Narrow" w:hAnsi="Arial Narrow" w:cs="Arial"/>
                <w:sz w:val="20"/>
                <w:szCs w:val="20"/>
              </w:rPr>
            </w:pPr>
            <w:r w:rsidRPr="007B28E7">
              <w:rPr>
                <w:rFonts w:ascii="Arial Narrow" w:hAnsi="Arial Narrow" w:cs="Arial"/>
                <w:snapToGrid w:val="0"/>
                <w:sz w:val="20"/>
                <w:szCs w:val="20"/>
                <w:lang w:eastAsia="en-US"/>
              </w:rPr>
              <w:t>No increase in the maximum number of repeats may be authorised.</w:t>
            </w:r>
            <w:r w:rsidRPr="007B28E7">
              <w:rPr>
                <w:rFonts w:ascii="Arial Narrow" w:hAnsi="Arial Narrow" w:cs="Arial"/>
                <w:i/>
                <w:snapToGrid w:val="0"/>
                <w:sz w:val="20"/>
                <w:szCs w:val="20"/>
                <w:lang w:eastAsia="en-US"/>
              </w:rPr>
              <w:t xml:space="preserve"> </w:t>
            </w:r>
          </w:p>
        </w:tc>
      </w:tr>
    </w:tbl>
    <w:p w:rsidR="007103BF" w:rsidRDefault="007103BF" w:rsidP="00826F6D">
      <w:pPr>
        <w:pStyle w:val="ListParagraph"/>
        <w:rPr>
          <w:szCs w:val="22"/>
        </w:rPr>
      </w:pPr>
    </w:p>
    <w:p w:rsidR="007103BF" w:rsidRDefault="007103BF" w:rsidP="007103BF">
      <w:pPr>
        <w:rPr>
          <w:rFonts w:ascii="Arial" w:hAnsi="Arial" w:cs="Arial"/>
          <w:snapToGrid w:val="0"/>
          <w:sz w:val="22"/>
          <w:lang w:eastAsia="en-US"/>
        </w:rPr>
      </w:pPr>
      <w:r>
        <w:br w:type="page"/>
      </w:r>
    </w:p>
    <w:p w:rsidR="00F700F4" w:rsidRPr="007B28E7" w:rsidRDefault="00F700F4" w:rsidP="00826F6D">
      <w:pPr>
        <w:pStyle w:val="ListParagraph"/>
        <w:rPr>
          <w:szCs w:val="22"/>
        </w:rPr>
      </w:pPr>
    </w:p>
    <w:tbl>
      <w:tblPr>
        <w:tblpPr w:leftFromText="180" w:rightFromText="180" w:vertAnchor="text" w:tblpX="817" w:tblpY="1"/>
        <w:tblOverlap w:val="never"/>
        <w:tblW w:w="8363" w:type="dxa"/>
        <w:tblLayout w:type="fixed"/>
        <w:tblLook w:val="0000" w:firstRow="0" w:lastRow="0" w:firstColumn="0" w:lastColumn="0" w:noHBand="0" w:noVBand="0"/>
      </w:tblPr>
      <w:tblGrid>
        <w:gridCol w:w="1985"/>
        <w:gridCol w:w="6378"/>
      </w:tblGrid>
      <w:tr w:rsidR="00DC09D9" w:rsidRPr="007B28E7" w:rsidTr="00873C27">
        <w:trPr>
          <w:cantSplit/>
          <w:trHeight w:val="360"/>
        </w:trPr>
        <w:tc>
          <w:tcPr>
            <w:tcW w:w="1985" w:type="dxa"/>
            <w:tcBorders>
              <w:top w:val="single" w:sz="4" w:space="0" w:color="auto"/>
              <w:left w:val="single" w:sz="4" w:space="0" w:color="auto"/>
              <w:bottom w:val="single" w:sz="4" w:space="0" w:color="auto"/>
              <w:right w:val="single" w:sz="4" w:space="0" w:color="auto"/>
            </w:tcBorders>
          </w:tcPr>
          <w:p w:rsidR="00DC09D9" w:rsidRPr="007B28E7" w:rsidRDefault="00DC09D9" w:rsidP="00873C27">
            <w:pPr>
              <w:jc w:val="both"/>
              <w:rPr>
                <w:rFonts w:ascii="Arial Narrow" w:hAnsi="Arial Narrow" w:cs="Arial"/>
                <w:b/>
                <w:sz w:val="20"/>
                <w:szCs w:val="20"/>
              </w:rPr>
            </w:pPr>
            <w:r w:rsidRPr="007B28E7">
              <w:rPr>
                <w:rFonts w:ascii="Arial Narrow" w:hAnsi="Arial Narrow" w:cs="Arial"/>
                <w:b/>
                <w:sz w:val="20"/>
                <w:szCs w:val="20"/>
              </w:rPr>
              <w:t xml:space="preserve">Category / </w:t>
            </w:r>
          </w:p>
          <w:p w:rsidR="00DC09D9" w:rsidRPr="007B28E7" w:rsidRDefault="00DC09D9" w:rsidP="00873C27">
            <w:pPr>
              <w:jc w:val="both"/>
              <w:rPr>
                <w:rFonts w:ascii="Arial Narrow" w:hAnsi="Arial Narrow" w:cs="Arial"/>
                <w:b/>
                <w:sz w:val="20"/>
                <w:szCs w:val="20"/>
              </w:rPr>
            </w:pPr>
            <w:r w:rsidRPr="007B28E7">
              <w:rPr>
                <w:rFonts w:ascii="Arial Narrow" w:hAnsi="Arial Narrow" w:cs="Arial"/>
                <w:b/>
                <w:sz w:val="20"/>
                <w:szCs w:val="20"/>
              </w:rPr>
              <w:t>Program</w:t>
            </w:r>
          </w:p>
        </w:tc>
        <w:tc>
          <w:tcPr>
            <w:tcW w:w="6378" w:type="dxa"/>
            <w:tcBorders>
              <w:top w:val="single" w:sz="4" w:space="0" w:color="auto"/>
              <w:left w:val="single" w:sz="4" w:space="0" w:color="auto"/>
              <w:bottom w:val="single" w:sz="4" w:space="0" w:color="auto"/>
              <w:right w:val="single" w:sz="4" w:space="0" w:color="auto"/>
            </w:tcBorders>
          </w:tcPr>
          <w:p w:rsidR="00DC09D9" w:rsidRPr="007B28E7" w:rsidRDefault="00DC09D9" w:rsidP="00873C27">
            <w:pPr>
              <w:rPr>
                <w:rFonts w:ascii="Arial Narrow" w:hAnsi="Arial Narrow" w:cs="Arial"/>
                <w:sz w:val="20"/>
                <w:szCs w:val="20"/>
              </w:rPr>
            </w:pPr>
            <w:r w:rsidRPr="007B28E7">
              <w:rPr>
                <w:rFonts w:ascii="Arial Narrow" w:hAnsi="Arial Narrow" w:cs="Arial"/>
                <w:sz w:val="20"/>
                <w:szCs w:val="20"/>
              </w:rPr>
              <w:t>GENERAL – General Schedule (Code GE)</w:t>
            </w:r>
          </w:p>
        </w:tc>
      </w:tr>
      <w:tr w:rsidR="00DC09D9" w:rsidRPr="007B28E7" w:rsidTr="00873C27">
        <w:trPr>
          <w:cantSplit/>
          <w:trHeight w:val="360"/>
        </w:trPr>
        <w:tc>
          <w:tcPr>
            <w:tcW w:w="1985" w:type="dxa"/>
            <w:tcBorders>
              <w:top w:val="single" w:sz="4" w:space="0" w:color="auto"/>
              <w:left w:val="single" w:sz="4" w:space="0" w:color="auto"/>
              <w:bottom w:val="single" w:sz="4" w:space="0" w:color="auto"/>
              <w:right w:val="single" w:sz="4" w:space="0" w:color="auto"/>
            </w:tcBorders>
          </w:tcPr>
          <w:p w:rsidR="00DC09D9" w:rsidRPr="007B28E7" w:rsidRDefault="00DC09D9" w:rsidP="00873C27">
            <w:pPr>
              <w:jc w:val="both"/>
              <w:rPr>
                <w:rFonts w:ascii="Arial Narrow" w:hAnsi="Arial Narrow" w:cs="Arial"/>
                <w:b/>
                <w:sz w:val="20"/>
                <w:szCs w:val="20"/>
              </w:rPr>
            </w:pPr>
            <w:r w:rsidRPr="007B28E7">
              <w:rPr>
                <w:rFonts w:ascii="Arial Narrow" w:hAnsi="Arial Narrow" w:cs="Arial"/>
                <w:b/>
                <w:sz w:val="20"/>
                <w:szCs w:val="20"/>
              </w:rPr>
              <w:t>Prescriber type:</w:t>
            </w:r>
          </w:p>
        </w:tc>
        <w:tc>
          <w:tcPr>
            <w:tcW w:w="6378" w:type="dxa"/>
            <w:tcBorders>
              <w:top w:val="single" w:sz="4" w:space="0" w:color="auto"/>
              <w:left w:val="single" w:sz="4" w:space="0" w:color="auto"/>
              <w:bottom w:val="single" w:sz="4" w:space="0" w:color="auto"/>
              <w:right w:val="single" w:sz="4" w:space="0" w:color="auto"/>
            </w:tcBorders>
          </w:tcPr>
          <w:p w:rsidR="00DC09D9" w:rsidRPr="007B28E7" w:rsidRDefault="00DC09D9" w:rsidP="00873C27">
            <w:pPr>
              <w:rPr>
                <w:rFonts w:ascii="Arial Narrow" w:hAnsi="Arial Narrow" w:cs="Arial"/>
                <w:sz w:val="20"/>
                <w:szCs w:val="20"/>
              </w:rPr>
            </w:pPr>
            <w:r w:rsidRPr="007B28E7">
              <w:rPr>
                <w:rFonts w:ascii="Arial Narrow" w:hAnsi="Arial Narrow" w:cs="Arial"/>
                <w:sz w:val="20"/>
                <w:szCs w:val="20"/>
              </w:rPr>
              <w:fldChar w:fldCharType="begin">
                <w:ffData>
                  <w:name w:val="Check1"/>
                  <w:enabled/>
                  <w:calcOnExit w:val="0"/>
                  <w:checkBox>
                    <w:sizeAuto/>
                    <w:default w:val="0"/>
                  </w:checkBox>
                </w:ffData>
              </w:fldChar>
            </w:r>
            <w:r w:rsidRPr="007B28E7">
              <w:rPr>
                <w:rFonts w:ascii="Arial Narrow" w:hAnsi="Arial Narrow" w:cs="Arial"/>
                <w:sz w:val="20"/>
                <w:szCs w:val="20"/>
              </w:rPr>
              <w:instrText xml:space="preserve"> FORMCHECKBOX </w:instrText>
            </w:r>
            <w:r w:rsidR="00FF6257">
              <w:rPr>
                <w:rFonts w:ascii="Arial Narrow" w:hAnsi="Arial Narrow" w:cs="Arial"/>
                <w:sz w:val="20"/>
                <w:szCs w:val="20"/>
              </w:rPr>
            </w:r>
            <w:r w:rsidR="00FF6257">
              <w:rPr>
                <w:rFonts w:ascii="Arial Narrow" w:hAnsi="Arial Narrow" w:cs="Arial"/>
                <w:sz w:val="20"/>
                <w:szCs w:val="20"/>
              </w:rPr>
              <w:fldChar w:fldCharType="separate"/>
            </w:r>
            <w:r w:rsidRPr="007B28E7">
              <w:rPr>
                <w:rFonts w:ascii="Arial Narrow" w:hAnsi="Arial Narrow" w:cs="Arial"/>
                <w:sz w:val="20"/>
                <w:szCs w:val="20"/>
              </w:rPr>
              <w:fldChar w:fldCharType="end"/>
            </w:r>
            <w:r w:rsidRPr="007B28E7">
              <w:rPr>
                <w:rFonts w:ascii="Arial Narrow" w:hAnsi="Arial Narrow" w:cs="Arial"/>
                <w:sz w:val="20"/>
                <w:szCs w:val="20"/>
              </w:rPr>
              <w:t xml:space="preserve">Dental  </w:t>
            </w:r>
            <w:r w:rsidR="007F7E86" w:rsidRPr="007B28E7">
              <w:rPr>
                <w:rFonts w:ascii="Arial Narrow" w:hAnsi="Arial Narrow" w:cs="Arial"/>
                <w:sz w:val="20"/>
                <w:szCs w:val="20"/>
              </w:rPr>
              <w:fldChar w:fldCharType="begin">
                <w:ffData>
                  <w:name w:val=""/>
                  <w:enabled/>
                  <w:calcOnExit w:val="0"/>
                  <w:checkBox>
                    <w:sizeAuto/>
                    <w:default w:val="1"/>
                  </w:checkBox>
                </w:ffData>
              </w:fldChar>
            </w:r>
            <w:r w:rsidR="007F7E86" w:rsidRPr="007B28E7">
              <w:rPr>
                <w:rFonts w:ascii="Arial Narrow" w:hAnsi="Arial Narrow" w:cs="Arial"/>
                <w:sz w:val="20"/>
                <w:szCs w:val="20"/>
              </w:rPr>
              <w:instrText xml:space="preserve"> FORMCHECKBOX </w:instrText>
            </w:r>
            <w:r w:rsidR="00FF6257">
              <w:rPr>
                <w:rFonts w:ascii="Arial Narrow" w:hAnsi="Arial Narrow" w:cs="Arial"/>
                <w:sz w:val="20"/>
                <w:szCs w:val="20"/>
              </w:rPr>
            </w:r>
            <w:r w:rsidR="00FF6257">
              <w:rPr>
                <w:rFonts w:ascii="Arial Narrow" w:hAnsi="Arial Narrow" w:cs="Arial"/>
                <w:sz w:val="20"/>
                <w:szCs w:val="20"/>
              </w:rPr>
              <w:fldChar w:fldCharType="separate"/>
            </w:r>
            <w:r w:rsidR="007F7E86" w:rsidRPr="007B28E7">
              <w:rPr>
                <w:rFonts w:ascii="Arial Narrow" w:hAnsi="Arial Narrow" w:cs="Arial"/>
                <w:sz w:val="20"/>
                <w:szCs w:val="20"/>
              </w:rPr>
              <w:fldChar w:fldCharType="end"/>
            </w:r>
            <w:r w:rsidRPr="007B28E7">
              <w:rPr>
                <w:rFonts w:ascii="Arial Narrow" w:hAnsi="Arial Narrow" w:cs="Arial"/>
                <w:sz w:val="20"/>
                <w:szCs w:val="20"/>
              </w:rPr>
              <w:t xml:space="preserve">Medical Practitioners  </w:t>
            </w:r>
            <w:r w:rsidRPr="007B28E7">
              <w:rPr>
                <w:rFonts w:ascii="Arial Narrow" w:hAnsi="Arial Narrow" w:cs="Arial"/>
                <w:sz w:val="20"/>
                <w:szCs w:val="20"/>
              </w:rPr>
              <w:fldChar w:fldCharType="begin">
                <w:ffData>
                  <w:name w:val="Check3"/>
                  <w:enabled/>
                  <w:calcOnExit w:val="0"/>
                  <w:checkBox>
                    <w:sizeAuto/>
                    <w:default w:val="0"/>
                  </w:checkBox>
                </w:ffData>
              </w:fldChar>
            </w:r>
            <w:r w:rsidRPr="007B28E7">
              <w:rPr>
                <w:rFonts w:ascii="Arial Narrow" w:hAnsi="Arial Narrow" w:cs="Arial"/>
                <w:sz w:val="20"/>
                <w:szCs w:val="20"/>
              </w:rPr>
              <w:instrText xml:space="preserve"> FORMCHECKBOX </w:instrText>
            </w:r>
            <w:r w:rsidR="00FF6257">
              <w:rPr>
                <w:rFonts w:ascii="Arial Narrow" w:hAnsi="Arial Narrow" w:cs="Arial"/>
                <w:sz w:val="20"/>
                <w:szCs w:val="20"/>
              </w:rPr>
            </w:r>
            <w:r w:rsidR="00FF6257">
              <w:rPr>
                <w:rFonts w:ascii="Arial Narrow" w:hAnsi="Arial Narrow" w:cs="Arial"/>
                <w:sz w:val="20"/>
                <w:szCs w:val="20"/>
              </w:rPr>
              <w:fldChar w:fldCharType="separate"/>
            </w:r>
            <w:r w:rsidRPr="007B28E7">
              <w:rPr>
                <w:rFonts w:ascii="Arial Narrow" w:hAnsi="Arial Narrow" w:cs="Arial"/>
                <w:sz w:val="20"/>
                <w:szCs w:val="20"/>
              </w:rPr>
              <w:fldChar w:fldCharType="end"/>
            </w:r>
            <w:r w:rsidRPr="007B28E7">
              <w:rPr>
                <w:rFonts w:ascii="Arial Narrow" w:hAnsi="Arial Narrow" w:cs="Arial"/>
                <w:sz w:val="20"/>
                <w:szCs w:val="20"/>
              </w:rPr>
              <w:t xml:space="preserve">Nurse practitioners  </w:t>
            </w:r>
            <w:r w:rsidRPr="007B28E7">
              <w:rPr>
                <w:rFonts w:ascii="Arial Narrow" w:hAnsi="Arial Narrow" w:cs="Arial"/>
                <w:sz w:val="20"/>
                <w:szCs w:val="20"/>
              </w:rPr>
              <w:fldChar w:fldCharType="begin">
                <w:ffData>
                  <w:name w:val=""/>
                  <w:enabled/>
                  <w:calcOnExit w:val="0"/>
                  <w:checkBox>
                    <w:sizeAuto/>
                    <w:default w:val="0"/>
                  </w:checkBox>
                </w:ffData>
              </w:fldChar>
            </w:r>
            <w:r w:rsidRPr="007B28E7">
              <w:rPr>
                <w:rFonts w:ascii="Arial Narrow" w:hAnsi="Arial Narrow" w:cs="Arial"/>
                <w:sz w:val="20"/>
                <w:szCs w:val="20"/>
              </w:rPr>
              <w:instrText xml:space="preserve"> FORMCHECKBOX </w:instrText>
            </w:r>
            <w:r w:rsidR="00FF6257">
              <w:rPr>
                <w:rFonts w:ascii="Arial Narrow" w:hAnsi="Arial Narrow" w:cs="Arial"/>
                <w:sz w:val="20"/>
                <w:szCs w:val="20"/>
              </w:rPr>
            </w:r>
            <w:r w:rsidR="00FF6257">
              <w:rPr>
                <w:rFonts w:ascii="Arial Narrow" w:hAnsi="Arial Narrow" w:cs="Arial"/>
                <w:sz w:val="20"/>
                <w:szCs w:val="20"/>
              </w:rPr>
              <w:fldChar w:fldCharType="separate"/>
            </w:r>
            <w:r w:rsidRPr="007B28E7">
              <w:rPr>
                <w:rFonts w:ascii="Arial Narrow" w:hAnsi="Arial Narrow" w:cs="Arial"/>
                <w:sz w:val="20"/>
                <w:szCs w:val="20"/>
              </w:rPr>
              <w:fldChar w:fldCharType="end"/>
            </w:r>
            <w:r w:rsidRPr="007B28E7">
              <w:rPr>
                <w:rFonts w:ascii="Arial Narrow" w:hAnsi="Arial Narrow" w:cs="Arial"/>
                <w:sz w:val="20"/>
                <w:szCs w:val="20"/>
              </w:rPr>
              <w:t>Optometrists</w:t>
            </w:r>
          </w:p>
          <w:p w:rsidR="00DC09D9" w:rsidRPr="007B28E7" w:rsidRDefault="00DC09D9" w:rsidP="00873C27">
            <w:pPr>
              <w:rPr>
                <w:rFonts w:ascii="Arial Narrow" w:hAnsi="Arial Narrow" w:cs="Arial"/>
                <w:sz w:val="20"/>
                <w:szCs w:val="20"/>
              </w:rPr>
            </w:pPr>
            <w:r w:rsidRPr="007B28E7">
              <w:rPr>
                <w:rFonts w:ascii="Arial Narrow" w:hAnsi="Arial Narrow" w:cs="Arial"/>
                <w:sz w:val="20"/>
                <w:szCs w:val="20"/>
              </w:rPr>
              <w:fldChar w:fldCharType="begin">
                <w:ffData>
                  <w:name w:val="Check5"/>
                  <w:enabled/>
                  <w:calcOnExit w:val="0"/>
                  <w:checkBox>
                    <w:sizeAuto/>
                    <w:default w:val="0"/>
                  </w:checkBox>
                </w:ffData>
              </w:fldChar>
            </w:r>
            <w:r w:rsidRPr="007B28E7">
              <w:rPr>
                <w:rFonts w:ascii="Arial Narrow" w:hAnsi="Arial Narrow" w:cs="Arial"/>
                <w:sz w:val="20"/>
                <w:szCs w:val="20"/>
              </w:rPr>
              <w:instrText xml:space="preserve"> FORMCHECKBOX </w:instrText>
            </w:r>
            <w:r w:rsidR="00FF6257">
              <w:rPr>
                <w:rFonts w:ascii="Arial Narrow" w:hAnsi="Arial Narrow" w:cs="Arial"/>
                <w:sz w:val="20"/>
                <w:szCs w:val="20"/>
              </w:rPr>
            </w:r>
            <w:r w:rsidR="00FF6257">
              <w:rPr>
                <w:rFonts w:ascii="Arial Narrow" w:hAnsi="Arial Narrow" w:cs="Arial"/>
                <w:sz w:val="20"/>
                <w:szCs w:val="20"/>
              </w:rPr>
              <w:fldChar w:fldCharType="separate"/>
            </w:r>
            <w:r w:rsidRPr="007B28E7">
              <w:rPr>
                <w:rFonts w:ascii="Arial Narrow" w:hAnsi="Arial Narrow" w:cs="Arial"/>
                <w:sz w:val="20"/>
                <w:szCs w:val="20"/>
              </w:rPr>
              <w:fldChar w:fldCharType="end"/>
            </w:r>
            <w:r w:rsidRPr="007B28E7">
              <w:rPr>
                <w:rFonts w:ascii="Arial Narrow" w:hAnsi="Arial Narrow" w:cs="Arial"/>
                <w:sz w:val="20"/>
                <w:szCs w:val="20"/>
              </w:rPr>
              <w:t>Midwives</w:t>
            </w:r>
          </w:p>
        </w:tc>
      </w:tr>
      <w:tr w:rsidR="00DC09D9" w:rsidRPr="007B28E7" w:rsidTr="00873C27">
        <w:trPr>
          <w:cantSplit/>
          <w:trHeight w:val="360"/>
        </w:trPr>
        <w:tc>
          <w:tcPr>
            <w:tcW w:w="1985" w:type="dxa"/>
            <w:tcBorders>
              <w:top w:val="single" w:sz="4" w:space="0" w:color="auto"/>
              <w:left w:val="single" w:sz="4" w:space="0" w:color="auto"/>
              <w:bottom w:val="single" w:sz="4" w:space="0" w:color="auto"/>
              <w:right w:val="single" w:sz="4" w:space="0" w:color="auto"/>
            </w:tcBorders>
          </w:tcPr>
          <w:p w:rsidR="00DC09D9" w:rsidRPr="007B28E7" w:rsidRDefault="00DC09D9" w:rsidP="00873C27">
            <w:pPr>
              <w:jc w:val="both"/>
              <w:rPr>
                <w:rFonts w:ascii="Arial Narrow" w:hAnsi="Arial Narrow" w:cs="Arial"/>
                <w:b/>
                <w:sz w:val="20"/>
                <w:szCs w:val="20"/>
              </w:rPr>
            </w:pPr>
            <w:r w:rsidRPr="007B28E7">
              <w:rPr>
                <w:rFonts w:ascii="Arial Narrow" w:hAnsi="Arial Narrow" w:cs="Arial"/>
                <w:b/>
                <w:sz w:val="20"/>
                <w:szCs w:val="20"/>
              </w:rPr>
              <w:t>Episodicity:</w:t>
            </w:r>
          </w:p>
        </w:tc>
        <w:tc>
          <w:tcPr>
            <w:tcW w:w="6378" w:type="dxa"/>
            <w:tcBorders>
              <w:top w:val="single" w:sz="4" w:space="0" w:color="auto"/>
              <w:left w:val="single" w:sz="4" w:space="0" w:color="auto"/>
              <w:bottom w:val="single" w:sz="4" w:space="0" w:color="auto"/>
              <w:right w:val="single" w:sz="4" w:space="0" w:color="auto"/>
            </w:tcBorders>
          </w:tcPr>
          <w:p w:rsidR="00DC09D9" w:rsidRPr="007B28E7" w:rsidRDefault="007F7E86" w:rsidP="00873C27">
            <w:pPr>
              <w:rPr>
                <w:rFonts w:ascii="Arial Narrow" w:hAnsi="Arial Narrow" w:cs="Arial"/>
                <w:sz w:val="20"/>
                <w:szCs w:val="20"/>
              </w:rPr>
            </w:pPr>
            <w:r w:rsidRPr="007B28E7">
              <w:rPr>
                <w:rFonts w:ascii="Arial Narrow" w:hAnsi="Arial Narrow" w:cs="Arial"/>
                <w:sz w:val="20"/>
                <w:szCs w:val="20"/>
              </w:rPr>
              <w:t>-</w:t>
            </w:r>
          </w:p>
        </w:tc>
      </w:tr>
      <w:tr w:rsidR="00DC09D9" w:rsidRPr="007B28E7" w:rsidTr="00873C27">
        <w:trPr>
          <w:cantSplit/>
          <w:trHeight w:val="360"/>
        </w:trPr>
        <w:tc>
          <w:tcPr>
            <w:tcW w:w="1985" w:type="dxa"/>
            <w:tcBorders>
              <w:top w:val="single" w:sz="4" w:space="0" w:color="auto"/>
              <w:left w:val="single" w:sz="4" w:space="0" w:color="auto"/>
              <w:bottom w:val="single" w:sz="4" w:space="0" w:color="auto"/>
              <w:right w:val="single" w:sz="4" w:space="0" w:color="auto"/>
            </w:tcBorders>
          </w:tcPr>
          <w:p w:rsidR="00DC09D9" w:rsidRPr="007B28E7" w:rsidRDefault="00DC09D9" w:rsidP="00873C27">
            <w:pPr>
              <w:jc w:val="both"/>
              <w:rPr>
                <w:rFonts w:ascii="Arial Narrow" w:hAnsi="Arial Narrow" w:cs="Arial"/>
                <w:b/>
                <w:sz w:val="20"/>
                <w:szCs w:val="20"/>
              </w:rPr>
            </w:pPr>
            <w:r w:rsidRPr="007B28E7">
              <w:rPr>
                <w:rFonts w:ascii="Arial Narrow" w:hAnsi="Arial Narrow" w:cs="Arial"/>
                <w:b/>
                <w:sz w:val="20"/>
                <w:szCs w:val="20"/>
              </w:rPr>
              <w:t>Severity:</w:t>
            </w:r>
          </w:p>
        </w:tc>
        <w:tc>
          <w:tcPr>
            <w:tcW w:w="6378" w:type="dxa"/>
            <w:tcBorders>
              <w:top w:val="single" w:sz="4" w:space="0" w:color="auto"/>
              <w:left w:val="single" w:sz="4" w:space="0" w:color="auto"/>
              <w:bottom w:val="single" w:sz="4" w:space="0" w:color="auto"/>
              <w:right w:val="single" w:sz="4" w:space="0" w:color="auto"/>
            </w:tcBorders>
          </w:tcPr>
          <w:p w:rsidR="00DC09D9" w:rsidRPr="007B28E7" w:rsidRDefault="00DC09D9" w:rsidP="00873C27">
            <w:pPr>
              <w:rPr>
                <w:rFonts w:ascii="Arial Narrow" w:hAnsi="Arial Narrow" w:cs="Arial"/>
                <w:sz w:val="20"/>
                <w:szCs w:val="20"/>
              </w:rPr>
            </w:pPr>
            <w:r w:rsidRPr="007B28E7">
              <w:rPr>
                <w:rFonts w:ascii="Arial Narrow" w:hAnsi="Arial Narrow" w:cs="Arial"/>
                <w:sz w:val="20"/>
                <w:szCs w:val="20"/>
              </w:rPr>
              <w:t xml:space="preserve">Metastatic </w:t>
            </w:r>
          </w:p>
        </w:tc>
      </w:tr>
      <w:tr w:rsidR="00DC09D9" w:rsidRPr="007B28E7" w:rsidTr="00873C27">
        <w:trPr>
          <w:cantSplit/>
          <w:trHeight w:val="360"/>
        </w:trPr>
        <w:tc>
          <w:tcPr>
            <w:tcW w:w="1985" w:type="dxa"/>
            <w:tcBorders>
              <w:top w:val="single" w:sz="4" w:space="0" w:color="auto"/>
              <w:left w:val="single" w:sz="4" w:space="0" w:color="auto"/>
              <w:bottom w:val="single" w:sz="4" w:space="0" w:color="auto"/>
              <w:right w:val="single" w:sz="4" w:space="0" w:color="auto"/>
            </w:tcBorders>
          </w:tcPr>
          <w:p w:rsidR="00DC09D9" w:rsidRPr="007B28E7" w:rsidRDefault="00DC09D9" w:rsidP="00873C27">
            <w:pPr>
              <w:jc w:val="both"/>
              <w:rPr>
                <w:rFonts w:ascii="Arial Narrow" w:hAnsi="Arial Narrow" w:cs="Arial"/>
                <w:b/>
                <w:sz w:val="20"/>
                <w:szCs w:val="20"/>
              </w:rPr>
            </w:pPr>
            <w:r w:rsidRPr="007B28E7">
              <w:rPr>
                <w:rFonts w:ascii="Arial Narrow" w:hAnsi="Arial Narrow" w:cs="Arial"/>
                <w:b/>
                <w:sz w:val="20"/>
                <w:szCs w:val="20"/>
              </w:rPr>
              <w:t>Condition:</w:t>
            </w:r>
          </w:p>
        </w:tc>
        <w:tc>
          <w:tcPr>
            <w:tcW w:w="6378" w:type="dxa"/>
            <w:tcBorders>
              <w:top w:val="single" w:sz="4" w:space="0" w:color="auto"/>
              <w:left w:val="single" w:sz="4" w:space="0" w:color="auto"/>
              <w:bottom w:val="single" w:sz="4" w:space="0" w:color="auto"/>
              <w:right w:val="single" w:sz="4" w:space="0" w:color="auto"/>
            </w:tcBorders>
          </w:tcPr>
          <w:p w:rsidR="00DC09D9" w:rsidRPr="007B28E7" w:rsidRDefault="00DC09D9" w:rsidP="00873C27">
            <w:pPr>
              <w:rPr>
                <w:rFonts w:ascii="Arial Narrow" w:hAnsi="Arial Narrow" w:cs="Arial"/>
                <w:sz w:val="20"/>
                <w:szCs w:val="20"/>
              </w:rPr>
            </w:pPr>
            <w:r w:rsidRPr="007B28E7">
              <w:rPr>
                <w:rFonts w:ascii="Arial Narrow" w:hAnsi="Arial Narrow" w:cs="Arial"/>
                <w:sz w:val="20"/>
                <w:szCs w:val="20"/>
              </w:rPr>
              <w:t>Metastatic colorectal cancer</w:t>
            </w:r>
          </w:p>
        </w:tc>
      </w:tr>
      <w:tr w:rsidR="00DC09D9" w:rsidRPr="007B28E7" w:rsidTr="00873C27">
        <w:trPr>
          <w:cantSplit/>
          <w:trHeight w:val="360"/>
        </w:trPr>
        <w:tc>
          <w:tcPr>
            <w:tcW w:w="1985" w:type="dxa"/>
            <w:tcBorders>
              <w:top w:val="single" w:sz="4" w:space="0" w:color="auto"/>
              <w:left w:val="single" w:sz="4" w:space="0" w:color="auto"/>
              <w:bottom w:val="single" w:sz="4" w:space="0" w:color="auto"/>
              <w:right w:val="single" w:sz="4" w:space="0" w:color="auto"/>
            </w:tcBorders>
          </w:tcPr>
          <w:p w:rsidR="00DC09D9" w:rsidRPr="007B28E7" w:rsidRDefault="00DC09D9" w:rsidP="00873C27">
            <w:pPr>
              <w:jc w:val="both"/>
              <w:rPr>
                <w:rFonts w:ascii="Arial Narrow" w:hAnsi="Arial Narrow" w:cs="Arial"/>
                <w:b/>
                <w:sz w:val="20"/>
                <w:szCs w:val="20"/>
              </w:rPr>
            </w:pPr>
            <w:r w:rsidRPr="007B28E7">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DC09D9" w:rsidRPr="007B28E7" w:rsidRDefault="00DC09D9" w:rsidP="00873C27">
            <w:pPr>
              <w:rPr>
                <w:rFonts w:ascii="Arial Narrow" w:hAnsi="Arial Narrow" w:cs="Arial"/>
                <w:sz w:val="20"/>
                <w:szCs w:val="20"/>
              </w:rPr>
            </w:pPr>
            <w:r w:rsidRPr="007B28E7">
              <w:rPr>
                <w:rFonts w:ascii="Arial Narrow" w:hAnsi="Arial Narrow" w:cs="Arial"/>
                <w:sz w:val="20"/>
                <w:szCs w:val="20"/>
              </w:rPr>
              <w:t xml:space="preserve">Metastatic colorectal cancer </w:t>
            </w:r>
          </w:p>
        </w:tc>
      </w:tr>
      <w:tr w:rsidR="00DC09D9" w:rsidRPr="007B28E7" w:rsidTr="00873C27">
        <w:trPr>
          <w:cantSplit/>
          <w:trHeight w:val="360"/>
        </w:trPr>
        <w:tc>
          <w:tcPr>
            <w:tcW w:w="1985" w:type="dxa"/>
            <w:tcBorders>
              <w:top w:val="single" w:sz="4" w:space="0" w:color="auto"/>
              <w:left w:val="single" w:sz="4" w:space="0" w:color="auto"/>
              <w:bottom w:val="single" w:sz="4" w:space="0" w:color="auto"/>
              <w:right w:val="single" w:sz="4" w:space="0" w:color="auto"/>
            </w:tcBorders>
          </w:tcPr>
          <w:p w:rsidR="00DC09D9" w:rsidRPr="007B28E7" w:rsidRDefault="00DC09D9" w:rsidP="00873C27">
            <w:pPr>
              <w:jc w:val="both"/>
              <w:rPr>
                <w:rFonts w:ascii="Arial Narrow" w:hAnsi="Arial Narrow" w:cs="Arial"/>
                <w:b/>
                <w:sz w:val="20"/>
                <w:szCs w:val="20"/>
              </w:rPr>
            </w:pPr>
            <w:r w:rsidRPr="007B28E7">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DC09D9" w:rsidRPr="007B28E7" w:rsidRDefault="00DC09D9" w:rsidP="00873C27">
            <w:pPr>
              <w:rPr>
                <w:rFonts w:ascii="Arial Narrow" w:hAnsi="Arial Narrow" w:cs="Arial"/>
                <w:sz w:val="20"/>
                <w:szCs w:val="20"/>
              </w:rPr>
            </w:pPr>
            <w:r w:rsidRPr="007B28E7">
              <w:rPr>
                <w:rFonts w:ascii="Arial Narrow" w:hAnsi="Arial Narrow" w:cs="Arial"/>
                <w:sz w:val="20"/>
                <w:szCs w:val="20"/>
              </w:rPr>
              <w:t xml:space="preserve">Continuing treatment </w:t>
            </w:r>
          </w:p>
        </w:tc>
      </w:tr>
      <w:tr w:rsidR="00DC09D9" w:rsidRPr="007B28E7" w:rsidTr="00873C27">
        <w:trPr>
          <w:cantSplit/>
          <w:trHeight w:val="360"/>
        </w:trPr>
        <w:tc>
          <w:tcPr>
            <w:tcW w:w="1985" w:type="dxa"/>
            <w:tcBorders>
              <w:top w:val="single" w:sz="4" w:space="0" w:color="auto"/>
              <w:left w:val="single" w:sz="4" w:space="0" w:color="auto"/>
              <w:bottom w:val="single" w:sz="4" w:space="0" w:color="auto"/>
              <w:right w:val="single" w:sz="4" w:space="0" w:color="auto"/>
            </w:tcBorders>
          </w:tcPr>
          <w:p w:rsidR="00DC09D9" w:rsidRPr="007B28E7" w:rsidRDefault="00DC09D9" w:rsidP="00873C27">
            <w:pPr>
              <w:jc w:val="both"/>
              <w:rPr>
                <w:rFonts w:ascii="Arial Narrow" w:hAnsi="Arial Narrow" w:cs="Arial"/>
                <w:b/>
                <w:sz w:val="20"/>
                <w:szCs w:val="20"/>
              </w:rPr>
            </w:pPr>
            <w:r w:rsidRPr="007B28E7">
              <w:rPr>
                <w:rFonts w:ascii="Arial Narrow" w:hAnsi="Arial Narrow" w:cs="Arial"/>
                <w:b/>
                <w:sz w:val="20"/>
                <w:szCs w:val="20"/>
              </w:rPr>
              <w:t>Restriction Level / Method:</w:t>
            </w:r>
          </w:p>
          <w:p w:rsidR="00DC09D9" w:rsidRPr="007B28E7" w:rsidRDefault="00DC09D9" w:rsidP="00873C27">
            <w:pPr>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DC09D9" w:rsidRPr="007B28E7" w:rsidRDefault="00DC09D9" w:rsidP="00873C27">
            <w:pPr>
              <w:rPr>
                <w:rFonts w:ascii="Arial Narrow" w:hAnsi="Arial Narrow" w:cs="Arial"/>
                <w:sz w:val="20"/>
                <w:szCs w:val="20"/>
              </w:rPr>
            </w:pPr>
            <w:r w:rsidRPr="007B28E7">
              <w:rPr>
                <w:rFonts w:ascii="Arial Narrow" w:hAnsi="Arial Narrow" w:cs="Arial"/>
                <w:sz w:val="20"/>
                <w:szCs w:val="20"/>
              </w:rPr>
              <w:fldChar w:fldCharType="begin">
                <w:ffData>
                  <w:name w:val="Check1"/>
                  <w:enabled/>
                  <w:calcOnExit w:val="0"/>
                  <w:checkBox>
                    <w:sizeAuto/>
                    <w:default w:val="0"/>
                  </w:checkBox>
                </w:ffData>
              </w:fldChar>
            </w:r>
            <w:r w:rsidRPr="007B28E7">
              <w:rPr>
                <w:rFonts w:ascii="Arial Narrow" w:hAnsi="Arial Narrow" w:cs="Arial"/>
                <w:sz w:val="20"/>
                <w:szCs w:val="20"/>
              </w:rPr>
              <w:instrText xml:space="preserve"> FORMCHECKBOX </w:instrText>
            </w:r>
            <w:r w:rsidR="00FF6257">
              <w:rPr>
                <w:rFonts w:ascii="Arial Narrow" w:hAnsi="Arial Narrow" w:cs="Arial"/>
                <w:sz w:val="20"/>
                <w:szCs w:val="20"/>
              </w:rPr>
            </w:r>
            <w:r w:rsidR="00FF6257">
              <w:rPr>
                <w:rFonts w:ascii="Arial Narrow" w:hAnsi="Arial Narrow" w:cs="Arial"/>
                <w:sz w:val="20"/>
                <w:szCs w:val="20"/>
              </w:rPr>
              <w:fldChar w:fldCharType="separate"/>
            </w:r>
            <w:r w:rsidRPr="007B28E7">
              <w:rPr>
                <w:rFonts w:ascii="Arial Narrow" w:hAnsi="Arial Narrow" w:cs="Arial"/>
                <w:sz w:val="20"/>
                <w:szCs w:val="20"/>
              </w:rPr>
              <w:fldChar w:fldCharType="end"/>
            </w:r>
            <w:r w:rsidRPr="007B28E7">
              <w:rPr>
                <w:rFonts w:ascii="Arial Narrow" w:hAnsi="Arial Narrow" w:cs="Arial"/>
                <w:sz w:val="20"/>
                <w:szCs w:val="20"/>
              </w:rPr>
              <w:t>Restricted benefit</w:t>
            </w:r>
          </w:p>
          <w:p w:rsidR="00DC09D9" w:rsidRPr="007B28E7" w:rsidRDefault="00016BE6" w:rsidP="00873C27">
            <w:pPr>
              <w:rPr>
                <w:rFonts w:ascii="Arial Narrow" w:hAnsi="Arial Narrow" w:cs="Arial"/>
                <w:sz w:val="20"/>
                <w:szCs w:val="20"/>
              </w:rPr>
            </w:pPr>
            <w:r w:rsidRPr="007B28E7">
              <w:rPr>
                <w:rFonts w:ascii="Arial Narrow" w:hAnsi="Arial Narrow" w:cs="Arial"/>
                <w:sz w:val="20"/>
                <w:szCs w:val="20"/>
              </w:rPr>
              <w:fldChar w:fldCharType="begin">
                <w:ffData>
                  <w:name w:val=""/>
                  <w:enabled/>
                  <w:calcOnExit w:val="0"/>
                  <w:checkBox>
                    <w:sizeAuto/>
                    <w:default w:val="1"/>
                  </w:checkBox>
                </w:ffData>
              </w:fldChar>
            </w:r>
            <w:r w:rsidRPr="007B28E7">
              <w:rPr>
                <w:rFonts w:ascii="Arial Narrow" w:hAnsi="Arial Narrow" w:cs="Arial"/>
                <w:sz w:val="20"/>
                <w:szCs w:val="20"/>
              </w:rPr>
              <w:instrText xml:space="preserve"> FORMCHECKBOX </w:instrText>
            </w:r>
            <w:r w:rsidR="00FF6257">
              <w:rPr>
                <w:rFonts w:ascii="Arial Narrow" w:hAnsi="Arial Narrow" w:cs="Arial"/>
                <w:sz w:val="20"/>
                <w:szCs w:val="20"/>
              </w:rPr>
            </w:r>
            <w:r w:rsidR="00FF6257">
              <w:rPr>
                <w:rFonts w:ascii="Arial Narrow" w:hAnsi="Arial Narrow" w:cs="Arial"/>
                <w:sz w:val="20"/>
                <w:szCs w:val="20"/>
              </w:rPr>
              <w:fldChar w:fldCharType="separate"/>
            </w:r>
            <w:r w:rsidRPr="007B28E7">
              <w:rPr>
                <w:rFonts w:ascii="Arial Narrow" w:hAnsi="Arial Narrow" w:cs="Arial"/>
                <w:sz w:val="20"/>
                <w:szCs w:val="20"/>
              </w:rPr>
              <w:fldChar w:fldCharType="end"/>
            </w:r>
            <w:r w:rsidR="00DC09D9" w:rsidRPr="007B28E7">
              <w:rPr>
                <w:rFonts w:ascii="Arial Narrow" w:hAnsi="Arial Narrow" w:cs="Arial"/>
                <w:sz w:val="20"/>
                <w:szCs w:val="20"/>
              </w:rPr>
              <w:t>Authority Required - In Writing</w:t>
            </w:r>
          </w:p>
          <w:p w:rsidR="00DC09D9" w:rsidRPr="007B28E7" w:rsidRDefault="00342C01" w:rsidP="00873C27">
            <w:pPr>
              <w:rPr>
                <w:rFonts w:ascii="Arial Narrow" w:hAnsi="Arial Narrow" w:cs="Arial"/>
                <w:sz w:val="20"/>
                <w:szCs w:val="20"/>
              </w:rPr>
            </w:pPr>
            <w:r w:rsidRPr="007B28E7">
              <w:rPr>
                <w:rFonts w:ascii="Arial Narrow" w:hAnsi="Arial Narrow" w:cs="Arial"/>
                <w:sz w:val="20"/>
                <w:szCs w:val="20"/>
              </w:rPr>
              <w:fldChar w:fldCharType="begin">
                <w:ffData>
                  <w:name w:val=""/>
                  <w:enabled/>
                  <w:calcOnExit w:val="0"/>
                  <w:checkBox>
                    <w:sizeAuto/>
                    <w:default w:val="1"/>
                  </w:checkBox>
                </w:ffData>
              </w:fldChar>
            </w:r>
            <w:r w:rsidRPr="007B28E7">
              <w:rPr>
                <w:rFonts w:ascii="Arial Narrow" w:hAnsi="Arial Narrow" w:cs="Arial"/>
                <w:sz w:val="20"/>
                <w:szCs w:val="20"/>
              </w:rPr>
              <w:instrText xml:space="preserve"> FORMCHECKBOX </w:instrText>
            </w:r>
            <w:r w:rsidR="00FF6257">
              <w:rPr>
                <w:rFonts w:ascii="Arial Narrow" w:hAnsi="Arial Narrow" w:cs="Arial"/>
                <w:sz w:val="20"/>
                <w:szCs w:val="20"/>
              </w:rPr>
            </w:r>
            <w:r w:rsidR="00FF6257">
              <w:rPr>
                <w:rFonts w:ascii="Arial Narrow" w:hAnsi="Arial Narrow" w:cs="Arial"/>
                <w:sz w:val="20"/>
                <w:szCs w:val="20"/>
              </w:rPr>
              <w:fldChar w:fldCharType="separate"/>
            </w:r>
            <w:r w:rsidRPr="007B28E7">
              <w:rPr>
                <w:rFonts w:ascii="Arial Narrow" w:hAnsi="Arial Narrow" w:cs="Arial"/>
                <w:sz w:val="20"/>
                <w:szCs w:val="20"/>
              </w:rPr>
              <w:fldChar w:fldCharType="end"/>
            </w:r>
            <w:r w:rsidR="00DC09D9" w:rsidRPr="007B28E7">
              <w:rPr>
                <w:rFonts w:ascii="Arial Narrow" w:hAnsi="Arial Narrow" w:cs="Arial"/>
                <w:sz w:val="20"/>
                <w:szCs w:val="20"/>
              </w:rPr>
              <w:t>Authority Required - Telephone</w:t>
            </w:r>
          </w:p>
          <w:p w:rsidR="00DC09D9" w:rsidRPr="007B28E7" w:rsidRDefault="00016BE6" w:rsidP="00873C27">
            <w:pPr>
              <w:rPr>
                <w:rFonts w:ascii="Arial Narrow" w:hAnsi="Arial Narrow" w:cs="Arial"/>
                <w:sz w:val="20"/>
                <w:szCs w:val="20"/>
              </w:rPr>
            </w:pPr>
            <w:r w:rsidRPr="007B28E7">
              <w:rPr>
                <w:rFonts w:ascii="Arial Narrow" w:hAnsi="Arial Narrow" w:cs="Arial"/>
                <w:sz w:val="20"/>
                <w:szCs w:val="20"/>
              </w:rPr>
              <w:fldChar w:fldCharType="begin">
                <w:ffData>
                  <w:name w:val=""/>
                  <w:enabled/>
                  <w:calcOnExit w:val="0"/>
                  <w:checkBox>
                    <w:sizeAuto/>
                    <w:default w:val="1"/>
                  </w:checkBox>
                </w:ffData>
              </w:fldChar>
            </w:r>
            <w:r w:rsidRPr="007B28E7">
              <w:rPr>
                <w:rFonts w:ascii="Arial Narrow" w:hAnsi="Arial Narrow" w:cs="Arial"/>
                <w:sz w:val="20"/>
                <w:szCs w:val="20"/>
              </w:rPr>
              <w:instrText xml:space="preserve"> FORMCHECKBOX </w:instrText>
            </w:r>
            <w:r w:rsidR="00FF6257">
              <w:rPr>
                <w:rFonts w:ascii="Arial Narrow" w:hAnsi="Arial Narrow" w:cs="Arial"/>
                <w:sz w:val="20"/>
                <w:szCs w:val="20"/>
              </w:rPr>
            </w:r>
            <w:r w:rsidR="00FF6257">
              <w:rPr>
                <w:rFonts w:ascii="Arial Narrow" w:hAnsi="Arial Narrow" w:cs="Arial"/>
                <w:sz w:val="20"/>
                <w:szCs w:val="20"/>
              </w:rPr>
              <w:fldChar w:fldCharType="separate"/>
            </w:r>
            <w:r w:rsidRPr="007B28E7">
              <w:rPr>
                <w:rFonts w:ascii="Arial Narrow" w:hAnsi="Arial Narrow" w:cs="Arial"/>
                <w:sz w:val="20"/>
                <w:szCs w:val="20"/>
              </w:rPr>
              <w:fldChar w:fldCharType="end"/>
            </w:r>
            <w:r w:rsidR="00DC09D9" w:rsidRPr="007B28E7">
              <w:rPr>
                <w:rFonts w:ascii="Arial Narrow" w:hAnsi="Arial Narrow" w:cs="Arial"/>
                <w:sz w:val="20"/>
                <w:szCs w:val="20"/>
              </w:rPr>
              <w:t>Authority Required – Emergency</w:t>
            </w:r>
          </w:p>
          <w:p w:rsidR="00DC09D9" w:rsidRPr="007B28E7" w:rsidRDefault="00342C01" w:rsidP="00873C27">
            <w:pPr>
              <w:rPr>
                <w:rFonts w:ascii="Arial Narrow" w:hAnsi="Arial Narrow" w:cs="Arial"/>
                <w:sz w:val="20"/>
                <w:szCs w:val="20"/>
              </w:rPr>
            </w:pPr>
            <w:r w:rsidRPr="007B28E7">
              <w:rPr>
                <w:rFonts w:ascii="Arial Narrow" w:hAnsi="Arial Narrow" w:cs="Arial"/>
                <w:sz w:val="20"/>
                <w:szCs w:val="20"/>
              </w:rPr>
              <w:fldChar w:fldCharType="begin">
                <w:ffData>
                  <w:name w:val=""/>
                  <w:enabled/>
                  <w:calcOnExit w:val="0"/>
                  <w:checkBox>
                    <w:sizeAuto/>
                    <w:default w:val="1"/>
                  </w:checkBox>
                </w:ffData>
              </w:fldChar>
            </w:r>
            <w:r w:rsidRPr="007B28E7">
              <w:rPr>
                <w:rFonts w:ascii="Arial Narrow" w:hAnsi="Arial Narrow" w:cs="Arial"/>
                <w:sz w:val="20"/>
                <w:szCs w:val="20"/>
              </w:rPr>
              <w:instrText xml:space="preserve"> FORMCHECKBOX </w:instrText>
            </w:r>
            <w:r w:rsidR="00FF6257">
              <w:rPr>
                <w:rFonts w:ascii="Arial Narrow" w:hAnsi="Arial Narrow" w:cs="Arial"/>
                <w:sz w:val="20"/>
                <w:szCs w:val="20"/>
              </w:rPr>
            </w:r>
            <w:r w:rsidR="00FF6257">
              <w:rPr>
                <w:rFonts w:ascii="Arial Narrow" w:hAnsi="Arial Narrow" w:cs="Arial"/>
                <w:sz w:val="20"/>
                <w:szCs w:val="20"/>
              </w:rPr>
              <w:fldChar w:fldCharType="separate"/>
            </w:r>
            <w:r w:rsidRPr="007B28E7">
              <w:rPr>
                <w:rFonts w:ascii="Arial Narrow" w:hAnsi="Arial Narrow" w:cs="Arial"/>
                <w:sz w:val="20"/>
                <w:szCs w:val="20"/>
              </w:rPr>
              <w:fldChar w:fldCharType="end"/>
            </w:r>
            <w:r w:rsidR="00DC09D9" w:rsidRPr="007B28E7">
              <w:rPr>
                <w:rFonts w:ascii="Arial Narrow" w:hAnsi="Arial Narrow" w:cs="Arial"/>
                <w:sz w:val="20"/>
                <w:szCs w:val="20"/>
              </w:rPr>
              <w:t>Authority Required - Electronic</w:t>
            </w:r>
          </w:p>
          <w:p w:rsidR="00DC09D9" w:rsidRPr="007B28E7" w:rsidRDefault="00016BE6" w:rsidP="00873C27">
            <w:pPr>
              <w:rPr>
                <w:rFonts w:ascii="Arial Narrow" w:hAnsi="Arial Narrow" w:cs="Arial"/>
                <w:sz w:val="20"/>
                <w:szCs w:val="20"/>
              </w:rPr>
            </w:pPr>
            <w:r w:rsidRPr="007B28E7">
              <w:rPr>
                <w:rFonts w:ascii="Arial Narrow" w:hAnsi="Arial Narrow" w:cs="Arial"/>
                <w:sz w:val="20"/>
                <w:szCs w:val="20"/>
              </w:rPr>
              <w:fldChar w:fldCharType="begin">
                <w:ffData>
                  <w:name w:val=""/>
                  <w:enabled/>
                  <w:calcOnExit w:val="0"/>
                  <w:checkBox>
                    <w:sizeAuto/>
                    <w:default w:val="1"/>
                  </w:checkBox>
                </w:ffData>
              </w:fldChar>
            </w:r>
            <w:r w:rsidRPr="007B28E7">
              <w:rPr>
                <w:rFonts w:ascii="Arial Narrow" w:hAnsi="Arial Narrow" w:cs="Arial"/>
                <w:sz w:val="20"/>
                <w:szCs w:val="20"/>
              </w:rPr>
              <w:instrText xml:space="preserve"> FORMCHECKBOX </w:instrText>
            </w:r>
            <w:r w:rsidR="00FF6257">
              <w:rPr>
                <w:rFonts w:ascii="Arial Narrow" w:hAnsi="Arial Narrow" w:cs="Arial"/>
                <w:sz w:val="20"/>
                <w:szCs w:val="20"/>
              </w:rPr>
            </w:r>
            <w:r w:rsidR="00FF6257">
              <w:rPr>
                <w:rFonts w:ascii="Arial Narrow" w:hAnsi="Arial Narrow" w:cs="Arial"/>
                <w:sz w:val="20"/>
                <w:szCs w:val="20"/>
              </w:rPr>
              <w:fldChar w:fldCharType="separate"/>
            </w:r>
            <w:r w:rsidRPr="007B28E7">
              <w:rPr>
                <w:rFonts w:ascii="Arial Narrow" w:hAnsi="Arial Narrow" w:cs="Arial"/>
                <w:sz w:val="20"/>
                <w:szCs w:val="20"/>
              </w:rPr>
              <w:fldChar w:fldCharType="end"/>
            </w:r>
            <w:r w:rsidR="00DC09D9" w:rsidRPr="007B28E7">
              <w:rPr>
                <w:rFonts w:ascii="Arial Narrow" w:hAnsi="Arial Narrow" w:cs="Arial"/>
                <w:sz w:val="20"/>
                <w:szCs w:val="20"/>
              </w:rPr>
              <w:t>Streamlined</w:t>
            </w:r>
          </w:p>
        </w:tc>
      </w:tr>
      <w:tr w:rsidR="00DC09D9" w:rsidRPr="007B28E7" w:rsidTr="00873C27">
        <w:trPr>
          <w:cantSplit/>
          <w:trHeight w:val="360"/>
        </w:trPr>
        <w:tc>
          <w:tcPr>
            <w:tcW w:w="1985" w:type="dxa"/>
            <w:tcBorders>
              <w:top w:val="single" w:sz="4" w:space="0" w:color="auto"/>
              <w:left w:val="single" w:sz="4" w:space="0" w:color="auto"/>
              <w:bottom w:val="single" w:sz="4" w:space="0" w:color="auto"/>
              <w:right w:val="single" w:sz="4" w:space="0" w:color="auto"/>
            </w:tcBorders>
          </w:tcPr>
          <w:p w:rsidR="00DC09D9" w:rsidRPr="007B28E7" w:rsidRDefault="00DC09D9" w:rsidP="00873C27">
            <w:pPr>
              <w:jc w:val="both"/>
              <w:rPr>
                <w:rFonts w:ascii="Arial Narrow" w:hAnsi="Arial Narrow" w:cs="Arial"/>
                <w:b/>
                <w:sz w:val="20"/>
                <w:szCs w:val="20"/>
              </w:rPr>
            </w:pPr>
            <w:r w:rsidRPr="007B28E7">
              <w:rPr>
                <w:rFonts w:ascii="Arial Narrow" w:hAnsi="Arial Narrow" w:cs="Arial"/>
                <w:b/>
                <w:sz w:val="20"/>
                <w:szCs w:val="20"/>
              </w:rPr>
              <w:t>Clinical criteria:</w:t>
            </w:r>
          </w:p>
          <w:p w:rsidR="00DC09D9" w:rsidRPr="007B28E7" w:rsidRDefault="00DC09D9" w:rsidP="00873C27">
            <w:pPr>
              <w:jc w:val="both"/>
              <w:rPr>
                <w:rFonts w:ascii="Arial Narrow" w:hAnsi="Arial Narrow" w:cs="Arial"/>
                <w:i/>
                <w:sz w:val="20"/>
                <w:szCs w:val="20"/>
              </w:rPr>
            </w:pPr>
          </w:p>
          <w:p w:rsidR="00DC09D9" w:rsidRPr="007B28E7" w:rsidRDefault="00DC09D9" w:rsidP="00873C27">
            <w:pPr>
              <w:jc w:val="both"/>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DC09D9" w:rsidRPr="007B28E7" w:rsidRDefault="00DC09D9" w:rsidP="00873C27">
            <w:pPr>
              <w:rPr>
                <w:rFonts w:ascii="Arial Narrow" w:hAnsi="Arial Narrow" w:cs="Arial"/>
                <w:sz w:val="20"/>
                <w:szCs w:val="20"/>
              </w:rPr>
            </w:pPr>
            <w:r w:rsidRPr="007B28E7">
              <w:rPr>
                <w:rFonts w:ascii="Arial Narrow" w:hAnsi="Arial Narrow" w:cs="Arial"/>
                <w:sz w:val="20"/>
                <w:szCs w:val="20"/>
              </w:rPr>
              <w:t>Patient must have previously been issued with an authority prescription for this drug for this condition,</w:t>
            </w:r>
          </w:p>
          <w:p w:rsidR="00870124" w:rsidRPr="007B28E7" w:rsidRDefault="00870124" w:rsidP="00873C27">
            <w:pPr>
              <w:rPr>
                <w:rFonts w:ascii="Arial Narrow" w:hAnsi="Arial Narrow" w:cs="Arial"/>
                <w:sz w:val="20"/>
                <w:szCs w:val="20"/>
              </w:rPr>
            </w:pPr>
          </w:p>
          <w:p w:rsidR="00DC09D9" w:rsidRPr="007B28E7" w:rsidRDefault="00DC09D9" w:rsidP="00873C27">
            <w:pPr>
              <w:rPr>
                <w:rFonts w:ascii="Arial Narrow" w:hAnsi="Arial Narrow" w:cs="Arial"/>
                <w:sz w:val="20"/>
                <w:szCs w:val="20"/>
              </w:rPr>
            </w:pPr>
            <w:r w:rsidRPr="007B28E7">
              <w:rPr>
                <w:rFonts w:ascii="Arial Narrow" w:hAnsi="Arial Narrow" w:cs="Arial"/>
                <w:sz w:val="20"/>
                <w:szCs w:val="20"/>
              </w:rPr>
              <w:t>AND</w:t>
            </w:r>
          </w:p>
          <w:p w:rsidR="00870124" w:rsidRPr="007B28E7" w:rsidRDefault="00870124" w:rsidP="00873C27">
            <w:pPr>
              <w:rPr>
                <w:rFonts w:ascii="Arial Narrow" w:hAnsi="Arial Narrow" w:cs="Arial"/>
                <w:sz w:val="20"/>
                <w:szCs w:val="20"/>
              </w:rPr>
            </w:pPr>
          </w:p>
          <w:p w:rsidR="00DC09D9" w:rsidRPr="007B28E7" w:rsidRDefault="00DC09D9" w:rsidP="00873C27">
            <w:pPr>
              <w:jc w:val="both"/>
              <w:rPr>
                <w:rFonts w:ascii="Arial Narrow" w:hAnsi="Arial Narrow" w:cs="Arial"/>
                <w:snapToGrid w:val="0"/>
                <w:sz w:val="20"/>
                <w:szCs w:val="20"/>
                <w:lang w:eastAsia="en-US"/>
              </w:rPr>
            </w:pPr>
            <w:r w:rsidRPr="007B28E7">
              <w:rPr>
                <w:rFonts w:ascii="Arial Narrow" w:hAnsi="Arial Narrow" w:cs="Arial"/>
                <w:snapToGrid w:val="0"/>
                <w:sz w:val="20"/>
                <w:szCs w:val="20"/>
                <w:lang w:eastAsia="en-US"/>
              </w:rPr>
              <w:t>Patient must not have progressive disease while on this drug,</w:t>
            </w:r>
          </w:p>
          <w:p w:rsidR="00870124" w:rsidRPr="007B28E7" w:rsidRDefault="00870124" w:rsidP="00873C27">
            <w:pPr>
              <w:jc w:val="both"/>
              <w:rPr>
                <w:rFonts w:ascii="Arial Narrow" w:hAnsi="Arial Narrow" w:cs="Arial"/>
                <w:snapToGrid w:val="0"/>
                <w:sz w:val="20"/>
                <w:szCs w:val="20"/>
                <w:lang w:eastAsia="en-US"/>
              </w:rPr>
            </w:pPr>
          </w:p>
          <w:p w:rsidR="00DC09D9" w:rsidRPr="007B28E7" w:rsidRDefault="00A366BF" w:rsidP="00873C27">
            <w:pPr>
              <w:jc w:val="both"/>
              <w:rPr>
                <w:rFonts w:ascii="Arial Narrow" w:hAnsi="Arial Narrow" w:cs="Arial"/>
                <w:snapToGrid w:val="0"/>
                <w:sz w:val="20"/>
                <w:szCs w:val="20"/>
                <w:lang w:eastAsia="en-US"/>
              </w:rPr>
            </w:pPr>
            <w:r w:rsidRPr="007B28E7">
              <w:rPr>
                <w:rFonts w:ascii="Arial Narrow" w:hAnsi="Arial Narrow" w:cs="Arial"/>
                <w:snapToGrid w:val="0"/>
                <w:sz w:val="20"/>
                <w:szCs w:val="20"/>
                <w:lang w:eastAsia="en-US"/>
              </w:rPr>
              <w:t>AND</w:t>
            </w:r>
          </w:p>
          <w:p w:rsidR="00870124" w:rsidRPr="007B28E7" w:rsidRDefault="00870124" w:rsidP="00873C27">
            <w:pPr>
              <w:jc w:val="both"/>
              <w:rPr>
                <w:rFonts w:ascii="Arial Narrow" w:hAnsi="Arial Narrow" w:cs="Arial"/>
                <w:snapToGrid w:val="0"/>
                <w:sz w:val="20"/>
                <w:szCs w:val="20"/>
                <w:lang w:eastAsia="en-US"/>
              </w:rPr>
            </w:pPr>
          </w:p>
          <w:p w:rsidR="00DC09D9" w:rsidRPr="007B28E7" w:rsidRDefault="00A366BF" w:rsidP="00873C27">
            <w:pPr>
              <w:jc w:val="both"/>
              <w:rPr>
                <w:rFonts w:ascii="Arial Narrow" w:hAnsi="Arial Narrow" w:cs="Arial"/>
                <w:sz w:val="20"/>
                <w:szCs w:val="20"/>
              </w:rPr>
            </w:pPr>
            <w:r w:rsidRPr="007B28E7">
              <w:rPr>
                <w:rFonts w:ascii="Arial Narrow" w:hAnsi="Arial Narrow" w:cs="Arial"/>
                <w:snapToGrid w:val="0"/>
                <w:sz w:val="20"/>
                <w:szCs w:val="20"/>
                <w:lang w:eastAsia="en-US"/>
              </w:rPr>
              <w:t xml:space="preserve">The treatment must be the sole PBS-subsidised therapy for this condition. </w:t>
            </w:r>
          </w:p>
        </w:tc>
      </w:tr>
      <w:tr w:rsidR="00DC09D9" w:rsidRPr="007B28E7" w:rsidTr="00873C27">
        <w:trPr>
          <w:cantSplit/>
          <w:trHeight w:val="360"/>
        </w:trPr>
        <w:tc>
          <w:tcPr>
            <w:tcW w:w="1985" w:type="dxa"/>
            <w:tcBorders>
              <w:top w:val="single" w:sz="4" w:space="0" w:color="auto"/>
              <w:left w:val="single" w:sz="4" w:space="0" w:color="auto"/>
              <w:bottom w:val="single" w:sz="4" w:space="0" w:color="auto"/>
              <w:right w:val="single" w:sz="4" w:space="0" w:color="auto"/>
            </w:tcBorders>
          </w:tcPr>
          <w:p w:rsidR="00DC09D9" w:rsidRPr="007B28E7" w:rsidRDefault="00DC09D9" w:rsidP="00873C27">
            <w:pPr>
              <w:jc w:val="both"/>
              <w:rPr>
                <w:rFonts w:ascii="Arial Narrow" w:hAnsi="Arial Narrow" w:cs="Arial"/>
                <w:b/>
                <w:sz w:val="20"/>
                <w:szCs w:val="20"/>
              </w:rPr>
            </w:pPr>
            <w:r w:rsidRPr="007B28E7">
              <w:rPr>
                <w:rFonts w:ascii="Arial Narrow" w:hAnsi="Arial Narrow" w:cs="Arial"/>
                <w:b/>
                <w:sz w:val="20"/>
                <w:szCs w:val="20"/>
              </w:rPr>
              <w:t>Prescriber Instructions</w:t>
            </w:r>
          </w:p>
        </w:tc>
        <w:tc>
          <w:tcPr>
            <w:tcW w:w="6378" w:type="dxa"/>
            <w:tcBorders>
              <w:top w:val="single" w:sz="4" w:space="0" w:color="auto"/>
              <w:left w:val="single" w:sz="4" w:space="0" w:color="auto"/>
              <w:bottom w:val="single" w:sz="4" w:space="0" w:color="auto"/>
              <w:right w:val="single" w:sz="4" w:space="0" w:color="auto"/>
            </w:tcBorders>
          </w:tcPr>
          <w:p w:rsidR="00DC09D9" w:rsidRPr="007B28E7" w:rsidRDefault="00DC09D9" w:rsidP="00873C27">
            <w:pPr>
              <w:rPr>
                <w:rFonts w:ascii="Arial Narrow" w:hAnsi="Arial Narrow" w:cs="Arial"/>
                <w:sz w:val="20"/>
                <w:szCs w:val="20"/>
              </w:rPr>
            </w:pPr>
            <w:r w:rsidRPr="007B28E7">
              <w:rPr>
                <w:rFonts w:ascii="Arial Narrow" w:hAnsi="Arial Narrow" w:cs="Arial"/>
                <w:sz w:val="20"/>
                <w:szCs w:val="20"/>
              </w:rPr>
              <w:t>A patient who has progressive disease when treated with this drug is no longer eligible for PBS-subsidised treatment with this drug</w:t>
            </w:r>
            <w:r w:rsidR="00A366BF" w:rsidRPr="007B28E7">
              <w:rPr>
                <w:rFonts w:ascii="Arial Narrow" w:hAnsi="Arial Narrow" w:cs="Arial"/>
                <w:sz w:val="20"/>
                <w:szCs w:val="20"/>
              </w:rPr>
              <w:t xml:space="preserve">. </w:t>
            </w:r>
          </w:p>
        </w:tc>
      </w:tr>
      <w:tr w:rsidR="00DC09D9" w:rsidRPr="007B28E7" w:rsidTr="00873C27">
        <w:trPr>
          <w:cantSplit/>
          <w:trHeight w:val="360"/>
        </w:trPr>
        <w:tc>
          <w:tcPr>
            <w:tcW w:w="1985" w:type="dxa"/>
            <w:tcBorders>
              <w:top w:val="single" w:sz="4" w:space="0" w:color="auto"/>
              <w:left w:val="single" w:sz="4" w:space="0" w:color="auto"/>
              <w:bottom w:val="single" w:sz="4" w:space="0" w:color="auto"/>
              <w:right w:val="single" w:sz="4" w:space="0" w:color="auto"/>
            </w:tcBorders>
          </w:tcPr>
          <w:p w:rsidR="00DC09D9" w:rsidRPr="007B28E7" w:rsidRDefault="00DC09D9" w:rsidP="00873C27">
            <w:pPr>
              <w:jc w:val="both"/>
              <w:rPr>
                <w:rFonts w:ascii="Arial Narrow" w:hAnsi="Arial Narrow" w:cs="Arial"/>
                <w:b/>
                <w:sz w:val="20"/>
                <w:szCs w:val="20"/>
              </w:rPr>
            </w:pPr>
            <w:r w:rsidRPr="007B28E7">
              <w:rPr>
                <w:rFonts w:ascii="Arial Narrow" w:hAnsi="Arial Narrow" w:cs="Arial"/>
                <w:b/>
                <w:sz w:val="20"/>
                <w:szCs w:val="20"/>
              </w:rPr>
              <w:t>Administrative Advice</w:t>
            </w:r>
          </w:p>
          <w:p w:rsidR="00DC09D9" w:rsidRPr="007B28E7" w:rsidRDefault="00DC09D9" w:rsidP="00873C27">
            <w:pPr>
              <w:jc w:val="both"/>
              <w:rPr>
                <w:rFonts w:ascii="Arial Narrow" w:hAnsi="Arial Narrow" w:cs="Arial"/>
                <w:i/>
                <w:sz w:val="20"/>
                <w:szCs w:val="20"/>
              </w:rPr>
            </w:pPr>
          </w:p>
        </w:tc>
        <w:tc>
          <w:tcPr>
            <w:tcW w:w="6378" w:type="dxa"/>
            <w:tcBorders>
              <w:top w:val="single" w:sz="4" w:space="0" w:color="auto"/>
              <w:left w:val="single" w:sz="4" w:space="0" w:color="auto"/>
              <w:bottom w:val="single" w:sz="4" w:space="0" w:color="auto"/>
              <w:right w:val="single" w:sz="4" w:space="0" w:color="auto"/>
            </w:tcBorders>
          </w:tcPr>
          <w:p w:rsidR="00DC09D9" w:rsidRPr="007B28E7" w:rsidRDefault="00DC09D9" w:rsidP="00873C27">
            <w:pPr>
              <w:jc w:val="both"/>
              <w:rPr>
                <w:rFonts w:ascii="Arial Narrow" w:hAnsi="Arial Narrow" w:cs="Arial"/>
                <w:snapToGrid w:val="0"/>
                <w:sz w:val="20"/>
                <w:szCs w:val="20"/>
                <w:lang w:eastAsia="en-US"/>
              </w:rPr>
            </w:pPr>
            <w:r w:rsidRPr="007B28E7">
              <w:rPr>
                <w:rFonts w:ascii="Arial Narrow" w:hAnsi="Arial Narrow" w:cs="Arial"/>
                <w:snapToGrid w:val="0"/>
                <w:sz w:val="20"/>
                <w:szCs w:val="20"/>
                <w:lang w:eastAsia="en-US"/>
              </w:rPr>
              <w:t>The prescribed dose is not permitted to be increased once it has been reduced.</w:t>
            </w:r>
          </w:p>
          <w:p w:rsidR="00F530EF" w:rsidRPr="007B28E7" w:rsidRDefault="00F530EF" w:rsidP="00873C27">
            <w:pPr>
              <w:jc w:val="both"/>
              <w:rPr>
                <w:rFonts w:ascii="Arial Narrow" w:hAnsi="Arial Narrow" w:cs="Arial"/>
                <w:snapToGrid w:val="0"/>
                <w:sz w:val="20"/>
                <w:szCs w:val="20"/>
                <w:lang w:eastAsia="en-US"/>
              </w:rPr>
            </w:pPr>
          </w:p>
          <w:p w:rsidR="00DC09D9" w:rsidRPr="007B28E7" w:rsidRDefault="00DC09D9" w:rsidP="00873C27">
            <w:pPr>
              <w:jc w:val="both"/>
              <w:rPr>
                <w:rFonts w:ascii="Arial Narrow" w:hAnsi="Arial Narrow" w:cs="Arial"/>
                <w:snapToGrid w:val="0"/>
                <w:sz w:val="20"/>
                <w:szCs w:val="20"/>
                <w:lang w:eastAsia="en-US"/>
              </w:rPr>
            </w:pPr>
            <w:r w:rsidRPr="007B28E7">
              <w:rPr>
                <w:rFonts w:ascii="Arial Narrow" w:hAnsi="Arial Narrow" w:cs="Arial"/>
                <w:snapToGrid w:val="0"/>
                <w:sz w:val="20"/>
                <w:szCs w:val="20"/>
                <w:lang w:eastAsia="en-US"/>
              </w:rPr>
              <w:t xml:space="preserve">No increase in maximum quantity or number of units may be authorised. </w:t>
            </w:r>
          </w:p>
          <w:p w:rsidR="00F530EF" w:rsidRPr="007B28E7" w:rsidRDefault="00F530EF" w:rsidP="00873C27">
            <w:pPr>
              <w:jc w:val="both"/>
              <w:rPr>
                <w:rFonts w:ascii="Arial Narrow" w:hAnsi="Arial Narrow" w:cs="Arial"/>
                <w:snapToGrid w:val="0"/>
                <w:sz w:val="20"/>
                <w:szCs w:val="20"/>
                <w:lang w:eastAsia="en-US"/>
              </w:rPr>
            </w:pPr>
          </w:p>
          <w:p w:rsidR="00DC09D9" w:rsidRPr="007B28E7" w:rsidRDefault="00DC09D9" w:rsidP="00873C27">
            <w:pPr>
              <w:rPr>
                <w:rFonts w:ascii="Arial Narrow" w:hAnsi="Arial Narrow" w:cs="Arial"/>
                <w:sz w:val="20"/>
                <w:szCs w:val="20"/>
              </w:rPr>
            </w:pPr>
            <w:r w:rsidRPr="007B28E7">
              <w:rPr>
                <w:rFonts w:ascii="Arial Narrow" w:hAnsi="Arial Narrow" w:cs="Arial"/>
                <w:snapToGrid w:val="0"/>
                <w:sz w:val="20"/>
                <w:szCs w:val="20"/>
                <w:lang w:eastAsia="en-US"/>
              </w:rPr>
              <w:t>No increase in the maximum number of repeats may be authorised.</w:t>
            </w:r>
            <w:r w:rsidRPr="007B28E7">
              <w:rPr>
                <w:rFonts w:ascii="Arial Narrow" w:hAnsi="Arial Narrow" w:cs="Arial"/>
                <w:i/>
                <w:snapToGrid w:val="0"/>
                <w:sz w:val="20"/>
                <w:szCs w:val="20"/>
                <w:lang w:eastAsia="en-US"/>
              </w:rPr>
              <w:t xml:space="preserve"> </w:t>
            </w:r>
          </w:p>
        </w:tc>
      </w:tr>
    </w:tbl>
    <w:p w:rsidR="00E96172" w:rsidRPr="00FB32B0" w:rsidRDefault="00873C27" w:rsidP="00E96172">
      <w:pPr>
        <w:pStyle w:val="ListParagraph"/>
        <w:rPr>
          <w:rFonts w:ascii="Arial Narrow" w:hAnsi="Arial Narrow"/>
          <w:sz w:val="18"/>
        </w:rPr>
      </w:pPr>
      <w:r w:rsidRPr="007B28E7">
        <w:rPr>
          <w:rFonts w:ascii="Arial Narrow" w:hAnsi="Arial Narrow"/>
          <w:sz w:val="20"/>
          <w:vertAlign w:val="superscript"/>
        </w:rPr>
        <w:br w:type="textWrapping" w:clear="all"/>
      </w:r>
      <w:r w:rsidR="00E96172" w:rsidRPr="00FB32B0">
        <w:rPr>
          <w:rFonts w:ascii="Arial Narrow" w:hAnsi="Arial Narrow"/>
          <w:sz w:val="18"/>
          <w:vertAlign w:val="superscript"/>
        </w:rPr>
        <w:t xml:space="preserve">a </w:t>
      </w:r>
      <w:r w:rsidR="00E96172" w:rsidRPr="00FB32B0">
        <w:rPr>
          <w:rFonts w:ascii="Arial Narrow" w:hAnsi="Arial Narrow"/>
          <w:sz w:val="18"/>
        </w:rPr>
        <w:t>Effective price = $</w:t>
      </w:r>
      <w:r w:rsidR="00FF6257">
        <w:rPr>
          <w:rFonts w:ascii="Arial Narrow" w:hAnsi="Arial Narrow"/>
          <w:noProof/>
          <w:color w:val="000000"/>
          <w:sz w:val="18"/>
          <w:highlight w:val="black"/>
        </w:rPr>
        <w:t>'''''''''''''''''''</w:t>
      </w:r>
      <w:r w:rsidR="00E96172" w:rsidRPr="00FB32B0">
        <w:rPr>
          <w:rFonts w:ascii="Arial Narrow" w:hAnsi="Arial Narrow"/>
          <w:sz w:val="18"/>
        </w:rPr>
        <w:t xml:space="preserve"> (including </w:t>
      </w:r>
      <w:r w:rsidR="00FF6257">
        <w:rPr>
          <w:rFonts w:ascii="Arial Narrow" w:hAnsi="Arial Narrow"/>
          <w:noProof/>
          <w:color w:val="000000"/>
          <w:sz w:val="18"/>
          <w:highlight w:val="black"/>
        </w:rPr>
        <w:t>''''''''''</w:t>
      </w:r>
      <w:r w:rsidR="00E96172" w:rsidRPr="00FB32B0">
        <w:rPr>
          <w:rFonts w:ascii="Arial Narrow" w:hAnsi="Arial Narrow"/>
          <w:sz w:val="18"/>
        </w:rPr>
        <w:t>% rebate)</w:t>
      </w:r>
    </w:p>
    <w:p w:rsidR="00E96172" w:rsidRPr="00FB32B0" w:rsidRDefault="00E96172" w:rsidP="00E96172">
      <w:pPr>
        <w:pStyle w:val="ListParagraph"/>
        <w:rPr>
          <w:rFonts w:ascii="Arial Narrow" w:hAnsi="Arial Narrow"/>
          <w:sz w:val="18"/>
        </w:rPr>
      </w:pPr>
      <w:r w:rsidRPr="00FB32B0">
        <w:rPr>
          <w:rFonts w:ascii="Arial Narrow" w:hAnsi="Arial Narrow"/>
          <w:sz w:val="18"/>
          <w:vertAlign w:val="superscript"/>
        </w:rPr>
        <w:t>b</w:t>
      </w:r>
      <w:r w:rsidRPr="00FB32B0">
        <w:rPr>
          <w:rFonts w:ascii="Arial Narrow" w:hAnsi="Arial Narrow"/>
          <w:sz w:val="18"/>
        </w:rPr>
        <w:t xml:space="preserve"> Effective price = $</w:t>
      </w:r>
      <w:r w:rsidR="00FF6257">
        <w:rPr>
          <w:rFonts w:ascii="Arial Narrow" w:hAnsi="Arial Narrow"/>
          <w:noProof/>
          <w:color w:val="000000"/>
          <w:sz w:val="18"/>
          <w:highlight w:val="black"/>
        </w:rPr>
        <w:t>'''''''''''''''''''''''</w:t>
      </w:r>
      <w:r w:rsidRPr="00FB32B0">
        <w:rPr>
          <w:rFonts w:ascii="Arial Narrow" w:hAnsi="Arial Narrow"/>
          <w:sz w:val="18"/>
        </w:rPr>
        <w:t xml:space="preserve"> (including </w:t>
      </w:r>
      <w:r w:rsidR="00FF6257">
        <w:rPr>
          <w:rFonts w:ascii="Arial Narrow" w:hAnsi="Arial Narrow"/>
          <w:noProof/>
          <w:color w:val="000000"/>
          <w:sz w:val="18"/>
          <w:highlight w:val="black"/>
        </w:rPr>
        <w:t>'''''''''</w:t>
      </w:r>
      <w:r w:rsidRPr="00FB32B0">
        <w:rPr>
          <w:rFonts w:ascii="Arial Narrow" w:hAnsi="Arial Narrow"/>
          <w:sz w:val="18"/>
        </w:rPr>
        <w:t>% rebate)</w:t>
      </w:r>
    </w:p>
    <w:p w:rsidR="00DC09D9" w:rsidRPr="007B28E7" w:rsidRDefault="00DC09D9" w:rsidP="00826F6D">
      <w:pPr>
        <w:pStyle w:val="ListParagraph"/>
        <w:rPr>
          <w:szCs w:val="22"/>
        </w:rPr>
      </w:pPr>
    </w:p>
    <w:p w:rsidR="00C0226F" w:rsidRPr="007B28E7" w:rsidRDefault="00C0226F" w:rsidP="00826F6D">
      <w:pPr>
        <w:pStyle w:val="ListParagraph"/>
        <w:rPr>
          <w:szCs w:val="22"/>
        </w:rPr>
      </w:pPr>
    </w:p>
    <w:p w:rsidR="00F415AB" w:rsidRPr="007B28E7" w:rsidRDefault="00CE10C4">
      <w:pPr>
        <w:pStyle w:val="PBACHeading1"/>
      </w:pPr>
      <w:r w:rsidRPr="007B28E7">
        <w:t>Background</w:t>
      </w:r>
    </w:p>
    <w:p w:rsidR="00C603D4" w:rsidRPr="007B28E7" w:rsidRDefault="00C603D4" w:rsidP="00C603D4">
      <w:pPr>
        <w:pStyle w:val="ListParagraph"/>
        <w:rPr>
          <w:i/>
          <w:szCs w:val="22"/>
        </w:rPr>
      </w:pPr>
    </w:p>
    <w:p w:rsidR="002B1AE6" w:rsidRPr="007B28E7" w:rsidRDefault="00C8601C" w:rsidP="008A50F1">
      <w:pPr>
        <w:pStyle w:val="ListParagraph"/>
        <w:numPr>
          <w:ilvl w:val="1"/>
          <w:numId w:val="5"/>
        </w:numPr>
        <w:rPr>
          <w:i/>
          <w:szCs w:val="22"/>
        </w:rPr>
      </w:pPr>
      <w:r w:rsidRPr="007B28E7">
        <w:rPr>
          <w:szCs w:val="22"/>
        </w:rPr>
        <w:t xml:space="preserve">A major submission for </w:t>
      </w:r>
      <w:r w:rsidR="00873C27" w:rsidRPr="007B28E7">
        <w:t>trifluridine/tipiracil</w:t>
      </w:r>
      <w:r w:rsidR="00873C27" w:rsidRPr="007B28E7">
        <w:rPr>
          <w:szCs w:val="22"/>
        </w:rPr>
        <w:t xml:space="preserve"> </w:t>
      </w:r>
      <w:r w:rsidRPr="007B28E7">
        <w:rPr>
          <w:szCs w:val="22"/>
        </w:rPr>
        <w:t>was previously considered by the PBAC at the November 2016 meeting.</w:t>
      </w:r>
      <w:r w:rsidR="00EB7D5B" w:rsidRPr="007B28E7">
        <w:rPr>
          <w:szCs w:val="22"/>
        </w:rPr>
        <w:t xml:space="preserve"> The major submission was made under the TGA/PBAC parallel process. The TGA clinical evaluator’s first round report </w:t>
      </w:r>
      <w:r w:rsidR="005856C3" w:rsidRPr="007B28E7">
        <w:rPr>
          <w:szCs w:val="22"/>
        </w:rPr>
        <w:t xml:space="preserve">was received prior to the November 2016 PBAC meeting. </w:t>
      </w:r>
      <w:r w:rsidR="00053BF0" w:rsidRPr="007B28E7">
        <w:rPr>
          <w:bCs/>
          <w:szCs w:val="22"/>
        </w:rPr>
        <w:t>The TGA Delegate’s overview (for the April 2017 meeting of Advisory Committee on Medicines) was not available one week prior to the PBAC meeting.</w:t>
      </w:r>
    </w:p>
    <w:p w:rsidR="006B0D94" w:rsidRPr="007B28E7" w:rsidRDefault="006B0D94" w:rsidP="00882085">
      <w:pPr>
        <w:pStyle w:val="ListParagraph"/>
        <w:rPr>
          <w:szCs w:val="22"/>
        </w:rPr>
      </w:pPr>
    </w:p>
    <w:p w:rsidR="00326E79" w:rsidRPr="007B28E7" w:rsidRDefault="005856C3" w:rsidP="00923755">
      <w:pPr>
        <w:pStyle w:val="ListParagraph"/>
        <w:numPr>
          <w:ilvl w:val="1"/>
          <w:numId w:val="5"/>
        </w:numPr>
        <w:rPr>
          <w:szCs w:val="22"/>
        </w:rPr>
      </w:pPr>
      <w:r w:rsidRPr="007B28E7">
        <w:rPr>
          <w:szCs w:val="22"/>
        </w:rPr>
        <w:t xml:space="preserve">At the November 2016 meeting, </w:t>
      </w:r>
      <w:r w:rsidR="00873C27" w:rsidRPr="007B28E7">
        <w:t>trifluridine/tipiracil</w:t>
      </w:r>
      <w:r w:rsidR="00873C27" w:rsidRPr="007B28E7">
        <w:rPr>
          <w:szCs w:val="22"/>
        </w:rPr>
        <w:t xml:space="preserve"> </w:t>
      </w:r>
      <w:r w:rsidRPr="007B28E7">
        <w:rPr>
          <w:szCs w:val="22"/>
        </w:rPr>
        <w:t xml:space="preserve">was not recommended for listing </w:t>
      </w:r>
      <w:r w:rsidR="00923755" w:rsidRPr="007B28E7">
        <w:rPr>
          <w:szCs w:val="22"/>
        </w:rPr>
        <w:t xml:space="preserve">on the basis of a modest clinical benefit, high and uncertain incremental cost-effectiveness ratio, and concern that the extent of benefit as observed in the clinical trial would not be realised in clinical practice (paragraph 7.1 of the November 2016 </w:t>
      </w:r>
      <w:r w:rsidR="00243A8E">
        <w:rPr>
          <w:szCs w:val="22"/>
        </w:rPr>
        <w:t>Public Summary Document</w:t>
      </w:r>
      <w:r w:rsidR="00923755" w:rsidRPr="007B28E7">
        <w:rPr>
          <w:szCs w:val="22"/>
        </w:rPr>
        <w:t>).</w:t>
      </w:r>
    </w:p>
    <w:p w:rsidR="006A12A5" w:rsidRPr="007B28E7" w:rsidRDefault="006A12A5" w:rsidP="00882085">
      <w:pPr>
        <w:pStyle w:val="ListParagraph"/>
        <w:rPr>
          <w:szCs w:val="22"/>
        </w:rPr>
      </w:pPr>
    </w:p>
    <w:p w:rsidR="00541520" w:rsidRPr="00541520" w:rsidRDefault="00147FDF" w:rsidP="00541520">
      <w:pPr>
        <w:pStyle w:val="ListParagraph"/>
        <w:numPr>
          <w:ilvl w:val="1"/>
          <w:numId w:val="5"/>
        </w:numPr>
        <w:rPr>
          <w:rFonts w:ascii="Arial Narrow" w:hAnsi="Arial Narrow"/>
          <w:b/>
          <w:sz w:val="20"/>
        </w:rPr>
      </w:pPr>
      <w:r w:rsidRPr="007B28E7">
        <w:rPr>
          <w:szCs w:val="22"/>
        </w:rPr>
        <w:t xml:space="preserve">A summary of the November 2016 major submission and March 2017 minor </w:t>
      </w:r>
      <w:r w:rsidR="00A37D31" w:rsidRPr="007B28E7">
        <w:rPr>
          <w:szCs w:val="22"/>
        </w:rPr>
        <w:t>re</w:t>
      </w:r>
      <w:r w:rsidR="002A67D6" w:rsidRPr="007B28E7">
        <w:rPr>
          <w:szCs w:val="22"/>
        </w:rPr>
        <w:t>submission</w:t>
      </w:r>
      <w:r w:rsidRPr="007B28E7">
        <w:rPr>
          <w:szCs w:val="22"/>
        </w:rPr>
        <w:t xml:space="preserve"> </w:t>
      </w:r>
      <w:r w:rsidR="00F353C9" w:rsidRPr="007B28E7">
        <w:rPr>
          <w:szCs w:val="22"/>
        </w:rPr>
        <w:t xml:space="preserve">is </w:t>
      </w:r>
      <w:r w:rsidRPr="007B28E7">
        <w:rPr>
          <w:szCs w:val="22"/>
        </w:rPr>
        <w:t xml:space="preserve">presented in </w:t>
      </w:r>
      <w:r w:rsidR="00A30F27" w:rsidRPr="007B28E7">
        <w:rPr>
          <w:szCs w:val="22"/>
        </w:rPr>
        <w:t>T</w:t>
      </w:r>
      <w:r w:rsidRPr="007B28E7">
        <w:rPr>
          <w:szCs w:val="22"/>
        </w:rPr>
        <w:t xml:space="preserve">able 1. </w:t>
      </w:r>
    </w:p>
    <w:p w:rsidR="00541520" w:rsidRPr="00541520" w:rsidRDefault="00541520" w:rsidP="00541520">
      <w:pPr>
        <w:rPr>
          <w:rFonts w:ascii="Arial Narrow" w:hAnsi="Arial Narrow"/>
          <w:b/>
          <w:sz w:val="20"/>
        </w:rPr>
      </w:pPr>
    </w:p>
    <w:p w:rsidR="005E31DD" w:rsidRPr="00541520" w:rsidRDefault="00F85470" w:rsidP="00541520">
      <w:pPr>
        <w:rPr>
          <w:rFonts w:ascii="Arial Narrow" w:hAnsi="Arial Narrow"/>
          <w:b/>
          <w:sz w:val="20"/>
        </w:rPr>
      </w:pPr>
      <w:r w:rsidRPr="00541520">
        <w:rPr>
          <w:rFonts w:ascii="Arial Narrow" w:hAnsi="Arial Narrow"/>
          <w:b/>
          <w:sz w:val="20"/>
        </w:rPr>
        <w:t xml:space="preserve">Table 1: Summary of </w:t>
      </w:r>
      <w:r w:rsidR="005E31DD" w:rsidRPr="00541520">
        <w:rPr>
          <w:rFonts w:ascii="Arial Narrow" w:hAnsi="Arial Narrow"/>
          <w:b/>
          <w:sz w:val="20"/>
        </w:rPr>
        <w:t xml:space="preserve">the November 2016 major submission and the March 2017 minor </w:t>
      </w:r>
      <w:r w:rsidR="00A37D31" w:rsidRPr="00541520">
        <w:rPr>
          <w:rFonts w:ascii="Arial Narrow" w:hAnsi="Arial Narrow"/>
          <w:b/>
          <w:sz w:val="20"/>
        </w:rPr>
        <w:t>re</w:t>
      </w:r>
      <w:r w:rsidR="002A67D6" w:rsidRPr="00541520">
        <w:rPr>
          <w:rFonts w:ascii="Arial Narrow" w:hAnsi="Arial Narrow"/>
          <w:b/>
          <w:sz w:val="20"/>
        </w:rPr>
        <w:t>submission</w:t>
      </w:r>
    </w:p>
    <w:tbl>
      <w:tblPr>
        <w:tblStyle w:val="TableGrid"/>
        <w:tblW w:w="4913" w:type="pct"/>
        <w:tblInd w:w="80" w:type="dxa"/>
        <w:tblCellMar>
          <w:top w:w="28" w:type="dxa"/>
          <w:left w:w="28" w:type="dxa"/>
          <w:bottom w:w="28" w:type="dxa"/>
          <w:right w:w="28" w:type="dxa"/>
        </w:tblCellMar>
        <w:tblLook w:val="04A0" w:firstRow="1" w:lastRow="0" w:firstColumn="1" w:lastColumn="0" w:noHBand="0" w:noVBand="1"/>
        <w:tblCaption w:val="Table 1: Summary of the November 2016 major submission and the March 2017 minor resubmission"/>
      </w:tblPr>
      <w:tblGrid>
        <w:gridCol w:w="1023"/>
        <w:gridCol w:w="4879"/>
        <w:gridCol w:w="3022"/>
      </w:tblGrid>
      <w:tr w:rsidR="005F3082" w:rsidRPr="007B28E7" w:rsidTr="00E964FC">
        <w:trPr>
          <w:trHeight w:val="195"/>
          <w:tblHeader/>
        </w:trPr>
        <w:tc>
          <w:tcPr>
            <w:tcW w:w="573" w:type="pct"/>
          </w:tcPr>
          <w:p w:rsidR="005F3082" w:rsidRPr="007B28E7" w:rsidRDefault="005F3082" w:rsidP="00310F7C">
            <w:pPr>
              <w:jc w:val="center"/>
              <w:rPr>
                <w:rFonts w:ascii="Arial Narrow" w:hAnsi="Arial Narrow"/>
                <w:b/>
                <w:sz w:val="20"/>
                <w:szCs w:val="20"/>
              </w:rPr>
            </w:pPr>
          </w:p>
        </w:tc>
        <w:tc>
          <w:tcPr>
            <w:tcW w:w="2734" w:type="pct"/>
          </w:tcPr>
          <w:p w:rsidR="005F3082" w:rsidRPr="007B28E7" w:rsidRDefault="005F3082" w:rsidP="00310F7C">
            <w:pPr>
              <w:jc w:val="center"/>
              <w:rPr>
                <w:rFonts w:ascii="Arial Narrow" w:hAnsi="Arial Narrow"/>
                <w:b/>
                <w:sz w:val="20"/>
                <w:szCs w:val="20"/>
              </w:rPr>
            </w:pPr>
            <w:r w:rsidRPr="007B28E7">
              <w:rPr>
                <w:rFonts w:ascii="Arial Narrow" w:hAnsi="Arial Narrow"/>
                <w:b/>
                <w:sz w:val="20"/>
                <w:szCs w:val="20"/>
              </w:rPr>
              <w:t xml:space="preserve">November 2016 major submission </w:t>
            </w:r>
          </w:p>
        </w:tc>
        <w:tc>
          <w:tcPr>
            <w:tcW w:w="1693" w:type="pct"/>
          </w:tcPr>
          <w:p w:rsidR="005F3082" w:rsidRPr="007B28E7" w:rsidRDefault="005F3082" w:rsidP="00310F7C">
            <w:pPr>
              <w:jc w:val="center"/>
              <w:rPr>
                <w:rFonts w:ascii="Arial Narrow" w:hAnsi="Arial Narrow"/>
                <w:b/>
                <w:sz w:val="20"/>
                <w:szCs w:val="20"/>
              </w:rPr>
            </w:pPr>
            <w:r w:rsidRPr="007B28E7">
              <w:rPr>
                <w:rFonts w:ascii="Arial Narrow" w:hAnsi="Arial Narrow"/>
                <w:b/>
                <w:sz w:val="20"/>
                <w:szCs w:val="20"/>
              </w:rPr>
              <w:t xml:space="preserve">March 2017 minor </w:t>
            </w:r>
            <w:r w:rsidR="00A37D31" w:rsidRPr="007B28E7">
              <w:rPr>
                <w:rFonts w:ascii="Arial Narrow" w:hAnsi="Arial Narrow"/>
                <w:b/>
                <w:sz w:val="20"/>
                <w:szCs w:val="20"/>
              </w:rPr>
              <w:t>re</w:t>
            </w:r>
            <w:r w:rsidRPr="007B28E7">
              <w:rPr>
                <w:rFonts w:ascii="Arial Narrow" w:hAnsi="Arial Narrow"/>
                <w:b/>
                <w:sz w:val="20"/>
                <w:szCs w:val="20"/>
              </w:rPr>
              <w:t>submission</w:t>
            </w:r>
          </w:p>
        </w:tc>
      </w:tr>
      <w:tr w:rsidR="005F3082" w:rsidRPr="007B28E7" w:rsidTr="00E964FC">
        <w:trPr>
          <w:trHeight w:val="418"/>
        </w:trPr>
        <w:tc>
          <w:tcPr>
            <w:tcW w:w="573" w:type="pct"/>
          </w:tcPr>
          <w:p w:rsidR="005F3082" w:rsidRPr="007B28E7" w:rsidRDefault="005F3082" w:rsidP="00310F7C">
            <w:pPr>
              <w:rPr>
                <w:rFonts w:ascii="Arial Narrow" w:hAnsi="Arial Narrow"/>
                <w:sz w:val="20"/>
                <w:szCs w:val="20"/>
              </w:rPr>
            </w:pPr>
            <w:r w:rsidRPr="007B28E7">
              <w:rPr>
                <w:rFonts w:ascii="Arial Narrow" w:hAnsi="Arial Narrow"/>
                <w:sz w:val="20"/>
                <w:szCs w:val="20"/>
              </w:rPr>
              <w:t xml:space="preserve">Requested PBS listing </w:t>
            </w:r>
          </w:p>
        </w:tc>
        <w:tc>
          <w:tcPr>
            <w:tcW w:w="2734" w:type="pct"/>
          </w:tcPr>
          <w:p w:rsidR="005F3082" w:rsidRPr="007B28E7" w:rsidRDefault="005F3082" w:rsidP="00310F7C">
            <w:pPr>
              <w:rPr>
                <w:rFonts w:ascii="Arial Narrow" w:hAnsi="Arial Narrow"/>
                <w:sz w:val="20"/>
                <w:szCs w:val="20"/>
              </w:rPr>
            </w:pPr>
            <w:r w:rsidRPr="007B28E7">
              <w:rPr>
                <w:rFonts w:ascii="Arial Narrow" w:hAnsi="Arial Narrow"/>
                <w:sz w:val="20"/>
                <w:szCs w:val="20"/>
              </w:rPr>
              <w:t>Authority Required (STREAMLINED) listing for the treatment of patients with mCRC who have been treated with/not considered candidates for available therapies.</w:t>
            </w:r>
          </w:p>
        </w:tc>
        <w:tc>
          <w:tcPr>
            <w:tcW w:w="1693" w:type="pct"/>
          </w:tcPr>
          <w:p w:rsidR="005F3082" w:rsidRPr="007B28E7" w:rsidRDefault="00B35482" w:rsidP="002C077D">
            <w:pPr>
              <w:rPr>
                <w:rFonts w:ascii="Arial Narrow" w:hAnsi="Arial Narrow"/>
                <w:sz w:val="20"/>
                <w:szCs w:val="20"/>
              </w:rPr>
            </w:pPr>
            <w:r w:rsidRPr="007B28E7">
              <w:rPr>
                <w:rFonts w:ascii="Arial Narrow" w:hAnsi="Arial Narrow"/>
                <w:sz w:val="20"/>
                <w:szCs w:val="20"/>
              </w:rPr>
              <w:t xml:space="preserve">Both an Authority Required and Authority Required (STREAMLINED) listing was requested. </w:t>
            </w:r>
          </w:p>
        </w:tc>
      </w:tr>
      <w:tr w:rsidR="005F3082" w:rsidRPr="007B28E7" w:rsidTr="00E964FC">
        <w:trPr>
          <w:trHeight w:val="418"/>
        </w:trPr>
        <w:tc>
          <w:tcPr>
            <w:tcW w:w="573" w:type="pct"/>
          </w:tcPr>
          <w:p w:rsidR="005F3082" w:rsidRPr="007B28E7" w:rsidRDefault="005F3082" w:rsidP="00310F7C">
            <w:pPr>
              <w:rPr>
                <w:rFonts w:ascii="Arial Narrow" w:hAnsi="Arial Narrow"/>
                <w:sz w:val="20"/>
                <w:szCs w:val="20"/>
              </w:rPr>
            </w:pPr>
            <w:r w:rsidRPr="007B28E7">
              <w:rPr>
                <w:rFonts w:ascii="Arial Narrow" w:hAnsi="Arial Narrow"/>
                <w:sz w:val="20"/>
                <w:szCs w:val="20"/>
              </w:rPr>
              <w:t>Requested effective DPMQs</w:t>
            </w:r>
          </w:p>
        </w:tc>
        <w:tc>
          <w:tcPr>
            <w:tcW w:w="2734" w:type="pct"/>
          </w:tcPr>
          <w:p w:rsidR="005F3082" w:rsidRPr="007B28E7" w:rsidRDefault="005F3082" w:rsidP="00310F7C">
            <w:pPr>
              <w:contextualSpacing/>
              <w:rPr>
                <w:rFonts w:ascii="Arial Narrow" w:hAnsi="Arial Narrow"/>
                <w:sz w:val="20"/>
                <w:szCs w:val="20"/>
              </w:rPr>
            </w:pPr>
            <w:r w:rsidRPr="007B28E7">
              <w:rPr>
                <w:rFonts w:ascii="Arial Narrow" w:hAnsi="Arial Narrow"/>
                <w:sz w:val="20"/>
                <w:szCs w:val="20"/>
              </w:rPr>
              <w:t>Trifluridine 15 mg + tipiracil 6.14 mg tablet, 20: $</w:t>
            </w:r>
            <w:r w:rsidR="00FF6257">
              <w:rPr>
                <w:rFonts w:ascii="Arial Narrow" w:hAnsi="Arial Narrow"/>
                <w:noProof/>
                <w:color w:val="000000"/>
                <w:sz w:val="20"/>
                <w:szCs w:val="20"/>
                <w:highlight w:val="black"/>
              </w:rPr>
              <w:t>''''''''''''''''''''''</w:t>
            </w:r>
          </w:p>
          <w:p w:rsidR="005F3082" w:rsidRPr="007B28E7" w:rsidRDefault="005F3082" w:rsidP="00310F7C">
            <w:pPr>
              <w:contextualSpacing/>
              <w:rPr>
                <w:rFonts w:ascii="Arial Narrow" w:hAnsi="Arial Narrow" w:cs="Arial Narrow"/>
                <w:sz w:val="20"/>
              </w:rPr>
            </w:pPr>
            <w:r w:rsidRPr="007B28E7">
              <w:rPr>
                <w:rFonts w:ascii="Arial Narrow" w:hAnsi="Arial Narrow" w:cs="Arial Narrow"/>
                <w:sz w:val="20"/>
              </w:rPr>
              <w:t>Trifluridine 20 mg + tipiracil 8.19 mg tablet, 20: $</w:t>
            </w:r>
            <w:r w:rsidR="00FF6257">
              <w:rPr>
                <w:rFonts w:ascii="Arial Narrow" w:hAnsi="Arial Narrow" w:cs="Arial Narrow"/>
                <w:noProof/>
                <w:color w:val="000000"/>
                <w:sz w:val="20"/>
                <w:highlight w:val="black"/>
              </w:rPr>
              <w:t>''''''''''''''''''''</w:t>
            </w:r>
          </w:p>
          <w:p w:rsidR="005F3082" w:rsidRPr="007B28E7" w:rsidRDefault="005F3082" w:rsidP="00310F7C">
            <w:pPr>
              <w:rPr>
                <w:rFonts w:ascii="Arial Narrow" w:hAnsi="Arial Narrow"/>
                <w:sz w:val="20"/>
                <w:szCs w:val="20"/>
              </w:rPr>
            </w:pPr>
            <w:r w:rsidRPr="007B28E7">
              <w:rPr>
                <w:rFonts w:ascii="Arial Narrow" w:hAnsi="Arial Narrow" w:cs="Arial Narrow"/>
                <w:sz w:val="20"/>
              </w:rPr>
              <w:t xml:space="preserve">*Prices include </w:t>
            </w:r>
            <w:r w:rsidR="00FF6257">
              <w:rPr>
                <w:rFonts w:ascii="Arial Narrow" w:hAnsi="Arial Narrow" w:cs="Arial Narrow"/>
                <w:noProof/>
                <w:color w:val="000000"/>
                <w:sz w:val="20"/>
                <w:highlight w:val="black"/>
              </w:rPr>
              <w:t>''''''''''</w:t>
            </w:r>
            <w:r w:rsidRPr="007B28E7">
              <w:rPr>
                <w:rFonts w:ascii="Arial Narrow" w:hAnsi="Arial Narrow" w:cs="Arial Narrow"/>
                <w:sz w:val="20"/>
              </w:rPr>
              <w:t xml:space="preserve">% rebate </w:t>
            </w:r>
          </w:p>
        </w:tc>
        <w:tc>
          <w:tcPr>
            <w:tcW w:w="1693" w:type="pct"/>
          </w:tcPr>
          <w:p w:rsidR="005F3082" w:rsidRPr="007B28E7" w:rsidRDefault="005F3082" w:rsidP="00310F7C">
            <w:pPr>
              <w:contextualSpacing/>
              <w:rPr>
                <w:rFonts w:ascii="Arial Narrow" w:hAnsi="Arial Narrow"/>
                <w:sz w:val="20"/>
                <w:szCs w:val="20"/>
              </w:rPr>
            </w:pPr>
            <w:r w:rsidRPr="007B28E7">
              <w:rPr>
                <w:rFonts w:ascii="Arial Narrow" w:hAnsi="Arial Narrow"/>
                <w:sz w:val="20"/>
                <w:szCs w:val="20"/>
              </w:rPr>
              <w:t>$</w:t>
            </w:r>
            <w:r w:rsidR="00FF6257">
              <w:rPr>
                <w:rFonts w:ascii="Arial Narrow" w:hAnsi="Arial Narrow"/>
                <w:noProof/>
                <w:color w:val="000000"/>
                <w:sz w:val="20"/>
                <w:szCs w:val="20"/>
                <w:highlight w:val="black"/>
              </w:rPr>
              <w:t>''''''''''''''''''''</w:t>
            </w:r>
          </w:p>
          <w:p w:rsidR="005F3082" w:rsidRPr="007B28E7" w:rsidRDefault="005F3082" w:rsidP="00310F7C">
            <w:pPr>
              <w:rPr>
                <w:rFonts w:ascii="Arial Narrow" w:hAnsi="Arial Narrow"/>
                <w:sz w:val="20"/>
                <w:szCs w:val="20"/>
              </w:rPr>
            </w:pPr>
            <w:r w:rsidRPr="007B28E7">
              <w:rPr>
                <w:rFonts w:ascii="Arial Narrow" w:hAnsi="Arial Narrow" w:cs="Arial Narrow"/>
                <w:sz w:val="20"/>
              </w:rPr>
              <w:t>$</w:t>
            </w:r>
            <w:r w:rsidR="00FF6257">
              <w:rPr>
                <w:rFonts w:ascii="Arial Narrow" w:hAnsi="Arial Narrow" w:cs="Arial Narrow"/>
                <w:noProof/>
                <w:color w:val="000000"/>
                <w:sz w:val="20"/>
                <w:highlight w:val="black"/>
              </w:rPr>
              <w:t>'''''''''''''''''''''''</w:t>
            </w:r>
            <w:r w:rsidRPr="007B28E7">
              <w:rPr>
                <w:rFonts w:ascii="Arial Narrow" w:hAnsi="Arial Narrow" w:cs="Arial Narrow"/>
                <w:sz w:val="20"/>
              </w:rPr>
              <w:t xml:space="preserve">*Prices include </w:t>
            </w:r>
            <w:r w:rsidR="00FF6257">
              <w:rPr>
                <w:rFonts w:ascii="Arial Narrow" w:hAnsi="Arial Narrow" w:cs="Arial Narrow"/>
                <w:noProof/>
                <w:color w:val="000000"/>
                <w:sz w:val="20"/>
                <w:highlight w:val="black"/>
              </w:rPr>
              <w:t>'''''''''''</w:t>
            </w:r>
            <w:r w:rsidRPr="007B28E7">
              <w:rPr>
                <w:rFonts w:ascii="Arial Narrow" w:hAnsi="Arial Narrow" w:cs="Arial Narrow"/>
                <w:sz w:val="20"/>
              </w:rPr>
              <w:t xml:space="preserve">% rebate </w:t>
            </w:r>
          </w:p>
        </w:tc>
      </w:tr>
      <w:tr w:rsidR="005F3082" w:rsidRPr="007B28E7" w:rsidTr="00E964FC">
        <w:trPr>
          <w:trHeight w:val="418"/>
        </w:trPr>
        <w:tc>
          <w:tcPr>
            <w:tcW w:w="573" w:type="pct"/>
          </w:tcPr>
          <w:p w:rsidR="005F3082" w:rsidRPr="007B28E7" w:rsidRDefault="005F3082" w:rsidP="00310F7C">
            <w:pPr>
              <w:rPr>
                <w:rFonts w:ascii="Arial Narrow" w:hAnsi="Arial Narrow"/>
                <w:sz w:val="20"/>
                <w:szCs w:val="20"/>
              </w:rPr>
            </w:pPr>
            <w:r w:rsidRPr="007B28E7">
              <w:rPr>
                <w:rFonts w:ascii="Arial Narrow" w:hAnsi="Arial Narrow"/>
                <w:sz w:val="20"/>
                <w:szCs w:val="20"/>
              </w:rPr>
              <w:t>Main comparator</w:t>
            </w:r>
          </w:p>
        </w:tc>
        <w:tc>
          <w:tcPr>
            <w:tcW w:w="2734" w:type="pct"/>
          </w:tcPr>
          <w:p w:rsidR="005F3082" w:rsidRPr="007B28E7" w:rsidRDefault="005F3082" w:rsidP="00310F7C">
            <w:pPr>
              <w:rPr>
                <w:rFonts w:ascii="Arial Narrow" w:hAnsi="Arial Narrow"/>
                <w:sz w:val="20"/>
                <w:szCs w:val="20"/>
              </w:rPr>
            </w:pPr>
            <w:r w:rsidRPr="007B28E7">
              <w:rPr>
                <w:rFonts w:ascii="Arial Narrow" w:hAnsi="Arial Narrow"/>
                <w:sz w:val="20"/>
                <w:szCs w:val="20"/>
              </w:rPr>
              <w:t>Best supportive care</w:t>
            </w:r>
          </w:p>
          <w:p w:rsidR="005F3082" w:rsidRPr="007B28E7" w:rsidRDefault="005F3082" w:rsidP="00310F7C">
            <w:pPr>
              <w:rPr>
                <w:rFonts w:ascii="Arial Narrow" w:hAnsi="Arial Narrow"/>
                <w:b/>
                <w:sz w:val="20"/>
                <w:szCs w:val="20"/>
              </w:rPr>
            </w:pPr>
          </w:p>
          <w:p w:rsidR="005F3082" w:rsidRPr="007B28E7" w:rsidRDefault="005F3082" w:rsidP="00310F7C">
            <w:pPr>
              <w:rPr>
                <w:rFonts w:ascii="Arial Narrow" w:hAnsi="Arial Narrow"/>
                <w:sz w:val="20"/>
                <w:szCs w:val="20"/>
              </w:rPr>
            </w:pPr>
            <w:r w:rsidRPr="007B28E7">
              <w:rPr>
                <w:rFonts w:ascii="Arial Narrow" w:hAnsi="Arial Narrow"/>
                <w:b/>
                <w:sz w:val="20"/>
                <w:szCs w:val="20"/>
              </w:rPr>
              <w:t xml:space="preserve">PBAC Comment: </w:t>
            </w:r>
            <w:r w:rsidRPr="007B28E7">
              <w:rPr>
                <w:rFonts w:ascii="Arial Narrow" w:hAnsi="Arial Narrow"/>
                <w:sz w:val="20"/>
                <w:szCs w:val="20"/>
              </w:rPr>
              <w:t>(paragraph 7.4) The PBAC considered best supportive care to be the appropriate comparator.</w:t>
            </w:r>
          </w:p>
        </w:tc>
        <w:tc>
          <w:tcPr>
            <w:tcW w:w="1693" w:type="pct"/>
          </w:tcPr>
          <w:p w:rsidR="005F3082" w:rsidRPr="007B28E7" w:rsidRDefault="005F3082" w:rsidP="00310F7C">
            <w:pPr>
              <w:rPr>
                <w:rFonts w:ascii="Arial Narrow" w:hAnsi="Arial Narrow"/>
                <w:sz w:val="20"/>
                <w:szCs w:val="20"/>
              </w:rPr>
            </w:pPr>
            <w:r w:rsidRPr="007B28E7">
              <w:rPr>
                <w:rFonts w:ascii="Arial Narrow" w:hAnsi="Arial Narrow"/>
                <w:sz w:val="20"/>
                <w:szCs w:val="20"/>
              </w:rPr>
              <w:t xml:space="preserve">No change </w:t>
            </w:r>
          </w:p>
        </w:tc>
      </w:tr>
      <w:tr w:rsidR="005F3082" w:rsidRPr="007B28E7" w:rsidTr="00E964FC">
        <w:trPr>
          <w:trHeight w:val="418"/>
        </w:trPr>
        <w:tc>
          <w:tcPr>
            <w:tcW w:w="573" w:type="pct"/>
          </w:tcPr>
          <w:p w:rsidR="005F3082" w:rsidRPr="007B28E7" w:rsidRDefault="005F3082" w:rsidP="00310F7C">
            <w:pPr>
              <w:rPr>
                <w:rFonts w:ascii="Arial Narrow" w:hAnsi="Arial Narrow"/>
                <w:sz w:val="20"/>
                <w:szCs w:val="20"/>
              </w:rPr>
            </w:pPr>
            <w:r w:rsidRPr="007B28E7">
              <w:rPr>
                <w:rFonts w:ascii="Arial Narrow" w:hAnsi="Arial Narrow"/>
                <w:sz w:val="20"/>
                <w:szCs w:val="20"/>
              </w:rPr>
              <w:t xml:space="preserve">Clinical evidence </w:t>
            </w:r>
          </w:p>
        </w:tc>
        <w:tc>
          <w:tcPr>
            <w:tcW w:w="2734" w:type="pct"/>
          </w:tcPr>
          <w:p w:rsidR="005F3082" w:rsidRPr="007B28E7" w:rsidRDefault="005F3082" w:rsidP="00310F7C">
            <w:pPr>
              <w:rPr>
                <w:rFonts w:ascii="Arial Narrow" w:hAnsi="Arial Narrow"/>
                <w:sz w:val="20"/>
                <w:szCs w:val="20"/>
              </w:rPr>
            </w:pPr>
            <w:r w:rsidRPr="007B28E7">
              <w:rPr>
                <w:rFonts w:ascii="Arial Narrow" w:hAnsi="Arial Narrow"/>
                <w:sz w:val="20"/>
                <w:szCs w:val="20"/>
              </w:rPr>
              <w:t>Primary trial: RECOURSE (n=800), head to head, randomised double blind trial (used in economic model)</w:t>
            </w:r>
            <w:r w:rsidR="008B45C4" w:rsidRPr="007B28E7">
              <w:rPr>
                <w:rFonts w:ascii="Arial Narrow" w:hAnsi="Arial Narrow"/>
                <w:sz w:val="20"/>
                <w:szCs w:val="20"/>
              </w:rPr>
              <w:t>.</w:t>
            </w:r>
          </w:p>
          <w:p w:rsidR="005F3082" w:rsidRPr="007B28E7" w:rsidRDefault="005F3082" w:rsidP="00310F7C">
            <w:pPr>
              <w:rPr>
                <w:rFonts w:ascii="Arial Narrow" w:hAnsi="Arial Narrow"/>
                <w:sz w:val="20"/>
                <w:szCs w:val="20"/>
              </w:rPr>
            </w:pPr>
            <w:r w:rsidRPr="007B28E7">
              <w:rPr>
                <w:rFonts w:ascii="Arial Narrow" w:hAnsi="Arial Narrow"/>
                <w:sz w:val="20"/>
                <w:szCs w:val="20"/>
              </w:rPr>
              <w:t>Supportive trial: J003 trial (n=169), considered</w:t>
            </w:r>
            <w:r w:rsidR="00A13A7B" w:rsidRPr="007B28E7">
              <w:rPr>
                <w:rFonts w:ascii="Arial Narrow" w:hAnsi="Arial Narrow"/>
                <w:sz w:val="20"/>
                <w:szCs w:val="20"/>
              </w:rPr>
              <w:t xml:space="preserve"> only as</w:t>
            </w:r>
            <w:r w:rsidRPr="007B28E7">
              <w:rPr>
                <w:rFonts w:ascii="Arial Narrow" w:hAnsi="Arial Narrow"/>
                <w:sz w:val="20"/>
                <w:szCs w:val="20"/>
              </w:rPr>
              <w:t xml:space="preserve"> supportive because of Asian ethnicity of recruited patients (not used in economic model as required ECOG data not reported)</w:t>
            </w:r>
            <w:r w:rsidR="008B45C4" w:rsidRPr="007B28E7">
              <w:rPr>
                <w:rFonts w:ascii="Arial Narrow" w:hAnsi="Arial Narrow"/>
                <w:sz w:val="20"/>
                <w:szCs w:val="20"/>
              </w:rPr>
              <w:t>.</w:t>
            </w:r>
          </w:p>
          <w:p w:rsidR="005F3082" w:rsidRPr="007B28E7" w:rsidRDefault="005F3082" w:rsidP="00310F7C">
            <w:pPr>
              <w:rPr>
                <w:rFonts w:ascii="Arial Narrow" w:hAnsi="Arial Narrow"/>
                <w:sz w:val="20"/>
                <w:szCs w:val="20"/>
              </w:rPr>
            </w:pPr>
          </w:p>
          <w:p w:rsidR="005F3082" w:rsidRPr="007B28E7" w:rsidRDefault="005F3082" w:rsidP="00310F7C">
            <w:pPr>
              <w:rPr>
                <w:rFonts w:ascii="Arial Narrow" w:hAnsi="Arial Narrow"/>
                <w:sz w:val="20"/>
                <w:szCs w:val="20"/>
              </w:rPr>
            </w:pPr>
            <w:r w:rsidRPr="007B28E7">
              <w:rPr>
                <w:rFonts w:ascii="Arial Narrow" w:hAnsi="Arial Narrow"/>
                <w:b/>
                <w:sz w:val="20"/>
                <w:szCs w:val="20"/>
              </w:rPr>
              <w:t xml:space="preserve">PBAC Comment: </w:t>
            </w:r>
            <w:r w:rsidRPr="007B28E7">
              <w:rPr>
                <w:rFonts w:ascii="Arial Narrow" w:hAnsi="Arial Narrow"/>
                <w:sz w:val="20"/>
                <w:szCs w:val="20"/>
              </w:rPr>
              <w:t xml:space="preserve">(paragraph 7.5) the results of the J003 trial were similar to those for the RECOURSE trial. </w:t>
            </w:r>
          </w:p>
        </w:tc>
        <w:tc>
          <w:tcPr>
            <w:tcW w:w="1693" w:type="pct"/>
          </w:tcPr>
          <w:p w:rsidR="005F3082" w:rsidRPr="007B28E7" w:rsidRDefault="005F3082" w:rsidP="00310F7C">
            <w:pPr>
              <w:rPr>
                <w:rFonts w:ascii="Arial Narrow" w:hAnsi="Arial Narrow"/>
                <w:sz w:val="20"/>
                <w:szCs w:val="20"/>
              </w:rPr>
            </w:pPr>
            <w:r w:rsidRPr="007B28E7">
              <w:rPr>
                <w:rFonts w:ascii="Arial Narrow" w:hAnsi="Arial Narrow"/>
                <w:sz w:val="20"/>
                <w:szCs w:val="20"/>
              </w:rPr>
              <w:t xml:space="preserve">Pooled analysis of RECOURSE and J003 trials used in economic model as </w:t>
            </w:r>
            <w:r w:rsidR="003C587E" w:rsidRPr="007B28E7">
              <w:rPr>
                <w:rFonts w:ascii="Arial Narrow" w:hAnsi="Arial Narrow"/>
                <w:sz w:val="20"/>
                <w:szCs w:val="20"/>
              </w:rPr>
              <w:t xml:space="preserve">a </w:t>
            </w:r>
            <w:r w:rsidRPr="007B28E7">
              <w:rPr>
                <w:rFonts w:ascii="Arial Narrow" w:hAnsi="Arial Narrow"/>
                <w:sz w:val="20"/>
                <w:szCs w:val="20"/>
              </w:rPr>
              <w:t>revised model based on PFS which was reported in both trials</w:t>
            </w:r>
            <w:r w:rsidR="00B35482" w:rsidRPr="007B28E7">
              <w:rPr>
                <w:rFonts w:ascii="Arial Narrow" w:hAnsi="Arial Narrow"/>
                <w:sz w:val="20"/>
                <w:szCs w:val="20"/>
              </w:rPr>
              <w:t>.</w:t>
            </w:r>
          </w:p>
        </w:tc>
      </w:tr>
      <w:tr w:rsidR="005F3082" w:rsidRPr="007B28E7" w:rsidTr="00E964FC">
        <w:trPr>
          <w:trHeight w:val="142"/>
        </w:trPr>
        <w:tc>
          <w:tcPr>
            <w:tcW w:w="573" w:type="pct"/>
          </w:tcPr>
          <w:p w:rsidR="005F3082" w:rsidRPr="007B28E7" w:rsidRDefault="005F3082" w:rsidP="00310F7C">
            <w:pPr>
              <w:rPr>
                <w:rFonts w:ascii="Arial Narrow" w:hAnsi="Arial Narrow"/>
                <w:sz w:val="20"/>
                <w:szCs w:val="20"/>
              </w:rPr>
            </w:pPr>
            <w:r w:rsidRPr="007B28E7">
              <w:rPr>
                <w:rFonts w:ascii="Arial Narrow" w:hAnsi="Arial Narrow"/>
                <w:sz w:val="20"/>
                <w:szCs w:val="20"/>
              </w:rPr>
              <w:t>Key effectiveness data</w:t>
            </w:r>
          </w:p>
        </w:tc>
        <w:tc>
          <w:tcPr>
            <w:tcW w:w="2734" w:type="pct"/>
          </w:tcPr>
          <w:p w:rsidR="005F3082" w:rsidRPr="007B28E7" w:rsidRDefault="005F3082" w:rsidP="00310F7C">
            <w:pPr>
              <w:rPr>
                <w:rFonts w:ascii="Arial Narrow" w:hAnsi="Arial Narrow"/>
                <w:sz w:val="20"/>
                <w:szCs w:val="20"/>
              </w:rPr>
            </w:pPr>
            <w:r w:rsidRPr="007B28E7">
              <w:rPr>
                <w:rFonts w:ascii="Arial Narrow" w:hAnsi="Arial Narrow"/>
                <w:sz w:val="20"/>
                <w:szCs w:val="20"/>
              </w:rPr>
              <w:t>RECOURSE trial</w:t>
            </w:r>
          </w:p>
          <w:p w:rsidR="005F3082" w:rsidRPr="007B28E7" w:rsidRDefault="005F3082" w:rsidP="00310F7C">
            <w:pPr>
              <w:rPr>
                <w:rFonts w:ascii="Arial Narrow" w:hAnsi="Arial Narrow"/>
                <w:sz w:val="20"/>
                <w:szCs w:val="20"/>
              </w:rPr>
            </w:pPr>
            <w:r w:rsidRPr="007B28E7">
              <w:rPr>
                <w:rFonts w:ascii="Arial Narrow" w:hAnsi="Arial Narrow"/>
                <w:sz w:val="20"/>
                <w:szCs w:val="20"/>
                <w:u w:val="single"/>
              </w:rPr>
              <w:t>Mean overall survival, months</w:t>
            </w:r>
            <w:r w:rsidRPr="007B28E7">
              <w:rPr>
                <w:rFonts w:ascii="Arial Narrow" w:hAnsi="Arial Narrow"/>
                <w:sz w:val="20"/>
                <w:szCs w:val="20"/>
              </w:rPr>
              <w:t xml:space="preserve"> (95% CI)</w:t>
            </w:r>
          </w:p>
          <w:p w:rsidR="005F3082" w:rsidRPr="007B28E7" w:rsidRDefault="005F3082" w:rsidP="00310F7C">
            <w:pPr>
              <w:rPr>
                <w:rFonts w:ascii="Arial Narrow" w:hAnsi="Arial Narrow"/>
                <w:sz w:val="20"/>
                <w:szCs w:val="20"/>
              </w:rPr>
            </w:pPr>
            <w:r w:rsidRPr="007B28E7">
              <w:rPr>
                <w:rFonts w:ascii="Arial Narrow" w:hAnsi="Arial Narrow"/>
                <w:sz w:val="20"/>
                <w:szCs w:val="20"/>
              </w:rPr>
              <w:t>trifluridine/tipiracil: 9.7 (9.2, 10.3); placebo: 7.2 (6.6, 7.9)</w:t>
            </w:r>
          </w:p>
          <w:p w:rsidR="005F3082" w:rsidRPr="007B28E7" w:rsidRDefault="005F3082" w:rsidP="00310F7C">
            <w:pPr>
              <w:rPr>
                <w:rFonts w:ascii="Arial Narrow" w:hAnsi="Arial Narrow"/>
                <w:sz w:val="20"/>
                <w:szCs w:val="20"/>
              </w:rPr>
            </w:pPr>
            <w:r w:rsidRPr="007B28E7">
              <w:rPr>
                <w:rFonts w:ascii="Arial Narrow" w:hAnsi="Arial Narrow"/>
                <w:sz w:val="20"/>
                <w:szCs w:val="20"/>
              </w:rPr>
              <w:t>difference: 2.5 months</w:t>
            </w:r>
          </w:p>
          <w:p w:rsidR="005F3082" w:rsidRPr="007B28E7" w:rsidRDefault="005F3082" w:rsidP="00310F7C">
            <w:pPr>
              <w:rPr>
                <w:rFonts w:ascii="Arial Narrow" w:hAnsi="Arial Narrow"/>
                <w:sz w:val="20"/>
                <w:szCs w:val="20"/>
              </w:rPr>
            </w:pPr>
          </w:p>
          <w:p w:rsidR="005F3082" w:rsidRPr="007B28E7" w:rsidRDefault="005F3082" w:rsidP="00310F7C">
            <w:pPr>
              <w:rPr>
                <w:rFonts w:ascii="Arial Narrow" w:hAnsi="Arial Narrow"/>
                <w:sz w:val="20"/>
                <w:szCs w:val="20"/>
                <w:u w:val="single"/>
              </w:rPr>
            </w:pPr>
            <w:r w:rsidRPr="007B28E7">
              <w:rPr>
                <w:rFonts w:ascii="Arial Narrow" w:hAnsi="Arial Narrow"/>
                <w:sz w:val="20"/>
                <w:szCs w:val="20"/>
                <w:u w:val="single"/>
              </w:rPr>
              <w:t>Mean time to deterioration of ECOG-PS to ≥2, months (95% CI)</w:t>
            </w:r>
          </w:p>
          <w:p w:rsidR="005F3082" w:rsidRPr="007B28E7" w:rsidRDefault="005F3082" w:rsidP="00310F7C">
            <w:pPr>
              <w:rPr>
                <w:rFonts w:ascii="Arial Narrow" w:hAnsi="Arial Narrow"/>
                <w:sz w:val="20"/>
                <w:szCs w:val="20"/>
              </w:rPr>
            </w:pPr>
            <w:r w:rsidRPr="007B28E7">
              <w:rPr>
                <w:rFonts w:ascii="Arial Narrow" w:hAnsi="Arial Narrow"/>
                <w:sz w:val="20"/>
                <w:szCs w:val="20"/>
              </w:rPr>
              <w:t>trifluridine/tipiracil: 6.5 (6.1, 6.9), placebo: 4.8 (4.3, 5.3)</w:t>
            </w:r>
          </w:p>
          <w:p w:rsidR="005F3082" w:rsidRPr="007B28E7" w:rsidRDefault="005F3082" w:rsidP="00310F7C">
            <w:pPr>
              <w:rPr>
                <w:rFonts w:ascii="Arial Narrow" w:hAnsi="Arial Narrow"/>
                <w:sz w:val="20"/>
                <w:szCs w:val="20"/>
              </w:rPr>
            </w:pPr>
            <w:r w:rsidRPr="007B28E7">
              <w:rPr>
                <w:rFonts w:ascii="Arial Narrow" w:hAnsi="Arial Narrow"/>
                <w:sz w:val="20"/>
                <w:szCs w:val="20"/>
              </w:rPr>
              <w:t>difference: 1.7 months</w:t>
            </w:r>
          </w:p>
        </w:tc>
        <w:tc>
          <w:tcPr>
            <w:tcW w:w="1693" w:type="pct"/>
          </w:tcPr>
          <w:p w:rsidR="005F3082" w:rsidRPr="007B28E7" w:rsidRDefault="005F3082" w:rsidP="00310F7C">
            <w:pPr>
              <w:rPr>
                <w:rFonts w:ascii="Arial Narrow" w:hAnsi="Arial Narrow"/>
                <w:sz w:val="20"/>
                <w:szCs w:val="20"/>
              </w:rPr>
            </w:pPr>
            <w:r w:rsidRPr="007B28E7">
              <w:rPr>
                <w:rFonts w:ascii="Arial Narrow" w:hAnsi="Arial Narrow"/>
                <w:sz w:val="20"/>
                <w:szCs w:val="20"/>
              </w:rPr>
              <w:t>Pooled RECOURSE and J003 trials</w:t>
            </w:r>
          </w:p>
          <w:p w:rsidR="005F3082" w:rsidRPr="007B28E7" w:rsidRDefault="005F3082" w:rsidP="00310F7C">
            <w:pPr>
              <w:rPr>
                <w:rFonts w:ascii="Arial Narrow" w:hAnsi="Arial Narrow"/>
                <w:sz w:val="20"/>
                <w:szCs w:val="20"/>
              </w:rPr>
            </w:pPr>
            <w:r w:rsidRPr="007B28E7">
              <w:rPr>
                <w:rFonts w:ascii="Arial Narrow" w:hAnsi="Arial Narrow"/>
                <w:sz w:val="20"/>
                <w:szCs w:val="20"/>
                <w:u w:val="single"/>
              </w:rPr>
              <w:t>Mean overall survival, months</w:t>
            </w:r>
          </w:p>
          <w:p w:rsidR="005F3082" w:rsidRPr="007B28E7" w:rsidRDefault="005F3082" w:rsidP="00310F7C">
            <w:pPr>
              <w:rPr>
                <w:rFonts w:ascii="Arial Narrow" w:hAnsi="Arial Narrow"/>
                <w:sz w:val="20"/>
                <w:szCs w:val="20"/>
              </w:rPr>
            </w:pPr>
            <w:r w:rsidRPr="007B28E7">
              <w:rPr>
                <w:rFonts w:ascii="Arial Narrow" w:hAnsi="Arial Narrow"/>
                <w:sz w:val="20"/>
                <w:szCs w:val="20"/>
              </w:rPr>
              <w:t xml:space="preserve">trifluridine/tipiracil: 10.0, placebo: 7.4, difference: 2.6 </w:t>
            </w:r>
          </w:p>
          <w:p w:rsidR="005F3082" w:rsidRPr="007B28E7" w:rsidRDefault="005F3082" w:rsidP="00310F7C">
            <w:pPr>
              <w:rPr>
                <w:rFonts w:ascii="Arial Narrow" w:hAnsi="Arial Narrow"/>
                <w:sz w:val="20"/>
                <w:szCs w:val="20"/>
              </w:rPr>
            </w:pPr>
          </w:p>
          <w:p w:rsidR="005F3082" w:rsidRPr="007B28E7" w:rsidRDefault="005F3082" w:rsidP="00310F7C">
            <w:pPr>
              <w:rPr>
                <w:rFonts w:ascii="Arial Narrow" w:hAnsi="Arial Narrow"/>
                <w:sz w:val="20"/>
                <w:szCs w:val="20"/>
                <w:u w:val="single"/>
              </w:rPr>
            </w:pPr>
            <w:r w:rsidRPr="007B28E7">
              <w:rPr>
                <w:rFonts w:ascii="Arial Narrow" w:hAnsi="Arial Narrow"/>
                <w:sz w:val="20"/>
                <w:szCs w:val="20"/>
                <w:u w:val="single"/>
              </w:rPr>
              <w:t>Mean progression-free survival, months</w:t>
            </w:r>
          </w:p>
          <w:p w:rsidR="005F3082" w:rsidRPr="007B28E7" w:rsidRDefault="005F3082" w:rsidP="00310F7C">
            <w:pPr>
              <w:rPr>
                <w:rFonts w:ascii="Arial Narrow" w:hAnsi="Arial Narrow"/>
                <w:sz w:val="20"/>
                <w:szCs w:val="20"/>
              </w:rPr>
            </w:pPr>
            <w:r w:rsidRPr="007B28E7">
              <w:rPr>
                <w:rFonts w:ascii="Arial Narrow" w:hAnsi="Arial Narrow"/>
                <w:sz w:val="20"/>
                <w:szCs w:val="20"/>
              </w:rPr>
              <w:t>trifluridine/tipiracil: 3.7, placebo: 1.9, difference: 1.8 months</w:t>
            </w:r>
          </w:p>
        </w:tc>
      </w:tr>
      <w:tr w:rsidR="005F3082" w:rsidRPr="007B28E7" w:rsidTr="00E964FC">
        <w:trPr>
          <w:trHeight w:val="418"/>
        </w:trPr>
        <w:tc>
          <w:tcPr>
            <w:tcW w:w="573" w:type="pct"/>
          </w:tcPr>
          <w:p w:rsidR="005F3082" w:rsidRPr="007B28E7" w:rsidRDefault="005F3082" w:rsidP="00310F7C">
            <w:pPr>
              <w:rPr>
                <w:rFonts w:ascii="Arial Narrow" w:hAnsi="Arial Narrow"/>
                <w:sz w:val="20"/>
                <w:szCs w:val="20"/>
              </w:rPr>
            </w:pPr>
            <w:r w:rsidRPr="007B28E7">
              <w:rPr>
                <w:rFonts w:ascii="Arial Narrow" w:hAnsi="Arial Narrow"/>
                <w:sz w:val="20"/>
                <w:szCs w:val="20"/>
              </w:rPr>
              <w:t xml:space="preserve">Clinical claim </w:t>
            </w:r>
          </w:p>
        </w:tc>
        <w:tc>
          <w:tcPr>
            <w:tcW w:w="2734" w:type="pct"/>
          </w:tcPr>
          <w:p w:rsidR="005F3082" w:rsidRPr="007B28E7" w:rsidRDefault="005F3082" w:rsidP="00310F7C">
            <w:pPr>
              <w:rPr>
                <w:rFonts w:ascii="Arial Narrow" w:hAnsi="Arial Narrow"/>
                <w:sz w:val="20"/>
                <w:szCs w:val="20"/>
              </w:rPr>
            </w:pPr>
            <w:r w:rsidRPr="007B28E7">
              <w:rPr>
                <w:rFonts w:ascii="Arial Narrow" w:hAnsi="Arial Narrow"/>
                <w:sz w:val="20"/>
                <w:szCs w:val="20"/>
              </w:rPr>
              <w:t>Superior in terms of efficacy and inferior in terms of safety to best supportive care (placebo).</w:t>
            </w:r>
          </w:p>
          <w:p w:rsidR="005F3082" w:rsidRPr="007B28E7" w:rsidRDefault="005F3082" w:rsidP="00310F7C">
            <w:pPr>
              <w:rPr>
                <w:rFonts w:ascii="Arial Narrow" w:hAnsi="Arial Narrow"/>
                <w:sz w:val="20"/>
                <w:szCs w:val="20"/>
              </w:rPr>
            </w:pPr>
          </w:p>
          <w:p w:rsidR="005F3082" w:rsidRPr="007B28E7" w:rsidRDefault="005F3082" w:rsidP="00310F7C">
            <w:pPr>
              <w:rPr>
                <w:rFonts w:ascii="Arial Narrow" w:hAnsi="Arial Narrow"/>
                <w:sz w:val="20"/>
                <w:szCs w:val="20"/>
              </w:rPr>
            </w:pPr>
            <w:r w:rsidRPr="007B28E7">
              <w:rPr>
                <w:rFonts w:ascii="Arial Narrow" w:hAnsi="Arial Narrow"/>
                <w:b/>
                <w:sz w:val="20"/>
                <w:szCs w:val="20"/>
              </w:rPr>
              <w:t>PBAC Comment:</w:t>
            </w:r>
            <w:r w:rsidRPr="007B28E7">
              <w:rPr>
                <w:rFonts w:ascii="Arial Narrow" w:hAnsi="Arial Narrow"/>
                <w:sz w:val="20"/>
                <w:szCs w:val="20"/>
              </w:rPr>
              <w:t xml:space="preserve"> (paragraphs 7.5, 7.6 and 7.8) </w:t>
            </w:r>
          </w:p>
          <w:p w:rsidR="005F3082" w:rsidRPr="007B28E7" w:rsidRDefault="005F3082" w:rsidP="00310F7C">
            <w:pPr>
              <w:rPr>
                <w:rFonts w:ascii="Arial Narrow" w:hAnsi="Arial Narrow"/>
                <w:sz w:val="20"/>
                <w:szCs w:val="20"/>
              </w:rPr>
            </w:pPr>
            <w:r w:rsidRPr="007B28E7">
              <w:rPr>
                <w:rFonts w:ascii="Arial Narrow" w:hAnsi="Arial Narrow"/>
                <w:sz w:val="20"/>
                <w:szCs w:val="20"/>
                <w:u w:val="single"/>
              </w:rPr>
              <w:t>Efficacy</w:t>
            </w:r>
            <w:r w:rsidRPr="007B28E7">
              <w:rPr>
                <w:rFonts w:ascii="Arial Narrow" w:hAnsi="Arial Narrow"/>
                <w:sz w:val="20"/>
                <w:szCs w:val="20"/>
              </w:rPr>
              <w:t>: claim of superior efficacy adequately supported by the data, although the</w:t>
            </w:r>
            <w:r w:rsidR="008B45C4" w:rsidRPr="007B28E7">
              <w:rPr>
                <w:rFonts w:ascii="Arial Narrow" w:hAnsi="Arial Narrow"/>
                <w:sz w:val="20"/>
                <w:szCs w:val="20"/>
              </w:rPr>
              <w:t xml:space="preserve"> magnitude of the benefit</w:t>
            </w:r>
            <w:r w:rsidRPr="007B28E7">
              <w:rPr>
                <w:rFonts w:ascii="Arial Narrow" w:hAnsi="Arial Narrow"/>
                <w:sz w:val="20"/>
                <w:szCs w:val="20"/>
              </w:rPr>
              <w:t xml:space="preserve"> may not be realised in clinical practice. </w:t>
            </w:r>
          </w:p>
          <w:p w:rsidR="005F3082" w:rsidRPr="007B28E7" w:rsidRDefault="005F3082" w:rsidP="00310F7C">
            <w:pPr>
              <w:rPr>
                <w:rFonts w:ascii="Arial Narrow" w:hAnsi="Arial Narrow"/>
                <w:sz w:val="20"/>
                <w:szCs w:val="20"/>
              </w:rPr>
            </w:pPr>
            <w:r w:rsidRPr="007B28E7">
              <w:rPr>
                <w:rFonts w:ascii="Arial Narrow" w:hAnsi="Arial Narrow"/>
                <w:sz w:val="20"/>
                <w:szCs w:val="20"/>
                <w:u w:val="single"/>
              </w:rPr>
              <w:t xml:space="preserve">Safety: </w:t>
            </w:r>
            <w:r w:rsidRPr="007B28E7">
              <w:rPr>
                <w:rFonts w:ascii="Arial Narrow" w:hAnsi="Arial Narrow"/>
                <w:sz w:val="20"/>
                <w:szCs w:val="20"/>
              </w:rPr>
              <w:t>claim of inferior safety reasonable. The toxicity associated with trifluridine/tipiracil was predictable, with myelosupression being the key adverse event.</w:t>
            </w:r>
          </w:p>
        </w:tc>
        <w:tc>
          <w:tcPr>
            <w:tcW w:w="1693" w:type="pct"/>
          </w:tcPr>
          <w:p w:rsidR="005F3082" w:rsidRPr="007B28E7" w:rsidRDefault="005F3082" w:rsidP="00310F7C">
            <w:pPr>
              <w:rPr>
                <w:rFonts w:ascii="Arial Narrow" w:hAnsi="Arial Narrow"/>
                <w:sz w:val="20"/>
                <w:szCs w:val="20"/>
              </w:rPr>
            </w:pPr>
            <w:r w:rsidRPr="007B28E7">
              <w:rPr>
                <w:rFonts w:ascii="Arial Narrow" w:hAnsi="Arial Narrow"/>
                <w:sz w:val="20"/>
                <w:szCs w:val="20"/>
              </w:rPr>
              <w:t xml:space="preserve">No change </w:t>
            </w:r>
          </w:p>
        </w:tc>
      </w:tr>
      <w:tr w:rsidR="005F3082" w:rsidRPr="007B28E7" w:rsidTr="00E964FC">
        <w:trPr>
          <w:trHeight w:val="140"/>
        </w:trPr>
        <w:tc>
          <w:tcPr>
            <w:tcW w:w="573" w:type="pct"/>
          </w:tcPr>
          <w:p w:rsidR="005F3082" w:rsidRPr="007B28E7" w:rsidDel="00D52D5B" w:rsidRDefault="005F3082" w:rsidP="00310F7C">
            <w:pPr>
              <w:rPr>
                <w:rFonts w:ascii="Arial Narrow" w:hAnsi="Arial Narrow"/>
                <w:sz w:val="20"/>
                <w:szCs w:val="20"/>
              </w:rPr>
            </w:pPr>
            <w:r w:rsidRPr="007B28E7">
              <w:rPr>
                <w:rFonts w:ascii="Arial Narrow" w:hAnsi="Arial Narrow"/>
                <w:sz w:val="20"/>
                <w:szCs w:val="20"/>
              </w:rPr>
              <w:t>Economic evaluation, model structure</w:t>
            </w:r>
          </w:p>
        </w:tc>
        <w:tc>
          <w:tcPr>
            <w:tcW w:w="2734" w:type="pct"/>
          </w:tcPr>
          <w:p w:rsidR="005F3082" w:rsidRPr="007B28E7" w:rsidRDefault="005F3082" w:rsidP="00310F7C">
            <w:pPr>
              <w:contextualSpacing/>
              <w:rPr>
                <w:rFonts w:ascii="Arial Narrow" w:hAnsi="Arial Narrow"/>
                <w:sz w:val="20"/>
                <w:szCs w:val="20"/>
              </w:rPr>
            </w:pPr>
            <w:r w:rsidRPr="007B28E7">
              <w:rPr>
                <w:rFonts w:ascii="Arial Narrow" w:hAnsi="Arial Narrow"/>
                <w:sz w:val="20"/>
                <w:szCs w:val="20"/>
              </w:rPr>
              <w:t>Trial based analysis (no extrapolation) using data from RECOURSE wi</w:t>
            </w:r>
            <w:r w:rsidR="00E34E7E" w:rsidRPr="007B28E7">
              <w:rPr>
                <w:rFonts w:ascii="Arial Narrow" w:hAnsi="Arial Narrow"/>
                <w:sz w:val="20"/>
                <w:szCs w:val="20"/>
              </w:rPr>
              <w:t>th OS partitioned based on ECOG-</w:t>
            </w:r>
            <w:r w:rsidRPr="007B28E7">
              <w:rPr>
                <w:rFonts w:ascii="Arial Narrow" w:hAnsi="Arial Narrow"/>
                <w:sz w:val="20"/>
                <w:szCs w:val="20"/>
              </w:rPr>
              <w:t>PS.</w:t>
            </w:r>
          </w:p>
          <w:p w:rsidR="005F3082" w:rsidRPr="007B28E7" w:rsidRDefault="005F3082" w:rsidP="00310F7C">
            <w:pPr>
              <w:contextualSpacing/>
              <w:rPr>
                <w:rFonts w:ascii="Arial Narrow" w:hAnsi="Arial Narrow"/>
                <w:sz w:val="20"/>
                <w:szCs w:val="20"/>
              </w:rPr>
            </w:pPr>
          </w:p>
          <w:p w:rsidR="005F3082" w:rsidRPr="007B28E7" w:rsidRDefault="005F3082" w:rsidP="00310F7C">
            <w:pPr>
              <w:contextualSpacing/>
              <w:rPr>
                <w:rFonts w:ascii="Arial Narrow" w:hAnsi="Arial Narrow"/>
                <w:sz w:val="20"/>
                <w:szCs w:val="20"/>
              </w:rPr>
            </w:pPr>
            <w:r w:rsidRPr="007B28E7">
              <w:rPr>
                <w:rFonts w:ascii="Arial Narrow" w:hAnsi="Arial Narrow"/>
                <w:sz w:val="20"/>
                <w:szCs w:val="20"/>
              </w:rPr>
              <w:t>Utility values: ECOG 0,1 = 0.81, ECOG 2,3 = 0.70 (based on transformation of ECOG-PS scores, data not specific to mCRC)</w:t>
            </w:r>
          </w:p>
          <w:p w:rsidR="005F3082" w:rsidRPr="007B28E7" w:rsidRDefault="005F3082" w:rsidP="00310F7C">
            <w:pPr>
              <w:contextualSpacing/>
              <w:rPr>
                <w:rFonts w:ascii="Arial Narrow" w:hAnsi="Arial Narrow"/>
                <w:sz w:val="20"/>
                <w:szCs w:val="20"/>
              </w:rPr>
            </w:pPr>
          </w:p>
          <w:p w:rsidR="005F3082" w:rsidRPr="007B28E7" w:rsidRDefault="005F3082" w:rsidP="00310F7C">
            <w:pPr>
              <w:contextualSpacing/>
              <w:rPr>
                <w:rFonts w:ascii="Arial Narrow" w:hAnsi="Arial Narrow"/>
                <w:sz w:val="20"/>
                <w:szCs w:val="20"/>
              </w:rPr>
            </w:pPr>
            <w:r w:rsidRPr="007B28E7">
              <w:rPr>
                <w:rFonts w:ascii="Arial Narrow" w:hAnsi="Arial Narrow"/>
                <w:b/>
                <w:sz w:val="20"/>
                <w:szCs w:val="20"/>
              </w:rPr>
              <w:t>PBAC Comment:</w:t>
            </w:r>
            <w:r w:rsidR="00B35482" w:rsidRPr="007B28E7">
              <w:rPr>
                <w:rFonts w:ascii="Arial Narrow" w:hAnsi="Arial Narrow"/>
                <w:sz w:val="20"/>
                <w:szCs w:val="20"/>
              </w:rPr>
              <w:t xml:space="preserve"> (paragraph 7.13</w:t>
            </w:r>
            <w:r w:rsidRPr="007B28E7">
              <w:rPr>
                <w:rFonts w:ascii="Arial Narrow" w:hAnsi="Arial Narrow"/>
                <w:sz w:val="20"/>
                <w:szCs w:val="20"/>
              </w:rPr>
              <w:t xml:space="preserve">) </w:t>
            </w:r>
            <w:r w:rsidR="00B35482" w:rsidRPr="007B28E7">
              <w:rPr>
                <w:rFonts w:ascii="Arial Narrow" w:hAnsi="Arial Narrow"/>
                <w:sz w:val="20"/>
                <w:szCs w:val="20"/>
              </w:rPr>
              <w:t>the PBAC considered that any resubmission should include an economic model with health states based on progression, and the utility values from the regorafenib mCRC trial should be applied to these health states.</w:t>
            </w:r>
          </w:p>
        </w:tc>
        <w:tc>
          <w:tcPr>
            <w:tcW w:w="1693" w:type="pct"/>
          </w:tcPr>
          <w:p w:rsidR="005F3082" w:rsidRPr="007B28E7" w:rsidRDefault="005F3082" w:rsidP="00310F7C">
            <w:pPr>
              <w:contextualSpacing/>
              <w:rPr>
                <w:rFonts w:ascii="Arial Narrow" w:hAnsi="Arial Narrow"/>
                <w:sz w:val="20"/>
                <w:szCs w:val="20"/>
              </w:rPr>
            </w:pPr>
            <w:r w:rsidRPr="007B28E7">
              <w:rPr>
                <w:rFonts w:ascii="Arial Narrow" w:hAnsi="Arial Narrow"/>
                <w:sz w:val="20"/>
                <w:szCs w:val="20"/>
              </w:rPr>
              <w:t>Trial based analysis (no extrapolation) using data from RECOURSE and J003 with OS partitioned based on PFS.</w:t>
            </w:r>
          </w:p>
          <w:p w:rsidR="005F3082" w:rsidRPr="007B28E7" w:rsidRDefault="005F3082" w:rsidP="00310F7C">
            <w:pPr>
              <w:contextualSpacing/>
              <w:rPr>
                <w:rFonts w:ascii="Arial Narrow" w:hAnsi="Arial Narrow"/>
                <w:sz w:val="20"/>
                <w:szCs w:val="20"/>
              </w:rPr>
            </w:pPr>
          </w:p>
          <w:p w:rsidR="005F3082" w:rsidRPr="007B28E7" w:rsidRDefault="005F3082" w:rsidP="00310F7C">
            <w:pPr>
              <w:contextualSpacing/>
              <w:rPr>
                <w:rFonts w:ascii="Arial Narrow" w:hAnsi="Arial Narrow"/>
                <w:sz w:val="20"/>
                <w:szCs w:val="20"/>
              </w:rPr>
            </w:pPr>
            <w:r w:rsidRPr="007B28E7">
              <w:rPr>
                <w:rFonts w:ascii="Arial Narrow" w:hAnsi="Arial Narrow"/>
                <w:sz w:val="20"/>
                <w:szCs w:val="20"/>
              </w:rPr>
              <w:t>Utility values: pre-progression = 0.75, post-progression = 0.59. Based on regorafenib mCRC trial with a 2.5% increase (from 0.73 to 0.75) to the pre-progression value to account for better safety profile of trifluridine/ tipiracil compared to regorafenib.</w:t>
            </w:r>
          </w:p>
        </w:tc>
      </w:tr>
      <w:tr w:rsidR="005F3082" w:rsidRPr="007B28E7" w:rsidTr="00E964FC">
        <w:trPr>
          <w:trHeight w:val="678"/>
        </w:trPr>
        <w:tc>
          <w:tcPr>
            <w:tcW w:w="573" w:type="pct"/>
          </w:tcPr>
          <w:p w:rsidR="005F3082" w:rsidRPr="007B28E7" w:rsidRDefault="005F3082" w:rsidP="00310F7C">
            <w:pPr>
              <w:rPr>
                <w:rFonts w:ascii="Arial Narrow" w:hAnsi="Arial Narrow"/>
                <w:sz w:val="20"/>
                <w:szCs w:val="20"/>
              </w:rPr>
            </w:pPr>
            <w:r w:rsidRPr="007B28E7">
              <w:rPr>
                <w:rFonts w:ascii="Arial Narrow" w:hAnsi="Arial Narrow"/>
                <w:sz w:val="20"/>
                <w:szCs w:val="20"/>
              </w:rPr>
              <w:t>Economic evaluation, results</w:t>
            </w:r>
          </w:p>
        </w:tc>
        <w:tc>
          <w:tcPr>
            <w:tcW w:w="2734" w:type="pct"/>
          </w:tcPr>
          <w:p w:rsidR="005F3082" w:rsidRPr="007B28E7" w:rsidRDefault="005F3082" w:rsidP="00310F7C">
            <w:pPr>
              <w:contextualSpacing/>
              <w:rPr>
                <w:rFonts w:ascii="Arial Narrow" w:hAnsi="Arial Narrow"/>
                <w:sz w:val="20"/>
                <w:szCs w:val="20"/>
              </w:rPr>
            </w:pPr>
            <w:r w:rsidRPr="007B28E7">
              <w:rPr>
                <w:rFonts w:ascii="Arial Narrow" w:hAnsi="Arial Narrow"/>
                <w:sz w:val="20"/>
                <w:szCs w:val="20"/>
              </w:rPr>
              <w:t>Incremental costs: $</w:t>
            </w:r>
            <w:r w:rsidR="00FF6257">
              <w:rPr>
                <w:rFonts w:ascii="Arial Narrow" w:hAnsi="Arial Narrow"/>
                <w:noProof/>
                <w:color w:val="000000"/>
                <w:sz w:val="20"/>
                <w:szCs w:val="20"/>
                <w:highlight w:val="black"/>
              </w:rPr>
              <w:t>''''''''''''''''</w:t>
            </w:r>
          </w:p>
          <w:p w:rsidR="005F3082" w:rsidRPr="007B28E7" w:rsidRDefault="005F3082" w:rsidP="00310F7C">
            <w:pPr>
              <w:contextualSpacing/>
              <w:rPr>
                <w:rFonts w:ascii="Arial Narrow" w:hAnsi="Arial Narrow"/>
                <w:sz w:val="20"/>
                <w:szCs w:val="20"/>
              </w:rPr>
            </w:pPr>
            <w:r w:rsidRPr="007B28E7">
              <w:rPr>
                <w:rFonts w:ascii="Arial Narrow" w:hAnsi="Arial Narrow"/>
                <w:sz w:val="20"/>
                <w:szCs w:val="20"/>
              </w:rPr>
              <w:t>Incremental time with ECOG of 0 or 1: 0.14 years</w:t>
            </w:r>
          </w:p>
          <w:p w:rsidR="005F3082" w:rsidRPr="007B28E7" w:rsidRDefault="00B10F4E" w:rsidP="00310F7C">
            <w:pPr>
              <w:contextualSpacing/>
              <w:rPr>
                <w:rFonts w:ascii="Arial Narrow" w:hAnsi="Arial Narrow"/>
                <w:sz w:val="20"/>
                <w:szCs w:val="20"/>
              </w:rPr>
            </w:pPr>
            <w:r w:rsidRPr="007B28E7">
              <w:rPr>
                <w:rFonts w:ascii="Arial Narrow" w:hAnsi="Arial Narrow"/>
                <w:sz w:val="20"/>
                <w:szCs w:val="20"/>
              </w:rPr>
              <w:t>Incremental difference in mean overall survival</w:t>
            </w:r>
            <w:r w:rsidR="005F3082" w:rsidRPr="007B28E7">
              <w:rPr>
                <w:rFonts w:ascii="Arial Narrow" w:hAnsi="Arial Narrow"/>
                <w:sz w:val="20"/>
                <w:szCs w:val="20"/>
              </w:rPr>
              <w:t>: 0.21</w:t>
            </w:r>
            <w:r w:rsidRPr="007B28E7">
              <w:rPr>
                <w:rFonts w:ascii="Arial Narrow" w:hAnsi="Arial Narrow"/>
                <w:sz w:val="20"/>
                <w:szCs w:val="20"/>
              </w:rPr>
              <w:t xml:space="preserve"> years</w:t>
            </w:r>
          </w:p>
          <w:p w:rsidR="005F3082" w:rsidRPr="007B28E7" w:rsidRDefault="005F3082" w:rsidP="00310F7C">
            <w:pPr>
              <w:contextualSpacing/>
              <w:rPr>
                <w:rFonts w:ascii="Arial Narrow" w:hAnsi="Arial Narrow"/>
                <w:sz w:val="20"/>
                <w:szCs w:val="20"/>
              </w:rPr>
            </w:pPr>
            <w:r w:rsidRPr="007B28E7">
              <w:rPr>
                <w:rFonts w:ascii="Arial Narrow" w:hAnsi="Arial Narrow"/>
                <w:sz w:val="20"/>
                <w:szCs w:val="20"/>
              </w:rPr>
              <w:t>Incremental</w:t>
            </w:r>
            <w:r w:rsidR="00B10F4E" w:rsidRPr="007B28E7">
              <w:rPr>
                <w:rFonts w:ascii="Arial Narrow" w:hAnsi="Arial Narrow"/>
                <w:sz w:val="20"/>
                <w:szCs w:val="20"/>
              </w:rPr>
              <w:t xml:space="preserve"> difference in mean</w:t>
            </w:r>
            <w:r w:rsidRPr="007B28E7">
              <w:rPr>
                <w:rFonts w:ascii="Arial Narrow" w:hAnsi="Arial Narrow"/>
                <w:sz w:val="20"/>
                <w:szCs w:val="20"/>
              </w:rPr>
              <w:t xml:space="preserve"> QALYs: 0.16</w:t>
            </w:r>
          </w:p>
          <w:p w:rsidR="005F3082" w:rsidRPr="007B28E7" w:rsidRDefault="005F3082" w:rsidP="00310F7C">
            <w:pPr>
              <w:contextualSpacing/>
              <w:rPr>
                <w:rFonts w:ascii="Arial Narrow" w:hAnsi="Arial Narrow"/>
                <w:sz w:val="20"/>
                <w:szCs w:val="20"/>
              </w:rPr>
            </w:pPr>
            <w:r w:rsidRPr="007B28E7">
              <w:rPr>
                <w:rFonts w:ascii="Arial Narrow" w:hAnsi="Arial Narrow"/>
                <w:sz w:val="20"/>
                <w:szCs w:val="20"/>
              </w:rPr>
              <w:t xml:space="preserve">ICER: </w:t>
            </w:r>
          </w:p>
          <w:p w:rsidR="005F3082" w:rsidRPr="007B28E7" w:rsidRDefault="005F3082" w:rsidP="005F3082">
            <w:pPr>
              <w:pStyle w:val="ListParagraph"/>
              <w:widowControl/>
              <w:numPr>
                <w:ilvl w:val="0"/>
                <w:numId w:val="19"/>
              </w:numPr>
              <w:jc w:val="left"/>
              <w:rPr>
                <w:rFonts w:ascii="Arial Narrow" w:hAnsi="Arial Narrow"/>
                <w:sz w:val="20"/>
              </w:rPr>
            </w:pPr>
            <w:r w:rsidRPr="007B28E7">
              <w:rPr>
                <w:rFonts w:ascii="Arial Narrow" w:hAnsi="Arial Narrow"/>
                <w:sz w:val="20"/>
              </w:rPr>
              <w:t>$</w:t>
            </w:r>
            <w:r w:rsidR="001D433F">
              <w:rPr>
                <w:rFonts w:ascii="Arial Narrow" w:hAnsi="Arial Narrow"/>
                <w:sz w:val="20"/>
              </w:rPr>
              <w:t>45,000 - $75,000</w:t>
            </w:r>
            <w:r w:rsidRPr="007B28E7">
              <w:rPr>
                <w:rFonts w:ascii="Arial Narrow" w:hAnsi="Arial Narrow"/>
                <w:sz w:val="20"/>
              </w:rPr>
              <w:t xml:space="preserve"> per LY gained</w:t>
            </w:r>
          </w:p>
          <w:p w:rsidR="005F3082" w:rsidRPr="007B28E7" w:rsidRDefault="005F3082" w:rsidP="001D433F">
            <w:pPr>
              <w:pStyle w:val="ListParagraph"/>
              <w:widowControl/>
              <w:numPr>
                <w:ilvl w:val="0"/>
                <w:numId w:val="19"/>
              </w:numPr>
              <w:jc w:val="left"/>
              <w:rPr>
                <w:rFonts w:ascii="Arial Narrow" w:hAnsi="Arial Narrow"/>
                <w:sz w:val="20"/>
              </w:rPr>
            </w:pPr>
            <w:r w:rsidRPr="007B28E7">
              <w:rPr>
                <w:rFonts w:ascii="Arial Narrow" w:hAnsi="Arial Narrow"/>
                <w:sz w:val="20"/>
              </w:rPr>
              <w:t>$</w:t>
            </w:r>
            <w:r w:rsidR="001D433F">
              <w:rPr>
                <w:rFonts w:ascii="Arial Narrow" w:hAnsi="Arial Narrow"/>
                <w:sz w:val="20"/>
              </w:rPr>
              <w:t>75,000 - $105,000</w:t>
            </w:r>
            <w:r w:rsidRPr="007B28E7">
              <w:rPr>
                <w:rFonts w:ascii="Arial Narrow" w:hAnsi="Arial Narrow"/>
                <w:sz w:val="20"/>
              </w:rPr>
              <w:t xml:space="preserve"> per QALY gained</w:t>
            </w:r>
          </w:p>
        </w:tc>
        <w:tc>
          <w:tcPr>
            <w:tcW w:w="1693" w:type="pct"/>
          </w:tcPr>
          <w:p w:rsidR="005F3082" w:rsidRPr="007B28E7" w:rsidRDefault="005F3082" w:rsidP="00310F7C">
            <w:pPr>
              <w:contextualSpacing/>
              <w:rPr>
                <w:rFonts w:ascii="Arial Narrow" w:hAnsi="Arial Narrow"/>
                <w:sz w:val="20"/>
                <w:szCs w:val="20"/>
              </w:rPr>
            </w:pPr>
            <w:r w:rsidRPr="007B28E7">
              <w:rPr>
                <w:rFonts w:ascii="Arial Narrow" w:hAnsi="Arial Narrow"/>
                <w:sz w:val="20"/>
                <w:szCs w:val="20"/>
              </w:rPr>
              <w:t>Incremental costs: $</w:t>
            </w:r>
            <w:r w:rsidR="00FF6257">
              <w:rPr>
                <w:rFonts w:ascii="Arial Narrow" w:hAnsi="Arial Narrow"/>
                <w:noProof/>
                <w:color w:val="000000"/>
                <w:sz w:val="20"/>
                <w:szCs w:val="20"/>
                <w:highlight w:val="black"/>
              </w:rPr>
              <w:t>'''''''''''''</w:t>
            </w:r>
          </w:p>
          <w:p w:rsidR="005F3082" w:rsidRPr="007B28E7" w:rsidRDefault="005F3082" w:rsidP="00310F7C">
            <w:pPr>
              <w:contextualSpacing/>
              <w:rPr>
                <w:rFonts w:ascii="Arial Narrow" w:hAnsi="Arial Narrow"/>
                <w:sz w:val="20"/>
                <w:szCs w:val="20"/>
              </w:rPr>
            </w:pPr>
            <w:r w:rsidRPr="007B28E7">
              <w:rPr>
                <w:rFonts w:ascii="Arial Narrow" w:hAnsi="Arial Narrow"/>
                <w:sz w:val="20"/>
                <w:szCs w:val="20"/>
              </w:rPr>
              <w:t xml:space="preserve">Incremental </w:t>
            </w:r>
            <w:r w:rsidR="00B10F4E" w:rsidRPr="007B28E7">
              <w:rPr>
                <w:rFonts w:ascii="Arial Narrow" w:hAnsi="Arial Narrow"/>
                <w:sz w:val="20"/>
                <w:szCs w:val="20"/>
              </w:rPr>
              <w:t xml:space="preserve">difference in mean </w:t>
            </w:r>
            <w:r w:rsidRPr="007B28E7">
              <w:rPr>
                <w:rFonts w:ascii="Arial Narrow" w:hAnsi="Arial Narrow"/>
                <w:sz w:val="20"/>
                <w:szCs w:val="20"/>
              </w:rPr>
              <w:t>PFS: 0.15 years</w:t>
            </w:r>
          </w:p>
          <w:p w:rsidR="005F3082" w:rsidRPr="007B28E7" w:rsidRDefault="005F3082" w:rsidP="00310F7C">
            <w:pPr>
              <w:contextualSpacing/>
              <w:rPr>
                <w:rFonts w:ascii="Arial Narrow" w:hAnsi="Arial Narrow"/>
                <w:sz w:val="20"/>
                <w:szCs w:val="20"/>
              </w:rPr>
            </w:pPr>
            <w:r w:rsidRPr="007B28E7">
              <w:rPr>
                <w:rFonts w:ascii="Arial Narrow" w:hAnsi="Arial Narrow"/>
                <w:sz w:val="20"/>
                <w:szCs w:val="20"/>
              </w:rPr>
              <w:t xml:space="preserve">Incremental </w:t>
            </w:r>
            <w:r w:rsidR="00B10F4E" w:rsidRPr="007B28E7">
              <w:rPr>
                <w:rFonts w:ascii="Arial Narrow" w:hAnsi="Arial Narrow"/>
                <w:sz w:val="20"/>
                <w:szCs w:val="20"/>
              </w:rPr>
              <w:t>difference in mean overall survival</w:t>
            </w:r>
            <w:r w:rsidRPr="007B28E7">
              <w:rPr>
                <w:rFonts w:ascii="Arial Narrow" w:hAnsi="Arial Narrow"/>
                <w:sz w:val="20"/>
                <w:szCs w:val="20"/>
              </w:rPr>
              <w:t>: 0.22</w:t>
            </w:r>
            <w:r w:rsidR="00B10F4E" w:rsidRPr="007B28E7">
              <w:rPr>
                <w:rFonts w:ascii="Arial Narrow" w:hAnsi="Arial Narrow"/>
                <w:sz w:val="20"/>
                <w:szCs w:val="20"/>
              </w:rPr>
              <w:t xml:space="preserve"> years</w:t>
            </w:r>
          </w:p>
          <w:p w:rsidR="005F3082" w:rsidRPr="007B28E7" w:rsidRDefault="005F3082" w:rsidP="00310F7C">
            <w:pPr>
              <w:contextualSpacing/>
              <w:rPr>
                <w:rFonts w:ascii="Arial Narrow" w:hAnsi="Arial Narrow"/>
                <w:sz w:val="20"/>
                <w:szCs w:val="20"/>
              </w:rPr>
            </w:pPr>
            <w:r w:rsidRPr="007B28E7">
              <w:rPr>
                <w:rFonts w:ascii="Arial Narrow" w:hAnsi="Arial Narrow"/>
                <w:sz w:val="20"/>
                <w:szCs w:val="20"/>
              </w:rPr>
              <w:t xml:space="preserve">Incremental </w:t>
            </w:r>
            <w:r w:rsidR="00B10F4E" w:rsidRPr="007B28E7">
              <w:rPr>
                <w:rFonts w:ascii="Arial Narrow" w:hAnsi="Arial Narrow"/>
                <w:sz w:val="20"/>
                <w:szCs w:val="20"/>
              </w:rPr>
              <w:t xml:space="preserve">difference in mean </w:t>
            </w:r>
            <w:r w:rsidRPr="007B28E7">
              <w:rPr>
                <w:rFonts w:ascii="Arial Narrow" w:hAnsi="Arial Narrow"/>
                <w:sz w:val="20"/>
                <w:szCs w:val="20"/>
              </w:rPr>
              <w:t>QALYs: 0.15</w:t>
            </w:r>
          </w:p>
          <w:p w:rsidR="005F3082" w:rsidRPr="007B28E7" w:rsidRDefault="005F3082" w:rsidP="00310F7C">
            <w:pPr>
              <w:contextualSpacing/>
              <w:rPr>
                <w:rFonts w:ascii="Arial Narrow" w:hAnsi="Arial Narrow"/>
                <w:sz w:val="20"/>
                <w:szCs w:val="20"/>
              </w:rPr>
            </w:pPr>
            <w:r w:rsidRPr="007B28E7">
              <w:rPr>
                <w:rFonts w:ascii="Arial Narrow" w:hAnsi="Arial Narrow"/>
                <w:sz w:val="20"/>
                <w:szCs w:val="20"/>
              </w:rPr>
              <w:t xml:space="preserve">ICER: </w:t>
            </w:r>
          </w:p>
          <w:p w:rsidR="005F3082" w:rsidRPr="007B28E7" w:rsidRDefault="005F3082" w:rsidP="005F3082">
            <w:pPr>
              <w:pStyle w:val="ListParagraph"/>
              <w:widowControl/>
              <w:numPr>
                <w:ilvl w:val="0"/>
                <w:numId w:val="19"/>
              </w:numPr>
              <w:jc w:val="left"/>
              <w:rPr>
                <w:rFonts w:ascii="Arial Narrow" w:hAnsi="Arial Narrow"/>
                <w:sz w:val="20"/>
              </w:rPr>
            </w:pPr>
            <w:r w:rsidRPr="007B28E7">
              <w:rPr>
                <w:rFonts w:ascii="Arial Narrow" w:hAnsi="Arial Narrow"/>
                <w:sz w:val="20"/>
              </w:rPr>
              <w:t>$</w:t>
            </w:r>
            <w:r w:rsidR="001D433F">
              <w:rPr>
                <w:rFonts w:ascii="Arial Narrow" w:hAnsi="Arial Narrow"/>
                <w:sz w:val="20"/>
              </w:rPr>
              <w:t>15,000 - $45,000</w:t>
            </w:r>
            <w:r w:rsidRPr="007B28E7">
              <w:rPr>
                <w:rFonts w:ascii="Arial Narrow" w:hAnsi="Arial Narrow"/>
                <w:sz w:val="20"/>
              </w:rPr>
              <w:t xml:space="preserve"> per LY gained</w:t>
            </w:r>
          </w:p>
          <w:p w:rsidR="005F3082" w:rsidRPr="007B28E7" w:rsidRDefault="005F3082" w:rsidP="005F3082">
            <w:pPr>
              <w:pStyle w:val="ListParagraph"/>
              <w:widowControl/>
              <w:numPr>
                <w:ilvl w:val="0"/>
                <w:numId w:val="19"/>
              </w:numPr>
              <w:jc w:val="left"/>
              <w:rPr>
                <w:rFonts w:ascii="Arial Narrow" w:hAnsi="Arial Narrow"/>
                <w:sz w:val="20"/>
              </w:rPr>
            </w:pPr>
            <w:r w:rsidRPr="007B28E7">
              <w:rPr>
                <w:rFonts w:ascii="Arial Narrow" w:hAnsi="Arial Narrow"/>
                <w:sz w:val="20"/>
              </w:rPr>
              <w:t>$</w:t>
            </w:r>
            <w:r w:rsidR="001D433F">
              <w:rPr>
                <w:rFonts w:ascii="Arial Narrow" w:hAnsi="Arial Narrow"/>
                <w:sz w:val="20"/>
              </w:rPr>
              <w:t>45,000 - $75,000</w:t>
            </w:r>
            <w:r w:rsidR="001D433F" w:rsidRPr="007B28E7">
              <w:rPr>
                <w:rFonts w:ascii="Arial Narrow" w:hAnsi="Arial Narrow"/>
                <w:sz w:val="20"/>
              </w:rPr>
              <w:t xml:space="preserve"> </w:t>
            </w:r>
            <w:r w:rsidRPr="007B28E7">
              <w:rPr>
                <w:rFonts w:ascii="Arial Narrow" w:hAnsi="Arial Narrow"/>
                <w:sz w:val="20"/>
              </w:rPr>
              <w:t>per QALY gained ($</w:t>
            </w:r>
            <w:r w:rsidR="001D433F">
              <w:rPr>
                <w:rFonts w:ascii="Arial Narrow" w:hAnsi="Arial Narrow"/>
                <w:sz w:val="20"/>
              </w:rPr>
              <w:t>45,000 - $75,000</w:t>
            </w:r>
            <w:r w:rsidR="001D433F" w:rsidRPr="007B28E7">
              <w:rPr>
                <w:rFonts w:ascii="Arial Narrow" w:hAnsi="Arial Narrow"/>
                <w:sz w:val="20"/>
              </w:rPr>
              <w:t xml:space="preserve"> </w:t>
            </w:r>
            <w:r w:rsidRPr="007B28E7">
              <w:rPr>
                <w:rFonts w:ascii="Arial Narrow" w:hAnsi="Arial Narrow"/>
                <w:sz w:val="20"/>
              </w:rPr>
              <w:t>using unadjusted utility value of 0.73 for progression-free).</w:t>
            </w:r>
          </w:p>
        </w:tc>
      </w:tr>
      <w:tr w:rsidR="005F3082" w:rsidRPr="007B28E7" w:rsidTr="00E964FC">
        <w:trPr>
          <w:trHeight w:val="678"/>
        </w:trPr>
        <w:tc>
          <w:tcPr>
            <w:tcW w:w="573" w:type="pct"/>
          </w:tcPr>
          <w:p w:rsidR="005F3082" w:rsidRPr="007B28E7" w:rsidDel="00D52D5B" w:rsidRDefault="005F3082" w:rsidP="00310F7C">
            <w:pPr>
              <w:rPr>
                <w:rFonts w:ascii="Arial Narrow" w:hAnsi="Arial Narrow"/>
                <w:sz w:val="20"/>
                <w:szCs w:val="20"/>
              </w:rPr>
            </w:pPr>
            <w:r w:rsidRPr="007B28E7">
              <w:rPr>
                <w:rFonts w:ascii="Arial Narrow" w:hAnsi="Arial Narrow"/>
                <w:sz w:val="20"/>
                <w:szCs w:val="20"/>
              </w:rPr>
              <w:t>Number of patients and estimated net cost to PBS</w:t>
            </w:r>
          </w:p>
        </w:tc>
        <w:tc>
          <w:tcPr>
            <w:tcW w:w="2734" w:type="pct"/>
          </w:tcPr>
          <w:p w:rsidR="005F3082" w:rsidRPr="007B28E7" w:rsidRDefault="005F3082" w:rsidP="00310F7C">
            <w:pPr>
              <w:contextualSpacing/>
              <w:rPr>
                <w:rFonts w:ascii="Arial Narrow" w:hAnsi="Arial Narrow"/>
                <w:sz w:val="20"/>
                <w:szCs w:val="20"/>
              </w:rPr>
            </w:pPr>
            <w:r w:rsidRPr="007B28E7">
              <w:rPr>
                <w:rFonts w:ascii="Arial Narrow" w:hAnsi="Arial Narrow"/>
                <w:sz w:val="20"/>
                <w:szCs w:val="20"/>
              </w:rPr>
              <w:t>Patien</w:t>
            </w:r>
            <w:r w:rsidR="00E06D1F" w:rsidRPr="007B28E7">
              <w:rPr>
                <w:rFonts w:ascii="Arial Narrow" w:hAnsi="Arial Narrow"/>
                <w:sz w:val="20"/>
                <w:szCs w:val="20"/>
              </w:rPr>
              <w:t xml:space="preserve">t numbers: Year 1: </w:t>
            </w:r>
            <w:r w:rsidR="001D433F">
              <w:rPr>
                <w:rFonts w:ascii="Arial Narrow" w:hAnsi="Arial Narrow"/>
                <w:sz w:val="20"/>
                <w:szCs w:val="20"/>
              </w:rPr>
              <w:t>less than 10,000</w:t>
            </w:r>
            <w:r w:rsidR="00E06D1F" w:rsidRPr="007B28E7">
              <w:rPr>
                <w:rFonts w:ascii="Arial Narrow" w:hAnsi="Arial Narrow"/>
                <w:sz w:val="20"/>
                <w:szCs w:val="20"/>
              </w:rPr>
              <w:t>, Year 6</w:t>
            </w:r>
            <w:r w:rsidRPr="007B28E7">
              <w:rPr>
                <w:rFonts w:ascii="Arial Narrow" w:hAnsi="Arial Narrow"/>
                <w:sz w:val="20"/>
                <w:szCs w:val="20"/>
              </w:rPr>
              <w:t xml:space="preserve">: </w:t>
            </w:r>
            <w:r w:rsidR="001D433F">
              <w:rPr>
                <w:rFonts w:ascii="Arial Narrow" w:hAnsi="Arial Narrow"/>
                <w:sz w:val="20"/>
                <w:szCs w:val="20"/>
              </w:rPr>
              <w:t>less than 10,000</w:t>
            </w:r>
          </w:p>
          <w:p w:rsidR="005F3082" w:rsidRPr="007B28E7" w:rsidRDefault="005F3082" w:rsidP="00310F7C">
            <w:pPr>
              <w:contextualSpacing/>
              <w:rPr>
                <w:rFonts w:ascii="Arial Narrow" w:hAnsi="Arial Narrow"/>
                <w:sz w:val="20"/>
                <w:szCs w:val="20"/>
              </w:rPr>
            </w:pPr>
            <w:r w:rsidRPr="007B28E7">
              <w:rPr>
                <w:rFonts w:ascii="Arial Narrow" w:hAnsi="Arial Narrow"/>
                <w:sz w:val="20"/>
                <w:szCs w:val="20"/>
              </w:rPr>
              <w:t>Net PBS cost: Y</w:t>
            </w:r>
            <w:r w:rsidR="00E06D1F" w:rsidRPr="007B28E7">
              <w:rPr>
                <w:rFonts w:ascii="Arial Narrow" w:hAnsi="Arial Narrow"/>
                <w:sz w:val="20"/>
                <w:szCs w:val="20"/>
              </w:rPr>
              <w:t>ear 1: $</w:t>
            </w:r>
            <w:r w:rsidR="001D433F">
              <w:rPr>
                <w:rFonts w:ascii="Arial Narrow" w:hAnsi="Arial Narrow"/>
                <w:sz w:val="20"/>
                <w:szCs w:val="20"/>
              </w:rPr>
              <w:t>20 - $30m</w:t>
            </w:r>
            <w:r w:rsidR="00E06D1F" w:rsidRPr="007B28E7">
              <w:rPr>
                <w:rFonts w:ascii="Arial Narrow" w:hAnsi="Arial Narrow"/>
                <w:sz w:val="20"/>
                <w:szCs w:val="20"/>
              </w:rPr>
              <w:t>, Year 6</w:t>
            </w:r>
            <w:r w:rsidRPr="007B28E7">
              <w:rPr>
                <w:rFonts w:ascii="Arial Narrow" w:hAnsi="Arial Narrow"/>
                <w:sz w:val="20"/>
                <w:szCs w:val="20"/>
              </w:rPr>
              <w:t>: $</w:t>
            </w:r>
            <w:r w:rsidR="001D433F">
              <w:rPr>
                <w:rFonts w:ascii="Arial Narrow" w:hAnsi="Arial Narrow"/>
                <w:sz w:val="20"/>
                <w:szCs w:val="20"/>
              </w:rPr>
              <w:t>30- $60</w:t>
            </w:r>
            <w:r w:rsidRPr="007B28E7">
              <w:rPr>
                <w:rFonts w:ascii="Arial Narrow" w:hAnsi="Arial Narrow"/>
                <w:sz w:val="20"/>
                <w:szCs w:val="20"/>
              </w:rPr>
              <w:t>m</w:t>
            </w:r>
          </w:p>
          <w:p w:rsidR="005F3082" w:rsidRPr="007B28E7" w:rsidRDefault="005F3082" w:rsidP="00310F7C">
            <w:pPr>
              <w:contextualSpacing/>
              <w:rPr>
                <w:rFonts w:ascii="Arial Narrow" w:hAnsi="Arial Narrow"/>
                <w:b/>
                <w:sz w:val="20"/>
                <w:szCs w:val="20"/>
              </w:rPr>
            </w:pPr>
          </w:p>
          <w:p w:rsidR="005F3082" w:rsidRPr="007B28E7" w:rsidRDefault="005F3082" w:rsidP="00E06D1F">
            <w:pPr>
              <w:contextualSpacing/>
              <w:rPr>
                <w:rFonts w:ascii="Arial Narrow" w:hAnsi="Arial Narrow"/>
                <w:sz w:val="20"/>
                <w:szCs w:val="20"/>
              </w:rPr>
            </w:pPr>
            <w:r w:rsidRPr="007B28E7">
              <w:rPr>
                <w:rFonts w:ascii="Arial Narrow" w:hAnsi="Arial Narrow"/>
                <w:b/>
                <w:sz w:val="20"/>
                <w:szCs w:val="20"/>
              </w:rPr>
              <w:t xml:space="preserve">PBAC Comment: </w:t>
            </w:r>
            <w:r w:rsidRPr="007B28E7">
              <w:rPr>
                <w:rFonts w:ascii="Arial Narrow" w:hAnsi="Arial Narrow"/>
                <w:sz w:val="20"/>
                <w:szCs w:val="20"/>
              </w:rPr>
              <w:t xml:space="preserve">(paragraph 7.12) </w:t>
            </w:r>
            <w:r w:rsidR="00E06D1F" w:rsidRPr="007B28E7">
              <w:rPr>
                <w:rFonts w:ascii="Arial Narrow" w:hAnsi="Arial Narrow"/>
                <w:sz w:val="20"/>
                <w:szCs w:val="20"/>
              </w:rPr>
              <w:t xml:space="preserve">the submission’s estimate of the </w:t>
            </w:r>
            <w:r w:rsidRPr="007B28E7">
              <w:rPr>
                <w:rFonts w:ascii="Arial Narrow" w:hAnsi="Arial Narrow"/>
                <w:sz w:val="20"/>
                <w:szCs w:val="20"/>
              </w:rPr>
              <w:t xml:space="preserve">number of patients to be treated and the associated financial impact is likely to have been overestimated. </w:t>
            </w:r>
          </w:p>
        </w:tc>
        <w:tc>
          <w:tcPr>
            <w:tcW w:w="1693" w:type="pct"/>
          </w:tcPr>
          <w:p w:rsidR="005F3082" w:rsidRPr="007B28E7" w:rsidRDefault="005F3082" w:rsidP="00E06D1F">
            <w:pPr>
              <w:contextualSpacing/>
              <w:rPr>
                <w:rFonts w:ascii="Arial Narrow" w:hAnsi="Arial Narrow"/>
                <w:sz w:val="20"/>
                <w:szCs w:val="20"/>
              </w:rPr>
            </w:pPr>
            <w:r w:rsidRPr="007B28E7">
              <w:rPr>
                <w:rFonts w:ascii="Arial Narrow" w:hAnsi="Arial Narrow"/>
                <w:sz w:val="20"/>
                <w:szCs w:val="20"/>
              </w:rPr>
              <w:t xml:space="preserve">Revised financial estimates not </w:t>
            </w:r>
            <w:r w:rsidR="00CA1F2D" w:rsidRPr="007B28E7">
              <w:rPr>
                <w:rFonts w:ascii="Arial Narrow" w:hAnsi="Arial Narrow"/>
                <w:sz w:val="20"/>
                <w:szCs w:val="20"/>
              </w:rPr>
              <w:t>presented. The sponsor maintained</w:t>
            </w:r>
            <w:r w:rsidRPr="007B28E7">
              <w:rPr>
                <w:rFonts w:ascii="Arial Narrow" w:hAnsi="Arial Narrow"/>
                <w:sz w:val="20"/>
                <w:szCs w:val="20"/>
              </w:rPr>
              <w:t xml:space="preserve"> that the utilisation estimates in the Nov</w:t>
            </w:r>
            <w:r w:rsidR="00E06D1F" w:rsidRPr="007B28E7">
              <w:rPr>
                <w:rFonts w:ascii="Arial Narrow" w:hAnsi="Arial Narrow"/>
                <w:sz w:val="20"/>
                <w:szCs w:val="20"/>
              </w:rPr>
              <w:t>ember 20</w:t>
            </w:r>
            <w:r w:rsidRPr="007B28E7">
              <w:rPr>
                <w:rFonts w:ascii="Arial Narrow" w:hAnsi="Arial Narrow"/>
                <w:sz w:val="20"/>
                <w:szCs w:val="20"/>
              </w:rPr>
              <w:t>16 submission are reasonable.</w:t>
            </w:r>
          </w:p>
        </w:tc>
      </w:tr>
      <w:tr w:rsidR="005F3082" w:rsidRPr="007B28E7" w:rsidTr="00E964FC">
        <w:trPr>
          <w:trHeight w:val="678"/>
        </w:trPr>
        <w:tc>
          <w:tcPr>
            <w:tcW w:w="573" w:type="pct"/>
          </w:tcPr>
          <w:p w:rsidR="005F3082" w:rsidRPr="007B28E7" w:rsidRDefault="005F3082" w:rsidP="00310F7C">
            <w:pPr>
              <w:rPr>
                <w:rFonts w:ascii="Arial Narrow" w:hAnsi="Arial Narrow"/>
                <w:sz w:val="20"/>
                <w:szCs w:val="20"/>
                <w:highlight w:val="yellow"/>
              </w:rPr>
            </w:pPr>
            <w:r w:rsidRPr="007B28E7">
              <w:rPr>
                <w:rFonts w:ascii="Arial Narrow" w:hAnsi="Arial Narrow"/>
                <w:sz w:val="20"/>
                <w:szCs w:val="20"/>
              </w:rPr>
              <w:t>Risk share</w:t>
            </w:r>
          </w:p>
        </w:tc>
        <w:tc>
          <w:tcPr>
            <w:tcW w:w="2734" w:type="pct"/>
          </w:tcPr>
          <w:p w:rsidR="005F3082" w:rsidRPr="007B28E7" w:rsidRDefault="005F3082" w:rsidP="00310F7C">
            <w:pPr>
              <w:contextualSpacing/>
              <w:rPr>
                <w:rFonts w:ascii="Arial Narrow" w:hAnsi="Arial Narrow"/>
                <w:sz w:val="20"/>
                <w:szCs w:val="20"/>
              </w:rPr>
            </w:pPr>
            <w:r w:rsidRPr="007B28E7">
              <w:rPr>
                <w:rFonts w:ascii="Arial Narrow" w:hAnsi="Arial Narrow"/>
                <w:sz w:val="20"/>
                <w:szCs w:val="20"/>
              </w:rPr>
              <w:t>Acknowledged but no details</w:t>
            </w:r>
            <w:r w:rsidR="00E06D1F" w:rsidRPr="007B28E7">
              <w:rPr>
                <w:rFonts w:ascii="Arial Narrow" w:hAnsi="Arial Narrow"/>
                <w:sz w:val="20"/>
                <w:szCs w:val="20"/>
              </w:rPr>
              <w:t xml:space="preserve"> proposed.</w:t>
            </w:r>
          </w:p>
        </w:tc>
        <w:tc>
          <w:tcPr>
            <w:tcW w:w="1693" w:type="pct"/>
          </w:tcPr>
          <w:p w:rsidR="005F3082" w:rsidRPr="007B28E7" w:rsidRDefault="005F3082" w:rsidP="00E06D1F">
            <w:pPr>
              <w:contextualSpacing/>
              <w:rPr>
                <w:rFonts w:ascii="Arial Narrow" w:hAnsi="Arial Narrow"/>
                <w:sz w:val="20"/>
                <w:szCs w:val="20"/>
              </w:rPr>
            </w:pPr>
            <w:r w:rsidRPr="007B28E7">
              <w:rPr>
                <w:rFonts w:ascii="Arial Narrow" w:hAnsi="Arial Narrow"/>
                <w:sz w:val="20"/>
                <w:szCs w:val="20"/>
              </w:rPr>
              <w:t>A</w:t>
            </w:r>
            <w:r w:rsidR="00E06D1F" w:rsidRPr="007B28E7">
              <w:rPr>
                <w:rFonts w:ascii="Arial Narrow" w:hAnsi="Arial Narrow"/>
                <w:sz w:val="20"/>
                <w:szCs w:val="20"/>
              </w:rPr>
              <w:t xml:space="preserve"> further </w:t>
            </w:r>
            <w:r w:rsidR="00FF6257">
              <w:rPr>
                <w:rFonts w:ascii="Arial Narrow" w:hAnsi="Arial Narrow"/>
                <w:noProof/>
                <w:color w:val="000000"/>
                <w:sz w:val="20"/>
                <w:szCs w:val="20"/>
                <w:highlight w:val="black"/>
              </w:rPr>
              <w:t>'''''</w:t>
            </w:r>
            <w:r w:rsidR="00E06D1F" w:rsidRPr="007B28E7">
              <w:rPr>
                <w:rFonts w:ascii="Arial Narrow" w:hAnsi="Arial Narrow"/>
                <w:sz w:val="20"/>
                <w:szCs w:val="20"/>
              </w:rPr>
              <w:t xml:space="preserve">% rebate (total </w:t>
            </w:r>
            <w:r w:rsidR="00FF6257">
              <w:rPr>
                <w:rFonts w:ascii="Arial Narrow" w:hAnsi="Arial Narrow"/>
                <w:noProof/>
                <w:color w:val="000000"/>
                <w:sz w:val="20"/>
                <w:szCs w:val="20"/>
                <w:highlight w:val="black"/>
              </w:rPr>
              <w:t>'''''''''''</w:t>
            </w:r>
            <w:r w:rsidR="00E06D1F" w:rsidRPr="007B28E7">
              <w:rPr>
                <w:rFonts w:ascii="Arial Narrow" w:hAnsi="Arial Narrow"/>
                <w:sz w:val="20"/>
                <w:szCs w:val="20"/>
              </w:rPr>
              <w:t xml:space="preserve">%) for any </w:t>
            </w:r>
            <w:r w:rsidRPr="007B28E7">
              <w:rPr>
                <w:rFonts w:ascii="Arial Narrow" w:hAnsi="Arial Narrow"/>
                <w:sz w:val="20"/>
                <w:szCs w:val="20"/>
              </w:rPr>
              <w:t>expenditure that exceeds the an</w:t>
            </w:r>
            <w:r w:rsidR="00E06D1F" w:rsidRPr="007B28E7">
              <w:rPr>
                <w:rFonts w:ascii="Arial Narrow" w:hAnsi="Arial Narrow"/>
                <w:sz w:val="20"/>
                <w:szCs w:val="20"/>
              </w:rPr>
              <w:t xml:space="preserve">nual subsidisation caps by ≤ </w:t>
            </w:r>
            <w:r w:rsidRPr="007B28E7">
              <w:rPr>
                <w:rFonts w:ascii="Arial Narrow" w:hAnsi="Arial Narrow"/>
                <w:sz w:val="20"/>
                <w:szCs w:val="20"/>
              </w:rPr>
              <w:t xml:space="preserve">20%. An additional </w:t>
            </w:r>
            <w:r w:rsidR="00FF6257">
              <w:rPr>
                <w:rFonts w:ascii="Arial Narrow" w:hAnsi="Arial Narrow"/>
                <w:noProof/>
                <w:color w:val="000000"/>
                <w:sz w:val="20"/>
                <w:szCs w:val="20"/>
                <w:highlight w:val="black"/>
              </w:rPr>
              <w:t>'''''''</w:t>
            </w:r>
            <w:r w:rsidRPr="007B28E7">
              <w:rPr>
                <w:rFonts w:ascii="Arial Narrow" w:hAnsi="Arial Narrow"/>
                <w:sz w:val="20"/>
                <w:szCs w:val="20"/>
              </w:rPr>
              <w:t>% rebate (t</w:t>
            </w:r>
            <w:r w:rsidR="00E06D1F" w:rsidRPr="007B28E7">
              <w:rPr>
                <w:rFonts w:ascii="Arial Narrow" w:hAnsi="Arial Narrow"/>
                <w:sz w:val="20"/>
                <w:szCs w:val="20"/>
              </w:rPr>
              <w:t xml:space="preserve">otal </w:t>
            </w:r>
            <w:r w:rsidR="00FF6257">
              <w:rPr>
                <w:rFonts w:ascii="Arial Narrow" w:hAnsi="Arial Narrow"/>
                <w:noProof/>
                <w:color w:val="000000"/>
                <w:sz w:val="20"/>
                <w:szCs w:val="20"/>
                <w:highlight w:val="black"/>
              </w:rPr>
              <w:t>''''''''''</w:t>
            </w:r>
            <w:r w:rsidR="00E06D1F" w:rsidRPr="007B28E7">
              <w:rPr>
                <w:rFonts w:ascii="Arial Narrow" w:hAnsi="Arial Narrow"/>
                <w:sz w:val="20"/>
                <w:szCs w:val="20"/>
              </w:rPr>
              <w:t xml:space="preserve">%) for any </w:t>
            </w:r>
            <w:r w:rsidRPr="007B28E7">
              <w:rPr>
                <w:rFonts w:ascii="Arial Narrow" w:hAnsi="Arial Narrow"/>
                <w:sz w:val="20"/>
                <w:szCs w:val="20"/>
              </w:rPr>
              <w:t>expenditure that exceeds the annual</w:t>
            </w:r>
            <w:r w:rsidR="00E06D1F" w:rsidRPr="007B28E7">
              <w:rPr>
                <w:rFonts w:ascii="Arial Narrow" w:hAnsi="Arial Narrow"/>
                <w:sz w:val="20"/>
                <w:szCs w:val="20"/>
              </w:rPr>
              <w:t xml:space="preserve"> subsidisation caps by &gt;</w:t>
            </w:r>
            <w:r w:rsidRPr="007B28E7">
              <w:rPr>
                <w:rFonts w:ascii="Arial Narrow" w:hAnsi="Arial Narrow"/>
                <w:sz w:val="20"/>
                <w:szCs w:val="20"/>
              </w:rPr>
              <w:t xml:space="preserve"> 20%.</w:t>
            </w:r>
          </w:p>
        </w:tc>
      </w:tr>
      <w:tr w:rsidR="005F3082" w:rsidRPr="007B28E7" w:rsidTr="00E964FC">
        <w:trPr>
          <w:trHeight w:val="678"/>
        </w:trPr>
        <w:tc>
          <w:tcPr>
            <w:tcW w:w="573" w:type="pct"/>
          </w:tcPr>
          <w:p w:rsidR="005F3082" w:rsidRPr="007B28E7" w:rsidRDefault="005F3082" w:rsidP="00310F7C">
            <w:pPr>
              <w:rPr>
                <w:rFonts w:ascii="Arial Narrow" w:hAnsi="Arial Narrow"/>
                <w:sz w:val="20"/>
                <w:szCs w:val="20"/>
              </w:rPr>
            </w:pPr>
            <w:r w:rsidRPr="007B28E7">
              <w:rPr>
                <w:rFonts w:ascii="Arial Narrow" w:hAnsi="Arial Narrow"/>
                <w:sz w:val="20"/>
                <w:szCs w:val="20"/>
              </w:rPr>
              <w:t xml:space="preserve">Advice for </w:t>
            </w:r>
            <w:r w:rsidR="00E06D1F" w:rsidRPr="007B28E7">
              <w:rPr>
                <w:rFonts w:ascii="Arial Narrow" w:hAnsi="Arial Narrow"/>
                <w:sz w:val="20"/>
                <w:szCs w:val="20"/>
              </w:rPr>
              <w:t>re</w:t>
            </w:r>
            <w:r w:rsidR="002A67D6" w:rsidRPr="007B28E7">
              <w:rPr>
                <w:rFonts w:ascii="Arial Narrow" w:hAnsi="Arial Narrow"/>
                <w:sz w:val="20"/>
                <w:szCs w:val="20"/>
              </w:rPr>
              <w:t>submission</w:t>
            </w:r>
          </w:p>
        </w:tc>
        <w:tc>
          <w:tcPr>
            <w:tcW w:w="2734" w:type="pct"/>
          </w:tcPr>
          <w:p w:rsidR="005F3082" w:rsidRPr="007B28E7" w:rsidRDefault="005F3082" w:rsidP="00E06D1F">
            <w:pPr>
              <w:contextualSpacing/>
              <w:rPr>
                <w:rFonts w:ascii="Arial Narrow" w:hAnsi="Arial Narrow"/>
                <w:sz w:val="20"/>
                <w:szCs w:val="20"/>
              </w:rPr>
            </w:pPr>
            <w:r w:rsidRPr="007B28E7">
              <w:rPr>
                <w:rFonts w:ascii="Arial Narrow" w:hAnsi="Arial Narrow"/>
                <w:b/>
                <w:sz w:val="20"/>
                <w:szCs w:val="20"/>
              </w:rPr>
              <w:t xml:space="preserve">PBAC Comment: </w:t>
            </w:r>
            <w:r w:rsidRPr="007B28E7">
              <w:rPr>
                <w:rFonts w:ascii="Arial Narrow" w:hAnsi="Arial Narrow"/>
                <w:sz w:val="20"/>
                <w:szCs w:val="20"/>
              </w:rPr>
              <w:t xml:space="preserve">(paragraph 7.13) any </w:t>
            </w:r>
            <w:r w:rsidR="00E06D1F" w:rsidRPr="007B28E7">
              <w:rPr>
                <w:rFonts w:ascii="Arial Narrow" w:hAnsi="Arial Narrow"/>
                <w:sz w:val="20"/>
                <w:szCs w:val="20"/>
              </w:rPr>
              <w:t>re</w:t>
            </w:r>
            <w:r w:rsidR="002A67D6" w:rsidRPr="007B28E7">
              <w:rPr>
                <w:rFonts w:ascii="Arial Narrow" w:hAnsi="Arial Narrow"/>
                <w:sz w:val="20"/>
                <w:szCs w:val="20"/>
              </w:rPr>
              <w:t>submission</w:t>
            </w:r>
            <w:r w:rsidRPr="007B28E7">
              <w:rPr>
                <w:rFonts w:ascii="Arial Narrow" w:hAnsi="Arial Narrow"/>
                <w:sz w:val="20"/>
                <w:szCs w:val="20"/>
              </w:rPr>
              <w:t xml:space="preserve"> should include an economic model with health states based on progression, and the utility values from the regorafenib mCRC trial should be applied to these health states. The PBAC considered that the base case ICER for this scenario should not exceed $50,000 per QALY gained. </w:t>
            </w:r>
          </w:p>
        </w:tc>
        <w:tc>
          <w:tcPr>
            <w:tcW w:w="1693" w:type="pct"/>
          </w:tcPr>
          <w:p w:rsidR="00E06D1F" w:rsidRPr="007B28E7" w:rsidRDefault="005F3082" w:rsidP="00E06D1F">
            <w:pPr>
              <w:contextualSpacing/>
              <w:rPr>
                <w:rFonts w:ascii="Arial Narrow" w:hAnsi="Arial Narrow"/>
                <w:sz w:val="20"/>
                <w:szCs w:val="20"/>
              </w:rPr>
            </w:pPr>
            <w:r w:rsidRPr="007B28E7">
              <w:rPr>
                <w:rFonts w:ascii="Arial Narrow" w:hAnsi="Arial Narrow"/>
                <w:sz w:val="20"/>
                <w:szCs w:val="20"/>
              </w:rPr>
              <w:t>ICER is $</w:t>
            </w:r>
            <w:r w:rsidR="001D433F">
              <w:rPr>
                <w:rFonts w:ascii="Arial Narrow" w:hAnsi="Arial Narrow"/>
                <w:sz w:val="20"/>
              </w:rPr>
              <w:t>45,000 - $75,000</w:t>
            </w:r>
            <w:r w:rsidR="001D433F" w:rsidRPr="007B28E7">
              <w:rPr>
                <w:rFonts w:ascii="Arial Narrow" w:hAnsi="Arial Narrow"/>
                <w:sz w:val="20"/>
              </w:rPr>
              <w:t xml:space="preserve"> </w:t>
            </w:r>
            <w:r w:rsidRPr="007B28E7">
              <w:rPr>
                <w:rFonts w:ascii="Arial Narrow" w:hAnsi="Arial Narrow"/>
                <w:sz w:val="20"/>
                <w:szCs w:val="20"/>
              </w:rPr>
              <w:t xml:space="preserve">per QALY gained. </w:t>
            </w:r>
          </w:p>
          <w:p w:rsidR="005F3082" w:rsidRPr="007B28E7" w:rsidRDefault="005F3082" w:rsidP="00310F7C">
            <w:pPr>
              <w:contextualSpacing/>
              <w:rPr>
                <w:rFonts w:ascii="Arial Narrow" w:hAnsi="Arial Narrow"/>
                <w:sz w:val="20"/>
                <w:szCs w:val="20"/>
              </w:rPr>
            </w:pPr>
          </w:p>
        </w:tc>
      </w:tr>
    </w:tbl>
    <w:p w:rsidR="00501924" w:rsidRPr="00FB32B0" w:rsidRDefault="00501924" w:rsidP="00501924">
      <w:pPr>
        <w:rPr>
          <w:rFonts w:ascii="Arial Narrow" w:hAnsi="Arial Narrow" w:cs="Arial"/>
          <w:sz w:val="18"/>
          <w:szCs w:val="18"/>
        </w:rPr>
      </w:pPr>
      <w:r w:rsidRPr="00FB32B0">
        <w:rPr>
          <w:rFonts w:ascii="Arial Narrow" w:hAnsi="Arial Narrow" w:cs="Arial"/>
          <w:sz w:val="18"/>
          <w:szCs w:val="18"/>
        </w:rPr>
        <w:t>Abbreviations:</w:t>
      </w:r>
      <w:r w:rsidR="00E34E7E" w:rsidRPr="00FB32B0">
        <w:rPr>
          <w:rFonts w:ascii="Arial Narrow" w:hAnsi="Arial Narrow" w:cs="Arial"/>
          <w:sz w:val="18"/>
          <w:szCs w:val="18"/>
        </w:rPr>
        <w:t xml:space="preserve"> CI = confidence interval; ECOG-</w:t>
      </w:r>
      <w:r w:rsidRPr="00FB32B0">
        <w:rPr>
          <w:rFonts w:ascii="Arial Narrow" w:hAnsi="Arial Narrow" w:cs="Arial"/>
          <w:sz w:val="18"/>
          <w:szCs w:val="18"/>
        </w:rPr>
        <w:t>PS = Eastern Cooperative Oncology Group Performance Status; ICER = incremental cost-effectiveness ratio; LY = life year; mCRC = metastatic colorectal cancer; OS = overall survival; PFS = progression free survival; QALY = quality adjusted life year</w:t>
      </w:r>
    </w:p>
    <w:p w:rsidR="00541520" w:rsidRDefault="00F75B7D" w:rsidP="00541520">
      <w:pPr>
        <w:jc w:val="both"/>
        <w:rPr>
          <w:rFonts w:ascii="Arial Narrow" w:hAnsi="Arial Narrow"/>
          <w:sz w:val="18"/>
          <w:szCs w:val="18"/>
        </w:rPr>
      </w:pPr>
      <w:r w:rsidRPr="00FB32B0">
        <w:rPr>
          <w:rFonts w:ascii="Arial Narrow" w:hAnsi="Arial Narrow"/>
          <w:sz w:val="18"/>
          <w:szCs w:val="18"/>
        </w:rPr>
        <w:t xml:space="preserve">Source: </w:t>
      </w:r>
      <w:r w:rsidR="00D7018E" w:rsidRPr="00FB32B0">
        <w:rPr>
          <w:rFonts w:ascii="Arial Narrow" w:hAnsi="Arial Narrow"/>
          <w:sz w:val="18"/>
          <w:szCs w:val="18"/>
        </w:rPr>
        <w:t xml:space="preserve">compiled from the </w:t>
      </w:r>
      <w:r w:rsidR="00EA53CB" w:rsidRPr="00FB32B0">
        <w:rPr>
          <w:rFonts w:ascii="Arial Narrow" w:hAnsi="Arial Narrow"/>
          <w:sz w:val="18"/>
          <w:szCs w:val="18"/>
        </w:rPr>
        <w:t>November 2016 PBAC Minutes and t</w:t>
      </w:r>
      <w:r w:rsidR="00541520">
        <w:rPr>
          <w:rFonts w:ascii="Arial Narrow" w:hAnsi="Arial Narrow"/>
          <w:sz w:val="18"/>
          <w:szCs w:val="18"/>
        </w:rPr>
        <w:t>he March 2017 minor submission.</w:t>
      </w:r>
    </w:p>
    <w:p w:rsidR="00541520" w:rsidRPr="00541520" w:rsidRDefault="00541520" w:rsidP="00541520">
      <w:pPr>
        <w:jc w:val="both"/>
        <w:rPr>
          <w:rFonts w:ascii="Arial Narrow" w:hAnsi="Arial Narrow"/>
          <w:sz w:val="18"/>
          <w:szCs w:val="18"/>
        </w:rPr>
      </w:pPr>
    </w:p>
    <w:p w:rsidR="00760854" w:rsidRPr="007103BF" w:rsidRDefault="00760854" w:rsidP="007103BF">
      <w:pPr>
        <w:rPr>
          <w:rFonts w:ascii="Arial" w:hAnsi="Arial" w:cs="Arial"/>
          <w:i/>
          <w:sz w:val="22"/>
          <w:szCs w:val="22"/>
        </w:rPr>
      </w:pPr>
      <w:r w:rsidRPr="007103BF">
        <w:rPr>
          <w:rFonts w:ascii="Arial" w:hAnsi="Arial" w:cs="Arial"/>
          <w:i/>
          <w:sz w:val="22"/>
          <w:szCs w:val="22"/>
        </w:rPr>
        <w:t>For more deta</w:t>
      </w:r>
      <w:r w:rsidR="001052F2" w:rsidRPr="007103BF">
        <w:rPr>
          <w:rFonts w:ascii="Arial" w:hAnsi="Arial" w:cs="Arial"/>
          <w:i/>
          <w:sz w:val="22"/>
          <w:szCs w:val="22"/>
        </w:rPr>
        <w:t>il on PBAC’s view, see section 5</w:t>
      </w:r>
      <w:r w:rsidRPr="007103BF">
        <w:rPr>
          <w:rFonts w:ascii="Arial" w:hAnsi="Arial" w:cs="Arial"/>
          <w:i/>
          <w:sz w:val="22"/>
          <w:szCs w:val="22"/>
        </w:rPr>
        <w:t xml:space="preserve"> “PBAC outcome”</w:t>
      </w:r>
      <w:r w:rsidR="007103BF">
        <w:rPr>
          <w:rFonts w:ascii="Arial" w:hAnsi="Arial" w:cs="Arial"/>
          <w:i/>
          <w:sz w:val="22"/>
          <w:szCs w:val="22"/>
        </w:rPr>
        <w:t>.</w:t>
      </w:r>
    </w:p>
    <w:p w:rsidR="00BB7EC3" w:rsidRDefault="00BB7EC3" w:rsidP="00F85470">
      <w:pPr>
        <w:pStyle w:val="ListParagraph"/>
        <w:rPr>
          <w:szCs w:val="22"/>
        </w:rPr>
      </w:pPr>
    </w:p>
    <w:p w:rsidR="00C15E2A" w:rsidRPr="007B28E7" w:rsidRDefault="00C15E2A" w:rsidP="00F85470">
      <w:pPr>
        <w:pStyle w:val="ListParagraph"/>
        <w:rPr>
          <w:szCs w:val="22"/>
        </w:rPr>
      </w:pPr>
    </w:p>
    <w:p w:rsidR="000B558D" w:rsidRPr="007B28E7" w:rsidRDefault="008D7A41" w:rsidP="008A50F1">
      <w:pPr>
        <w:pStyle w:val="PBACHeading1"/>
      </w:pPr>
      <w:r w:rsidRPr="007B28E7">
        <w:t>C</w:t>
      </w:r>
      <w:r w:rsidR="00D84934" w:rsidRPr="007B28E7">
        <w:t>onsideration of the evidence</w:t>
      </w:r>
    </w:p>
    <w:p w:rsidR="00FD5271" w:rsidRPr="007B28E7" w:rsidRDefault="00FD5271" w:rsidP="005B36B1"/>
    <w:p w:rsidR="001052F2" w:rsidRPr="00C15E2A" w:rsidRDefault="001052F2" w:rsidP="00C15E2A">
      <w:pPr>
        <w:pStyle w:val="Heading2"/>
      </w:pPr>
      <w:r w:rsidRPr="00C15E2A">
        <w:t>Sponsor hearing</w:t>
      </w:r>
    </w:p>
    <w:p w:rsidR="001052F2" w:rsidRPr="007B28E7" w:rsidRDefault="001052F2" w:rsidP="001052F2">
      <w:pPr>
        <w:rPr>
          <w:rFonts w:ascii="Arial" w:hAnsi="Arial" w:cs="Arial"/>
          <w:b/>
          <w:bCs/>
          <w:snapToGrid w:val="0"/>
          <w:sz w:val="22"/>
          <w:szCs w:val="22"/>
        </w:rPr>
      </w:pPr>
    </w:p>
    <w:p w:rsidR="001052F2" w:rsidRPr="007B28E7" w:rsidRDefault="00334331" w:rsidP="00334331">
      <w:pPr>
        <w:numPr>
          <w:ilvl w:val="1"/>
          <w:numId w:val="5"/>
        </w:numPr>
        <w:rPr>
          <w:rFonts w:ascii="Arial" w:hAnsi="Arial" w:cs="Arial"/>
          <w:bCs/>
          <w:snapToGrid w:val="0"/>
          <w:sz w:val="22"/>
          <w:szCs w:val="22"/>
        </w:rPr>
      </w:pPr>
      <w:r w:rsidRPr="007B28E7">
        <w:rPr>
          <w:rFonts w:ascii="Arial" w:hAnsi="Arial" w:cs="Arial"/>
          <w:bCs/>
          <w:snapToGrid w:val="0"/>
          <w:sz w:val="22"/>
          <w:szCs w:val="22"/>
        </w:rPr>
        <w:t>There was no hearing for this item</w:t>
      </w:r>
      <w:r w:rsidR="00D500E0" w:rsidRPr="007B28E7">
        <w:rPr>
          <w:rFonts w:ascii="Arial" w:hAnsi="Arial" w:cs="Arial"/>
          <w:bCs/>
          <w:snapToGrid w:val="0"/>
          <w:sz w:val="22"/>
          <w:szCs w:val="22"/>
        </w:rPr>
        <w:t xml:space="preserve"> as it was a minor submission</w:t>
      </w:r>
      <w:r w:rsidR="001052F2" w:rsidRPr="007B28E7">
        <w:rPr>
          <w:rFonts w:ascii="Arial" w:hAnsi="Arial" w:cs="Arial"/>
          <w:bCs/>
          <w:snapToGrid w:val="0"/>
          <w:sz w:val="22"/>
          <w:szCs w:val="22"/>
        </w:rPr>
        <w:t>.</w:t>
      </w:r>
    </w:p>
    <w:p w:rsidR="001052F2" w:rsidRPr="007B28E7" w:rsidRDefault="001052F2" w:rsidP="001052F2">
      <w:pPr>
        <w:rPr>
          <w:rFonts w:ascii="Arial" w:hAnsi="Arial" w:cs="Arial"/>
          <w:bCs/>
          <w:snapToGrid w:val="0"/>
          <w:sz w:val="22"/>
          <w:szCs w:val="22"/>
          <w:highlight w:val="yellow"/>
        </w:rPr>
      </w:pPr>
    </w:p>
    <w:p w:rsidR="001052F2" w:rsidRPr="00C15E2A" w:rsidRDefault="001052F2" w:rsidP="00C15E2A">
      <w:pPr>
        <w:pStyle w:val="Heading2"/>
      </w:pPr>
      <w:r w:rsidRPr="00C15E2A">
        <w:t>Consumer comments</w:t>
      </w:r>
    </w:p>
    <w:p w:rsidR="001052F2" w:rsidRPr="007B28E7" w:rsidRDefault="001052F2" w:rsidP="001052F2">
      <w:pPr>
        <w:rPr>
          <w:rFonts w:ascii="Arial" w:hAnsi="Arial" w:cs="Arial"/>
          <w:bCs/>
          <w:snapToGrid w:val="0"/>
          <w:sz w:val="22"/>
          <w:szCs w:val="22"/>
          <w:highlight w:val="yellow"/>
        </w:rPr>
      </w:pPr>
    </w:p>
    <w:p w:rsidR="00502D76" w:rsidRPr="007B28E7" w:rsidRDefault="00731B33" w:rsidP="00502D76">
      <w:pPr>
        <w:pStyle w:val="ListParagraph"/>
        <w:numPr>
          <w:ilvl w:val="1"/>
          <w:numId w:val="5"/>
        </w:numPr>
        <w:rPr>
          <w:bCs/>
          <w:szCs w:val="22"/>
          <w:lang w:eastAsia="en-AU"/>
        </w:rPr>
      </w:pPr>
      <w:r w:rsidRPr="007B28E7">
        <w:rPr>
          <w:bCs/>
          <w:szCs w:val="22"/>
        </w:rPr>
        <w:t>The</w:t>
      </w:r>
      <w:r w:rsidR="001052F2" w:rsidRPr="007B28E7">
        <w:rPr>
          <w:bCs/>
          <w:szCs w:val="22"/>
        </w:rPr>
        <w:t xml:space="preserve"> </w:t>
      </w:r>
      <w:r w:rsidRPr="007B28E7">
        <w:rPr>
          <w:bCs/>
          <w:szCs w:val="22"/>
        </w:rPr>
        <w:t>Medical Oncology Group of Australia (MOGA) expressed support for the trifluridine/tipiracil submission</w:t>
      </w:r>
      <w:r w:rsidR="00502D76" w:rsidRPr="007B28E7">
        <w:rPr>
          <w:bCs/>
          <w:szCs w:val="22"/>
        </w:rPr>
        <w:t xml:space="preserve">. It was noted </w:t>
      </w:r>
      <w:r w:rsidR="007B28E7">
        <w:rPr>
          <w:bCs/>
          <w:szCs w:val="22"/>
        </w:rPr>
        <w:t xml:space="preserve">that </w:t>
      </w:r>
      <w:r w:rsidR="00502D76" w:rsidRPr="007B28E7">
        <w:rPr>
          <w:bCs/>
          <w:szCs w:val="22"/>
        </w:rPr>
        <w:t xml:space="preserve">the indication for this item represents an area of unmet need after failure of standard prior therapies and </w:t>
      </w:r>
      <w:r w:rsidR="00502D76" w:rsidRPr="007B28E7">
        <w:t>trifluridine/tipiracil</w:t>
      </w:r>
      <w:r w:rsidR="00502D76" w:rsidRPr="007B28E7">
        <w:rPr>
          <w:bCs/>
          <w:szCs w:val="22"/>
        </w:rPr>
        <w:t xml:space="preserve"> has a proven survival benefit in a phase 3 trial.</w:t>
      </w:r>
      <w:r w:rsidRPr="007B28E7">
        <w:rPr>
          <w:bCs/>
          <w:szCs w:val="22"/>
        </w:rPr>
        <w:t xml:space="preserve"> </w:t>
      </w:r>
      <w:r w:rsidR="00502D76" w:rsidRPr="007B28E7">
        <w:rPr>
          <w:bCs/>
          <w:szCs w:val="22"/>
          <w:lang w:eastAsia="en-AU"/>
        </w:rPr>
        <w:t xml:space="preserve">The PBAC noted that the MOGA presented the European Society for Medical Oncology Magnitude of Clinical Benefit Scale (ESMO-MCBS) for </w:t>
      </w:r>
      <w:r w:rsidR="00502D76" w:rsidRPr="007B28E7">
        <w:t>trifluridine/tipiracil</w:t>
      </w:r>
      <w:r w:rsidR="00502D76" w:rsidRPr="007B28E7">
        <w:rPr>
          <w:bCs/>
          <w:szCs w:val="22"/>
          <w:lang w:eastAsia="en-AU"/>
        </w:rPr>
        <w:t>, which was limited to 2 (out of a maximum of 5, where 5 and 4 represent the grades with substantial improvement)</w:t>
      </w:r>
      <w:r w:rsidR="00502D76" w:rsidRPr="007B28E7">
        <w:rPr>
          <w:rStyle w:val="FootnoteReference"/>
          <w:bCs/>
          <w:szCs w:val="22"/>
          <w:lang w:eastAsia="en-AU"/>
        </w:rPr>
        <w:footnoteReference w:id="1"/>
      </w:r>
      <w:r w:rsidR="00502D76" w:rsidRPr="007B28E7">
        <w:rPr>
          <w:bCs/>
          <w:szCs w:val="22"/>
          <w:lang w:eastAsia="en-AU"/>
        </w:rPr>
        <w:t xml:space="preserve">, based on a comparison with placebo. </w:t>
      </w:r>
    </w:p>
    <w:p w:rsidR="001052F2" w:rsidRPr="007B28E7" w:rsidRDefault="001052F2" w:rsidP="001052F2"/>
    <w:p w:rsidR="00D84934" w:rsidRPr="007B28E7" w:rsidRDefault="00D84934" w:rsidP="00B1059E">
      <w:pPr>
        <w:pStyle w:val="Heading2"/>
      </w:pPr>
      <w:r w:rsidRPr="007B28E7">
        <w:t>Clinical trials</w:t>
      </w:r>
    </w:p>
    <w:p w:rsidR="00D84934" w:rsidRPr="007B28E7" w:rsidRDefault="00D84934" w:rsidP="00F9629A">
      <w:pPr>
        <w:jc w:val="both"/>
        <w:rPr>
          <w:rFonts w:ascii="Arial" w:hAnsi="Arial"/>
          <w:sz w:val="22"/>
          <w:szCs w:val="22"/>
        </w:rPr>
      </w:pPr>
    </w:p>
    <w:p w:rsidR="00E92A8E" w:rsidRPr="007B28E7" w:rsidRDefault="0076420C" w:rsidP="005E31DD">
      <w:pPr>
        <w:pStyle w:val="ListParagraph"/>
        <w:numPr>
          <w:ilvl w:val="1"/>
          <w:numId w:val="14"/>
        </w:numPr>
        <w:rPr>
          <w:szCs w:val="22"/>
        </w:rPr>
      </w:pPr>
      <w:r w:rsidRPr="007B28E7">
        <w:rPr>
          <w:szCs w:val="22"/>
        </w:rPr>
        <w:t xml:space="preserve">As a minor submission, no </w:t>
      </w:r>
      <w:r w:rsidR="00FD5271" w:rsidRPr="007B28E7">
        <w:rPr>
          <w:szCs w:val="22"/>
        </w:rPr>
        <w:t>new</w:t>
      </w:r>
      <w:r w:rsidRPr="007B28E7">
        <w:rPr>
          <w:szCs w:val="22"/>
        </w:rPr>
        <w:t xml:space="preserve"> clinical trials </w:t>
      </w:r>
      <w:r w:rsidR="00FF2801" w:rsidRPr="007B28E7">
        <w:rPr>
          <w:szCs w:val="22"/>
        </w:rPr>
        <w:t>were</w:t>
      </w:r>
      <w:r w:rsidRPr="007B28E7">
        <w:rPr>
          <w:szCs w:val="22"/>
        </w:rPr>
        <w:t xml:space="preserve"> presented in the </w:t>
      </w:r>
      <w:r w:rsidR="002A67D6" w:rsidRPr="007B28E7">
        <w:rPr>
          <w:szCs w:val="22"/>
        </w:rPr>
        <w:t>submission</w:t>
      </w:r>
      <w:r w:rsidRPr="007B28E7">
        <w:rPr>
          <w:szCs w:val="22"/>
        </w:rPr>
        <w:t>.</w:t>
      </w:r>
    </w:p>
    <w:p w:rsidR="00BB7EC3" w:rsidRPr="007B28E7" w:rsidRDefault="00BB7EC3" w:rsidP="009B0F67">
      <w:pPr>
        <w:jc w:val="both"/>
        <w:rPr>
          <w:rFonts w:ascii="Arial" w:hAnsi="Arial"/>
          <w:sz w:val="22"/>
          <w:szCs w:val="22"/>
        </w:rPr>
      </w:pPr>
    </w:p>
    <w:p w:rsidR="005A3173" w:rsidRPr="007B28E7" w:rsidRDefault="005A3173" w:rsidP="00B1059E">
      <w:pPr>
        <w:pStyle w:val="Heading2"/>
      </w:pPr>
      <w:r w:rsidRPr="007B28E7">
        <w:t>Comparative effectiveness</w:t>
      </w:r>
    </w:p>
    <w:p w:rsidR="005A3173" w:rsidRPr="007B28E7" w:rsidRDefault="005A3173" w:rsidP="00882085">
      <w:pPr>
        <w:jc w:val="both"/>
        <w:rPr>
          <w:rFonts w:ascii="Arial" w:hAnsi="Arial"/>
          <w:sz w:val="22"/>
          <w:szCs w:val="22"/>
        </w:rPr>
      </w:pPr>
    </w:p>
    <w:p w:rsidR="00451DDB" w:rsidRPr="007B28E7" w:rsidRDefault="003E46AB" w:rsidP="003E46AB">
      <w:pPr>
        <w:pStyle w:val="ListParagraph"/>
        <w:numPr>
          <w:ilvl w:val="1"/>
          <w:numId w:val="14"/>
        </w:numPr>
        <w:rPr>
          <w:szCs w:val="22"/>
        </w:rPr>
      </w:pPr>
      <w:r w:rsidRPr="007B28E7">
        <w:rPr>
          <w:szCs w:val="22"/>
        </w:rPr>
        <w:t xml:space="preserve">The November 2016 major submission </w:t>
      </w:r>
      <w:r w:rsidR="00A92BCB" w:rsidRPr="007B28E7">
        <w:rPr>
          <w:szCs w:val="22"/>
        </w:rPr>
        <w:t>used results from</w:t>
      </w:r>
      <w:r w:rsidRPr="007B28E7">
        <w:rPr>
          <w:szCs w:val="22"/>
        </w:rPr>
        <w:t xml:space="preserve"> the RECOURSE trial</w:t>
      </w:r>
      <w:r w:rsidR="00A92BCB" w:rsidRPr="007B28E7">
        <w:rPr>
          <w:szCs w:val="22"/>
        </w:rPr>
        <w:t xml:space="preserve"> for the primary analysis</w:t>
      </w:r>
      <w:r w:rsidRPr="007B28E7">
        <w:rPr>
          <w:szCs w:val="22"/>
        </w:rPr>
        <w:t>. A second trial, J003</w:t>
      </w:r>
      <w:r w:rsidR="00A92BCB" w:rsidRPr="007B28E7">
        <w:rPr>
          <w:szCs w:val="22"/>
        </w:rPr>
        <w:t>,</w:t>
      </w:r>
      <w:r w:rsidRPr="007B28E7">
        <w:rPr>
          <w:szCs w:val="22"/>
        </w:rPr>
        <w:t xml:space="preserve"> was excluded from</w:t>
      </w:r>
      <w:r w:rsidR="00A92BCB" w:rsidRPr="007B28E7">
        <w:rPr>
          <w:szCs w:val="22"/>
        </w:rPr>
        <w:t xml:space="preserve"> primary</w:t>
      </w:r>
      <w:r w:rsidRPr="007B28E7">
        <w:rPr>
          <w:szCs w:val="22"/>
        </w:rPr>
        <w:t xml:space="preserve"> analysis based on the assumption that </w:t>
      </w:r>
      <w:r w:rsidR="003F2A0E" w:rsidRPr="007B28E7">
        <w:t xml:space="preserve">(a) the Asian ethnicity of recruited patients influenced the comparative efficacy of trifluridine/tipiracil; and that (b) recruited patients were less heavily pre-treated than those in the RECOURSE trial to all potentially available </w:t>
      </w:r>
      <w:r w:rsidR="003549CC">
        <w:t xml:space="preserve">treatment </w:t>
      </w:r>
      <w:r w:rsidR="003F2A0E" w:rsidRPr="007B28E7">
        <w:t>options</w:t>
      </w:r>
      <w:r w:rsidR="003549CC">
        <w:t xml:space="preserve"> for mCRC</w:t>
      </w:r>
      <w:r w:rsidR="003F2A0E" w:rsidRPr="007B28E7">
        <w:t xml:space="preserve"> (based on exposure to bevacizumab and EGFR inhibitors) (paragraph 6.5, November 2016 </w:t>
      </w:r>
      <w:r w:rsidR="000159F8">
        <w:t>Public Summary Document</w:t>
      </w:r>
      <w:r w:rsidR="003F2A0E" w:rsidRPr="007B28E7">
        <w:t>)</w:t>
      </w:r>
      <w:r w:rsidRPr="007B28E7">
        <w:rPr>
          <w:szCs w:val="22"/>
        </w:rPr>
        <w:t>.</w:t>
      </w:r>
    </w:p>
    <w:p w:rsidR="00451DDB" w:rsidRPr="007B28E7" w:rsidRDefault="00451DDB" w:rsidP="00451DDB">
      <w:pPr>
        <w:pStyle w:val="ListParagraph"/>
        <w:rPr>
          <w:szCs w:val="22"/>
        </w:rPr>
      </w:pPr>
    </w:p>
    <w:p w:rsidR="006A78FB" w:rsidRPr="007B28E7" w:rsidRDefault="00451DDB" w:rsidP="003E46AB">
      <w:pPr>
        <w:pStyle w:val="ListParagraph"/>
        <w:numPr>
          <w:ilvl w:val="1"/>
          <w:numId w:val="14"/>
        </w:numPr>
        <w:rPr>
          <w:szCs w:val="22"/>
        </w:rPr>
      </w:pPr>
      <w:r w:rsidRPr="007B28E7">
        <w:rPr>
          <w:szCs w:val="22"/>
        </w:rPr>
        <w:t xml:space="preserve">The minor </w:t>
      </w:r>
      <w:r w:rsidR="00A37D31" w:rsidRPr="007B28E7">
        <w:rPr>
          <w:szCs w:val="22"/>
        </w:rPr>
        <w:t>re</w:t>
      </w:r>
      <w:r w:rsidR="002A67D6" w:rsidRPr="007B28E7">
        <w:rPr>
          <w:szCs w:val="22"/>
        </w:rPr>
        <w:t>submission</w:t>
      </w:r>
      <w:r w:rsidRPr="007B28E7">
        <w:rPr>
          <w:szCs w:val="22"/>
        </w:rPr>
        <w:t xml:space="preserve"> </w:t>
      </w:r>
      <w:r w:rsidR="00A92BCB" w:rsidRPr="007B28E7">
        <w:rPr>
          <w:szCs w:val="22"/>
        </w:rPr>
        <w:t>pooled the results of overall survival (OS) and progression free survival (PFS) from the</w:t>
      </w:r>
      <w:r w:rsidR="00171D2E" w:rsidRPr="007B28E7">
        <w:rPr>
          <w:szCs w:val="22"/>
        </w:rPr>
        <w:t xml:space="preserve"> RECOURSE and J003 </w:t>
      </w:r>
      <w:r w:rsidR="0085025E" w:rsidRPr="007B28E7">
        <w:rPr>
          <w:szCs w:val="22"/>
        </w:rPr>
        <w:t>trial</w:t>
      </w:r>
      <w:r w:rsidR="00A92BCB" w:rsidRPr="007B28E7">
        <w:rPr>
          <w:szCs w:val="22"/>
        </w:rPr>
        <w:t>s</w:t>
      </w:r>
      <w:r w:rsidR="00CA1F2D" w:rsidRPr="007B28E7">
        <w:rPr>
          <w:szCs w:val="22"/>
        </w:rPr>
        <w:t xml:space="preserve">. The pooled results are </w:t>
      </w:r>
      <w:r w:rsidR="00283852" w:rsidRPr="007B28E7">
        <w:rPr>
          <w:szCs w:val="22"/>
        </w:rPr>
        <w:t xml:space="preserve">presented in Table </w:t>
      </w:r>
      <w:r w:rsidR="00752937" w:rsidRPr="007B28E7">
        <w:rPr>
          <w:szCs w:val="22"/>
        </w:rPr>
        <w:t>2</w:t>
      </w:r>
      <w:r w:rsidR="008416B4" w:rsidRPr="007B28E7">
        <w:rPr>
          <w:szCs w:val="22"/>
        </w:rPr>
        <w:t>.</w:t>
      </w:r>
      <w:r w:rsidR="00A0338B" w:rsidRPr="007B28E7">
        <w:rPr>
          <w:szCs w:val="22"/>
        </w:rPr>
        <w:t xml:space="preserve"> </w:t>
      </w:r>
    </w:p>
    <w:p w:rsidR="008416B4" w:rsidRPr="007B28E7" w:rsidRDefault="008416B4" w:rsidP="0054468E">
      <w:pPr>
        <w:rPr>
          <w:szCs w:val="22"/>
        </w:rPr>
      </w:pPr>
    </w:p>
    <w:p w:rsidR="008416B4" w:rsidRPr="007B28E7" w:rsidRDefault="008416B4" w:rsidP="00FB32B0">
      <w:pPr>
        <w:pStyle w:val="Caption"/>
        <w:keepNext/>
        <w:spacing w:after="0"/>
        <w:ind w:firstLine="720"/>
        <w:rPr>
          <w:rFonts w:ascii="Arial Narrow" w:hAnsi="Arial Narrow"/>
          <w:sz w:val="20"/>
          <w:szCs w:val="20"/>
        </w:rPr>
      </w:pPr>
      <w:r w:rsidRPr="007B28E7">
        <w:rPr>
          <w:rFonts w:ascii="Arial Narrow" w:hAnsi="Arial Narrow"/>
          <w:color w:val="auto"/>
          <w:sz w:val="20"/>
          <w:szCs w:val="20"/>
        </w:rPr>
        <w:t>Table 2: Results of the pooled analysis for PFS and OS applied in the revised economic analysis</w:t>
      </w:r>
    </w:p>
    <w:tbl>
      <w:tblPr>
        <w:tblStyle w:val="TableGrid"/>
        <w:tblW w:w="4558" w:type="pct"/>
        <w:tblInd w:w="817" w:type="dxa"/>
        <w:tblLook w:val="04A0" w:firstRow="1" w:lastRow="0" w:firstColumn="1" w:lastColumn="0" w:noHBand="0" w:noVBand="1"/>
        <w:tblCaption w:val="Table 2: Results of the pooled analysis for PFS and OS applied in the revised economic analysis"/>
      </w:tblPr>
      <w:tblGrid>
        <w:gridCol w:w="2218"/>
        <w:gridCol w:w="2068"/>
        <w:gridCol w:w="2070"/>
        <w:gridCol w:w="2069"/>
      </w:tblGrid>
      <w:tr w:rsidR="00283852" w:rsidRPr="007B28E7" w:rsidTr="006B0997">
        <w:trPr>
          <w:tblHeader/>
        </w:trPr>
        <w:tc>
          <w:tcPr>
            <w:tcW w:w="1316" w:type="pct"/>
          </w:tcPr>
          <w:p w:rsidR="00283852" w:rsidRPr="007B28E7" w:rsidRDefault="00283852" w:rsidP="006A78FB">
            <w:pPr>
              <w:pStyle w:val="ListParagraph"/>
              <w:ind w:left="0"/>
              <w:rPr>
                <w:rFonts w:ascii="Arial Narrow" w:hAnsi="Arial Narrow"/>
                <w:b/>
                <w:sz w:val="20"/>
                <w:szCs w:val="22"/>
              </w:rPr>
            </w:pPr>
            <w:r w:rsidRPr="007B28E7">
              <w:rPr>
                <w:rFonts w:ascii="Arial Narrow" w:hAnsi="Arial Narrow"/>
                <w:b/>
                <w:sz w:val="20"/>
                <w:szCs w:val="22"/>
              </w:rPr>
              <w:t>Outcome</w:t>
            </w:r>
          </w:p>
        </w:tc>
        <w:tc>
          <w:tcPr>
            <w:tcW w:w="1227" w:type="pct"/>
          </w:tcPr>
          <w:p w:rsidR="00283852" w:rsidRPr="007B28E7" w:rsidRDefault="00873C27" w:rsidP="0084759D">
            <w:pPr>
              <w:pStyle w:val="ListParagraph"/>
              <w:ind w:left="0"/>
              <w:jc w:val="center"/>
              <w:rPr>
                <w:rFonts w:ascii="Arial Narrow" w:hAnsi="Arial Narrow"/>
                <w:b/>
                <w:sz w:val="20"/>
                <w:szCs w:val="22"/>
              </w:rPr>
            </w:pPr>
            <w:r w:rsidRPr="007B28E7">
              <w:rPr>
                <w:rFonts w:ascii="Arial Narrow" w:hAnsi="Arial Narrow"/>
                <w:b/>
                <w:sz w:val="20"/>
                <w:szCs w:val="22"/>
              </w:rPr>
              <w:t>Trifluridine/tipiracil</w:t>
            </w:r>
          </w:p>
        </w:tc>
        <w:tc>
          <w:tcPr>
            <w:tcW w:w="1228" w:type="pct"/>
          </w:tcPr>
          <w:p w:rsidR="00283852" w:rsidRPr="007B28E7" w:rsidRDefault="00873C27" w:rsidP="0084759D">
            <w:pPr>
              <w:pStyle w:val="ListParagraph"/>
              <w:ind w:left="0"/>
              <w:jc w:val="center"/>
              <w:rPr>
                <w:rFonts w:ascii="Arial Narrow" w:hAnsi="Arial Narrow"/>
                <w:b/>
                <w:sz w:val="20"/>
                <w:szCs w:val="22"/>
              </w:rPr>
            </w:pPr>
            <w:r w:rsidRPr="007B28E7">
              <w:rPr>
                <w:rFonts w:ascii="Arial Narrow" w:hAnsi="Arial Narrow"/>
                <w:b/>
                <w:sz w:val="20"/>
                <w:szCs w:val="22"/>
              </w:rPr>
              <w:t>P</w:t>
            </w:r>
            <w:r w:rsidR="00283852" w:rsidRPr="007B28E7">
              <w:rPr>
                <w:rFonts w:ascii="Arial Narrow" w:hAnsi="Arial Narrow"/>
                <w:b/>
                <w:sz w:val="20"/>
                <w:szCs w:val="22"/>
              </w:rPr>
              <w:t>lacebo</w:t>
            </w:r>
          </w:p>
        </w:tc>
        <w:tc>
          <w:tcPr>
            <w:tcW w:w="1228" w:type="pct"/>
          </w:tcPr>
          <w:p w:rsidR="00283852" w:rsidRPr="007B28E7" w:rsidRDefault="00873C27" w:rsidP="0084759D">
            <w:pPr>
              <w:pStyle w:val="ListParagraph"/>
              <w:ind w:left="0"/>
              <w:jc w:val="center"/>
              <w:rPr>
                <w:rFonts w:ascii="Arial Narrow" w:hAnsi="Arial Narrow"/>
                <w:b/>
                <w:sz w:val="20"/>
                <w:szCs w:val="22"/>
              </w:rPr>
            </w:pPr>
            <w:r w:rsidRPr="007B28E7">
              <w:rPr>
                <w:rFonts w:ascii="Arial Narrow" w:hAnsi="Arial Narrow"/>
                <w:b/>
                <w:sz w:val="20"/>
                <w:szCs w:val="22"/>
              </w:rPr>
              <w:t>D</w:t>
            </w:r>
            <w:r w:rsidR="00283852" w:rsidRPr="007B28E7">
              <w:rPr>
                <w:rFonts w:ascii="Arial Narrow" w:hAnsi="Arial Narrow"/>
                <w:b/>
                <w:sz w:val="20"/>
                <w:szCs w:val="22"/>
              </w:rPr>
              <w:t>ifference</w:t>
            </w:r>
          </w:p>
        </w:tc>
      </w:tr>
      <w:tr w:rsidR="00283852" w:rsidRPr="007B28E7" w:rsidTr="00FB32B0">
        <w:tc>
          <w:tcPr>
            <w:tcW w:w="1316" w:type="pct"/>
          </w:tcPr>
          <w:p w:rsidR="00283852" w:rsidRPr="007B28E7" w:rsidRDefault="00283852" w:rsidP="006A78FB">
            <w:pPr>
              <w:pStyle w:val="ListParagraph"/>
              <w:ind w:left="0"/>
              <w:rPr>
                <w:rFonts w:ascii="Arial Narrow" w:hAnsi="Arial Narrow"/>
                <w:sz w:val="20"/>
                <w:szCs w:val="22"/>
              </w:rPr>
            </w:pPr>
            <w:r w:rsidRPr="007B28E7">
              <w:rPr>
                <w:rFonts w:ascii="Arial Narrow" w:hAnsi="Arial Narrow"/>
                <w:sz w:val="20"/>
                <w:szCs w:val="22"/>
              </w:rPr>
              <w:t>Mean PFS (months)</w:t>
            </w:r>
          </w:p>
        </w:tc>
        <w:tc>
          <w:tcPr>
            <w:tcW w:w="1227" w:type="pct"/>
          </w:tcPr>
          <w:p w:rsidR="00283852" w:rsidRPr="007B28E7" w:rsidRDefault="00283852" w:rsidP="0084759D">
            <w:pPr>
              <w:pStyle w:val="ListParagraph"/>
              <w:ind w:left="0"/>
              <w:jc w:val="center"/>
              <w:rPr>
                <w:rFonts w:ascii="Arial Narrow" w:hAnsi="Arial Narrow"/>
                <w:sz w:val="20"/>
                <w:szCs w:val="22"/>
              </w:rPr>
            </w:pPr>
            <w:r w:rsidRPr="007B28E7">
              <w:rPr>
                <w:rFonts w:ascii="Arial Narrow" w:hAnsi="Arial Narrow"/>
                <w:sz w:val="20"/>
                <w:szCs w:val="22"/>
              </w:rPr>
              <w:t>3.7</w:t>
            </w:r>
          </w:p>
        </w:tc>
        <w:tc>
          <w:tcPr>
            <w:tcW w:w="1228" w:type="pct"/>
          </w:tcPr>
          <w:p w:rsidR="00283852" w:rsidRPr="007B28E7" w:rsidRDefault="00283852" w:rsidP="0084759D">
            <w:pPr>
              <w:pStyle w:val="ListParagraph"/>
              <w:ind w:left="0"/>
              <w:jc w:val="center"/>
              <w:rPr>
                <w:rFonts w:ascii="Arial Narrow" w:hAnsi="Arial Narrow"/>
                <w:sz w:val="20"/>
                <w:szCs w:val="22"/>
              </w:rPr>
            </w:pPr>
            <w:r w:rsidRPr="007B28E7">
              <w:rPr>
                <w:rFonts w:ascii="Arial Narrow" w:hAnsi="Arial Narrow"/>
                <w:sz w:val="20"/>
                <w:szCs w:val="22"/>
              </w:rPr>
              <w:t>1.9</w:t>
            </w:r>
          </w:p>
        </w:tc>
        <w:tc>
          <w:tcPr>
            <w:tcW w:w="1228" w:type="pct"/>
          </w:tcPr>
          <w:p w:rsidR="00283852" w:rsidRPr="007B28E7" w:rsidRDefault="00283852" w:rsidP="0084759D">
            <w:pPr>
              <w:pStyle w:val="ListParagraph"/>
              <w:ind w:left="0"/>
              <w:jc w:val="center"/>
              <w:rPr>
                <w:rFonts w:ascii="Arial Narrow" w:hAnsi="Arial Narrow"/>
                <w:sz w:val="20"/>
                <w:szCs w:val="22"/>
              </w:rPr>
            </w:pPr>
            <w:r w:rsidRPr="007B28E7">
              <w:rPr>
                <w:rFonts w:ascii="Arial Narrow" w:hAnsi="Arial Narrow"/>
                <w:sz w:val="20"/>
                <w:szCs w:val="22"/>
              </w:rPr>
              <w:t>1.8</w:t>
            </w:r>
          </w:p>
        </w:tc>
      </w:tr>
      <w:tr w:rsidR="00283852" w:rsidRPr="007B28E7" w:rsidTr="00FB32B0">
        <w:tc>
          <w:tcPr>
            <w:tcW w:w="1316" w:type="pct"/>
          </w:tcPr>
          <w:p w:rsidR="00283852" w:rsidRPr="007B28E7" w:rsidRDefault="00283852" w:rsidP="006A78FB">
            <w:pPr>
              <w:pStyle w:val="ListParagraph"/>
              <w:ind w:left="0"/>
              <w:rPr>
                <w:rFonts w:ascii="Arial Narrow" w:hAnsi="Arial Narrow"/>
                <w:sz w:val="20"/>
                <w:szCs w:val="22"/>
              </w:rPr>
            </w:pPr>
            <w:r w:rsidRPr="007B28E7">
              <w:rPr>
                <w:rFonts w:ascii="Arial Narrow" w:hAnsi="Arial Narrow"/>
                <w:sz w:val="20"/>
                <w:szCs w:val="22"/>
              </w:rPr>
              <w:t>Mean OS (months)</w:t>
            </w:r>
          </w:p>
        </w:tc>
        <w:tc>
          <w:tcPr>
            <w:tcW w:w="1227" w:type="pct"/>
          </w:tcPr>
          <w:p w:rsidR="00283852" w:rsidRPr="007B28E7" w:rsidRDefault="00283852" w:rsidP="0084759D">
            <w:pPr>
              <w:pStyle w:val="ListParagraph"/>
              <w:ind w:left="0"/>
              <w:jc w:val="center"/>
              <w:rPr>
                <w:rFonts w:ascii="Arial Narrow" w:hAnsi="Arial Narrow"/>
                <w:sz w:val="20"/>
                <w:szCs w:val="22"/>
              </w:rPr>
            </w:pPr>
            <w:r w:rsidRPr="007B28E7">
              <w:rPr>
                <w:rFonts w:ascii="Arial Narrow" w:hAnsi="Arial Narrow"/>
                <w:sz w:val="20"/>
                <w:szCs w:val="22"/>
              </w:rPr>
              <w:t>10.0</w:t>
            </w:r>
          </w:p>
        </w:tc>
        <w:tc>
          <w:tcPr>
            <w:tcW w:w="1228" w:type="pct"/>
          </w:tcPr>
          <w:p w:rsidR="00283852" w:rsidRPr="007B28E7" w:rsidRDefault="00283852" w:rsidP="0084759D">
            <w:pPr>
              <w:pStyle w:val="ListParagraph"/>
              <w:ind w:left="0"/>
              <w:jc w:val="center"/>
              <w:rPr>
                <w:rFonts w:ascii="Arial Narrow" w:hAnsi="Arial Narrow"/>
                <w:sz w:val="20"/>
                <w:szCs w:val="22"/>
              </w:rPr>
            </w:pPr>
            <w:r w:rsidRPr="007B28E7">
              <w:rPr>
                <w:rFonts w:ascii="Arial Narrow" w:hAnsi="Arial Narrow"/>
                <w:sz w:val="20"/>
                <w:szCs w:val="22"/>
              </w:rPr>
              <w:t>7.4</w:t>
            </w:r>
          </w:p>
        </w:tc>
        <w:tc>
          <w:tcPr>
            <w:tcW w:w="1228" w:type="pct"/>
          </w:tcPr>
          <w:p w:rsidR="00283852" w:rsidRPr="007B28E7" w:rsidRDefault="00283852" w:rsidP="0084759D">
            <w:pPr>
              <w:pStyle w:val="ListParagraph"/>
              <w:ind w:left="0"/>
              <w:jc w:val="center"/>
              <w:rPr>
                <w:rFonts w:ascii="Arial Narrow" w:hAnsi="Arial Narrow"/>
                <w:sz w:val="20"/>
                <w:szCs w:val="22"/>
              </w:rPr>
            </w:pPr>
            <w:r w:rsidRPr="007B28E7">
              <w:rPr>
                <w:rFonts w:ascii="Arial Narrow" w:hAnsi="Arial Narrow"/>
                <w:sz w:val="20"/>
                <w:szCs w:val="22"/>
              </w:rPr>
              <w:t>2.6</w:t>
            </w:r>
          </w:p>
        </w:tc>
      </w:tr>
    </w:tbl>
    <w:p w:rsidR="00EB6AF0" w:rsidRPr="00FB32B0" w:rsidRDefault="00EB6AF0" w:rsidP="00FB32B0">
      <w:pPr>
        <w:ind w:firstLine="720"/>
        <w:jc w:val="both"/>
        <w:rPr>
          <w:rFonts w:ascii="Arial Narrow" w:hAnsi="Arial Narrow"/>
          <w:sz w:val="18"/>
          <w:szCs w:val="22"/>
        </w:rPr>
      </w:pPr>
      <w:r w:rsidRPr="00FB32B0">
        <w:rPr>
          <w:rFonts w:ascii="Arial Narrow" w:hAnsi="Arial Narrow"/>
          <w:sz w:val="18"/>
          <w:szCs w:val="22"/>
        </w:rPr>
        <w:t>Abbreviations: OS= Overall Survival; PFS= Progression-free Survival</w:t>
      </w:r>
    </w:p>
    <w:p w:rsidR="00FA6055" w:rsidRPr="00FB32B0" w:rsidRDefault="00BA1BCA" w:rsidP="00FB32B0">
      <w:pPr>
        <w:ind w:firstLine="720"/>
        <w:jc w:val="both"/>
        <w:rPr>
          <w:rFonts w:ascii="Arial Narrow" w:hAnsi="Arial Narrow"/>
          <w:sz w:val="18"/>
          <w:szCs w:val="22"/>
        </w:rPr>
      </w:pPr>
      <w:r w:rsidRPr="00FB32B0">
        <w:rPr>
          <w:rFonts w:ascii="Arial Narrow" w:hAnsi="Arial Narrow"/>
          <w:sz w:val="18"/>
          <w:szCs w:val="22"/>
        </w:rPr>
        <w:t>Source: Table 2, page 7</w:t>
      </w:r>
      <w:r w:rsidR="000E1AAA" w:rsidRPr="00FB32B0">
        <w:rPr>
          <w:rFonts w:ascii="Arial Narrow" w:hAnsi="Arial Narrow"/>
          <w:sz w:val="18"/>
          <w:szCs w:val="22"/>
        </w:rPr>
        <w:t xml:space="preserve"> of the minor </w:t>
      </w:r>
      <w:r w:rsidR="002A67D6" w:rsidRPr="00FB32B0">
        <w:rPr>
          <w:rFonts w:ascii="Arial Narrow" w:hAnsi="Arial Narrow"/>
          <w:sz w:val="18"/>
          <w:szCs w:val="22"/>
        </w:rPr>
        <w:t>submission</w:t>
      </w:r>
      <w:r w:rsidR="000E1AAA" w:rsidRPr="00FB32B0">
        <w:rPr>
          <w:rFonts w:ascii="Arial Narrow" w:hAnsi="Arial Narrow"/>
          <w:sz w:val="18"/>
          <w:szCs w:val="22"/>
        </w:rPr>
        <w:t xml:space="preserve"> </w:t>
      </w:r>
    </w:p>
    <w:p w:rsidR="00EB6AF0" w:rsidRPr="007B28E7" w:rsidRDefault="00EB6AF0" w:rsidP="00EB6AF0">
      <w:pPr>
        <w:jc w:val="both"/>
        <w:rPr>
          <w:rFonts w:ascii="Arial Narrow" w:hAnsi="Arial Narrow"/>
          <w:sz w:val="16"/>
          <w:szCs w:val="22"/>
        </w:rPr>
      </w:pPr>
    </w:p>
    <w:p w:rsidR="003F2A0E" w:rsidRPr="007B28E7" w:rsidRDefault="00EB6AF0" w:rsidP="00EB6AF0">
      <w:pPr>
        <w:pStyle w:val="ListParagraph"/>
        <w:numPr>
          <w:ilvl w:val="1"/>
          <w:numId w:val="14"/>
        </w:numPr>
        <w:rPr>
          <w:szCs w:val="22"/>
        </w:rPr>
      </w:pPr>
      <w:r w:rsidRPr="007B28E7">
        <w:rPr>
          <w:szCs w:val="22"/>
        </w:rPr>
        <w:t xml:space="preserve">The pooled results of OS from the RECOURSE and J003 trials were presented as part of supporting analyses in </w:t>
      </w:r>
      <w:r w:rsidR="003256F1" w:rsidRPr="007B28E7">
        <w:rPr>
          <w:szCs w:val="22"/>
        </w:rPr>
        <w:t>the</w:t>
      </w:r>
      <w:r w:rsidR="003F2A0E" w:rsidRPr="007B28E7">
        <w:rPr>
          <w:szCs w:val="22"/>
        </w:rPr>
        <w:t xml:space="preserve"> November 2016 major submission, re-presented in Figure 1.</w:t>
      </w:r>
    </w:p>
    <w:p w:rsidR="00D53AE5" w:rsidRPr="007B28E7" w:rsidRDefault="00D53AE5" w:rsidP="00D53AE5">
      <w:pPr>
        <w:rPr>
          <w:szCs w:val="22"/>
        </w:rPr>
      </w:pPr>
    </w:p>
    <w:p w:rsidR="00D53AE5" w:rsidRPr="007B28E7" w:rsidRDefault="00D53AE5" w:rsidP="00D53AE5">
      <w:pPr>
        <w:rPr>
          <w:rFonts w:ascii="Arial Narrow" w:hAnsi="Arial Narrow"/>
          <w:b/>
          <w:sz w:val="20"/>
          <w:szCs w:val="20"/>
        </w:rPr>
      </w:pPr>
      <w:r w:rsidRPr="007B28E7">
        <w:rPr>
          <w:rFonts w:ascii="Arial Narrow" w:hAnsi="Arial Narrow"/>
          <w:b/>
          <w:sz w:val="20"/>
          <w:szCs w:val="20"/>
        </w:rPr>
        <w:t>Figure 1: Results of meta-analysis of outcomes for mean OS in the trifluridine/tipiracil trials*</w:t>
      </w:r>
    </w:p>
    <w:p w:rsidR="003F2A0E" w:rsidRPr="007B28E7" w:rsidRDefault="003F2A0E" w:rsidP="003F2A0E">
      <w:pPr>
        <w:rPr>
          <w:szCs w:val="22"/>
        </w:rPr>
      </w:pPr>
      <w:r w:rsidRPr="007B28E7">
        <w:rPr>
          <w:noProof/>
        </w:rPr>
        <w:drawing>
          <wp:inline distT="0" distB="0" distL="0" distR="0" wp14:anchorId="2F4404CB" wp14:editId="5F78BC22">
            <wp:extent cx="5828362" cy="1535502"/>
            <wp:effectExtent l="0" t="0" r="1270" b="7620"/>
            <wp:docPr id="39" name="Picture 39" title="Figure 1: Results of meta-analysis of outcomes for mean OS in the trifluridine/tipiracil t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a:extLst>
                        <a:ext uri="{28A0092B-C50C-407E-A947-70E740481C1C}">
                          <a14:useLocalDpi xmlns:a14="http://schemas.microsoft.com/office/drawing/2010/main" val="0"/>
                        </a:ext>
                      </a:extLst>
                    </a:blip>
                    <a:srcRect l="8864" t="11065" r="10905" b="57062"/>
                    <a:stretch/>
                  </pic:blipFill>
                  <pic:spPr bwMode="auto">
                    <a:xfrm>
                      <a:off x="0" y="0"/>
                      <a:ext cx="5858731" cy="1543503"/>
                    </a:xfrm>
                    <a:prstGeom prst="rect">
                      <a:avLst/>
                    </a:prstGeom>
                    <a:noFill/>
                    <a:ln>
                      <a:noFill/>
                    </a:ln>
                    <a:extLst>
                      <a:ext uri="{53640926-AAD7-44D8-BBD7-CCE9431645EC}">
                        <a14:shadowObscured xmlns:a14="http://schemas.microsoft.com/office/drawing/2010/main"/>
                      </a:ext>
                    </a:extLst>
                  </pic:spPr>
                </pic:pic>
              </a:graphicData>
            </a:graphic>
          </wp:inline>
        </w:drawing>
      </w:r>
    </w:p>
    <w:p w:rsidR="00D53AE5" w:rsidRPr="007B28E7" w:rsidRDefault="00D53AE5" w:rsidP="00D53AE5">
      <w:pPr>
        <w:ind w:left="284" w:hanging="284"/>
        <w:contextualSpacing/>
        <w:rPr>
          <w:rFonts w:ascii="Arial Narrow" w:hAnsi="Arial Narrow"/>
          <w:sz w:val="18"/>
          <w:szCs w:val="16"/>
        </w:rPr>
      </w:pPr>
      <w:r w:rsidRPr="007B28E7">
        <w:rPr>
          <w:rFonts w:ascii="Arial Narrow" w:hAnsi="Arial Narrow"/>
          <w:sz w:val="18"/>
          <w:szCs w:val="16"/>
        </w:rPr>
        <w:t>*</w:t>
      </w:r>
      <w:r w:rsidRPr="007B28E7">
        <w:rPr>
          <w:rFonts w:ascii="Arial Narrow" w:hAnsi="Arial Narrow"/>
          <w:sz w:val="18"/>
          <w:szCs w:val="16"/>
        </w:rPr>
        <w:tab/>
        <w:t>Based on an analysis of individual patient data (IPD) that were made available for the May 2014 datacut of RECOURSE trial and IPD of OS outcomes in J003</w:t>
      </w:r>
    </w:p>
    <w:p w:rsidR="003F2A0E" w:rsidRPr="007B28E7" w:rsidRDefault="00212505" w:rsidP="00212505">
      <w:pPr>
        <w:rPr>
          <w:rFonts w:ascii="Arial Narrow" w:hAnsi="Arial Narrow"/>
          <w:sz w:val="18"/>
          <w:szCs w:val="18"/>
        </w:rPr>
      </w:pPr>
      <w:r w:rsidRPr="007B28E7">
        <w:rPr>
          <w:rFonts w:ascii="Arial Narrow" w:hAnsi="Arial Narrow"/>
          <w:sz w:val="18"/>
          <w:szCs w:val="18"/>
        </w:rPr>
        <w:t>Source:</w:t>
      </w:r>
      <w:r w:rsidR="00A22512" w:rsidRPr="007B28E7">
        <w:rPr>
          <w:rFonts w:ascii="Arial Narrow" w:hAnsi="Arial Narrow"/>
          <w:sz w:val="18"/>
          <w:szCs w:val="18"/>
        </w:rPr>
        <w:t xml:space="preserve"> Figure B.5-7, p131 of</w:t>
      </w:r>
      <w:r w:rsidRPr="007B28E7">
        <w:rPr>
          <w:rFonts w:ascii="Arial Narrow" w:hAnsi="Arial Narrow"/>
          <w:sz w:val="18"/>
          <w:szCs w:val="18"/>
        </w:rPr>
        <w:t xml:space="preserve"> the November 2016 major submission.</w:t>
      </w:r>
    </w:p>
    <w:p w:rsidR="00212505" w:rsidRPr="007B28E7" w:rsidRDefault="00212505" w:rsidP="00212505">
      <w:pPr>
        <w:rPr>
          <w:szCs w:val="22"/>
        </w:rPr>
      </w:pPr>
    </w:p>
    <w:p w:rsidR="00180439" w:rsidRPr="007B28E7" w:rsidRDefault="0084759D" w:rsidP="00EB6AF0">
      <w:pPr>
        <w:pStyle w:val="ListParagraph"/>
        <w:numPr>
          <w:ilvl w:val="1"/>
          <w:numId w:val="14"/>
        </w:numPr>
        <w:rPr>
          <w:szCs w:val="22"/>
        </w:rPr>
      </w:pPr>
      <w:r w:rsidRPr="007B28E7">
        <w:rPr>
          <w:szCs w:val="22"/>
        </w:rPr>
        <w:t>The PBAC noted at</w:t>
      </w:r>
      <w:r w:rsidR="00180439" w:rsidRPr="007B28E7">
        <w:rPr>
          <w:szCs w:val="22"/>
        </w:rPr>
        <w:t xml:space="preserve"> its November 2016 meeting that the results of the secondary analysis for OS including J003 were similar to those based on the RECOURSE trial only (</w:t>
      </w:r>
      <w:r w:rsidR="00BB0771" w:rsidRPr="007B28E7">
        <w:rPr>
          <w:szCs w:val="22"/>
        </w:rPr>
        <w:t xml:space="preserve">mean gain in OS of </w:t>
      </w:r>
      <w:r w:rsidR="00180439" w:rsidRPr="007B28E7">
        <w:rPr>
          <w:szCs w:val="22"/>
        </w:rPr>
        <w:t xml:space="preserve">2.5 months) (paragraph 6.5 and 7.5, November 2016 </w:t>
      </w:r>
      <w:r w:rsidR="000159F8">
        <w:t>Public Summary Document</w:t>
      </w:r>
      <w:r w:rsidR="00180439" w:rsidRPr="007B28E7">
        <w:rPr>
          <w:szCs w:val="22"/>
        </w:rPr>
        <w:t xml:space="preserve">). </w:t>
      </w:r>
    </w:p>
    <w:p w:rsidR="00201E9E" w:rsidRPr="007B28E7" w:rsidRDefault="00201E9E" w:rsidP="004F65A0">
      <w:pPr>
        <w:rPr>
          <w:szCs w:val="22"/>
        </w:rPr>
      </w:pPr>
    </w:p>
    <w:p w:rsidR="00BA1BCA" w:rsidRPr="007B28E7" w:rsidRDefault="00BA1BCA" w:rsidP="00201E9E">
      <w:pPr>
        <w:pStyle w:val="ListParagraph"/>
        <w:numPr>
          <w:ilvl w:val="1"/>
          <w:numId w:val="14"/>
        </w:numPr>
        <w:rPr>
          <w:szCs w:val="22"/>
        </w:rPr>
      </w:pPr>
      <w:r w:rsidRPr="007B28E7">
        <w:rPr>
          <w:szCs w:val="22"/>
        </w:rPr>
        <w:t>At its</w:t>
      </w:r>
      <w:r w:rsidR="00201E9E" w:rsidRPr="007B28E7">
        <w:rPr>
          <w:szCs w:val="22"/>
        </w:rPr>
        <w:t xml:space="preserve"> November 2016 meeting, the PBAC noted that approximately 63% </w:t>
      </w:r>
      <w:r w:rsidR="00751F42" w:rsidRPr="007B28E7">
        <w:rPr>
          <w:szCs w:val="22"/>
        </w:rPr>
        <w:t xml:space="preserve">and 57% </w:t>
      </w:r>
      <w:r w:rsidR="00201E9E" w:rsidRPr="007B28E7">
        <w:rPr>
          <w:szCs w:val="22"/>
        </w:rPr>
        <w:t xml:space="preserve">of patients in the RECOURSE </w:t>
      </w:r>
      <w:r w:rsidR="00751F42" w:rsidRPr="007B28E7">
        <w:rPr>
          <w:szCs w:val="22"/>
        </w:rPr>
        <w:t>and</w:t>
      </w:r>
      <w:r w:rsidR="00201E9E" w:rsidRPr="007B28E7">
        <w:rPr>
          <w:szCs w:val="22"/>
        </w:rPr>
        <w:t xml:space="preserve"> J003 trial</w:t>
      </w:r>
      <w:r w:rsidR="00751F42" w:rsidRPr="007B28E7">
        <w:rPr>
          <w:szCs w:val="22"/>
        </w:rPr>
        <w:t>s respectively,</w:t>
      </w:r>
      <w:r w:rsidR="00201E9E" w:rsidRPr="007B28E7">
        <w:rPr>
          <w:szCs w:val="22"/>
        </w:rPr>
        <w:t xml:space="preserve"> had an ECOG performance status of 0</w:t>
      </w:r>
      <w:r w:rsidR="00751F42" w:rsidRPr="007B28E7">
        <w:rPr>
          <w:szCs w:val="22"/>
        </w:rPr>
        <w:t>,</w:t>
      </w:r>
      <w:r w:rsidR="00201E9E" w:rsidRPr="007B28E7">
        <w:rPr>
          <w:szCs w:val="22"/>
        </w:rPr>
        <w:t xml:space="preserve"> and considered that a higher proportion of patients with an ECOG performance status of 1 may be treated in clinical practice</w:t>
      </w:r>
      <w:r w:rsidRPr="007B28E7">
        <w:rPr>
          <w:szCs w:val="22"/>
        </w:rPr>
        <w:t xml:space="preserve"> (paragraph 7.8, November 2016 </w:t>
      </w:r>
      <w:r w:rsidR="000159F8">
        <w:t>Public Summary Document</w:t>
      </w:r>
      <w:r w:rsidRPr="007B28E7">
        <w:rPr>
          <w:szCs w:val="22"/>
        </w:rPr>
        <w:t>)</w:t>
      </w:r>
      <w:r w:rsidR="00201E9E" w:rsidRPr="007B28E7">
        <w:rPr>
          <w:szCs w:val="22"/>
        </w:rPr>
        <w:t>.</w:t>
      </w:r>
      <w:r w:rsidR="000B4130" w:rsidRPr="007B28E7">
        <w:rPr>
          <w:szCs w:val="22"/>
        </w:rPr>
        <w:t xml:space="preserve"> </w:t>
      </w:r>
      <w:r w:rsidR="00B04146" w:rsidRPr="007B28E7">
        <w:rPr>
          <w:szCs w:val="22"/>
        </w:rPr>
        <w:t>The</w:t>
      </w:r>
      <w:r w:rsidR="00201E9E" w:rsidRPr="007B28E7">
        <w:rPr>
          <w:szCs w:val="22"/>
        </w:rPr>
        <w:t xml:space="preserve"> minor </w:t>
      </w:r>
      <w:r w:rsidR="00A37D31" w:rsidRPr="007B28E7">
        <w:rPr>
          <w:szCs w:val="22"/>
        </w:rPr>
        <w:t>re</w:t>
      </w:r>
      <w:r w:rsidR="002A67D6" w:rsidRPr="007B28E7">
        <w:rPr>
          <w:szCs w:val="22"/>
        </w:rPr>
        <w:t>submission</w:t>
      </w:r>
      <w:r w:rsidR="005B155D" w:rsidRPr="007B28E7">
        <w:rPr>
          <w:szCs w:val="22"/>
        </w:rPr>
        <w:t xml:space="preserve"> (p7</w:t>
      </w:r>
      <w:r w:rsidRPr="007B28E7">
        <w:rPr>
          <w:szCs w:val="22"/>
        </w:rPr>
        <w:t>)</w:t>
      </w:r>
      <w:r w:rsidR="00201E9E" w:rsidRPr="007B28E7">
        <w:rPr>
          <w:szCs w:val="22"/>
        </w:rPr>
        <w:t xml:space="preserve"> </w:t>
      </w:r>
      <w:r w:rsidRPr="007B28E7">
        <w:rPr>
          <w:szCs w:val="22"/>
        </w:rPr>
        <w:t xml:space="preserve">acknowledged that, at launch, the </w:t>
      </w:r>
      <w:r w:rsidR="003F2A0E" w:rsidRPr="007B28E7">
        <w:rPr>
          <w:szCs w:val="22"/>
        </w:rPr>
        <w:t xml:space="preserve">patients treated with trifluridine/tipiracil will reflect a prevalent pool of patients, which may include patients with worse performance status. </w:t>
      </w:r>
      <w:r w:rsidR="00751F42" w:rsidRPr="007B28E7">
        <w:rPr>
          <w:szCs w:val="22"/>
        </w:rPr>
        <w:t>However, it argued that this would not be different to the period over which the RECOURSE and J003 trials were conducted, where the population recruited to the trials would have been a sample of the prevalent patients at the time.</w:t>
      </w:r>
    </w:p>
    <w:p w:rsidR="00BA1BCA" w:rsidRPr="007B28E7" w:rsidRDefault="00BA1BCA" w:rsidP="00BA1BCA">
      <w:pPr>
        <w:pStyle w:val="ListParagraph"/>
        <w:rPr>
          <w:szCs w:val="22"/>
        </w:rPr>
      </w:pPr>
    </w:p>
    <w:p w:rsidR="00201E9E" w:rsidRPr="007B28E7" w:rsidRDefault="00751F42" w:rsidP="00751F42">
      <w:pPr>
        <w:pStyle w:val="ListParagraph"/>
        <w:widowControl/>
        <w:numPr>
          <w:ilvl w:val="1"/>
          <w:numId w:val="5"/>
        </w:numPr>
        <w:ind w:right="-46"/>
        <w:rPr>
          <w:szCs w:val="22"/>
        </w:rPr>
      </w:pPr>
      <w:r w:rsidRPr="007B28E7">
        <w:rPr>
          <w:szCs w:val="22"/>
        </w:rPr>
        <w:t xml:space="preserve">The PBAC also noted at its November 2016 meeting that, </w:t>
      </w:r>
      <w:r w:rsidRPr="007B28E7">
        <w:rPr>
          <w:bCs/>
        </w:rPr>
        <w:t xml:space="preserve">9.4% of patients in the RECOURSE trial received </w:t>
      </w:r>
      <w:r w:rsidRPr="007B28E7">
        <w:rPr>
          <w:szCs w:val="22"/>
        </w:rPr>
        <w:t>granulocyte colony stimulating factors (</w:t>
      </w:r>
      <w:r w:rsidRPr="007B28E7">
        <w:rPr>
          <w:bCs/>
        </w:rPr>
        <w:t>GCSF) for neutropenia. It considered that in Australian clinical practice, GCSF would not be routinely used and neutropenia would lead to dose reductions and delays</w:t>
      </w:r>
      <w:r w:rsidRPr="007B28E7">
        <w:rPr>
          <w:szCs w:val="22"/>
        </w:rPr>
        <w:t xml:space="preserve"> which may impact on efficacy (paragraph 7.8, November 2016 </w:t>
      </w:r>
      <w:r w:rsidR="000159F8">
        <w:t>Public Summary Document</w:t>
      </w:r>
      <w:r w:rsidRPr="007B28E7">
        <w:rPr>
          <w:szCs w:val="22"/>
        </w:rPr>
        <w:t xml:space="preserve">). </w:t>
      </w:r>
      <w:r w:rsidR="005B155D" w:rsidRPr="007B28E7">
        <w:rPr>
          <w:szCs w:val="22"/>
        </w:rPr>
        <w:t xml:space="preserve">The minor </w:t>
      </w:r>
      <w:r w:rsidR="00A37D31" w:rsidRPr="007B28E7">
        <w:rPr>
          <w:szCs w:val="22"/>
        </w:rPr>
        <w:t>re</w:t>
      </w:r>
      <w:r w:rsidR="005B155D" w:rsidRPr="007B28E7">
        <w:rPr>
          <w:szCs w:val="22"/>
        </w:rPr>
        <w:t>submission argued (p8</w:t>
      </w:r>
      <w:r w:rsidR="00776BE4" w:rsidRPr="007B28E7">
        <w:rPr>
          <w:szCs w:val="22"/>
        </w:rPr>
        <w:t xml:space="preserve">) that if dose reductions and delays </w:t>
      </w:r>
      <w:r w:rsidR="004D7141" w:rsidRPr="007B28E7">
        <w:rPr>
          <w:szCs w:val="22"/>
        </w:rPr>
        <w:t>occurred</w:t>
      </w:r>
      <w:r w:rsidR="00776BE4" w:rsidRPr="007B28E7">
        <w:rPr>
          <w:szCs w:val="22"/>
        </w:rPr>
        <w:t xml:space="preserve">, </w:t>
      </w:r>
      <w:r w:rsidR="003B720A" w:rsidRPr="007B28E7">
        <w:rPr>
          <w:szCs w:val="22"/>
        </w:rPr>
        <w:t>it</w:t>
      </w:r>
      <w:r w:rsidR="00776BE4" w:rsidRPr="007B28E7">
        <w:rPr>
          <w:szCs w:val="22"/>
        </w:rPr>
        <w:t xml:space="preserve"> </w:t>
      </w:r>
      <w:r w:rsidR="004D7141" w:rsidRPr="007B28E7">
        <w:rPr>
          <w:szCs w:val="22"/>
        </w:rPr>
        <w:t>would</w:t>
      </w:r>
      <w:r w:rsidR="003B720A" w:rsidRPr="007B28E7">
        <w:rPr>
          <w:szCs w:val="22"/>
        </w:rPr>
        <w:t xml:space="preserve"> </w:t>
      </w:r>
      <w:r w:rsidR="004D7141" w:rsidRPr="007B28E7">
        <w:rPr>
          <w:szCs w:val="22"/>
        </w:rPr>
        <w:t>result in</w:t>
      </w:r>
      <w:r w:rsidR="00776BE4" w:rsidRPr="007B28E7">
        <w:rPr>
          <w:szCs w:val="22"/>
        </w:rPr>
        <w:t xml:space="preserve"> lower costs of trifluridine/tipiracil</w:t>
      </w:r>
      <w:r w:rsidR="00785CB8" w:rsidRPr="007B28E7">
        <w:rPr>
          <w:szCs w:val="22"/>
        </w:rPr>
        <w:t xml:space="preserve"> </w:t>
      </w:r>
      <w:r w:rsidR="003B720A" w:rsidRPr="007B28E7">
        <w:rPr>
          <w:szCs w:val="22"/>
        </w:rPr>
        <w:t>and that the costs of administering</w:t>
      </w:r>
      <w:r w:rsidR="004D7141" w:rsidRPr="007B28E7">
        <w:rPr>
          <w:szCs w:val="22"/>
        </w:rPr>
        <w:t xml:space="preserve"> GCSF </w:t>
      </w:r>
      <w:r w:rsidR="003B720A" w:rsidRPr="007B28E7">
        <w:rPr>
          <w:szCs w:val="22"/>
        </w:rPr>
        <w:t>would</w:t>
      </w:r>
      <w:r w:rsidR="004D7141" w:rsidRPr="007B28E7">
        <w:rPr>
          <w:szCs w:val="22"/>
        </w:rPr>
        <w:t xml:space="preserve"> not be incurred.</w:t>
      </w:r>
      <w:r w:rsidR="00785CB8" w:rsidRPr="007B28E7">
        <w:rPr>
          <w:szCs w:val="22"/>
        </w:rPr>
        <w:t xml:space="preserve"> The minor </w:t>
      </w:r>
      <w:r w:rsidR="00A37D31" w:rsidRPr="007B28E7">
        <w:rPr>
          <w:szCs w:val="22"/>
        </w:rPr>
        <w:t>re</w:t>
      </w:r>
      <w:r w:rsidR="00785CB8" w:rsidRPr="007B28E7">
        <w:rPr>
          <w:szCs w:val="22"/>
        </w:rPr>
        <w:t xml:space="preserve">submission </w:t>
      </w:r>
      <w:r w:rsidR="00A37D31" w:rsidRPr="007B28E7">
        <w:rPr>
          <w:szCs w:val="22"/>
        </w:rPr>
        <w:t xml:space="preserve">further </w:t>
      </w:r>
      <w:r w:rsidR="00785CB8" w:rsidRPr="007B28E7">
        <w:rPr>
          <w:szCs w:val="22"/>
        </w:rPr>
        <w:t xml:space="preserve">argued that if efficacy and costs are simultaneously reduced then the impact on the ICER is likely to be minor. </w:t>
      </w:r>
    </w:p>
    <w:p w:rsidR="00EB6AF0" w:rsidRPr="007B28E7" w:rsidRDefault="00EB6AF0" w:rsidP="00201E9E">
      <w:pPr>
        <w:pStyle w:val="ListParagraph"/>
        <w:rPr>
          <w:szCs w:val="22"/>
        </w:rPr>
      </w:pPr>
    </w:p>
    <w:p w:rsidR="005A3173" w:rsidRPr="007B28E7" w:rsidRDefault="005A3173" w:rsidP="00B1059E">
      <w:pPr>
        <w:pStyle w:val="Heading2"/>
      </w:pPr>
      <w:r w:rsidRPr="007B28E7">
        <w:t>Clinical claim</w:t>
      </w:r>
    </w:p>
    <w:p w:rsidR="005A3173" w:rsidRPr="007B28E7" w:rsidRDefault="005A3173" w:rsidP="00882085">
      <w:pPr>
        <w:ind w:left="720" w:hanging="720"/>
        <w:jc w:val="both"/>
        <w:rPr>
          <w:rFonts w:ascii="Arial" w:hAnsi="Arial"/>
          <w:sz w:val="22"/>
          <w:szCs w:val="22"/>
        </w:rPr>
      </w:pPr>
    </w:p>
    <w:p w:rsidR="00AF2752" w:rsidRPr="007B28E7" w:rsidRDefault="00AF2752" w:rsidP="00AF2752">
      <w:pPr>
        <w:pStyle w:val="ListParagraph"/>
        <w:numPr>
          <w:ilvl w:val="1"/>
          <w:numId w:val="14"/>
        </w:numPr>
        <w:rPr>
          <w:szCs w:val="22"/>
        </w:rPr>
      </w:pPr>
      <w:r w:rsidRPr="007B28E7">
        <w:rPr>
          <w:color w:val="000000" w:themeColor="text1"/>
          <w:szCs w:val="22"/>
        </w:rPr>
        <w:t xml:space="preserve">The November 2016 major submission claimed superior efficacy and inferior safety </w:t>
      </w:r>
      <w:r w:rsidR="00B9126D" w:rsidRPr="007B28E7">
        <w:rPr>
          <w:color w:val="000000" w:themeColor="text1"/>
          <w:szCs w:val="22"/>
        </w:rPr>
        <w:t xml:space="preserve">of trifluridine/tipiracil </w:t>
      </w:r>
      <w:r w:rsidRPr="007B28E7">
        <w:rPr>
          <w:color w:val="000000" w:themeColor="text1"/>
          <w:szCs w:val="22"/>
        </w:rPr>
        <w:t xml:space="preserve">compared with placebo. There were no changes to the clinical claim in the minor </w:t>
      </w:r>
      <w:r w:rsidR="00A37D31" w:rsidRPr="007B28E7">
        <w:rPr>
          <w:color w:val="000000" w:themeColor="text1"/>
          <w:szCs w:val="22"/>
        </w:rPr>
        <w:t>re</w:t>
      </w:r>
      <w:r w:rsidR="002A67D6" w:rsidRPr="007B28E7">
        <w:rPr>
          <w:color w:val="000000" w:themeColor="text1"/>
          <w:szCs w:val="22"/>
        </w:rPr>
        <w:t>submission</w:t>
      </w:r>
      <w:r w:rsidRPr="007B28E7">
        <w:rPr>
          <w:color w:val="000000" w:themeColor="text1"/>
          <w:szCs w:val="22"/>
        </w:rPr>
        <w:t xml:space="preserve">. </w:t>
      </w:r>
    </w:p>
    <w:p w:rsidR="00F57A6D" w:rsidRPr="007B28E7" w:rsidRDefault="00F57A6D" w:rsidP="001052F2">
      <w:pPr>
        <w:pStyle w:val="ListParagraph"/>
        <w:rPr>
          <w:szCs w:val="22"/>
        </w:rPr>
      </w:pPr>
    </w:p>
    <w:p w:rsidR="00541520" w:rsidRPr="00541520" w:rsidRDefault="007B28E7" w:rsidP="00502D76">
      <w:pPr>
        <w:pStyle w:val="ListParagraph"/>
        <w:widowControl/>
        <w:numPr>
          <w:ilvl w:val="1"/>
          <w:numId w:val="5"/>
        </w:numPr>
        <w:contextualSpacing w:val="0"/>
        <w:rPr>
          <w:bCs/>
        </w:rPr>
      </w:pPr>
      <w:r>
        <w:rPr>
          <w:bCs/>
          <w:szCs w:val="22"/>
        </w:rPr>
        <w:t>T</w:t>
      </w:r>
      <w:r w:rsidRPr="007B28E7">
        <w:rPr>
          <w:bCs/>
          <w:szCs w:val="22"/>
        </w:rPr>
        <w:t xml:space="preserve">he </w:t>
      </w:r>
      <w:r w:rsidR="001052F2" w:rsidRPr="007B28E7">
        <w:rPr>
          <w:bCs/>
          <w:szCs w:val="22"/>
        </w:rPr>
        <w:t xml:space="preserve">PBAC </w:t>
      </w:r>
      <w:r>
        <w:rPr>
          <w:bCs/>
          <w:szCs w:val="22"/>
        </w:rPr>
        <w:t xml:space="preserve">again </w:t>
      </w:r>
      <w:r w:rsidR="00C151C6" w:rsidRPr="007B28E7">
        <w:rPr>
          <w:bCs/>
          <w:szCs w:val="22"/>
        </w:rPr>
        <w:t>accepted the submission’s claim of superior comparative effectiveness of trifluridine/tipiracil over placebo</w:t>
      </w:r>
      <w:r w:rsidR="003B304F">
        <w:rPr>
          <w:bCs/>
          <w:szCs w:val="22"/>
        </w:rPr>
        <w:t xml:space="preserve"> as it had at the November 2016 meeting</w:t>
      </w:r>
      <w:r w:rsidR="00C151C6" w:rsidRPr="007B28E7">
        <w:rPr>
          <w:bCs/>
          <w:szCs w:val="22"/>
        </w:rPr>
        <w:t xml:space="preserve">. However, </w:t>
      </w:r>
      <w:r>
        <w:rPr>
          <w:bCs/>
          <w:szCs w:val="22"/>
        </w:rPr>
        <w:t xml:space="preserve">the PBAC </w:t>
      </w:r>
      <w:r w:rsidR="00C151C6" w:rsidRPr="007B28E7">
        <w:rPr>
          <w:bCs/>
          <w:szCs w:val="22"/>
        </w:rPr>
        <w:t>cons</w:t>
      </w:r>
      <w:r w:rsidR="00E766BB" w:rsidRPr="007B28E7">
        <w:rPr>
          <w:bCs/>
          <w:szCs w:val="22"/>
        </w:rPr>
        <w:t>idered the benefit to be modest</w:t>
      </w:r>
      <w:r w:rsidR="00502D76" w:rsidRPr="007B28E7">
        <w:rPr>
          <w:bCs/>
          <w:szCs w:val="22"/>
        </w:rPr>
        <w:t>,</w:t>
      </w:r>
      <w:r w:rsidR="00E766BB" w:rsidRPr="007B28E7">
        <w:rPr>
          <w:bCs/>
          <w:szCs w:val="22"/>
        </w:rPr>
        <w:t xml:space="preserve"> and </w:t>
      </w:r>
      <w:r w:rsidR="00502D76" w:rsidRPr="007B28E7">
        <w:rPr>
          <w:bCs/>
          <w:szCs w:val="22"/>
        </w:rPr>
        <w:t>possibly</w:t>
      </w:r>
      <w:r w:rsidR="00E766BB" w:rsidRPr="007B28E7">
        <w:rPr>
          <w:bCs/>
          <w:szCs w:val="22"/>
        </w:rPr>
        <w:t xml:space="preserve"> smaller in clinical practi</w:t>
      </w:r>
      <w:r w:rsidR="007F4B52">
        <w:rPr>
          <w:bCs/>
          <w:szCs w:val="22"/>
        </w:rPr>
        <w:t>c</w:t>
      </w:r>
      <w:r w:rsidR="00E766BB" w:rsidRPr="007B28E7">
        <w:rPr>
          <w:bCs/>
          <w:szCs w:val="22"/>
        </w:rPr>
        <w:t>e</w:t>
      </w:r>
      <w:r w:rsidR="00541520">
        <w:rPr>
          <w:bCs/>
          <w:szCs w:val="22"/>
        </w:rPr>
        <w:t>.</w:t>
      </w:r>
    </w:p>
    <w:p w:rsidR="00541520" w:rsidRPr="00541520" w:rsidRDefault="00541520" w:rsidP="00541520">
      <w:pPr>
        <w:pStyle w:val="ListParagraph"/>
        <w:widowControl/>
        <w:contextualSpacing w:val="0"/>
        <w:rPr>
          <w:bCs/>
        </w:rPr>
      </w:pPr>
    </w:p>
    <w:p w:rsidR="00C151C6" w:rsidRPr="007B28E7" w:rsidRDefault="007B28E7" w:rsidP="00502D76">
      <w:pPr>
        <w:pStyle w:val="ListParagraph"/>
        <w:widowControl/>
        <w:numPr>
          <w:ilvl w:val="1"/>
          <w:numId w:val="5"/>
        </w:numPr>
        <w:contextualSpacing w:val="0"/>
        <w:rPr>
          <w:bCs/>
        </w:rPr>
      </w:pPr>
      <w:r>
        <w:rPr>
          <w:bCs/>
          <w:szCs w:val="22"/>
        </w:rPr>
        <w:t>T</w:t>
      </w:r>
      <w:r w:rsidRPr="007B28E7">
        <w:rPr>
          <w:bCs/>
          <w:szCs w:val="22"/>
        </w:rPr>
        <w:t xml:space="preserve">he </w:t>
      </w:r>
      <w:r w:rsidR="00C151C6" w:rsidRPr="007B28E7">
        <w:rPr>
          <w:bCs/>
          <w:szCs w:val="22"/>
        </w:rPr>
        <w:t xml:space="preserve">PBAC </w:t>
      </w:r>
      <w:r>
        <w:rPr>
          <w:bCs/>
          <w:szCs w:val="22"/>
        </w:rPr>
        <w:t xml:space="preserve">again </w:t>
      </w:r>
      <w:r w:rsidR="00E766BB" w:rsidRPr="007B28E7">
        <w:rPr>
          <w:bCs/>
          <w:szCs w:val="22"/>
        </w:rPr>
        <w:t>considered the claim of inferior safety compared with placebo to be reasonable</w:t>
      </w:r>
      <w:r w:rsidR="003B304F">
        <w:rPr>
          <w:bCs/>
          <w:szCs w:val="22"/>
        </w:rPr>
        <w:t xml:space="preserve"> as it had at the November 2016 meeting</w:t>
      </w:r>
      <w:r w:rsidR="00E766BB" w:rsidRPr="007B28E7">
        <w:rPr>
          <w:bCs/>
          <w:szCs w:val="22"/>
        </w:rPr>
        <w:t>.</w:t>
      </w:r>
    </w:p>
    <w:p w:rsidR="001052F2" w:rsidRPr="007B28E7" w:rsidRDefault="001052F2" w:rsidP="00AF2752">
      <w:pPr>
        <w:pStyle w:val="ListParagraph"/>
        <w:ind w:left="709"/>
        <w:rPr>
          <w:szCs w:val="22"/>
        </w:rPr>
      </w:pPr>
    </w:p>
    <w:p w:rsidR="005A3173" w:rsidRPr="007B28E7" w:rsidRDefault="005A3173" w:rsidP="00B1059E">
      <w:pPr>
        <w:pStyle w:val="Heading2"/>
      </w:pPr>
      <w:r w:rsidRPr="007B28E7">
        <w:t>Economic analysis</w:t>
      </w:r>
    </w:p>
    <w:p w:rsidR="005A3173" w:rsidRPr="007B28E7" w:rsidRDefault="005A3173" w:rsidP="00D84934">
      <w:pPr>
        <w:pStyle w:val="NoSpacing"/>
      </w:pPr>
    </w:p>
    <w:p w:rsidR="005B7F05" w:rsidRPr="007B28E7" w:rsidRDefault="00EC5872" w:rsidP="005B7F05">
      <w:pPr>
        <w:pStyle w:val="ListParagraph"/>
        <w:numPr>
          <w:ilvl w:val="1"/>
          <w:numId w:val="14"/>
        </w:numPr>
        <w:rPr>
          <w:szCs w:val="22"/>
        </w:rPr>
      </w:pPr>
      <w:r w:rsidRPr="007B28E7">
        <w:rPr>
          <w:szCs w:val="22"/>
        </w:rPr>
        <w:t>The</w:t>
      </w:r>
      <w:r w:rsidR="005B7F05" w:rsidRPr="007B28E7">
        <w:rPr>
          <w:szCs w:val="22"/>
        </w:rPr>
        <w:t xml:space="preserve"> minor </w:t>
      </w:r>
      <w:r w:rsidR="00A37D31" w:rsidRPr="007B28E7">
        <w:rPr>
          <w:szCs w:val="22"/>
        </w:rPr>
        <w:t>re</w:t>
      </w:r>
      <w:r w:rsidR="002A67D6" w:rsidRPr="007B28E7">
        <w:rPr>
          <w:szCs w:val="22"/>
        </w:rPr>
        <w:t>submission</w:t>
      </w:r>
      <w:r w:rsidR="005B7F05" w:rsidRPr="007B28E7">
        <w:rPr>
          <w:szCs w:val="22"/>
        </w:rPr>
        <w:t xml:space="preserve"> presented a </w:t>
      </w:r>
      <w:r w:rsidR="005A3FEE" w:rsidRPr="007B28E7">
        <w:rPr>
          <w:szCs w:val="22"/>
        </w:rPr>
        <w:t>trial-based economic evaluation,</w:t>
      </w:r>
      <w:r w:rsidRPr="007B28E7">
        <w:rPr>
          <w:szCs w:val="22"/>
        </w:rPr>
        <w:t xml:space="preserve"> with no </w:t>
      </w:r>
      <w:r w:rsidR="005A3FEE" w:rsidRPr="007B28E7">
        <w:rPr>
          <w:szCs w:val="22"/>
        </w:rPr>
        <w:t xml:space="preserve">structural </w:t>
      </w:r>
      <w:r w:rsidRPr="007B28E7">
        <w:rPr>
          <w:szCs w:val="22"/>
        </w:rPr>
        <w:t xml:space="preserve">changes </w:t>
      </w:r>
      <w:r w:rsidR="005A3FEE" w:rsidRPr="007B28E7">
        <w:rPr>
          <w:szCs w:val="22"/>
        </w:rPr>
        <w:t xml:space="preserve">to the economic model </w:t>
      </w:r>
      <w:r w:rsidRPr="007B28E7">
        <w:rPr>
          <w:szCs w:val="22"/>
        </w:rPr>
        <w:t xml:space="preserve">presented in the November 2016 major submission. </w:t>
      </w:r>
      <w:r w:rsidR="007507F0" w:rsidRPr="007B28E7">
        <w:rPr>
          <w:szCs w:val="22"/>
        </w:rPr>
        <w:t xml:space="preserve">The </w:t>
      </w:r>
      <w:r w:rsidR="005A3FEE" w:rsidRPr="007B28E7">
        <w:rPr>
          <w:szCs w:val="22"/>
        </w:rPr>
        <w:t>differences in mode</w:t>
      </w:r>
      <w:r w:rsidR="0084759D" w:rsidRPr="007B28E7">
        <w:rPr>
          <w:szCs w:val="22"/>
        </w:rPr>
        <w:t>l</w:t>
      </w:r>
      <w:r w:rsidR="005A3FEE" w:rsidRPr="007B28E7">
        <w:rPr>
          <w:szCs w:val="22"/>
        </w:rPr>
        <w:t>l</w:t>
      </w:r>
      <w:r w:rsidR="0084759D" w:rsidRPr="007B28E7">
        <w:rPr>
          <w:szCs w:val="22"/>
        </w:rPr>
        <w:t>ing</w:t>
      </w:r>
      <w:r w:rsidR="005A3FEE" w:rsidRPr="007B28E7">
        <w:rPr>
          <w:szCs w:val="22"/>
        </w:rPr>
        <w:t xml:space="preserve"> </w:t>
      </w:r>
      <w:r w:rsidR="007507F0" w:rsidRPr="007B28E7">
        <w:rPr>
          <w:szCs w:val="22"/>
        </w:rPr>
        <w:t xml:space="preserve">in the minor </w:t>
      </w:r>
      <w:r w:rsidR="00A37D31" w:rsidRPr="007B28E7">
        <w:rPr>
          <w:szCs w:val="22"/>
        </w:rPr>
        <w:t>re</w:t>
      </w:r>
      <w:r w:rsidR="002A67D6" w:rsidRPr="007B28E7">
        <w:rPr>
          <w:szCs w:val="22"/>
        </w:rPr>
        <w:t>submission</w:t>
      </w:r>
      <w:r w:rsidR="007507F0" w:rsidRPr="007B28E7">
        <w:rPr>
          <w:szCs w:val="22"/>
        </w:rPr>
        <w:t xml:space="preserve"> compared with the November 2016 major sub</w:t>
      </w:r>
      <w:r w:rsidR="00E55EAC" w:rsidRPr="007B28E7">
        <w:rPr>
          <w:szCs w:val="22"/>
        </w:rPr>
        <w:t>mission are presented in Table 3</w:t>
      </w:r>
      <w:r w:rsidR="007507F0" w:rsidRPr="007B28E7">
        <w:rPr>
          <w:szCs w:val="22"/>
        </w:rPr>
        <w:t xml:space="preserve">. </w:t>
      </w:r>
    </w:p>
    <w:p w:rsidR="007507F0" w:rsidRPr="007B28E7" w:rsidRDefault="007507F0" w:rsidP="007507F0">
      <w:pPr>
        <w:pStyle w:val="ListParagraph"/>
        <w:rPr>
          <w:szCs w:val="22"/>
        </w:rPr>
      </w:pPr>
    </w:p>
    <w:p w:rsidR="0023111F" w:rsidRDefault="0023111F">
      <w:pPr>
        <w:rPr>
          <w:rFonts w:ascii="Arial Narrow" w:hAnsi="Arial Narrow" w:cs="Arial"/>
          <w:b/>
          <w:sz w:val="20"/>
          <w:szCs w:val="20"/>
        </w:rPr>
      </w:pPr>
      <w:r>
        <w:rPr>
          <w:rFonts w:ascii="Arial Narrow" w:hAnsi="Arial Narrow" w:cs="Arial"/>
          <w:b/>
          <w:sz w:val="20"/>
          <w:szCs w:val="20"/>
        </w:rPr>
        <w:br w:type="page"/>
      </w:r>
    </w:p>
    <w:p w:rsidR="00E55EAC" w:rsidRPr="007B28E7" w:rsidRDefault="00E55EAC" w:rsidP="0023111F">
      <w:pPr>
        <w:keepNext/>
        <w:keepLines/>
        <w:widowControl w:val="0"/>
        <w:ind w:left="720"/>
        <w:contextualSpacing/>
        <w:jc w:val="both"/>
        <w:rPr>
          <w:rFonts w:ascii="Arial Narrow" w:hAnsi="Arial Narrow" w:cs="Arial"/>
          <w:b/>
          <w:sz w:val="20"/>
          <w:szCs w:val="20"/>
        </w:rPr>
      </w:pPr>
      <w:r w:rsidRPr="007B28E7">
        <w:rPr>
          <w:rFonts w:ascii="Arial Narrow" w:hAnsi="Arial Narrow" w:cs="Arial"/>
          <w:b/>
          <w:sz w:val="20"/>
          <w:szCs w:val="20"/>
        </w:rPr>
        <w:t xml:space="preserve">Table 3: </w:t>
      </w:r>
      <w:r w:rsidR="005A3FEE" w:rsidRPr="007B28E7">
        <w:rPr>
          <w:rFonts w:ascii="Arial Narrow" w:hAnsi="Arial Narrow" w:cs="Arial"/>
          <w:b/>
          <w:sz w:val="20"/>
          <w:szCs w:val="20"/>
        </w:rPr>
        <w:t>Differences in key components of the economic evaluation</w:t>
      </w:r>
      <w:r w:rsidRPr="007B28E7">
        <w:rPr>
          <w:rFonts w:ascii="Arial Narrow" w:hAnsi="Arial Narrow" w:cs="Arial"/>
          <w:b/>
          <w:sz w:val="20"/>
          <w:szCs w:val="20"/>
        </w:rPr>
        <w:t xml:space="preserve"> in the March 2017 minor </w:t>
      </w:r>
      <w:r w:rsidR="00A37D31" w:rsidRPr="007B28E7">
        <w:rPr>
          <w:rFonts w:ascii="Arial Narrow" w:hAnsi="Arial Narrow" w:cs="Arial"/>
          <w:b/>
          <w:sz w:val="20"/>
          <w:szCs w:val="20"/>
        </w:rPr>
        <w:t>re</w:t>
      </w:r>
      <w:r w:rsidR="002A67D6" w:rsidRPr="007B28E7">
        <w:rPr>
          <w:rFonts w:ascii="Arial Narrow" w:hAnsi="Arial Narrow" w:cs="Arial"/>
          <w:b/>
          <w:sz w:val="20"/>
          <w:szCs w:val="20"/>
        </w:rPr>
        <w:t>submission</w:t>
      </w:r>
      <w:r w:rsidRPr="007B28E7">
        <w:rPr>
          <w:rFonts w:ascii="Arial Narrow" w:hAnsi="Arial Narrow" w:cs="Arial"/>
          <w:b/>
          <w:sz w:val="20"/>
          <w:szCs w:val="20"/>
        </w:rPr>
        <w:t xml:space="preserve"> versus the November 2016 major submission</w:t>
      </w:r>
    </w:p>
    <w:tbl>
      <w:tblPr>
        <w:tblStyle w:val="TableGrid"/>
        <w:tblW w:w="4594" w:type="pct"/>
        <w:tblInd w:w="737" w:type="dxa"/>
        <w:tblCellMar>
          <w:top w:w="28" w:type="dxa"/>
          <w:left w:w="28" w:type="dxa"/>
          <w:bottom w:w="28" w:type="dxa"/>
          <w:right w:w="28" w:type="dxa"/>
        </w:tblCellMar>
        <w:tblLook w:val="04A0" w:firstRow="1" w:lastRow="0" w:firstColumn="1" w:lastColumn="0" w:noHBand="0" w:noVBand="1"/>
        <w:tblCaption w:val="Table 3: Differences in key components of the economic evaluation in the March 2017 minor resubmission versus the November 2016 major submission"/>
      </w:tblPr>
      <w:tblGrid>
        <w:gridCol w:w="1559"/>
        <w:gridCol w:w="3106"/>
        <w:gridCol w:w="3680"/>
      </w:tblGrid>
      <w:tr w:rsidR="00637950" w:rsidRPr="007B28E7" w:rsidTr="006B0997">
        <w:trPr>
          <w:trHeight w:val="202"/>
          <w:tblHeader/>
        </w:trPr>
        <w:tc>
          <w:tcPr>
            <w:tcW w:w="934" w:type="pct"/>
          </w:tcPr>
          <w:p w:rsidR="00637950" w:rsidRPr="007B28E7" w:rsidRDefault="00637950" w:rsidP="006F14F0">
            <w:pPr>
              <w:contextualSpacing/>
              <w:rPr>
                <w:rFonts w:ascii="Arial Narrow" w:hAnsi="Arial Narrow"/>
                <w:sz w:val="20"/>
                <w:szCs w:val="20"/>
              </w:rPr>
            </w:pPr>
          </w:p>
        </w:tc>
        <w:tc>
          <w:tcPr>
            <w:tcW w:w="1861" w:type="pct"/>
          </w:tcPr>
          <w:p w:rsidR="00637950" w:rsidRPr="007B28E7" w:rsidRDefault="00637950" w:rsidP="00637950">
            <w:pPr>
              <w:jc w:val="center"/>
              <w:rPr>
                <w:rFonts w:ascii="Arial Narrow" w:hAnsi="Arial Narrow"/>
                <w:b/>
                <w:sz w:val="20"/>
                <w:szCs w:val="20"/>
                <w:lang w:eastAsia="en-US"/>
              </w:rPr>
            </w:pPr>
            <w:r w:rsidRPr="007B28E7">
              <w:rPr>
                <w:rFonts w:ascii="Arial Narrow" w:hAnsi="Arial Narrow"/>
                <w:b/>
                <w:sz w:val="20"/>
                <w:szCs w:val="20"/>
                <w:lang w:eastAsia="en-US"/>
              </w:rPr>
              <w:t xml:space="preserve">November 2016 major submission </w:t>
            </w:r>
          </w:p>
          <w:p w:rsidR="00637950" w:rsidRPr="007B28E7" w:rsidRDefault="00637950" w:rsidP="006F14F0">
            <w:pPr>
              <w:contextualSpacing/>
              <w:rPr>
                <w:rFonts w:ascii="Arial Narrow" w:hAnsi="Arial Narrow"/>
                <w:sz w:val="20"/>
                <w:szCs w:val="20"/>
              </w:rPr>
            </w:pPr>
          </w:p>
        </w:tc>
        <w:tc>
          <w:tcPr>
            <w:tcW w:w="2205" w:type="pct"/>
          </w:tcPr>
          <w:p w:rsidR="00637950" w:rsidRPr="007B28E7" w:rsidRDefault="00637950" w:rsidP="00637950">
            <w:pPr>
              <w:jc w:val="center"/>
              <w:rPr>
                <w:rFonts w:ascii="Arial Narrow" w:hAnsi="Arial Narrow"/>
                <w:b/>
                <w:sz w:val="20"/>
                <w:szCs w:val="20"/>
                <w:lang w:eastAsia="en-US"/>
              </w:rPr>
            </w:pPr>
            <w:r w:rsidRPr="007B28E7">
              <w:rPr>
                <w:rFonts w:ascii="Arial Narrow" w:hAnsi="Arial Narrow"/>
                <w:b/>
                <w:sz w:val="20"/>
                <w:szCs w:val="20"/>
                <w:lang w:eastAsia="en-US"/>
              </w:rPr>
              <w:t xml:space="preserve">March 2017 minor </w:t>
            </w:r>
            <w:r w:rsidR="00A37D31" w:rsidRPr="007B28E7">
              <w:rPr>
                <w:rFonts w:ascii="Arial Narrow" w:hAnsi="Arial Narrow"/>
                <w:b/>
                <w:sz w:val="20"/>
                <w:szCs w:val="20"/>
                <w:lang w:eastAsia="en-US"/>
              </w:rPr>
              <w:t>re</w:t>
            </w:r>
            <w:r w:rsidR="002A67D6" w:rsidRPr="007B28E7">
              <w:rPr>
                <w:rFonts w:ascii="Arial Narrow" w:hAnsi="Arial Narrow"/>
                <w:b/>
                <w:sz w:val="20"/>
                <w:szCs w:val="20"/>
                <w:lang w:eastAsia="en-US"/>
              </w:rPr>
              <w:t>submission</w:t>
            </w:r>
          </w:p>
          <w:p w:rsidR="00637950" w:rsidRPr="007B28E7" w:rsidRDefault="00637950" w:rsidP="006F14F0">
            <w:pPr>
              <w:contextualSpacing/>
              <w:rPr>
                <w:rFonts w:ascii="Arial Narrow" w:hAnsi="Arial Narrow"/>
                <w:sz w:val="20"/>
                <w:szCs w:val="20"/>
              </w:rPr>
            </w:pPr>
          </w:p>
        </w:tc>
      </w:tr>
      <w:tr w:rsidR="00637950" w:rsidRPr="007B28E7" w:rsidTr="0023111F">
        <w:trPr>
          <w:trHeight w:val="202"/>
        </w:trPr>
        <w:tc>
          <w:tcPr>
            <w:tcW w:w="934" w:type="pct"/>
          </w:tcPr>
          <w:p w:rsidR="00637950" w:rsidRPr="007B28E7" w:rsidRDefault="00637950" w:rsidP="006F14F0">
            <w:pPr>
              <w:contextualSpacing/>
              <w:rPr>
                <w:rFonts w:ascii="Arial Narrow" w:hAnsi="Arial Narrow"/>
                <w:sz w:val="20"/>
                <w:szCs w:val="20"/>
              </w:rPr>
            </w:pPr>
            <w:r w:rsidRPr="007B28E7">
              <w:rPr>
                <w:rFonts w:ascii="Arial Narrow" w:hAnsi="Arial Narrow"/>
                <w:sz w:val="20"/>
                <w:szCs w:val="20"/>
              </w:rPr>
              <w:t xml:space="preserve">Time horizon </w:t>
            </w:r>
          </w:p>
        </w:tc>
        <w:tc>
          <w:tcPr>
            <w:tcW w:w="1861" w:type="pct"/>
          </w:tcPr>
          <w:p w:rsidR="00637950" w:rsidRPr="007B28E7" w:rsidRDefault="00637950" w:rsidP="006F14F0">
            <w:pPr>
              <w:contextualSpacing/>
              <w:rPr>
                <w:rFonts w:ascii="Arial Narrow" w:hAnsi="Arial Narrow"/>
                <w:sz w:val="20"/>
                <w:szCs w:val="20"/>
              </w:rPr>
            </w:pPr>
            <w:r w:rsidRPr="007B28E7">
              <w:rPr>
                <w:rFonts w:ascii="Arial Narrow" w:hAnsi="Arial Narrow"/>
                <w:sz w:val="20"/>
                <w:szCs w:val="20"/>
              </w:rPr>
              <w:t>Based on time horizon of RECOURSE trial.</w:t>
            </w:r>
          </w:p>
        </w:tc>
        <w:tc>
          <w:tcPr>
            <w:tcW w:w="2205" w:type="pct"/>
          </w:tcPr>
          <w:p w:rsidR="00637950" w:rsidRPr="007B28E7" w:rsidRDefault="00637950" w:rsidP="006F14F0">
            <w:pPr>
              <w:contextualSpacing/>
              <w:rPr>
                <w:rFonts w:ascii="Arial Narrow" w:hAnsi="Arial Narrow"/>
                <w:sz w:val="20"/>
                <w:szCs w:val="20"/>
              </w:rPr>
            </w:pPr>
            <w:r w:rsidRPr="007B28E7">
              <w:rPr>
                <w:rFonts w:ascii="Arial Narrow" w:hAnsi="Arial Narrow"/>
                <w:sz w:val="20"/>
                <w:szCs w:val="20"/>
              </w:rPr>
              <w:t>Based on time horizons of Recourse and J003 trials.</w:t>
            </w:r>
          </w:p>
        </w:tc>
      </w:tr>
      <w:tr w:rsidR="00637950" w:rsidRPr="007B28E7" w:rsidTr="0023111F">
        <w:trPr>
          <w:trHeight w:val="202"/>
        </w:trPr>
        <w:tc>
          <w:tcPr>
            <w:tcW w:w="934" w:type="pct"/>
          </w:tcPr>
          <w:p w:rsidR="00637950" w:rsidRPr="007B28E7" w:rsidRDefault="007A66B7" w:rsidP="006F14F0">
            <w:pPr>
              <w:contextualSpacing/>
              <w:rPr>
                <w:rFonts w:ascii="Arial Narrow" w:hAnsi="Arial Narrow"/>
                <w:sz w:val="20"/>
                <w:szCs w:val="20"/>
              </w:rPr>
            </w:pPr>
            <w:r w:rsidRPr="007B28E7">
              <w:rPr>
                <w:rFonts w:ascii="Arial Narrow" w:hAnsi="Arial Narrow"/>
                <w:sz w:val="20"/>
                <w:szCs w:val="20"/>
              </w:rPr>
              <w:t>Clinical data</w:t>
            </w:r>
            <w:r w:rsidR="00637950" w:rsidRPr="007B28E7">
              <w:rPr>
                <w:rFonts w:ascii="Arial Narrow" w:hAnsi="Arial Narrow"/>
                <w:sz w:val="20"/>
                <w:szCs w:val="20"/>
              </w:rPr>
              <w:t xml:space="preserve"> </w:t>
            </w:r>
          </w:p>
        </w:tc>
        <w:tc>
          <w:tcPr>
            <w:tcW w:w="1861" w:type="pct"/>
          </w:tcPr>
          <w:p w:rsidR="00637950" w:rsidRPr="007B28E7" w:rsidRDefault="00637950" w:rsidP="006F14F0">
            <w:pPr>
              <w:contextualSpacing/>
              <w:rPr>
                <w:rFonts w:ascii="Arial Narrow" w:hAnsi="Arial Narrow"/>
                <w:sz w:val="20"/>
                <w:szCs w:val="20"/>
              </w:rPr>
            </w:pPr>
            <w:r w:rsidRPr="007B28E7">
              <w:rPr>
                <w:rFonts w:ascii="Arial Narrow" w:hAnsi="Arial Narrow"/>
                <w:sz w:val="20"/>
                <w:szCs w:val="20"/>
              </w:rPr>
              <w:t>IPD from the RECOURSE trial.</w:t>
            </w:r>
          </w:p>
        </w:tc>
        <w:tc>
          <w:tcPr>
            <w:tcW w:w="2205" w:type="pct"/>
          </w:tcPr>
          <w:p w:rsidR="00637950" w:rsidRPr="007B28E7" w:rsidRDefault="00637950" w:rsidP="006F14F0">
            <w:pPr>
              <w:contextualSpacing/>
              <w:rPr>
                <w:rFonts w:ascii="Arial Narrow" w:hAnsi="Arial Narrow"/>
                <w:sz w:val="20"/>
                <w:szCs w:val="20"/>
              </w:rPr>
            </w:pPr>
            <w:r w:rsidRPr="007B28E7">
              <w:rPr>
                <w:rFonts w:ascii="Arial Narrow" w:hAnsi="Arial Narrow"/>
                <w:sz w:val="20"/>
                <w:szCs w:val="20"/>
              </w:rPr>
              <w:t>KM pooled analysis o</w:t>
            </w:r>
            <w:r w:rsidR="00431D42" w:rsidRPr="007B28E7">
              <w:rPr>
                <w:rFonts w:ascii="Arial Narrow" w:hAnsi="Arial Narrow"/>
                <w:sz w:val="20"/>
                <w:szCs w:val="20"/>
              </w:rPr>
              <w:t>f RECOURSE and J003 trials.</w:t>
            </w:r>
          </w:p>
        </w:tc>
      </w:tr>
      <w:tr w:rsidR="00637950" w:rsidRPr="007B28E7" w:rsidTr="0023111F">
        <w:trPr>
          <w:trHeight w:val="202"/>
        </w:trPr>
        <w:tc>
          <w:tcPr>
            <w:tcW w:w="934" w:type="pct"/>
          </w:tcPr>
          <w:p w:rsidR="00637950" w:rsidRPr="007B28E7" w:rsidRDefault="00785CB8" w:rsidP="006F14F0">
            <w:pPr>
              <w:contextualSpacing/>
              <w:rPr>
                <w:rFonts w:ascii="Arial Narrow" w:hAnsi="Arial Narrow"/>
                <w:sz w:val="20"/>
                <w:szCs w:val="20"/>
              </w:rPr>
            </w:pPr>
            <w:r w:rsidRPr="007B28E7">
              <w:rPr>
                <w:rFonts w:ascii="Arial Narrow" w:hAnsi="Arial Narrow"/>
                <w:sz w:val="20"/>
                <w:szCs w:val="20"/>
              </w:rPr>
              <w:t>Partitioned survival analysis</w:t>
            </w:r>
          </w:p>
        </w:tc>
        <w:tc>
          <w:tcPr>
            <w:tcW w:w="1861" w:type="pct"/>
          </w:tcPr>
          <w:p w:rsidR="00637950" w:rsidRPr="007B28E7" w:rsidRDefault="00431D42" w:rsidP="006F14F0">
            <w:pPr>
              <w:contextualSpacing/>
              <w:rPr>
                <w:rFonts w:ascii="Arial Narrow" w:hAnsi="Arial Narrow"/>
                <w:sz w:val="20"/>
                <w:szCs w:val="20"/>
              </w:rPr>
            </w:pPr>
            <w:r w:rsidRPr="007B28E7">
              <w:rPr>
                <w:rFonts w:ascii="Arial Narrow" w:hAnsi="Arial Narrow"/>
                <w:sz w:val="20"/>
                <w:szCs w:val="20"/>
              </w:rPr>
              <w:t xml:space="preserve">ECOG-PS &lt;1, ECOG ≥2, dead. </w:t>
            </w:r>
            <w:r w:rsidR="00637950" w:rsidRPr="007B28E7">
              <w:rPr>
                <w:rFonts w:ascii="Arial Narrow" w:hAnsi="Arial Narrow"/>
                <w:sz w:val="20"/>
                <w:szCs w:val="20"/>
              </w:rPr>
              <w:t xml:space="preserve"> </w:t>
            </w:r>
          </w:p>
        </w:tc>
        <w:tc>
          <w:tcPr>
            <w:tcW w:w="2205" w:type="pct"/>
          </w:tcPr>
          <w:p w:rsidR="00637950" w:rsidRPr="007B28E7" w:rsidRDefault="00431D42" w:rsidP="006F14F0">
            <w:pPr>
              <w:contextualSpacing/>
              <w:rPr>
                <w:rFonts w:ascii="Arial Narrow" w:hAnsi="Arial Narrow"/>
                <w:sz w:val="20"/>
                <w:szCs w:val="20"/>
              </w:rPr>
            </w:pPr>
            <w:r w:rsidRPr="007B28E7">
              <w:rPr>
                <w:rFonts w:ascii="Arial Narrow" w:hAnsi="Arial Narrow"/>
                <w:sz w:val="20"/>
                <w:szCs w:val="20"/>
              </w:rPr>
              <w:t>Progression-free, progressing disease, dead.</w:t>
            </w:r>
          </w:p>
        </w:tc>
      </w:tr>
      <w:tr w:rsidR="00637950" w:rsidRPr="007B28E7" w:rsidTr="0023111F">
        <w:trPr>
          <w:trHeight w:val="216"/>
        </w:trPr>
        <w:tc>
          <w:tcPr>
            <w:tcW w:w="934" w:type="pct"/>
          </w:tcPr>
          <w:p w:rsidR="00637950" w:rsidRPr="007B28E7" w:rsidRDefault="00637950" w:rsidP="006F14F0">
            <w:pPr>
              <w:contextualSpacing/>
              <w:rPr>
                <w:rFonts w:ascii="Arial Narrow" w:hAnsi="Arial Narrow"/>
                <w:sz w:val="20"/>
                <w:szCs w:val="20"/>
              </w:rPr>
            </w:pPr>
            <w:r w:rsidRPr="007B28E7">
              <w:rPr>
                <w:rFonts w:ascii="Arial Narrow" w:hAnsi="Arial Narrow"/>
                <w:sz w:val="20"/>
                <w:szCs w:val="20"/>
              </w:rPr>
              <w:t>Utilities</w:t>
            </w:r>
          </w:p>
        </w:tc>
        <w:tc>
          <w:tcPr>
            <w:tcW w:w="1861" w:type="pct"/>
          </w:tcPr>
          <w:p w:rsidR="00637950" w:rsidRPr="007B28E7" w:rsidRDefault="00637950" w:rsidP="006F14F0">
            <w:pPr>
              <w:contextualSpacing/>
              <w:rPr>
                <w:rFonts w:ascii="Arial Narrow" w:hAnsi="Arial Narrow"/>
                <w:sz w:val="20"/>
                <w:szCs w:val="20"/>
              </w:rPr>
            </w:pPr>
            <w:r w:rsidRPr="007B28E7">
              <w:rPr>
                <w:rFonts w:ascii="Arial Narrow" w:hAnsi="Arial Narrow"/>
                <w:sz w:val="20"/>
                <w:szCs w:val="20"/>
              </w:rPr>
              <w:t>Utility values</w:t>
            </w:r>
            <w:r w:rsidR="008C45AE" w:rsidRPr="007B28E7">
              <w:rPr>
                <w:rFonts w:ascii="Arial Narrow" w:hAnsi="Arial Narrow"/>
                <w:sz w:val="20"/>
                <w:szCs w:val="20"/>
              </w:rPr>
              <w:t xml:space="preserve"> (ECOG 0,1= 0.81; ECOG 2,3= 0.70)</w:t>
            </w:r>
            <w:r w:rsidRPr="007B28E7">
              <w:rPr>
                <w:rFonts w:ascii="Arial Narrow" w:hAnsi="Arial Narrow"/>
                <w:sz w:val="20"/>
                <w:szCs w:val="20"/>
              </w:rPr>
              <w:t xml:space="preserve"> were transformed from ECOG-PS scores based on the Teckle et al., 2011 publication which were not specific to mCRC</w:t>
            </w:r>
            <w:r w:rsidR="00E55EAC" w:rsidRPr="007B28E7">
              <w:rPr>
                <w:rFonts w:ascii="Arial Narrow" w:hAnsi="Arial Narrow"/>
                <w:sz w:val="20"/>
                <w:szCs w:val="20"/>
              </w:rPr>
              <w:t>.</w:t>
            </w:r>
          </w:p>
        </w:tc>
        <w:tc>
          <w:tcPr>
            <w:tcW w:w="2205" w:type="pct"/>
          </w:tcPr>
          <w:p w:rsidR="00446D32" w:rsidRPr="007B28E7" w:rsidRDefault="00637950" w:rsidP="006F14F0">
            <w:pPr>
              <w:contextualSpacing/>
              <w:rPr>
                <w:rFonts w:ascii="Arial Narrow" w:hAnsi="Arial Narrow"/>
                <w:sz w:val="20"/>
                <w:szCs w:val="20"/>
              </w:rPr>
            </w:pPr>
            <w:r w:rsidRPr="007B28E7">
              <w:rPr>
                <w:rFonts w:ascii="Arial Narrow" w:hAnsi="Arial Narrow"/>
                <w:sz w:val="20"/>
                <w:szCs w:val="20"/>
              </w:rPr>
              <w:t>Utility values were based on the CORRECT (regorafenib) trial with an adjustment of a 2.5% increase</w:t>
            </w:r>
            <w:r w:rsidR="00446D32" w:rsidRPr="007B28E7">
              <w:rPr>
                <w:rFonts w:ascii="Arial Narrow" w:hAnsi="Arial Narrow"/>
                <w:sz w:val="20"/>
                <w:szCs w:val="20"/>
              </w:rPr>
              <w:t>*</w:t>
            </w:r>
            <w:r w:rsidRPr="007B28E7">
              <w:rPr>
                <w:rFonts w:ascii="Arial Narrow" w:hAnsi="Arial Narrow"/>
                <w:sz w:val="20"/>
                <w:szCs w:val="20"/>
              </w:rPr>
              <w:t xml:space="preserve"> (from 0.73 to 0.75) to the progression-free health state</w:t>
            </w:r>
            <w:r w:rsidR="00446D32" w:rsidRPr="007B28E7">
              <w:rPr>
                <w:rFonts w:ascii="Arial Narrow" w:hAnsi="Arial Narrow"/>
                <w:sz w:val="20"/>
                <w:szCs w:val="20"/>
              </w:rPr>
              <w:t>, and 0.59 for progressing disease</w:t>
            </w:r>
            <w:r w:rsidRPr="007B28E7">
              <w:rPr>
                <w:rFonts w:ascii="Arial Narrow" w:hAnsi="Arial Narrow"/>
                <w:sz w:val="20"/>
                <w:szCs w:val="20"/>
              </w:rPr>
              <w:t>.</w:t>
            </w:r>
          </w:p>
          <w:p w:rsidR="00637950" w:rsidRPr="007B28E7" w:rsidRDefault="00446D32" w:rsidP="006F14F0">
            <w:pPr>
              <w:contextualSpacing/>
              <w:rPr>
                <w:rFonts w:ascii="Arial Narrow" w:hAnsi="Arial Narrow"/>
                <w:sz w:val="20"/>
                <w:szCs w:val="20"/>
              </w:rPr>
            </w:pPr>
            <w:r w:rsidRPr="007B28E7">
              <w:rPr>
                <w:rFonts w:ascii="Arial Narrow" w:hAnsi="Arial Narrow"/>
                <w:sz w:val="20"/>
                <w:szCs w:val="20"/>
              </w:rPr>
              <w:t>*</w:t>
            </w:r>
            <w:r w:rsidR="00637950" w:rsidRPr="007B28E7">
              <w:rPr>
                <w:rFonts w:ascii="Arial Narrow" w:hAnsi="Arial Narrow"/>
                <w:sz w:val="20"/>
                <w:szCs w:val="20"/>
              </w:rPr>
              <w:t xml:space="preserve">The submission claimed that this was applied to account for </w:t>
            </w:r>
            <w:r w:rsidRPr="007B28E7">
              <w:rPr>
                <w:rFonts w:ascii="Arial Narrow" w:hAnsi="Arial Narrow"/>
                <w:sz w:val="20"/>
                <w:szCs w:val="20"/>
              </w:rPr>
              <w:t xml:space="preserve">the </w:t>
            </w:r>
            <w:r w:rsidR="00637950" w:rsidRPr="007B28E7">
              <w:rPr>
                <w:rFonts w:ascii="Arial Narrow" w:hAnsi="Arial Narrow"/>
                <w:sz w:val="20"/>
                <w:szCs w:val="20"/>
              </w:rPr>
              <w:t>better safe</w:t>
            </w:r>
            <w:r w:rsidR="00873C27" w:rsidRPr="007B28E7">
              <w:rPr>
                <w:rFonts w:ascii="Arial Narrow" w:hAnsi="Arial Narrow"/>
                <w:sz w:val="20"/>
                <w:szCs w:val="20"/>
              </w:rPr>
              <w:t>ty profile of trifluridine/</w:t>
            </w:r>
            <w:r w:rsidR="00637950" w:rsidRPr="007B28E7">
              <w:rPr>
                <w:rFonts w:ascii="Arial Narrow" w:hAnsi="Arial Narrow"/>
                <w:sz w:val="20"/>
                <w:szCs w:val="20"/>
              </w:rPr>
              <w:t>tipiracil compared to regorafenib.</w:t>
            </w:r>
          </w:p>
        </w:tc>
      </w:tr>
    </w:tbl>
    <w:p w:rsidR="005A3FEE" w:rsidRPr="0023111F" w:rsidRDefault="005A3FEE" w:rsidP="0023111F">
      <w:pPr>
        <w:pStyle w:val="TableFooter"/>
        <w:widowControl/>
        <w:ind w:left="720"/>
        <w:rPr>
          <w:szCs w:val="18"/>
        </w:rPr>
      </w:pPr>
      <w:r w:rsidRPr="0023111F">
        <w:rPr>
          <w:szCs w:val="18"/>
        </w:rPr>
        <w:t>Abbreviations: IPD = individual patient data</w:t>
      </w:r>
      <w:r w:rsidR="00BB0771" w:rsidRPr="0023111F">
        <w:rPr>
          <w:szCs w:val="18"/>
        </w:rPr>
        <w:t xml:space="preserve">; </w:t>
      </w:r>
      <w:r w:rsidR="00E34E7E" w:rsidRPr="0023111F">
        <w:rPr>
          <w:szCs w:val="18"/>
        </w:rPr>
        <w:t>ECOG-</w:t>
      </w:r>
      <w:r w:rsidR="00BB0771" w:rsidRPr="0023111F">
        <w:rPr>
          <w:szCs w:val="18"/>
        </w:rPr>
        <w:t xml:space="preserve">PS = Eastern Cooperative Oncology Group Performance Status; mCRC = metastatic colorectal cancer; </w:t>
      </w:r>
    </w:p>
    <w:p w:rsidR="00F75B7D" w:rsidRPr="0023111F" w:rsidRDefault="00F75B7D" w:rsidP="0023111F">
      <w:pPr>
        <w:ind w:firstLine="720"/>
        <w:jc w:val="both"/>
        <w:rPr>
          <w:rFonts w:ascii="Arial Narrow" w:hAnsi="Arial Narrow"/>
          <w:sz w:val="18"/>
          <w:szCs w:val="18"/>
        </w:rPr>
      </w:pPr>
      <w:r w:rsidRPr="0023111F">
        <w:rPr>
          <w:rFonts w:ascii="Arial Narrow" w:hAnsi="Arial Narrow"/>
          <w:sz w:val="18"/>
          <w:szCs w:val="18"/>
        </w:rPr>
        <w:t xml:space="preserve">Source: Table 1, pages 5-8 of the minor </w:t>
      </w:r>
      <w:r w:rsidR="002A67D6" w:rsidRPr="0023111F">
        <w:rPr>
          <w:rFonts w:ascii="Arial Narrow" w:hAnsi="Arial Narrow"/>
          <w:sz w:val="18"/>
          <w:szCs w:val="18"/>
        </w:rPr>
        <w:t>submission</w:t>
      </w:r>
      <w:r w:rsidRPr="0023111F">
        <w:rPr>
          <w:rFonts w:ascii="Arial Narrow" w:hAnsi="Arial Narrow"/>
          <w:sz w:val="18"/>
          <w:szCs w:val="18"/>
        </w:rPr>
        <w:t xml:space="preserve"> and Table 3, page 11 of the minor </w:t>
      </w:r>
      <w:r w:rsidR="002A67D6" w:rsidRPr="0023111F">
        <w:rPr>
          <w:rFonts w:ascii="Arial Narrow" w:hAnsi="Arial Narrow"/>
          <w:sz w:val="18"/>
          <w:szCs w:val="18"/>
        </w:rPr>
        <w:t>submission</w:t>
      </w:r>
      <w:r w:rsidRPr="0023111F">
        <w:rPr>
          <w:rFonts w:ascii="Arial Narrow" w:hAnsi="Arial Narrow"/>
          <w:sz w:val="18"/>
          <w:szCs w:val="18"/>
        </w:rPr>
        <w:t xml:space="preserve"> </w:t>
      </w:r>
    </w:p>
    <w:p w:rsidR="00A74891" w:rsidRPr="007B28E7" w:rsidRDefault="00A74891" w:rsidP="00E55EAC">
      <w:pPr>
        <w:rPr>
          <w:szCs w:val="22"/>
        </w:rPr>
      </w:pPr>
    </w:p>
    <w:p w:rsidR="003238CA" w:rsidRPr="007B28E7" w:rsidRDefault="006E7893" w:rsidP="003238CA">
      <w:pPr>
        <w:pStyle w:val="ListParagraph"/>
        <w:numPr>
          <w:ilvl w:val="1"/>
          <w:numId w:val="14"/>
        </w:numPr>
        <w:rPr>
          <w:szCs w:val="22"/>
        </w:rPr>
      </w:pPr>
      <w:r w:rsidRPr="007B28E7">
        <w:rPr>
          <w:szCs w:val="22"/>
        </w:rPr>
        <w:t>A summary of the costs and outcomes of the economic analysis are presented in Table 4 below.</w:t>
      </w:r>
    </w:p>
    <w:p w:rsidR="007109B0" w:rsidRPr="007B28E7" w:rsidRDefault="007109B0" w:rsidP="006E7893">
      <w:pPr>
        <w:rPr>
          <w:rFonts w:ascii="Arial Narrow" w:hAnsi="Arial Narrow"/>
          <w:b/>
          <w:sz w:val="20"/>
          <w:szCs w:val="22"/>
        </w:rPr>
      </w:pPr>
    </w:p>
    <w:p w:rsidR="006E7893" w:rsidRPr="007B28E7" w:rsidRDefault="00F00D3C" w:rsidP="0023111F">
      <w:pPr>
        <w:keepNext/>
        <w:ind w:firstLine="720"/>
        <w:rPr>
          <w:rFonts w:ascii="Arial Narrow" w:hAnsi="Arial Narrow"/>
          <w:b/>
          <w:sz w:val="20"/>
          <w:szCs w:val="22"/>
        </w:rPr>
      </w:pPr>
      <w:r w:rsidRPr="007B28E7">
        <w:rPr>
          <w:rFonts w:ascii="Arial Narrow" w:hAnsi="Arial Narrow"/>
          <w:b/>
          <w:sz w:val="20"/>
          <w:szCs w:val="22"/>
        </w:rPr>
        <w:t>Table 4:</w:t>
      </w:r>
      <w:r w:rsidR="00E458C4" w:rsidRPr="007B28E7">
        <w:rPr>
          <w:rFonts w:ascii="Arial Narrow" w:hAnsi="Arial Narrow"/>
          <w:b/>
          <w:sz w:val="20"/>
          <w:szCs w:val="22"/>
        </w:rPr>
        <w:t xml:space="preserve"> Results of the economic analysis </w:t>
      </w:r>
    </w:p>
    <w:tbl>
      <w:tblPr>
        <w:tblStyle w:val="TableGrid"/>
        <w:tblW w:w="4594" w:type="pct"/>
        <w:tblInd w:w="737" w:type="dxa"/>
        <w:tblLayout w:type="fixed"/>
        <w:tblCellMar>
          <w:top w:w="28" w:type="dxa"/>
          <w:left w:w="28" w:type="dxa"/>
          <w:bottom w:w="28" w:type="dxa"/>
          <w:right w:w="28" w:type="dxa"/>
        </w:tblCellMar>
        <w:tblLook w:val="04A0" w:firstRow="1" w:lastRow="0" w:firstColumn="1" w:lastColumn="0" w:noHBand="0" w:noVBand="1"/>
        <w:tblCaption w:val="Table 4: Results of the economic analysis "/>
      </w:tblPr>
      <w:tblGrid>
        <w:gridCol w:w="2693"/>
        <w:gridCol w:w="1984"/>
        <w:gridCol w:w="1844"/>
        <w:gridCol w:w="1824"/>
      </w:tblGrid>
      <w:tr w:rsidR="00B57D7B" w:rsidRPr="007B28E7" w:rsidTr="006B0997">
        <w:trPr>
          <w:trHeight w:val="186"/>
          <w:tblHeader/>
        </w:trPr>
        <w:tc>
          <w:tcPr>
            <w:tcW w:w="1613" w:type="pct"/>
            <w:shd w:val="clear" w:color="auto" w:fill="FFFFFF" w:themeFill="background1"/>
          </w:tcPr>
          <w:p w:rsidR="006E7893" w:rsidRPr="007B28E7" w:rsidRDefault="006E7893" w:rsidP="0084759D">
            <w:pPr>
              <w:pStyle w:val="TableText0"/>
              <w:spacing w:line="240" w:lineRule="auto"/>
              <w:contextualSpacing/>
              <w:rPr>
                <w:b/>
                <w:sz w:val="20"/>
                <w:szCs w:val="20"/>
              </w:rPr>
            </w:pPr>
          </w:p>
        </w:tc>
        <w:tc>
          <w:tcPr>
            <w:tcW w:w="1189" w:type="pct"/>
            <w:shd w:val="clear" w:color="auto" w:fill="FFFFFF" w:themeFill="background1"/>
            <w:vAlign w:val="center"/>
          </w:tcPr>
          <w:p w:rsidR="006E7893" w:rsidRPr="007B28E7" w:rsidRDefault="00873C27" w:rsidP="0084759D">
            <w:pPr>
              <w:pStyle w:val="TableText0"/>
              <w:spacing w:line="240" w:lineRule="auto"/>
              <w:contextualSpacing/>
              <w:jc w:val="center"/>
              <w:rPr>
                <w:b/>
                <w:sz w:val="20"/>
                <w:szCs w:val="20"/>
              </w:rPr>
            </w:pPr>
            <w:r w:rsidRPr="007B28E7">
              <w:rPr>
                <w:b/>
                <w:sz w:val="20"/>
                <w:szCs w:val="20"/>
              </w:rPr>
              <w:t>Trifluridine/</w:t>
            </w:r>
            <w:r w:rsidR="006E7893" w:rsidRPr="007B28E7">
              <w:rPr>
                <w:b/>
                <w:sz w:val="20"/>
                <w:szCs w:val="20"/>
              </w:rPr>
              <w:t>tipiracil arm</w:t>
            </w:r>
          </w:p>
        </w:tc>
        <w:tc>
          <w:tcPr>
            <w:tcW w:w="1105" w:type="pct"/>
            <w:shd w:val="clear" w:color="auto" w:fill="FFFFFF" w:themeFill="background1"/>
            <w:vAlign w:val="center"/>
          </w:tcPr>
          <w:p w:rsidR="006E7893" w:rsidRPr="007B28E7" w:rsidRDefault="006E7893" w:rsidP="0084759D">
            <w:pPr>
              <w:pStyle w:val="TableText0"/>
              <w:spacing w:line="240" w:lineRule="auto"/>
              <w:contextualSpacing/>
              <w:jc w:val="center"/>
              <w:rPr>
                <w:b/>
                <w:sz w:val="20"/>
                <w:szCs w:val="20"/>
              </w:rPr>
            </w:pPr>
            <w:r w:rsidRPr="007B28E7">
              <w:rPr>
                <w:b/>
                <w:sz w:val="20"/>
                <w:szCs w:val="20"/>
              </w:rPr>
              <w:t>Placebo arm</w:t>
            </w:r>
          </w:p>
        </w:tc>
        <w:tc>
          <w:tcPr>
            <w:tcW w:w="1093" w:type="pct"/>
            <w:shd w:val="clear" w:color="auto" w:fill="FFFFFF" w:themeFill="background1"/>
            <w:vAlign w:val="center"/>
          </w:tcPr>
          <w:p w:rsidR="006E7893" w:rsidRPr="007B28E7" w:rsidRDefault="006E7893" w:rsidP="0084759D">
            <w:pPr>
              <w:pStyle w:val="TableText0"/>
              <w:spacing w:line="240" w:lineRule="auto"/>
              <w:contextualSpacing/>
              <w:jc w:val="center"/>
              <w:rPr>
                <w:b/>
                <w:sz w:val="20"/>
                <w:szCs w:val="20"/>
              </w:rPr>
            </w:pPr>
            <w:r w:rsidRPr="007B28E7">
              <w:rPr>
                <w:b/>
                <w:sz w:val="20"/>
                <w:szCs w:val="20"/>
              </w:rPr>
              <w:t>Increment</w:t>
            </w:r>
          </w:p>
        </w:tc>
      </w:tr>
      <w:tr w:rsidR="00B57D7B" w:rsidRPr="007B28E7" w:rsidTr="0023111F">
        <w:trPr>
          <w:trHeight w:val="48"/>
        </w:trPr>
        <w:tc>
          <w:tcPr>
            <w:tcW w:w="1613" w:type="pct"/>
            <w:vAlign w:val="bottom"/>
          </w:tcPr>
          <w:p w:rsidR="006E7893" w:rsidRPr="007B28E7" w:rsidRDefault="006E7893" w:rsidP="0084759D">
            <w:pPr>
              <w:pStyle w:val="TableText0"/>
              <w:spacing w:line="240" w:lineRule="auto"/>
              <w:contextualSpacing/>
              <w:rPr>
                <w:b/>
                <w:sz w:val="20"/>
                <w:szCs w:val="20"/>
              </w:rPr>
            </w:pPr>
            <w:r w:rsidRPr="007B28E7">
              <w:rPr>
                <w:b/>
                <w:sz w:val="20"/>
                <w:szCs w:val="20"/>
              </w:rPr>
              <w:t>Costs</w:t>
            </w:r>
          </w:p>
        </w:tc>
        <w:tc>
          <w:tcPr>
            <w:tcW w:w="1189" w:type="pct"/>
            <w:vAlign w:val="center"/>
          </w:tcPr>
          <w:p w:rsidR="006E7893" w:rsidRPr="007B28E7" w:rsidRDefault="006E7893" w:rsidP="0084759D">
            <w:pPr>
              <w:pStyle w:val="TableText0"/>
              <w:spacing w:line="240" w:lineRule="auto"/>
              <w:contextualSpacing/>
              <w:jc w:val="center"/>
              <w:rPr>
                <w:sz w:val="20"/>
                <w:szCs w:val="20"/>
              </w:rPr>
            </w:pPr>
          </w:p>
        </w:tc>
        <w:tc>
          <w:tcPr>
            <w:tcW w:w="1105" w:type="pct"/>
            <w:vAlign w:val="center"/>
          </w:tcPr>
          <w:p w:rsidR="006E7893" w:rsidRPr="007B28E7" w:rsidRDefault="006E7893" w:rsidP="0084759D">
            <w:pPr>
              <w:pStyle w:val="TableText0"/>
              <w:spacing w:line="240" w:lineRule="auto"/>
              <w:contextualSpacing/>
              <w:jc w:val="center"/>
              <w:rPr>
                <w:sz w:val="20"/>
                <w:szCs w:val="20"/>
              </w:rPr>
            </w:pPr>
          </w:p>
        </w:tc>
        <w:tc>
          <w:tcPr>
            <w:tcW w:w="1093" w:type="pct"/>
            <w:vAlign w:val="center"/>
          </w:tcPr>
          <w:p w:rsidR="006E7893" w:rsidRPr="007B28E7" w:rsidRDefault="006E7893" w:rsidP="0084759D">
            <w:pPr>
              <w:pStyle w:val="TableText0"/>
              <w:spacing w:line="240" w:lineRule="auto"/>
              <w:contextualSpacing/>
              <w:jc w:val="center"/>
              <w:rPr>
                <w:sz w:val="20"/>
                <w:szCs w:val="20"/>
              </w:rPr>
            </w:pPr>
          </w:p>
        </w:tc>
      </w:tr>
      <w:tr w:rsidR="00B57D7B" w:rsidRPr="007B28E7" w:rsidTr="0023111F">
        <w:trPr>
          <w:trHeight w:val="166"/>
        </w:trPr>
        <w:tc>
          <w:tcPr>
            <w:tcW w:w="1613" w:type="pct"/>
          </w:tcPr>
          <w:p w:rsidR="006E7893" w:rsidRPr="007B28E7" w:rsidRDefault="006E7893" w:rsidP="0084759D">
            <w:pPr>
              <w:pStyle w:val="TableText0"/>
              <w:spacing w:line="240" w:lineRule="auto"/>
              <w:contextualSpacing/>
              <w:rPr>
                <w:sz w:val="20"/>
                <w:szCs w:val="20"/>
              </w:rPr>
            </w:pPr>
            <w:r w:rsidRPr="007B28E7">
              <w:rPr>
                <w:sz w:val="20"/>
                <w:szCs w:val="20"/>
              </w:rPr>
              <w:t>Average total drug costs</w:t>
            </w:r>
          </w:p>
        </w:tc>
        <w:tc>
          <w:tcPr>
            <w:tcW w:w="1189" w:type="pct"/>
            <w:vAlign w:val="center"/>
          </w:tcPr>
          <w:p w:rsidR="006E7893" w:rsidRPr="007B28E7" w:rsidRDefault="006E7893" w:rsidP="0084759D">
            <w:pPr>
              <w:pStyle w:val="TableText0"/>
              <w:spacing w:line="240" w:lineRule="auto"/>
              <w:contextualSpacing/>
              <w:jc w:val="center"/>
              <w:rPr>
                <w:sz w:val="20"/>
                <w:szCs w:val="20"/>
              </w:rPr>
            </w:pPr>
            <w:r w:rsidRPr="007B28E7">
              <w:rPr>
                <w:sz w:val="20"/>
                <w:szCs w:val="20"/>
              </w:rPr>
              <w:t>$</w:t>
            </w:r>
            <w:r w:rsidR="00FF6257">
              <w:rPr>
                <w:noProof/>
                <w:color w:val="000000"/>
                <w:sz w:val="20"/>
                <w:szCs w:val="20"/>
                <w:highlight w:val="black"/>
              </w:rPr>
              <w:t>'''''''''''''''''''''''</w:t>
            </w:r>
          </w:p>
        </w:tc>
        <w:tc>
          <w:tcPr>
            <w:tcW w:w="1105" w:type="pct"/>
            <w:vAlign w:val="center"/>
          </w:tcPr>
          <w:p w:rsidR="006E7893" w:rsidRPr="007B28E7" w:rsidRDefault="006E7893" w:rsidP="0084759D">
            <w:pPr>
              <w:pStyle w:val="TableText0"/>
              <w:spacing w:line="240" w:lineRule="auto"/>
              <w:contextualSpacing/>
              <w:jc w:val="center"/>
              <w:rPr>
                <w:sz w:val="20"/>
                <w:szCs w:val="20"/>
              </w:rPr>
            </w:pPr>
            <w:r w:rsidRPr="007B28E7">
              <w:rPr>
                <w:sz w:val="20"/>
                <w:szCs w:val="20"/>
              </w:rPr>
              <w:t>$0.00</w:t>
            </w:r>
          </w:p>
        </w:tc>
        <w:tc>
          <w:tcPr>
            <w:tcW w:w="1093" w:type="pct"/>
            <w:vAlign w:val="center"/>
          </w:tcPr>
          <w:p w:rsidR="006E7893" w:rsidRPr="007B28E7" w:rsidRDefault="006E7893" w:rsidP="0084759D">
            <w:pPr>
              <w:pStyle w:val="TableText0"/>
              <w:spacing w:line="240" w:lineRule="auto"/>
              <w:contextualSpacing/>
              <w:jc w:val="center"/>
              <w:rPr>
                <w:sz w:val="20"/>
                <w:szCs w:val="20"/>
              </w:rPr>
            </w:pPr>
            <w:r w:rsidRPr="007B28E7">
              <w:rPr>
                <w:sz w:val="20"/>
                <w:szCs w:val="20"/>
              </w:rPr>
              <w:t>$</w:t>
            </w:r>
            <w:r w:rsidR="00FF6257">
              <w:rPr>
                <w:noProof/>
                <w:color w:val="000000"/>
                <w:sz w:val="20"/>
                <w:szCs w:val="20"/>
                <w:highlight w:val="black"/>
              </w:rPr>
              <w:t>'''''''''''''''''''</w:t>
            </w:r>
          </w:p>
        </w:tc>
      </w:tr>
      <w:tr w:rsidR="00B57D7B" w:rsidRPr="007B28E7" w:rsidTr="0023111F">
        <w:trPr>
          <w:trHeight w:val="32"/>
        </w:trPr>
        <w:tc>
          <w:tcPr>
            <w:tcW w:w="1613" w:type="pct"/>
          </w:tcPr>
          <w:p w:rsidR="006E7893" w:rsidRPr="007B28E7" w:rsidRDefault="006E7893" w:rsidP="0084759D">
            <w:pPr>
              <w:pStyle w:val="TableText0"/>
              <w:spacing w:line="240" w:lineRule="auto"/>
              <w:contextualSpacing/>
              <w:rPr>
                <w:sz w:val="20"/>
                <w:szCs w:val="20"/>
              </w:rPr>
            </w:pPr>
            <w:r w:rsidRPr="007B28E7">
              <w:rPr>
                <w:sz w:val="20"/>
                <w:szCs w:val="20"/>
              </w:rPr>
              <w:t>Average cost per patient to manage AEs</w:t>
            </w:r>
          </w:p>
        </w:tc>
        <w:tc>
          <w:tcPr>
            <w:tcW w:w="1189" w:type="pct"/>
            <w:vAlign w:val="center"/>
          </w:tcPr>
          <w:p w:rsidR="006E7893" w:rsidRPr="007B28E7" w:rsidRDefault="006E7893" w:rsidP="0084759D">
            <w:pPr>
              <w:pStyle w:val="TableText0"/>
              <w:spacing w:line="240" w:lineRule="auto"/>
              <w:contextualSpacing/>
              <w:jc w:val="center"/>
              <w:rPr>
                <w:sz w:val="20"/>
                <w:szCs w:val="20"/>
              </w:rPr>
            </w:pPr>
            <w:r w:rsidRPr="007B28E7">
              <w:rPr>
                <w:sz w:val="20"/>
                <w:szCs w:val="20"/>
              </w:rPr>
              <w:t>$</w:t>
            </w:r>
            <w:r w:rsidR="00FF6257">
              <w:rPr>
                <w:noProof/>
                <w:color w:val="000000"/>
                <w:sz w:val="20"/>
                <w:szCs w:val="20"/>
                <w:highlight w:val="black"/>
              </w:rPr>
              <w:t>''''''''''''''''</w:t>
            </w:r>
          </w:p>
        </w:tc>
        <w:tc>
          <w:tcPr>
            <w:tcW w:w="1105" w:type="pct"/>
            <w:vAlign w:val="center"/>
          </w:tcPr>
          <w:p w:rsidR="006E7893" w:rsidRPr="007B28E7" w:rsidRDefault="006E7893" w:rsidP="0084759D">
            <w:pPr>
              <w:pStyle w:val="TableText0"/>
              <w:spacing w:line="240" w:lineRule="auto"/>
              <w:contextualSpacing/>
              <w:jc w:val="center"/>
              <w:rPr>
                <w:sz w:val="20"/>
                <w:szCs w:val="20"/>
              </w:rPr>
            </w:pPr>
            <w:r w:rsidRPr="007B28E7">
              <w:rPr>
                <w:sz w:val="20"/>
                <w:szCs w:val="20"/>
              </w:rPr>
              <w:t>$0.00</w:t>
            </w:r>
          </w:p>
        </w:tc>
        <w:tc>
          <w:tcPr>
            <w:tcW w:w="1093" w:type="pct"/>
            <w:vAlign w:val="center"/>
          </w:tcPr>
          <w:p w:rsidR="006E7893" w:rsidRPr="007B28E7" w:rsidRDefault="006E7893" w:rsidP="0084759D">
            <w:pPr>
              <w:pStyle w:val="TableText0"/>
              <w:spacing w:line="240" w:lineRule="auto"/>
              <w:contextualSpacing/>
              <w:jc w:val="center"/>
              <w:rPr>
                <w:sz w:val="20"/>
                <w:szCs w:val="20"/>
              </w:rPr>
            </w:pPr>
            <w:r w:rsidRPr="007B28E7">
              <w:rPr>
                <w:sz w:val="20"/>
                <w:szCs w:val="20"/>
              </w:rPr>
              <w:t>$</w:t>
            </w:r>
            <w:r w:rsidR="00FF6257">
              <w:rPr>
                <w:noProof/>
                <w:color w:val="000000"/>
                <w:sz w:val="20"/>
                <w:szCs w:val="20"/>
                <w:highlight w:val="black"/>
              </w:rPr>
              <w:t>''''''''''''''''</w:t>
            </w:r>
          </w:p>
        </w:tc>
      </w:tr>
      <w:tr w:rsidR="00B57D7B" w:rsidRPr="007B28E7" w:rsidTr="0023111F">
        <w:trPr>
          <w:trHeight w:val="145"/>
        </w:trPr>
        <w:tc>
          <w:tcPr>
            <w:tcW w:w="1613" w:type="pct"/>
          </w:tcPr>
          <w:p w:rsidR="006E7893" w:rsidRPr="007B28E7" w:rsidRDefault="006E7893" w:rsidP="0084759D">
            <w:pPr>
              <w:pStyle w:val="TableText0"/>
              <w:spacing w:line="240" w:lineRule="auto"/>
              <w:contextualSpacing/>
              <w:rPr>
                <w:sz w:val="20"/>
                <w:szCs w:val="20"/>
              </w:rPr>
            </w:pPr>
            <w:r w:rsidRPr="007B28E7">
              <w:rPr>
                <w:sz w:val="20"/>
                <w:szCs w:val="20"/>
              </w:rPr>
              <w:t>Clinician visits</w:t>
            </w:r>
          </w:p>
        </w:tc>
        <w:tc>
          <w:tcPr>
            <w:tcW w:w="1189" w:type="pct"/>
            <w:vAlign w:val="center"/>
          </w:tcPr>
          <w:p w:rsidR="006E7893" w:rsidRPr="007B28E7" w:rsidRDefault="006E7893" w:rsidP="0084759D">
            <w:pPr>
              <w:pStyle w:val="TableText0"/>
              <w:spacing w:line="240" w:lineRule="auto"/>
              <w:contextualSpacing/>
              <w:jc w:val="center"/>
              <w:rPr>
                <w:sz w:val="20"/>
                <w:szCs w:val="20"/>
              </w:rPr>
            </w:pPr>
            <w:r w:rsidRPr="007B28E7">
              <w:rPr>
                <w:sz w:val="20"/>
                <w:szCs w:val="20"/>
              </w:rPr>
              <w:t>$</w:t>
            </w:r>
            <w:r w:rsidR="00FF6257">
              <w:rPr>
                <w:noProof/>
                <w:color w:val="000000"/>
                <w:sz w:val="20"/>
                <w:szCs w:val="20"/>
                <w:highlight w:val="black"/>
              </w:rPr>
              <w:t>'''''''''''''''</w:t>
            </w:r>
          </w:p>
        </w:tc>
        <w:tc>
          <w:tcPr>
            <w:tcW w:w="1105" w:type="pct"/>
            <w:vAlign w:val="center"/>
          </w:tcPr>
          <w:p w:rsidR="006E7893" w:rsidRPr="007B28E7" w:rsidRDefault="006E7893" w:rsidP="0084759D">
            <w:pPr>
              <w:pStyle w:val="TableText0"/>
              <w:spacing w:line="240" w:lineRule="auto"/>
              <w:contextualSpacing/>
              <w:jc w:val="center"/>
              <w:rPr>
                <w:sz w:val="20"/>
                <w:szCs w:val="20"/>
              </w:rPr>
            </w:pPr>
            <w:r w:rsidRPr="007B28E7">
              <w:rPr>
                <w:sz w:val="20"/>
                <w:szCs w:val="20"/>
              </w:rPr>
              <w:t>$</w:t>
            </w:r>
            <w:r w:rsidR="00FF6257">
              <w:rPr>
                <w:noProof/>
                <w:color w:val="000000"/>
                <w:sz w:val="20"/>
                <w:szCs w:val="20"/>
                <w:highlight w:val="black"/>
              </w:rPr>
              <w:t>''''''''''''''''</w:t>
            </w:r>
          </w:p>
        </w:tc>
        <w:tc>
          <w:tcPr>
            <w:tcW w:w="1093" w:type="pct"/>
            <w:vAlign w:val="center"/>
          </w:tcPr>
          <w:p w:rsidR="006E7893" w:rsidRPr="007B28E7" w:rsidRDefault="006E7893" w:rsidP="0084759D">
            <w:pPr>
              <w:pStyle w:val="TableText0"/>
              <w:spacing w:line="240" w:lineRule="auto"/>
              <w:contextualSpacing/>
              <w:jc w:val="center"/>
              <w:rPr>
                <w:sz w:val="20"/>
                <w:szCs w:val="20"/>
              </w:rPr>
            </w:pPr>
            <w:r w:rsidRPr="007B28E7">
              <w:rPr>
                <w:sz w:val="20"/>
                <w:szCs w:val="20"/>
              </w:rPr>
              <w:t>$</w:t>
            </w:r>
            <w:r w:rsidR="00FF6257">
              <w:rPr>
                <w:noProof/>
                <w:color w:val="000000"/>
                <w:sz w:val="20"/>
                <w:szCs w:val="20"/>
                <w:highlight w:val="black"/>
              </w:rPr>
              <w:t>''''''''''''''''''</w:t>
            </w:r>
          </w:p>
        </w:tc>
      </w:tr>
      <w:tr w:rsidR="00B57D7B" w:rsidRPr="007B28E7" w:rsidTr="0023111F">
        <w:trPr>
          <w:trHeight w:val="135"/>
        </w:trPr>
        <w:tc>
          <w:tcPr>
            <w:tcW w:w="1613" w:type="pct"/>
          </w:tcPr>
          <w:p w:rsidR="006E7893" w:rsidRPr="007B28E7" w:rsidRDefault="006E7893" w:rsidP="0084759D">
            <w:pPr>
              <w:pStyle w:val="TableText0"/>
              <w:spacing w:line="240" w:lineRule="auto"/>
              <w:contextualSpacing/>
              <w:rPr>
                <w:sz w:val="20"/>
                <w:szCs w:val="20"/>
              </w:rPr>
            </w:pPr>
            <w:r w:rsidRPr="007B28E7">
              <w:rPr>
                <w:sz w:val="20"/>
                <w:szCs w:val="20"/>
              </w:rPr>
              <w:t>Monitoring costs</w:t>
            </w:r>
          </w:p>
        </w:tc>
        <w:tc>
          <w:tcPr>
            <w:tcW w:w="1189" w:type="pct"/>
            <w:vAlign w:val="center"/>
          </w:tcPr>
          <w:p w:rsidR="006E7893" w:rsidRPr="007B28E7" w:rsidRDefault="006E7893" w:rsidP="0084759D">
            <w:pPr>
              <w:pStyle w:val="TableText0"/>
              <w:spacing w:line="240" w:lineRule="auto"/>
              <w:contextualSpacing/>
              <w:jc w:val="center"/>
              <w:rPr>
                <w:sz w:val="20"/>
                <w:szCs w:val="20"/>
              </w:rPr>
            </w:pPr>
            <w:r w:rsidRPr="007B28E7">
              <w:rPr>
                <w:sz w:val="20"/>
                <w:szCs w:val="20"/>
              </w:rPr>
              <w:t>$</w:t>
            </w:r>
            <w:r w:rsidR="00FF6257">
              <w:rPr>
                <w:noProof/>
                <w:color w:val="000000"/>
                <w:sz w:val="20"/>
                <w:szCs w:val="20"/>
                <w:highlight w:val="black"/>
              </w:rPr>
              <w:t>''''''''''''''</w:t>
            </w:r>
          </w:p>
        </w:tc>
        <w:tc>
          <w:tcPr>
            <w:tcW w:w="1105" w:type="pct"/>
            <w:vAlign w:val="center"/>
          </w:tcPr>
          <w:p w:rsidR="006E7893" w:rsidRPr="007B28E7" w:rsidRDefault="006E7893" w:rsidP="0084759D">
            <w:pPr>
              <w:pStyle w:val="TableText0"/>
              <w:spacing w:line="240" w:lineRule="auto"/>
              <w:contextualSpacing/>
              <w:jc w:val="center"/>
              <w:rPr>
                <w:sz w:val="20"/>
                <w:szCs w:val="20"/>
              </w:rPr>
            </w:pPr>
            <w:r w:rsidRPr="007B28E7">
              <w:rPr>
                <w:sz w:val="20"/>
                <w:szCs w:val="20"/>
              </w:rPr>
              <w:t>$0.00</w:t>
            </w:r>
          </w:p>
        </w:tc>
        <w:tc>
          <w:tcPr>
            <w:tcW w:w="1093" w:type="pct"/>
            <w:vAlign w:val="center"/>
          </w:tcPr>
          <w:p w:rsidR="006E7893" w:rsidRPr="007B28E7" w:rsidRDefault="006E7893" w:rsidP="0084759D">
            <w:pPr>
              <w:pStyle w:val="TableText0"/>
              <w:spacing w:line="240" w:lineRule="auto"/>
              <w:contextualSpacing/>
              <w:jc w:val="center"/>
              <w:rPr>
                <w:sz w:val="20"/>
                <w:szCs w:val="20"/>
              </w:rPr>
            </w:pPr>
            <w:r w:rsidRPr="007B28E7">
              <w:rPr>
                <w:sz w:val="20"/>
                <w:szCs w:val="20"/>
              </w:rPr>
              <w:t>$</w:t>
            </w:r>
            <w:r w:rsidR="00FF6257">
              <w:rPr>
                <w:noProof/>
                <w:color w:val="000000"/>
                <w:sz w:val="20"/>
                <w:szCs w:val="20"/>
                <w:highlight w:val="black"/>
              </w:rPr>
              <w:t>'''''''''''''</w:t>
            </w:r>
          </w:p>
        </w:tc>
      </w:tr>
      <w:tr w:rsidR="00B57D7B" w:rsidRPr="007B28E7" w:rsidTr="0023111F">
        <w:trPr>
          <w:trHeight w:val="125"/>
        </w:trPr>
        <w:tc>
          <w:tcPr>
            <w:tcW w:w="1613" w:type="pct"/>
            <w:tcBorders>
              <w:bottom w:val="double" w:sz="4" w:space="0" w:color="auto"/>
            </w:tcBorders>
            <w:vAlign w:val="bottom"/>
          </w:tcPr>
          <w:p w:rsidR="006E7893" w:rsidRPr="007B28E7" w:rsidRDefault="006E7893" w:rsidP="0084759D">
            <w:pPr>
              <w:pStyle w:val="TableText0"/>
              <w:spacing w:line="240" w:lineRule="auto"/>
              <w:contextualSpacing/>
              <w:rPr>
                <w:b/>
                <w:sz w:val="20"/>
                <w:szCs w:val="20"/>
              </w:rPr>
            </w:pPr>
            <w:r w:rsidRPr="007B28E7">
              <w:rPr>
                <w:b/>
                <w:sz w:val="20"/>
                <w:szCs w:val="20"/>
              </w:rPr>
              <w:t>Total costs:</w:t>
            </w:r>
          </w:p>
        </w:tc>
        <w:tc>
          <w:tcPr>
            <w:tcW w:w="1189" w:type="pct"/>
            <w:tcBorders>
              <w:bottom w:val="double" w:sz="4" w:space="0" w:color="auto"/>
            </w:tcBorders>
            <w:vAlign w:val="center"/>
          </w:tcPr>
          <w:p w:rsidR="006E7893" w:rsidRPr="007B28E7" w:rsidRDefault="006E7893" w:rsidP="0084759D">
            <w:pPr>
              <w:pStyle w:val="TableText0"/>
              <w:spacing w:line="240" w:lineRule="auto"/>
              <w:contextualSpacing/>
              <w:jc w:val="center"/>
              <w:rPr>
                <w:sz w:val="20"/>
                <w:szCs w:val="20"/>
              </w:rPr>
            </w:pPr>
            <w:r w:rsidRPr="007B28E7">
              <w:rPr>
                <w:sz w:val="20"/>
                <w:szCs w:val="20"/>
              </w:rPr>
              <w:t>$</w:t>
            </w:r>
            <w:r w:rsidR="00FF6257">
              <w:rPr>
                <w:noProof/>
                <w:color w:val="000000"/>
                <w:sz w:val="20"/>
                <w:szCs w:val="20"/>
                <w:highlight w:val="black"/>
              </w:rPr>
              <w:t>'''''''''''''''''''''</w:t>
            </w:r>
          </w:p>
        </w:tc>
        <w:tc>
          <w:tcPr>
            <w:tcW w:w="1105" w:type="pct"/>
            <w:tcBorders>
              <w:bottom w:val="double" w:sz="4" w:space="0" w:color="auto"/>
            </w:tcBorders>
            <w:vAlign w:val="center"/>
          </w:tcPr>
          <w:p w:rsidR="006E7893" w:rsidRPr="007B28E7" w:rsidRDefault="006E7893" w:rsidP="0084759D">
            <w:pPr>
              <w:pStyle w:val="TableText0"/>
              <w:spacing w:line="240" w:lineRule="auto"/>
              <w:contextualSpacing/>
              <w:jc w:val="center"/>
              <w:rPr>
                <w:sz w:val="20"/>
                <w:szCs w:val="20"/>
              </w:rPr>
            </w:pPr>
            <w:r w:rsidRPr="007B28E7">
              <w:rPr>
                <w:sz w:val="20"/>
                <w:szCs w:val="20"/>
              </w:rPr>
              <w:t>$</w:t>
            </w:r>
            <w:r w:rsidR="00FF6257">
              <w:rPr>
                <w:noProof/>
                <w:color w:val="000000"/>
                <w:sz w:val="20"/>
                <w:szCs w:val="20"/>
                <w:highlight w:val="black"/>
              </w:rPr>
              <w:t>'''''''''''''''</w:t>
            </w:r>
          </w:p>
        </w:tc>
        <w:tc>
          <w:tcPr>
            <w:tcW w:w="1093" w:type="pct"/>
            <w:tcBorders>
              <w:bottom w:val="double" w:sz="4" w:space="0" w:color="auto"/>
            </w:tcBorders>
            <w:vAlign w:val="center"/>
          </w:tcPr>
          <w:p w:rsidR="006E7893" w:rsidRPr="007B28E7" w:rsidRDefault="006E7893" w:rsidP="0084759D">
            <w:pPr>
              <w:pStyle w:val="TableText0"/>
              <w:spacing w:line="240" w:lineRule="auto"/>
              <w:contextualSpacing/>
              <w:jc w:val="center"/>
              <w:rPr>
                <w:sz w:val="20"/>
                <w:szCs w:val="20"/>
              </w:rPr>
            </w:pPr>
            <w:r w:rsidRPr="007B28E7">
              <w:rPr>
                <w:sz w:val="20"/>
                <w:szCs w:val="20"/>
              </w:rPr>
              <w:t>$</w:t>
            </w:r>
            <w:r w:rsidR="00FF6257">
              <w:rPr>
                <w:noProof/>
                <w:color w:val="000000"/>
                <w:sz w:val="20"/>
                <w:szCs w:val="20"/>
                <w:highlight w:val="black"/>
              </w:rPr>
              <w:t>'''''''''''''''''''</w:t>
            </w:r>
          </w:p>
        </w:tc>
      </w:tr>
      <w:tr w:rsidR="00B57D7B" w:rsidRPr="007B28E7" w:rsidTr="0023111F">
        <w:trPr>
          <w:trHeight w:val="95"/>
        </w:trPr>
        <w:tc>
          <w:tcPr>
            <w:tcW w:w="1613" w:type="pct"/>
            <w:tcBorders>
              <w:top w:val="double" w:sz="4" w:space="0" w:color="auto"/>
            </w:tcBorders>
            <w:vAlign w:val="bottom"/>
          </w:tcPr>
          <w:p w:rsidR="006E7893" w:rsidRPr="007B28E7" w:rsidRDefault="006E7893" w:rsidP="0084759D">
            <w:pPr>
              <w:pStyle w:val="TableText0"/>
              <w:spacing w:line="240" w:lineRule="auto"/>
              <w:contextualSpacing/>
              <w:rPr>
                <w:b/>
                <w:sz w:val="20"/>
                <w:szCs w:val="20"/>
              </w:rPr>
            </w:pPr>
            <w:r w:rsidRPr="007B28E7">
              <w:rPr>
                <w:b/>
                <w:sz w:val="20"/>
                <w:szCs w:val="20"/>
              </w:rPr>
              <w:t>Outcomes</w:t>
            </w:r>
          </w:p>
        </w:tc>
        <w:tc>
          <w:tcPr>
            <w:tcW w:w="1189" w:type="pct"/>
            <w:tcBorders>
              <w:top w:val="double" w:sz="4" w:space="0" w:color="auto"/>
            </w:tcBorders>
            <w:vAlign w:val="center"/>
          </w:tcPr>
          <w:p w:rsidR="006E7893" w:rsidRPr="007B28E7" w:rsidRDefault="006E7893" w:rsidP="0084759D">
            <w:pPr>
              <w:pStyle w:val="TableText0"/>
              <w:spacing w:line="240" w:lineRule="auto"/>
              <w:contextualSpacing/>
              <w:jc w:val="center"/>
              <w:rPr>
                <w:sz w:val="20"/>
                <w:szCs w:val="20"/>
              </w:rPr>
            </w:pPr>
          </w:p>
        </w:tc>
        <w:tc>
          <w:tcPr>
            <w:tcW w:w="1105" w:type="pct"/>
            <w:tcBorders>
              <w:top w:val="double" w:sz="4" w:space="0" w:color="auto"/>
            </w:tcBorders>
            <w:vAlign w:val="center"/>
          </w:tcPr>
          <w:p w:rsidR="006E7893" w:rsidRPr="007B28E7" w:rsidRDefault="006E7893" w:rsidP="0084759D">
            <w:pPr>
              <w:pStyle w:val="TableText0"/>
              <w:spacing w:line="240" w:lineRule="auto"/>
              <w:contextualSpacing/>
              <w:jc w:val="center"/>
              <w:rPr>
                <w:sz w:val="20"/>
                <w:szCs w:val="20"/>
              </w:rPr>
            </w:pPr>
          </w:p>
        </w:tc>
        <w:tc>
          <w:tcPr>
            <w:tcW w:w="1093" w:type="pct"/>
            <w:tcBorders>
              <w:top w:val="double" w:sz="4" w:space="0" w:color="auto"/>
            </w:tcBorders>
            <w:vAlign w:val="center"/>
          </w:tcPr>
          <w:p w:rsidR="006E7893" w:rsidRPr="007B28E7" w:rsidRDefault="006E7893" w:rsidP="0084759D">
            <w:pPr>
              <w:pStyle w:val="TableText0"/>
              <w:spacing w:line="240" w:lineRule="auto"/>
              <w:contextualSpacing/>
              <w:jc w:val="center"/>
              <w:rPr>
                <w:sz w:val="20"/>
                <w:szCs w:val="20"/>
              </w:rPr>
            </w:pPr>
          </w:p>
        </w:tc>
      </w:tr>
      <w:tr w:rsidR="00B57D7B" w:rsidRPr="007B28E7" w:rsidTr="0023111F">
        <w:trPr>
          <w:trHeight w:val="78"/>
        </w:trPr>
        <w:tc>
          <w:tcPr>
            <w:tcW w:w="1613" w:type="pct"/>
            <w:vAlign w:val="bottom"/>
          </w:tcPr>
          <w:p w:rsidR="006E7893" w:rsidRPr="007B28E7" w:rsidRDefault="006E7893" w:rsidP="0084759D">
            <w:pPr>
              <w:pStyle w:val="TableText0"/>
              <w:spacing w:line="240" w:lineRule="auto"/>
              <w:contextualSpacing/>
              <w:rPr>
                <w:sz w:val="20"/>
                <w:szCs w:val="20"/>
              </w:rPr>
            </w:pPr>
            <w:r w:rsidRPr="007B28E7">
              <w:rPr>
                <w:sz w:val="20"/>
                <w:szCs w:val="20"/>
              </w:rPr>
              <w:t>Mean OS (in months)</w:t>
            </w:r>
          </w:p>
        </w:tc>
        <w:tc>
          <w:tcPr>
            <w:tcW w:w="1189" w:type="pct"/>
            <w:vAlign w:val="center"/>
          </w:tcPr>
          <w:p w:rsidR="006E7893" w:rsidRPr="007B28E7" w:rsidRDefault="006E7893" w:rsidP="0084759D">
            <w:pPr>
              <w:pStyle w:val="TableText0"/>
              <w:spacing w:line="240" w:lineRule="auto"/>
              <w:contextualSpacing/>
              <w:jc w:val="center"/>
              <w:rPr>
                <w:sz w:val="20"/>
                <w:szCs w:val="20"/>
              </w:rPr>
            </w:pPr>
            <w:r w:rsidRPr="007B28E7">
              <w:rPr>
                <w:sz w:val="20"/>
                <w:szCs w:val="20"/>
              </w:rPr>
              <w:t>10.0</w:t>
            </w:r>
          </w:p>
        </w:tc>
        <w:tc>
          <w:tcPr>
            <w:tcW w:w="1105" w:type="pct"/>
            <w:vAlign w:val="center"/>
          </w:tcPr>
          <w:p w:rsidR="006E7893" w:rsidRPr="007B28E7" w:rsidRDefault="006E7893" w:rsidP="0084759D">
            <w:pPr>
              <w:pStyle w:val="TableText0"/>
              <w:spacing w:line="240" w:lineRule="auto"/>
              <w:contextualSpacing/>
              <w:jc w:val="center"/>
              <w:rPr>
                <w:sz w:val="20"/>
                <w:szCs w:val="20"/>
              </w:rPr>
            </w:pPr>
            <w:r w:rsidRPr="007B28E7">
              <w:rPr>
                <w:sz w:val="20"/>
                <w:szCs w:val="20"/>
              </w:rPr>
              <w:t>7.4</w:t>
            </w:r>
          </w:p>
        </w:tc>
        <w:tc>
          <w:tcPr>
            <w:tcW w:w="1093" w:type="pct"/>
            <w:vAlign w:val="center"/>
          </w:tcPr>
          <w:p w:rsidR="006E7893" w:rsidRPr="007B28E7" w:rsidRDefault="006E7893" w:rsidP="0084759D">
            <w:pPr>
              <w:pStyle w:val="TableText0"/>
              <w:spacing w:line="240" w:lineRule="auto"/>
              <w:contextualSpacing/>
              <w:jc w:val="center"/>
              <w:rPr>
                <w:sz w:val="20"/>
                <w:szCs w:val="20"/>
              </w:rPr>
            </w:pPr>
            <w:r w:rsidRPr="007B28E7">
              <w:rPr>
                <w:sz w:val="20"/>
                <w:szCs w:val="20"/>
              </w:rPr>
              <w:t>2.6</w:t>
            </w:r>
          </w:p>
        </w:tc>
      </w:tr>
      <w:tr w:rsidR="00B57D7B" w:rsidRPr="007B28E7" w:rsidTr="0023111F">
        <w:trPr>
          <w:trHeight w:val="67"/>
        </w:trPr>
        <w:tc>
          <w:tcPr>
            <w:tcW w:w="1613" w:type="pct"/>
            <w:vAlign w:val="bottom"/>
          </w:tcPr>
          <w:p w:rsidR="006E7893" w:rsidRPr="007B28E7" w:rsidRDefault="006E7893" w:rsidP="0084759D">
            <w:pPr>
              <w:pStyle w:val="TableText0"/>
              <w:spacing w:line="240" w:lineRule="auto"/>
              <w:contextualSpacing/>
              <w:rPr>
                <w:sz w:val="20"/>
                <w:szCs w:val="20"/>
              </w:rPr>
            </w:pPr>
            <w:r w:rsidRPr="007B28E7">
              <w:rPr>
                <w:sz w:val="20"/>
                <w:szCs w:val="20"/>
              </w:rPr>
              <w:t>Mean OS (in years)</w:t>
            </w:r>
          </w:p>
        </w:tc>
        <w:tc>
          <w:tcPr>
            <w:tcW w:w="1189" w:type="pct"/>
            <w:vAlign w:val="center"/>
          </w:tcPr>
          <w:p w:rsidR="006E7893" w:rsidRPr="007B28E7" w:rsidRDefault="006E7893" w:rsidP="0084759D">
            <w:pPr>
              <w:pStyle w:val="TableText0"/>
              <w:spacing w:line="240" w:lineRule="auto"/>
              <w:contextualSpacing/>
              <w:jc w:val="center"/>
              <w:rPr>
                <w:sz w:val="20"/>
                <w:szCs w:val="20"/>
              </w:rPr>
            </w:pPr>
            <w:r w:rsidRPr="007B28E7">
              <w:rPr>
                <w:sz w:val="20"/>
                <w:szCs w:val="20"/>
              </w:rPr>
              <w:t>0.84</w:t>
            </w:r>
          </w:p>
        </w:tc>
        <w:tc>
          <w:tcPr>
            <w:tcW w:w="1105" w:type="pct"/>
            <w:vAlign w:val="center"/>
          </w:tcPr>
          <w:p w:rsidR="006E7893" w:rsidRPr="007B28E7" w:rsidRDefault="006E7893" w:rsidP="0084759D">
            <w:pPr>
              <w:pStyle w:val="TableText0"/>
              <w:spacing w:line="240" w:lineRule="auto"/>
              <w:contextualSpacing/>
              <w:jc w:val="center"/>
              <w:rPr>
                <w:sz w:val="20"/>
                <w:szCs w:val="20"/>
              </w:rPr>
            </w:pPr>
            <w:r w:rsidRPr="007B28E7">
              <w:rPr>
                <w:sz w:val="20"/>
                <w:szCs w:val="20"/>
              </w:rPr>
              <w:t>0.62</w:t>
            </w:r>
          </w:p>
        </w:tc>
        <w:tc>
          <w:tcPr>
            <w:tcW w:w="1093" w:type="pct"/>
            <w:vAlign w:val="center"/>
          </w:tcPr>
          <w:p w:rsidR="006E7893" w:rsidRPr="007B28E7" w:rsidRDefault="006E7893" w:rsidP="0084759D">
            <w:pPr>
              <w:pStyle w:val="TableText0"/>
              <w:spacing w:line="240" w:lineRule="auto"/>
              <w:contextualSpacing/>
              <w:jc w:val="center"/>
              <w:rPr>
                <w:sz w:val="20"/>
                <w:szCs w:val="20"/>
              </w:rPr>
            </w:pPr>
            <w:r w:rsidRPr="007B28E7">
              <w:rPr>
                <w:sz w:val="20"/>
                <w:szCs w:val="20"/>
              </w:rPr>
              <w:t>0.22</w:t>
            </w:r>
          </w:p>
        </w:tc>
      </w:tr>
      <w:tr w:rsidR="00B57D7B" w:rsidRPr="007B28E7" w:rsidTr="0023111F">
        <w:trPr>
          <w:trHeight w:val="200"/>
        </w:trPr>
        <w:tc>
          <w:tcPr>
            <w:tcW w:w="1613" w:type="pct"/>
            <w:tcBorders>
              <w:bottom w:val="double" w:sz="4" w:space="0" w:color="auto"/>
            </w:tcBorders>
            <w:vAlign w:val="bottom"/>
          </w:tcPr>
          <w:p w:rsidR="006E7893" w:rsidRPr="007B28E7" w:rsidRDefault="006E7893" w:rsidP="0084759D">
            <w:pPr>
              <w:pStyle w:val="TableText0"/>
              <w:spacing w:line="240" w:lineRule="auto"/>
              <w:contextualSpacing/>
              <w:rPr>
                <w:sz w:val="20"/>
                <w:szCs w:val="20"/>
              </w:rPr>
            </w:pPr>
            <w:r w:rsidRPr="007B28E7">
              <w:rPr>
                <w:sz w:val="20"/>
                <w:szCs w:val="20"/>
              </w:rPr>
              <w:t>Mean QALYs</w:t>
            </w:r>
          </w:p>
        </w:tc>
        <w:tc>
          <w:tcPr>
            <w:tcW w:w="1189" w:type="pct"/>
            <w:tcBorders>
              <w:bottom w:val="double" w:sz="4" w:space="0" w:color="auto"/>
            </w:tcBorders>
            <w:vAlign w:val="center"/>
          </w:tcPr>
          <w:p w:rsidR="006E7893" w:rsidRPr="007B28E7" w:rsidRDefault="006E7893" w:rsidP="0084759D">
            <w:pPr>
              <w:pStyle w:val="TableText0"/>
              <w:spacing w:line="240" w:lineRule="auto"/>
              <w:contextualSpacing/>
              <w:jc w:val="center"/>
              <w:rPr>
                <w:sz w:val="20"/>
                <w:szCs w:val="20"/>
              </w:rPr>
            </w:pPr>
            <w:r w:rsidRPr="007B28E7">
              <w:rPr>
                <w:sz w:val="20"/>
                <w:szCs w:val="20"/>
              </w:rPr>
              <w:t>0.54</w:t>
            </w:r>
          </w:p>
        </w:tc>
        <w:tc>
          <w:tcPr>
            <w:tcW w:w="1105" w:type="pct"/>
            <w:tcBorders>
              <w:bottom w:val="double" w:sz="4" w:space="0" w:color="auto"/>
            </w:tcBorders>
            <w:vAlign w:val="center"/>
          </w:tcPr>
          <w:p w:rsidR="006E7893" w:rsidRPr="007B28E7" w:rsidRDefault="006E7893" w:rsidP="0084759D">
            <w:pPr>
              <w:pStyle w:val="TableText0"/>
              <w:spacing w:line="240" w:lineRule="auto"/>
              <w:contextualSpacing/>
              <w:jc w:val="center"/>
              <w:rPr>
                <w:sz w:val="20"/>
                <w:szCs w:val="20"/>
              </w:rPr>
            </w:pPr>
            <w:r w:rsidRPr="007B28E7">
              <w:rPr>
                <w:sz w:val="20"/>
                <w:szCs w:val="20"/>
              </w:rPr>
              <w:t>0.39</w:t>
            </w:r>
          </w:p>
        </w:tc>
        <w:tc>
          <w:tcPr>
            <w:tcW w:w="1093" w:type="pct"/>
            <w:tcBorders>
              <w:bottom w:val="double" w:sz="4" w:space="0" w:color="auto"/>
            </w:tcBorders>
            <w:vAlign w:val="center"/>
          </w:tcPr>
          <w:p w:rsidR="006E7893" w:rsidRPr="007B28E7" w:rsidRDefault="006E7893" w:rsidP="0084759D">
            <w:pPr>
              <w:pStyle w:val="TableText0"/>
              <w:spacing w:line="240" w:lineRule="auto"/>
              <w:contextualSpacing/>
              <w:jc w:val="center"/>
              <w:rPr>
                <w:sz w:val="20"/>
                <w:szCs w:val="20"/>
              </w:rPr>
            </w:pPr>
            <w:r w:rsidRPr="007B28E7">
              <w:rPr>
                <w:sz w:val="20"/>
                <w:szCs w:val="20"/>
              </w:rPr>
              <w:t>0.15</w:t>
            </w:r>
          </w:p>
        </w:tc>
      </w:tr>
      <w:tr w:rsidR="006E7893" w:rsidRPr="007B28E7" w:rsidTr="0023111F">
        <w:trPr>
          <w:trHeight w:val="227"/>
        </w:trPr>
        <w:tc>
          <w:tcPr>
            <w:tcW w:w="3907" w:type="pct"/>
            <w:gridSpan w:val="3"/>
            <w:tcBorders>
              <w:top w:val="double" w:sz="4" w:space="0" w:color="auto"/>
            </w:tcBorders>
            <w:vAlign w:val="center"/>
          </w:tcPr>
          <w:p w:rsidR="006E7893" w:rsidRPr="007B28E7" w:rsidRDefault="006E7893" w:rsidP="0023111F">
            <w:pPr>
              <w:pStyle w:val="TableText0"/>
              <w:spacing w:line="240" w:lineRule="auto"/>
              <w:contextualSpacing/>
              <w:jc w:val="right"/>
              <w:rPr>
                <w:sz w:val="20"/>
                <w:szCs w:val="20"/>
              </w:rPr>
            </w:pPr>
            <w:r w:rsidRPr="007B28E7">
              <w:rPr>
                <w:sz w:val="20"/>
                <w:szCs w:val="20"/>
              </w:rPr>
              <w:t>Incremental cost of trifluridine/tipiracil vs placebo per LY gained:</w:t>
            </w:r>
          </w:p>
        </w:tc>
        <w:tc>
          <w:tcPr>
            <w:tcW w:w="1093" w:type="pct"/>
            <w:tcBorders>
              <w:top w:val="double" w:sz="4" w:space="0" w:color="auto"/>
            </w:tcBorders>
            <w:vAlign w:val="center"/>
          </w:tcPr>
          <w:p w:rsidR="006E7893" w:rsidRPr="007B28E7" w:rsidRDefault="006E7893" w:rsidP="001D433F">
            <w:pPr>
              <w:pStyle w:val="TableText0"/>
              <w:spacing w:line="240" w:lineRule="auto"/>
              <w:contextualSpacing/>
              <w:jc w:val="center"/>
              <w:rPr>
                <w:sz w:val="20"/>
                <w:szCs w:val="20"/>
              </w:rPr>
            </w:pPr>
            <w:r w:rsidRPr="007B28E7">
              <w:rPr>
                <w:sz w:val="20"/>
                <w:szCs w:val="20"/>
              </w:rPr>
              <w:t>$</w:t>
            </w:r>
            <w:r w:rsidR="001D433F">
              <w:rPr>
                <w:sz w:val="20"/>
                <w:szCs w:val="20"/>
              </w:rPr>
              <w:t>15,000 -$45,000</w:t>
            </w:r>
          </w:p>
        </w:tc>
      </w:tr>
      <w:tr w:rsidR="006E7893" w:rsidRPr="007B28E7" w:rsidTr="0023111F">
        <w:trPr>
          <w:trHeight w:val="227"/>
        </w:trPr>
        <w:tc>
          <w:tcPr>
            <w:tcW w:w="3907" w:type="pct"/>
            <w:gridSpan w:val="3"/>
            <w:vAlign w:val="center"/>
          </w:tcPr>
          <w:p w:rsidR="006E7893" w:rsidRPr="007B28E7" w:rsidRDefault="006E7893" w:rsidP="0023111F">
            <w:pPr>
              <w:pStyle w:val="TableText0"/>
              <w:spacing w:line="240" w:lineRule="auto"/>
              <w:contextualSpacing/>
              <w:jc w:val="right"/>
              <w:rPr>
                <w:sz w:val="20"/>
                <w:szCs w:val="20"/>
              </w:rPr>
            </w:pPr>
            <w:r w:rsidRPr="007B28E7">
              <w:rPr>
                <w:sz w:val="20"/>
                <w:szCs w:val="20"/>
              </w:rPr>
              <w:t>Incremental cost of trifluridine/tipiracil vs placebo per QALY gained:</w:t>
            </w:r>
          </w:p>
        </w:tc>
        <w:tc>
          <w:tcPr>
            <w:tcW w:w="1093" w:type="pct"/>
            <w:vAlign w:val="center"/>
          </w:tcPr>
          <w:p w:rsidR="006E7893" w:rsidRPr="007B28E7" w:rsidRDefault="006E7893" w:rsidP="001D433F">
            <w:pPr>
              <w:pStyle w:val="TableText0"/>
              <w:spacing w:line="240" w:lineRule="auto"/>
              <w:contextualSpacing/>
              <w:jc w:val="center"/>
              <w:rPr>
                <w:sz w:val="20"/>
                <w:szCs w:val="20"/>
              </w:rPr>
            </w:pPr>
            <w:r w:rsidRPr="007B28E7">
              <w:rPr>
                <w:sz w:val="20"/>
                <w:szCs w:val="20"/>
              </w:rPr>
              <w:t>$</w:t>
            </w:r>
            <w:r w:rsidR="001D433F">
              <w:rPr>
                <w:sz w:val="20"/>
                <w:szCs w:val="20"/>
              </w:rPr>
              <w:t>45,000 - $75,000</w:t>
            </w:r>
          </w:p>
        </w:tc>
      </w:tr>
    </w:tbl>
    <w:p w:rsidR="009D21A4" w:rsidRPr="0023111F" w:rsidRDefault="009D21A4" w:rsidP="0023111F">
      <w:pPr>
        <w:pStyle w:val="TableFooter"/>
        <w:widowControl/>
        <w:ind w:firstLine="720"/>
        <w:rPr>
          <w:szCs w:val="18"/>
        </w:rPr>
      </w:pPr>
      <w:r w:rsidRPr="0023111F">
        <w:rPr>
          <w:szCs w:val="18"/>
        </w:rPr>
        <w:t>Abbreviations:</w:t>
      </w:r>
      <w:r w:rsidR="002B1B74" w:rsidRPr="0023111F">
        <w:rPr>
          <w:szCs w:val="18"/>
        </w:rPr>
        <w:t xml:space="preserve"> AE = adverse event;</w:t>
      </w:r>
      <w:r w:rsidRPr="0023111F">
        <w:rPr>
          <w:szCs w:val="18"/>
        </w:rPr>
        <w:t xml:space="preserve"> OS = overall survival; PFS = progression free survival; QAL</w:t>
      </w:r>
      <w:r w:rsidR="002B1B74" w:rsidRPr="0023111F">
        <w:rPr>
          <w:szCs w:val="18"/>
        </w:rPr>
        <w:t>Y = quality adjusted life year</w:t>
      </w:r>
    </w:p>
    <w:p w:rsidR="00D02B65" w:rsidRPr="0023111F" w:rsidRDefault="00D02B65" w:rsidP="0023111F">
      <w:pPr>
        <w:ind w:firstLine="720"/>
        <w:jc w:val="both"/>
        <w:rPr>
          <w:rFonts w:ascii="Arial Narrow" w:hAnsi="Arial Narrow"/>
          <w:sz w:val="18"/>
          <w:szCs w:val="18"/>
        </w:rPr>
      </w:pPr>
      <w:r w:rsidRPr="0023111F">
        <w:rPr>
          <w:rFonts w:ascii="Arial Narrow" w:hAnsi="Arial Narrow"/>
          <w:sz w:val="18"/>
          <w:szCs w:val="18"/>
        </w:rPr>
        <w:t xml:space="preserve">Source: Table 4, page 12 of the minor </w:t>
      </w:r>
      <w:r w:rsidR="002A67D6" w:rsidRPr="0023111F">
        <w:rPr>
          <w:rFonts w:ascii="Arial Narrow" w:hAnsi="Arial Narrow"/>
          <w:sz w:val="18"/>
          <w:szCs w:val="18"/>
        </w:rPr>
        <w:t>submission</w:t>
      </w:r>
      <w:r w:rsidRPr="0023111F">
        <w:rPr>
          <w:rFonts w:ascii="Arial Narrow" w:hAnsi="Arial Narrow"/>
          <w:sz w:val="18"/>
          <w:szCs w:val="18"/>
        </w:rPr>
        <w:t xml:space="preserve"> </w:t>
      </w:r>
    </w:p>
    <w:p w:rsidR="006E7893" w:rsidRPr="0023111F" w:rsidRDefault="006E7893" w:rsidP="00D02B65">
      <w:pPr>
        <w:rPr>
          <w:sz w:val="18"/>
          <w:szCs w:val="18"/>
        </w:rPr>
      </w:pPr>
    </w:p>
    <w:p w:rsidR="005963BB" w:rsidRPr="007B28E7" w:rsidRDefault="00AE29BF" w:rsidP="004E1B8E">
      <w:pPr>
        <w:pStyle w:val="ListParagraph"/>
        <w:numPr>
          <w:ilvl w:val="1"/>
          <w:numId w:val="14"/>
        </w:numPr>
        <w:rPr>
          <w:szCs w:val="22"/>
        </w:rPr>
      </w:pPr>
      <w:r w:rsidRPr="007B28E7">
        <w:rPr>
          <w:szCs w:val="22"/>
        </w:rPr>
        <w:t>The revised economic analysis</w:t>
      </w:r>
      <w:r w:rsidR="0084759D" w:rsidRPr="007B28E7">
        <w:rPr>
          <w:szCs w:val="22"/>
        </w:rPr>
        <w:t>,</w:t>
      </w:r>
      <w:r w:rsidRPr="007B28E7">
        <w:rPr>
          <w:szCs w:val="22"/>
        </w:rPr>
        <w:t xml:space="preserve"> which incorpo</w:t>
      </w:r>
      <w:r w:rsidR="00A12E7C" w:rsidRPr="007B28E7">
        <w:rPr>
          <w:szCs w:val="22"/>
        </w:rPr>
        <w:t>rates the proposed</w:t>
      </w:r>
      <w:r w:rsidR="0084759D" w:rsidRPr="007B28E7">
        <w:rPr>
          <w:szCs w:val="22"/>
        </w:rPr>
        <w:t xml:space="preserve"> </w:t>
      </w:r>
      <w:r w:rsidR="00FF6257">
        <w:rPr>
          <w:noProof/>
          <w:color w:val="000000"/>
          <w:szCs w:val="22"/>
          <w:highlight w:val="black"/>
        </w:rPr>
        <w:t>''''''''''''</w:t>
      </w:r>
      <w:r w:rsidR="0084759D" w:rsidRPr="007B28E7">
        <w:rPr>
          <w:szCs w:val="22"/>
        </w:rPr>
        <w:t>% rebate,</w:t>
      </w:r>
      <w:r w:rsidR="004E1B8E" w:rsidRPr="007B28E7">
        <w:rPr>
          <w:szCs w:val="22"/>
        </w:rPr>
        <w:t xml:space="preserve"> resulted in a base case</w:t>
      </w:r>
      <w:r w:rsidRPr="007B28E7">
        <w:rPr>
          <w:szCs w:val="22"/>
        </w:rPr>
        <w:t xml:space="preserve"> </w:t>
      </w:r>
      <w:r w:rsidR="004E1B8E" w:rsidRPr="007B28E7">
        <w:rPr>
          <w:szCs w:val="22"/>
        </w:rPr>
        <w:t>incremental cost-effectiveness ratio (</w:t>
      </w:r>
      <w:r w:rsidRPr="007B28E7">
        <w:rPr>
          <w:szCs w:val="22"/>
        </w:rPr>
        <w:t>ICER</w:t>
      </w:r>
      <w:r w:rsidR="004E1B8E" w:rsidRPr="007B28E7">
        <w:rPr>
          <w:szCs w:val="22"/>
        </w:rPr>
        <w:t>)</w:t>
      </w:r>
      <w:r w:rsidRPr="007B28E7">
        <w:rPr>
          <w:szCs w:val="22"/>
        </w:rPr>
        <w:t xml:space="preserve"> of $</w:t>
      </w:r>
      <w:r w:rsidR="001D433F">
        <w:rPr>
          <w:szCs w:val="22"/>
        </w:rPr>
        <w:t>45,000 - $75,000</w:t>
      </w:r>
      <w:r w:rsidRPr="007B28E7">
        <w:rPr>
          <w:szCs w:val="22"/>
        </w:rPr>
        <w:t xml:space="preserve"> per QALY gained. </w:t>
      </w:r>
    </w:p>
    <w:p w:rsidR="00FC43AA" w:rsidRPr="007B28E7" w:rsidRDefault="00FC43AA" w:rsidP="00C00DA7">
      <w:pPr>
        <w:jc w:val="both"/>
        <w:rPr>
          <w:rFonts w:ascii="Arial" w:hAnsi="Arial"/>
          <w:sz w:val="22"/>
          <w:szCs w:val="22"/>
        </w:rPr>
      </w:pPr>
    </w:p>
    <w:p w:rsidR="00FC43AA" w:rsidRPr="007B28E7" w:rsidRDefault="00EF6C93" w:rsidP="00A74891">
      <w:pPr>
        <w:pStyle w:val="ListParagraph"/>
        <w:numPr>
          <w:ilvl w:val="1"/>
          <w:numId w:val="14"/>
        </w:numPr>
      </w:pPr>
      <w:r w:rsidRPr="007B28E7">
        <w:rPr>
          <w:color w:val="000000" w:themeColor="text1"/>
          <w:szCs w:val="22"/>
        </w:rPr>
        <w:t>Wh</w:t>
      </w:r>
      <w:r w:rsidR="00F3735A" w:rsidRPr="007B28E7">
        <w:rPr>
          <w:color w:val="000000" w:themeColor="text1"/>
          <w:szCs w:val="22"/>
        </w:rPr>
        <w:t>en the unadjusted utility value</w:t>
      </w:r>
      <w:r w:rsidRPr="007B28E7">
        <w:rPr>
          <w:color w:val="000000" w:themeColor="text1"/>
          <w:szCs w:val="22"/>
        </w:rPr>
        <w:t xml:space="preserve"> </w:t>
      </w:r>
      <w:r w:rsidR="00F3735A" w:rsidRPr="007B28E7">
        <w:rPr>
          <w:color w:val="000000" w:themeColor="text1"/>
          <w:szCs w:val="22"/>
        </w:rPr>
        <w:t>for the progres</w:t>
      </w:r>
      <w:r w:rsidR="004E1B8E" w:rsidRPr="007B28E7">
        <w:rPr>
          <w:color w:val="000000" w:themeColor="text1"/>
          <w:szCs w:val="22"/>
        </w:rPr>
        <w:t>sion free health state (0.73) from</w:t>
      </w:r>
      <w:r w:rsidR="00F3735A" w:rsidRPr="007B28E7">
        <w:rPr>
          <w:color w:val="000000" w:themeColor="text1"/>
          <w:szCs w:val="22"/>
        </w:rPr>
        <w:t xml:space="preserve"> the CORRECT</w:t>
      </w:r>
      <w:r w:rsidR="00161EB6" w:rsidRPr="007B28E7">
        <w:rPr>
          <w:color w:val="000000" w:themeColor="text1"/>
          <w:szCs w:val="22"/>
        </w:rPr>
        <w:t xml:space="preserve"> (regorafenib)</w:t>
      </w:r>
      <w:r w:rsidR="00F3735A" w:rsidRPr="007B28E7">
        <w:rPr>
          <w:color w:val="000000" w:themeColor="text1"/>
          <w:szCs w:val="22"/>
        </w:rPr>
        <w:t xml:space="preserve"> trial was applied to the model, the ICER increased to $</w:t>
      </w:r>
      <w:r w:rsidR="001D433F">
        <w:rPr>
          <w:szCs w:val="22"/>
        </w:rPr>
        <w:t>45,000 - $75,000</w:t>
      </w:r>
      <w:r w:rsidR="00F3735A" w:rsidRPr="007B28E7">
        <w:rPr>
          <w:color w:val="000000" w:themeColor="text1"/>
          <w:szCs w:val="22"/>
        </w:rPr>
        <w:t>.</w:t>
      </w:r>
      <w:r w:rsidR="00892457" w:rsidRPr="007B28E7">
        <w:rPr>
          <w:color w:val="000000" w:themeColor="text1"/>
          <w:szCs w:val="22"/>
        </w:rPr>
        <w:t xml:space="preserve"> </w:t>
      </w:r>
      <w:r w:rsidR="004E1B8E" w:rsidRPr="007B28E7">
        <w:t>If the utility weight in the progression-free health state is adjusted to be 5% better for trifluridine/tipiracil-treated patients compared with regorafenib-treated patients, the ICER decreased to $</w:t>
      </w:r>
      <w:r w:rsidR="001D433F">
        <w:rPr>
          <w:szCs w:val="22"/>
        </w:rPr>
        <w:t>45,000 - $75,000</w:t>
      </w:r>
      <w:r w:rsidR="004E1B8E" w:rsidRPr="007B28E7">
        <w:t>.</w:t>
      </w:r>
    </w:p>
    <w:p w:rsidR="00FC43AA" w:rsidRPr="007B28E7" w:rsidRDefault="00FC43AA" w:rsidP="00C00DA7">
      <w:pPr>
        <w:jc w:val="both"/>
        <w:rPr>
          <w:rFonts w:ascii="Arial" w:hAnsi="Arial"/>
          <w:sz w:val="22"/>
          <w:szCs w:val="22"/>
        </w:rPr>
      </w:pPr>
    </w:p>
    <w:p w:rsidR="00A55FEE" w:rsidRPr="007B28E7" w:rsidRDefault="00A55FEE" w:rsidP="00B1059E">
      <w:pPr>
        <w:pStyle w:val="Heading2"/>
      </w:pPr>
      <w:r w:rsidRPr="007B28E7">
        <w:t>Drug cost</w:t>
      </w:r>
      <w:r w:rsidR="00AF2752" w:rsidRPr="007B28E7">
        <w:t>/patient/course: $</w:t>
      </w:r>
      <w:r w:rsidR="00FF6257">
        <w:rPr>
          <w:noProof/>
          <w:color w:val="000000"/>
          <w:highlight w:val="black"/>
        </w:rPr>
        <w:t>''''''''''</w:t>
      </w:r>
    </w:p>
    <w:p w:rsidR="00A55FEE" w:rsidRPr="007B28E7" w:rsidRDefault="00A55FEE" w:rsidP="00A55FEE">
      <w:pPr>
        <w:ind w:left="720" w:hanging="720"/>
        <w:jc w:val="both"/>
        <w:rPr>
          <w:rFonts w:ascii="Arial" w:hAnsi="Arial"/>
          <w:b/>
          <w:i/>
          <w:sz w:val="22"/>
          <w:szCs w:val="22"/>
        </w:rPr>
      </w:pPr>
    </w:p>
    <w:p w:rsidR="00C218A9" w:rsidRPr="007B28E7" w:rsidRDefault="006F43E6" w:rsidP="006F43E6">
      <w:pPr>
        <w:pStyle w:val="ListParagraph"/>
        <w:numPr>
          <w:ilvl w:val="1"/>
          <w:numId w:val="14"/>
        </w:numPr>
        <w:rPr>
          <w:szCs w:val="22"/>
        </w:rPr>
      </w:pPr>
      <w:r w:rsidRPr="007B28E7">
        <w:rPr>
          <w:szCs w:val="22"/>
        </w:rPr>
        <w:t>The average effective dispensed cost per patient per cycle (one month) is $</w:t>
      </w:r>
      <w:r w:rsidR="00FF6257">
        <w:rPr>
          <w:noProof/>
          <w:color w:val="000000"/>
          <w:szCs w:val="22"/>
          <w:highlight w:val="black"/>
        </w:rPr>
        <w:t>'''''''''''''</w:t>
      </w:r>
      <w:r w:rsidRPr="007B28E7">
        <w:rPr>
          <w:szCs w:val="22"/>
        </w:rPr>
        <w:t xml:space="preserve">. This estimate is based on an average dose of 60 mg, and represents the cost for 3 packs of 20 tablets of the 20 mg strength. This cost is based on the proposed effective dispensed price and </w:t>
      </w:r>
      <w:r w:rsidR="0089294B" w:rsidRPr="007B28E7">
        <w:rPr>
          <w:szCs w:val="22"/>
        </w:rPr>
        <w:t xml:space="preserve">includes the proposed </w:t>
      </w:r>
      <w:r w:rsidR="00FF6257">
        <w:rPr>
          <w:noProof/>
          <w:color w:val="000000"/>
          <w:szCs w:val="22"/>
          <w:highlight w:val="black"/>
        </w:rPr>
        <w:t>''''''''''''</w:t>
      </w:r>
      <w:r w:rsidR="0089294B" w:rsidRPr="007B28E7">
        <w:rPr>
          <w:szCs w:val="22"/>
        </w:rPr>
        <w:t xml:space="preserve">% rebate to the Commonwealth. </w:t>
      </w:r>
      <w:r w:rsidRPr="007B28E7">
        <w:rPr>
          <w:szCs w:val="22"/>
        </w:rPr>
        <w:t>On average, a patient would be dispensed drug for 3.42 cycles of treatment, representing a total cost of</w:t>
      </w:r>
      <w:r w:rsidR="0089294B" w:rsidRPr="007B28E7">
        <w:rPr>
          <w:szCs w:val="22"/>
        </w:rPr>
        <w:t xml:space="preserve"> $</w:t>
      </w:r>
      <w:r w:rsidR="00FF6257">
        <w:rPr>
          <w:noProof/>
          <w:color w:val="000000"/>
          <w:szCs w:val="22"/>
          <w:highlight w:val="black"/>
        </w:rPr>
        <w:t>''''''''''''</w:t>
      </w:r>
      <w:r w:rsidR="0089294B" w:rsidRPr="007B28E7">
        <w:rPr>
          <w:szCs w:val="22"/>
        </w:rPr>
        <w:t>.</w:t>
      </w:r>
    </w:p>
    <w:p w:rsidR="00A55FEE" w:rsidRPr="007B28E7" w:rsidRDefault="00A55FEE" w:rsidP="00FB12B7">
      <w:pPr>
        <w:jc w:val="both"/>
        <w:rPr>
          <w:rFonts w:ascii="Arial" w:hAnsi="Arial"/>
          <w:b/>
          <w:i/>
          <w:sz w:val="22"/>
          <w:szCs w:val="22"/>
        </w:rPr>
      </w:pPr>
    </w:p>
    <w:p w:rsidR="005A3173" w:rsidRPr="007B28E7" w:rsidRDefault="005A3173" w:rsidP="00B1059E">
      <w:pPr>
        <w:pStyle w:val="Heading2"/>
      </w:pPr>
      <w:r w:rsidRPr="007B28E7">
        <w:t>Estimated PBS usage &amp; financial implications</w:t>
      </w:r>
    </w:p>
    <w:p w:rsidR="005A3173" w:rsidRPr="007B28E7" w:rsidRDefault="005A3173" w:rsidP="00882085">
      <w:pPr>
        <w:ind w:left="720" w:hanging="720"/>
        <w:jc w:val="both"/>
        <w:rPr>
          <w:rFonts w:ascii="Arial" w:hAnsi="Arial"/>
          <w:b/>
          <w:i/>
          <w:sz w:val="22"/>
          <w:szCs w:val="22"/>
        </w:rPr>
      </w:pPr>
    </w:p>
    <w:p w:rsidR="00F44F48" w:rsidRPr="007B28E7" w:rsidRDefault="00F423B3" w:rsidP="00573B4F">
      <w:pPr>
        <w:pStyle w:val="ListParagraph"/>
        <w:numPr>
          <w:ilvl w:val="1"/>
          <w:numId w:val="14"/>
        </w:numPr>
        <w:rPr>
          <w:szCs w:val="22"/>
        </w:rPr>
      </w:pPr>
      <w:r w:rsidRPr="007B28E7">
        <w:rPr>
          <w:szCs w:val="22"/>
        </w:rPr>
        <w:t xml:space="preserve">The </w:t>
      </w:r>
      <w:r w:rsidR="00D23CA7" w:rsidRPr="007B28E7">
        <w:rPr>
          <w:szCs w:val="22"/>
        </w:rPr>
        <w:t>sponsor</w:t>
      </w:r>
      <w:r w:rsidRPr="007B28E7">
        <w:rPr>
          <w:szCs w:val="22"/>
        </w:rPr>
        <w:t xml:space="preserve"> </w:t>
      </w:r>
      <w:r w:rsidR="00642B72" w:rsidRPr="007B28E7">
        <w:rPr>
          <w:szCs w:val="22"/>
        </w:rPr>
        <w:t xml:space="preserve">stated that no changes were made to estimates of utilisation and associated financial implications </w:t>
      </w:r>
      <w:r w:rsidR="003B304F">
        <w:rPr>
          <w:szCs w:val="22"/>
        </w:rPr>
        <w:t xml:space="preserve">from those </w:t>
      </w:r>
      <w:r w:rsidR="00642B72" w:rsidRPr="007B28E7">
        <w:rPr>
          <w:szCs w:val="22"/>
        </w:rPr>
        <w:t xml:space="preserve">presented in the November 2016 major submission, and argued that </w:t>
      </w:r>
      <w:r w:rsidR="006F14F0" w:rsidRPr="007B28E7">
        <w:rPr>
          <w:szCs w:val="22"/>
        </w:rPr>
        <w:t>its original estimates are reasonable</w:t>
      </w:r>
      <w:r w:rsidR="00642B72" w:rsidRPr="007B28E7">
        <w:rPr>
          <w:szCs w:val="22"/>
        </w:rPr>
        <w:t xml:space="preserve">. However, the minor </w:t>
      </w:r>
      <w:r w:rsidR="00A37D31" w:rsidRPr="007B28E7">
        <w:rPr>
          <w:szCs w:val="22"/>
        </w:rPr>
        <w:t>re</w:t>
      </w:r>
      <w:r w:rsidR="00642B72" w:rsidRPr="007B28E7">
        <w:rPr>
          <w:szCs w:val="22"/>
        </w:rPr>
        <w:t xml:space="preserve">submission </w:t>
      </w:r>
      <w:r w:rsidR="00F44F48" w:rsidRPr="007B28E7">
        <w:rPr>
          <w:szCs w:val="22"/>
        </w:rPr>
        <w:t xml:space="preserve">proposed different pricing arrangements from the November 2016 major submission, including </w:t>
      </w:r>
      <w:r w:rsidR="00642B72" w:rsidRPr="007B28E7">
        <w:rPr>
          <w:szCs w:val="22"/>
        </w:rPr>
        <w:t xml:space="preserve">a </w:t>
      </w:r>
      <w:r w:rsidR="00FF6257">
        <w:rPr>
          <w:noProof/>
          <w:color w:val="000000"/>
          <w:szCs w:val="22"/>
          <w:highlight w:val="black"/>
        </w:rPr>
        <w:t>''''''''''</w:t>
      </w:r>
      <w:r w:rsidR="00F44F48" w:rsidRPr="007B28E7">
        <w:rPr>
          <w:szCs w:val="22"/>
        </w:rPr>
        <w:t xml:space="preserve">% rebate (increased from </w:t>
      </w:r>
      <w:r w:rsidR="00FF6257">
        <w:rPr>
          <w:noProof/>
          <w:color w:val="000000"/>
          <w:szCs w:val="22"/>
          <w:highlight w:val="black"/>
        </w:rPr>
        <w:t>'''''''''''</w:t>
      </w:r>
      <w:r w:rsidR="00F44F48" w:rsidRPr="007B28E7">
        <w:rPr>
          <w:szCs w:val="22"/>
        </w:rPr>
        <w:t xml:space="preserve">%) on the dispensed price for maximum quantity and a staged risk share arrangement </w:t>
      </w:r>
      <w:r w:rsidR="00686FFA">
        <w:rPr>
          <w:szCs w:val="22"/>
        </w:rPr>
        <w:t>.</w:t>
      </w:r>
    </w:p>
    <w:p w:rsidR="00573B4F" w:rsidRPr="007B28E7" w:rsidRDefault="00573B4F" w:rsidP="0054468E">
      <w:pPr>
        <w:pStyle w:val="ListParagraph"/>
        <w:rPr>
          <w:szCs w:val="22"/>
        </w:rPr>
      </w:pPr>
    </w:p>
    <w:p w:rsidR="00982AC9" w:rsidRPr="007B28E7" w:rsidRDefault="00F44F48" w:rsidP="00982AC9">
      <w:pPr>
        <w:pStyle w:val="ListParagraph"/>
        <w:numPr>
          <w:ilvl w:val="1"/>
          <w:numId w:val="14"/>
        </w:numPr>
        <w:rPr>
          <w:szCs w:val="22"/>
        </w:rPr>
      </w:pPr>
      <w:r w:rsidRPr="007B28E7">
        <w:rPr>
          <w:szCs w:val="22"/>
        </w:rPr>
        <w:t>The sponsor provide</w:t>
      </w:r>
      <w:r w:rsidR="00982AC9" w:rsidRPr="007B28E7">
        <w:rPr>
          <w:szCs w:val="22"/>
        </w:rPr>
        <w:t>d</w:t>
      </w:r>
      <w:r w:rsidRPr="007B28E7">
        <w:rPr>
          <w:szCs w:val="22"/>
        </w:rPr>
        <w:t xml:space="preserve"> an updated financial analyses workbook reflecting the proposed pricing arrangements, and the estimated use and financial implications for years 1 to 6 in it</w:t>
      </w:r>
      <w:r w:rsidR="008416B4" w:rsidRPr="007B28E7">
        <w:rPr>
          <w:szCs w:val="22"/>
        </w:rPr>
        <w:t xml:space="preserve">s </w:t>
      </w:r>
      <w:r w:rsidR="00873C27" w:rsidRPr="007B28E7">
        <w:rPr>
          <w:szCs w:val="22"/>
        </w:rPr>
        <w:t>p</w:t>
      </w:r>
      <w:r w:rsidR="00236E87" w:rsidRPr="007B28E7">
        <w:rPr>
          <w:szCs w:val="22"/>
        </w:rPr>
        <w:t xml:space="preserve">re-PBAC response. </w:t>
      </w:r>
      <w:r w:rsidR="00982AC9" w:rsidRPr="007B28E7">
        <w:rPr>
          <w:szCs w:val="22"/>
        </w:rPr>
        <w:t>The estimated net cost to the PBS was approximately $</w:t>
      </w:r>
      <w:r w:rsidR="000159F8">
        <w:rPr>
          <w:szCs w:val="22"/>
        </w:rPr>
        <w:t>20-$30 million</w:t>
      </w:r>
      <w:r w:rsidR="000159F8" w:rsidRPr="007B28E7">
        <w:rPr>
          <w:szCs w:val="22"/>
        </w:rPr>
        <w:t xml:space="preserve"> </w:t>
      </w:r>
      <w:r w:rsidR="00982AC9" w:rsidRPr="007B28E7">
        <w:rPr>
          <w:szCs w:val="22"/>
        </w:rPr>
        <w:t xml:space="preserve">in Year 6 of listing, with a total net cost to the PBS of approximately </w:t>
      </w:r>
      <w:r w:rsidR="000159F8">
        <w:rPr>
          <w:szCs w:val="22"/>
        </w:rPr>
        <w:t>more than $100 million</w:t>
      </w:r>
      <w:r w:rsidR="00982AC9" w:rsidRPr="007B28E7">
        <w:rPr>
          <w:szCs w:val="22"/>
        </w:rPr>
        <w:t xml:space="preserve"> over the first 6 years of listing. The PBAC noted that these estimates had not be</w:t>
      </w:r>
      <w:r w:rsidR="00E11CF8" w:rsidRPr="007B28E7">
        <w:rPr>
          <w:szCs w:val="22"/>
        </w:rPr>
        <w:t>en</w:t>
      </w:r>
      <w:r w:rsidR="00982AC9" w:rsidRPr="007B28E7">
        <w:rPr>
          <w:szCs w:val="22"/>
        </w:rPr>
        <w:t xml:space="preserve"> verified.</w:t>
      </w:r>
    </w:p>
    <w:p w:rsidR="003E5BB3" w:rsidRPr="007B28E7" w:rsidRDefault="003E5BB3" w:rsidP="00502D76">
      <w:pPr>
        <w:pStyle w:val="ListParagraph"/>
        <w:rPr>
          <w:szCs w:val="22"/>
        </w:rPr>
      </w:pPr>
    </w:p>
    <w:p w:rsidR="00E766BB" w:rsidRPr="007B28E7" w:rsidRDefault="00E766BB" w:rsidP="00E11CB5">
      <w:pPr>
        <w:pStyle w:val="ListParagraph"/>
        <w:numPr>
          <w:ilvl w:val="1"/>
          <w:numId w:val="14"/>
        </w:numPr>
        <w:rPr>
          <w:szCs w:val="22"/>
        </w:rPr>
      </w:pPr>
      <w:r w:rsidRPr="007B28E7">
        <w:rPr>
          <w:szCs w:val="22"/>
        </w:rPr>
        <w:t xml:space="preserve">The </w:t>
      </w:r>
      <w:r w:rsidR="00BA6B79" w:rsidRPr="007B28E7">
        <w:rPr>
          <w:szCs w:val="22"/>
        </w:rPr>
        <w:t xml:space="preserve">sponsor indicated in the </w:t>
      </w:r>
      <w:r w:rsidRPr="007B28E7">
        <w:rPr>
          <w:szCs w:val="22"/>
        </w:rPr>
        <w:t xml:space="preserve">pre-PBAC response  </w:t>
      </w:r>
      <w:r w:rsidR="00BA6B79" w:rsidRPr="007B28E7">
        <w:rPr>
          <w:szCs w:val="22"/>
        </w:rPr>
        <w:t xml:space="preserve">that </w:t>
      </w:r>
      <w:r w:rsidRPr="007B28E7">
        <w:rPr>
          <w:szCs w:val="22"/>
        </w:rPr>
        <w:t xml:space="preserve">grandfathering of patients would not be required </w:t>
      </w:r>
      <w:r w:rsidR="00E11CB5" w:rsidRPr="007B28E7">
        <w:rPr>
          <w:szCs w:val="22"/>
        </w:rPr>
        <w:t>as the duration of treatment is relatively short.</w:t>
      </w:r>
    </w:p>
    <w:p w:rsidR="006F14F0" w:rsidRPr="007B28E7" w:rsidRDefault="006F14F0" w:rsidP="006F14F0">
      <w:pPr>
        <w:pStyle w:val="ListParagraph"/>
        <w:rPr>
          <w:szCs w:val="22"/>
        </w:rPr>
      </w:pPr>
    </w:p>
    <w:p w:rsidR="006F14F0" w:rsidRPr="007B28E7" w:rsidRDefault="00EA299E" w:rsidP="0023111F">
      <w:pPr>
        <w:pStyle w:val="Heading3"/>
      </w:pPr>
      <w:r w:rsidRPr="007B28E7">
        <w:t>Verification of estimates</w:t>
      </w:r>
      <w:r w:rsidR="006F14F0" w:rsidRPr="007B28E7">
        <w:t xml:space="preserve"> </w:t>
      </w:r>
    </w:p>
    <w:p w:rsidR="005E3E1C" w:rsidRPr="007B28E7" w:rsidRDefault="005E3E1C" w:rsidP="006F14F0">
      <w:pPr>
        <w:jc w:val="both"/>
        <w:rPr>
          <w:rFonts w:ascii="Arial" w:hAnsi="Arial"/>
          <w:i/>
          <w:sz w:val="22"/>
          <w:szCs w:val="22"/>
          <w:u w:val="single"/>
        </w:rPr>
      </w:pPr>
    </w:p>
    <w:p w:rsidR="00740D34" w:rsidRPr="007B28E7" w:rsidRDefault="006017FB" w:rsidP="00740D34">
      <w:pPr>
        <w:pStyle w:val="ListParagraph"/>
        <w:numPr>
          <w:ilvl w:val="1"/>
          <w:numId w:val="14"/>
        </w:numPr>
        <w:rPr>
          <w:szCs w:val="22"/>
        </w:rPr>
      </w:pPr>
      <w:r w:rsidRPr="007B28E7">
        <w:rPr>
          <w:szCs w:val="22"/>
        </w:rPr>
        <w:t xml:space="preserve">The November 2016 major submission (unchanged in the minor submission) adopted a market share approach and </w:t>
      </w:r>
      <w:r w:rsidR="003B304F" w:rsidRPr="007B28E7">
        <w:rPr>
          <w:szCs w:val="22"/>
        </w:rPr>
        <w:t>analysed</w:t>
      </w:r>
      <w:r w:rsidRPr="007B28E7">
        <w:rPr>
          <w:szCs w:val="22"/>
        </w:rPr>
        <w:t xml:space="preserve"> a 10% sample of PBS data for </w:t>
      </w:r>
      <w:r w:rsidRPr="007B28E7">
        <w:t xml:space="preserve">patients treated with first and second line therapies for mCRC from January 2011 to 2015, scaled up to the Australian population, to inform an estimation of the likely number of patients to be treated. </w:t>
      </w:r>
      <w:r w:rsidR="00FF6EC0" w:rsidRPr="007B28E7">
        <w:t>At its October 2016 meeting, t</w:t>
      </w:r>
      <w:r w:rsidRPr="007B28E7">
        <w:t xml:space="preserve">he </w:t>
      </w:r>
      <w:r w:rsidR="00740D34" w:rsidRPr="007B28E7">
        <w:t>ESC noted that the estimates could not be verified because details of the analysis using the 10% PBS sample were not provided</w:t>
      </w:r>
      <w:r w:rsidR="00602042" w:rsidRPr="007B28E7">
        <w:t xml:space="preserve"> </w:t>
      </w:r>
      <w:r w:rsidR="00740D34" w:rsidRPr="007B28E7">
        <w:t xml:space="preserve">(paragraph 6.41, November 2016 </w:t>
      </w:r>
      <w:r w:rsidR="000159F8">
        <w:t>Public Summary Document</w:t>
      </w:r>
      <w:r w:rsidR="00740D34" w:rsidRPr="007B28E7">
        <w:t xml:space="preserve">). </w:t>
      </w:r>
      <w:r w:rsidR="00740D34" w:rsidRPr="007B28E7">
        <w:rPr>
          <w:szCs w:val="22"/>
        </w:rPr>
        <w:t xml:space="preserve">The November 2016 </w:t>
      </w:r>
      <w:r w:rsidR="00873C27" w:rsidRPr="007B28E7">
        <w:rPr>
          <w:szCs w:val="22"/>
        </w:rPr>
        <w:t>p</w:t>
      </w:r>
      <w:r w:rsidR="00740D34" w:rsidRPr="007B28E7">
        <w:rPr>
          <w:szCs w:val="22"/>
        </w:rPr>
        <w:t xml:space="preserve">re-PBAC response  clarified that the estimates were based on incident patients and that the sample included bevacizumab, panitumumab, cetuximab, oxaliplatin and irinotecan. As the item codes were not stated it is unknown if the analysis had captured all the relevant listings. The November 2016 </w:t>
      </w:r>
      <w:r w:rsidR="00873C27" w:rsidRPr="007B28E7">
        <w:rPr>
          <w:szCs w:val="22"/>
        </w:rPr>
        <w:t>p</w:t>
      </w:r>
      <w:r w:rsidR="00740D34" w:rsidRPr="007B28E7">
        <w:rPr>
          <w:szCs w:val="22"/>
        </w:rPr>
        <w:t>re-PBAC response stated that oxaliplatin and irinotecan were included as they were only registered for mCRC. While this is true for irinotecan, oxaliplatin has several other registered indications, including the treatment of:</w:t>
      </w:r>
    </w:p>
    <w:p w:rsidR="00740D34" w:rsidRPr="007B28E7" w:rsidRDefault="00740D34" w:rsidP="00A93E03">
      <w:pPr>
        <w:pStyle w:val="ListParagraph"/>
        <w:numPr>
          <w:ilvl w:val="0"/>
          <w:numId w:val="21"/>
        </w:numPr>
        <w:rPr>
          <w:szCs w:val="22"/>
        </w:rPr>
      </w:pPr>
      <w:r w:rsidRPr="007B28E7">
        <w:rPr>
          <w:szCs w:val="22"/>
        </w:rPr>
        <w:t>adjuvant treatment of stage III (Duke's C) colon cancer in combination with fluoropyrimidine agent</w:t>
      </w:r>
      <w:r w:rsidR="00A93E03" w:rsidRPr="007B28E7">
        <w:rPr>
          <w:szCs w:val="22"/>
        </w:rPr>
        <w:t>. The pre-PBAC response (p1) provided additional information regarding the analysis steps used to distinguish patients treated in the adjuvant setting versus those in the mCRC setting</w:t>
      </w:r>
    </w:p>
    <w:p w:rsidR="00740D34" w:rsidRPr="007B28E7" w:rsidRDefault="00740D34" w:rsidP="00740D34">
      <w:pPr>
        <w:pStyle w:val="ListParagraph"/>
        <w:numPr>
          <w:ilvl w:val="0"/>
          <w:numId w:val="21"/>
        </w:numPr>
        <w:rPr>
          <w:szCs w:val="22"/>
        </w:rPr>
      </w:pPr>
      <w:r w:rsidRPr="007B28E7">
        <w:rPr>
          <w:szCs w:val="22"/>
        </w:rPr>
        <w:t>advanced colorectal cancer in combination with fluorouracil and folinic acid</w:t>
      </w:r>
      <w:r w:rsidR="00A93E03" w:rsidRPr="007B28E7">
        <w:rPr>
          <w:szCs w:val="22"/>
        </w:rPr>
        <w:t>.</w:t>
      </w:r>
      <w:r w:rsidRPr="007B28E7">
        <w:rPr>
          <w:szCs w:val="22"/>
        </w:rPr>
        <w:t xml:space="preserve"> </w:t>
      </w:r>
    </w:p>
    <w:p w:rsidR="00740D34" w:rsidRPr="007B28E7" w:rsidRDefault="00740D34" w:rsidP="00740D34">
      <w:pPr>
        <w:pStyle w:val="ListParagraph"/>
        <w:numPr>
          <w:ilvl w:val="0"/>
          <w:numId w:val="21"/>
        </w:numPr>
        <w:rPr>
          <w:szCs w:val="22"/>
        </w:rPr>
      </w:pPr>
      <w:r w:rsidRPr="007B28E7">
        <w:rPr>
          <w:szCs w:val="22"/>
        </w:rPr>
        <w:t>advanced oesophagogastric cancer in combination with epirubicin and either capecitabine or fluorouracil.</w:t>
      </w:r>
      <w:r w:rsidR="00A93E03" w:rsidRPr="007B28E7">
        <w:rPr>
          <w:szCs w:val="22"/>
        </w:rPr>
        <w:t xml:space="preserve"> The pre-PBAC response (p1) estimated the use of oxaliplatin and epirubicin to be relatively low.</w:t>
      </w:r>
    </w:p>
    <w:p w:rsidR="006017FB" w:rsidRPr="007B28E7" w:rsidRDefault="006017FB" w:rsidP="0054468E">
      <w:pPr>
        <w:pStyle w:val="ListParagraph"/>
        <w:rPr>
          <w:szCs w:val="22"/>
        </w:rPr>
      </w:pPr>
    </w:p>
    <w:p w:rsidR="00740D34" w:rsidRPr="007B28E7" w:rsidRDefault="00740D34" w:rsidP="00740D34">
      <w:pPr>
        <w:pStyle w:val="ListParagraph"/>
        <w:numPr>
          <w:ilvl w:val="1"/>
          <w:numId w:val="14"/>
        </w:numPr>
        <w:rPr>
          <w:szCs w:val="22"/>
        </w:rPr>
      </w:pPr>
      <w:r w:rsidRPr="007B28E7">
        <w:rPr>
          <w:szCs w:val="22"/>
        </w:rPr>
        <w:t xml:space="preserve">As oxaliplatin is not listed on the PBS for a specific indication, the sponsor’s analysis was likely to have overestimated the treated population </w:t>
      </w:r>
      <w:r w:rsidR="003B304F">
        <w:rPr>
          <w:szCs w:val="22"/>
        </w:rPr>
        <w:t xml:space="preserve">by </w:t>
      </w:r>
      <w:r w:rsidRPr="007B28E7">
        <w:rPr>
          <w:szCs w:val="22"/>
        </w:rPr>
        <w:t>capturing the use of oxaliplatin for other indications.</w:t>
      </w:r>
      <w:r w:rsidR="00964364" w:rsidRPr="007B28E7">
        <w:rPr>
          <w:szCs w:val="22"/>
        </w:rPr>
        <w:t xml:space="preserve"> </w:t>
      </w:r>
    </w:p>
    <w:p w:rsidR="006017FB" w:rsidRPr="007B28E7" w:rsidRDefault="006017FB" w:rsidP="0054468E">
      <w:pPr>
        <w:pStyle w:val="ListParagraph"/>
        <w:rPr>
          <w:szCs w:val="22"/>
        </w:rPr>
      </w:pPr>
    </w:p>
    <w:p w:rsidR="006017FB" w:rsidRPr="007B28E7" w:rsidRDefault="00740D34" w:rsidP="00C0226F">
      <w:pPr>
        <w:pStyle w:val="ListParagraph"/>
        <w:numPr>
          <w:ilvl w:val="1"/>
          <w:numId w:val="14"/>
        </w:numPr>
        <w:rPr>
          <w:szCs w:val="22"/>
        </w:rPr>
      </w:pPr>
      <w:r w:rsidRPr="007B28E7">
        <w:rPr>
          <w:szCs w:val="22"/>
        </w:rPr>
        <w:t xml:space="preserve">A full </w:t>
      </w:r>
      <w:r w:rsidRPr="007B28E7">
        <w:rPr>
          <w:iCs/>
          <w:szCs w:val="22"/>
        </w:rPr>
        <w:t xml:space="preserve">description of the methods used to extract the 10% sample was not provided </w:t>
      </w:r>
      <w:r w:rsidR="007A66B7" w:rsidRPr="007B28E7">
        <w:rPr>
          <w:iCs/>
          <w:szCs w:val="22"/>
        </w:rPr>
        <w:t>for</w:t>
      </w:r>
      <w:r w:rsidRPr="007B28E7">
        <w:rPr>
          <w:iCs/>
          <w:szCs w:val="22"/>
        </w:rPr>
        <w:t xml:space="preserve"> the November 2016 major submission</w:t>
      </w:r>
      <w:r w:rsidRPr="007B28E7">
        <w:rPr>
          <w:i/>
          <w:iCs/>
          <w:szCs w:val="22"/>
        </w:rPr>
        <w:t xml:space="preserve">. </w:t>
      </w:r>
      <w:r w:rsidR="00C0226F" w:rsidRPr="007B28E7">
        <w:rPr>
          <w:iCs/>
          <w:szCs w:val="22"/>
        </w:rPr>
        <w:t>The pre-PBAC response</w:t>
      </w:r>
      <w:r w:rsidR="007A66B7" w:rsidRPr="007B28E7">
        <w:rPr>
          <w:iCs/>
          <w:szCs w:val="22"/>
        </w:rPr>
        <w:t xml:space="preserve">for this minor resubmission </w:t>
      </w:r>
      <w:r w:rsidR="00C0226F" w:rsidRPr="007B28E7">
        <w:rPr>
          <w:iCs/>
          <w:szCs w:val="22"/>
        </w:rPr>
        <w:t>provided the Authority codes used to identify patients with mCRC.</w:t>
      </w:r>
    </w:p>
    <w:p w:rsidR="00205AF0" w:rsidRPr="007B28E7" w:rsidRDefault="00205AF0" w:rsidP="00205AF0">
      <w:pPr>
        <w:rPr>
          <w:i/>
          <w:szCs w:val="22"/>
        </w:rPr>
      </w:pPr>
    </w:p>
    <w:p w:rsidR="00205AF0" w:rsidRPr="0023111F" w:rsidRDefault="00205AF0" w:rsidP="0023111F">
      <w:pPr>
        <w:pStyle w:val="Heading3"/>
      </w:pPr>
      <w:r w:rsidRPr="0023111F">
        <w:t>Assumptions used to forecast the first-line mCRC population</w:t>
      </w:r>
    </w:p>
    <w:p w:rsidR="005E3E1C" w:rsidRPr="007B28E7" w:rsidRDefault="005E3E1C" w:rsidP="00205AF0">
      <w:pPr>
        <w:jc w:val="both"/>
        <w:rPr>
          <w:rFonts w:ascii="Arial" w:hAnsi="Arial"/>
          <w:i/>
          <w:sz w:val="22"/>
          <w:szCs w:val="22"/>
          <w:u w:val="single"/>
        </w:rPr>
      </w:pPr>
    </w:p>
    <w:p w:rsidR="00494AB0" w:rsidRPr="007B28E7" w:rsidRDefault="00FF6EC0" w:rsidP="00494AB0">
      <w:pPr>
        <w:pStyle w:val="ListParagraph"/>
        <w:numPr>
          <w:ilvl w:val="1"/>
          <w:numId w:val="5"/>
        </w:numPr>
        <w:rPr>
          <w:iCs/>
          <w:szCs w:val="22"/>
        </w:rPr>
      </w:pPr>
      <w:r w:rsidRPr="007B28E7">
        <w:rPr>
          <w:szCs w:val="22"/>
        </w:rPr>
        <w:t>At its October 2016 meeting, t</w:t>
      </w:r>
      <w:r w:rsidR="00205AF0" w:rsidRPr="007B28E7">
        <w:rPr>
          <w:szCs w:val="22"/>
        </w:rPr>
        <w:t>he ESC was uncertain of whether a decline in the first-line</w:t>
      </w:r>
      <w:r w:rsidR="00494AB0" w:rsidRPr="007B28E7">
        <w:rPr>
          <w:szCs w:val="22"/>
        </w:rPr>
        <w:t xml:space="preserve"> mCRC</w:t>
      </w:r>
      <w:r w:rsidR="00205AF0" w:rsidRPr="007B28E7">
        <w:rPr>
          <w:szCs w:val="22"/>
        </w:rPr>
        <w:t xml:space="preserve"> population from mid-2013 to 2015 </w:t>
      </w:r>
      <w:r w:rsidRPr="007B28E7">
        <w:rPr>
          <w:szCs w:val="22"/>
        </w:rPr>
        <w:t xml:space="preserve">presented in the November 2016 major submission </w:t>
      </w:r>
      <w:r w:rsidR="00205AF0" w:rsidRPr="007B28E7">
        <w:rPr>
          <w:szCs w:val="22"/>
        </w:rPr>
        <w:t>was the result of the submission’s method or if it was a real trend in PBS use (</w:t>
      </w:r>
      <w:r w:rsidR="00303A93" w:rsidRPr="007B28E7">
        <w:rPr>
          <w:szCs w:val="22"/>
        </w:rPr>
        <w:t xml:space="preserve">paragraph </w:t>
      </w:r>
      <w:r w:rsidR="00494AB0" w:rsidRPr="007B28E7">
        <w:rPr>
          <w:szCs w:val="22"/>
        </w:rPr>
        <w:t xml:space="preserve">6.41 </w:t>
      </w:r>
      <w:r w:rsidR="00205AF0" w:rsidRPr="007B28E7">
        <w:rPr>
          <w:szCs w:val="22"/>
        </w:rPr>
        <w:t xml:space="preserve">November 2016 </w:t>
      </w:r>
      <w:r w:rsidR="000159F8">
        <w:t>Public Summary Document</w:t>
      </w:r>
      <w:r w:rsidR="00205AF0" w:rsidRPr="007B28E7">
        <w:rPr>
          <w:szCs w:val="22"/>
        </w:rPr>
        <w:t>).</w:t>
      </w:r>
      <w:r w:rsidR="00494AB0" w:rsidRPr="007B28E7">
        <w:rPr>
          <w:rFonts w:eastAsiaTheme="minorHAnsi"/>
          <w:iCs/>
          <w:color w:val="1F497D"/>
          <w:sz w:val="18"/>
          <w:szCs w:val="18"/>
        </w:rPr>
        <w:t xml:space="preserve"> </w:t>
      </w:r>
      <w:r w:rsidR="00494AB0" w:rsidRPr="007B28E7">
        <w:rPr>
          <w:iCs/>
          <w:szCs w:val="22"/>
        </w:rPr>
        <w:t xml:space="preserve">Actual PBS data to December 2015 was presented in the financial estimates. More recent data is available which the </w:t>
      </w:r>
      <w:r w:rsidRPr="007B28E7">
        <w:rPr>
          <w:iCs/>
          <w:szCs w:val="22"/>
        </w:rPr>
        <w:t xml:space="preserve">minor </w:t>
      </w:r>
      <w:r w:rsidR="00A37D31" w:rsidRPr="007B28E7">
        <w:rPr>
          <w:iCs/>
          <w:szCs w:val="22"/>
        </w:rPr>
        <w:t>re</w:t>
      </w:r>
      <w:r w:rsidR="002A67D6" w:rsidRPr="007B28E7">
        <w:rPr>
          <w:iCs/>
          <w:szCs w:val="22"/>
        </w:rPr>
        <w:t>submission</w:t>
      </w:r>
      <w:r w:rsidR="00494AB0" w:rsidRPr="007B28E7">
        <w:rPr>
          <w:iCs/>
          <w:szCs w:val="22"/>
        </w:rPr>
        <w:t xml:space="preserve"> could have used to address</w:t>
      </w:r>
      <w:r w:rsidRPr="007B28E7">
        <w:rPr>
          <w:iCs/>
          <w:szCs w:val="22"/>
        </w:rPr>
        <w:t xml:space="preserve"> the</w:t>
      </w:r>
      <w:r w:rsidR="00494AB0" w:rsidRPr="007B28E7">
        <w:rPr>
          <w:iCs/>
          <w:szCs w:val="22"/>
        </w:rPr>
        <w:t xml:space="preserve"> ESC’s concern of whether the first-line mCRC population is continuing to decline and if its assumption of continuing linear growth in treated patients was justified.</w:t>
      </w:r>
    </w:p>
    <w:p w:rsidR="00494AB0" w:rsidRPr="007B28E7" w:rsidRDefault="00494AB0" w:rsidP="00494AB0">
      <w:pPr>
        <w:pStyle w:val="ListParagraph"/>
        <w:rPr>
          <w:i/>
          <w:iCs/>
          <w:szCs w:val="22"/>
        </w:rPr>
      </w:pPr>
    </w:p>
    <w:p w:rsidR="00602042" w:rsidRPr="007B28E7" w:rsidRDefault="00494AB0" w:rsidP="00494AB0">
      <w:pPr>
        <w:pStyle w:val="ListParagraph"/>
        <w:numPr>
          <w:ilvl w:val="1"/>
          <w:numId w:val="5"/>
        </w:numPr>
        <w:rPr>
          <w:i/>
          <w:szCs w:val="22"/>
        </w:rPr>
      </w:pPr>
      <w:r w:rsidRPr="007B28E7">
        <w:rPr>
          <w:szCs w:val="22"/>
        </w:rPr>
        <w:t xml:space="preserve">The November 2016 major submission applied an assumption for annual growth to forecast the number of patients </w:t>
      </w:r>
      <w:r w:rsidR="00324F49" w:rsidRPr="007B28E7">
        <w:rPr>
          <w:szCs w:val="22"/>
        </w:rPr>
        <w:t>receiving</w:t>
      </w:r>
      <w:r w:rsidR="00FF6EC0" w:rsidRPr="007B28E7">
        <w:rPr>
          <w:szCs w:val="22"/>
        </w:rPr>
        <w:t xml:space="preserve"> trifluridine/tipiracil</w:t>
      </w:r>
      <w:r w:rsidRPr="007B28E7">
        <w:rPr>
          <w:szCs w:val="22"/>
        </w:rPr>
        <w:t xml:space="preserve"> </w:t>
      </w:r>
      <w:r w:rsidR="00324F49" w:rsidRPr="007B28E7">
        <w:rPr>
          <w:szCs w:val="22"/>
        </w:rPr>
        <w:t xml:space="preserve">as </w:t>
      </w:r>
      <w:r w:rsidRPr="007B28E7">
        <w:rPr>
          <w:szCs w:val="22"/>
        </w:rPr>
        <w:t>first-line</w:t>
      </w:r>
      <w:r w:rsidR="00324F49" w:rsidRPr="007B28E7">
        <w:rPr>
          <w:szCs w:val="22"/>
        </w:rPr>
        <w:t xml:space="preserve"> treatment of mCRC</w:t>
      </w:r>
      <w:r w:rsidRPr="007B28E7">
        <w:rPr>
          <w:szCs w:val="22"/>
        </w:rPr>
        <w:t xml:space="preserve">. The annual growth assumption is highly sensitive to the period used to derive this estimate. The </w:t>
      </w:r>
      <w:r w:rsidR="00324F49" w:rsidRPr="007B28E7">
        <w:rPr>
          <w:szCs w:val="22"/>
        </w:rPr>
        <w:t>submission</w:t>
      </w:r>
      <w:r w:rsidRPr="007B28E7">
        <w:rPr>
          <w:szCs w:val="22"/>
        </w:rPr>
        <w:t xml:space="preserve"> used an early period (January 2011 to January 2012) for its growth rate assumption of 7.4% (</w:t>
      </w:r>
      <w:r w:rsidR="00324F49" w:rsidRPr="007B28E7">
        <w:rPr>
          <w:szCs w:val="22"/>
        </w:rPr>
        <w:t>Cell B11, s</w:t>
      </w:r>
      <w:r w:rsidRPr="007B28E7">
        <w:rPr>
          <w:szCs w:val="22"/>
        </w:rPr>
        <w:t xml:space="preserve">heet </w:t>
      </w:r>
      <w:r w:rsidR="00324F49" w:rsidRPr="007B28E7">
        <w:rPr>
          <w:szCs w:val="22"/>
        </w:rPr>
        <w:t>“</w:t>
      </w:r>
      <w:r w:rsidRPr="007B28E7">
        <w:rPr>
          <w:szCs w:val="22"/>
        </w:rPr>
        <w:t>Servier CRC Regimens – Patients</w:t>
      </w:r>
      <w:r w:rsidR="00324F49" w:rsidRPr="007B28E7">
        <w:rPr>
          <w:szCs w:val="22"/>
        </w:rPr>
        <w:t>”, of excel workbook “3. Financial analyses – LONSURF – mCRC – Nov 2016.xlsx”</w:t>
      </w:r>
      <w:r w:rsidRPr="007B28E7">
        <w:rPr>
          <w:szCs w:val="22"/>
        </w:rPr>
        <w:t>).</w:t>
      </w:r>
      <w:r w:rsidR="00324F49" w:rsidRPr="007B28E7">
        <w:rPr>
          <w:szCs w:val="22"/>
        </w:rPr>
        <w:t xml:space="preserve"> </w:t>
      </w:r>
      <w:r w:rsidRPr="007B28E7">
        <w:rPr>
          <w:szCs w:val="22"/>
        </w:rPr>
        <w:t>In addition to the uncertainty of whether growth at this time reflects more current use, the assumption is based on estimated patient figures (</w:t>
      </w:r>
      <w:r w:rsidR="00324F49" w:rsidRPr="007B28E7">
        <w:rPr>
          <w:szCs w:val="22"/>
        </w:rPr>
        <w:t>‘</w:t>
      </w:r>
      <w:r w:rsidRPr="007B28E7">
        <w:rPr>
          <w:szCs w:val="22"/>
        </w:rPr>
        <w:t>Check application growth rate</w:t>
      </w:r>
      <w:r w:rsidR="00324F49" w:rsidRPr="007B28E7">
        <w:rPr>
          <w:szCs w:val="22"/>
        </w:rPr>
        <w:t>’</w:t>
      </w:r>
      <w:r w:rsidRPr="007B28E7">
        <w:rPr>
          <w:szCs w:val="22"/>
        </w:rPr>
        <w:t xml:space="preserve">, row 10) rather than the actual patient numbers </w:t>
      </w:r>
      <w:r w:rsidR="00324F49" w:rsidRPr="007B28E7">
        <w:rPr>
          <w:szCs w:val="22"/>
        </w:rPr>
        <w:t>(‘Patients receiving 1</w:t>
      </w:r>
      <w:r w:rsidR="00324F49" w:rsidRPr="007B28E7">
        <w:rPr>
          <w:szCs w:val="22"/>
          <w:vertAlign w:val="superscript"/>
        </w:rPr>
        <w:t>st</w:t>
      </w:r>
      <w:r w:rsidR="00324F49" w:rsidRPr="007B28E7">
        <w:rPr>
          <w:szCs w:val="22"/>
        </w:rPr>
        <w:t xml:space="preserve">-line treatment for mCRC, </w:t>
      </w:r>
      <w:r w:rsidRPr="007B28E7">
        <w:rPr>
          <w:szCs w:val="22"/>
        </w:rPr>
        <w:t>row 3</w:t>
      </w:r>
      <w:r w:rsidR="00324F49" w:rsidRPr="007B28E7">
        <w:rPr>
          <w:szCs w:val="22"/>
        </w:rPr>
        <w:t>)</w:t>
      </w:r>
      <w:r w:rsidRPr="007B28E7">
        <w:rPr>
          <w:szCs w:val="22"/>
        </w:rPr>
        <w:t>.</w:t>
      </w:r>
      <w:r w:rsidRPr="007B28E7">
        <w:rPr>
          <w:i/>
          <w:szCs w:val="22"/>
        </w:rPr>
        <w:t xml:space="preserve"> </w:t>
      </w:r>
    </w:p>
    <w:p w:rsidR="00602042" w:rsidRPr="007B28E7" w:rsidRDefault="00602042" w:rsidP="0054468E">
      <w:pPr>
        <w:pStyle w:val="ListParagraph"/>
        <w:rPr>
          <w:i/>
          <w:szCs w:val="22"/>
        </w:rPr>
      </w:pPr>
    </w:p>
    <w:p w:rsidR="00687667" w:rsidRPr="007B28E7" w:rsidRDefault="00324F49" w:rsidP="00573B4F">
      <w:pPr>
        <w:pStyle w:val="ListParagraph"/>
        <w:numPr>
          <w:ilvl w:val="1"/>
          <w:numId w:val="5"/>
        </w:numPr>
        <w:rPr>
          <w:i/>
          <w:szCs w:val="22"/>
        </w:rPr>
      </w:pPr>
      <w:r w:rsidRPr="007B28E7">
        <w:rPr>
          <w:szCs w:val="22"/>
        </w:rPr>
        <w:t>T</w:t>
      </w:r>
      <w:r w:rsidR="00494AB0" w:rsidRPr="007B28E7">
        <w:rPr>
          <w:szCs w:val="22"/>
        </w:rPr>
        <w:t>he growth trends over time based on the actual patient numbers in row 3</w:t>
      </w:r>
      <w:r w:rsidRPr="007B28E7">
        <w:rPr>
          <w:szCs w:val="22"/>
        </w:rPr>
        <w:t xml:space="preserve"> is presented in Table 5</w:t>
      </w:r>
      <w:r w:rsidR="00494AB0" w:rsidRPr="007B28E7">
        <w:rPr>
          <w:szCs w:val="22"/>
        </w:rPr>
        <w:t xml:space="preserve">. </w:t>
      </w:r>
    </w:p>
    <w:p w:rsidR="00D84A83" w:rsidRPr="007B28E7" w:rsidRDefault="00D84A83" w:rsidP="00D84A83">
      <w:pPr>
        <w:rPr>
          <w:i/>
          <w:szCs w:val="22"/>
        </w:rPr>
      </w:pPr>
    </w:p>
    <w:p w:rsidR="00346331" w:rsidRPr="007B28E7" w:rsidRDefault="00346331" w:rsidP="0023111F">
      <w:pPr>
        <w:ind w:firstLine="720"/>
        <w:rPr>
          <w:rFonts w:ascii="Arial Narrow" w:hAnsi="Arial Narrow"/>
          <w:b/>
          <w:i/>
          <w:sz w:val="20"/>
        </w:rPr>
      </w:pPr>
      <w:r w:rsidRPr="007B28E7">
        <w:rPr>
          <w:rFonts w:ascii="Arial Narrow" w:hAnsi="Arial Narrow"/>
          <w:b/>
          <w:sz w:val="20"/>
        </w:rPr>
        <w:t>Table 5: mCRC first-line patient growth trends over time based on actual patient numbers</w:t>
      </w:r>
    </w:p>
    <w:tbl>
      <w:tblPr>
        <w:tblW w:w="3835" w:type="pct"/>
        <w:tblInd w:w="817" w:type="dxa"/>
        <w:tblCellMar>
          <w:top w:w="28" w:type="dxa"/>
          <w:left w:w="28" w:type="dxa"/>
          <w:bottom w:w="28" w:type="dxa"/>
          <w:right w:w="28" w:type="dxa"/>
        </w:tblCellMar>
        <w:tblLook w:val="04A0" w:firstRow="1" w:lastRow="0" w:firstColumn="1" w:lastColumn="0" w:noHBand="0" w:noVBand="1"/>
      </w:tblPr>
      <w:tblGrid>
        <w:gridCol w:w="3260"/>
        <w:gridCol w:w="3829"/>
      </w:tblGrid>
      <w:tr w:rsidR="00346331" w:rsidRPr="007B28E7" w:rsidTr="0023111F">
        <w:tc>
          <w:tcPr>
            <w:tcW w:w="2299"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31" w:rsidRPr="007B28E7" w:rsidRDefault="00346331" w:rsidP="0054468E">
            <w:pPr>
              <w:pStyle w:val="TableText0"/>
              <w:rPr>
                <w:rFonts w:eastAsia="Calibri"/>
                <w:b/>
                <w:sz w:val="20"/>
                <w:szCs w:val="20"/>
              </w:rPr>
            </w:pPr>
            <w:r w:rsidRPr="007B28E7">
              <w:rPr>
                <w:rFonts w:eastAsia="Calibri"/>
                <w:b/>
                <w:sz w:val="20"/>
                <w:szCs w:val="20"/>
              </w:rPr>
              <w:t>Period</w:t>
            </w:r>
          </w:p>
        </w:tc>
        <w:tc>
          <w:tcPr>
            <w:tcW w:w="2701"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346331" w:rsidRPr="007B28E7" w:rsidRDefault="00346331" w:rsidP="0054468E">
            <w:pPr>
              <w:pStyle w:val="TableText0"/>
              <w:jc w:val="center"/>
              <w:rPr>
                <w:rFonts w:eastAsia="Calibri"/>
                <w:b/>
                <w:sz w:val="20"/>
                <w:szCs w:val="20"/>
              </w:rPr>
            </w:pPr>
            <w:r w:rsidRPr="007B28E7">
              <w:rPr>
                <w:rFonts w:eastAsia="Calibri"/>
                <w:b/>
                <w:sz w:val="20"/>
                <w:szCs w:val="20"/>
              </w:rPr>
              <w:t>Growth</w:t>
            </w:r>
          </w:p>
        </w:tc>
      </w:tr>
      <w:tr w:rsidR="00346331" w:rsidRPr="007B28E7" w:rsidTr="0023111F">
        <w:tc>
          <w:tcPr>
            <w:tcW w:w="229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31" w:rsidRPr="007B28E7" w:rsidRDefault="00346331" w:rsidP="0054468E">
            <w:pPr>
              <w:pStyle w:val="TableText0"/>
              <w:rPr>
                <w:rFonts w:eastAsia="Calibri"/>
                <w:sz w:val="20"/>
                <w:szCs w:val="20"/>
              </w:rPr>
            </w:pPr>
            <w:r w:rsidRPr="007B28E7">
              <w:rPr>
                <w:rFonts w:eastAsia="Calibri"/>
                <w:sz w:val="20"/>
                <w:szCs w:val="20"/>
              </w:rPr>
              <w:t>Jan</w:t>
            </w:r>
            <w:r w:rsidR="00602042" w:rsidRPr="007B28E7">
              <w:rPr>
                <w:rFonts w:eastAsia="Calibri"/>
                <w:sz w:val="20"/>
                <w:szCs w:val="20"/>
              </w:rPr>
              <w:t xml:space="preserve"> 20</w:t>
            </w:r>
            <w:r w:rsidRPr="007B28E7">
              <w:rPr>
                <w:rFonts w:eastAsia="Calibri"/>
                <w:sz w:val="20"/>
                <w:szCs w:val="20"/>
              </w:rPr>
              <w:t>11</w:t>
            </w:r>
            <w:r w:rsidR="00602042" w:rsidRPr="007B28E7">
              <w:rPr>
                <w:rFonts w:eastAsia="Calibri"/>
                <w:sz w:val="20"/>
                <w:szCs w:val="20"/>
              </w:rPr>
              <w:t xml:space="preserve"> to </w:t>
            </w:r>
            <w:r w:rsidRPr="007B28E7">
              <w:rPr>
                <w:rFonts w:eastAsia="Calibri"/>
                <w:sz w:val="20"/>
                <w:szCs w:val="20"/>
              </w:rPr>
              <w:t>Jan</w:t>
            </w:r>
            <w:r w:rsidR="00602042" w:rsidRPr="007B28E7">
              <w:rPr>
                <w:rFonts w:eastAsia="Calibri"/>
                <w:sz w:val="20"/>
                <w:szCs w:val="20"/>
              </w:rPr>
              <w:t xml:space="preserve"> 20</w:t>
            </w:r>
            <w:r w:rsidRPr="007B28E7">
              <w:rPr>
                <w:rFonts w:eastAsia="Calibri"/>
                <w:sz w:val="20"/>
                <w:szCs w:val="20"/>
              </w:rPr>
              <w:t>12</w:t>
            </w:r>
          </w:p>
        </w:tc>
        <w:tc>
          <w:tcPr>
            <w:tcW w:w="270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31" w:rsidRPr="007B28E7" w:rsidRDefault="00346331" w:rsidP="0054468E">
            <w:pPr>
              <w:pStyle w:val="TableText0"/>
              <w:jc w:val="center"/>
              <w:rPr>
                <w:rFonts w:eastAsia="Calibri"/>
                <w:sz w:val="20"/>
                <w:szCs w:val="20"/>
              </w:rPr>
            </w:pPr>
            <w:r w:rsidRPr="007B28E7">
              <w:rPr>
                <w:rFonts w:eastAsia="Calibri"/>
                <w:sz w:val="20"/>
                <w:szCs w:val="20"/>
              </w:rPr>
              <w:t>15.6%</w:t>
            </w:r>
          </w:p>
        </w:tc>
      </w:tr>
      <w:tr w:rsidR="00346331" w:rsidRPr="007B28E7" w:rsidTr="0023111F">
        <w:tc>
          <w:tcPr>
            <w:tcW w:w="229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31" w:rsidRPr="007B28E7" w:rsidRDefault="00346331" w:rsidP="0054468E">
            <w:pPr>
              <w:pStyle w:val="TableText0"/>
              <w:rPr>
                <w:rFonts w:eastAsia="Calibri"/>
                <w:sz w:val="20"/>
                <w:szCs w:val="20"/>
              </w:rPr>
            </w:pPr>
            <w:r w:rsidRPr="007B28E7">
              <w:rPr>
                <w:rFonts w:eastAsia="Calibri"/>
                <w:sz w:val="20"/>
                <w:szCs w:val="20"/>
              </w:rPr>
              <w:t>Jan</w:t>
            </w:r>
            <w:r w:rsidR="00602042" w:rsidRPr="007B28E7">
              <w:rPr>
                <w:rFonts w:eastAsia="Calibri"/>
                <w:sz w:val="20"/>
                <w:szCs w:val="20"/>
              </w:rPr>
              <w:t xml:space="preserve"> 20</w:t>
            </w:r>
            <w:r w:rsidRPr="007B28E7">
              <w:rPr>
                <w:rFonts w:eastAsia="Calibri"/>
                <w:sz w:val="20"/>
                <w:szCs w:val="20"/>
              </w:rPr>
              <w:t>12</w:t>
            </w:r>
            <w:r w:rsidR="00602042" w:rsidRPr="007B28E7">
              <w:rPr>
                <w:rFonts w:eastAsia="Calibri"/>
                <w:sz w:val="20"/>
                <w:szCs w:val="20"/>
              </w:rPr>
              <w:t xml:space="preserve"> to </w:t>
            </w:r>
            <w:r w:rsidRPr="007B28E7">
              <w:rPr>
                <w:rFonts w:eastAsia="Calibri"/>
                <w:sz w:val="20"/>
                <w:szCs w:val="20"/>
              </w:rPr>
              <w:t>Jan</w:t>
            </w:r>
            <w:r w:rsidR="00602042" w:rsidRPr="007B28E7">
              <w:rPr>
                <w:rFonts w:eastAsia="Calibri"/>
                <w:sz w:val="20"/>
                <w:szCs w:val="20"/>
              </w:rPr>
              <w:t xml:space="preserve"> 20</w:t>
            </w:r>
            <w:r w:rsidRPr="007B28E7">
              <w:rPr>
                <w:rFonts w:eastAsia="Calibri"/>
                <w:sz w:val="20"/>
                <w:szCs w:val="20"/>
              </w:rPr>
              <w:t>13</w:t>
            </w:r>
          </w:p>
        </w:tc>
        <w:tc>
          <w:tcPr>
            <w:tcW w:w="270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31" w:rsidRPr="007B28E7" w:rsidRDefault="00346331" w:rsidP="0054468E">
            <w:pPr>
              <w:pStyle w:val="TableText0"/>
              <w:jc w:val="center"/>
              <w:rPr>
                <w:rFonts w:eastAsia="Calibri"/>
                <w:sz w:val="20"/>
                <w:szCs w:val="20"/>
              </w:rPr>
            </w:pPr>
            <w:r w:rsidRPr="007B28E7">
              <w:rPr>
                <w:rFonts w:eastAsia="Calibri"/>
                <w:sz w:val="20"/>
                <w:szCs w:val="20"/>
              </w:rPr>
              <w:t>4.8%</w:t>
            </w:r>
          </w:p>
        </w:tc>
      </w:tr>
      <w:tr w:rsidR="00346331" w:rsidRPr="007B28E7" w:rsidTr="0023111F">
        <w:tc>
          <w:tcPr>
            <w:tcW w:w="229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31" w:rsidRPr="007B28E7" w:rsidRDefault="00346331" w:rsidP="0054468E">
            <w:pPr>
              <w:pStyle w:val="TableText0"/>
              <w:rPr>
                <w:rFonts w:eastAsia="Calibri"/>
                <w:sz w:val="20"/>
                <w:szCs w:val="20"/>
              </w:rPr>
            </w:pPr>
            <w:r w:rsidRPr="007B28E7">
              <w:rPr>
                <w:rFonts w:eastAsia="Calibri"/>
                <w:sz w:val="20"/>
                <w:szCs w:val="20"/>
              </w:rPr>
              <w:t>Jan</w:t>
            </w:r>
            <w:r w:rsidR="00602042" w:rsidRPr="007B28E7">
              <w:rPr>
                <w:rFonts w:eastAsia="Calibri"/>
                <w:sz w:val="20"/>
                <w:szCs w:val="20"/>
              </w:rPr>
              <w:t xml:space="preserve"> 20</w:t>
            </w:r>
            <w:r w:rsidRPr="007B28E7">
              <w:rPr>
                <w:rFonts w:eastAsia="Calibri"/>
                <w:sz w:val="20"/>
                <w:szCs w:val="20"/>
              </w:rPr>
              <w:t>13</w:t>
            </w:r>
            <w:r w:rsidR="00602042" w:rsidRPr="007B28E7">
              <w:rPr>
                <w:rFonts w:eastAsia="Calibri"/>
                <w:sz w:val="20"/>
                <w:szCs w:val="20"/>
              </w:rPr>
              <w:t xml:space="preserve"> to </w:t>
            </w:r>
            <w:r w:rsidRPr="007B28E7">
              <w:rPr>
                <w:rFonts w:eastAsia="Calibri"/>
                <w:sz w:val="20"/>
                <w:szCs w:val="20"/>
              </w:rPr>
              <w:t>Jan</w:t>
            </w:r>
            <w:r w:rsidR="00602042" w:rsidRPr="007B28E7">
              <w:rPr>
                <w:rFonts w:eastAsia="Calibri"/>
                <w:sz w:val="20"/>
                <w:szCs w:val="20"/>
              </w:rPr>
              <w:t xml:space="preserve"> 20</w:t>
            </w:r>
            <w:r w:rsidRPr="007B28E7">
              <w:rPr>
                <w:rFonts w:eastAsia="Calibri"/>
                <w:sz w:val="20"/>
                <w:szCs w:val="20"/>
              </w:rPr>
              <w:t>14</w:t>
            </w:r>
          </w:p>
        </w:tc>
        <w:tc>
          <w:tcPr>
            <w:tcW w:w="270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31" w:rsidRPr="007B28E7" w:rsidRDefault="00346331" w:rsidP="0054468E">
            <w:pPr>
              <w:pStyle w:val="TableText0"/>
              <w:jc w:val="center"/>
              <w:rPr>
                <w:rFonts w:eastAsia="Calibri"/>
                <w:sz w:val="20"/>
                <w:szCs w:val="20"/>
              </w:rPr>
            </w:pPr>
            <w:r w:rsidRPr="007B28E7">
              <w:rPr>
                <w:rFonts w:eastAsia="Calibri"/>
                <w:sz w:val="20"/>
                <w:szCs w:val="20"/>
              </w:rPr>
              <w:t>-9.2%</w:t>
            </w:r>
          </w:p>
        </w:tc>
      </w:tr>
      <w:tr w:rsidR="00346331" w:rsidRPr="007B28E7" w:rsidTr="0023111F">
        <w:tc>
          <w:tcPr>
            <w:tcW w:w="229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46331" w:rsidRPr="007B28E7" w:rsidRDefault="00346331" w:rsidP="0054468E">
            <w:pPr>
              <w:pStyle w:val="TableText0"/>
              <w:rPr>
                <w:rFonts w:eastAsia="Calibri"/>
                <w:sz w:val="20"/>
                <w:szCs w:val="20"/>
              </w:rPr>
            </w:pPr>
            <w:r w:rsidRPr="007B28E7">
              <w:rPr>
                <w:rFonts w:eastAsia="Calibri"/>
                <w:sz w:val="20"/>
                <w:szCs w:val="20"/>
              </w:rPr>
              <w:t>Jan</w:t>
            </w:r>
            <w:r w:rsidR="00602042" w:rsidRPr="007B28E7">
              <w:rPr>
                <w:rFonts w:eastAsia="Calibri"/>
                <w:sz w:val="20"/>
                <w:szCs w:val="20"/>
              </w:rPr>
              <w:t xml:space="preserve"> 20</w:t>
            </w:r>
            <w:r w:rsidRPr="007B28E7">
              <w:rPr>
                <w:rFonts w:eastAsia="Calibri"/>
                <w:sz w:val="20"/>
                <w:szCs w:val="20"/>
              </w:rPr>
              <w:t>14</w:t>
            </w:r>
            <w:r w:rsidR="00602042" w:rsidRPr="007B28E7">
              <w:rPr>
                <w:rFonts w:eastAsia="Calibri"/>
                <w:sz w:val="20"/>
                <w:szCs w:val="20"/>
              </w:rPr>
              <w:t xml:space="preserve"> to </w:t>
            </w:r>
            <w:r w:rsidRPr="007B28E7">
              <w:rPr>
                <w:rFonts w:eastAsia="Calibri"/>
                <w:sz w:val="20"/>
                <w:szCs w:val="20"/>
              </w:rPr>
              <w:t>Jan</w:t>
            </w:r>
            <w:r w:rsidR="00602042" w:rsidRPr="007B28E7">
              <w:rPr>
                <w:rFonts w:eastAsia="Calibri"/>
                <w:sz w:val="20"/>
                <w:szCs w:val="20"/>
              </w:rPr>
              <w:t xml:space="preserve"> 20</w:t>
            </w:r>
            <w:r w:rsidRPr="007B28E7">
              <w:rPr>
                <w:rFonts w:eastAsia="Calibri"/>
                <w:sz w:val="20"/>
                <w:szCs w:val="20"/>
              </w:rPr>
              <w:t>15</w:t>
            </w:r>
          </w:p>
        </w:tc>
        <w:tc>
          <w:tcPr>
            <w:tcW w:w="270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46331" w:rsidRPr="007B28E7" w:rsidRDefault="00346331" w:rsidP="0054468E">
            <w:pPr>
              <w:pStyle w:val="TableText0"/>
              <w:jc w:val="center"/>
              <w:rPr>
                <w:rFonts w:eastAsia="Calibri"/>
                <w:sz w:val="20"/>
                <w:szCs w:val="20"/>
              </w:rPr>
            </w:pPr>
            <w:r w:rsidRPr="007B28E7">
              <w:rPr>
                <w:rFonts w:eastAsia="Calibri"/>
                <w:sz w:val="20"/>
                <w:szCs w:val="20"/>
              </w:rPr>
              <w:t>19.3%</w:t>
            </w:r>
          </w:p>
        </w:tc>
      </w:tr>
    </w:tbl>
    <w:p w:rsidR="00346331" w:rsidRPr="007B28E7" w:rsidRDefault="00346331" w:rsidP="0023111F">
      <w:pPr>
        <w:ind w:left="720"/>
        <w:rPr>
          <w:rFonts w:ascii="Arial Narrow" w:hAnsi="Arial Narrow" w:cs="Arial"/>
          <w:iCs/>
          <w:sz w:val="18"/>
          <w:szCs w:val="18"/>
        </w:rPr>
      </w:pPr>
      <w:r w:rsidRPr="007B28E7">
        <w:rPr>
          <w:rFonts w:ascii="Arial Narrow" w:hAnsi="Arial Narrow" w:cs="Arial"/>
          <w:iCs/>
          <w:sz w:val="18"/>
          <w:szCs w:val="18"/>
        </w:rPr>
        <w:t xml:space="preserve">Source: Derived from </w:t>
      </w:r>
      <w:r w:rsidR="00324F49" w:rsidRPr="007B28E7">
        <w:rPr>
          <w:rFonts w:ascii="Arial Narrow" w:hAnsi="Arial Narrow" w:cs="Arial"/>
          <w:iCs/>
          <w:sz w:val="18"/>
          <w:szCs w:val="18"/>
        </w:rPr>
        <w:t xml:space="preserve">excel workbook “3. Financial analyses – LONSURF – mCRC – Nov 2016.xlsx” </w:t>
      </w:r>
      <w:r w:rsidRPr="007B28E7">
        <w:rPr>
          <w:rFonts w:ascii="Arial Narrow" w:hAnsi="Arial Narrow" w:cs="Arial"/>
          <w:iCs/>
          <w:sz w:val="18"/>
          <w:szCs w:val="18"/>
        </w:rPr>
        <w:t xml:space="preserve">presented in the November 2016 submission, sheet </w:t>
      </w:r>
      <w:r w:rsidR="00324F49" w:rsidRPr="007B28E7">
        <w:rPr>
          <w:rFonts w:ascii="Arial Narrow" w:hAnsi="Arial Narrow" w:cs="Arial"/>
          <w:iCs/>
          <w:sz w:val="18"/>
          <w:szCs w:val="18"/>
        </w:rPr>
        <w:t>“</w:t>
      </w:r>
      <w:r w:rsidRPr="007B28E7">
        <w:rPr>
          <w:rFonts w:ascii="Arial Narrow" w:hAnsi="Arial Narrow" w:cs="Arial"/>
          <w:iCs/>
          <w:sz w:val="18"/>
          <w:szCs w:val="18"/>
        </w:rPr>
        <w:t>Servier CRC Regimens – Patients</w:t>
      </w:r>
      <w:r w:rsidR="00324F49" w:rsidRPr="007B28E7">
        <w:rPr>
          <w:rFonts w:ascii="Arial Narrow" w:hAnsi="Arial Narrow" w:cs="Arial"/>
          <w:iCs/>
          <w:sz w:val="18"/>
          <w:szCs w:val="18"/>
        </w:rPr>
        <w:t>”</w:t>
      </w:r>
      <w:r w:rsidRPr="007B28E7">
        <w:rPr>
          <w:rFonts w:ascii="Arial Narrow" w:hAnsi="Arial Narrow" w:cs="Arial"/>
          <w:iCs/>
          <w:sz w:val="18"/>
          <w:szCs w:val="18"/>
        </w:rPr>
        <w:t>, row 3.</w:t>
      </w:r>
    </w:p>
    <w:p w:rsidR="006F14F0" w:rsidRPr="007B28E7" w:rsidRDefault="006F14F0" w:rsidP="00205AF0">
      <w:pPr>
        <w:rPr>
          <w:szCs w:val="22"/>
        </w:rPr>
      </w:pPr>
    </w:p>
    <w:p w:rsidR="00602042" w:rsidRPr="007B28E7" w:rsidRDefault="00602042" w:rsidP="005E3E1C">
      <w:pPr>
        <w:pStyle w:val="ListParagraph"/>
        <w:numPr>
          <w:ilvl w:val="1"/>
          <w:numId w:val="5"/>
        </w:numPr>
        <w:rPr>
          <w:szCs w:val="22"/>
        </w:rPr>
      </w:pPr>
      <w:r w:rsidRPr="007B28E7">
        <w:rPr>
          <w:szCs w:val="22"/>
        </w:rPr>
        <w:t>While the growth rates are highly variable, the average over the four periods is similar to the submission’s assumption (7.6% vs. 7.4%, respectively).</w:t>
      </w:r>
    </w:p>
    <w:p w:rsidR="00602042" w:rsidRPr="0023111F" w:rsidRDefault="00602042" w:rsidP="00205AF0">
      <w:pPr>
        <w:rPr>
          <w:rFonts w:ascii="Arial" w:hAnsi="Arial" w:cs="Arial"/>
          <w:sz w:val="22"/>
          <w:szCs w:val="22"/>
        </w:rPr>
      </w:pPr>
    </w:p>
    <w:p w:rsidR="00965E59" w:rsidRPr="007B28E7" w:rsidRDefault="00965E59" w:rsidP="0023111F">
      <w:pPr>
        <w:pStyle w:val="Heading3"/>
      </w:pPr>
      <w:r w:rsidRPr="007B28E7">
        <w:t>Estimate of uptake</w:t>
      </w:r>
    </w:p>
    <w:p w:rsidR="00CB048A" w:rsidRPr="007B28E7" w:rsidRDefault="00CB048A" w:rsidP="00965E59">
      <w:pPr>
        <w:jc w:val="both"/>
        <w:rPr>
          <w:rFonts w:ascii="Arial" w:hAnsi="Arial"/>
          <w:i/>
          <w:sz w:val="22"/>
          <w:szCs w:val="22"/>
          <w:u w:val="single"/>
        </w:rPr>
      </w:pPr>
    </w:p>
    <w:p w:rsidR="00573B4F" w:rsidRPr="007B28E7" w:rsidRDefault="00602042" w:rsidP="00573B4F">
      <w:pPr>
        <w:pStyle w:val="ListParagraph"/>
        <w:numPr>
          <w:ilvl w:val="1"/>
          <w:numId w:val="14"/>
        </w:numPr>
        <w:rPr>
          <w:szCs w:val="22"/>
        </w:rPr>
      </w:pPr>
      <w:r w:rsidRPr="007B28E7">
        <w:rPr>
          <w:szCs w:val="22"/>
        </w:rPr>
        <w:t>At its</w:t>
      </w:r>
      <w:r w:rsidR="00A82A5B" w:rsidRPr="007B28E7">
        <w:rPr>
          <w:szCs w:val="22"/>
        </w:rPr>
        <w:t xml:space="preserve"> November 2016</w:t>
      </w:r>
      <w:r w:rsidRPr="007B28E7">
        <w:rPr>
          <w:szCs w:val="22"/>
        </w:rPr>
        <w:t xml:space="preserve"> meeting, the</w:t>
      </w:r>
      <w:r w:rsidR="00A82A5B" w:rsidRPr="007B28E7">
        <w:rPr>
          <w:szCs w:val="22"/>
        </w:rPr>
        <w:t xml:space="preserve"> PBAC</w:t>
      </w:r>
      <w:r w:rsidRPr="007B28E7">
        <w:rPr>
          <w:szCs w:val="22"/>
        </w:rPr>
        <w:t xml:space="preserve"> considered that the submission’s estimate of the number of patients to be treated was likely to have been overestimated. </w:t>
      </w:r>
      <w:r w:rsidRPr="007B28E7">
        <w:rPr>
          <w:bCs/>
        </w:rPr>
        <w:t xml:space="preserve">In particular the uptake of </w:t>
      </w:r>
      <w:r w:rsidRPr="007B28E7">
        <w:rPr>
          <w:szCs w:val="22"/>
        </w:rPr>
        <w:t>trifluridine/tipiracil was considered to have been overestimated</w:t>
      </w:r>
      <w:r w:rsidR="007646D9" w:rsidRPr="007B28E7">
        <w:rPr>
          <w:szCs w:val="22"/>
        </w:rPr>
        <w:t>,</w:t>
      </w:r>
      <w:r w:rsidRPr="007B28E7">
        <w:rPr>
          <w:szCs w:val="22"/>
        </w:rPr>
        <w:t xml:space="preserve"> as to be suitable for treatment</w:t>
      </w:r>
      <w:r w:rsidR="007646D9" w:rsidRPr="007B28E7">
        <w:rPr>
          <w:szCs w:val="22"/>
        </w:rPr>
        <w:t>,</w:t>
      </w:r>
      <w:r w:rsidRPr="007B28E7">
        <w:rPr>
          <w:szCs w:val="22"/>
        </w:rPr>
        <w:t xml:space="preserve"> patients are required to be fit and healthy with a good performance status despite having received a number of previous treatments for their mCRC</w:t>
      </w:r>
      <w:r w:rsidR="00A82A5B" w:rsidRPr="007B28E7">
        <w:rPr>
          <w:szCs w:val="22"/>
        </w:rPr>
        <w:t xml:space="preserve"> (</w:t>
      </w:r>
      <w:r w:rsidRPr="007B28E7">
        <w:rPr>
          <w:szCs w:val="22"/>
        </w:rPr>
        <w:t xml:space="preserve">paragraph </w:t>
      </w:r>
      <w:r w:rsidR="00A82A5B" w:rsidRPr="007B28E7">
        <w:rPr>
          <w:szCs w:val="22"/>
        </w:rPr>
        <w:t>7.12</w:t>
      </w:r>
      <w:r w:rsidRPr="007B28E7">
        <w:rPr>
          <w:szCs w:val="22"/>
        </w:rPr>
        <w:t>,</w:t>
      </w:r>
      <w:r w:rsidR="00A82A5B" w:rsidRPr="007B28E7">
        <w:rPr>
          <w:szCs w:val="22"/>
        </w:rPr>
        <w:t xml:space="preserve"> November 2016 </w:t>
      </w:r>
      <w:r w:rsidR="000159F8">
        <w:t>Public Summary Document</w:t>
      </w:r>
      <w:r w:rsidR="00A82A5B" w:rsidRPr="007B28E7">
        <w:rPr>
          <w:szCs w:val="22"/>
        </w:rPr>
        <w:t>).</w:t>
      </w:r>
      <w:r w:rsidR="009D0C41" w:rsidRPr="007B28E7">
        <w:rPr>
          <w:szCs w:val="22"/>
        </w:rPr>
        <w:t xml:space="preserve"> </w:t>
      </w:r>
    </w:p>
    <w:p w:rsidR="00573B4F" w:rsidRPr="007B28E7" w:rsidRDefault="00573B4F" w:rsidP="0054468E">
      <w:pPr>
        <w:pStyle w:val="ListParagraph"/>
        <w:rPr>
          <w:szCs w:val="22"/>
        </w:rPr>
      </w:pPr>
    </w:p>
    <w:p w:rsidR="00A82A5B" w:rsidRPr="007B28E7" w:rsidRDefault="00573B4F" w:rsidP="00573B4F">
      <w:pPr>
        <w:pStyle w:val="ListParagraph"/>
        <w:numPr>
          <w:ilvl w:val="1"/>
          <w:numId w:val="14"/>
        </w:numPr>
        <w:rPr>
          <w:szCs w:val="22"/>
        </w:rPr>
      </w:pPr>
      <w:r w:rsidRPr="007B28E7">
        <w:t>T</w:t>
      </w:r>
      <w:r w:rsidR="009D0C41" w:rsidRPr="007B28E7">
        <w:t xml:space="preserve">he minor </w:t>
      </w:r>
      <w:r w:rsidR="00A37D31" w:rsidRPr="007B28E7">
        <w:t>re</w:t>
      </w:r>
      <w:r w:rsidR="009D0C41" w:rsidRPr="007B28E7">
        <w:t>submission has include</w:t>
      </w:r>
      <w:r w:rsidRPr="007B28E7">
        <w:t>d</w:t>
      </w:r>
      <w:r w:rsidR="009D0C41" w:rsidRPr="007B28E7">
        <w:t xml:space="preserve"> the clinical criteria that </w:t>
      </w:r>
      <w:r w:rsidRPr="007B28E7">
        <w:t>patients</w:t>
      </w:r>
      <w:r w:rsidR="009D0C41" w:rsidRPr="007B28E7">
        <w:t xml:space="preserve"> must have a WHO performance status of ≤</w:t>
      </w:r>
      <w:r w:rsidR="007646D9" w:rsidRPr="007B28E7">
        <w:t>1;</w:t>
      </w:r>
      <w:r w:rsidRPr="007B28E7">
        <w:t xml:space="preserve"> however, </w:t>
      </w:r>
      <w:r w:rsidR="00D2650D" w:rsidRPr="007B28E7">
        <w:t>the</w:t>
      </w:r>
      <w:r w:rsidRPr="007B28E7">
        <w:t xml:space="preserve"> </w:t>
      </w:r>
      <w:r w:rsidR="002A67D6" w:rsidRPr="007B28E7">
        <w:rPr>
          <w:szCs w:val="22"/>
        </w:rPr>
        <w:t>submission</w:t>
      </w:r>
      <w:r w:rsidR="00D2650D" w:rsidRPr="007B28E7">
        <w:rPr>
          <w:szCs w:val="22"/>
        </w:rPr>
        <w:t xml:space="preserve"> </w:t>
      </w:r>
      <w:r w:rsidR="00687667" w:rsidRPr="007B28E7">
        <w:rPr>
          <w:szCs w:val="22"/>
        </w:rPr>
        <w:t xml:space="preserve">has not justified its view that the uptake assumptions </w:t>
      </w:r>
      <w:r w:rsidRPr="007B28E7">
        <w:rPr>
          <w:szCs w:val="22"/>
        </w:rPr>
        <w:t xml:space="preserve">from the November 2016 submission </w:t>
      </w:r>
      <w:r w:rsidR="00687667" w:rsidRPr="007B28E7">
        <w:rPr>
          <w:szCs w:val="22"/>
        </w:rPr>
        <w:t>should be retained.</w:t>
      </w:r>
    </w:p>
    <w:p w:rsidR="00965E59" w:rsidRPr="007B28E7" w:rsidRDefault="00965E59" w:rsidP="00C00DA7">
      <w:pPr>
        <w:pStyle w:val="ListParagraph"/>
        <w:ind w:left="709"/>
        <w:rPr>
          <w:szCs w:val="22"/>
        </w:rPr>
      </w:pPr>
    </w:p>
    <w:p w:rsidR="00687667" w:rsidRPr="007B28E7" w:rsidRDefault="00687667" w:rsidP="0023111F">
      <w:pPr>
        <w:pStyle w:val="Heading3"/>
      </w:pPr>
      <w:r w:rsidRPr="007B28E7">
        <w:t>Financial implications to manage adverse events</w:t>
      </w:r>
    </w:p>
    <w:p w:rsidR="005E3E1C" w:rsidRPr="007B28E7" w:rsidRDefault="005E3E1C" w:rsidP="00687667">
      <w:pPr>
        <w:jc w:val="both"/>
        <w:rPr>
          <w:rFonts w:ascii="Arial" w:hAnsi="Arial"/>
          <w:i/>
          <w:sz w:val="22"/>
          <w:szCs w:val="22"/>
          <w:u w:val="single"/>
        </w:rPr>
      </w:pPr>
    </w:p>
    <w:p w:rsidR="00B316E4" w:rsidRPr="007B28E7" w:rsidRDefault="00AF148D" w:rsidP="00C0226F">
      <w:pPr>
        <w:pStyle w:val="ListParagraph"/>
        <w:numPr>
          <w:ilvl w:val="1"/>
          <w:numId w:val="14"/>
        </w:numPr>
        <w:rPr>
          <w:szCs w:val="22"/>
        </w:rPr>
      </w:pPr>
      <w:r w:rsidRPr="007B28E7">
        <w:rPr>
          <w:szCs w:val="22"/>
        </w:rPr>
        <w:t>At its</w:t>
      </w:r>
      <w:r w:rsidR="00687667" w:rsidRPr="007B28E7">
        <w:rPr>
          <w:szCs w:val="22"/>
        </w:rPr>
        <w:t xml:space="preserve"> November 2016 </w:t>
      </w:r>
      <w:r w:rsidRPr="007B28E7">
        <w:rPr>
          <w:szCs w:val="22"/>
        </w:rPr>
        <w:t xml:space="preserve">meeting, the PBAC </w:t>
      </w:r>
      <w:r w:rsidR="00687667" w:rsidRPr="007B28E7">
        <w:rPr>
          <w:szCs w:val="22"/>
        </w:rPr>
        <w:t>noted that based on</w:t>
      </w:r>
      <w:r w:rsidRPr="007B28E7">
        <w:rPr>
          <w:szCs w:val="22"/>
        </w:rPr>
        <w:t xml:space="preserve"> data from</w:t>
      </w:r>
      <w:r w:rsidR="00687667" w:rsidRPr="007B28E7">
        <w:rPr>
          <w:szCs w:val="22"/>
        </w:rPr>
        <w:t xml:space="preserve"> the RECOURSE trial, </w:t>
      </w:r>
      <w:r w:rsidRPr="007B28E7">
        <w:rPr>
          <w:szCs w:val="22"/>
        </w:rPr>
        <w:t>9.4% of</w:t>
      </w:r>
      <w:r w:rsidR="00687667" w:rsidRPr="007B28E7">
        <w:rPr>
          <w:szCs w:val="22"/>
        </w:rPr>
        <w:t xml:space="preserve"> patients will require treatment for neutropenia</w:t>
      </w:r>
      <w:r w:rsidR="00576612" w:rsidRPr="007B28E7">
        <w:rPr>
          <w:szCs w:val="22"/>
        </w:rPr>
        <w:t>, which would incur additional</w:t>
      </w:r>
      <w:r w:rsidR="00687667" w:rsidRPr="007B28E7">
        <w:rPr>
          <w:szCs w:val="22"/>
        </w:rPr>
        <w:t xml:space="preserve"> hospital based costs (</w:t>
      </w:r>
      <w:r w:rsidR="00576612" w:rsidRPr="007B28E7">
        <w:rPr>
          <w:szCs w:val="22"/>
        </w:rPr>
        <w:t xml:space="preserve">paragraph </w:t>
      </w:r>
      <w:r w:rsidR="00687667" w:rsidRPr="007B28E7">
        <w:rPr>
          <w:szCs w:val="22"/>
        </w:rPr>
        <w:t>6.45</w:t>
      </w:r>
      <w:r w:rsidR="00576612" w:rsidRPr="007B28E7">
        <w:rPr>
          <w:szCs w:val="22"/>
        </w:rPr>
        <w:t>,</w:t>
      </w:r>
      <w:r w:rsidR="00687667" w:rsidRPr="007B28E7">
        <w:rPr>
          <w:szCs w:val="22"/>
        </w:rPr>
        <w:t xml:space="preserve"> November 2016 </w:t>
      </w:r>
      <w:r w:rsidR="000159F8">
        <w:t>Public Summary Document</w:t>
      </w:r>
      <w:r w:rsidR="00687667" w:rsidRPr="007B28E7">
        <w:rPr>
          <w:szCs w:val="22"/>
        </w:rPr>
        <w:t>). Costs to the MBS were included in the economic model for physician visits and for full blood count determinations but these were excluded from the financial estimates.</w:t>
      </w:r>
      <w:r w:rsidR="00576612" w:rsidRPr="007B28E7">
        <w:rPr>
          <w:szCs w:val="22"/>
        </w:rPr>
        <w:t xml:space="preserve"> </w:t>
      </w:r>
      <w:r w:rsidR="007A66B7" w:rsidRPr="007B28E7">
        <w:t>The</w:t>
      </w:r>
      <w:r w:rsidR="00C0226F" w:rsidRPr="007B28E7">
        <w:t xml:space="preserve"> </w:t>
      </w:r>
      <w:r w:rsidR="00B316E4" w:rsidRPr="007B28E7">
        <w:rPr>
          <w:szCs w:val="22"/>
        </w:rPr>
        <w:t xml:space="preserve">pre-PBAC response </w:t>
      </w:r>
      <w:r w:rsidR="007A66B7" w:rsidRPr="007B28E7">
        <w:rPr>
          <w:szCs w:val="22"/>
        </w:rPr>
        <w:t xml:space="preserve">for this minor resubmission </w:t>
      </w:r>
      <w:r w:rsidR="00B316E4" w:rsidRPr="007B28E7">
        <w:rPr>
          <w:szCs w:val="22"/>
        </w:rPr>
        <w:t xml:space="preserve">(p4) </w:t>
      </w:r>
      <w:r w:rsidR="007A66B7" w:rsidRPr="007B28E7">
        <w:rPr>
          <w:szCs w:val="22"/>
        </w:rPr>
        <w:t xml:space="preserve">estimated the net implications for the MBS </w:t>
      </w:r>
      <w:r w:rsidR="003C493A" w:rsidRPr="007B28E7">
        <w:rPr>
          <w:szCs w:val="22"/>
        </w:rPr>
        <w:t>to</w:t>
      </w:r>
      <w:r w:rsidR="004C1F3C" w:rsidRPr="007B28E7">
        <w:rPr>
          <w:szCs w:val="22"/>
        </w:rPr>
        <w:t xml:space="preserve"> be </w:t>
      </w:r>
      <w:r w:rsidR="000159F8">
        <w:rPr>
          <w:szCs w:val="22"/>
        </w:rPr>
        <w:t>less than $10 million</w:t>
      </w:r>
      <w:r w:rsidR="004C1F3C" w:rsidRPr="007B28E7">
        <w:rPr>
          <w:szCs w:val="22"/>
        </w:rPr>
        <w:t xml:space="preserve"> in Year 1 increasing to </w:t>
      </w:r>
      <w:r w:rsidR="000159F8">
        <w:rPr>
          <w:szCs w:val="22"/>
        </w:rPr>
        <w:t>less than $10 million</w:t>
      </w:r>
      <w:r w:rsidR="004C1F3C" w:rsidRPr="007B28E7">
        <w:rPr>
          <w:szCs w:val="22"/>
        </w:rPr>
        <w:t xml:space="preserve"> by Year 6. </w:t>
      </w:r>
    </w:p>
    <w:p w:rsidR="008434A3" w:rsidRPr="007B28E7" w:rsidRDefault="008434A3" w:rsidP="0054468E">
      <w:pPr>
        <w:pStyle w:val="ListParagraph"/>
        <w:rPr>
          <w:szCs w:val="22"/>
        </w:rPr>
      </w:pPr>
    </w:p>
    <w:p w:rsidR="002613C5" w:rsidRPr="007B28E7" w:rsidRDefault="002613C5" w:rsidP="002613C5">
      <w:pPr>
        <w:pStyle w:val="Heading2"/>
      </w:pPr>
      <w:r w:rsidRPr="007B28E7">
        <w:t>Financial Management – Risk-sharing Arrangements</w:t>
      </w:r>
    </w:p>
    <w:p w:rsidR="002613C5" w:rsidRPr="007B28E7" w:rsidRDefault="002613C5" w:rsidP="00C00DA7">
      <w:pPr>
        <w:pStyle w:val="ListParagraph"/>
        <w:ind w:left="709"/>
        <w:rPr>
          <w:szCs w:val="22"/>
        </w:rPr>
      </w:pPr>
    </w:p>
    <w:p w:rsidR="00CE10C4" w:rsidRPr="007B28E7" w:rsidRDefault="002613C5" w:rsidP="007260B4">
      <w:pPr>
        <w:pStyle w:val="ListParagraph"/>
        <w:numPr>
          <w:ilvl w:val="1"/>
          <w:numId w:val="14"/>
        </w:numPr>
        <w:rPr>
          <w:szCs w:val="22"/>
        </w:rPr>
      </w:pPr>
      <w:r w:rsidRPr="007B28E7">
        <w:rPr>
          <w:color w:val="000000" w:themeColor="text1"/>
          <w:szCs w:val="22"/>
        </w:rPr>
        <w:t xml:space="preserve">The minor </w:t>
      </w:r>
      <w:r w:rsidR="00A37D31" w:rsidRPr="007B28E7">
        <w:rPr>
          <w:color w:val="000000" w:themeColor="text1"/>
          <w:szCs w:val="22"/>
        </w:rPr>
        <w:t>re</w:t>
      </w:r>
      <w:r w:rsidR="002A67D6" w:rsidRPr="007B28E7">
        <w:rPr>
          <w:color w:val="000000" w:themeColor="text1"/>
          <w:szCs w:val="22"/>
        </w:rPr>
        <w:t>submission</w:t>
      </w:r>
      <w:r w:rsidRPr="007B28E7">
        <w:rPr>
          <w:color w:val="000000" w:themeColor="text1"/>
          <w:szCs w:val="22"/>
        </w:rPr>
        <w:t xml:space="preserve"> </w:t>
      </w:r>
      <w:r w:rsidR="00573B4F" w:rsidRPr="007B28E7">
        <w:rPr>
          <w:color w:val="000000" w:themeColor="text1"/>
          <w:szCs w:val="22"/>
        </w:rPr>
        <w:t>proposed</w:t>
      </w:r>
      <w:r w:rsidR="003130F6" w:rsidRPr="007B28E7">
        <w:rPr>
          <w:color w:val="000000" w:themeColor="text1"/>
          <w:szCs w:val="22"/>
        </w:rPr>
        <w:t xml:space="preserve"> a further </w:t>
      </w:r>
      <w:r w:rsidR="00FF6257">
        <w:rPr>
          <w:noProof/>
          <w:color w:val="000000"/>
          <w:szCs w:val="22"/>
          <w:highlight w:val="black"/>
        </w:rPr>
        <w:t>''''''</w:t>
      </w:r>
      <w:r w:rsidR="003130F6" w:rsidRPr="007B28E7">
        <w:rPr>
          <w:color w:val="000000" w:themeColor="text1"/>
          <w:szCs w:val="22"/>
        </w:rPr>
        <w:t xml:space="preserve">% rebate (total </w:t>
      </w:r>
      <w:r w:rsidR="00FF6257">
        <w:rPr>
          <w:noProof/>
          <w:color w:val="000000"/>
          <w:szCs w:val="22"/>
          <w:highlight w:val="black"/>
        </w:rPr>
        <w:t>''''''''''''</w:t>
      </w:r>
      <w:r w:rsidR="003130F6" w:rsidRPr="007B28E7">
        <w:rPr>
          <w:color w:val="000000" w:themeColor="text1"/>
          <w:szCs w:val="22"/>
        </w:rPr>
        <w:t>%) for any</w:t>
      </w:r>
      <w:r w:rsidR="00573B4F" w:rsidRPr="007B28E7">
        <w:rPr>
          <w:color w:val="000000" w:themeColor="text1"/>
          <w:szCs w:val="22"/>
        </w:rPr>
        <w:t xml:space="preserve"> </w:t>
      </w:r>
      <w:r w:rsidR="003130F6" w:rsidRPr="007B28E7">
        <w:rPr>
          <w:color w:val="000000" w:themeColor="text1"/>
          <w:szCs w:val="22"/>
        </w:rPr>
        <w:t>expenditure that exceeds the annual subsidisation caps by up to 20%</w:t>
      </w:r>
      <w:r w:rsidR="00573B4F" w:rsidRPr="007B28E7">
        <w:rPr>
          <w:color w:val="000000" w:themeColor="text1"/>
          <w:szCs w:val="22"/>
        </w:rPr>
        <w:t>,</w:t>
      </w:r>
      <w:r w:rsidR="003130F6" w:rsidRPr="007B28E7">
        <w:rPr>
          <w:color w:val="000000" w:themeColor="text1"/>
          <w:szCs w:val="22"/>
        </w:rPr>
        <w:t xml:space="preserve"> and an additional </w:t>
      </w:r>
      <w:r w:rsidR="00FF6257">
        <w:rPr>
          <w:noProof/>
          <w:color w:val="000000"/>
          <w:szCs w:val="22"/>
          <w:highlight w:val="black"/>
        </w:rPr>
        <w:t>''''''</w:t>
      </w:r>
      <w:r w:rsidR="003130F6" w:rsidRPr="007B28E7">
        <w:rPr>
          <w:color w:val="000000" w:themeColor="text1"/>
          <w:szCs w:val="22"/>
        </w:rPr>
        <w:t xml:space="preserve">% rebate (total </w:t>
      </w:r>
      <w:r w:rsidR="00FF6257">
        <w:rPr>
          <w:noProof/>
          <w:color w:val="000000"/>
          <w:szCs w:val="22"/>
          <w:highlight w:val="black"/>
        </w:rPr>
        <w:t>'''''''''''</w:t>
      </w:r>
      <w:r w:rsidR="003130F6" w:rsidRPr="007B28E7">
        <w:rPr>
          <w:color w:val="000000" w:themeColor="text1"/>
          <w:szCs w:val="22"/>
        </w:rPr>
        <w:t xml:space="preserve">%) for any expenditure that exceeds the annual subsidisation caps by more than 20%. The minor </w:t>
      </w:r>
      <w:r w:rsidR="00A37D31" w:rsidRPr="007B28E7">
        <w:rPr>
          <w:color w:val="000000" w:themeColor="text1"/>
          <w:szCs w:val="22"/>
        </w:rPr>
        <w:t>re</w:t>
      </w:r>
      <w:r w:rsidR="002A67D6" w:rsidRPr="007B28E7">
        <w:rPr>
          <w:color w:val="000000" w:themeColor="text1"/>
          <w:szCs w:val="22"/>
        </w:rPr>
        <w:t>submission</w:t>
      </w:r>
      <w:r w:rsidR="000E1AAA" w:rsidRPr="007B28E7">
        <w:rPr>
          <w:color w:val="000000" w:themeColor="text1"/>
          <w:szCs w:val="22"/>
        </w:rPr>
        <w:t xml:space="preserve"> did not propose what the annual subsidisation caps should be. </w:t>
      </w:r>
      <w:r w:rsidR="008B623F" w:rsidRPr="007B28E7">
        <w:rPr>
          <w:color w:val="000000" w:themeColor="text1"/>
          <w:szCs w:val="22"/>
        </w:rPr>
        <w:t>The pre-PBAC response</w:t>
      </w:r>
      <w:r w:rsidR="006C23FA" w:rsidRPr="007B28E7">
        <w:rPr>
          <w:color w:val="000000" w:themeColor="text1"/>
          <w:szCs w:val="22"/>
        </w:rPr>
        <w:t xml:space="preserve">  indicated that the proposed subsidisation caps correspond to the estimated net cost to the PBS.</w:t>
      </w:r>
    </w:p>
    <w:p w:rsidR="00760854" w:rsidRPr="007B28E7" w:rsidRDefault="00760854">
      <w:pPr>
        <w:rPr>
          <w:rFonts w:ascii="Arial" w:hAnsi="Arial" w:cs="Arial"/>
          <w:i/>
          <w:sz w:val="22"/>
          <w:szCs w:val="22"/>
          <w:highlight w:val="yellow"/>
        </w:rPr>
      </w:pPr>
    </w:p>
    <w:p w:rsidR="00F64CC1" w:rsidRPr="007B28E7" w:rsidRDefault="00760854" w:rsidP="001052F2">
      <w:pPr>
        <w:ind w:firstLine="720"/>
        <w:rPr>
          <w:rFonts w:ascii="Arial" w:hAnsi="Arial" w:cs="Arial"/>
          <w:i/>
          <w:color w:val="000000" w:themeColor="text1"/>
          <w:sz w:val="22"/>
          <w:szCs w:val="22"/>
        </w:rPr>
      </w:pPr>
      <w:r w:rsidRPr="007B28E7">
        <w:rPr>
          <w:rFonts w:ascii="Arial" w:hAnsi="Arial" w:cs="Arial"/>
          <w:i/>
          <w:color w:val="000000" w:themeColor="text1"/>
          <w:sz w:val="22"/>
          <w:szCs w:val="22"/>
        </w:rPr>
        <w:t>For more deta</w:t>
      </w:r>
      <w:r w:rsidR="001052F2" w:rsidRPr="007B28E7">
        <w:rPr>
          <w:rFonts w:ascii="Arial" w:hAnsi="Arial" w:cs="Arial"/>
          <w:i/>
          <w:color w:val="000000" w:themeColor="text1"/>
          <w:sz w:val="22"/>
          <w:szCs w:val="22"/>
        </w:rPr>
        <w:t>il on PBAC’s view, see section 5</w:t>
      </w:r>
      <w:r w:rsidRPr="007B28E7">
        <w:rPr>
          <w:rFonts w:ascii="Arial" w:hAnsi="Arial" w:cs="Arial"/>
          <w:i/>
          <w:color w:val="000000" w:themeColor="text1"/>
          <w:sz w:val="22"/>
          <w:szCs w:val="22"/>
        </w:rPr>
        <w:t xml:space="preserve"> “PBAC outcome”</w:t>
      </w:r>
    </w:p>
    <w:p w:rsidR="001052F2" w:rsidRDefault="001052F2" w:rsidP="001052F2">
      <w:pPr>
        <w:ind w:firstLine="720"/>
        <w:rPr>
          <w:rFonts w:ascii="Arial" w:hAnsi="Arial" w:cs="Arial"/>
          <w:color w:val="000000" w:themeColor="text1"/>
          <w:sz w:val="22"/>
          <w:szCs w:val="22"/>
        </w:rPr>
      </w:pPr>
    </w:p>
    <w:p w:rsidR="00E964FC" w:rsidRPr="00E964FC" w:rsidRDefault="00E964FC" w:rsidP="001052F2">
      <w:pPr>
        <w:ind w:firstLine="720"/>
        <w:rPr>
          <w:rFonts w:ascii="Arial" w:hAnsi="Arial" w:cs="Arial"/>
          <w:color w:val="000000" w:themeColor="text1"/>
          <w:sz w:val="22"/>
          <w:szCs w:val="22"/>
        </w:rPr>
      </w:pPr>
    </w:p>
    <w:p w:rsidR="001052F2" w:rsidRPr="007B28E7" w:rsidRDefault="001052F2" w:rsidP="00FF5B43">
      <w:pPr>
        <w:pStyle w:val="PBACHeading1"/>
      </w:pPr>
      <w:r w:rsidRPr="007B28E7">
        <w:t>PBAC Outcome</w:t>
      </w:r>
    </w:p>
    <w:p w:rsidR="001052F2" w:rsidRPr="007B28E7" w:rsidRDefault="001052F2" w:rsidP="001052F2">
      <w:pPr>
        <w:widowControl w:val="0"/>
        <w:jc w:val="both"/>
        <w:rPr>
          <w:rFonts w:ascii="Arial" w:hAnsi="Arial" w:cs="Arial"/>
          <w:b/>
          <w:bCs/>
          <w:snapToGrid w:val="0"/>
          <w:sz w:val="22"/>
          <w:szCs w:val="20"/>
          <w:highlight w:val="yellow"/>
        </w:rPr>
      </w:pPr>
    </w:p>
    <w:p w:rsidR="00762271" w:rsidRPr="007B28E7" w:rsidRDefault="00762271" w:rsidP="00762271">
      <w:pPr>
        <w:pStyle w:val="ListParagraph"/>
        <w:numPr>
          <w:ilvl w:val="1"/>
          <w:numId w:val="5"/>
        </w:numPr>
        <w:rPr>
          <w:bCs/>
          <w:lang w:eastAsia="en-AU"/>
        </w:rPr>
      </w:pPr>
      <w:r w:rsidRPr="007B28E7">
        <w:rPr>
          <w:bCs/>
          <w:lang w:eastAsia="en-AU"/>
        </w:rPr>
        <w:t>The PBAC did not recommend the listing of trifluridine with tipiracil on the PBS for treatment of patients with metastatic colorectal cancer (mCRC) who have been treated previously with or are not considered suitable for currently available therapies</w:t>
      </w:r>
      <w:r w:rsidR="00351AC3" w:rsidRPr="007B28E7">
        <w:rPr>
          <w:bCs/>
          <w:lang w:eastAsia="en-AU"/>
        </w:rPr>
        <w:t xml:space="preserve"> on the basis of a</w:t>
      </w:r>
      <w:r w:rsidR="00F44FBA" w:rsidRPr="007B28E7">
        <w:rPr>
          <w:bCs/>
          <w:lang w:eastAsia="en-AU"/>
        </w:rPr>
        <w:t xml:space="preserve"> modest clinical benefit</w:t>
      </w:r>
      <w:r w:rsidR="00351AC3" w:rsidRPr="007B28E7">
        <w:rPr>
          <w:bCs/>
          <w:lang w:eastAsia="en-AU"/>
        </w:rPr>
        <w:t xml:space="preserve">, moderate toxicity and a high and uncertain </w:t>
      </w:r>
      <w:r w:rsidR="00351AC3" w:rsidRPr="007B28E7">
        <w:rPr>
          <w:szCs w:val="22"/>
        </w:rPr>
        <w:t>incremental cost-effectiveness ratio</w:t>
      </w:r>
      <w:r w:rsidR="00351AC3" w:rsidRPr="007B28E7">
        <w:rPr>
          <w:bCs/>
          <w:lang w:eastAsia="en-AU"/>
        </w:rPr>
        <w:t xml:space="preserve"> given the extent of benefit observed in the trial setting may not be realised in clinical practice.</w:t>
      </w:r>
    </w:p>
    <w:p w:rsidR="00762271" w:rsidRPr="007B28E7" w:rsidRDefault="00762271" w:rsidP="00762271">
      <w:pPr>
        <w:pStyle w:val="ListParagraph"/>
        <w:rPr>
          <w:bCs/>
          <w:lang w:eastAsia="en-AU"/>
        </w:rPr>
      </w:pPr>
    </w:p>
    <w:p w:rsidR="00B45AB2" w:rsidRPr="007B28E7" w:rsidRDefault="0094113F" w:rsidP="00B316E4">
      <w:pPr>
        <w:pStyle w:val="ListParagraph"/>
        <w:numPr>
          <w:ilvl w:val="1"/>
          <w:numId w:val="5"/>
        </w:numPr>
        <w:rPr>
          <w:bCs/>
          <w:lang w:eastAsia="en-AU"/>
        </w:rPr>
      </w:pPr>
      <w:r w:rsidRPr="007B28E7">
        <w:rPr>
          <w:bCs/>
          <w:lang w:eastAsia="en-AU"/>
        </w:rPr>
        <w:t>The PBAC reiterated its view that there is an unmet clinical need for additional effective and well-tolerated therapies for patients with mCRC who have failed or are unsuitable for the currently available therapies.</w:t>
      </w:r>
    </w:p>
    <w:p w:rsidR="00542C3D" w:rsidRPr="007B28E7" w:rsidRDefault="00542C3D" w:rsidP="0047007B">
      <w:pPr>
        <w:pStyle w:val="ListParagraph"/>
        <w:rPr>
          <w:bCs/>
          <w:lang w:eastAsia="en-AU"/>
        </w:rPr>
      </w:pPr>
    </w:p>
    <w:p w:rsidR="00542C3D" w:rsidRPr="007B28E7" w:rsidRDefault="00542C3D" w:rsidP="00B316E4">
      <w:pPr>
        <w:pStyle w:val="ListParagraph"/>
        <w:numPr>
          <w:ilvl w:val="1"/>
          <w:numId w:val="5"/>
        </w:numPr>
        <w:rPr>
          <w:bCs/>
          <w:lang w:eastAsia="en-AU"/>
        </w:rPr>
      </w:pPr>
      <w:r w:rsidRPr="007B28E7">
        <w:rPr>
          <w:bCs/>
          <w:lang w:eastAsia="en-AU"/>
        </w:rPr>
        <w:t xml:space="preserve">The PBAC noted </w:t>
      </w:r>
      <w:r w:rsidRPr="007B28E7">
        <w:rPr>
          <w:bCs/>
          <w:szCs w:val="22"/>
        </w:rPr>
        <w:t xml:space="preserve">MOGA expressed support for the trifluridine/tipiracil submission, </w:t>
      </w:r>
      <w:r w:rsidR="00822E88" w:rsidRPr="007B28E7">
        <w:rPr>
          <w:bCs/>
          <w:szCs w:val="22"/>
        </w:rPr>
        <w:t>and</w:t>
      </w:r>
      <w:r w:rsidRPr="007B28E7">
        <w:rPr>
          <w:bCs/>
          <w:szCs w:val="22"/>
        </w:rPr>
        <w:t xml:space="preserve"> based on </w:t>
      </w:r>
      <w:r w:rsidRPr="007B28E7">
        <w:rPr>
          <w:bCs/>
          <w:szCs w:val="22"/>
          <w:lang w:eastAsia="en-AU"/>
        </w:rPr>
        <w:t>the European Society for Medical Oncology Magnitude of Clinical Benefit Scale (ESMO-MCBS) the rating was limited to 2 (out of a maximum of 5, where 5 and 4 represent the grades with substantial improvement).</w:t>
      </w:r>
    </w:p>
    <w:p w:rsidR="00B45AB2" w:rsidRPr="007B28E7" w:rsidRDefault="00B45AB2" w:rsidP="00B45AB2">
      <w:pPr>
        <w:pStyle w:val="ListParagraph"/>
        <w:rPr>
          <w:bCs/>
          <w:lang w:eastAsia="en-AU"/>
        </w:rPr>
      </w:pPr>
    </w:p>
    <w:p w:rsidR="0094113F" w:rsidRPr="007B28E7" w:rsidRDefault="00B45AB2" w:rsidP="008A5AB9">
      <w:pPr>
        <w:pStyle w:val="ListParagraph"/>
        <w:numPr>
          <w:ilvl w:val="1"/>
          <w:numId w:val="5"/>
        </w:numPr>
        <w:rPr>
          <w:bCs/>
          <w:lang w:eastAsia="en-AU"/>
        </w:rPr>
      </w:pPr>
      <w:r w:rsidRPr="007B28E7">
        <w:rPr>
          <w:bCs/>
          <w:lang w:eastAsia="en-AU"/>
        </w:rPr>
        <w:t xml:space="preserve">The PBAC noted that the minor </w:t>
      </w:r>
      <w:r w:rsidR="00822E88" w:rsidRPr="007B28E7">
        <w:rPr>
          <w:bCs/>
          <w:lang w:eastAsia="en-AU"/>
        </w:rPr>
        <w:t>re</w:t>
      </w:r>
      <w:r w:rsidRPr="007B28E7">
        <w:rPr>
          <w:bCs/>
          <w:lang w:eastAsia="en-AU"/>
        </w:rPr>
        <w:t>submission was made unde</w:t>
      </w:r>
      <w:r w:rsidR="00EF4138" w:rsidRPr="007B28E7">
        <w:rPr>
          <w:bCs/>
          <w:lang w:eastAsia="en-AU"/>
        </w:rPr>
        <w:t>r the TGA/PBAC parallel process</w:t>
      </w:r>
      <w:r w:rsidR="00822E88" w:rsidRPr="007B28E7">
        <w:rPr>
          <w:bCs/>
          <w:lang w:eastAsia="en-AU"/>
        </w:rPr>
        <w:t xml:space="preserve">, and that </w:t>
      </w:r>
      <w:r w:rsidR="00E458BB" w:rsidRPr="007B28E7">
        <w:rPr>
          <w:bCs/>
          <w:szCs w:val="22"/>
        </w:rPr>
        <w:t xml:space="preserve">the TGA Delegate’s overview (for the April 2017 meeting of Advisory Committee on Medicines) was </w:t>
      </w:r>
      <w:r w:rsidR="00822E88" w:rsidRPr="007B28E7">
        <w:rPr>
          <w:bCs/>
          <w:szCs w:val="22"/>
        </w:rPr>
        <w:t xml:space="preserve">not available one week prior to the PBAC meeting. </w:t>
      </w:r>
    </w:p>
    <w:p w:rsidR="00EF4138" w:rsidRPr="007B28E7" w:rsidRDefault="00EF4138" w:rsidP="00EF4138">
      <w:pPr>
        <w:pStyle w:val="ListParagraph"/>
        <w:rPr>
          <w:bCs/>
          <w:lang w:eastAsia="en-AU"/>
        </w:rPr>
      </w:pPr>
    </w:p>
    <w:p w:rsidR="00E8442F" w:rsidRPr="007B28E7" w:rsidRDefault="00EF4138" w:rsidP="00B316E4">
      <w:pPr>
        <w:pStyle w:val="ListParagraph"/>
        <w:numPr>
          <w:ilvl w:val="1"/>
          <w:numId w:val="5"/>
        </w:numPr>
        <w:rPr>
          <w:bCs/>
          <w:lang w:eastAsia="en-AU"/>
        </w:rPr>
      </w:pPr>
      <w:r w:rsidRPr="007B28E7">
        <w:rPr>
          <w:bCs/>
          <w:lang w:eastAsia="en-AU"/>
        </w:rPr>
        <w:t xml:space="preserve">The PBAC noted that the minor </w:t>
      </w:r>
      <w:r w:rsidR="00822E88" w:rsidRPr="007B28E7">
        <w:rPr>
          <w:bCs/>
          <w:lang w:eastAsia="en-AU"/>
        </w:rPr>
        <w:t>re</w:t>
      </w:r>
      <w:r w:rsidRPr="007B28E7">
        <w:rPr>
          <w:bCs/>
          <w:lang w:eastAsia="en-AU"/>
        </w:rPr>
        <w:t>submission was based on the poole</w:t>
      </w:r>
      <w:r w:rsidR="009659D6" w:rsidRPr="007B28E7">
        <w:rPr>
          <w:bCs/>
          <w:lang w:eastAsia="en-AU"/>
        </w:rPr>
        <w:t>d analysis of the RECOURSE and J003 (previously presented as supportive evidence) trials</w:t>
      </w:r>
      <w:r w:rsidR="00822E88" w:rsidRPr="007B28E7">
        <w:rPr>
          <w:bCs/>
          <w:lang w:eastAsia="en-AU"/>
        </w:rPr>
        <w:t>, and that</w:t>
      </w:r>
      <w:r w:rsidR="00822E88" w:rsidRPr="007B28E7">
        <w:rPr>
          <w:szCs w:val="22"/>
        </w:rPr>
        <w:t xml:space="preserve"> the </w:t>
      </w:r>
      <w:r w:rsidR="007A66B7" w:rsidRPr="007B28E7">
        <w:rPr>
          <w:szCs w:val="22"/>
        </w:rPr>
        <w:t>estimated mean OS gain for the pooled analysis was</w:t>
      </w:r>
      <w:r w:rsidR="00822E88" w:rsidRPr="007B28E7">
        <w:rPr>
          <w:szCs w:val="22"/>
        </w:rPr>
        <w:t xml:space="preserve"> similar to </w:t>
      </w:r>
      <w:r w:rsidR="007A66B7" w:rsidRPr="007B28E7">
        <w:rPr>
          <w:szCs w:val="22"/>
        </w:rPr>
        <w:t>that</w:t>
      </w:r>
      <w:r w:rsidR="00822E88" w:rsidRPr="007B28E7">
        <w:rPr>
          <w:szCs w:val="22"/>
        </w:rPr>
        <w:t xml:space="preserve"> based on the RECOURSE trial only (</w:t>
      </w:r>
      <w:r w:rsidR="00B31A97" w:rsidRPr="007B28E7">
        <w:rPr>
          <w:szCs w:val="22"/>
        </w:rPr>
        <w:t xml:space="preserve">2.6 months and </w:t>
      </w:r>
      <w:r w:rsidR="00822E88" w:rsidRPr="007B28E7">
        <w:rPr>
          <w:szCs w:val="22"/>
        </w:rPr>
        <w:t>2.5 months</w:t>
      </w:r>
      <w:r w:rsidR="00B31A97" w:rsidRPr="007B28E7">
        <w:rPr>
          <w:szCs w:val="22"/>
        </w:rPr>
        <w:t>, respectively</w:t>
      </w:r>
      <w:r w:rsidR="00822E88" w:rsidRPr="007B28E7">
        <w:rPr>
          <w:szCs w:val="22"/>
        </w:rPr>
        <w:t xml:space="preserve">). </w:t>
      </w:r>
      <w:r w:rsidR="009659D6" w:rsidRPr="007B28E7">
        <w:rPr>
          <w:bCs/>
          <w:lang w:eastAsia="en-AU"/>
        </w:rPr>
        <w:t xml:space="preserve">The PBAC </w:t>
      </w:r>
      <w:r w:rsidR="00B31A97" w:rsidRPr="007B28E7">
        <w:rPr>
          <w:bCs/>
          <w:lang w:eastAsia="en-AU"/>
        </w:rPr>
        <w:t>considered</w:t>
      </w:r>
      <w:r w:rsidR="002250CF" w:rsidRPr="007B28E7">
        <w:rPr>
          <w:bCs/>
          <w:lang w:eastAsia="en-AU"/>
        </w:rPr>
        <w:t xml:space="preserve"> the magnitude of </w:t>
      </w:r>
      <w:r w:rsidR="00B31A97" w:rsidRPr="007B28E7">
        <w:rPr>
          <w:bCs/>
          <w:lang w:eastAsia="en-AU"/>
        </w:rPr>
        <w:t xml:space="preserve">the </w:t>
      </w:r>
      <w:r w:rsidR="002250CF" w:rsidRPr="007B28E7">
        <w:rPr>
          <w:bCs/>
          <w:lang w:eastAsia="en-AU"/>
        </w:rPr>
        <w:t xml:space="preserve">benefit </w:t>
      </w:r>
      <w:r w:rsidR="00B31A97" w:rsidRPr="007B28E7">
        <w:rPr>
          <w:bCs/>
          <w:lang w:eastAsia="en-AU"/>
        </w:rPr>
        <w:t xml:space="preserve">to be </w:t>
      </w:r>
      <w:r w:rsidR="002250CF" w:rsidRPr="007B28E7">
        <w:rPr>
          <w:bCs/>
          <w:lang w:eastAsia="en-AU"/>
        </w:rPr>
        <w:t>modest</w:t>
      </w:r>
      <w:r w:rsidR="007A234C" w:rsidRPr="007B28E7">
        <w:rPr>
          <w:bCs/>
          <w:lang w:eastAsia="en-AU"/>
        </w:rPr>
        <w:t>.</w:t>
      </w:r>
      <w:r w:rsidR="00E11CF8" w:rsidRPr="007B28E7">
        <w:rPr>
          <w:bCs/>
          <w:lang w:eastAsia="en-AU"/>
        </w:rPr>
        <w:t xml:space="preserve"> </w:t>
      </w:r>
      <w:r w:rsidR="00B21E3C" w:rsidRPr="007B28E7">
        <w:rPr>
          <w:bCs/>
          <w:lang w:eastAsia="en-AU"/>
        </w:rPr>
        <w:t xml:space="preserve">The PBAC reiterated its </w:t>
      </w:r>
      <w:r w:rsidR="00B31A97" w:rsidRPr="007B28E7">
        <w:rPr>
          <w:bCs/>
          <w:lang w:eastAsia="en-AU"/>
        </w:rPr>
        <w:t xml:space="preserve">previous </w:t>
      </w:r>
      <w:r w:rsidR="00B21E3C" w:rsidRPr="007B28E7">
        <w:rPr>
          <w:bCs/>
          <w:lang w:eastAsia="en-AU"/>
        </w:rPr>
        <w:t xml:space="preserve">concern that the magnitude of benefit observed in the trials </w:t>
      </w:r>
      <w:r w:rsidR="005C3250" w:rsidRPr="007B28E7">
        <w:rPr>
          <w:bCs/>
          <w:lang w:eastAsia="en-AU"/>
        </w:rPr>
        <w:t xml:space="preserve">may not be realised in clinical practice. </w:t>
      </w:r>
    </w:p>
    <w:p w:rsidR="00E8442F" w:rsidRPr="007B28E7" w:rsidRDefault="00E8442F" w:rsidP="00E8442F">
      <w:pPr>
        <w:pStyle w:val="ListParagraph"/>
        <w:rPr>
          <w:bCs/>
        </w:rPr>
      </w:pPr>
    </w:p>
    <w:p w:rsidR="007A66B7" w:rsidRPr="007B28E7" w:rsidRDefault="00E9101E" w:rsidP="00FF5B43">
      <w:pPr>
        <w:pStyle w:val="ListParagraph"/>
        <w:numPr>
          <w:ilvl w:val="1"/>
          <w:numId w:val="5"/>
        </w:numPr>
        <w:rPr>
          <w:bCs/>
          <w:lang w:eastAsia="en-AU"/>
        </w:rPr>
      </w:pPr>
      <w:r w:rsidRPr="007B28E7">
        <w:rPr>
          <w:bCs/>
        </w:rPr>
        <w:t xml:space="preserve">The PBAC noted the </w:t>
      </w:r>
      <w:r w:rsidR="009273BB" w:rsidRPr="007B28E7">
        <w:rPr>
          <w:bCs/>
        </w:rPr>
        <w:t xml:space="preserve">revised </w:t>
      </w:r>
      <w:r w:rsidRPr="007B28E7">
        <w:rPr>
          <w:bCs/>
        </w:rPr>
        <w:t xml:space="preserve">economic model </w:t>
      </w:r>
      <w:r w:rsidR="007A66B7" w:rsidRPr="007B28E7">
        <w:rPr>
          <w:bCs/>
        </w:rPr>
        <w:t>partitioned overall survival</w:t>
      </w:r>
      <w:r w:rsidRPr="007B28E7">
        <w:rPr>
          <w:bCs/>
        </w:rPr>
        <w:t xml:space="preserve"> based on prog</w:t>
      </w:r>
      <w:r w:rsidR="00EC5C3F" w:rsidRPr="007B28E7">
        <w:rPr>
          <w:bCs/>
        </w:rPr>
        <w:t>ression and applied utility values based on the regorafenib mCRC trial</w:t>
      </w:r>
      <w:r w:rsidR="007A66B7" w:rsidRPr="007B28E7">
        <w:rPr>
          <w:bCs/>
        </w:rPr>
        <w:t xml:space="preserve"> as advised by the PBAC at its November 2016 meeting</w:t>
      </w:r>
      <w:r w:rsidR="00E11CF8" w:rsidRPr="007B28E7">
        <w:rPr>
          <w:bCs/>
        </w:rPr>
        <w:t xml:space="preserve">. </w:t>
      </w:r>
    </w:p>
    <w:p w:rsidR="007A66B7" w:rsidRPr="007B28E7" w:rsidRDefault="007A66B7" w:rsidP="007A66B7">
      <w:pPr>
        <w:pStyle w:val="ListParagraph"/>
        <w:rPr>
          <w:bCs/>
        </w:rPr>
      </w:pPr>
    </w:p>
    <w:p w:rsidR="008A6410" w:rsidRPr="007B28E7" w:rsidRDefault="007A66B7" w:rsidP="00FF5B43">
      <w:pPr>
        <w:pStyle w:val="ListParagraph"/>
        <w:numPr>
          <w:ilvl w:val="1"/>
          <w:numId w:val="5"/>
        </w:numPr>
        <w:rPr>
          <w:bCs/>
          <w:lang w:eastAsia="en-AU"/>
        </w:rPr>
      </w:pPr>
      <w:r w:rsidRPr="007B28E7">
        <w:rPr>
          <w:bCs/>
        </w:rPr>
        <w:t>T</w:t>
      </w:r>
      <w:r w:rsidR="00E11CF8" w:rsidRPr="007B28E7">
        <w:rPr>
          <w:bCs/>
        </w:rPr>
        <w:t>he PBAC considered the base case ICER of $</w:t>
      </w:r>
      <w:r w:rsidR="00373479">
        <w:rPr>
          <w:bCs/>
        </w:rPr>
        <w:t>45,000 - $75,000</w:t>
      </w:r>
      <w:r w:rsidR="00E11CF8" w:rsidRPr="007B28E7">
        <w:rPr>
          <w:bCs/>
        </w:rPr>
        <w:t xml:space="preserve"> per QALY gained presented in the resubmission to be unacceptably high and uncertain given concerns over the likely modest benefits observed in clinical practice.</w:t>
      </w:r>
    </w:p>
    <w:p w:rsidR="004B1851" w:rsidRPr="007B28E7" w:rsidRDefault="004B1851" w:rsidP="004B1851">
      <w:pPr>
        <w:pStyle w:val="ListParagraph"/>
        <w:rPr>
          <w:bCs/>
          <w:lang w:eastAsia="en-AU"/>
        </w:rPr>
      </w:pPr>
    </w:p>
    <w:p w:rsidR="004B1851" w:rsidRPr="007B28E7" w:rsidRDefault="004B1851" w:rsidP="00FF5B43">
      <w:pPr>
        <w:pStyle w:val="ListParagraph"/>
        <w:numPr>
          <w:ilvl w:val="1"/>
          <w:numId w:val="5"/>
        </w:numPr>
        <w:rPr>
          <w:bCs/>
          <w:lang w:eastAsia="en-AU"/>
        </w:rPr>
      </w:pPr>
      <w:r w:rsidRPr="007B28E7">
        <w:rPr>
          <w:bCs/>
          <w:lang w:eastAsia="en-AU"/>
        </w:rPr>
        <w:t xml:space="preserve">The PBAC considered the estimated financial impact of </w:t>
      </w:r>
      <w:r w:rsidR="00373479">
        <w:rPr>
          <w:szCs w:val="22"/>
        </w:rPr>
        <w:t>more than $100 million</w:t>
      </w:r>
      <w:r w:rsidRPr="007B28E7">
        <w:rPr>
          <w:szCs w:val="22"/>
        </w:rPr>
        <w:t xml:space="preserve"> over 6 years to be significant.</w:t>
      </w:r>
      <w:r w:rsidR="00E1144E" w:rsidRPr="007B28E7">
        <w:rPr>
          <w:szCs w:val="22"/>
        </w:rPr>
        <w:t xml:space="preserve"> The PBAC noted </w:t>
      </w:r>
      <w:r w:rsidR="00997385" w:rsidRPr="007B28E7">
        <w:rPr>
          <w:szCs w:val="22"/>
        </w:rPr>
        <w:t xml:space="preserve">that no changes to the utilisation estimates were presented in the minor </w:t>
      </w:r>
      <w:r w:rsidR="00E11CF8" w:rsidRPr="007B28E7">
        <w:rPr>
          <w:szCs w:val="22"/>
        </w:rPr>
        <w:t>re</w:t>
      </w:r>
      <w:r w:rsidR="00997385" w:rsidRPr="007B28E7">
        <w:rPr>
          <w:szCs w:val="22"/>
        </w:rPr>
        <w:t>submission</w:t>
      </w:r>
      <w:r w:rsidR="00823597" w:rsidRPr="007B28E7">
        <w:rPr>
          <w:szCs w:val="22"/>
        </w:rPr>
        <w:t xml:space="preserve"> compared with the original submission</w:t>
      </w:r>
      <w:r w:rsidR="00997385" w:rsidRPr="007B28E7">
        <w:rPr>
          <w:szCs w:val="22"/>
        </w:rPr>
        <w:t>.</w:t>
      </w:r>
      <w:r w:rsidR="00823597" w:rsidRPr="007B28E7">
        <w:rPr>
          <w:szCs w:val="22"/>
        </w:rPr>
        <w:t xml:space="preserve"> The PBAC considered utilisation likely to be overestimated </w:t>
      </w:r>
      <w:r w:rsidR="007A66B7" w:rsidRPr="007B28E7">
        <w:rPr>
          <w:szCs w:val="22"/>
        </w:rPr>
        <w:t>given</w:t>
      </w:r>
      <w:r w:rsidR="00823597" w:rsidRPr="007B28E7">
        <w:rPr>
          <w:szCs w:val="22"/>
        </w:rPr>
        <w:t xml:space="preserve"> the modest efficacy observed. Although the PBAC considered the financial caps were unlikely to be reached, the proposed rebates </w:t>
      </w:r>
      <w:r w:rsidR="009C010C" w:rsidRPr="007B28E7">
        <w:rPr>
          <w:szCs w:val="22"/>
        </w:rPr>
        <w:t xml:space="preserve">of </w:t>
      </w:r>
      <w:r w:rsidR="00FF6257">
        <w:rPr>
          <w:noProof/>
          <w:color w:val="000000"/>
          <w:szCs w:val="22"/>
          <w:highlight w:val="black"/>
        </w:rPr>
        <w:t>''''''</w:t>
      </w:r>
      <w:r w:rsidR="009C010C" w:rsidRPr="007B28E7">
        <w:rPr>
          <w:szCs w:val="22"/>
        </w:rPr>
        <w:t xml:space="preserve">% and </w:t>
      </w:r>
      <w:r w:rsidR="00FF6257">
        <w:rPr>
          <w:noProof/>
          <w:color w:val="000000"/>
          <w:szCs w:val="22"/>
          <w:highlight w:val="black"/>
        </w:rPr>
        <w:t>''''''</w:t>
      </w:r>
      <w:r w:rsidR="009C010C" w:rsidRPr="007B28E7">
        <w:rPr>
          <w:szCs w:val="22"/>
        </w:rPr>
        <w:t xml:space="preserve">% </w:t>
      </w:r>
      <w:r w:rsidR="007A66B7" w:rsidRPr="007B28E7">
        <w:rPr>
          <w:szCs w:val="22"/>
        </w:rPr>
        <w:t>were considered</w:t>
      </w:r>
      <w:r w:rsidR="00021642">
        <w:rPr>
          <w:szCs w:val="22"/>
        </w:rPr>
        <w:t xml:space="preserve"> to be</w:t>
      </w:r>
      <w:r w:rsidR="007A66B7" w:rsidRPr="007B28E7">
        <w:rPr>
          <w:szCs w:val="22"/>
        </w:rPr>
        <w:t xml:space="preserve"> </w:t>
      </w:r>
      <w:r w:rsidR="00CF0651">
        <w:rPr>
          <w:szCs w:val="22"/>
        </w:rPr>
        <w:t>insufficient</w:t>
      </w:r>
      <w:r w:rsidR="00021642">
        <w:rPr>
          <w:szCs w:val="22"/>
        </w:rPr>
        <w:t>.</w:t>
      </w:r>
    </w:p>
    <w:p w:rsidR="008A6410" w:rsidRPr="007B28E7" w:rsidRDefault="008A6410" w:rsidP="008A6410">
      <w:pPr>
        <w:pStyle w:val="ListParagraph"/>
        <w:rPr>
          <w:bCs/>
        </w:rPr>
      </w:pPr>
    </w:p>
    <w:p w:rsidR="00B21E3C" w:rsidRPr="007B28E7" w:rsidRDefault="008A6410" w:rsidP="00FF5B43">
      <w:pPr>
        <w:pStyle w:val="ListParagraph"/>
        <w:numPr>
          <w:ilvl w:val="1"/>
          <w:numId w:val="5"/>
        </w:numPr>
        <w:rPr>
          <w:bCs/>
          <w:lang w:eastAsia="en-AU"/>
        </w:rPr>
      </w:pPr>
      <w:r w:rsidRPr="007B28E7">
        <w:rPr>
          <w:bCs/>
        </w:rPr>
        <w:t>The PBAC advised that any resubmission</w:t>
      </w:r>
      <w:r w:rsidR="00DD1FBD" w:rsidRPr="007B28E7">
        <w:rPr>
          <w:bCs/>
        </w:rPr>
        <w:t xml:space="preserve"> </w:t>
      </w:r>
      <w:r w:rsidR="00431547" w:rsidRPr="007B28E7">
        <w:rPr>
          <w:bCs/>
        </w:rPr>
        <w:t>should be</w:t>
      </w:r>
      <w:r w:rsidR="00D502ED" w:rsidRPr="007B28E7">
        <w:rPr>
          <w:bCs/>
        </w:rPr>
        <w:t xml:space="preserve"> </w:t>
      </w:r>
      <w:r w:rsidR="00431547" w:rsidRPr="007B28E7">
        <w:rPr>
          <w:bCs/>
        </w:rPr>
        <w:t>made</w:t>
      </w:r>
      <w:r w:rsidR="00D502ED" w:rsidRPr="007B28E7">
        <w:rPr>
          <w:bCs/>
        </w:rPr>
        <w:t xml:space="preserve"> subsequent to TGA approval</w:t>
      </w:r>
      <w:r w:rsidR="001D6CA9" w:rsidRPr="007B28E7">
        <w:rPr>
          <w:bCs/>
        </w:rPr>
        <w:t xml:space="preserve">, the benefit likely to be </w:t>
      </w:r>
      <w:r w:rsidR="00570415" w:rsidRPr="007B28E7">
        <w:rPr>
          <w:bCs/>
        </w:rPr>
        <w:t>realised</w:t>
      </w:r>
      <w:r w:rsidR="001D6CA9" w:rsidRPr="007B28E7">
        <w:rPr>
          <w:bCs/>
        </w:rPr>
        <w:t xml:space="preserve"> in clinical practice should be considered, and any</w:t>
      </w:r>
      <w:r w:rsidR="008F25DD" w:rsidRPr="007B28E7">
        <w:rPr>
          <w:bCs/>
        </w:rPr>
        <w:t xml:space="preserve"> risk share arrangement </w:t>
      </w:r>
      <w:r w:rsidR="001D6CA9" w:rsidRPr="007B28E7">
        <w:rPr>
          <w:bCs/>
        </w:rPr>
        <w:t xml:space="preserve">should more </w:t>
      </w:r>
      <w:r w:rsidR="008F25DD" w:rsidRPr="007B28E7">
        <w:rPr>
          <w:bCs/>
        </w:rPr>
        <w:t>adequately contain the financial risk to the Commonwealth</w:t>
      </w:r>
      <w:r w:rsidR="00DD1FBD" w:rsidRPr="007B28E7">
        <w:rPr>
          <w:bCs/>
        </w:rPr>
        <w:t>.</w:t>
      </w:r>
      <w:r w:rsidR="006A64BB" w:rsidRPr="007B28E7">
        <w:rPr>
          <w:bCs/>
        </w:rPr>
        <w:t xml:space="preserve"> </w:t>
      </w:r>
    </w:p>
    <w:p w:rsidR="00F86596" w:rsidRPr="007B28E7" w:rsidRDefault="00F86596" w:rsidP="00F86596">
      <w:pPr>
        <w:pStyle w:val="ListParagraph"/>
        <w:rPr>
          <w:bCs/>
          <w:lang w:eastAsia="en-AU"/>
        </w:rPr>
      </w:pPr>
    </w:p>
    <w:p w:rsidR="00B316E4" w:rsidRPr="007B28E7" w:rsidRDefault="00B316E4" w:rsidP="00B316E4">
      <w:pPr>
        <w:pStyle w:val="ListParagraph"/>
        <w:numPr>
          <w:ilvl w:val="1"/>
          <w:numId w:val="5"/>
        </w:numPr>
        <w:rPr>
          <w:bCs/>
          <w:lang w:eastAsia="en-AU"/>
        </w:rPr>
      </w:pPr>
      <w:r w:rsidRPr="007B28E7">
        <w:rPr>
          <w:bCs/>
          <w:lang w:eastAsia="en-AU"/>
        </w:rPr>
        <w:t xml:space="preserve">The PBAC noted that this submission is eligible for an Independent Review. </w:t>
      </w:r>
    </w:p>
    <w:p w:rsidR="00B316E4" w:rsidRPr="007B28E7" w:rsidRDefault="00B316E4" w:rsidP="00B316E4">
      <w:pPr>
        <w:widowControl w:val="0"/>
        <w:ind w:left="720"/>
        <w:jc w:val="both"/>
        <w:rPr>
          <w:rFonts w:ascii="Arial" w:hAnsi="Arial" w:cs="Arial"/>
          <w:bCs/>
          <w:snapToGrid w:val="0"/>
          <w:sz w:val="22"/>
          <w:szCs w:val="20"/>
          <w:highlight w:val="yellow"/>
        </w:rPr>
      </w:pPr>
    </w:p>
    <w:p w:rsidR="001052F2" w:rsidRPr="007B28E7" w:rsidRDefault="001052F2" w:rsidP="001052F2">
      <w:pPr>
        <w:widowControl w:val="0"/>
        <w:jc w:val="both"/>
        <w:rPr>
          <w:rFonts w:ascii="Arial" w:hAnsi="Arial" w:cs="Arial"/>
          <w:b/>
          <w:bCs/>
          <w:snapToGrid w:val="0"/>
          <w:sz w:val="22"/>
          <w:szCs w:val="20"/>
        </w:rPr>
      </w:pPr>
      <w:r w:rsidRPr="007B28E7">
        <w:rPr>
          <w:rFonts w:ascii="Arial" w:hAnsi="Arial" w:cs="Arial"/>
          <w:b/>
          <w:bCs/>
          <w:snapToGrid w:val="0"/>
          <w:sz w:val="22"/>
          <w:szCs w:val="20"/>
        </w:rPr>
        <w:t>Outcome:</w:t>
      </w:r>
    </w:p>
    <w:p w:rsidR="001052F2" w:rsidRPr="007B28E7" w:rsidRDefault="001052F2" w:rsidP="001052F2">
      <w:pPr>
        <w:widowControl w:val="0"/>
        <w:jc w:val="both"/>
        <w:rPr>
          <w:rFonts w:ascii="Arial" w:hAnsi="Arial" w:cs="Arial"/>
          <w:bCs/>
          <w:snapToGrid w:val="0"/>
          <w:sz w:val="22"/>
          <w:szCs w:val="20"/>
        </w:rPr>
      </w:pPr>
      <w:r w:rsidRPr="007B28E7">
        <w:rPr>
          <w:rFonts w:ascii="Arial" w:hAnsi="Arial" w:cs="Arial"/>
          <w:bCs/>
          <w:snapToGrid w:val="0"/>
          <w:sz w:val="22"/>
          <w:szCs w:val="20"/>
        </w:rPr>
        <w:t xml:space="preserve">Rejected </w:t>
      </w:r>
    </w:p>
    <w:p w:rsidR="001052F2" w:rsidRPr="007B28E7" w:rsidRDefault="001052F2" w:rsidP="001052F2">
      <w:pPr>
        <w:widowControl w:val="0"/>
        <w:jc w:val="both"/>
        <w:rPr>
          <w:rFonts w:ascii="Arial" w:hAnsi="Arial" w:cs="Arial"/>
          <w:bCs/>
          <w:snapToGrid w:val="0"/>
          <w:sz w:val="22"/>
          <w:szCs w:val="20"/>
          <w:highlight w:val="yellow"/>
        </w:rPr>
      </w:pPr>
    </w:p>
    <w:p w:rsidR="00795C51" w:rsidRDefault="00795C51" w:rsidP="00795C51">
      <w:pPr>
        <w:pStyle w:val="PBACHeading1"/>
        <w:numPr>
          <w:ilvl w:val="0"/>
          <w:numId w:val="5"/>
        </w:numPr>
        <w:ind w:left="709" w:hanging="709"/>
      </w:pPr>
      <w:r w:rsidRPr="00485DD3">
        <w:t>Context for Decision</w:t>
      </w:r>
    </w:p>
    <w:p w:rsidR="00795C51" w:rsidRDefault="00795C51" w:rsidP="00795C51">
      <w:pPr>
        <w:ind w:left="709"/>
        <w:jc w:val="both"/>
        <w:rPr>
          <w:rFonts w:ascii="Arial" w:hAnsi="Arial" w:cs="Arial"/>
          <w:sz w:val="22"/>
        </w:rPr>
      </w:pPr>
    </w:p>
    <w:p w:rsidR="00795C51" w:rsidRDefault="00795C51" w:rsidP="00795C51">
      <w:pPr>
        <w:ind w:left="709"/>
        <w:jc w:val="both"/>
        <w:rPr>
          <w:rFonts w:ascii="Arial" w:hAnsi="Arial" w:cs="Arial"/>
          <w:sz w:val="22"/>
        </w:rPr>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95C51" w:rsidRDefault="00795C51" w:rsidP="00795C51">
      <w:pPr>
        <w:ind w:left="709"/>
        <w:jc w:val="both"/>
        <w:rPr>
          <w:rFonts w:ascii="Arial" w:hAnsi="Arial" w:cs="Arial"/>
          <w:sz w:val="22"/>
        </w:rPr>
      </w:pPr>
    </w:p>
    <w:p w:rsidR="00795C51" w:rsidRDefault="00795C51" w:rsidP="00795C51">
      <w:pPr>
        <w:ind w:left="709"/>
        <w:jc w:val="both"/>
        <w:rPr>
          <w:rFonts w:ascii="Arial" w:hAnsi="Arial" w:cs="Arial"/>
          <w:sz w:val="22"/>
        </w:rPr>
      </w:pPr>
    </w:p>
    <w:p w:rsidR="00795C51" w:rsidRPr="00B0280B" w:rsidRDefault="00795C51" w:rsidP="00795C51">
      <w:pPr>
        <w:pStyle w:val="PBACHeading1"/>
        <w:numPr>
          <w:ilvl w:val="0"/>
          <w:numId w:val="5"/>
        </w:numPr>
        <w:ind w:left="709" w:hanging="709"/>
      </w:pPr>
      <w:r w:rsidRPr="00485DD3">
        <w:t>Sponsor’s Comment</w:t>
      </w:r>
    </w:p>
    <w:p w:rsidR="00795C51" w:rsidRDefault="00795C51" w:rsidP="00795C51">
      <w:pPr>
        <w:ind w:left="709"/>
        <w:jc w:val="both"/>
        <w:rPr>
          <w:rFonts w:ascii="Arial" w:hAnsi="Arial" w:cs="Arial"/>
          <w:bCs/>
          <w:sz w:val="22"/>
          <w:highlight w:val="yellow"/>
          <w:lang w:val="en-GB"/>
        </w:rPr>
      </w:pPr>
    </w:p>
    <w:p w:rsidR="00795C51" w:rsidRDefault="00795C51" w:rsidP="00795C51">
      <w:pPr>
        <w:spacing w:after="120"/>
        <w:ind w:left="426" w:firstLine="283"/>
        <w:jc w:val="both"/>
        <w:rPr>
          <w:rFonts w:ascii="Arial" w:hAnsi="Arial" w:cs="Arial"/>
          <w:bCs/>
          <w:sz w:val="22"/>
        </w:rPr>
      </w:pPr>
      <w:r w:rsidRPr="003035CC">
        <w:rPr>
          <w:rFonts w:ascii="Arial" w:hAnsi="Arial" w:cs="Arial"/>
          <w:bCs/>
          <w:sz w:val="22"/>
        </w:rPr>
        <w:t>The sponsor had no comment.</w:t>
      </w:r>
    </w:p>
    <w:p w:rsidR="001052F2" w:rsidRPr="00F51075" w:rsidRDefault="001052F2" w:rsidP="001052F2">
      <w:pPr>
        <w:widowControl w:val="0"/>
        <w:jc w:val="both"/>
        <w:rPr>
          <w:rFonts w:ascii="Arial" w:hAnsi="Arial" w:cs="Arial"/>
          <w:b/>
          <w:bCs/>
          <w:snapToGrid w:val="0"/>
          <w:sz w:val="22"/>
          <w:szCs w:val="20"/>
          <w:highlight w:val="yellow"/>
        </w:rPr>
      </w:pPr>
    </w:p>
    <w:sectPr w:rsidR="001052F2" w:rsidRPr="00F51075" w:rsidSect="00C27B58">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257" w:rsidRDefault="00FF6257">
      <w:r>
        <w:separator/>
      </w:r>
    </w:p>
    <w:p w:rsidR="00FF6257" w:rsidRDefault="00FF6257"/>
  </w:endnote>
  <w:endnote w:type="continuationSeparator" w:id="0">
    <w:p w:rsidR="00FF6257" w:rsidRDefault="00FF6257">
      <w:r>
        <w:continuationSeparator/>
      </w:r>
    </w:p>
    <w:p w:rsidR="00FF6257" w:rsidRDefault="00FF6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103BF" w:rsidTr="005A3173">
      <w:trPr>
        <w:trHeight w:val="151"/>
      </w:trPr>
      <w:tc>
        <w:tcPr>
          <w:tcW w:w="2250" w:type="pct"/>
          <w:tcBorders>
            <w:top w:val="nil"/>
            <w:left w:val="nil"/>
            <w:bottom w:val="single" w:sz="4" w:space="0" w:color="4F81BD"/>
            <w:right w:val="nil"/>
          </w:tcBorders>
        </w:tcPr>
        <w:p w:rsidR="007103BF" w:rsidRPr="005A3173" w:rsidRDefault="007103B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103BF" w:rsidRPr="005A3173" w:rsidRDefault="007103B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103BF" w:rsidRPr="005A3173" w:rsidRDefault="007103BF" w:rsidP="005A3173">
          <w:pPr>
            <w:pStyle w:val="Header"/>
            <w:spacing w:line="276" w:lineRule="auto"/>
            <w:rPr>
              <w:rFonts w:ascii="Calibri" w:eastAsia="MS Gothic" w:hAnsi="Calibri"/>
              <w:b/>
              <w:bCs/>
              <w:color w:val="4F81BD"/>
            </w:rPr>
          </w:pPr>
        </w:p>
      </w:tc>
    </w:tr>
    <w:tr w:rsidR="007103BF" w:rsidTr="005A3173">
      <w:trPr>
        <w:trHeight w:val="150"/>
      </w:trPr>
      <w:tc>
        <w:tcPr>
          <w:tcW w:w="2250" w:type="pct"/>
          <w:tcBorders>
            <w:top w:val="single" w:sz="4" w:space="0" w:color="4F81BD"/>
            <w:left w:val="nil"/>
            <w:bottom w:val="nil"/>
            <w:right w:val="nil"/>
          </w:tcBorders>
        </w:tcPr>
        <w:p w:rsidR="007103BF" w:rsidRPr="005A3173" w:rsidRDefault="007103BF" w:rsidP="005A3173">
          <w:pPr>
            <w:pStyle w:val="Header"/>
            <w:spacing w:line="276" w:lineRule="auto"/>
            <w:rPr>
              <w:rFonts w:ascii="Calibri" w:eastAsia="MS Gothic" w:hAnsi="Calibri"/>
              <w:b/>
              <w:bCs/>
              <w:color w:val="4F81BD"/>
            </w:rPr>
          </w:pPr>
        </w:p>
      </w:tc>
      <w:tc>
        <w:tcPr>
          <w:tcW w:w="0" w:type="auto"/>
          <w:vMerge/>
          <w:vAlign w:val="center"/>
          <w:hideMark/>
        </w:tcPr>
        <w:p w:rsidR="007103BF" w:rsidRPr="005A3173" w:rsidRDefault="007103BF" w:rsidP="005A3173">
          <w:pPr>
            <w:rPr>
              <w:rFonts w:ascii="Calibri" w:hAnsi="Calibri"/>
              <w:color w:val="365F91"/>
              <w:sz w:val="22"/>
              <w:szCs w:val="22"/>
            </w:rPr>
          </w:pPr>
        </w:p>
      </w:tc>
      <w:tc>
        <w:tcPr>
          <w:tcW w:w="2250" w:type="pct"/>
          <w:tcBorders>
            <w:top w:val="single" w:sz="4" w:space="0" w:color="4F81BD"/>
            <w:left w:val="nil"/>
            <w:bottom w:val="nil"/>
            <w:right w:val="nil"/>
          </w:tcBorders>
        </w:tcPr>
        <w:p w:rsidR="007103BF" w:rsidRPr="005A3173" w:rsidRDefault="007103BF" w:rsidP="005A3173">
          <w:pPr>
            <w:pStyle w:val="Header"/>
            <w:spacing w:line="276" w:lineRule="auto"/>
            <w:rPr>
              <w:rFonts w:ascii="Calibri" w:eastAsia="MS Gothic" w:hAnsi="Calibri"/>
              <w:b/>
              <w:bCs/>
              <w:color w:val="4F81BD"/>
            </w:rPr>
          </w:pPr>
        </w:p>
      </w:tc>
    </w:tr>
  </w:tbl>
  <w:p w:rsidR="007103BF" w:rsidRDefault="007103B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03BF" w:rsidRDefault="007103BF">
    <w:pPr>
      <w:pStyle w:val="Footer"/>
    </w:pPr>
  </w:p>
  <w:p w:rsidR="007103BF" w:rsidRDefault="007103B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3BF" w:rsidRDefault="007103BF" w:rsidP="00EF44A0">
    <w:pPr>
      <w:pStyle w:val="Footer"/>
      <w:jc w:val="center"/>
      <w:rPr>
        <w:rFonts w:ascii="Arial" w:hAnsi="Arial" w:cs="Arial"/>
        <w:b/>
        <w:sz w:val="20"/>
        <w:szCs w:val="20"/>
      </w:rPr>
    </w:pPr>
  </w:p>
  <w:p w:rsidR="007103BF" w:rsidRDefault="007103BF" w:rsidP="00D75B30">
    <w:pPr>
      <w:pStyle w:val="Footer"/>
      <w:jc w:val="center"/>
      <w:rPr>
        <w:rFonts w:ascii="Arial" w:hAnsi="Arial" w:cs="Arial"/>
        <w:b/>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FF6257">
      <w:rPr>
        <w:rFonts w:ascii="Arial" w:hAnsi="Arial" w:cs="Arial"/>
        <w:noProof/>
        <w:sz w:val="20"/>
        <w:szCs w:val="20"/>
      </w:rPr>
      <w:t>1</w:t>
    </w:r>
    <w:r w:rsidRPr="00651169">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7103BF" w:rsidTr="005A3173">
      <w:trPr>
        <w:trHeight w:val="151"/>
      </w:trPr>
      <w:tc>
        <w:tcPr>
          <w:tcW w:w="2250" w:type="pct"/>
          <w:tcBorders>
            <w:top w:val="nil"/>
            <w:left w:val="nil"/>
            <w:bottom w:val="single" w:sz="4" w:space="0" w:color="4F81BD"/>
            <w:right w:val="nil"/>
          </w:tcBorders>
        </w:tcPr>
        <w:p w:rsidR="007103BF" w:rsidRPr="005A3173" w:rsidRDefault="007103B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103BF" w:rsidRPr="005A3173" w:rsidRDefault="007103B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103BF" w:rsidRPr="005A3173" w:rsidRDefault="007103BF" w:rsidP="005A3173">
          <w:pPr>
            <w:pStyle w:val="Header"/>
            <w:spacing w:line="276" w:lineRule="auto"/>
            <w:rPr>
              <w:rFonts w:ascii="Calibri" w:eastAsia="MS Gothic" w:hAnsi="Calibri"/>
              <w:b/>
              <w:bCs/>
              <w:color w:val="4F81BD"/>
            </w:rPr>
          </w:pPr>
        </w:p>
      </w:tc>
    </w:tr>
    <w:tr w:rsidR="007103BF" w:rsidTr="005A3173">
      <w:trPr>
        <w:trHeight w:val="150"/>
      </w:trPr>
      <w:tc>
        <w:tcPr>
          <w:tcW w:w="2250" w:type="pct"/>
          <w:tcBorders>
            <w:top w:val="single" w:sz="4" w:space="0" w:color="4F81BD"/>
            <w:left w:val="nil"/>
            <w:bottom w:val="nil"/>
            <w:right w:val="nil"/>
          </w:tcBorders>
        </w:tcPr>
        <w:p w:rsidR="007103BF" w:rsidRPr="005A3173" w:rsidRDefault="007103BF" w:rsidP="005A3173">
          <w:pPr>
            <w:pStyle w:val="Header"/>
            <w:spacing w:line="276" w:lineRule="auto"/>
            <w:rPr>
              <w:rFonts w:ascii="Calibri" w:eastAsia="MS Gothic" w:hAnsi="Calibri"/>
              <w:b/>
              <w:bCs/>
              <w:color w:val="4F81BD"/>
            </w:rPr>
          </w:pPr>
        </w:p>
      </w:tc>
      <w:tc>
        <w:tcPr>
          <w:tcW w:w="0" w:type="auto"/>
          <w:vMerge/>
          <w:vAlign w:val="center"/>
          <w:hideMark/>
        </w:tcPr>
        <w:p w:rsidR="007103BF" w:rsidRPr="005A3173" w:rsidRDefault="007103BF" w:rsidP="005A3173">
          <w:pPr>
            <w:rPr>
              <w:rFonts w:ascii="Calibri" w:hAnsi="Calibri"/>
              <w:color w:val="365F91"/>
              <w:sz w:val="22"/>
              <w:szCs w:val="22"/>
            </w:rPr>
          </w:pPr>
        </w:p>
      </w:tc>
      <w:tc>
        <w:tcPr>
          <w:tcW w:w="2250" w:type="pct"/>
          <w:tcBorders>
            <w:top w:val="single" w:sz="4" w:space="0" w:color="4F81BD"/>
            <w:left w:val="nil"/>
            <w:bottom w:val="nil"/>
            <w:right w:val="nil"/>
          </w:tcBorders>
        </w:tcPr>
        <w:p w:rsidR="007103BF" w:rsidRPr="005A3173" w:rsidRDefault="007103B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103BF" w:rsidTr="005A3173">
      <w:trPr>
        <w:trHeight w:val="151"/>
      </w:trPr>
      <w:tc>
        <w:tcPr>
          <w:tcW w:w="2250" w:type="pct"/>
          <w:tcBorders>
            <w:top w:val="nil"/>
            <w:left w:val="nil"/>
            <w:bottom w:val="single" w:sz="4" w:space="0" w:color="4F81BD"/>
            <w:right w:val="nil"/>
          </w:tcBorders>
        </w:tcPr>
        <w:p w:rsidR="007103BF" w:rsidRPr="005A3173" w:rsidRDefault="007103B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103BF" w:rsidRPr="005A3173" w:rsidRDefault="007103B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103BF" w:rsidRPr="005A3173" w:rsidRDefault="007103BF" w:rsidP="005A3173">
          <w:pPr>
            <w:pStyle w:val="Header"/>
            <w:spacing w:line="276" w:lineRule="auto"/>
            <w:rPr>
              <w:rFonts w:ascii="Calibri" w:eastAsia="MS Gothic" w:hAnsi="Calibri"/>
              <w:b/>
              <w:bCs/>
              <w:color w:val="4F81BD"/>
            </w:rPr>
          </w:pPr>
        </w:p>
      </w:tc>
    </w:tr>
    <w:tr w:rsidR="007103BF" w:rsidTr="005A3173">
      <w:trPr>
        <w:trHeight w:val="150"/>
      </w:trPr>
      <w:tc>
        <w:tcPr>
          <w:tcW w:w="2250" w:type="pct"/>
          <w:tcBorders>
            <w:top w:val="single" w:sz="4" w:space="0" w:color="4F81BD"/>
            <w:left w:val="nil"/>
            <w:bottom w:val="nil"/>
            <w:right w:val="nil"/>
          </w:tcBorders>
        </w:tcPr>
        <w:p w:rsidR="007103BF" w:rsidRPr="005A3173" w:rsidRDefault="007103BF" w:rsidP="005A3173">
          <w:pPr>
            <w:pStyle w:val="Header"/>
            <w:spacing w:line="276" w:lineRule="auto"/>
            <w:rPr>
              <w:rFonts w:ascii="Calibri" w:eastAsia="MS Gothic" w:hAnsi="Calibri"/>
              <w:b/>
              <w:bCs/>
              <w:color w:val="4F81BD"/>
            </w:rPr>
          </w:pPr>
        </w:p>
      </w:tc>
      <w:tc>
        <w:tcPr>
          <w:tcW w:w="0" w:type="auto"/>
          <w:vMerge/>
          <w:vAlign w:val="center"/>
          <w:hideMark/>
        </w:tcPr>
        <w:p w:rsidR="007103BF" w:rsidRPr="005A3173" w:rsidRDefault="007103BF" w:rsidP="005A3173">
          <w:pPr>
            <w:rPr>
              <w:rFonts w:ascii="Calibri" w:hAnsi="Calibri"/>
              <w:color w:val="365F91"/>
              <w:sz w:val="22"/>
              <w:szCs w:val="22"/>
            </w:rPr>
          </w:pPr>
        </w:p>
      </w:tc>
      <w:tc>
        <w:tcPr>
          <w:tcW w:w="2250" w:type="pct"/>
          <w:tcBorders>
            <w:top w:val="single" w:sz="4" w:space="0" w:color="4F81BD"/>
            <w:left w:val="nil"/>
            <w:bottom w:val="nil"/>
            <w:right w:val="nil"/>
          </w:tcBorders>
        </w:tcPr>
        <w:p w:rsidR="007103BF" w:rsidRPr="005A3173" w:rsidRDefault="007103BF" w:rsidP="005A3173">
          <w:pPr>
            <w:pStyle w:val="Header"/>
            <w:spacing w:line="276" w:lineRule="auto"/>
            <w:rPr>
              <w:rFonts w:ascii="Calibri" w:eastAsia="MS Gothic" w:hAnsi="Calibri"/>
              <w:b/>
              <w:bCs/>
              <w:color w:val="4F81BD"/>
            </w:rPr>
          </w:pPr>
        </w:p>
      </w:tc>
    </w:tr>
  </w:tbl>
  <w:p w:rsidR="007103BF" w:rsidRPr="007C0F57" w:rsidRDefault="007103B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7103BF" w:rsidRPr="007C0F57" w:rsidRDefault="007103BF" w:rsidP="007C0F57">
    <w:pPr>
      <w:pStyle w:val="Footer"/>
      <w:jc w:val="center"/>
      <w:rPr>
        <w:b/>
        <w:i/>
        <w:sz w:val="20"/>
        <w:szCs w:val="20"/>
      </w:rPr>
    </w:pPr>
    <w:r w:rsidRPr="007C0F57">
      <w:rPr>
        <w:b/>
        <w:i/>
        <w:sz w:val="20"/>
        <w:szCs w:val="20"/>
      </w:rPr>
      <w:t>Commercial-in-Confidence</w:t>
    </w:r>
  </w:p>
  <w:p w:rsidR="007103BF" w:rsidRDefault="007103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257" w:rsidRDefault="00FF6257">
      <w:r>
        <w:separator/>
      </w:r>
    </w:p>
    <w:p w:rsidR="00FF6257" w:rsidRDefault="00FF6257"/>
  </w:footnote>
  <w:footnote w:type="continuationSeparator" w:id="0">
    <w:p w:rsidR="00FF6257" w:rsidRDefault="00FF6257">
      <w:r>
        <w:continuationSeparator/>
      </w:r>
    </w:p>
    <w:p w:rsidR="00FF6257" w:rsidRDefault="00FF6257"/>
  </w:footnote>
  <w:footnote w:id="1">
    <w:p w:rsidR="007103BF" w:rsidRDefault="007103BF">
      <w:pPr>
        <w:pStyle w:val="FootnoteText"/>
      </w:pPr>
      <w:r>
        <w:rPr>
          <w:rStyle w:val="FootnoteReference"/>
        </w:rPr>
        <w:footnoteRef/>
      </w:r>
      <w:r>
        <w:t xml:space="preserve"> </w:t>
      </w:r>
      <w:r>
        <w:rPr>
          <w:rFonts w:ascii="Arial Narrow" w:hAnsi="Arial Narrow"/>
        </w:rPr>
        <w:t>Cherny NI, Sullivan R, Dafni U, et al: A standardised, generic, validated approach to stratify the magnitude of clinical benefit that can be anticipated from anti-cancer therapies: the European Society for Medical Oncology Magnitude of Clinical Benefit Scale (ESMO-MCBS). Ann Oncol 26:1547-73,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7103BF" w:rsidRPr="008E0D90" w:rsidTr="00A06225">
      <w:trPr>
        <w:trHeight w:val="151"/>
      </w:trPr>
      <w:tc>
        <w:tcPr>
          <w:tcW w:w="2389" w:type="pct"/>
          <w:tcBorders>
            <w:top w:val="nil"/>
            <w:left w:val="nil"/>
            <w:bottom w:val="single" w:sz="4" w:space="0" w:color="4F81BD"/>
            <w:right w:val="nil"/>
          </w:tcBorders>
        </w:tcPr>
        <w:p w:rsidR="007103BF" w:rsidRPr="00A06225" w:rsidRDefault="007103BF">
          <w:pPr>
            <w:pStyle w:val="Header"/>
            <w:spacing w:line="276" w:lineRule="auto"/>
            <w:rPr>
              <w:rFonts w:ascii="Cambria" w:eastAsia="MS Gothic" w:hAnsi="Cambria"/>
              <w:b/>
              <w:bCs/>
              <w:color w:val="4F81BD"/>
            </w:rPr>
          </w:pPr>
        </w:p>
      </w:tc>
      <w:tc>
        <w:tcPr>
          <w:tcW w:w="333" w:type="pct"/>
          <w:vMerge w:val="restart"/>
          <w:noWrap/>
          <w:vAlign w:val="center"/>
          <w:hideMark/>
        </w:tcPr>
        <w:p w:rsidR="007103BF" w:rsidRPr="00A06225" w:rsidRDefault="007103B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7103BF" w:rsidRPr="00A06225" w:rsidRDefault="007103BF">
          <w:pPr>
            <w:pStyle w:val="Header"/>
            <w:spacing w:line="276" w:lineRule="auto"/>
            <w:rPr>
              <w:rFonts w:ascii="Cambria" w:eastAsia="MS Gothic" w:hAnsi="Cambria"/>
              <w:b/>
              <w:bCs/>
              <w:color w:val="4F81BD"/>
            </w:rPr>
          </w:pPr>
        </w:p>
      </w:tc>
    </w:tr>
    <w:tr w:rsidR="007103BF" w:rsidRPr="008E0D90" w:rsidTr="00A06225">
      <w:trPr>
        <w:trHeight w:val="150"/>
      </w:trPr>
      <w:tc>
        <w:tcPr>
          <w:tcW w:w="2389" w:type="pct"/>
          <w:tcBorders>
            <w:top w:val="single" w:sz="4" w:space="0" w:color="4F81BD"/>
            <w:left w:val="nil"/>
            <w:bottom w:val="nil"/>
            <w:right w:val="nil"/>
          </w:tcBorders>
        </w:tcPr>
        <w:p w:rsidR="007103BF" w:rsidRPr="00A06225" w:rsidRDefault="007103BF">
          <w:pPr>
            <w:pStyle w:val="Header"/>
            <w:spacing w:line="276" w:lineRule="auto"/>
            <w:rPr>
              <w:rFonts w:ascii="Cambria" w:eastAsia="MS Gothic" w:hAnsi="Cambria"/>
              <w:b/>
              <w:bCs/>
              <w:color w:val="4F81BD"/>
            </w:rPr>
          </w:pPr>
        </w:p>
      </w:tc>
      <w:tc>
        <w:tcPr>
          <w:tcW w:w="0" w:type="auto"/>
          <w:vMerge/>
          <w:vAlign w:val="center"/>
          <w:hideMark/>
        </w:tcPr>
        <w:p w:rsidR="007103BF" w:rsidRPr="00A06225" w:rsidRDefault="007103BF">
          <w:pPr>
            <w:rPr>
              <w:rFonts w:ascii="Cambria" w:hAnsi="Cambria"/>
              <w:color w:val="4F81BD"/>
              <w:sz w:val="22"/>
              <w:szCs w:val="22"/>
            </w:rPr>
          </w:pPr>
        </w:p>
      </w:tc>
      <w:tc>
        <w:tcPr>
          <w:tcW w:w="2278" w:type="pct"/>
          <w:tcBorders>
            <w:top w:val="single" w:sz="4" w:space="0" w:color="4F81BD"/>
            <w:left w:val="nil"/>
            <w:bottom w:val="nil"/>
            <w:right w:val="nil"/>
          </w:tcBorders>
        </w:tcPr>
        <w:p w:rsidR="007103BF" w:rsidRPr="00A06225" w:rsidRDefault="007103BF">
          <w:pPr>
            <w:pStyle w:val="Header"/>
            <w:spacing w:line="276" w:lineRule="auto"/>
            <w:rPr>
              <w:rFonts w:ascii="Cambria" w:eastAsia="MS Gothic" w:hAnsi="Cambria"/>
              <w:b/>
              <w:bCs/>
              <w:color w:val="4F81BD"/>
            </w:rPr>
          </w:pPr>
        </w:p>
      </w:tc>
    </w:tr>
  </w:tbl>
  <w:p w:rsidR="007103BF" w:rsidRDefault="007103BF">
    <w:pPr>
      <w:pStyle w:val="Header"/>
    </w:pPr>
  </w:p>
  <w:p w:rsidR="007103BF" w:rsidRDefault="007103B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3BF" w:rsidRPr="00DF217D" w:rsidRDefault="007103BF" w:rsidP="00BD1B81">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March 2017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7103BF" w:rsidRDefault="007103BF"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3BF" w:rsidRDefault="007103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5075951"/>
    <w:multiLevelType w:val="hybridMultilevel"/>
    <w:tmpl w:val="E062C882"/>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4700606"/>
    <w:multiLevelType w:val="hybridMultilevel"/>
    <w:tmpl w:val="2766BCC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CC34E0B"/>
    <w:multiLevelType w:val="hybridMultilevel"/>
    <w:tmpl w:val="A25C1B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4E393390"/>
    <w:multiLevelType w:val="hybridMultilevel"/>
    <w:tmpl w:val="165656F6"/>
    <w:lvl w:ilvl="0" w:tplc="0C090001">
      <w:start w:val="1"/>
      <w:numFmt w:val="bullet"/>
      <w:lvlText w:val=""/>
      <w:lvlJc w:val="left"/>
      <w:pPr>
        <w:ind w:left="1440" w:hanging="360"/>
      </w:pPr>
      <w:rPr>
        <w:rFonts w:ascii="Symbol" w:hAnsi="Symbol" w:hint="default"/>
      </w:rPr>
    </w:lvl>
    <w:lvl w:ilvl="1" w:tplc="0C09001B">
      <w:start w:val="1"/>
      <w:numFmt w:val="lowerRoman"/>
      <w:lvlText w:val="%2."/>
      <w:lvlJc w:val="right"/>
      <w:pPr>
        <w:ind w:left="2160" w:hanging="360"/>
      </w:pPr>
      <w:rPr>
        <w:rFont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5456336"/>
    <w:multiLevelType w:val="hybridMultilevel"/>
    <w:tmpl w:val="B760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53661D"/>
    <w:multiLevelType w:val="hybridMultilevel"/>
    <w:tmpl w:val="6AF6B9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784D033C"/>
    <w:multiLevelType w:val="multilevel"/>
    <w:tmpl w:val="5D4ECE1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E085FB7"/>
    <w:multiLevelType w:val="hybridMultilevel"/>
    <w:tmpl w:val="34868636"/>
    <w:lvl w:ilvl="0" w:tplc="C448851E">
      <w:start w:val="12"/>
      <w:numFmt w:val="bullet"/>
      <w:lvlText w:val="-"/>
      <w:lvlJc w:val="left"/>
      <w:pPr>
        <w:ind w:left="405" w:hanging="360"/>
      </w:pPr>
      <w:rPr>
        <w:rFonts w:ascii="Arial Narrow" w:eastAsia="Times New Roman" w:hAnsi="Arial Narrow" w:cs="Times New Roman"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num w:numId="1">
    <w:abstractNumId w:val="9"/>
  </w:num>
  <w:num w:numId="2">
    <w:abstractNumId w:val="3"/>
  </w:num>
  <w:num w:numId="3">
    <w:abstractNumId w:val="6"/>
  </w:num>
  <w:num w:numId="4">
    <w:abstractNumId w:val="17"/>
  </w:num>
  <w:num w:numId="5">
    <w:abstractNumId w:val="22"/>
  </w:num>
  <w:num w:numId="6">
    <w:abstractNumId w:val="8"/>
  </w:num>
  <w:num w:numId="7">
    <w:abstractNumId w:val="15"/>
  </w:num>
  <w:num w:numId="8">
    <w:abstractNumId w:val="4"/>
  </w:num>
  <w:num w:numId="9">
    <w:abstractNumId w:val="14"/>
  </w:num>
  <w:num w:numId="10">
    <w:abstractNumId w:val="13"/>
  </w:num>
  <w:num w:numId="11">
    <w:abstractNumId w:val="12"/>
  </w:num>
  <w:num w:numId="12">
    <w:abstractNumId w:val="1"/>
  </w:num>
  <w:num w:numId="13">
    <w:abstractNumId w:val="0"/>
  </w:num>
  <w:num w:numId="14">
    <w:abstractNumId w:val="22"/>
  </w:num>
  <w:num w:numId="15">
    <w:abstractNumId w:val="7"/>
  </w:num>
  <w:num w:numId="16">
    <w:abstractNumId w:val="11"/>
  </w:num>
  <w:num w:numId="17">
    <w:abstractNumId w:val="20"/>
  </w:num>
  <w:num w:numId="18">
    <w:abstractNumId w:val="23"/>
  </w:num>
  <w:num w:numId="19">
    <w:abstractNumId w:val="16"/>
  </w:num>
  <w:num w:numId="20">
    <w:abstractNumId w:val="18"/>
  </w:num>
  <w:num w:numId="21">
    <w:abstractNumId w:val="21"/>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5"/>
  </w:num>
  <w:num w:numId="25">
    <w:abstractNumId w:val="2"/>
  </w:num>
  <w:num w:numId="2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EDD"/>
    <w:rsid w:val="00010FEA"/>
    <w:rsid w:val="000140C0"/>
    <w:rsid w:val="000159F8"/>
    <w:rsid w:val="00016BE6"/>
    <w:rsid w:val="00021642"/>
    <w:rsid w:val="0002464A"/>
    <w:rsid w:val="0003106B"/>
    <w:rsid w:val="000421A1"/>
    <w:rsid w:val="0004240E"/>
    <w:rsid w:val="00042FE8"/>
    <w:rsid w:val="00045E26"/>
    <w:rsid w:val="000514B5"/>
    <w:rsid w:val="00051F42"/>
    <w:rsid w:val="00053BF0"/>
    <w:rsid w:val="00054AF5"/>
    <w:rsid w:val="00060E64"/>
    <w:rsid w:val="00066755"/>
    <w:rsid w:val="00077143"/>
    <w:rsid w:val="0008078B"/>
    <w:rsid w:val="000969AD"/>
    <w:rsid w:val="000B4130"/>
    <w:rsid w:val="000B558D"/>
    <w:rsid w:val="000C6996"/>
    <w:rsid w:val="000D05E4"/>
    <w:rsid w:val="000D23BA"/>
    <w:rsid w:val="000D73BD"/>
    <w:rsid w:val="000E1AAA"/>
    <w:rsid w:val="000E29A8"/>
    <w:rsid w:val="000E681E"/>
    <w:rsid w:val="000F3396"/>
    <w:rsid w:val="000F4E6A"/>
    <w:rsid w:val="0010415D"/>
    <w:rsid w:val="00104313"/>
    <w:rsid w:val="001052F2"/>
    <w:rsid w:val="001107BF"/>
    <w:rsid w:val="00115A47"/>
    <w:rsid w:val="0012417C"/>
    <w:rsid w:val="001356C9"/>
    <w:rsid w:val="00142395"/>
    <w:rsid w:val="00142714"/>
    <w:rsid w:val="001452ED"/>
    <w:rsid w:val="00147FDF"/>
    <w:rsid w:val="00155794"/>
    <w:rsid w:val="00161EB6"/>
    <w:rsid w:val="001636C7"/>
    <w:rsid w:val="00171D2E"/>
    <w:rsid w:val="001768F0"/>
    <w:rsid w:val="00180439"/>
    <w:rsid w:val="001830CE"/>
    <w:rsid w:val="00183A39"/>
    <w:rsid w:val="0018643B"/>
    <w:rsid w:val="00196307"/>
    <w:rsid w:val="001A33EA"/>
    <w:rsid w:val="001B017F"/>
    <w:rsid w:val="001B5129"/>
    <w:rsid w:val="001B5156"/>
    <w:rsid w:val="001C0175"/>
    <w:rsid w:val="001C1195"/>
    <w:rsid w:val="001C21A4"/>
    <w:rsid w:val="001D433F"/>
    <w:rsid w:val="001D6CA9"/>
    <w:rsid w:val="001E1EF9"/>
    <w:rsid w:val="001F5258"/>
    <w:rsid w:val="00201E9E"/>
    <w:rsid w:val="00205AF0"/>
    <w:rsid w:val="00212505"/>
    <w:rsid w:val="00213CFB"/>
    <w:rsid w:val="00216CC8"/>
    <w:rsid w:val="002202B1"/>
    <w:rsid w:val="002250CF"/>
    <w:rsid w:val="0023111F"/>
    <w:rsid w:val="002358F2"/>
    <w:rsid w:val="00236A55"/>
    <w:rsid w:val="00236E87"/>
    <w:rsid w:val="00241423"/>
    <w:rsid w:val="00243A8E"/>
    <w:rsid w:val="00247BE6"/>
    <w:rsid w:val="002613C5"/>
    <w:rsid w:val="00271BA1"/>
    <w:rsid w:val="0027427C"/>
    <w:rsid w:val="002743B7"/>
    <w:rsid w:val="00277505"/>
    <w:rsid w:val="00283852"/>
    <w:rsid w:val="0029458F"/>
    <w:rsid w:val="002A055D"/>
    <w:rsid w:val="002A104C"/>
    <w:rsid w:val="002A4960"/>
    <w:rsid w:val="002A67D6"/>
    <w:rsid w:val="002A69E9"/>
    <w:rsid w:val="002B1AE6"/>
    <w:rsid w:val="002B1B74"/>
    <w:rsid w:val="002B30F8"/>
    <w:rsid w:val="002C077D"/>
    <w:rsid w:val="002C212F"/>
    <w:rsid w:val="002D34C2"/>
    <w:rsid w:val="002D359F"/>
    <w:rsid w:val="002E3153"/>
    <w:rsid w:val="002E72CA"/>
    <w:rsid w:val="002F22F6"/>
    <w:rsid w:val="002F45C9"/>
    <w:rsid w:val="00300AD6"/>
    <w:rsid w:val="00303A93"/>
    <w:rsid w:val="0030441F"/>
    <w:rsid w:val="0030574E"/>
    <w:rsid w:val="00306780"/>
    <w:rsid w:val="00310F7C"/>
    <w:rsid w:val="003130F6"/>
    <w:rsid w:val="00314076"/>
    <w:rsid w:val="0031660E"/>
    <w:rsid w:val="003238CA"/>
    <w:rsid w:val="00324401"/>
    <w:rsid w:val="00324F49"/>
    <w:rsid w:val="003256F1"/>
    <w:rsid w:val="00326E79"/>
    <w:rsid w:val="00331D5D"/>
    <w:rsid w:val="003342D6"/>
    <w:rsid w:val="00334331"/>
    <w:rsid w:val="003345C3"/>
    <w:rsid w:val="003367EF"/>
    <w:rsid w:val="00337CCC"/>
    <w:rsid w:val="00341AE4"/>
    <w:rsid w:val="00342C01"/>
    <w:rsid w:val="00343EB9"/>
    <w:rsid w:val="00346331"/>
    <w:rsid w:val="00351AC3"/>
    <w:rsid w:val="00351C62"/>
    <w:rsid w:val="003549CC"/>
    <w:rsid w:val="00362C8E"/>
    <w:rsid w:val="00371F62"/>
    <w:rsid w:val="00373479"/>
    <w:rsid w:val="00384813"/>
    <w:rsid w:val="00385998"/>
    <w:rsid w:val="00386DD4"/>
    <w:rsid w:val="003872CF"/>
    <w:rsid w:val="0039782C"/>
    <w:rsid w:val="003A5B4A"/>
    <w:rsid w:val="003B1CDA"/>
    <w:rsid w:val="003B23C5"/>
    <w:rsid w:val="003B2A75"/>
    <w:rsid w:val="003B304F"/>
    <w:rsid w:val="003B720A"/>
    <w:rsid w:val="003C493A"/>
    <w:rsid w:val="003C587E"/>
    <w:rsid w:val="003D2CC3"/>
    <w:rsid w:val="003D4779"/>
    <w:rsid w:val="003D4AC4"/>
    <w:rsid w:val="003D63B7"/>
    <w:rsid w:val="003E39C8"/>
    <w:rsid w:val="003E468B"/>
    <w:rsid w:val="003E46AB"/>
    <w:rsid w:val="003E5BB3"/>
    <w:rsid w:val="003F2A0E"/>
    <w:rsid w:val="003F5C8C"/>
    <w:rsid w:val="003F637B"/>
    <w:rsid w:val="004001BB"/>
    <w:rsid w:val="00420F66"/>
    <w:rsid w:val="00431547"/>
    <w:rsid w:val="00431D42"/>
    <w:rsid w:val="00434D13"/>
    <w:rsid w:val="004403CB"/>
    <w:rsid w:val="0044266A"/>
    <w:rsid w:val="004465BD"/>
    <w:rsid w:val="00446D32"/>
    <w:rsid w:val="00450AEA"/>
    <w:rsid w:val="00451DDB"/>
    <w:rsid w:val="00461EBB"/>
    <w:rsid w:val="00466ADA"/>
    <w:rsid w:val="0047007B"/>
    <w:rsid w:val="00476245"/>
    <w:rsid w:val="00482C7D"/>
    <w:rsid w:val="00485940"/>
    <w:rsid w:val="00494AB0"/>
    <w:rsid w:val="004A1B10"/>
    <w:rsid w:val="004A2484"/>
    <w:rsid w:val="004A5A85"/>
    <w:rsid w:val="004B1851"/>
    <w:rsid w:val="004B5640"/>
    <w:rsid w:val="004B6166"/>
    <w:rsid w:val="004C1BD7"/>
    <w:rsid w:val="004C1F3C"/>
    <w:rsid w:val="004C691D"/>
    <w:rsid w:val="004D1963"/>
    <w:rsid w:val="004D40CE"/>
    <w:rsid w:val="004D4FBD"/>
    <w:rsid w:val="004D7141"/>
    <w:rsid w:val="004E1B8E"/>
    <w:rsid w:val="004E692D"/>
    <w:rsid w:val="004F65A0"/>
    <w:rsid w:val="004F7F92"/>
    <w:rsid w:val="00501554"/>
    <w:rsid w:val="00501924"/>
    <w:rsid w:val="00502D76"/>
    <w:rsid w:val="00514CD7"/>
    <w:rsid w:val="00521C76"/>
    <w:rsid w:val="005319B2"/>
    <w:rsid w:val="00532C74"/>
    <w:rsid w:val="00534E2E"/>
    <w:rsid w:val="0053683C"/>
    <w:rsid w:val="00541520"/>
    <w:rsid w:val="00542C3D"/>
    <w:rsid w:val="00544552"/>
    <w:rsid w:val="0054468E"/>
    <w:rsid w:val="00544E54"/>
    <w:rsid w:val="00566990"/>
    <w:rsid w:val="00570415"/>
    <w:rsid w:val="00573B4F"/>
    <w:rsid w:val="00576612"/>
    <w:rsid w:val="005803FD"/>
    <w:rsid w:val="00581932"/>
    <w:rsid w:val="005856C3"/>
    <w:rsid w:val="00593221"/>
    <w:rsid w:val="005963BB"/>
    <w:rsid w:val="005A3173"/>
    <w:rsid w:val="005A3223"/>
    <w:rsid w:val="005A3DA3"/>
    <w:rsid w:val="005A3FEE"/>
    <w:rsid w:val="005A52C4"/>
    <w:rsid w:val="005B1154"/>
    <w:rsid w:val="005B155D"/>
    <w:rsid w:val="005B3590"/>
    <w:rsid w:val="005B36B1"/>
    <w:rsid w:val="005B7F05"/>
    <w:rsid w:val="005C2C92"/>
    <w:rsid w:val="005C3250"/>
    <w:rsid w:val="005C4910"/>
    <w:rsid w:val="005D03AB"/>
    <w:rsid w:val="005D5017"/>
    <w:rsid w:val="005E31DD"/>
    <w:rsid w:val="005E3E1C"/>
    <w:rsid w:val="005F3082"/>
    <w:rsid w:val="005F42AF"/>
    <w:rsid w:val="006017FB"/>
    <w:rsid w:val="00601A91"/>
    <w:rsid w:val="00601F26"/>
    <w:rsid w:val="00602042"/>
    <w:rsid w:val="00602BA3"/>
    <w:rsid w:val="00610541"/>
    <w:rsid w:val="00614159"/>
    <w:rsid w:val="00617C00"/>
    <w:rsid w:val="006263BF"/>
    <w:rsid w:val="0062748A"/>
    <w:rsid w:val="00630A2C"/>
    <w:rsid w:val="006373B9"/>
    <w:rsid w:val="00637950"/>
    <w:rsid w:val="00641E4C"/>
    <w:rsid w:val="00641FD3"/>
    <w:rsid w:val="00642B72"/>
    <w:rsid w:val="00651169"/>
    <w:rsid w:val="00653D69"/>
    <w:rsid w:val="00670A76"/>
    <w:rsid w:val="006711AA"/>
    <w:rsid w:val="00672B57"/>
    <w:rsid w:val="00675622"/>
    <w:rsid w:val="00686FFA"/>
    <w:rsid w:val="00687667"/>
    <w:rsid w:val="006906DB"/>
    <w:rsid w:val="00690B25"/>
    <w:rsid w:val="006A12A5"/>
    <w:rsid w:val="006A1860"/>
    <w:rsid w:val="006A64BB"/>
    <w:rsid w:val="006A78FB"/>
    <w:rsid w:val="006B0997"/>
    <w:rsid w:val="006B0D94"/>
    <w:rsid w:val="006B485D"/>
    <w:rsid w:val="006C23FA"/>
    <w:rsid w:val="006C39A2"/>
    <w:rsid w:val="006C708E"/>
    <w:rsid w:val="006D6EC7"/>
    <w:rsid w:val="006D7806"/>
    <w:rsid w:val="006D7D95"/>
    <w:rsid w:val="006E5303"/>
    <w:rsid w:val="006E5D34"/>
    <w:rsid w:val="006E7893"/>
    <w:rsid w:val="006F14F0"/>
    <w:rsid w:val="006F43E6"/>
    <w:rsid w:val="006F5125"/>
    <w:rsid w:val="0070499F"/>
    <w:rsid w:val="007103BF"/>
    <w:rsid w:val="007109B0"/>
    <w:rsid w:val="007174BB"/>
    <w:rsid w:val="007260B4"/>
    <w:rsid w:val="00731B33"/>
    <w:rsid w:val="00740D34"/>
    <w:rsid w:val="007507F0"/>
    <w:rsid w:val="00751F42"/>
    <w:rsid w:val="00752937"/>
    <w:rsid w:val="00760854"/>
    <w:rsid w:val="00762271"/>
    <w:rsid w:val="0076420C"/>
    <w:rsid w:val="007646D9"/>
    <w:rsid w:val="00771DC1"/>
    <w:rsid w:val="007730F7"/>
    <w:rsid w:val="007753C2"/>
    <w:rsid w:val="00776BE4"/>
    <w:rsid w:val="00780EFD"/>
    <w:rsid w:val="007838B8"/>
    <w:rsid w:val="00785CB8"/>
    <w:rsid w:val="0078705E"/>
    <w:rsid w:val="00795C51"/>
    <w:rsid w:val="007968AA"/>
    <w:rsid w:val="007A234C"/>
    <w:rsid w:val="007A2CFA"/>
    <w:rsid w:val="007A66B7"/>
    <w:rsid w:val="007B28E7"/>
    <w:rsid w:val="007C0F57"/>
    <w:rsid w:val="007C40B6"/>
    <w:rsid w:val="007C729F"/>
    <w:rsid w:val="007E1D28"/>
    <w:rsid w:val="007E7C3B"/>
    <w:rsid w:val="007F2641"/>
    <w:rsid w:val="007F4B52"/>
    <w:rsid w:val="007F7C36"/>
    <w:rsid w:val="007F7E86"/>
    <w:rsid w:val="00806796"/>
    <w:rsid w:val="0081005B"/>
    <w:rsid w:val="008151D6"/>
    <w:rsid w:val="00822E88"/>
    <w:rsid w:val="00823597"/>
    <w:rsid w:val="00826F6D"/>
    <w:rsid w:val="008416B4"/>
    <w:rsid w:val="008434A3"/>
    <w:rsid w:val="00844DD2"/>
    <w:rsid w:val="0084759D"/>
    <w:rsid w:val="0085025E"/>
    <w:rsid w:val="00856DDD"/>
    <w:rsid w:val="00863E68"/>
    <w:rsid w:val="00866DEC"/>
    <w:rsid w:val="00870124"/>
    <w:rsid w:val="0087054A"/>
    <w:rsid w:val="008733F4"/>
    <w:rsid w:val="00873C27"/>
    <w:rsid w:val="00882085"/>
    <w:rsid w:val="00883121"/>
    <w:rsid w:val="00883188"/>
    <w:rsid w:val="00890588"/>
    <w:rsid w:val="00892457"/>
    <w:rsid w:val="0089294B"/>
    <w:rsid w:val="00897D58"/>
    <w:rsid w:val="008A1956"/>
    <w:rsid w:val="008A2912"/>
    <w:rsid w:val="008A4937"/>
    <w:rsid w:val="008A50F1"/>
    <w:rsid w:val="008A5AB9"/>
    <w:rsid w:val="008A6410"/>
    <w:rsid w:val="008A6CB7"/>
    <w:rsid w:val="008B45C4"/>
    <w:rsid w:val="008B623F"/>
    <w:rsid w:val="008C45AE"/>
    <w:rsid w:val="008D1B5C"/>
    <w:rsid w:val="008D3C82"/>
    <w:rsid w:val="008D447E"/>
    <w:rsid w:val="008D7A41"/>
    <w:rsid w:val="008E3680"/>
    <w:rsid w:val="008E5870"/>
    <w:rsid w:val="008F0B41"/>
    <w:rsid w:val="008F1434"/>
    <w:rsid w:val="008F25DD"/>
    <w:rsid w:val="008F3117"/>
    <w:rsid w:val="008F7355"/>
    <w:rsid w:val="009067B7"/>
    <w:rsid w:val="009202D1"/>
    <w:rsid w:val="00923755"/>
    <w:rsid w:val="009273BB"/>
    <w:rsid w:val="009278D3"/>
    <w:rsid w:val="00930937"/>
    <w:rsid w:val="00933E6C"/>
    <w:rsid w:val="0094113F"/>
    <w:rsid w:val="00942160"/>
    <w:rsid w:val="0095146F"/>
    <w:rsid w:val="00952892"/>
    <w:rsid w:val="00955755"/>
    <w:rsid w:val="009602C5"/>
    <w:rsid w:val="0096108F"/>
    <w:rsid w:val="00962223"/>
    <w:rsid w:val="00964364"/>
    <w:rsid w:val="009659D6"/>
    <w:rsid w:val="00965E59"/>
    <w:rsid w:val="00973F25"/>
    <w:rsid w:val="00974C21"/>
    <w:rsid w:val="00974D1D"/>
    <w:rsid w:val="00982AC9"/>
    <w:rsid w:val="00997385"/>
    <w:rsid w:val="009B0F67"/>
    <w:rsid w:val="009B1161"/>
    <w:rsid w:val="009B149D"/>
    <w:rsid w:val="009B4411"/>
    <w:rsid w:val="009C010C"/>
    <w:rsid w:val="009C703C"/>
    <w:rsid w:val="009D0C41"/>
    <w:rsid w:val="009D21A4"/>
    <w:rsid w:val="009D3CAA"/>
    <w:rsid w:val="009E7031"/>
    <w:rsid w:val="009E7B45"/>
    <w:rsid w:val="009F4E46"/>
    <w:rsid w:val="009F5B65"/>
    <w:rsid w:val="009F5DD7"/>
    <w:rsid w:val="009F5F2E"/>
    <w:rsid w:val="00A0100A"/>
    <w:rsid w:val="00A026F2"/>
    <w:rsid w:val="00A0338B"/>
    <w:rsid w:val="00A06225"/>
    <w:rsid w:val="00A128E6"/>
    <w:rsid w:val="00A12E7C"/>
    <w:rsid w:val="00A13A7B"/>
    <w:rsid w:val="00A22512"/>
    <w:rsid w:val="00A266B8"/>
    <w:rsid w:val="00A30F27"/>
    <w:rsid w:val="00A33879"/>
    <w:rsid w:val="00A366BF"/>
    <w:rsid w:val="00A37C8D"/>
    <w:rsid w:val="00A37D31"/>
    <w:rsid w:val="00A52479"/>
    <w:rsid w:val="00A5273B"/>
    <w:rsid w:val="00A53A9D"/>
    <w:rsid w:val="00A54301"/>
    <w:rsid w:val="00A54D15"/>
    <w:rsid w:val="00A55FEE"/>
    <w:rsid w:val="00A56F3F"/>
    <w:rsid w:val="00A61741"/>
    <w:rsid w:val="00A62C1A"/>
    <w:rsid w:val="00A6426D"/>
    <w:rsid w:val="00A70622"/>
    <w:rsid w:val="00A70977"/>
    <w:rsid w:val="00A74891"/>
    <w:rsid w:val="00A76EBC"/>
    <w:rsid w:val="00A77613"/>
    <w:rsid w:val="00A82A5B"/>
    <w:rsid w:val="00A8390C"/>
    <w:rsid w:val="00A86D99"/>
    <w:rsid w:val="00A928BD"/>
    <w:rsid w:val="00A92BCB"/>
    <w:rsid w:val="00A93849"/>
    <w:rsid w:val="00A93E03"/>
    <w:rsid w:val="00AA10AB"/>
    <w:rsid w:val="00AA4D1C"/>
    <w:rsid w:val="00AA697C"/>
    <w:rsid w:val="00AC193C"/>
    <w:rsid w:val="00AC5206"/>
    <w:rsid w:val="00AC64E7"/>
    <w:rsid w:val="00AE11A5"/>
    <w:rsid w:val="00AE13E2"/>
    <w:rsid w:val="00AE29BF"/>
    <w:rsid w:val="00AE6952"/>
    <w:rsid w:val="00AF148D"/>
    <w:rsid w:val="00AF2752"/>
    <w:rsid w:val="00AF68CC"/>
    <w:rsid w:val="00B04146"/>
    <w:rsid w:val="00B1059E"/>
    <w:rsid w:val="00B10F4E"/>
    <w:rsid w:val="00B205AA"/>
    <w:rsid w:val="00B2072A"/>
    <w:rsid w:val="00B21E3C"/>
    <w:rsid w:val="00B22E84"/>
    <w:rsid w:val="00B25F75"/>
    <w:rsid w:val="00B304AC"/>
    <w:rsid w:val="00B316E4"/>
    <w:rsid w:val="00B31A97"/>
    <w:rsid w:val="00B31E9E"/>
    <w:rsid w:val="00B35482"/>
    <w:rsid w:val="00B4327D"/>
    <w:rsid w:val="00B43E90"/>
    <w:rsid w:val="00B45AB2"/>
    <w:rsid w:val="00B467DC"/>
    <w:rsid w:val="00B56118"/>
    <w:rsid w:val="00B57406"/>
    <w:rsid w:val="00B57D7B"/>
    <w:rsid w:val="00B606DB"/>
    <w:rsid w:val="00B64307"/>
    <w:rsid w:val="00B6773F"/>
    <w:rsid w:val="00B72CEC"/>
    <w:rsid w:val="00B801BA"/>
    <w:rsid w:val="00B824D5"/>
    <w:rsid w:val="00B9126D"/>
    <w:rsid w:val="00BA1BCA"/>
    <w:rsid w:val="00BA3977"/>
    <w:rsid w:val="00BA5D91"/>
    <w:rsid w:val="00BA6B79"/>
    <w:rsid w:val="00BB0771"/>
    <w:rsid w:val="00BB0D90"/>
    <w:rsid w:val="00BB69F5"/>
    <w:rsid w:val="00BB6BCA"/>
    <w:rsid w:val="00BB7383"/>
    <w:rsid w:val="00BB7EC3"/>
    <w:rsid w:val="00BC4B9A"/>
    <w:rsid w:val="00BC7992"/>
    <w:rsid w:val="00BD088C"/>
    <w:rsid w:val="00BD1B81"/>
    <w:rsid w:val="00BD72BA"/>
    <w:rsid w:val="00BD784C"/>
    <w:rsid w:val="00BF335C"/>
    <w:rsid w:val="00BF4012"/>
    <w:rsid w:val="00BF4CB6"/>
    <w:rsid w:val="00C00DA7"/>
    <w:rsid w:val="00C0226F"/>
    <w:rsid w:val="00C12768"/>
    <w:rsid w:val="00C151C6"/>
    <w:rsid w:val="00C15E2A"/>
    <w:rsid w:val="00C15F0B"/>
    <w:rsid w:val="00C218A9"/>
    <w:rsid w:val="00C21B71"/>
    <w:rsid w:val="00C22C9D"/>
    <w:rsid w:val="00C27B58"/>
    <w:rsid w:val="00C35996"/>
    <w:rsid w:val="00C46879"/>
    <w:rsid w:val="00C46DAE"/>
    <w:rsid w:val="00C5342C"/>
    <w:rsid w:val="00C53526"/>
    <w:rsid w:val="00C5734C"/>
    <w:rsid w:val="00C603D4"/>
    <w:rsid w:val="00C6256A"/>
    <w:rsid w:val="00C626DB"/>
    <w:rsid w:val="00C8601C"/>
    <w:rsid w:val="00C87B28"/>
    <w:rsid w:val="00C91449"/>
    <w:rsid w:val="00C92D10"/>
    <w:rsid w:val="00C941A8"/>
    <w:rsid w:val="00C96FF8"/>
    <w:rsid w:val="00CA0EFA"/>
    <w:rsid w:val="00CA1F2D"/>
    <w:rsid w:val="00CB048A"/>
    <w:rsid w:val="00CC6BDA"/>
    <w:rsid w:val="00CD0B5C"/>
    <w:rsid w:val="00CE10C4"/>
    <w:rsid w:val="00CE27B5"/>
    <w:rsid w:val="00CF0651"/>
    <w:rsid w:val="00CF2E5A"/>
    <w:rsid w:val="00D02B65"/>
    <w:rsid w:val="00D0321E"/>
    <w:rsid w:val="00D04EB0"/>
    <w:rsid w:val="00D1455A"/>
    <w:rsid w:val="00D21CC9"/>
    <w:rsid w:val="00D23CA7"/>
    <w:rsid w:val="00D2650D"/>
    <w:rsid w:val="00D3138B"/>
    <w:rsid w:val="00D3280C"/>
    <w:rsid w:val="00D3406A"/>
    <w:rsid w:val="00D469B2"/>
    <w:rsid w:val="00D500E0"/>
    <w:rsid w:val="00D502ED"/>
    <w:rsid w:val="00D52AF8"/>
    <w:rsid w:val="00D53AE5"/>
    <w:rsid w:val="00D652FE"/>
    <w:rsid w:val="00D7018E"/>
    <w:rsid w:val="00D70986"/>
    <w:rsid w:val="00D741EB"/>
    <w:rsid w:val="00D75B30"/>
    <w:rsid w:val="00D76932"/>
    <w:rsid w:val="00D84934"/>
    <w:rsid w:val="00D84A83"/>
    <w:rsid w:val="00D91271"/>
    <w:rsid w:val="00D9477E"/>
    <w:rsid w:val="00DA2CB5"/>
    <w:rsid w:val="00DA4BAC"/>
    <w:rsid w:val="00DB7CFA"/>
    <w:rsid w:val="00DC09D9"/>
    <w:rsid w:val="00DC3080"/>
    <w:rsid w:val="00DC5EF4"/>
    <w:rsid w:val="00DD1FBD"/>
    <w:rsid w:val="00DD7564"/>
    <w:rsid w:val="00DE6D27"/>
    <w:rsid w:val="00DF217D"/>
    <w:rsid w:val="00DF26A7"/>
    <w:rsid w:val="00E06D1F"/>
    <w:rsid w:val="00E1144E"/>
    <w:rsid w:val="00E11CB5"/>
    <w:rsid w:val="00E11CF8"/>
    <w:rsid w:val="00E15627"/>
    <w:rsid w:val="00E164B3"/>
    <w:rsid w:val="00E16910"/>
    <w:rsid w:val="00E34E7E"/>
    <w:rsid w:val="00E458BB"/>
    <w:rsid w:val="00E458C4"/>
    <w:rsid w:val="00E45C7D"/>
    <w:rsid w:val="00E52DCC"/>
    <w:rsid w:val="00E55EAC"/>
    <w:rsid w:val="00E65E54"/>
    <w:rsid w:val="00E70F69"/>
    <w:rsid w:val="00E7470B"/>
    <w:rsid w:val="00E766BB"/>
    <w:rsid w:val="00E80155"/>
    <w:rsid w:val="00E8442F"/>
    <w:rsid w:val="00E848C0"/>
    <w:rsid w:val="00E9101E"/>
    <w:rsid w:val="00E91B96"/>
    <w:rsid w:val="00E92A8E"/>
    <w:rsid w:val="00E941A1"/>
    <w:rsid w:val="00E95CE3"/>
    <w:rsid w:val="00E96172"/>
    <w:rsid w:val="00E964FC"/>
    <w:rsid w:val="00EA2825"/>
    <w:rsid w:val="00EA299E"/>
    <w:rsid w:val="00EA29EA"/>
    <w:rsid w:val="00EA2C6B"/>
    <w:rsid w:val="00EA53CB"/>
    <w:rsid w:val="00EB35AC"/>
    <w:rsid w:val="00EB5088"/>
    <w:rsid w:val="00EB6AF0"/>
    <w:rsid w:val="00EB7D5B"/>
    <w:rsid w:val="00EC5872"/>
    <w:rsid w:val="00EC5C3F"/>
    <w:rsid w:val="00EC7E22"/>
    <w:rsid w:val="00ED1644"/>
    <w:rsid w:val="00ED2593"/>
    <w:rsid w:val="00EE1016"/>
    <w:rsid w:val="00EE354C"/>
    <w:rsid w:val="00EE7789"/>
    <w:rsid w:val="00EF1865"/>
    <w:rsid w:val="00EF4138"/>
    <w:rsid w:val="00EF44A0"/>
    <w:rsid w:val="00EF4FED"/>
    <w:rsid w:val="00EF6C93"/>
    <w:rsid w:val="00F00D3C"/>
    <w:rsid w:val="00F0110D"/>
    <w:rsid w:val="00F050BD"/>
    <w:rsid w:val="00F05138"/>
    <w:rsid w:val="00F05657"/>
    <w:rsid w:val="00F22ABC"/>
    <w:rsid w:val="00F23D03"/>
    <w:rsid w:val="00F245A3"/>
    <w:rsid w:val="00F25578"/>
    <w:rsid w:val="00F258E5"/>
    <w:rsid w:val="00F300BC"/>
    <w:rsid w:val="00F3334E"/>
    <w:rsid w:val="00F352DC"/>
    <w:rsid w:val="00F353C9"/>
    <w:rsid w:val="00F3735A"/>
    <w:rsid w:val="00F415AB"/>
    <w:rsid w:val="00F423B3"/>
    <w:rsid w:val="00F44F48"/>
    <w:rsid w:val="00F44FBA"/>
    <w:rsid w:val="00F50EC4"/>
    <w:rsid w:val="00F51075"/>
    <w:rsid w:val="00F530EF"/>
    <w:rsid w:val="00F57A6D"/>
    <w:rsid w:val="00F638CC"/>
    <w:rsid w:val="00F64CC1"/>
    <w:rsid w:val="00F700F4"/>
    <w:rsid w:val="00F75B7D"/>
    <w:rsid w:val="00F8247A"/>
    <w:rsid w:val="00F85470"/>
    <w:rsid w:val="00F86596"/>
    <w:rsid w:val="00F879E5"/>
    <w:rsid w:val="00F9629A"/>
    <w:rsid w:val="00FA1770"/>
    <w:rsid w:val="00FA5883"/>
    <w:rsid w:val="00FA6055"/>
    <w:rsid w:val="00FA6118"/>
    <w:rsid w:val="00FB12B7"/>
    <w:rsid w:val="00FB322F"/>
    <w:rsid w:val="00FB32B0"/>
    <w:rsid w:val="00FB442F"/>
    <w:rsid w:val="00FC1929"/>
    <w:rsid w:val="00FC26A5"/>
    <w:rsid w:val="00FC43AA"/>
    <w:rsid w:val="00FC5B46"/>
    <w:rsid w:val="00FD5271"/>
    <w:rsid w:val="00FE0E94"/>
    <w:rsid w:val="00FE6907"/>
    <w:rsid w:val="00FF00BD"/>
    <w:rsid w:val="00FF1ED4"/>
    <w:rsid w:val="00FF2801"/>
    <w:rsid w:val="00FF5B43"/>
    <w:rsid w:val="00FF6257"/>
    <w:rsid w:val="00FF6E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6F14F0"/>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unhideWhenUsed/>
    <w:qFormat/>
    <w:rsid w:val="0023111F"/>
    <w:pPr>
      <w:jc w:val="both"/>
      <w:outlineLvl w:val="2"/>
    </w:pPr>
    <w:rPr>
      <w:rFonts w:ascii="Arial" w:hAnsi="Arial"/>
      <w:i/>
      <w:sz w:val="22"/>
      <w:szCs w:val="22"/>
      <w:u w:val="single"/>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23111F"/>
    <w:rPr>
      <w:rFonts w:ascii="Arial" w:hAnsi="Arial"/>
      <w:i/>
      <w:sz w:val="22"/>
      <w:szCs w:val="22"/>
      <w:u w:val="single"/>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styleId="Revision">
    <w:name w:val="Revision"/>
    <w:hidden/>
    <w:uiPriority w:val="71"/>
    <w:rsid w:val="00A92BCB"/>
    <w:rPr>
      <w:sz w:val="24"/>
      <w:szCs w:val="24"/>
    </w:rPr>
  </w:style>
  <w:style w:type="paragraph" w:customStyle="1" w:styleId="TableText0">
    <w:name w:val="TableText"/>
    <w:basedOn w:val="Normal"/>
    <w:link w:val="TableTextChar"/>
    <w:qFormat/>
    <w:rsid w:val="006E7893"/>
    <w:pPr>
      <w:keepNext/>
      <w:spacing w:line="264" w:lineRule="auto"/>
    </w:pPr>
    <w:rPr>
      <w:rFonts w:ascii="Arial Narrow" w:hAnsi="Arial Narrow" w:cs="Arial Narrow"/>
      <w:sz w:val="22"/>
      <w:szCs w:val="22"/>
      <w:lang w:eastAsia="en-US" w:bidi="en-US"/>
    </w:rPr>
  </w:style>
  <w:style w:type="character" w:customStyle="1" w:styleId="TableTextChar">
    <w:name w:val="TableText Char"/>
    <w:link w:val="TableText0"/>
    <w:rsid w:val="006E7893"/>
    <w:rPr>
      <w:rFonts w:ascii="Arial Narrow" w:hAnsi="Arial Narrow" w:cs="Arial Narrow"/>
      <w:sz w:val="22"/>
      <w:szCs w:val="22"/>
      <w:lang w:eastAsia="en-US" w:bidi="en-US"/>
    </w:rPr>
  </w:style>
  <w:style w:type="paragraph" w:styleId="Caption">
    <w:name w:val="caption"/>
    <w:basedOn w:val="Normal"/>
    <w:next w:val="Normal"/>
    <w:unhideWhenUsed/>
    <w:qFormat/>
    <w:rsid w:val="008416B4"/>
    <w:pPr>
      <w:spacing w:after="200"/>
    </w:pPr>
    <w:rPr>
      <w:b/>
      <w:bCs/>
      <w:color w:val="4F81BD" w:themeColor="accent1"/>
      <w:sz w:val="18"/>
      <w:szCs w:val="18"/>
    </w:rPr>
  </w:style>
  <w:style w:type="paragraph" w:customStyle="1" w:styleId="TableFooter">
    <w:name w:val="Table Footer"/>
    <w:basedOn w:val="Normal"/>
    <w:qFormat/>
    <w:rsid w:val="005A3FEE"/>
    <w:pPr>
      <w:widowControl w:val="0"/>
      <w:jc w:val="both"/>
    </w:pPr>
    <w:rPr>
      <w:rFonts w:ascii="Arial Narrow" w:hAnsi="Arial Narrow" w:cs="Arial"/>
      <w:snapToGrid w:val="0"/>
      <w:sz w:val="18"/>
      <w:szCs w:val="20"/>
      <w:lang w:eastAsia="en-US"/>
    </w:rPr>
  </w:style>
  <w:style w:type="paragraph" w:styleId="FootnoteText">
    <w:name w:val="footnote text"/>
    <w:basedOn w:val="Normal"/>
    <w:link w:val="FootnoteTextChar"/>
    <w:rsid w:val="00502D76"/>
    <w:rPr>
      <w:sz w:val="20"/>
      <w:szCs w:val="20"/>
    </w:rPr>
  </w:style>
  <w:style w:type="character" w:customStyle="1" w:styleId="FootnoteTextChar">
    <w:name w:val="Footnote Text Char"/>
    <w:basedOn w:val="DefaultParagraphFont"/>
    <w:link w:val="FootnoteText"/>
    <w:rsid w:val="00502D76"/>
  </w:style>
  <w:style w:type="character" w:styleId="FootnoteReference">
    <w:name w:val="footnote reference"/>
    <w:basedOn w:val="DefaultParagraphFont"/>
    <w:rsid w:val="00502D7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6F14F0"/>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unhideWhenUsed/>
    <w:qFormat/>
    <w:rsid w:val="0023111F"/>
    <w:pPr>
      <w:jc w:val="both"/>
      <w:outlineLvl w:val="2"/>
    </w:pPr>
    <w:rPr>
      <w:rFonts w:ascii="Arial" w:hAnsi="Arial"/>
      <w:i/>
      <w:sz w:val="22"/>
      <w:szCs w:val="22"/>
      <w:u w:val="single"/>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23111F"/>
    <w:rPr>
      <w:rFonts w:ascii="Arial" w:hAnsi="Arial"/>
      <w:i/>
      <w:sz w:val="22"/>
      <w:szCs w:val="22"/>
      <w:u w:val="single"/>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styleId="Revision">
    <w:name w:val="Revision"/>
    <w:hidden/>
    <w:uiPriority w:val="71"/>
    <w:rsid w:val="00A92BCB"/>
    <w:rPr>
      <w:sz w:val="24"/>
      <w:szCs w:val="24"/>
    </w:rPr>
  </w:style>
  <w:style w:type="paragraph" w:customStyle="1" w:styleId="TableText0">
    <w:name w:val="TableText"/>
    <w:basedOn w:val="Normal"/>
    <w:link w:val="TableTextChar"/>
    <w:qFormat/>
    <w:rsid w:val="006E7893"/>
    <w:pPr>
      <w:keepNext/>
      <w:spacing w:line="264" w:lineRule="auto"/>
    </w:pPr>
    <w:rPr>
      <w:rFonts w:ascii="Arial Narrow" w:hAnsi="Arial Narrow" w:cs="Arial Narrow"/>
      <w:sz w:val="22"/>
      <w:szCs w:val="22"/>
      <w:lang w:eastAsia="en-US" w:bidi="en-US"/>
    </w:rPr>
  </w:style>
  <w:style w:type="character" w:customStyle="1" w:styleId="TableTextChar">
    <w:name w:val="TableText Char"/>
    <w:link w:val="TableText0"/>
    <w:rsid w:val="006E7893"/>
    <w:rPr>
      <w:rFonts w:ascii="Arial Narrow" w:hAnsi="Arial Narrow" w:cs="Arial Narrow"/>
      <w:sz w:val="22"/>
      <w:szCs w:val="22"/>
      <w:lang w:eastAsia="en-US" w:bidi="en-US"/>
    </w:rPr>
  </w:style>
  <w:style w:type="paragraph" w:styleId="Caption">
    <w:name w:val="caption"/>
    <w:basedOn w:val="Normal"/>
    <w:next w:val="Normal"/>
    <w:unhideWhenUsed/>
    <w:qFormat/>
    <w:rsid w:val="008416B4"/>
    <w:pPr>
      <w:spacing w:after="200"/>
    </w:pPr>
    <w:rPr>
      <w:b/>
      <w:bCs/>
      <w:color w:val="4F81BD" w:themeColor="accent1"/>
      <w:sz w:val="18"/>
      <w:szCs w:val="18"/>
    </w:rPr>
  </w:style>
  <w:style w:type="paragraph" w:customStyle="1" w:styleId="TableFooter">
    <w:name w:val="Table Footer"/>
    <w:basedOn w:val="Normal"/>
    <w:qFormat/>
    <w:rsid w:val="005A3FEE"/>
    <w:pPr>
      <w:widowControl w:val="0"/>
      <w:jc w:val="both"/>
    </w:pPr>
    <w:rPr>
      <w:rFonts w:ascii="Arial Narrow" w:hAnsi="Arial Narrow" w:cs="Arial"/>
      <w:snapToGrid w:val="0"/>
      <w:sz w:val="18"/>
      <w:szCs w:val="20"/>
      <w:lang w:eastAsia="en-US"/>
    </w:rPr>
  </w:style>
  <w:style w:type="paragraph" w:styleId="FootnoteText">
    <w:name w:val="footnote text"/>
    <w:basedOn w:val="Normal"/>
    <w:link w:val="FootnoteTextChar"/>
    <w:rsid w:val="00502D76"/>
    <w:rPr>
      <w:sz w:val="20"/>
      <w:szCs w:val="20"/>
    </w:rPr>
  </w:style>
  <w:style w:type="character" w:customStyle="1" w:styleId="FootnoteTextChar">
    <w:name w:val="Footnote Text Char"/>
    <w:basedOn w:val="DefaultParagraphFont"/>
    <w:link w:val="FootnoteText"/>
    <w:rsid w:val="00502D76"/>
  </w:style>
  <w:style w:type="character" w:styleId="FootnoteReference">
    <w:name w:val="footnote reference"/>
    <w:basedOn w:val="DefaultParagraphFont"/>
    <w:rsid w:val="00502D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81585557">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34303217">
      <w:bodyDiv w:val="1"/>
      <w:marLeft w:val="0"/>
      <w:marRight w:val="0"/>
      <w:marTop w:val="0"/>
      <w:marBottom w:val="0"/>
      <w:divBdr>
        <w:top w:val="none" w:sz="0" w:space="0" w:color="auto"/>
        <w:left w:val="none" w:sz="0" w:space="0" w:color="auto"/>
        <w:bottom w:val="none" w:sz="0" w:space="0" w:color="auto"/>
        <w:right w:val="none" w:sz="0" w:space="0" w:color="auto"/>
      </w:divBdr>
    </w:div>
    <w:div w:id="1140539190">
      <w:bodyDiv w:val="1"/>
      <w:marLeft w:val="0"/>
      <w:marRight w:val="0"/>
      <w:marTop w:val="0"/>
      <w:marBottom w:val="0"/>
      <w:divBdr>
        <w:top w:val="none" w:sz="0" w:space="0" w:color="auto"/>
        <w:left w:val="none" w:sz="0" w:space="0" w:color="auto"/>
        <w:bottom w:val="none" w:sz="0" w:space="0" w:color="auto"/>
        <w:right w:val="none" w:sz="0" w:space="0" w:color="auto"/>
      </w:divBdr>
    </w:div>
    <w:div w:id="1320231491">
      <w:bodyDiv w:val="1"/>
      <w:marLeft w:val="0"/>
      <w:marRight w:val="0"/>
      <w:marTop w:val="0"/>
      <w:marBottom w:val="0"/>
      <w:divBdr>
        <w:top w:val="none" w:sz="0" w:space="0" w:color="auto"/>
        <w:left w:val="none" w:sz="0" w:space="0" w:color="auto"/>
        <w:bottom w:val="none" w:sz="0" w:space="0" w:color="auto"/>
        <w:right w:val="none" w:sz="0" w:space="0" w:color="auto"/>
      </w:divBdr>
    </w:div>
    <w:div w:id="147143410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71E89-1933-42BA-BD9D-22C93509F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4493</Words>
  <Characters>25893</Characters>
  <Application>Microsoft Office Word</Application>
  <DocSecurity>0</DocSecurity>
  <Lines>215</Lines>
  <Paragraphs>60</Paragraphs>
  <ScaleCrop>false</ScaleCrop>
  <LinksUpToDate>false</LinksUpToDate>
  <CharactersWithSpaces>30326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2017-06-16T04:33:00Z</dcterms:created>
  <dcterms:modified xsi:type="dcterms:W3CDTF">2017-06-16T04:33:00Z</dcterms:modified>
</cp:coreProperties>
</file>