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A65" w:rsidRPr="00002A62" w:rsidRDefault="004A6A65" w:rsidP="004A6A65">
      <w:bookmarkStart w:id="0" w:name="_Toc472330223"/>
      <w:bookmarkStart w:id="1" w:name="_GoBack"/>
      <w:bookmarkEnd w:id="1"/>
    </w:p>
    <w:p w:rsidR="00200670" w:rsidRPr="00002A62" w:rsidRDefault="002411F4" w:rsidP="00CB35E4">
      <w:pPr>
        <w:pStyle w:val="Heading1"/>
        <w:rPr>
          <w:sz w:val="28"/>
        </w:rPr>
      </w:pPr>
      <w:r w:rsidRPr="00002A62">
        <w:rPr>
          <w:sz w:val="28"/>
        </w:rPr>
        <w:t>5.</w:t>
      </w:r>
      <w:r w:rsidR="00944320" w:rsidRPr="00002A62">
        <w:rPr>
          <w:sz w:val="28"/>
        </w:rPr>
        <w:t>0</w:t>
      </w:r>
      <w:r w:rsidRPr="00002A62">
        <w:rPr>
          <w:sz w:val="28"/>
        </w:rPr>
        <w:t>8</w:t>
      </w:r>
      <w:r w:rsidR="00B60939" w:rsidRPr="00002A62">
        <w:rPr>
          <w:sz w:val="28"/>
        </w:rPr>
        <w:tab/>
      </w:r>
      <w:r w:rsidR="00CB35E4" w:rsidRPr="00002A62">
        <w:rPr>
          <w:sz w:val="28"/>
        </w:rPr>
        <w:t>Tenofovir alafenamide</w:t>
      </w:r>
      <w:r w:rsidR="00B60939" w:rsidRPr="00002A62">
        <w:rPr>
          <w:sz w:val="28"/>
        </w:rPr>
        <w:t xml:space="preserve">, </w:t>
      </w:r>
    </w:p>
    <w:p w:rsidR="00200670" w:rsidRPr="00002A62" w:rsidRDefault="002411F4" w:rsidP="00200670">
      <w:pPr>
        <w:pStyle w:val="Heading1"/>
        <w:ind w:firstLine="0"/>
        <w:rPr>
          <w:sz w:val="28"/>
        </w:rPr>
      </w:pPr>
      <w:r w:rsidRPr="00002A62">
        <w:rPr>
          <w:caps w:val="0"/>
          <w:sz w:val="28"/>
        </w:rPr>
        <w:t>Tab</w:t>
      </w:r>
      <w:r w:rsidR="00CB35E4" w:rsidRPr="00002A62">
        <w:rPr>
          <w:caps w:val="0"/>
          <w:sz w:val="28"/>
        </w:rPr>
        <w:t>let</w:t>
      </w:r>
      <w:r w:rsidR="00B60939" w:rsidRPr="00002A62">
        <w:rPr>
          <w:sz w:val="28"/>
        </w:rPr>
        <w:t xml:space="preserve"> </w:t>
      </w:r>
      <w:r w:rsidR="00CB35E4" w:rsidRPr="00002A62">
        <w:rPr>
          <w:caps w:val="0"/>
          <w:sz w:val="28"/>
        </w:rPr>
        <w:t>25</w:t>
      </w:r>
      <w:r w:rsidR="002D4CEB" w:rsidRPr="00002A62">
        <w:rPr>
          <w:caps w:val="0"/>
          <w:sz w:val="28"/>
        </w:rPr>
        <w:t xml:space="preserve"> </w:t>
      </w:r>
      <w:r w:rsidR="00CB35E4" w:rsidRPr="00002A62">
        <w:rPr>
          <w:caps w:val="0"/>
          <w:sz w:val="28"/>
        </w:rPr>
        <w:t>mg</w:t>
      </w:r>
      <w:r w:rsidR="00B60939" w:rsidRPr="00002A62">
        <w:rPr>
          <w:sz w:val="28"/>
        </w:rPr>
        <w:t xml:space="preserve">, </w:t>
      </w:r>
    </w:p>
    <w:p w:rsidR="00B60939" w:rsidRPr="00002A62" w:rsidRDefault="00CB35E4" w:rsidP="00200670">
      <w:pPr>
        <w:pStyle w:val="Heading1"/>
        <w:ind w:firstLine="0"/>
        <w:rPr>
          <w:caps w:val="0"/>
          <w:sz w:val="28"/>
        </w:rPr>
      </w:pPr>
      <w:r w:rsidRPr="00002A62">
        <w:rPr>
          <w:caps w:val="0"/>
          <w:sz w:val="28"/>
        </w:rPr>
        <w:t>Vemlidy</w:t>
      </w:r>
      <w:r w:rsidR="00B60939" w:rsidRPr="00002A62">
        <w:rPr>
          <w:sz w:val="28"/>
          <w:vertAlign w:val="superscript"/>
        </w:rPr>
        <w:t>®</w:t>
      </w:r>
      <w:r w:rsidR="00B60939" w:rsidRPr="00002A62">
        <w:rPr>
          <w:sz w:val="28"/>
        </w:rPr>
        <w:t xml:space="preserve">, </w:t>
      </w:r>
      <w:r w:rsidRPr="00002A62">
        <w:rPr>
          <w:caps w:val="0"/>
          <w:sz w:val="28"/>
        </w:rPr>
        <w:t>Gilead Sciences</w:t>
      </w:r>
      <w:bookmarkEnd w:id="0"/>
    </w:p>
    <w:p w:rsidR="009A70AF" w:rsidRPr="00002A62" w:rsidRDefault="009A70AF" w:rsidP="009A70AF"/>
    <w:p w:rsidR="00E01819" w:rsidRPr="00002A62" w:rsidRDefault="00E01819">
      <w:pPr>
        <w:widowControl/>
        <w:jc w:val="left"/>
      </w:pPr>
    </w:p>
    <w:p w:rsidR="009A70AF" w:rsidRPr="00002A62" w:rsidRDefault="009A70AF" w:rsidP="009A70AF">
      <w:pPr>
        <w:pStyle w:val="PBACHeading1"/>
        <w:numPr>
          <w:ilvl w:val="0"/>
          <w:numId w:val="15"/>
        </w:numPr>
        <w:snapToGrid w:val="0"/>
      </w:pPr>
      <w:bookmarkStart w:id="2" w:name="_Toc472330225"/>
      <w:r w:rsidRPr="00002A62">
        <w:t>Purpose of Application</w:t>
      </w:r>
      <w:bookmarkEnd w:id="2"/>
    </w:p>
    <w:p w:rsidR="009A70AF" w:rsidRPr="00002A62" w:rsidRDefault="009A70AF" w:rsidP="009A70AF">
      <w:pPr>
        <w:rPr>
          <w:szCs w:val="22"/>
        </w:rPr>
      </w:pPr>
    </w:p>
    <w:p w:rsidR="009A70AF" w:rsidRPr="00002A62" w:rsidRDefault="009A70AF" w:rsidP="009A70AF">
      <w:pPr>
        <w:pStyle w:val="ListParagraph"/>
        <w:widowControl/>
        <w:numPr>
          <w:ilvl w:val="1"/>
          <w:numId w:val="15"/>
        </w:numPr>
        <w:snapToGrid w:val="0"/>
        <w:rPr>
          <w:szCs w:val="22"/>
        </w:rPr>
      </w:pPr>
      <w:r w:rsidRPr="00002A62">
        <w:t xml:space="preserve">Section 100 (Highly Specialised Drug) Community </w:t>
      </w:r>
      <w:r w:rsidR="00650822">
        <w:t>A</w:t>
      </w:r>
      <w:r w:rsidRPr="00002A62">
        <w:t>ccess Authority Required</w:t>
      </w:r>
      <w:r w:rsidR="00F3700D" w:rsidRPr="00002A62">
        <w:t xml:space="preserve"> </w:t>
      </w:r>
      <w:r w:rsidRPr="00002A62">
        <w:t>listing for tenofovir alafenamide (TAF) for treatment of chronic hepatitis B infection</w:t>
      </w:r>
      <w:r w:rsidR="00F3700D" w:rsidRPr="00002A62">
        <w:t>s</w:t>
      </w:r>
      <w:r w:rsidRPr="00002A62">
        <w:t>.</w:t>
      </w:r>
    </w:p>
    <w:p w:rsidR="009A70AF" w:rsidRPr="00002A62" w:rsidRDefault="009A70AF" w:rsidP="009A70AF"/>
    <w:p w:rsidR="00215F98" w:rsidRPr="00002A62" w:rsidRDefault="00215F98" w:rsidP="009A70AF"/>
    <w:p w:rsidR="009A70AF" w:rsidRPr="00002A62" w:rsidRDefault="009A70AF" w:rsidP="009A70AF">
      <w:pPr>
        <w:pStyle w:val="PBACHeading1"/>
        <w:numPr>
          <w:ilvl w:val="0"/>
          <w:numId w:val="15"/>
        </w:numPr>
        <w:snapToGrid w:val="0"/>
      </w:pPr>
      <w:bookmarkStart w:id="3" w:name="_Toc472330226"/>
      <w:r w:rsidRPr="00002A62">
        <w:t>Requested listing</w:t>
      </w:r>
      <w:bookmarkEnd w:id="3"/>
    </w:p>
    <w:p w:rsidR="00F3700D" w:rsidRPr="00002A62" w:rsidRDefault="00F3700D" w:rsidP="00F3700D">
      <w:pPr>
        <w:ind w:left="720"/>
      </w:pPr>
    </w:p>
    <w:p w:rsidR="00F3700D" w:rsidRPr="00002A62" w:rsidRDefault="00F3700D" w:rsidP="00E62B8F">
      <w:pPr>
        <w:pStyle w:val="ListParagraph"/>
        <w:widowControl/>
        <w:numPr>
          <w:ilvl w:val="1"/>
          <w:numId w:val="15"/>
        </w:numPr>
        <w:snapToGrid w:val="0"/>
      </w:pPr>
      <w:r w:rsidRPr="00002A62">
        <w:t xml:space="preserve">The requested restrictions were identical to the current PBS listing for </w:t>
      </w:r>
      <w:r w:rsidRPr="00002A62">
        <w:rPr>
          <w:szCs w:val="22"/>
        </w:rPr>
        <w:t>tenofovir disoproxil fumarate (</w:t>
      </w:r>
      <w:r w:rsidRPr="00002A62">
        <w:t xml:space="preserve">TDF) </w:t>
      </w:r>
      <w:r w:rsidR="003D515B" w:rsidRPr="00002A62">
        <w:t xml:space="preserve">and </w:t>
      </w:r>
      <w:r w:rsidR="001B3C20" w:rsidRPr="00002A62">
        <w:t xml:space="preserve">similar to </w:t>
      </w:r>
      <w:r w:rsidR="003D515B" w:rsidRPr="00002A62">
        <w:t xml:space="preserve">entecavir </w:t>
      </w:r>
      <w:r w:rsidRPr="00002A62">
        <w:t>in chronic hepatitis B (CHB)</w:t>
      </w:r>
      <w:r w:rsidR="00716ED0" w:rsidRPr="00002A62">
        <w:t xml:space="preserve">. </w:t>
      </w:r>
      <w:r w:rsidR="001B3C20" w:rsidRPr="00002A62">
        <w:t>The differences between the</w:t>
      </w:r>
      <w:r w:rsidR="00F1121E" w:rsidRPr="00002A62">
        <w:t xml:space="preserve"> current</w:t>
      </w:r>
      <w:r w:rsidR="001B3C20" w:rsidRPr="00002A62">
        <w:t xml:space="preserve"> restriction</w:t>
      </w:r>
      <w:r w:rsidR="00F1121E" w:rsidRPr="00002A62">
        <w:t>s</w:t>
      </w:r>
      <w:r w:rsidR="001B3C20" w:rsidRPr="00002A62">
        <w:t xml:space="preserve"> for TDF and entecavir </w:t>
      </w:r>
      <w:r w:rsidR="00107CB7" w:rsidRPr="00002A62">
        <w:t>are</w:t>
      </w:r>
      <w:r w:rsidR="001B3C20" w:rsidRPr="00002A62">
        <w:t xml:space="preserve"> that the TDF restriction </w:t>
      </w:r>
      <w:r w:rsidR="00F1121E" w:rsidRPr="00002A62">
        <w:t>has</w:t>
      </w:r>
      <w:r w:rsidR="00482D5C" w:rsidRPr="00002A62">
        <w:t xml:space="preserve"> additional clinical criteria which states </w:t>
      </w:r>
      <w:r w:rsidR="001B3C20" w:rsidRPr="00002A62">
        <w:t>that patients must be nucleoside naïve</w:t>
      </w:r>
      <w:r w:rsidR="001C0C92" w:rsidRPr="00002A62">
        <w:t xml:space="preserve">, </w:t>
      </w:r>
      <w:r w:rsidR="001B3C20" w:rsidRPr="00002A62">
        <w:t xml:space="preserve">TDF must be the sole PBS-subsidised therapy for CHB, </w:t>
      </w:r>
      <w:r w:rsidR="001C0C92" w:rsidRPr="00002A62">
        <w:t xml:space="preserve">and </w:t>
      </w:r>
      <w:r w:rsidR="001B3C20" w:rsidRPr="00002A62">
        <w:t>a note that states patients may receive the treatment in combination with lamivudine but not with other PBS-subsidised antihepadnaviral therapy.</w:t>
      </w:r>
      <w:r w:rsidR="00F47202" w:rsidRPr="00002A62">
        <w:t xml:space="preserve"> </w:t>
      </w:r>
      <w:r w:rsidR="00FD03FA" w:rsidRPr="00002A62">
        <w:t>Despite the addition</w:t>
      </w:r>
      <w:r w:rsidR="00A77A6F" w:rsidRPr="00002A62">
        <w:t>al</w:t>
      </w:r>
      <w:r w:rsidR="00FD03FA" w:rsidRPr="00002A62">
        <w:t xml:space="preserve"> criteria, the </w:t>
      </w:r>
      <w:r w:rsidR="0078609B" w:rsidRPr="00002A62">
        <w:t xml:space="preserve">intent </w:t>
      </w:r>
      <w:r w:rsidR="00FD03FA" w:rsidRPr="00002A62">
        <w:t xml:space="preserve">of the </w:t>
      </w:r>
      <w:r w:rsidR="00613D5E" w:rsidRPr="00002A62">
        <w:t xml:space="preserve">TDF and entecavir </w:t>
      </w:r>
      <w:r w:rsidR="00FD03FA" w:rsidRPr="00002A62">
        <w:t xml:space="preserve">restrictions are the same and would likely cover the same </w:t>
      </w:r>
      <w:r w:rsidR="008323C2" w:rsidRPr="00002A62">
        <w:t xml:space="preserve">patient </w:t>
      </w:r>
      <w:r w:rsidR="00FD03FA" w:rsidRPr="00002A62">
        <w:t>populations</w:t>
      </w:r>
      <w:r w:rsidR="00224991" w:rsidRPr="00002A62">
        <w:t xml:space="preserve">. </w:t>
      </w:r>
      <w:r w:rsidRPr="00002A62">
        <w:t xml:space="preserve">TDF and TAF are both prodrugs of tenofovir, but have different pharmacokinetic profiles. </w:t>
      </w:r>
    </w:p>
    <w:p w:rsidR="00F3700D" w:rsidRPr="00002A62" w:rsidRDefault="00F3700D" w:rsidP="00F3700D">
      <w:pPr>
        <w:ind w:left="720"/>
      </w:pPr>
    </w:p>
    <w:p w:rsidR="00F3700D" w:rsidRPr="00002A62" w:rsidRDefault="00F3700D" w:rsidP="00E62B8F">
      <w:pPr>
        <w:pStyle w:val="ListParagraph"/>
        <w:widowControl/>
        <w:numPr>
          <w:ilvl w:val="1"/>
          <w:numId w:val="15"/>
        </w:numPr>
        <w:snapToGrid w:val="0"/>
      </w:pPr>
      <w:r w:rsidRPr="00002A62">
        <w:t>In summary, listing was requested for TAF in adult patients with treatment-naïve and treatment-experienced CHB infections, with or without cirrhosis (presented over four separate restrictions</w:t>
      </w:r>
      <w:r w:rsidR="00376E94" w:rsidRPr="00002A62">
        <w:t>.</w:t>
      </w:r>
      <w:r w:rsidR="00716ED0" w:rsidRPr="00002A62">
        <w:t xml:space="preserve"> </w:t>
      </w:r>
      <w:r w:rsidRPr="00002A62">
        <w:t>The requested restrictions</w:t>
      </w:r>
      <w:r w:rsidR="003C35D1" w:rsidRPr="00002A62">
        <w:t>,</w:t>
      </w:r>
      <w:r w:rsidRPr="00002A62">
        <w:t xml:space="preserve"> although narrower</w:t>
      </w:r>
      <w:r w:rsidR="003C35D1" w:rsidRPr="00002A62">
        <w:t>,</w:t>
      </w:r>
      <w:r w:rsidRPr="00002A62">
        <w:t xml:space="preserve"> were generally in line with the proposed TGA indication of TAF and concurred with the population</w:t>
      </w:r>
      <w:r w:rsidR="00514A69" w:rsidRPr="00002A62">
        <w:t>s</w:t>
      </w:r>
      <w:r w:rsidRPr="00002A62">
        <w:t xml:space="preserve"> of the main trials supporting the submission (Study 108 and 110).</w:t>
      </w:r>
    </w:p>
    <w:p w:rsidR="00A24A57" w:rsidRPr="00002A62" w:rsidRDefault="00A24A57" w:rsidP="00A24A57">
      <w:pPr>
        <w:pStyle w:val="ListParagraph"/>
        <w:widowControl/>
        <w:snapToGrid w:val="0"/>
        <w:rPr>
          <w:szCs w:val="22"/>
        </w:rPr>
      </w:pPr>
    </w:p>
    <w:p w:rsidR="000247B0" w:rsidRPr="00002A62" w:rsidRDefault="000247B0" w:rsidP="000247B0">
      <w:pPr>
        <w:pStyle w:val="ListParagraph"/>
        <w:widowControl/>
        <w:numPr>
          <w:ilvl w:val="1"/>
          <w:numId w:val="15"/>
        </w:numPr>
        <w:snapToGrid w:val="0"/>
        <w:rPr>
          <w:szCs w:val="22"/>
        </w:rPr>
      </w:pPr>
      <w:r w:rsidRPr="00002A62">
        <w:rPr>
          <w:szCs w:val="22"/>
        </w:rPr>
        <w:t xml:space="preserve">The basis for </w:t>
      </w:r>
      <w:r w:rsidR="005E69B5" w:rsidRPr="00002A62">
        <w:rPr>
          <w:szCs w:val="22"/>
        </w:rPr>
        <w:t xml:space="preserve">requesting </w:t>
      </w:r>
      <w:r w:rsidRPr="00002A62">
        <w:rPr>
          <w:szCs w:val="22"/>
        </w:rPr>
        <w:t>listing of TAF was a cost minimisation analysis versus TDF.</w:t>
      </w:r>
    </w:p>
    <w:p w:rsidR="00C93864" w:rsidRPr="00002A62" w:rsidRDefault="00C93864" w:rsidP="00C93864">
      <w:pPr>
        <w:pStyle w:val="ListParagraph"/>
        <w:widowControl/>
        <w:snapToGrid w:val="0"/>
        <w:rPr>
          <w:szCs w:val="22"/>
        </w:rPr>
      </w:pPr>
    </w:p>
    <w:p w:rsidR="00C93864" w:rsidRPr="00002A62" w:rsidRDefault="00C93864" w:rsidP="00C93864">
      <w:pPr>
        <w:ind w:firstLine="720"/>
        <w:rPr>
          <w:bCs/>
          <w:i/>
          <w:szCs w:val="22"/>
        </w:rPr>
      </w:pPr>
      <w:r w:rsidRPr="00002A62">
        <w:rPr>
          <w:bCs/>
          <w:i/>
          <w:szCs w:val="22"/>
        </w:rPr>
        <w:t>For more detail on PBAC’s view, see section 7 “PBAC outcome”</w:t>
      </w:r>
    </w:p>
    <w:p w:rsidR="00A24A57" w:rsidRPr="00002A62" w:rsidRDefault="00A24A57" w:rsidP="00C93864">
      <w:pPr>
        <w:ind w:firstLine="720"/>
        <w:rPr>
          <w:bCs/>
          <w:szCs w:val="22"/>
        </w:rPr>
      </w:pPr>
    </w:p>
    <w:p w:rsidR="000247B0" w:rsidRPr="00002A62" w:rsidRDefault="000247B0" w:rsidP="009A70AF"/>
    <w:p w:rsidR="009A70AF" w:rsidRPr="00002A62" w:rsidRDefault="009A70AF" w:rsidP="009A70AF">
      <w:pPr>
        <w:pStyle w:val="PBACHeading1"/>
        <w:numPr>
          <w:ilvl w:val="0"/>
          <w:numId w:val="15"/>
        </w:numPr>
        <w:snapToGrid w:val="0"/>
      </w:pPr>
      <w:bookmarkStart w:id="4" w:name="_Toc472330227"/>
      <w:r w:rsidRPr="00002A62">
        <w:t>Background</w:t>
      </w:r>
      <w:bookmarkEnd w:id="4"/>
    </w:p>
    <w:p w:rsidR="009A70AF" w:rsidRPr="00002A62" w:rsidRDefault="009A70AF" w:rsidP="009A70AF">
      <w:pPr>
        <w:rPr>
          <w:szCs w:val="22"/>
        </w:rPr>
      </w:pPr>
    </w:p>
    <w:p w:rsidR="009A70AF" w:rsidRPr="00002A62" w:rsidRDefault="00C26698" w:rsidP="00C80137">
      <w:pPr>
        <w:pStyle w:val="ListParagraph"/>
        <w:widowControl/>
        <w:numPr>
          <w:ilvl w:val="1"/>
          <w:numId w:val="15"/>
        </w:numPr>
        <w:snapToGrid w:val="0"/>
      </w:pPr>
      <w:r w:rsidRPr="00002A62">
        <w:rPr>
          <w:b/>
          <w:bCs/>
          <w:szCs w:val="22"/>
        </w:rPr>
        <w:t xml:space="preserve">TGA status at time of </w:t>
      </w:r>
      <w:r w:rsidR="00976508" w:rsidRPr="00002A62">
        <w:rPr>
          <w:b/>
          <w:bCs/>
          <w:szCs w:val="22"/>
        </w:rPr>
        <w:t>PBAC consideration</w:t>
      </w:r>
      <w:r w:rsidR="003C35D1" w:rsidRPr="00002A62">
        <w:rPr>
          <w:szCs w:val="22"/>
        </w:rPr>
        <w:t xml:space="preserve">: </w:t>
      </w:r>
      <w:r w:rsidR="00F3700D" w:rsidRPr="00002A62">
        <w:t>t</w:t>
      </w:r>
      <w:r w:rsidR="009A70AF" w:rsidRPr="00002A62">
        <w:t xml:space="preserve">he </w:t>
      </w:r>
      <w:r w:rsidR="00F3700D" w:rsidRPr="00002A62">
        <w:t xml:space="preserve">submission was submitted under the </w:t>
      </w:r>
      <w:r w:rsidR="009A70AF" w:rsidRPr="00002A62">
        <w:t>TGA/PBAC Parallel Process</w:t>
      </w:r>
      <w:r w:rsidR="00FD242B" w:rsidRPr="00002A62">
        <w:t>.</w:t>
      </w:r>
      <w:r w:rsidR="00716ED0" w:rsidRPr="00002A62">
        <w:t xml:space="preserve"> </w:t>
      </w:r>
      <w:r w:rsidR="00FD242B" w:rsidRPr="00002A62">
        <w:t>TAF was registered on the ARTG on 22</w:t>
      </w:r>
      <w:r w:rsidR="00873360" w:rsidRPr="00002A62">
        <w:t> </w:t>
      </w:r>
      <w:r w:rsidR="00FD242B" w:rsidRPr="00002A62">
        <w:t>February</w:t>
      </w:r>
      <w:r w:rsidR="00873360" w:rsidRPr="00002A62">
        <w:t> </w:t>
      </w:r>
      <w:r w:rsidR="00FD242B" w:rsidRPr="00002A62">
        <w:t>2017</w:t>
      </w:r>
      <w:r w:rsidR="00C80137" w:rsidRPr="00002A62">
        <w:t xml:space="preserve"> for the treatment of chronic hepatitis B in adults</w:t>
      </w:r>
      <w:r w:rsidR="00FD242B" w:rsidRPr="00002A62">
        <w:t>.</w:t>
      </w:r>
    </w:p>
    <w:p w:rsidR="009A70AF" w:rsidRPr="00002A62" w:rsidRDefault="009A70AF" w:rsidP="009A70AF">
      <w:pPr>
        <w:pStyle w:val="ListParagraph"/>
        <w:rPr>
          <w:szCs w:val="22"/>
        </w:rPr>
      </w:pPr>
    </w:p>
    <w:p w:rsidR="00BF223B" w:rsidRPr="00002A62" w:rsidRDefault="009A70AF" w:rsidP="00BF223B">
      <w:pPr>
        <w:pStyle w:val="ListParagraph"/>
        <w:widowControl/>
        <w:numPr>
          <w:ilvl w:val="1"/>
          <w:numId w:val="15"/>
        </w:numPr>
        <w:snapToGrid w:val="0"/>
        <w:rPr>
          <w:szCs w:val="22"/>
        </w:rPr>
      </w:pPr>
      <w:r w:rsidRPr="00002A62">
        <w:rPr>
          <w:szCs w:val="22"/>
        </w:rPr>
        <w:t>TAF ha</w:t>
      </w:r>
      <w:r w:rsidR="00F3700D" w:rsidRPr="00002A62">
        <w:rPr>
          <w:szCs w:val="22"/>
        </w:rPr>
        <w:t>d</w:t>
      </w:r>
      <w:r w:rsidRPr="00002A62">
        <w:rPr>
          <w:szCs w:val="22"/>
        </w:rPr>
        <w:t xml:space="preserve"> not been considered </w:t>
      </w:r>
      <w:r w:rsidR="00514A69" w:rsidRPr="00002A62">
        <w:rPr>
          <w:szCs w:val="22"/>
        </w:rPr>
        <w:t xml:space="preserve">previously </w:t>
      </w:r>
      <w:r w:rsidRPr="00002A62">
        <w:rPr>
          <w:szCs w:val="22"/>
        </w:rPr>
        <w:t xml:space="preserve">by the PBAC for </w:t>
      </w:r>
      <w:r w:rsidR="00514A69" w:rsidRPr="00002A62">
        <w:rPr>
          <w:szCs w:val="22"/>
        </w:rPr>
        <w:t xml:space="preserve">chronic </w:t>
      </w:r>
      <w:r w:rsidRPr="00002A62">
        <w:rPr>
          <w:szCs w:val="22"/>
        </w:rPr>
        <w:t xml:space="preserve">hepatitis B </w:t>
      </w:r>
      <w:r w:rsidR="00514A69" w:rsidRPr="00002A62">
        <w:rPr>
          <w:szCs w:val="22"/>
        </w:rPr>
        <w:t>infections</w:t>
      </w:r>
      <w:r w:rsidR="00716ED0" w:rsidRPr="00002A62">
        <w:rPr>
          <w:szCs w:val="22"/>
        </w:rPr>
        <w:t xml:space="preserve">. </w:t>
      </w:r>
      <w:r w:rsidRPr="00002A62">
        <w:rPr>
          <w:szCs w:val="22"/>
        </w:rPr>
        <w:t>However, TAF, as part of fixed dose combinations with other antivirals (TAF</w:t>
      </w:r>
      <w:r w:rsidR="00B349C2" w:rsidRPr="00002A62">
        <w:rPr>
          <w:szCs w:val="22"/>
        </w:rPr>
        <w:t xml:space="preserve"> </w:t>
      </w:r>
      <w:r w:rsidRPr="00002A62">
        <w:rPr>
          <w:szCs w:val="22"/>
        </w:rPr>
        <w:t>25</w:t>
      </w:r>
      <w:r w:rsidR="00F1578A" w:rsidRPr="00002A62">
        <w:rPr>
          <w:szCs w:val="22"/>
        </w:rPr>
        <w:t xml:space="preserve"> mg</w:t>
      </w:r>
      <w:r w:rsidRPr="00002A62">
        <w:rPr>
          <w:szCs w:val="22"/>
        </w:rPr>
        <w:t xml:space="preserve"> + emtricitabine 200</w:t>
      </w:r>
      <w:r w:rsidR="00F1578A" w:rsidRPr="00002A62">
        <w:rPr>
          <w:szCs w:val="22"/>
        </w:rPr>
        <w:t xml:space="preserve"> mg</w:t>
      </w:r>
      <w:r w:rsidRPr="00002A62">
        <w:rPr>
          <w:szCs w:val="22"/>
        </w:rPr>
        <w:t xml:space="preserve"> and TAF 10 mg + emtricitabine 200 mg + elvitegravir 150 mg + cobicistat 150 mg) are currently PBS listed for the </w:t>
      </w:r>
      <w:r w:rsidR="00F3700D" w:rsidRPr="00002A62">
        <w:rPr>
          <w:szCs w:val="22"/>
        </w:rPr>
        <w:t xml:space="preserve">management </w:t>
      </w:r>
      <w:r w:rsidRPr="00002A62">
        <w:rPr>
          <w:szCs w:val="22"/>
        </w:rPr>
        <w:t>of HIV infection</w:t>
      </w:r>
      <w:r w:rsidR="00F3700D" w:rsidRPr="00002A62">
        <w:rPr>
          <w:szCs w:val="22"/>
        </w:rPr>
        <w:t>s</w:t>
      </w:r>
      <w:r w:rsidR="00716ED0" w:rsidRPr="00002A62">
        <w:rPr>
          <w:szCs w:val="22"/>
        </w:rPr>
        <w:t xml:space="preserve">. </w:t>
      </w:r>
      <w:r w:rsidR="00BF223B" w:rsidRPr="00002A62">
        <w:rPr>
          <w:szCs w:val="22"/>
        </w:rPr>
        <w:t xml:space="preserve">In that consideration, the PBAC accepted that </w:t>
      </w:r>
      <w:r w:rsidR="00BF223B" w:rsidRPr="00002A62">
        <w:t>TAF should be considered a different drug to TDF for the purposes of Section 85(2) of the Act. (p3, 4.0</w:t>
      </w:r>
      <w:r w:rsidR="00A53B38" w:rsidRPr="00002A62">
        <w:t>7</w:t>
      </w:r>
      <w:r w:rsidR="00BF223B" w:rsidRPr="00002A62">
        <w:t xml:space="preserve"> tenofovir alafenamide + emtricitabine + rilpivirine PBAC </w:t>
      </w:r>
      <w:r w:rsidR="00674658">
        <w:t>PSD</w:t>
      </w:r>
      <w:r w:rsidR="00BF223B" w:rsidRPr="00002A62">
        <w:t>, No</w:t>
      </w:r>
      <w:r w:rsidR="003C35D1" w:rsidRPr="00002A62">
        <w:t>vember </w:t>
      </w:r>
      <w:r w:rsidR="00BF223B" w:rsidRPr="00002A62">
        <w:t>2016)</w:t>
      </w:r>
    </w:p>
    <w:p w:rsidR="00C93864" w:rsidRPr="00002A62" w:rsidRDefault="00C93864" w:rsidP="00C93864">
      <w:pPr>
        <w:pStyle w:val="ListParagraph"/>
        <w:rPr>
          <w:szCs w:val="22"/>
        </w:rPr>
      </w:pPr>
    </w:p>
    <w:p w:rsidR="00C93864" w:rsidRPr="00002A62" w:rsidRDefault="00C93864" w:rsidP="00C93864">
      <w:pPr>
        <w:ind w:firstLine="720"/>
        <w:rPr>
          <w:bCs/>
          <w:i/>
          <w:szCs w:val="22"/>
        </w:rPr>
      </w:pPr>
      <w:r w:rsidRPr="00002A62">
        <w:rPr>
          <w:bCs/>
          <w:i/>
          <w:szCs w:val="22"/>
        </w:rPr>
        <w:lastRenderedPageBreak/>
        <w:t>For more detail on PBAC’s view, see section 7 “PBAC outcome”</w:t>
      </w:r>
    </w:p>
    <w:p w:rsidR="00A24A57" w:rsidRPr="00002A62" w:rsidRDefault="00A24A57" w:rsidP="00C93864">
      <w:pPr>
        <w:ind w:firstLine="720"/>
        <w:rPr>
          <w:bCs/>
          <w:szCs w:val="22"/>
        </w:rPr>
      </w:pPr>
    </w:p>
    <w:p w:rsidR="00215F98" w:rsidRPr="00002A62" w:rsidRDefault="00215F98" w:rsidP="009A70AF"/>
    <w:p w:rsidR="009A70AF" w:rsidRPr="00002A62" w:rsidRDefault="009A70AF" w:rsidP="009A70AF">
      <w:pPr>
        <w:pStyle w:val="PBACHeading1"/>
        <w:numPr>
          <w:ilvl w:val="0"/>
          <w:numId w:val="15"/>
        </w:numPr>
        <w:snapToGrid w:val="0"/>
      </w:pPr>
      <w:bookmarkStart w:id="5" w:name="_Toc472330228"/>
      <w:r w:rsidRPr="00002A62">
        <w:t>Clinical place for the proposed therapy</w:t>
      </w:r>
      <w:bookmarkEnd w:id="5"/>
    </w:p>
    <w:p w:rsidR="009A70AF" w:rsidRPr="00002A62" w:rsidRDefault="009A70AF" w:rsidP="009A70AF">
      <w:pPr>
        <w:rPr>
          <w:szCs w:val="22"/>
        </w:rPr>
      </w:pPr>
    </w:p>
    <w:p w:rsidR="009A70AF" w:rsidRPr="00002A62" w:rsidRDefault="00311D5C" w:rsidP="009A70AF">
      <w:pPr>
        <w:pStyle w:val="ListParagraph"/>
        <w:widowControl/>
        <w:numPr>
          <w:ilvl w:val="1"/>
          <w:numId w:val="15"/>
        </w:numPr>
        <w:snapToGrid w:val="0"/>
        <w:rPr>
          <w:szCs w:val="22"/>
        </w:rPr>
      </w:pPr>
      <w:r w:rsidRPr="00002A62">
        <w:t>H</w:t>
      </w:r>
      <w:r w:rsidR="009A70AF" w:rsidRPr="00002A62">
        <w:t>epatitis B is a blood-borne virus</w:t>
      </w:r>
      <w:r w:rsidR="00716ED0" w:rsidRPr="00002A62">
        <w:t xml:space="preserve">. </w:t>
      </w:r>
      <w:r w:rsidR="00F3700D" w:rsidRPr="00002A62">
        <w:t xml:space="preserve">It </w:t>
      </w:r>
      <w:r w:rsidRPr="00002A62">
        <w:t xml:space="preserve">is </w:t>
      </w:r>
      <w:r w:rsidR="00F3700D" w:rsidRPr="00002A62">
        <w:t>transmitted via contact with infectious blood, semen and body fluids</w:t>
      </w:r>
      <w:r w:rsidR="00716ED0" w:rsidRPr="00002A62">
        <w:t xml:space="preserve">. </w:t>
      </w:r>
      <w:r w:rsidR="009A70AF" w:rsidRPr="00002A62">
        <w:t>Whilst a vaccine exists for hepatitis B, chronic hepatitis B</w:t>
      </w:r>
      <w:r w:rsidR="000C284A" w:rsidRPr="00002A62">
        <w:t xml:space="preserve"> virus (CHB) infections</w:t>
      </w:r>
      <w:r w:rsidR="009A70AF" w:rsidRPr="00002A62">
        <w:t xml:space="preserve"> remains a significant burden as it is currently incurable</w:t>
      </w:r>
      <w:r w:rsidR="000C284A" w:rsidRPr="00002A62">
        <w:t xml:space="preserve"> and is a main cause of </w:t>
      </w:r>
      <w:r w:rsidR="00F3700D" w:rsidRPr="00002A62">
        <w:t>liver inflammation, cirrhosis and cancer</w:t>
      </w:r>
      <w:r w:rsidR="00716ED0" w:rsidRPr="00002A62">
        <w:t xml:space="preserve">. </w:t>
      </w:r>
      <w:r w:rsidR="000C284A" w:rsidRPr="00002A62">
        <w:t xml:space="preserve">Treatments for CHB </w:t>
      </w:r>
      <w:r w:rsidR="00B7333D" w:rsidRPr="00002A62">
        <w:t xml:space="preserve">are </w:t>
      </w:r>
      <w:r w:rsidR="000C284A" w:rsidRPr="00002A62">
        <w:t xml:space="preserve">usually lifelong, the goal of viral suppression therapy is to delay onset of liver inflammation, cirrhosis and cancer and as a result </w:t>
      </w:r>
      <w:r w:rsidR="00514A69" w:rsidRPr="00002A62">
        <w:t>b</w:t>
      </w:r>
      <w:r w:rsidR="000C284A" w:rsidRPr="00002A62">
        <w:t xml:space="preserve">ring about improvements in </w:t>
      </w:r>
      <w:r w:rsidR="00514A69" w:rsidRPr="00002A62">
        <w:t xml:space="preserve">patient </w:t>
      </w:r>
      <w:r w:rsidR="000C284A" w:rsidRPr="00002A62">
        <w:t>survival and quality of life.</w:t>
      </w:r>
    </w:p>
    <w:p w:rsidR="009A70AF" w:rsidRPr="00002A62" w:rsidRDefault="009A70AF" w:rsidP="009A70AF">
      <w:pPr>
        <w:widowControl/>
        <w:rPr>
          <w:szCs w:val="22"/>
        </w:rPr>
      </w:pPr>
    </w:p>
    <w:p w:rsidR="009A70AF" w:rsidRPr="00002A62" w:rsidRDefault="009A70AF" w:rsidP="009A70AF">
      <w:pPr>
        <w:pStyle w:val="ListParagraph"/>
        <w:widowControl/>
        <w:numPr>
          <w:ilvl w:val="1"/>
          <w:numId w:val="15"/>
        </w:numPr>
        <w:snapToGrid w:val="0"/>
        <w:rPr>
          <w:szCs w:val="22"/>
        </w:rPr>
      </w:pPr>
      <w:r w:rsidRPr="00002A62">
        <w:rPr>
          <w:szCs w:val="22"/>
        </w:rPr>
        <w:t>TAF presents another treatment option alongside TDF</w:t>
      </w:r>
      <w:r w:rsidR="005E69B5" w:rsidRPr="00002A62">
        <w:rPr>
          <w:szCs w:val="22"/>
        </w:rPr>
        <w:t xml:space="preserve"> and entecavir</w:t>
      </w:r>
      <w:r w:rsidRPr="00002A62">
        <w:rPr>
          <w:szCs w:val="22"/>
        </w:rPr>
        <w:t xml:space="preserve"> </w:t>
      </w:r>
      <w:r w:rsidR="00514A69" w:rsidRPr="00002A62">
        <w:rPr>
          <w:szCs w:val="22"/>
        </w:rPr>
        <w:t xml:space="preserve">in </w:t>
      </w:r>
      <w:r w:rsidRPr="00002A62">
        <w:rPr>
          <w:szCs w:val="22"/>
        </w:rPr>
        <w:t xml:space="preserve">first line therapy </w:t>
      </w:r>
      <w:r w:rsidR="00514A69" w:rsidRPr="00002A62">
        <w:rPr>
          <w:szCs w:val="22"/>
        </w:rPr>
        <w:t>of</w:t>
      </w:r>
      <w:r w:rsidRPr="00002A62">
        <w:rPr>
          <w:szCs w:val="22"/>
        </w:rPr>
        <w:t xml:space="preserve"> chronic hepatitis B infection</w:t>
      </w:r>
      <w:r w:rsidR="00514A69" w:rsidRPr="00002A62">
        <w:rPr>
          <w:szCs w:val="22"/>
        </w:rPr>
        <w:t>s</w:t>
      </w:r>
      <w:r w:rsidRPr="00002A62">
        <w:rPr>
          <w:szCs w:val="22"/>
        </w:rPr>
        <w:t>, as well as an alternative in cases where the patient has developed resistance to lamivudine.</w:t>
      </w:r>
    </w:p>
    <w:p w:rsidR="00C93864" w:rsidRPr="00002A62" w:rsidRDefault="00C93864" w:rsidP="00C93864">
      <w:pPr>
        <w:pStyle w:val="ListParagraph"/>
        <w:rPr>
          <w:szCs w:val="22"/>
        </w:rPr>
      </w:pPr>
    </w:p>
    <w:p w:rsidR="00C93864" w:rsidRPr="00002A62" w:rsidRDefault="00C93864" w:rsidP="00C93864">
      <w:pPr>
        <w:ind w:firstLine="720"/>
        <w:rPr>
          <w:bCs/>
          <w:i/>
          <w:szCs w:val="22"/>
        </w:rPr>
      </w:pPr>
      <w:r w:rsidRPr="00002A62">
        <w:rPr>
          <w:bCs/>
          <w:i/>
          <w:szCs w:val="22"/>
        </w:rPr>
        <w:t>For more detail on PBAC’s view, see section 7 “PBAC outcome”</w:t>
      </w:r>
    </w:p>
    <w:p w:rsidR="00A24A57" w:rsidRPr="00002A62" w:rsidRDefault="00A24A57" w:rsidP="00C93864">
      <w:pPr>
        <w:ind w:firstLine="720"/>
        <w:rPr>
          <w:bCs/>
          <w:szCs w:val="22"/>
        </w:rPr>
      </w:pPr>
    </w:p>
    <w:p w:rsidR="00215F98" w:rsidRPr="00002A62" w:rsidRDefault="00215F98" w:rsidP="009A70AF">
      <w:pPr>
        <w:pStyle w:val="Header"/>
        <w:rPr>
          <w:szCs w:val="22"/>
        </w:rPr>
      </w:pPr>
    </w:p>
    <w:p w:rsidR="009A70AF" w:rsidRPr="00002A62" w:rsidRDefault="009A70AF" w:rsidP="00215F98">
      <w:pPr>
        <w:pStyle w:val="PBACHeading1"/>
        <w:numPr>
          <w:ilvl w:val="0"/>
          <w:numId w:val="15"/>
        </w:numPr>
        <w:snapToGrid w:val="0"/>
      </w:pPr>
      <w:r w:rsidRPr="00002A62">
        <w:t>Comparator</w:t>
      </w:r>
    </w:p>
    <w:p w:rsidR="009A70AF" w:rsidRPr="00002A62" w:rsidRDefault="009A70AF" w:rsidP="009A70AF"/>
    <w:p w:rsidR="00FB5647" w:rsidRPr="00002A62" w:rsidRDefault="00B349C2" w:rsidP="008C7AE3">
      <w:pPr>
        <w:pStyle w:val="ListParagraph"/>
        <w:widowControl/>
        <w:numPr>
          <w:ilvl w:val="1"/>
          <w:numId w:val="15"/>
        </w:numPr>
        <w:snapToGrid w:val="0"/>
      </w:pPr>
      <w:r w:rsidRPr="00002A62">
        <w:t>TDF</w:t>
      </w:r>
      <w:r w:rsidR="009A70AF" w:rsidRPr="00002A62">
        <w:t xml:space="preserve"> was nominated as the </w:t>
      </w:r>
      <w:r w:rsidR="000C284A" w:rsidRPr="00002A62">
        <w:t xml:space="preserve">appropriate </w:t>
      </w:r>
      <w:r w:rsidR="009A70AF" w:rsidRPr="00002A62">
        <w:t>comparator</w:t>
      </w:r>
      <w:r w:rsidR="00716ED0" w:rsidRPr="00002A62">
        <w:t xml:space="preserve">. </w:t>
      </w:r>
      <w:r w:rsidR="00002A62" w:rsidRPr="00002A62">
        <w:t>However,</w:t>
      </w:r>
      <w:r w:rsidR="00A24A57" w:rsidRPr="00002A62">
        <w:t xml:space="preserve"> the evaluation noted that</w:t>
      </w:r>
      <w:r w:rsidR="003C35D1" w:rsidRPr="00002A62">
        <w:t xml:space="preserve"> o</w:t>
      </w:r>
      <w:r w:rsidR="000C284A" w:rsidRPr="00002A62">
        <w:t xml:space="preserve">ther </w:t>
      </w:r>
      <w:r w:rsidR="009A70AF" w:rsidRPr="00002A62">
        <w:t>nucleotide/nucleoside analogues</w:t>
      </w:r>
      <w:r w:rsidR="003C35D1" w:rsidRPr="00002A62">
        <w:t>,</w:t>
      </w:r>
      <w:r w:rsidR="009A70AF" w:rsidRPr="00002A62">
        <w:t xml:space="preserve"> such as entecavir and adefovir</w:t>
      </w:r>
      <w:r w:rsidR="003C35D1" w:rsidRPr="00002A62">
        <w:t>,</w:t>
      </w:r>
      <w:r w:rsidR="009A70AF" w:rsidRPr="00002A62">
        <w:t xml:space="preserve"> </w:t>
      </w:r>
      <w:r w:rsidR="00222366" w:rsidRPr="00002A62">
        <w:t>c</w:t>
      </w:r>
      <w:r w:rsidR="009A70AF" w:rsidRPr="00002A62">
        <w:t>ould also be appropriate comparators</w:t>
      </w:r>
      <w:r w:rsidR="000C284A" w:rsidRPr="00002A62">
        <w:t>.</w:t>
      </w:r>
      <w:r w:rsidR="009A70AF" w:rsidRPr="00002A62">
        <w:t xml:space="preserve"> </w:t>
      </w:r>
      <w:r w:rsidR="00B811C0" w:rsidRPr="00002A62">
        <w:t>The Pre-Sub-Committee Response (PSCR) argued that the decision to use entecavir or adefovir would precede the choice between TDF and TAF.</w:t>
      </w:r>
      <w:r w:rsidR="00290EC1" w:rsidRPr="00002A62">
        <w:t xml:space="preserve"> The PBAC </w:t>
      </w:r>
      <w:r w:rsidR="00576CF0" w:rsidRPr="00002A62">
        <w:t>considered that although there would be a proportion of TAF substituting for TDF,</w:t>
      </w:r>
      <w:r w:rsidR="00290EC1" w:rsidRPr="00002A62">
        <w:t xml:space="preserve"> it was </w:t>
      </w:r>
      <w:r w:rsidR="00576CF0" w:rsidRPr="00002A62">
        <w:t xml:space="preserve">also </w:t>
      </w:r>
      <w:r w:rsidR="00290EC1" w:rsidRPr="00002A62">
        <w:t xml:space="preserve">likely </w:t>
      </w:r>
      <w:r w:rsidR="00D1038B" w:rsidRPr="00002A62">
        <w:t xml:space="preserve">that </w:t>
      </w:r>
      <w:r w:rsidR="00576CF0" w:rsidRPr="00002A62">
        <w:t xml:space="preserve">TAF would substitute for </w:t>
      </w:r>
      <w:r w:rsidR="00290EC1" w:rsidRPr="00002A62">
        <w:t xml:space="preserve">entecavir </w:t>
      </w:r>
      <w:r w:rsidR="00D1038B" w:rsidRPr="00002A62">
        <w:t>in clinical practice</w:t>
      </w:r>
      <w:r w:rsidR="00576CF0" w:rsidRPr="00002A62">
        <w:t>. The PBAC</w:t>
      </w:r>
      <w:r w:rsidR="008822A8" w:rsidRPr="00002A62">
        <w:t xml:space="preserve"> therefore </w:t>
      </w:r>
      <w:r w:rsidR="00576CF0" w:rsidRPr="00002A62">
        <w:t>considered that entecavir was also an</w:t>
      </w:r>
      <w:r w:rsidR="008822A8" w:rsidRPr="00002A62">
        <w:t xml:space="preserve"> appropriate comparator.</w:t>
      </w:r>
    </w:p>
    <w:p w:rsidR="00FB5647" w:rsidRPr="00002A62" w:rsidRDefault="00FB5647" w:rsidP="00FB5647">
      <w:pPr>
        <w:pStyle w:val="ListParagraph"/>
        <w:widowControl/>
        <w:snapToGrid w:val="0"/>
      </w:pPr>
    </w:p>
    <w:p w:rsidR="00C93864" w:rsidRPr="00002A62" w:rsidRDefault="00A24A57" w:rsidP="00FB5647">
      <w:pPr>
        <w:pStyle w:val="ListParagraph"/>
        <w:widowControl/>
        <w:numPr>
          <w:ilvl w:val="1"/>
          <w:numId w:val="15"/>
        </w:numPr>
        <w:snapToGrid w:val="0"/>
      </w:pPr>
      <w:r w:rsidRPr="00002A62">
        <w:t xml:space="preserve">Adefovir was not considered a comparator by the PBAC as it is no </w:t>
      </w:r>
      <w:r w:rsidR="005B478C" w:rsidRPr="00002A62">
        <w:t>longer recommended as a first line therapy in clinical guidelines</w:t>
      </w:r>
      <w:r w:rsidR="008C7AE3" w:rsidRPr="00002A62">
        <w:t xml:space="preserve">. </w:t>
      </w:r>
      <w:r w:rsidR="00AB58BC" w:rsidRPr="00002A62">
        <w:t xml:space="preserve">Lamivudine </w:t>
      </w:r>
      <w:r w:rsidR="00C310EA" w:rsidRPr="00002A62">
        <w:t xml:space="preserve">was </w:t>
      </w:r>
      <w:r w:rsidR="004A5CE5" w:rsidRPr="00002A62">
        <w:t xml:space="preserve">also </w:t>
      </w:r>
      <w:r w:rsidR="00AB58BC" w:rsidRPr="00002A62">
        <w:t xml:space="preserve">not considered to be a comparator to TAF as it is more likely that prescribers will add </w:t>
      </w:r>
      <w:r w:rsidR="00DE32F5" w:rsidRPr="00002A62">
        <w:t>TAF</w:t>
      </w:r>
      <w:r w:rsidR="00AB58BC" w:rsidRPr="00002A62">
        <w:t xml:space="preserve"> to </w:t>
      </w:r>
      <w:r w:rsidR="00DE32F5" w:rsidRPr="00002A62">
        <w:t xml:space="preserve">lamivudine </w:t>
      </w:r>
      <w:r w:rsidR="00AB58BC" w:rsidRPr="00002A62">
        <w:t>(in those with declin</w:t>
      </w:r>
      <w:r w:rsidR="00DE32F5" w:rsidRPr="00002A62">
        <w:t>ing</w:t>
      </w:r>
      <w:r w:rsidR="00AB58BC" w:rsidRPr="00002A62">
        <w:t xml:space="preserve"> response) rather than replacing lamivudine with TAF (or TDF as it currently stands)</w:t>
      </w:r>
      <w:r w:rsidR="00716ED0" w:rsidRPr="00002A62">
        <w:t xml:space="preserve">. </w:t>
      </w:r>
      <w:r w:rsidR="00F4180E" w:rsidRPr="00002A62">
        <w:t>D</w:t>
      </w:r>
      <w:r w:rsidR="00AB58BC" w:rsidRPr="00002A62">
        <w:t xml:space="preserve">espite being available on </w:t>
      </w:r>
      <w:r w:rsidR="00DE32F5" w:rsidRPr="00002A62">
        <w:t xml:space="preserve">the </w:t>
      </w:r>
      <w:r w:rsidR="00AB58BC" w:rsidRPr="00002A62">
        <w:t>PBS as a sole treatment for CHB, lamivudine is not recommended as first line therapy in clinical guidelines.</w:t>
      </w:r>
      <w:r w:rsidR="005E69B5" w:rsidRPr="00002A62">
        <w:t xml:space="preserve"> </w:t>
      </w:r>
    </w:p>
    <w:p w:rsidR="005B478C" w:rsidRPr="00002A62" w:rsidRDefault="005B478C" w:rsidP="00C93864">
      <w:pPr>
        <w:ind w:firstLine="720"/>
        <w:rPr>
          <w:bCs/>
          <w:i/>
          <w:szCs w:val="22"/>
        </w:rPr>
      </w:pPr>
    </w:p>
    <w:p w:rsidR="00C93864" w:rsidRPr="00002A62" w:rsidRDefault="00C93864" w:rsidP="00C93864">
      <w:pPr>
        <w:ind w:firstLine="720"/>
        <w:rPr>
          <w:bCs/>
          <w:szCs w:val="22"/>
        </w:rPr>
      </w:pPr>
      <w:r w:rsidRPr="00002A62">
        <w:rPr>
          <w:bCs/>
          <w:i/>
          <w:szCs w:val="22"/>
        </w:rPr>
        <w:t>For more detail on PBAC’s view, see section 7 “PBAC outcome”</w:t>
      </w:r>
    </w:p>
    <w:p w:rsidR="00215F98" w:rsidRPr="00002A62" w:rsidRDefault="00215F98" w:rsidP="00AB58BC">
      <w:pPr>
        <w:widowControl/>
        <w:snapToGrid w:val="0"/>
        <w:rPr>
          <w:szCs w:val="22"/>
        </w:rPr>
      </w:pPr>
    </w:p>
    <w:p w:rsidR="005B478C" w:rsidRPr="00002A62" w:rsidRDefault="005B478C" w:rsidP="00AB58BC">
      <w:pPr>
        <w:widowControl/>
        <w:snapToGrid w:val="0"/>
        <w:rPr>
          <w:szCs w:val="22"/>
        </w:rPr>
      </w:pPr>
    </w:p>
    <w:p w:rsidR="009A70AF" w:rsidRPr="00002A62" w:rsidRDefault="009A70AF" w:rsidP="009A70AF">
      <w:pPr>
        <w:pStyle w:val="PBACHeading1"/>
        <w:numPr>
          <w:ilvl w:val="0"/>
          <w:numId w:val="15"/>
        </w:numPr>
        <w:snapToGrid w:val="0"/>
      </w:pPr>
      <w:bookmarkStart w:id="6" w:name="_Toc472330229"/>
      <w:r w:rsidRPr="00002A62">
        <w:t>Consideration of the evidence</w:t>
      </w:r>
      <w:bookmarkEnd w:id="6"/>
    </w:p>
    <w:p w:rsidR="009A70AF" w:rsidRPr="00002A62" w:rsidRDefault="009A70AF" w:rsidP="009A70AF">
      <w:pPr>
        <w:rPr>
          <w:i/>
        </w:rPr>
      </w:pPr>
    </w:p>
    <w:p w:rsidR="009B2770" w:rsidRPr="00002A62" w:rsidRDefault="009B2770" w:rsidP="009B2770">
      <w:pPr>
        <w:rPr>
          <w:b/>
          <w:bCs/>
          <w:i/>
          <w:szCs w:val="22"/>
        </w:rPr>
      </w:pPr>
      <w:bookmarkStart w:id="7" w:name="_Toc472330230"/>
      <w:r w:rsidRPr="00002A62">
        <w:rPr>
          <w:b/>
          <w:bCs/>
          <w:i/>
          <w:szCs w:val="22"/>
        </w:rPr>
        <w:t>Sponsor hearing</w:t>
      </w:r>
    </w:p>
    <w:p w:rsidR="009B2770" w:rsidRPr="00002A62" w:rsidRDefault="009B2770" w:rsidP="009B2770">
      <w:pPr>
        <w:rPr>
          <w:b/>
          <w:bCs/>
          <w:szCs w:val="22"/>
        </w:rPr>
      </w:pPr>
    </w:p>
    <w:p w:rsidR="009B2770" w:rsidRPr="00002A62" w:rsidRDefault="009B2770" w:rsidP="009B2770">
      <w:pPr>
        <w:widowControl/>
        <w:numPr>
          <w:ilvl w:val="1"/>
          <w:numId w:val="7"/>
        </w:numPr>
        <w:jc w:val="left"/>
        <w:rPr>
          <w:bCs/>
          <w:szCs w:val="22"/>
        </w:rPr>
      </w:pPr>
      <w:r w:rsidRPr="00002A62">
        <w:rPr>
          <w:bCs/>
          <w:szCs w:val="22"/>
        </w:rPr>
        <w:t>There was no hearing for this item.</w:t>
      </w:r>
    </w:p>
    <w:p w:rsidR="009B2770" w:rsidRPr="00002A62" w:rsidRDefault="009B2770" w:rsidP="009B2770">
      <w:pPr>
        <w:rPr>
          <w:bCs/>
          <w:szCs w:val="22"/>
        </w:rPr>
      </w:pPr>
    </w:p>
    <w:p w:rsidR="009B2770" w:rsidRPr="00002A62" w:rsidRDefault="009B2770" w:rsidP="00D6359D">
      <w:pPr>
        <w:keepNext/>
        <w:rPr>
          <w:b/>
          <w:bCs/>
          <w:i/>
          <w:szCs w:val="22"/>
        </w:rPr>
      </w:pPr>
      <w:r w:rsidRPr="00002A62">
        <w:rPr>
          <w:b/>
          <w:bCs/>
          <w:i/>
          <w:szCs w:val="22"/>
        </w:rPr>
        <w:t>Consumer comments</w:t>
      </w:r>
    </w:p>
    <w:p w:rsidR="009B2770" w:rsidRPr="00002A62" w:rsidRDefault="009B2770" w:rsidP="00D6359D">
      <w:pPr>
        <w:keepNext/>
        <w:rPr>
          <w:b/>
          <w:bCs/>
          <w:szCs w:val="22"/>
        </w:rPr>
      </w:pPr>
    </w:p>
    <w:p w:rsidR="009B2770" w:rsidRPr="00002A62" w:rsidRDefault="009B2770" w:rsidP="000E4F0A">
      <w:pPr>
        <w:widowControl/>
        <w:numPr>
          <w:ilvl w:val="1"/>
          <w:numId w:val="7"/>
        </w:numPr>
        <w:jc w:val="left"/>
        <w:rPr>
          <w:i/>
        </w:rPr>
      </w:pPr>
      <w:r w:rsidRPr="00002A62">
        <w:rPr>
          <w:bCs/>
          <w:szCs w:val="22"/>
        </w:rPr>
        <w:t xml:space="preserve">The PBAC noted and welcomed the input from health care professionals (1) and organisations (2) via the Consumer Comments facility on the PBS website. The comments described a range of benefits of treatment with </w:t>
      </w:r>
      <w:r w:rsidR="00166BB5" w:rsidRPr="00002A62">
        <w:rPr>
          <w:bCs/>
          <w:szCs w:val="22"/>
        </w:rPr>
        <w:t xml:space="preserve">TAF </w:t>
      </w:r>
      <w:r w:rsidRPr="00002A62">
        <w:rPr>
          <w:bCs/>
          <w:szCs w:val="22"/>
        </w:rPr>
        <w:t xml:space="preserve">including </w:t>
      </w:r>
      <w:r w:rsidR="0027427F" w:rsidRPr="00002A62">
        <w:rPr>
          <w:bCs/>
          <w:szCs w:val="22"/>
        </w:rPr>
        <w:t>a</w:t>
      </w:r>
      <w:r w:rsidRPr="00002A62">
        <w:rPr>
          <w:bCs/>
          <w:szCs w:val="22"/>
        </w:rPr>
        <w:t xml:space="preserve"> </w:t>
      </w:r>
      <w:r w:rsidR="00576CF0" w:rsidRPr="00002A62">
        <w:rPr>
          <w:bCs/>
          <w:szCs w:val="22"/>
        </w:rPr>
        <w:t xml:space="preserve">perceived </w:t>
      </w:r>
      <w:r w:rsidRPr="00002A62">
        <w:rPr>
          <w:bCs/>
          <w:szCs w:val="22"/>
        </w:rPr>
        <w:t xml:space="preserve">better safety profile of </w:t>
      </w:r>
      <w:r w:rsidR="00D35E2E" w:rsidRPr="00002A62">
        <w:rPr>
          <w:bCs/>
          <w:szCs w:val="22"/>
        </w:rPr>
        <w:t>TAF</w:t>
      </w:r>
      <w:r w:rsidRPr="00002A62">
        <w:rPr>
          <w:bCs/>
          <w:szCs w:val="22"/>
        </w:rPr>
        <w:t xml:space="preserve"> compared to TDF. </w:t>
      </w:r>
      <w:r w:rsidR="003F3F1C" w:rsidRPr="00002A62">
        <w:rPr>
          <w:bCs/>
          <w:szCs w:val="22"/>
        </w:rPr>
        <w:t xml:space="preserve">The organisations, </w:t>
      </w:r>
      <w:r w:rsidRPr="00002A62">
        <w:rPr>
          <w:bCs/>
          <w:szCs w:val="22"/>
        </w:rPr>
        <w:t>Hepatitis NSW</w:t>
      </w:r>
      <w:r w:rsidR="000E4F0A" w:rsidRPr="00002A62">
        <w:rPr>
          <w:bCs/>
          <w:szCs w:val="22"/>
        </w:rPr>
        <w:t xml:space="preserve"> and the</w:t>
      </w:r>
      <w:r w:rsidRPr="00002A62">
        <w:rPr>
          <w:bCs/>
          <w:szCs w:val="22"/>
        </w:rPr>
        <w:t xml:space="preserve"> </w:t>
      </w:r>
      <w:r w:rsidR="000E4F0A" w:rsidRPr="00002A62">
        <w:rPr>
          <w:bCs/>
          <w:szCs w:val="22"/>
        </w:rPr>
        <w:t>Korean Hepatitis B Education Project</w:t>
      </w:r>
      <w:r w:rsidR="003F3F1C" w:rsidRPr="00002A62">
        <w:rPr>
          <w:bCs/>
          <w:szCs w:val="22"/>
        </w:rPr>
        <w:t>,</w:t>
      </w:r>
      <w:r w:rsidR="00E72F85" w:rsidRPr="00002A62">
        <w:rPr>
          <w:bCs/>
          <w:szCs w:val="22"/>
        </w:rPr>
        <w:t xml:space="preserve"> </w:t>
      </w:r>
      <w:r w:rsidR="003F3F1C" w:rsidRPr="00002A62">
        <w:rPr>
          <w:bCs/>
          <w:szCs w:val="22"/>
        </w:rPr>
        <w:t>indicated</w:t>
      </w:r>
      <w:r w:rsidR="005B478C" w:rsidRPr="00002A62">
        <w:rPr>
          <w:bCs/>
          <w:szCs w:val="22"/>
        </w:rPr>
        <w:t xml:space="preserve"> </w:t>
      </w:r>
      <w:r w:rsidR="00C310EA" w:rsidRPr="00002A62">
        <w:rPr>
          <w:bCs/>
          <w:szCs w:val="22"/>
        </w:rPr>
        <w:t>their view</w:t>
      </w:r>
      <w:r w:rsidR="003F3F1C" w:rsidRPr="00002A62">
        <w:rPr>
          <w:bCs/>
          <w:szCs w:val="22"/>
        </w:rPr>
        <w:t xml:space="preserve"> </w:t>
      </w:r>
      <w:r w:rsidRPr="00002A62">
        <w:rPr>
          <w:bCs/>
          <w:szCs w:val="22"/>
        </w:rPr>
        <w:t>that there were</w:t>
      </w:r>
      <w:r w:rsidR="000E4F0A" w:rsidRPr="00002A62">
        <w:rPr>
          <w:bCs/>
          <w:szCs w:val="22"/>
        </w:rPr>
        <w:t xml:space="preserve"> </w:t>
      </w:r>
      <w:r w:rsidR="00576CF0" w:rsidRPr="00002A62">
        <w:rPr>
          <w:bCs/>
          <w:szCs w:val="22"/>
        </w:rPr>
        <w:t>fewer</w:t>
      </w:r>
      <w:r w:rsidRPr="00002A62">
        <w:rPr>
          <w:bCs/>
          <w:szCs w:val="22"/>
        </w:rPr>
        <w:t xml:space="preserve"> side effects in terms of both bone mineral density and kidney function in TAF compared to TDF</w:t>
      </w:r>
      <w:r w:rsidR="003F3F1C" w:rsidRPr="00002A62">
        <w:rPr>
          <w:bCs/>
          <w:szCs w:val="22"/>
        </w:rPr>
        <w:t>,</w:t>
      </w:r>
      <w:r w:rsidR="00576CF0" w:rsidRPr="00002A62">
        <w:rPr>
          <w:bCs/>
          <w:szCs w:val="22"/>
        </w:rPr>
        <w:t xml:space="preserve"> and that</w:t>
      </w:r>
      <w:r w:rsidRPr="00002A62">
        <w:rPr>
          <w:bCs/>
          <w:szCs w:val="22"/>
        </w:rPr>
        <w:t xml:space="preserve"> access to TAF may help </w:t>
      </w:r>
      <w:r w:rsidR="002872D0" w:rsidRPr="00002A62">
        <w:rPr>
          <w:bCs/>
          <w:szCs w:val="22"/>
        </w:rPr>
        <w:t xml:space="preserve">to </w:t>
      </w:r>
      <w:r w:rsidRPr="00002A62">
        <w:rPr>
          <w:bCs/>
          <w:szCs w:val="22"/>
        </w:rPr>
        <w:t xml:space="preserve">increase </w:t>
      </w:r>
      <w:r w:rsidR="0015174A" w:rsidRPr="00002A62">
        <w:rPr>
          <w:bCs/>
          <w:szCs w:val="22"/>
        </w:rPr>
        <w:t xml:space="preserve">HBV treatment </w:t>
      </w:r>
      <w:r w:rsidR="005C40D7" w:rsidRPr="00002A62">
        <w:rPr>
          <w:bCs/>
          <w:szCs w:val="22"/>
        </w:rPr>
        <w:t>rates</w:t>
      </w:r>
      <w:r w:rsidRPr="00002A62">
        <w:rPr>
          <w:bCs/>
          <w:szCs w:val="22"/>
        </w:rPr>
        <w:t xml:space="preserve">. </w:t>
      </w:r>
    </w:p>
    <w:p w:rsidR="00C93864" w:rsidRPr="00002A62" w:rsidRDefault="00C93864" w:rsidP="008B60D1">
      <w:pPr>
        <w:widowControl/>
        <w:jc w:val="left"/>
        <w:rPr>
          <w:i/>
        </w:rPr>
      </w:pPr>
    </w:p>
    <w:p w:rsidR="009A70AF" w:rsidRPr="00002A62" w:rsidRDefault="009A70AF" w:rsidP="009A70AF">
      <w:pPr>
        <w:pStyle w:val="Heading2"/>
        <w:rPr>
          <w:i/>
        </w:rPr>
      </w:pPr>
      <w:r w:rsidRPr="00002A62">
        <w:rPr>
          <w:i/>
        </w:rPr>
        <w:t>Clinical trials</w:t>
      </w:r>
      <w:bookmarkEnd w:id="7"/>
    </w:p>
    <w:p w:rsidR="009A70AF" w:rsidRPr="00002A62" w:rsidRDefault="009A70AF" w:rsidP="009A70AF">
      <w:pPr>
        <w:rPr>
          <w:szCs w:val="22"/>
        </w:rPr>
      </w:pPr>
    </w:p>
    <w:p w:rsidR="009A70AF" w:rsidRPr="00002A62" w:rsidRDefault="009A70AF" w:rsidP="004F02D9">
      <w:pPr>
        <w:pStyle w:val="ListParagraph"/>
        <w:widowControl/>
        <w:numPr>
          <w:ilvl w:val="1"/>
          <w:numId w:val="15"/>
        </w:numPr>
        <w:snapToGrid w:val="0"/>
        <w:rPr>
          <w:szCs w:val="22"/>
        </w:rPr>
      </w:pPr>
      <w:r w:rsidRPr="00002A62">
        <w:t xml:space="preserve">The submission </w:t>
      </w:r>
      <w:r w:rsidR="000C284A" w:rsidRPr="00002A62">
        <w:t>was</w:t>
      </w:r>
      <w:r w:rsidRPr="00002A62">
        <w:t xml:space="preserve"> based on two head-to-head</w:t>
      </w:r>
      <w:r w:rsidR="00820101" w:rsidRPr="00002A62">
        <w:t xml:space="preserve"> </w:t>
      </w:r>
      <w:r w:rsidRPr="00002A62">
        <w:t>trial</w:t>
      </w:r>
      <w:r w:rsidR="000C284A" w:rsidRPr="00002A62">
        <w:t>s</w:t>
      </w:r>
      <w:r w:rsidRPr="00002A62">
        <w:t xml:space="preserve"> </w:t>
      </w:r>
      <w:r w:rsidR="000C284A" w:rsidRPr="00002A62">
        <w:t xml:space="preserve">that compared </w:t>
      </w:r>
      <w:r w:rsidRPr="00002A62">
        <w:t xml:space="preserve">TAF to TDF </w:t>
      </w:r>
      <w:r w:rsidR="000C284A" w:rsidRPr="00002A62">
        <w:t xml:space="preserve">in patients with CHB infections </w:t>
      </w:r>
      <w:r w:rsidRPr="00002A62">
        <w:t>(</w:t>
      </w:r>
      <w:r w:rsidR="00820101" w:rsidRPr="00002A62">
        <w:t xml:space="preserve">Study 108 </w:t>
      </w:r>
      <w:r w:rsidR="004A02BF" w:rsidRPr="00002A62">
        <w:t xml:space="preserve">and Study 110, </w:t>
      </w:r>
      <w:r w:rsidRPr="00002A62">
        <w:t>n=1301)</w:t>
      </w:r>
      <w:r w:rsidR="00716ED0" w:rsidRPr="00002A62">
        <w:t xml:space="preserve">. </w:t>
      </w:r>
      <w:r w:rsidR="004F02D9" w:rsidRPr="00002A62">
        <w:t>The trials</w:t>
      </w:r>
      <w:r w:rsidR="004A02BF" w:rsidRPr="00002A62">
        <w:t xml:space="preserve"> were identical in their eligibility criteria except that </w:t>
      </w:r>
      <w:r w:rsidR="004F02D9" w:rsidRPr="00002A62">
        <w:t xml:space="preserve">Study 108 had </w:t>
      </w:r>
      <w:r w:rsidR="004A02BF" w:rsidRPr="00002A62">
        <w:t xml:space="preserve">recruited patients who were </w:t>
      </w:r>
      <w:r w:rsidR="00FE4271">
        <w:t>HBeAg</w:t>
      </w:r>
      <w:r w:rsidR="004A02BF" w:rsidRPr="00002A62">
        <w:t xml:space="preserve"> negative</w:t>
      </w:r>
      <w:r w:rsidR="004F02D9" w:rsidRPr="00002A62">
        <w:t xml:space="preserve"> </w:t>
      </w:r>
      <w:r w:rsidR="004A02BF" w:rsidRPr="00002A62">
        <w:t xml:space="preserve">whereas Study 110 recruited patients who were </w:t>
      </w:r>
      <w:r w:rsidR="00FE4271">
        <w:t>HBeAg</w:t>
      </w:r>
      <w:r w:rsidR="004A02BF" w:rsidRPr="00002A62">
        <w:t xml:space="preserve"> positive at screening</w:t>
      </w:r>
      <w:r w:rsidR="00716ED0" w:rsidRPr="00002A62">
        <w:t xml:space="preserve">. </w:t>
      </w:r>
      <w:r w:rsidR="004F02D9" w:rsidRPr="00002A62">
        <w:t xml:space="preserve">Adult patients with either treatment-naïve or </w:t>
      </w:r>
      <w:r w:rsidR="00DE32F5" w:rsidRPr="00002A62">
        <w:t>treatment</w:t>
      </w:r>
      <w:r w:rsidR="00DE32F5" w:rsidRPr="00002A62">
        <w:noBreakHyphen/>
      </w:r>
      <w:r w:rsidR="004F02D9" w:rsidRPr="00002A62">
        <w:t xml:space="preserve">experienced CHB infections, with or without cirrhosis were eligible for enrolment into the </w:t>
      </w:r>
      <w:r w:rsidR="00716ED0" w:rsidRPr="00002A62">
        <w:t>trials;</w:t>
      </w:r>
      <w:r w:rsidR="00BD4AE0" w:rsidRPr="00002A62">
        <w:t xml:space="preserve"> </w:t>
      </w:r>
      <w:r w:rsidR="00311D5C" w:rsidRPr="00002A62">
        <w:t xml:space="preserve">this </w:t>
      </w:r>
      <w:r w:rsidR="00BD4AE0" w:rsidRPr="00002A62">
        <w:t>concurred with the requested restrictions</w:t>
      </w:r>
      <w:r w:rsidR="00716ED0" w:rsidRPr="00002A62">
        <w:t xml:space="preserve">. </w:t>
      </w:r>
      <w:r w:rsidR="004F02D9" w:rsidRPr="00002A62">
        <w:t>In addition, one single arm study (Study 1249, n=79) in patients with HIV and CHB coinfection was also included as supplementary evidence, mainly to illustrate safety of switching patients from TDF to TAF.</w:t>
      </w:r>
    </w:p>
    <w:p w:rsidR="009A70AF" w:rsidRPr="00002A62" w:rsidRDefault="009A70AF" w:rsidP="009A70AF">
      <w:pPr>
        <w:widowControl/>
        <w:rPr>
          <w:szCs w:val="22"/>
        </w:rPr>
      </w:pPr>
    </w:p>
    <w:p w:rsidR="009A70AF" w:rsidRPr="00002A62" w:rsidRDefault="009A70AF" w:rsidP="009A70AF">
      <w:pPr>
        <w:pStyle w:val="ListParagraph"/>
        <w:widowControl/>
        <w:numPr>
          <w:ilvl w:val="1"/>
          <w:numId w:val="15"/>
        </w:numPr>
        <w:snapToGrid w:val="0"/>
        <w:rPr>
          <w:szCs w:val="22"/>
        </w:rPr>
      </w:pPr>
      <w:r w:rsidRPr="00002A62">
        <w:rPr>
          <w:szCs w:val="22"/>
        </w:rPr>
        <w:t xml:space="preserve">Details of the trials presented in the submission are provided in the table below. </w:t>
      </w:r>
    </w:p>
    <w:p w:rsidR="009A70AF" w:rsidRPr="00002A62" w:rsidRDefault="009A70AF" w:rsidP="009A70AF">
      <w:pPr>
        <w:widowControl/>
        <w:rPr>
          <w:szCs w:val="22"/>
        </w:rPr>
      </w:pPr>
    </w:p>
    <w:p w:rsidR="00A917C2" w:rsidRDefault="00A917C2">
      <w:pPr>
        <w:widowControl/>
        <w:jc w:val="left"/>
        <w:rPr>
          <w:rStyle w:val="CommentReference"/>
        </w:rPr>
      </w:pPr>
      <w:r>
        <w:rPr>
          <w:rStyle w:val="CommentReference"/>
        </w:rPr>
        <w:br w:type="page"/>
      </w:r>
    </w:p>
    <w:p w:rsidR="009A70AF" w:rsidRPr="00002A62" w:rsidRDefault="009A70AF" w:rsidP="009A70AF">
      <w:pPr>
        <w:ind w:firstLine="720"/>
        <w:rPr>
          <w:rStyle w:val="CommentReference"/>
        </w:rPr>
      </w:pPr>
      <w:r w:rsidRPr="00002A62">
        <w:rPr>
          <w:rStyle w:val="CommentReference"/>
        </w:rPr>
        <w:t>Table 1: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6"/>
        <w:gridCol w:w="4969"/>
        <w:gridCol w:w="2380"/>
      </w:tblGrid>
      <w:tr w:rsidR="009A70AF" w:rsidRPr="00002A62" w:rsidTr="00ED54C1">
        <w:tc>
          <w:tcPr>
            <w:tcW w:w="597" w:type="pct"/>
            <w:tcBorders>
              <w:top w:val="single" w:sz="4" w:space="0" w:color="auto"/>
              <w:left w:val="single" w:sz="4" w:space="0" w:color="auto"/>
              <w:bottom w:val="single" w:sz="4" w:space="0" w:color="auto"/>
              <w:right w:val="single" w:sz="4" w:space="0" w:color="auto"/>
            </w:tcBorders>
            <w:hideMark/>
          </w:tcPr>
          <w:p w:rsidR="009A70AF" w:rsidRPr="00002A62" w:rsidRDefault="009A70AF">
            <w:pPr>
              <w:jc w:val="left"/>
            </w:pPr>
            <w:r w:rsidRPr="00002A62">
              <w:rPr>
                <w:rFonts w:ascii="Arial Narrow" w:hAnsi="Arial Narrow"/>
                <w:b/>
                <w:sz w:val="20"/>
              </w:rPr>
              <w:t>Trial ID</w:t>
            </w:r>
          </w:p>
        </w:tc>
        <w:tc>
          <w:tcPr>
            <w:tcW w:w="2977" w:type="pct"/>
            <w:tcBorders>
              <w:top w:val="single" w:sz="4" w:space="0" w:color="auto"/>
              <w:left w:val="single" w:sz="4" w:space="0" w:color="auto"/>
              <w:bottom w:val="single" w:sz="4" w:space="0" w:color="auto"/>
              <w:right w:val="single" w:sz="4" w:space="0" w:color="auto"/>
            </w:tcBorders>
            <w:hideMark/>
          </w:tcPr>
          <w:p w:rsidR="009A70AF" w:rsidRPr="00002A62" w:rsidRDefault="009A70AF">
            <w:pPr>
              <w:jc w:val="center"/>
              <w:rPr>
                <w:rFonts w:ascii="Arial Narrow" w:hAnsi="Arial Narrow"/>
                <w:b/>
                <w:sz w:val="20"/>
              </w:rPr>
            </w:pPr>
            <w:r w:rsidRPr="00002A62">
              <w:rPr>
                <w:rFonts w:ascii="Arial Narrow" w:hAnsi="Arial Narrow"/>
                <w:b/>
                <w:sz w:val="20"/>
              </w:rPr>
              <w:t>Protocol title/ Publication title</w:t>
            </w:r>
          </w:p>
        </w:tc>
        <w:tc>
          <w:tcPr>
            <w:tcW w:w="1426" w:type="pct"/>
            <w:tcBorders>
              <w:top w:val="single" w:sz="4" w:space="0" w:color="auto"/>
              <w:left w:val="single" w:sz="4" w:space="0" w:color="auto"/>
              <w:bottom w:val="single" w:sz="4" w:space="0" w:color="auto"/>
              <w:right w:val="single" w:sz="4" w:space="0" w:color="auto"/>
            </w:tcBorders>
            <w:hideMark/>
          </w:tcPr>
          <w:p w:rsidR="009A70AF" w:rsidRPr="00002A62" w:rsidRDefault="009A70AF">
            <w:pPr>
              <w:jc w:val="center"/>
              <w:rPr>
                <w:rFonts w:ascii="Arial Narrow" w:hAnsi="Arial Narrow"/>
                <w:b/>
                <w:sz w:val="20"/>
              </w:rPr>
            </w:pPr>
            <w:r w:rsidRPr="00002A62">
              <w:rPr>
                <w:rFonts w:ascii="Arial Narrow" w:hAnsi="Arial Narrow"/>
                <w:b/>
                <w:sz w:val="20"/>
              </w:rPr>
              <w:t>Publication citation</w:t>
            </w:r>
          </w:p>
        </w:tc>
      </w:tr>
      <w:tr w:rsidR="009A70AF" w:rsidRPr="00002A62" w:rsidTr="009A70AF">
        <w:tc>
          <w:tcPr>
            <w:tcW w:w="5000" w:type="pct"/>
            <w:gridSpan w:val="3"/>
            <w:tcBorders>
              <w:top w:val="single" w:sz="4" w:space="0" w:color="auto"/>
              <w:left w:val="single" w:sz="4" w:space="0" w:color="auto"/>
              <w:bottom w:val="single" w:sz="4" w:space="0" w:color="auto"/>
              <w:right w:val="single" w:sz="4" w:space="0" w:color="auto"/>
            </w:tcBorders>
            <w:hideMark/>
          </w:tcPr>
          <w:p w:rsidR="009A70AF" w:rsidRPr="00002A62" w:rsidRDefault="009A70AF">
            <w:pPr>
              <w:jc w:val="left"/>
              <w:rPr>
                <w:rFonts w:ascii="Arial Narrow" w:hAnsi="Arial Narrow"/>
                <w:b/>
                <w:sz w:val="20"/>
              </w:rPr>
            </w:pPr>
            <w:r w:rsidRPr="00002A62">
              <w:rPr>
                <w:rFonts w:ascii="Arial Narrow" w:hAnsi="Arial Narrow"/>
                <w:b/>
                <w:sz w:val="20"/>
              </w:rPr>
              <w:t>Direct randomised trial</w:t>
            </w:r>
            <w:r w:rsidR="00ED54C1" w:rsidRPr="00002A62">
              <w:rPr>
                <w:rFonts w:ascii="Arial Narrow" w:hAnsi="Arial Narrow"/>
                <w:b/>
                <w:sz w:val="20"/>
              </w:rPr>
              <w:t>s</w:t>
            </w:r>
          </w:p>
        </w:tc>
      </w:tr>
      <w:tr w:rsidR="009A70AF" w:rsidRPr="00002A62" w:rsidTr="00ED54C1">
        <w:tc>
          <w:tcPr>
            <w:tcW w:w="597" w:type="pct"/>
            <w:tcBorders>
              <w:top w:val="single" w:sz="4" w:space="0" w:color="auto"/>
              <w:left w:val="single" w:sz="4" w:space="0" w:color="auto"/>
              <w:bottom w:val="single" w:sz="4" w:space="0" w:color="auto"/>
              <w:right w:val="single" w:sz="4" w:space="0" w:color="auto"/>
            </w:tcBorders>
            <w:hideMark/>
          </w:tcPr>
          <w:p w:rsidR="009A70AF" w:rsidRPr="00002A62" w:rsidRDefault="009A70AF">
            <w:pPr>
              <w:jc w:val="left"/>
              <w:rPr>
                <w:rFonts w:ascii="Arial Narrow" w:hAnsi="Arial Narrow"/>
                <w:sz w:val="20"/>
              </w:rPr>
            </w:pPr>
            <w:r w:rsidRPr="00002A62">
              <w:rPr>
                <w:rFonts w:ascii="Arial Narrow" w:hAnsi="Arial Narrow"/>
                <w:sz w:val="20"/>
              </w:rPr>
              <w:t>Study 108</w:t>
            </w:r>
          </w:p>
        </w:tc>
        <w:tc>
          <w:tcPr>
            <w:tcW w:w="2977" w:type="pct"/>
            <w:tcBorders>
              <w:top w:val="single" w:sz="4" w:space="0" w:color="auto"/>
              <w:left w:val="single" w:sz="4" w:space="0" w:color="auto"/>
              <w:bottom w:val="single" w:sz="4" w:space="0" w:color="auto"/>
              <w:right w:val="single" w:sz="4" w:space="0" w:color="auto"/>
            </w:tcBorders>
          </w:tcPr>
          <w:p w:rsidR="009A70AF" w:rsidRPr="00002A62" w:rsidRDefault="009A70AF">
            <w:pPr>
              <w:jc w:val="left"/>
              <w:rPr>
                <w:rFonts w:ascii="Arial Narrow" w:hAnsi="Arial Narrow"/>
                <w:sz w:val="20"/>
              </w:rPr>
            </w:pPr>
            <w:r w:rsidRPr="00002A62">
              <w:rPr>
                <w:rFonts w:ascii="Arial Narrow" w:hAnsi="Arial Narrow"/>
                <w:sz w:val="20"/>
              </w:rPr>
              <w:t xml:space="preserve">A Phase 3, Randomised, Double-Blind Study to Evaluate the Safety and Efficacy of Tenofovir Alafenamide (TAF) 25mg QD versus Tenofovir Disoproxil Fumarate (TDF) 300 mg QD for the Treatment of </w:t>
            </w:r>
            <w:r w:rsidR="00FE4271">
              <w:rPr>
                <w:rFonts w:ascii="Arial Narrow" w:hAnsi="Arial Narrow"/>
                <w:sz w:val="20"/>
              </w:rPr>
              <w:t>HBeAg</w:t>
            </w:r>
            <w:r w:rsidRPr="00002A62">
              <w:rPr>
                <w:rFonts w:ascii="Arial Narrow" w:hAnsi="Arial Narrow"/>
                <w:sz w:val="20"/>
              </w:rPr>
              <w:t>-Negative, Chronic Hepatitis B. Interim Week 48 Clinical Study Report</w:t>
            </w:r>
          </w:p>
          <w:p w:rsidR="009A70AF" w:rsidRPr="00002A62" w:rsidRDefault="009A70AF">
            <w:pPr>
              <w:jc w:val="left"/>
              <w:rPr>
                <w:rFonts w:ascii="Arial Narrow" w:hAnsi="Arial Narrow"/>
                <w:sz w:val="20"/>
              </w:rPr>
            </w:pPr>
          </w:p>
          <w:p w:rsidR="009A70AF" w:rsidRPr="00002A62" w:rsidRDefault="009A70AF">
            <w:pPr>
              <w:jc w:val="left"/>
              <w:rPr>
                <w:rFonts w:ascii="Arial Narrow" w:hAnsi="Arial Narrow"/>
                <w:sz w:val="20"/>
              </w:rPr>
            </w:pPr>
            <w:r w:rsidRPr="00002A62">
              <w:rPr>
                <w:rFonts w:ascii="Arial Narrow" w:hAnsi="Arial Narrow"/>
                <w:sz w:val="20"/>
              </w:rPr>
              <w:t xml:space="preserve">Buti et al. Tenofovir alafenamide versus tenofovir disoproxil fumarate for the treatment of patients with </w:t>
            </w:r>
            <w:r w:rsidR="00FE4271">
              <w:rPr>
                <w:rFonts w:ascii="Arial Narrow" w:hAnsi="Arial Narrow"/>
                <w:sz w:val="20"/>
              </w:rPr>
              <w:t>HBeAg</w:t>
            </w:r>
            <w:r w:rsidRPr="00002A62">
              <w:rPr>
                <w:rFonts w:ascii="Arial Narrow" w:hAnsi="Arial Narrow"/>
                <w:sz w:val="20"/>
              </w:rPr>
              <w:t>-negative chronic hepatitis B virus infection: a randomised, double-blind, phase 3, non-inferiority trial</w:t>
            </w:r>
          </w:p>
        </w:tc>
        <w:tc>
          <w:tcPr>
            <w:tcW w:w="1426" w:type="pct"/>
            <w:tcBorders>
              <w:top w:val="single" w:sz="4" w:space="0" w:color="auto"/>
              <w:left w:val="single" w:sz="4" w:space="0" w:color="auto"/>
              <w:bottom w:val="single" w:sz="4" w:space="0" w:color="auto"/>
              <w:right w:val="single" w:sz="4" w:space="0" w:color="auto"/>
            </w:tcBorders>
            <w:vAlign w:val="center"/>
          </w:tcPr>
          <w:p w:rsidR="009A70AF" w:rsidRPr="00002A62" w:rsidRDefault="009A70AF" w:rsidP="00ED54C1">
            <w:pPr>
              <w:jc w:val="left"/>
              <w:rPr>
                <w:rFonts w:ascii="Arial Narrow" w:hAnsi="Arial Narrow"/>
                <w:sz w:val="20"/>
              </w:rPr>
            </w:pPr>
            <w:r w:rsidRPr="00002A62">
              <w:rPr>
                <w:rFonts w:ascii="Arial Narrow" w:hAnsi="Arial Narrow"/>
                <w:sz w:val="20"/>
              </w:rPr>
              <w:t>30 November 2015</w:t>
            </w:r>
          </w:p>
          <w:p w:rsidR="009A70AF" w:rsidRPr="00002A62" w:rsidRDefault="009A70AF" w:rsidP="00ED54C1">
            <w:pPr>
              <w:jc w:val="left"/>
              <w:rPr>
                <w:rFonts w:ascii="Arial Narrow" w:hAnsi="Arial Narrow"/>
                <w:sz w:val="20"/>
              </w:rPr>
            </w:pPr>
          </w:p>
          <w:p w:rsidR="00ED54C1" w:rsidRPr="00002A62" w:rsidRDefault="00ED54C1" w:rsidP="00ED54C1">
            <w:pPr>
              <w:jc w:val="left"/>
              <w:rPr>
                <w:rFonts w:ascii="Arial Narrow" w:hAnsi="Arial Narrow"/>
                <w:sz w:val="20"/>
              </w:rPr>
            </w:pPr>
          </w:p>
          <w:p w:rsidR="009A70AF" w:rsidRPr="00002A62" w:rsidRDefault="009A70AF" w:rsidP="00ED54C1">
            <w:pPr>
              <w:jc w:val="left"/>
              <w:rPr>
                <w:rFonts w:ascii="Arial Narrow" w:hAnsi="Arial Narrow"/>
                <w:sz w:val="20"/>
              </w:rPr>
            </w:pPr>
            <w:r w:rsidRPr="00002A62">
              <w:rPr>
                <w:rFonts w:ascii="Arial Narrow" w:hAnsi="Arial Narrow"/>
                <w:sz w:val="20"/>
              </w:rPr>
              <w:t>The Lancet Gastroenterology &amp; Hepatology 2016; Vol 1(3):p196-206</w:t>
            </w:r>
          </w:p>
          <w:p w:rsidR="009A70AF" w:rsidRPr="00002A62" w:rsidRDefault="009A70AF" w:rsidP="00ED54C1">
            <w:pPr>
              <w:jc w:val="left"/>
              <w:rPr>
                <w:rFonts w:ascii="Arial Narrow" w:hAnsi="Arial Narrow"/>
                <w:b/>
                <w:sz w:val="20"/>
              </w:rPr>
            </w:pPr>
          </w:p>
        </w:tc>
      </w:tr>
      <w:tr w:rsidR="009A70AF" w:rsidRPr="00002A62" w:rsidTr="00ED54C1">
        <w:tc>
          <w:tcPr>
            <w:tcW w:w="597" w:type="pct"/>
            <w:tcBorders>
              <w:top w:val="single" w:sz="4" w:space="0" w:color="auto"/>
              <w:left w:val="single" w:sz="4" w:space="0" w:color="auto"/>
              <w:bottom w:val="single" w:sz="4" w:space="0" w:color="auto"/>
              <w:right w:val="single" w:sz="4" w:space="0" w:color="auto"/>
            </w:tcBorders>
            <w:hideMark/>
          </w:tcPr>
          <w:p w:rsidR="009A70AF" w:rsidRPr="00002A62" w:rsidRDefault="009A70AF">
            <w:pPr>
              <w:jc w:val="left"/>
              <w:rPr>
                <w:rFonts w:ascii="Arial Narrow" w:hAnsi="Arial Narrow"/>
                <w:sz w:val="20"/>
              </w:rPr>
            </w:pPr>
            <w:r w:rsidRPr="00002A62">
              <w:rPr>
                <w:rFonts w:ascii="Arial Narrow" w:hAnsi="Arial Narrow"/>
                <w:sz w:val="20"/>
              </w:rPr>
              <w:t>Study 110</w:t>
            </w:r>
          </w:p>
        </w:tc>
        <w:tc>
          <w:tcPr>
            <w:tcW w:w="2977" w:type="pct"/>
            <w:tcBorders>
              <w:top w:val="single" w:sz="4" w:space="0" w:color="auto"/>
              <w:left w:val="single" w:sz="4" w:space="0" w:color="auto"/>
              <w:bottom w:val="single" w:sz="4" w:space="0" w:color="auto"/>
              <w:right w:val="single" w:sz="4" w:space="0" w:color="auto"/>
            </w:tcBorders>
          </w:tcPr>
          <w:p w:rsidR="009A70AF" w:rsidRPr="00002A62" w:rsidRDefault="009A70AF">
            <w:pPr>
              <w:tabs>
                <w:tab w:val="center" w:pos="1754"/>
              </w:tabs>
              <w:jc w:val="left"/>
              <w:rPr>
                <w:rFonts w:ascii="Arial Narrow" w:hAnsi="Arial Narrow"/>
                <w:sz w:val="20"/>
              </w:rPr>
            </w:pPr>
            <w:r w:rsidRPr="00002A62">
              <w:rPr>
                <w:rFonts w:ascii="Arial Narrow" w:hAnsi="Arial Narrow"/>
                <w:sz w:val="20"/>
              </w:rPr>
              <w:t xml:space="preserve">Description: A Phase 3, randomised, Double-Blind Study to Evaluate the Safety and efficacy of Tenofovir Alafenamide (TAF) 25 mg QD versus Tenofovir Disoproxil Fumarate (TDF) 300 mg QD for the Treatment of </w:t>
            </w:r>
            <w:r w:rsidR="00FE4271">
              <w:rPr>
                <w:rFonts w:ascii="Arial Narrow" w:hAnsi="Arial Narrow"/>
                <w:sz w:val="20"/>
              </w:rPr>
              <w:t>HBeAg</w:t>
            </w:r>
            <w:r w:rsidRPr="00002A62">
              <w:rPr>
                <w:rFonts w:ascii="Arial Narrow" w:hAnsi="Arial Narrow"/>
                <w:sz w:val="20"/>
              </w:rPr>
              <w:t xml:space="preserve"> Positive Chronic Hepatitis B. Interim Week 48 Clinical Study Report </w:t>
            </w:r>
          </w:p>
          <w:p w:rsidR="009A70AF" w:rsidRPr="00002A62" w:rsidRDefault="009A70AF">
            <w:pPr>
              <w:tabs>
                <w:tab w:val="center" w:pos="1754"/>
              </w:tabs>
              <w:jc w:val="left"/>
              <w:rPr>
                <w:rFonts w:ascii="Arial Narrow" w:hAnsi="Arial Narrow"/>
                <w:sz w:val="20"/>
              </w:rPr>
            </w:pPr>
          </w:p>
          <w:p w:rsidR="009A70AF" w:rsidRPr="00002A62" w:rsidRDefault="009A70AF">
            <w:pPr>
              <w:tabs>
                <w:tab w:val="center" w:pos="1754"/>
              </w:tabs>
              <w:jc w:val="left"/>
              <w:rPr>
                <w:rFonts w:ascii="Arial Narrow" w:hAnsi="Arial Narrow"/>
                <w:sz w:val="20"/>
              </w:rPr>
            </w:pPr>
            <w:r w:rsidRPr="00002A62">
              <w:rPr>
                <w:rFonts w:ascii="Arial Narrow" w:hAnsi="Arial Narrow"/>
                <w:sz w:val="20"/>
              </w:rPr>
              <w:t>Chan et al. •</w:t>
            </w:r>
            <w:r w:rsidRPr="00002A62">
              <w:rPr>
                <w:rFonts w:ascii="Arial Narrow" w:hAnsi="Arial Narrow"/>
                <w:sz w:val="20"/>
              </w:rPr>
              <w:tab/>
              <w:t xml:space="preserve">Tenofovir alafenamide versus tenofovir disoproxil fumarate for the treatment of </w:t>
            </w:r>
            <w:r w:rsidR="00FE4271">
              <w:rPr>
                <w:rFonts w:ascii="Arial Narrow" w:hAnsi="Arial Narrow"/>
                <w:sz w:val="20"/>
              </w:rPr>
              <w:t>HBeAg</w:t>
            </w:r>
            <w:r w:rsidRPr="00002A62">
              <w:rPr>
                <w:rFonts w:ascii="Arial Narrow" w:hAnsi="Arial Narrow"/>
                <w:sz w:val="20"/>
              </w:rPr>
              <w:t>-positive chronic hepatitis B virus infection: a randomised, double-blind, phase 3, non-inferiority trial</w:t>
            </w:r>
          </w:p>
        </w:tc>
        <w:tc>
          <w:tcPr>
            <w:tcW w:w="1426" w:type="pct"/>
            <w:tcBorders>
              <w:top w:val="single" w:sz="4" w:space="0" w:color="auto"/>
              <w:left w:val="single" w:sz="4" w:space="0" w:color="auto"/>
              <w:bottom w:val="single" w:sz="4" w:space="0" w:color="auto"/>
              <w:right w:val="single" w:sz="4" w:space="0" w:color="auto"/>
            </w:tcBorders>
          </w:tcPr>
          <w:p w:rsidR="009A70AF" w:rsidRPr="00002A62" w:rsidRDefault="009A70AF">
            <w:pPr>
              <w:jc w:val="left"/>
              <w:rPr>
                <w:rFonts w:ascii="Arial Narrow" w:hAnsi="Arial Narrow"/>
                <w:sz w:val="20"/>
              </w:rPr>
            </w:pPr>
            <w:r w:rsidRPr="00002A62">
              <w:rPr>
                <w:rFonts w:ascii="Arial Narrow" w:hAnsi="Arial Narrow"/>
                <w:sz w:val="20"/>
              </w:rPr>
              <w:t>21 December 2015</w:t>
            </w:r>
          </w:p>
          <w:p w:rsidR="009A70AF" w:rsidRPr="00002A62" w:rsidRDefault="009A70AF">
            <w:pPr>
              <w:jc w:val="left"/>
              <w:rPr>
                <w:rFonts w:ascii="Arial Narrow" w:hAnsi="Arial Narrow"/>
                <w:sz w:val="20"/>
              </w:rPr>
            </w:pPr>
          </w:p>
          <w:p w:rsidR="009A70AF" w:rsidRPr="00002A62" w:rsidRDefault="009A70AF">
            <w:pPr>
              <w:jc w:val="left"/>
              <w:rPr>
                <w:rFonts w:ascii="Arial Narrow" w:hAnsi="Arial Narrow"/>
                <w:sz w:val="20"/>
              </w:rPr>
            </w:pPr>
          </w:p>
          <w:p w:rsidR="009A70AF" w:rsidRPr="00002A62" w:rsidRDefault="009A70AF">
            <w:pPr>
              <w:jc w:val="left"/>
              <w:rPr>
                <w:rFonts w:ascii="Arial Narrow" w:hAnsi="Arial Narrow"/>
                <w:b/>
                <w:sz w:val="20"/>
              </w:rPr>
            </w:pPr>
            <w:r w:rsidRPr="00002A62">
              <w:rPr>
                <w:rFonts w:ascii="Arial Narrow" w:hAnsi="Arial Narrow"/>
                <w:sz w:val="20"/>
              </w:rPr>
              <w:t>The Lancet Gastroenterology &amp; Hepatology 2016; Vol 1(3):p185-195</w:t>
            </w:r>
          </w:p>
        </w:tc>
      </w:tr>
      <w:tr w:rsidR="009A70AF" w:rsidRPr="00002A62" w:rsidTr="009A70AF">
        <w:tc>
          <w:tcPr>
            <w:tcW w:w="5000" w:type="pct"/>
            <w:gridSpan w:val="3"/>
            <w:tcBorders>
              <w:top w:val="single" w:sz="4" w:space="0" w:color="auto"/>
              <w:left w:val="single" w:sz="4" w:space="0" w:color="auto"/>
              <w:bottom w:val="single" w:sz="4" w:space="0" w:color="auto"/>
              <w:right w:val="single" w:sz="4" w:space="0" w:color="auto"/>
            </w:tcBorders>
            <w:hideMark/>
          </w:tcPr>
          <w:p w:rsidR="009A70AF" w:rsidRPr="00002A62" w:rsidRDefault="009A70AF" w:rsidP="00ED54C1">
            <w:pPr>
              <w:jc w:val="left"/>
              <w:rPr>
                <w:rFonts w:ascii="Arial Narrow" w:hAnsi="Arial Narrow"/>
                <w:b/>
                <w:sz w:val="20"/>
              </w:rPr>
            </w:pPr>
            <w:r w:rsidRPr="00002A62">
              <w:rPr>
                <w:rFonts w:ascii="Arial Narrow" w:hAnsi="Arial Narrow"/>
                <w:b/>
                <w:sz w:val="20"/>
              </w:rPr>
              <w:t xml:space="preserve">Supplementary </w:t>
            </w:r>
            <w:r w:rsidR="00ED54C1" w:rsidRPr="00002A62">
              <w:rPr>
                <w:rFonts w:ascii="Arial Narrow" w:hAnsi="Arial Narrow"/>
                <w:b/>
                <w:sz w:val="20"/>
              </w:rPr>
              <w:t>study</w:t>
            </w:r>
          </w:p>
        </w:tc>
      </w:tr>
      <w:tr w:rsidR="009A70AF" w:rsidRPr="00002A62" w:rsidTr="00ED54C1">
        <w:tc>
          <w:tcPr>
            <w:tcW w:w="597" w:type="pct"/>
            <w:tcBorders>
              <w:top w:val="single" w:sz="4" w:space="0" w:color="auto"/>
              <w:left w:val="single" w:sz="4" w:space="0" w:color="auto"/>
              <w:bottom w:val="single" w:sz="4" w:space="0" w:color="auto"/>
              <w:right w:val="single" w:sz="4" w:space="0" w:color="auto"/>
            </w:tcBorders>
            <w:hideMark/>
          </w:tcPr>
          <w:p w:rsidR="009A70AF" w:rsidRPr="00002A62" w:rsidRDefault="009A70AF">
            <w:pPr>
              <w:jc w:val="left"/>
              <w:rPr>
                <w:rFonts w:ascii="Arial Narrow" w:hAnsi="Arial Narrow"/>
                <w:sz w:val="20"/>
              </w:rPr>
            </w:pPr>
            <w:r w:rsidRPr="00002A62">
              <w:rPr>
                <w:rFonts w:ascii="Arial Narrow" w:hAnsi="Arial Narrow"/>
                <w:sz w:val="20"/>
              </w:rPr>
              <w:t>Study 1249</w:t>
            </w:r>
          </w:p>
        </w:tc>
        <w:tc>
          <w:tcPr>
            <w:tcW w:w="2977" w:type="pct"/>
            <w:tcBorders>
              <w:top w:val="single" w:sz="4" w:space="0" w:color="auto"/>
              <w:left w:val="single" w:sz="4" w:space="0" w:color="auto"/>
              <w:bottom w:val="single" w:sz="4" w:space="0" w:color="auto"/>
              <w:right w:val="single" w:sz="4" w:space="0" w:color="auto"/>
            </w:tcBorders>
          </w:tcPr>
          <w:p w:rsidR="009A70AF" w:rsidRPr="00002A62" w:rsidRDefault="009A70AF">
            <w:pPr>
              <w:jc w:val="left"/>
              <w:rPr>
                <w:rFonts w:ascii="Arial Narrow" w:hAnsi="Arial Narrow"/>
                <w:sz w:val="20"/>
              </w:rPr>
            </w:pPr>
            <w:r w:rsidRPr="00002A62">
              <w:rPr>
                <w:rFonts w:ascii="Arial Narrow" w:hAnsi="Arial Narrow"/>
                <w:sz w:val="20"/>
              </w:rPr>
              <w:t xml:space="preserve">A Phase 3b Open-label Study of the Efficacy and Safety of Elvitegravir /Cobicistat /Emtricitabine /Tenofovir Alafenamide Single-Tablet Regimen in HIV-1/Hepatitis B Co-infected Adults. Interim Week 48 Clinical Study Report </w:t>
            </w:r>
          </w:p>
          <w:p w:rsidR="009A70AF" w:rsidRPr="00002A62" w:rsidRDefault="009A70AF">
            <w:pPr>
              <w:jc w:val="left"/>
              <w:rPr>
                <w:rFonts w:ascii="Arial Narrow" w:hAnsi="Arial Narrow"/>
                <w:sz w:val="20"/>
              </w:rPr>
            </w:pPr>
          </w:p>
          <w:p w:rsidR="009A70AF" w:rsidRPr="00002A62" w:rsidRDefault="009A70AF">
            <w:pPr>
              <w:jc w:val="left"/>
              <w:rPr>
                <w:rFonts w:ascii="Arial Narrow" w:hAnsi="Arial Narrow"/>
                <w:sz w:val="20"/>
              </w:rPr>
            </w:pPr>
            <w:r w:rsidRPr="00002A62">
              <w:rPr>
                <w:rFonts w:ascii="Arial Narrow" w:hAnsi="Arial Narrow"/>
                <w:sz w:val="20"/>
              </w:rPr>
              <w:t>Gallant et al. Efficacy and Safety of Switching to a Single-Tablet Regimen of Elvitegravir/Cobicistat/Emtricitabine/Tenofovir Alafenamide (Genvoya) in HIV-1/Hepatitis B Co-infected Adults.</w:t>
            </w:r>
          </w:p>
        </w:tc>
        <w:tc>
          <w:tcPr>
            <w:tcW w:w="1426" w:type="pct"/>
            <w:tcBorders>
              <w:top w:val="single" w:sz="4" w:space="0" w:color="auto"/>
              <w:left w:val="single" w:sz="4" w:space="0" w:color="auto"/>
              <w:bottom w:val="single" w:sz="4" w:space="0" w:color="auto"/>
              <w:right w:val="single" w:sz="4" w:space="0" w:color="auto"/>
            </w:tcBorders>
          </w:tcPr>
          <w:p w:rsidR="009A70AF" w:rsidRPr="00002A62" w:rsidRDefault="009A70AF">
            <w:pPr>
              <w:jc w:val="left"/>
              <w:rPr>
                <w:rFonts w:ascii="Arial Narrow" w:hAnsi="Arial Narrow"/>
                <w:sz w:val="20"/>
              </w:rPr>
            </w:pPr>
            <w:r w:rsidRPr="00002A62">
              <w:rPr>
                <w:rFonts w:ascii="Arial Narrow" w:hAnsi="Arial Narrow"/>
                <w:sz w:val="20"/>
              </w:rPr>
              <w:t>29 August 2015</w:t>
            </w:r>
          </w:p>
          <w:p w:rsidR="009A70AF" w:rsidRPr="00002A62" w:rsidRDefault="009A70AF">
            <w:pPr>
              <w:jc w:val="left"/>
              <w:rPr>
                <w:rFonts w:ascii="Arial Narrow" w:hAnsi="Arial Narrow"/>
                <w:sz w:val="20"/>
              </w:rPr>
            </w:pPr>
          </w:p>
          <w:p w:rsidR="00ED54C1" w:rsidRPr="00002A62" w:rsidRDefault="00ED54C1">
            <w:pPr>
              <w:jc w:val="left"/>
              <w:rPr>
                <w:rFonts w:ascii="Arial Narrow" w:hAnsi="Arial Narrow"/>
                <w:sz w:val="20"/>
              </w:rPr>
            </w:pPr>
          </w:p>
          <w:p w:rsidR="009A70AF" w:rsidRPr="00002A62" w:rsidRDefault="009A70AF">
            <w:pPr>
              <w:jc w:val="left"/>
              <w:rPr>
                <w:rFonts w:ascii="Arial Narrow" w:hAnsi="Arial Narrow"/>
                <w:b/>
                <w:sz w:val="20"/>
              </w:rPr>
            </w:pPr>
            <w:r w:rsidRPr="00002A62">
              <w:rPr>
                <w:rFonts w:ascii="Arial Narrow" w:hAnsi="Arial Narrow"/>
                <w:sz w:val="20"/>
              </w:rPr>
              <w:t>Journal of Acquired Immune Deficiency Syndrome 2016, Vol 73 (3): 294-298</w:t>
            </w:r>
          </w:p>
        </w:tc>
      </w:tr>
    </w:tbl>
    <w:p w:rsidR="009A70AF" w:rsidRPr="00002A62" w:rsidRDefault="009A70AF" w:rsidP="009A70AF">
      <w:pPr>
        <w:pStyle w:val="TableFooter"/>
        <w:ind w:firstLine="720"/>
      </w:pPr>
      <w:r w:rsidRPr="00002A62">
        <w:t>Source: Table B-3, p53 of the submission.</w:t>
      </w:r>
    </w:p>
    <w:p w:rsidR="00C93864" w:rsidRPr="00002A62" w:rsidRDefault="00C93864" w:rsidP="00C93864">
      <w:pPr>
        <w:widowControl/>
        <w:ind w:firstLine="720"/>
        <w:jc w:val="left"/>
        <w:rPr>
          <w:szCs w:val="22"/>
        </w:rPr>
      </w:pPr>
    </w:p>
    <w:p w:rsidR="009A70AF" w:rsidRPr="00002A62" w:rsidRDefault="009A70AF" w:rsidP="00C93864">
      <w:pPr>
        <w:widowControl/>
        <w:ind w:firstLine="720"/>
        <w:jc w:val="left"/>
        <w:rPr>
          <w:szCs w:val="22"/>
        </w:rPr>
      </w:pPr>
      <w:r w:rsidRPr="00002A62">
        <w:rPr>
          <w:szCs w:val="22"/>
        </w:rPr>
        <w:t>The key features of the direct randomised trials are summarised in</w:t>
      </w:r>
      <w:r w:rsidR="004A02BF" w:rsidRPr="00002A62">
        <w:rPr>
          <w:szCs w:val="22"/>
        </w:rPr>
        <w:t xml:space="preserve"> Table</w:t>
      </w:r>
      <w:r w:rsidR="00D531B5" w:rsidRPr="00002A62">
        <w:rPr>
          <w:szCs w:val="22"/>
        </w:rPr>
        <w:t xml:space="preserve"> </w:t>
      </w:r>
      <w:r w:rsidR="004A02BF" w:rsidRPr="00002A62">
        <w:rPr>
          <w:szCs w:val="22"/>
        </w:rPr>
        <w:t>2</w:t>
      </w:r>
      <w:r w:rsidRPr="00002A62">
        <w:rPr>
          <w:szCs w:val="22"/>
        </w:rPr>
        <w:t xml:space="preserve">. </w:t>
      </w:r>
    </w:p>
    <w:p w:rsidR="009A70AF" w:rsidRPr="00002A62" w:rsidRDefault="009A70AF" w:rsidP="009A70AF">
      <w:pPr>
        <w:widowControl/>
        <w:rPr>
          <w:szCs w:val="22"/>
        </w:rPr>
      </w:pPr>
    </w:p>
    <w:p w:rsidR="00820101" w:rsidRPr="00002A62" w:rsidRDefault="00820101" w:rsidP="00ED54C1">
      <w:pPr>
        <w:ind w:firstLine="720"/>
        <w:rPr>
          <w:rStyle w:val="CommentReference"/>
        </w:rPr>
      </w:pPr>
      <w:r w:rsidRPr="00002A62">
        <w:rPr>
          <w:rStyle w:val="CommentReference"/>
        </w:rPr>
        <w:t xml:space="preserve">Table </w:t>
      </w:r>
      <w:r w:rsidR="00ED54C1" w:rsidRPr="00002A62">
        <w:rPr>
          <w:rStyle w:val="CommentReference"/>
        </w:rPr>
        <w:t>2:</w:t>
      </w:r>
      <w:r w:rsidRPr="00002A62">
        <w:rPr>
          <w:rStyle w:val="CommentReference"/>
        </w:rPr>
        <w:t xml:space="preserve"> Key features of the included evidence</w:t>
      </w:r>
    </w:p>
    <w:tbl>
      <w:tblPr>
        <w:tblW w:w="464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03"/>
        <w:gridCol w:w="610"/>
        <w:gridCol w:w="1694"/>
        <w:gridCol w:w="1713"/>
        <w:gridCol w:w="1077"/>
        <w:gridCol w:w="1428"/>
        <w:gridCol w:w="1003"/>
      </w:tblGrid>
      <w:tr w:rsidR="00820101" w:rsidRPr="00002A62" w:rsidTr="00ED54C1">
        <w:tc>
          <w:tcPr>
            <w:tcW w:w="536" w:type="pct"/>
            <w:tcBorders>
              <w:top w:val="single" w:sz="4" w:space="0" w:color="auto"/>
              <w:left w:val="single" w:sz="4" w:space="0" w:color="auto"/>
              <w:bottom w:val="single" w:sz="4" w:space="0" w:color="auto"/>
              <w:right w:val="single" w:sz="4" w:space="0" w:color="auto"/>
            </w:tcBorders>
            <w:vAlign w:val="center"/>
            <w:hideMark/>
          </w:tcPr>
          <w:p w:rsidR="00820101" w:rsidRPr="00002A62" w:rsidRDefault="00820101" w:rsidP="00951BB0">
            <w:pPr>
              <w:jc w:val="left"/>
            </w:pPr>
            <w:r w:rsidRPr="00002A62">
              <w:rPr>
                <w:rFonts w:ascii="Arial Narrow" w:hAnsi="Arial Narrow"/>
                <w:b/>
                <w:sz w:val="20"/>
              </w:rPr>
              <w:t>Trial</w:t>
            </w:r>
          </w:p>
        </w:tc>
        <w:tc>
          <w:tcPr>
            <w:tcW w:w="362" w:type="pct"/>
            <w:tcBorders>
              <w:top w:val="single" w:sz="4" w:space="0" w:color="auto"/>
              <w:left w:val="single" w:sz="4" w:space="0" w:color="auto"/>
              <w:bottom w:val="single" w:sz="4" w:space="0" w:color="auto"/>
              <w:right w:val="single" w:sz="4" w:space="0" w:color="auto"/>
            </w:tcBorders>
            <w:vAlign w:val="center"/>
            <w:hideMark/>
          </w:tcPr>
          <w:p w:rsidR="00820101" w:rsidRPr="00002A62" w:rsidRDefault="00820101" w:rsidP="00951BB0">
            <w:pPr>
              <w:jc w:val="center"/>
              <w:rPr>
                <w:rFonts w:ascii="Arial Narrow" w:hAnsi="Arial Narrow"/>
                <w:b/>
                <w:sz w:val="20"/>
              </w:rPr>
            </w:pPr>
            <w:r w:rsidRPr="00002A62">
              <w:rPr>
                <w:rFonts w:ascii="Arial Narrow" w:hAnsi="Arial Narrow"/>
                <w:b/>
                <w:sz w:val="20"/>
              </w:rPr>
              <w:t>N</w:t>
            </w:r>
          </w:p>
        </w:tc>
        <w:tc>
          <w:tcPr>
            <w:tcW w:w="1005" w:type="pct"/>
            <w:tcBorders>
              <w:top w:val="single" w:sz="4" w:space="0" w:color="auto"/>
              <w:left w:val="single" w:sz="4" w:space="0" w:color="auto"/>
              <w:bottom w:val="single" w:sz="4" w:space="0" w:color="auto"/>
              <w:right w:val="single" w:sz="4" w:space="0" w:color="auto"/>
            </w:tcBorders>
            <w:vAlign w:val="center"/>
          </w:tcPr>
          <w:p w:rsidR="00820101" w:rsidRPr="00002A62" w:rsidRDefault="00820101" w:rsidP="00951BB0">
            <w:pPr>
              <w:jc w:val="center"/>
              <w:rPr>
                <w:rFonts w:ascii="Arial Narrow" w:hAnsi="Arial Narrow"/>
                <w:b/>
                <w:sz w:val="20"/>
              </w:rPr>
            </w:pPr>
            <w:r w:rsidRPr="00002A62">
              <w:rPr>
                <w:rFonts w:ascii="Arial Narrow" w:hAnsi="Arial Narrow"/>
                <w:b/>
                <w:sz w:val="20"/>
              </w:rPr>
              <w:t>Treatment arms</w:t>
            </w:r>
          </w:p>
        </w:tc>
        <w:tc>
          <w:tcPr>
            <w:tcW w:w="1016" w:type="pct"/>
            <w:tcBorders>
              <w:top w:val="single" w:sz="4" w:space="0" w:color="auto"/>
              <w:left w:val="single" w:sz="4" w:space="0" w:color="auto"/>
              <w:bottom w:val="single" w:sz="4" w:space="0" w:color="auto"/>
              <w:right w:val="single" w:sz="4" w:space="0" w:color="auto"/>
            </w:tcBorders>
            <w:vAlign w:val="center"/>
            <w:hideMark/>
          </w:tcPr>
          <w:p w:rsidR="00820101" w:rsidRPr="00002A62" w:rsidRDefault="00820101" w:rsidP="00951BB0">
            <w:pPr>
              <w:jc w:val="center"/>
              <w:rPr>
                <w:rFonts w:ascii="Arial Narrow" w:hAnsi="Arial Narrow"/>
                <w:b/>
                <w:sz w:val="20"/>
              </w:rPr>
            </w:pPr>
            <w:r w:rsidRPr="00002A62">
              <w:rPr>
                <w:rFonts w:ascii="Arial Narrow" w:hAnsi="Arial Narrow"/>
                <w:b/>
                <w:sz w:val="20"/>
              </w:rPr>
              <w:t>Design/ duration</w:t>
            </w:r>
          </w:p>
        </w:tc>
        <w:tc>
          <w:tcPr>
            <w:tcW w:w="639" w:type="pct"/>
            <w:tcBorders>
              <w:top w:val="single" w:sz="4" w:space="0" w:color="auto"/>
              <w:left w:val="single" w:sz="4" w:space="0" w:color="auto"/>
              <w:bottom w:val="single" w:sz="4" w:space="0" w:color="auto"/>
              <w:right w:val="single" w:sz="4" w:space="0" w:color="auto"/>
            </w:tcBorders>
            <w:vAlign w:val="center"/>
            <w:hideMark/>
          </w:tcPr>
          <w:p w:rsidR="00820101" w:rsidRPr="00002A62" w:rsidRDefault="00820101" w:rsidP="00951BB0">
            <w:pPr>
              <w:jc w:val="center"/>
              <w:rPr>
                <w:rFonts w:ascii="Arial Narrow" w:hAnsi="Arial Narrow"/>
                <w:b/>
                <w:sz w:val="20"/>
              </w:rPr>
            </w:pPr>
            <w:r w:rsidRPr="00002A62">
              <w:rPr>
                <w:rFonts w:ascii="Arial Narrow" w:hAnsi="Arial Narrow"/>
                <w:b/>
                <w:sz w:val="20"/>
              </w:rPr>
              <w:t>Risk of bias</w:t>
            </w:r>
          </w:p>
        </w:tc>
        <w:tc>
          <w:tcPr>
            <w:tcW w:w="847" w:type="pct"/>
            <w:tcBorders>
              <w:top w:val="single" w:sz="4" w:space="0" w:color="auto"/>
              <w:left w:val="single" w:sz="4" w:space="0" w:color="auto"/>
              <w:bottom w:val="single" w:sz="4" w:space="0" w:color="auto"/>
              <w:right w:val="single" w:sz="4" w:space="0" w:color="auto"/>
            </w:tcBorders>
            <w:vAlign w:val="center"/>
            <w:hideMark/>
          </w:tcPr>
          <w:p w:rsidR="00820101" w:rsidRPr="00002A62" w:rsidRDefault="00820101" w:rsidP="00951BB0">
            <w:pPr>
              <w:jc w:val="center"/>
              <w:rPr>
                <w:rFonts w:ascii="Arial Narrow" w:hAnsi="Arial Narrow"/>
                <w:b/>
                <w:sz w:val="20"/>
              </w:rPr>
            </w:pPr>
            <w:r w:rsidRPr="00002A62">
              <w:rPr>
                <w:rFonts w:ascii="Arial Narrow" w:hAnsi="Arial Narrow"/>
                <w:b/>
                <w:sz w:val="20"/>
              </w:rPr>
              <w:t>Patient population</w:t>
            </w:r>
          </w:p>
        </w:tc>
        <w:tc>
          <w:tcPr>
            <w:tcW w:w="596" w:type="pct"/>
            <w:tcBorders>
              <w:top w:val="single" w:sz="4" w:space="0" w:color="auto"/>
              <w:left w:val="single" w:sz="4" w:space="0" w:color="auto"/>
              <w:bottom w:val="single" w:sz="4" w:space="0" w:color="auto"/>
              <w:right w:val="single" w:sz="4" w:space="0" w:color="auto"/>
            </w:tcBorders>
            <w:vAlign w:val="center"/>
            <w:hideMark/>
          </w:tcPr>
          <w:p w:rsidR="00820101" w:rsidRPr="00002A62" w:rsidRDefault="00820101" w:rsidP="00951BB0">
            <w:pPr>
              <w:jc w:val="center"/>
              <w:rPr>
                <w:rFonts w:ascii="Arial Narrow" w:hAnsi="Arial Narrow"/>
                <w:b/>
                <w:sz w:val="20"/>
              </w:rPr>
            </w:pPr>
            <w:r w:rsidRPr="00002A62">
              <w:rPr>
                <w:rFonts w:ascii="Arial Narrow" w:hAnsi="Arial Narrow"/>
                <w:b/>
                <w:sz w:val="20"/>
              </w:rPr>
              <w:t>Outcome</w:t>
            </w:r>
          </w:p>
        </w:tc>
      </w:tr>
      <w:tr w:rsidR="00820101" w:rsidRPr="00002A62" w:rsidTr="00ED54C1">
        <w:tc>
          <w:tcPr>
            <w:tcW w:w="536" w:type="pct"/>
            <w:tcBorders>
              <w:top w:val="single" w:sz="4" w:space="0" w:color="auto"/>
              <w:left w:val="single" w:sz="4" w:space="0" w:color="auto"/>
              <w:bottom w:val="single" w:sz="4" w:space="0" w:color="auto"/>
              <w:right w:val="single" w:sz="4" w:space="0" w:color="auto"/>
            </w:tcBorders>
            <w:vAlign w:val="center"/>
            <w:hideMark/>
          </w:tcPr>
          <w:p w:rsidR="00820101" w:rsidRPr="00002A62" w:rsidRDefault="00820101" w:rsidP="00951BB0">
            <w:pPr>
              <w:jc w:val="left"/>
              <w:rPr>
                <w:rFonts w:ascii="Arial Narrow" w:hAnsi="Arial Narrow"/>
                <w:sz w:val="20"/>
              </w:rPr>
            </w:pPr>
            <w:r w:rsidRPr="00002A62">
              <w:rPr>
                <w:rFonts w:ascii="Arial Narrow" w:hAnsi="Arial Narrow"/>
                <w:sz w:val="20"/>
              </w:rPr>
              <w:t>Study 108</w:t>
            </w:r>
          </w:p>
        </w:tc>
        <w:tc>
          <w:tcPr>
            <w:tcW w:w="362" w:type="pct"/>
            <w:tcBorders>
              <w:top w:val="single" w:sz="4" w:space="0" w:color="auto"/>
              <w:left w:val="single" w:sz="4" w:space="0" w:color="auto"/>
              <w:bottom w:val="single" w:sz="4" w:space="0" w:color="auto"/>
              <w:right w:val="single" w:sz="4" w:space="0" w:color="auto"/>
            </w:tcBorders>
            <w:vAlign w:val="center"/>
            <w:hideMark/>
          </w:tcPr>
          <w:p w:rsidR="00820101" w:rsidRPr="00002A62" w:rsidRDefault="00820101" w:rsidP="00951BB0">
            <w:pPr>
              <w:jc w:val="center"/>
              <w:rPr>
                <w:rFonts w:ascii="Arial Narrow" w:hAnsi="Arial Narrow"/>
                <w:sz w:val="20"/>
              </w:rPr>
            </w:pPr>
            <w:r w:rsidRPr="00002A62">
              <w:rPr>
                <w:rFonts w:ascii="Arial Narrow" w:hAnsi="Arial Narrow"/>
                <w:sz w:val="20"/>
              </w:rPr>
              <w:t>426</w:t>
            </w:r>
          </w:p>
        </w:tc>
        <w:tc>
          <w:tcPr>
            <w:tcW w:w="1005" w:type="pct"/>
            <w:tcBorders>
              <w:top w:val="single" w:sz="4" w:space="0" w:color="auto"/>
              <w:left w:val="single" w:sz="4" w:space="0" w:color="auto"/>
              <w:bottom w:val="single" w:sz="4" w:space="0" w:color="auto"/>
              <w:right w:val="single" w:sz="4" w:space="0" w:color="auto"/>
            </w:tcBorders>
          </w:tcPr>
          <w:p w:rsidR="00820101" w:rsidRPr="00002A62" w:rsidRDefault="00820101" w:rsidP="00951BB0">
            <w:pPr>
              <w:jc w:val="center"/>
              <w:rPr>
                <w:rFonts w:ascii="Arial Narrow" w:hAnsi="Arial Narrow"/>
                <w:sz w:val="20"/>
              </w:rPr>
            </w:pPr>
            <w:r w:rsidRPr="00002A62">
              <w:rPr>
                <w:rFonts w:ascii="Arial Narrow" w:eastAsia="Times New Roman" w:hAnsi="Arial Narrow"/>
                <w:sz w:val="20"/>
              </w:rPr>
              <w:t>TAF25</w:t>
            </w:r>
            <w:r w:rsidR="00F1578A" w:rsidRPr="00002A62">
              <w:rPr>
                <w:rFonts w:ascii="Arial Narrow" w:eastAsia="Times New Roman" w:hAnsi="Arial Narrow"/>
                <w:sz w:val="20"/>
              </w:rPr>
              <w:t xml:space="preserve"> </w:t>
            </w:r>
            <w:r w:rsidRPr="00002A62">
              <w:rPr>
                <w:rFonts w:ascii="Arial Narrow" w:eastAsia="Times New Roman" w:hAnsi="Arial Narrow"/>
                <w:sz w:val="20"/>
              </w:rPr>
              <w:t>mg od, n=</w:t>
            </w:r>
            <w:r w:rsidRPr="00002A62">
              <w:rPr>
                <w:rFonts w:ascii="Arial Narrow" w:hAnsi="Arial Narrow"/>
                <w:sz w:val="20"/>
              </w:rPr>
              <w:t>285</w:t>
            </w:r>
          </w:p>
          <w:p w:rsidR="00820101" w:rsidRPr="00002A62" w:rsidRDefault="00820101" w:rsidP="00F1578A">
            <w:pPr>
              <w:jc w:val="center"/>
              <w:rPr>
                <w:rFonts w:ascii="Arial Narrow" w:hAnsi="Arial Narrow"/>
                <w:sz w:val="20"/>
              </w:rPr>
            </w:pPr>
            <w:r w:rsidRPr="00002A62">
              <w:rPr>
                <w:rFonts w:ascii="Arial Narrow" w:hAnsi="Arial Narrow"/>
                <w:sz w:val="20"/>
              </w:rPr>
              <w:t>TDF300mg od, n=141</w:t>
            </w:r>
          </w:p>
        </w:tc>
        <w:tc>
          <w:tcPr>
            <w:tcW w:w="1016" w:type="pct"/>
            <w:tcBorders>
              <w:top w:val="single" w:sz="4" w:space="0" w:color="auto"/>
              <w:left w:val="single" w:sz="4" w:space="0" w:color="auto"/>
              <w:bottom w:val="single" w:sz="4" w:space="0" w:color="auto"/>
              <w:right w:val="single" w:sz="4" w:space="0" w:color="auto"/>
            </w:tcBorders>
            <w:vAlign w:val="center"/>
            <w:hideMark/>
          </w:tcPr>
          <w:p w:rsidR="00820101" w:rsidRPr="00002A62" w:rsidRDefault="00820101" w:rsidP="004A02BF">
            <w:pPr>
              <w:jc w:val="center"/>
              <w:rPr>
                <w:rFonts w:ascii="Arial Narrow" w:hAnsi="Arial Narrow"/>
                <w:sz w:val="20"/>
              </w:rPr>
            </w:pPr>
            <w:r w:rsidRPr="00002A62">
              <w:rPr>
                <w:rFonts w:ascii="Arial Narrow" w:hAnsi="Arial Narrow"/>
                <w:sz w:val="20"/>
              </w:rPr>
              <w:t>MC, R, DB, 144 weeks</w:t>
            </w:r>
            <w:r w:rsidR="004A02BF" w:rsidRPr="00002A62">
              <w:rPr>
                <w:rFonts w:ascii="Arial Narrow" w:hAnsi="Arial Narrow"/>
                <w:sz w:val="20"/>
              </w:rPr>
              <w:t xml:space="preserve"> (primary outcome at </w:t>
            </w:r>
            <w:r w:rsidRPr="00002A62">
              <w:rPr>
                <w:rFonts w:ascii="Arial Narrow" w:hAnsi="Arial Narrow"/>
                <w:sz w:val="20"/>
              </w:rPr>
              <w:t>48 weeks</w:t>
            </w:r>
            <w:r w:rsidR="004A02BF" w:rsidRPr="00002A62">
              <w:rPr>
                <w:rFonts w:ascii="Arial Narrow" w:hAnsi="Arial Narrow"/>
                <w:sz w:val="20"/>
              </w:rPr>
              <w:t>)</w:t>
            </w:r>
          </w:p>
        </w:tc>
        <w:tc>
          <w:tcPr>
            <w:tcW w:w="639" w:type="pct"/>
            <w:tcBorders>
              <w:top w:val="single" w:sz="4" w:space="0" w:color="auto"/>
              <w:left w:val="single" w:sz="4" w:space="0" w:color="auto"/>
              <w:bottom w:val="single" w:sz="4" w:space="0" w:color="auto"/>
              <w:right w:val="single" w:sz="4" w:space="0" w:color="auto"/>
            </w:tcBorders>
            <w:vAlign w:val="center"/>
            <w:hideMark/>
          </w:tcPr>
          <w:p w:rsidR="00820101" w:rsidRPr="00002A62" w:rsidRDefault="00820101" w:rsidP="00951BB0">
            <w:pPr>
              <w:jc w:val="center"/>
              <w:rPr>
                <w:rFonts w:ascii="Arial Narrow" w:hAnsi="Arial Narrow"/>
                <w:sz w:val="20"/>
              </w:rPr>
            </w:pPr>
            <w:r w:rsidRPr="00002A62">
              <w:rPr>
                <w:rFonts w:ascii="Arial Narrow" w:hAnsi="Arial Narrow"/>
                <w:sz w:val="20"/>
              </w:rPr>
              <w:t>Low</w:t>
            </w:r>
          </w:p>
        </w:tc>
        <w:tc>
          <w:tcPr>
            <w:tcW w:w="847" w:type="pct"/>
            <w:tcBorders>
              <w:top w:val="single" w:sz="4" w:space="0" w:color="auto"/>
              <w:left w:val="single" w:sz="4" w:space="0" w:color="auto"/>
              <w:bottom w:val="single" w:sz="4" w:space="0" w:color="auto"/>
              <w:right w:val="single" w:sz="4" w:space="0" w:color="auto"/>
            </w:tcBorders>
            <w:vAlign w:val="center"/>
            <w:hideMark/>
          </w:tcPr>
          <w:p w:rsidR="00820101" w:rsidRPr="00002A62" w:rsidRDefault="00FE4271" w:rsidP="00FE4271">
            <w:pPr>
              <w:jc w:val="center"/>
              <w:rPr>
                <w:rFonts w:ascii="Arial Narrow" w:hAnsi="Arial Narrow"/>
                <w:sz w:val="20"/>
              </w:rPr>
            </w:pPr>
            <w:r>
              <w:rPr>
                <w:rFonts w:ascii="Arial Narrow" w:hAnsi="Arial Narrow"/>
                <w:sz w:val="20"/>
              </w:rPr>
              <w:t>HBeAgg</w:t>
            </w:r>
            <w:r w:rsidR="00820101" w:rsidRPr="00002A62">
              <w:rPr>
                <w:rFonts w:ascii="Arial Narrow" w:hAnsi="Arial Narrow"/>
                <w:sz w:val="20"/>
              </w:rPr>
              <w:t xml:space="preserve"> negative</w:t>
            </w:r>
          </w:p>
        </w:tc>
        <w:tc>
          <w:tcPr>
            <w:tcW w:w="596" w:type="pct"/>
            <w:vMerge w:val="restart"/>
            <w:tcBorders>
              <w:top w:val="single" w:sz="4" w:space="0" w:color="auto"/>
              <w:left w:val="single" w:sz="4" w:space="0" w:color="auto"/>
              <w:bottom w:val="single" w:sz="4" w:space="0" w:color="auto"/>
              <w:right w:val="single" w:sz="4" w:space="0" w:color="auto"/>
            </w:tcBorders>
            <w:vAlign w:val="center"/>
            <w:hideMark/>
          </w:tcPr>
          <w:p w:rsidR="00BD4AE0" w:rsidRPr="00002A62" w:rsidRDefault="00BD4AE0" w:rsidP="00951BB0">
            <w:pPr>
              <w:jc w:val="center"/>
              <w:rPr>
                <w:rFonts w:ascii="Arial Narrow" w:hAnsi="Arial Narrow"/>
                <w:sz w:val="20"/>
              </w:rPr>
            </w:pPr>
            <w:r w:rsidRPr="00002A62">
              <w:rPr>
                <w:rFonts w:ascii="Arial Narrow" w:hAnsi="Arial Narrow"/>
                <w:sz w:val="20"/>
              </w:rPr>
              <w:t>Primary outcome:</w:t>
            </w:r>
          </w:p>
          <w:p w:rsidR="00820101" w:rsidRPr="00002A62" w:rsidRDefault="00820101" w:rsidP="00951BB0">
            <w:pPr>
              <w:jc w:val="center"/>
              <w:rPr>
                <w:rFonts w:ascii="Arial Narrow" w:hAnsi="Arial Narrow"/>
                <w:sz w:val="20"/>
              </w:rPr>
            </w:pPr>
            <w:r w:rsidRPr="00002A62">
              <w:rPr>
                <w:rFonts w:ascii="Arial Narrow" w:hAnsi="Arial Narrow"/>
                <w:sz w:val="20"/>
              </w:rPr>
              <w:t>Proportion of patients with plasma HBV DNA &lt; 29 IU/mL</w:t>
            </w:r>
          </w:p>
        </w:tc>
      </w:tr>
      <w:tr w:rsidR="00820101" w:rsidRPr="00002A62" w:rsidTr="00ED54C1">
        <w:tc>
          <w:tcPr>
            <w:tcW w:w="536" w:type="pct"/>
            <w:tcBorders>
              <w:top w:val="single" w:sz="4" w:space="0" w:color="auto"/>
              <w:left w:val="single" w:sz="4" w:space="0" w:color="auto"/>
              <w:bottom w:val="single" w:sz="4" w:space="0" w:color="auto"/>
              <w:right w:val="single" w:sz="4" w:space="0" w:color="auto"/>
            </w:tcBorders>
            <w:vAlign w:val="center"/>
            <w:hideMark/>
          </w:tcPr>
          <w:p w:rsidR="00820101" w:rsidRPr="00002A62" w:rsidRDefault="00820101" w:rsidP="00951BB0">
            <w:pPr>
              <w:jc w:val="left"/>
              <w:rPr>
                <w:rFonts w:ascii="Arial Narrow" w:hAnsi="Arial Narrow"/>
                <w:sz w:val="20"/>
              </w:rPr>
            </w:pPr>
            <w:r w:rsidRPr="00002A62">
              <w:rPr>
                <w:rFonts w:ascii="Arial Narrow" w:hAnsi="Arial Narrow"/>
                <w:sz w:val="20"/>
              </w:rPr>
              <w:t>Study 110</w:t>
            </w:r>
          </w:p>
        </w:tc>
        <w:tc>
          <w:tcPr>
            <w:tcW w:w="362" w:type="pct"/>
            <w:tcBorders>
              <w:top w:val="single" w:sz="4" w:space="0" w:color="auto"/>
              <w:left w:val="single" w:sz="4" w:space="0" w:color="auto"/>
              <w:bottom w:val="single" w:sz="4" w:space="0" w:color="auto"/>
              <w:right w:val="single" w:sz="4" w:space="0" w:color="auto"/>
            </w:tcBorders>
            <w:vAlign w:val="center"/>
            <w:hideMark/>
          </w:tcPr>
          <w:p w:rsidR="00820101" w:rsidRPr="00002A62" w:rsidRDefault="00820101" w:rsidP="00951BB0">
            <w:pPr>
              <w:jc w:val="center"/>
              <w:rPr>
                <w:rFonts w:ascii="Arial Narrow" w:hAnsi="Arial Narrow"/>
                <w:sz w:val="20"/>
              </w:rPr>
            </w:pPr>
            <w:r w:rsidRPr="00002A62">
              <w:rPr>
                <w:rFonts w:ascii="Arial Narrow" w:hAnsi="Arial Narrow"/>
                <w:sz w:val="20"/>
              </w:rPr>
              <w:t>875</w:t>
            </w:r>
          </w:p>
        </w:tc>
        <w:tc>
          <w:tcPr>
            <w:tcW w:w="1005" w:type="pct"/>
            <w:tcBorders>
              <w:top w:val="single" w:sz="4" w:space="0" w:color="auto"/>
              <w:left w:val="single" w:sz="4" w:space="0" w:color="auto"/>
              <w:bottom w:val="single" w:sz="4" w:space="0" w:color="auto"/>
              <w:right w:val="single" w:sz="4" w:space="0" w:color="auto"/>
            </w:tcBorders>
          </w:tcPr>
          <w:p w:rsidR="00820101" w:rsidRPr="00002A62" w:rsidRDefault="00820101" w:rsidP="00951BB0">
            <w:pPr>
              <w:jc w:val="center"/>
              <w:rPr>
                <w:rFonts w:ascii="Arial Narrow" w:hAnsi="Arial Narrow"/>
                <w:sz w:val="20"/>
              </w:rPr>
            </w:pPr>
            <w:r w:rsidRPr="00002A62">
              <w:rPr>
                <w:rFonts w:ascii="Arial Narrow" w:hAnsi="Arial Narrow"/>
                <w:sz w:val="20"/>
              </w:rPr>
              <w:t>TAF25</w:t>
            </w:r>
            <w:r w:rsidR="00F1578A" w:rsidRPr="00002A62">
              <w:rPr>
                <w:rFonts w:ascii="Arial Narrow" w:hAnsi="Arial Narrow"/>
                <w:sz w:val="20"/>
              </w:rPr>
              <w:t xml:space="preserve"> </w:t>
            </w:r>
            <w:r w:rsidRPr="00002A62">
              <w:rPr>
                <w:rFonts w:ascii="Arial Narrow" w:hAnsi="Arial Narrow"/>
                <w:sz w:val="20"/>
              </w:rPr>
              <w:t>mg od, n=582</w:t>
            </w:r>
          </w:p>
          <w:p w:rsidR="00820101" w:rsidRPr="00002A62" w:rsidRDefault="00820101" w:rsidP="00951BB0">
            <w:pPr>
              <w:jc w:val="center"/>
              <w:rPr>
                <w:rFonts w:ascii="Arial Narrow" w:hAnsi="Arial Narrow"/>
                <w:sz w:val="20"/>
              </w:rPr>
            </w:pPr>
            <w:r w:rsidRPr="00002A62">
              <w:rPr>
                <w:rFonts w:ascii="Arial Narrow" w:hAnsi="Arial Narrow"/>
                <w:sz w:val="20"/>
              </w:rPr>
              <w:t>TDF300mg od, n=293</w:t>
            </w:r>
          </w:p>
        </w:tc>
        <w:tc>
          <w:tcPr>
            <w:tcW w:w="1016" w:type="pct"/>
            <w:tcBorders>
              <w:top w:val="single" w:sz="4" w:space="0" w:color="auto"/>
              <w:left w:val="single" w:sz="4" w:space="0" w:color="auto"/>
              <w:bottom w:val="single" w:sz="4" w:space="0" w:color="auto"/>
              <w:right w:val="single" w:sz="4" w:space="0" w:color="auto"/>
            </w:tcBorders>
            <w:vAlign w:val="center"/>
            <w:hideMark/>
          </w:tcPr>
          <w:p w:rsidR="00820101" w:rsidRPr="00002A62" w:rsidRDefault="00820101" w:rsidP="00951BB0">
            <w:pPr>
              <w:jc w:val="center"/>
              <w:rPr>
                <w:rFonts w:ascii="Arial Narrow" w:hAnsi="Arial Narrow"/>
                <w:sz w:val="20"/>
              </w:rPr>
            </w:pPr>
            <w:r w:rsidRPr="00002A62">
              <w:rPr>
                <w:rFonts w:ascii="Arial Narrow" w:hAnsi="Arial Narrow"/>
                <w:sz w:val="20"/>
              </w:rPr>
              <w:t>MC, R, DB, 144 weeks (primary</w:t>
            </w:r>
            <w:r w:rsidRPr="00002A62">
              <w:rPr>
                <w:rFonts w:ascii="Arial Narrow" w:hAnsi="Arial Narrow"/>
                <w:sz w:val="20"/>
                <w:vertAlign w:val="superscript"/>
              </w:rPr>
              <w:t xml:space="preserve"> </w:t>
            </w:r>
            <w:r w:rsidRPr="00002A62">
              <w:rPr>
                <w:rFonts w:ascii="Arial Narrow" w:hAnsi="Arial Narrow"/>
                <w:sz w:val="20"/>
              </w:rPr>
              <w:t>outcome at 48 weeks)</w:t>
            </w:r>
          </w:p>
        </w:tc>
        <w:tc>
          <w:tcPr>
            <w:tcW w:w="639" w:type="pct"/>
            <w:tcBorders>
              <w:top w:val="single" w:sz="4" w:space="0" w:color="auto"/>
              <w:left w:val="single" w:sz="4" w:space="0" w:color="auto"/>
              <w:bottom w:val="single" w:sz="4" w:space="0" w:color="auto"/>
              <w:right w:val="single" w:sz="4" w:space="0" w:color="auto"/>
            </w:tcBorders>
            <w:vAlign w:val="center"/>
            <w:hideMark/>
          </w:tcPr>
          <w:p w:rsidR="00820101" w:rsidRPr="00002A62" w:rsidRDefault="00820101" w:rsidP="00951BB0">
            <w:pPr>
              <w:jc w:val="center"/>
              <w:rPr>
                <w:rFonts w:ascii="Arial Narrow" w:hAnsi="Arial Narrow"/>
                <w:sz w:val="20"/>
              </w:rPr>
            </w:pPr>
            <w:r w:rsidRPr="00002A62">
              <w:rPr>
                <w:rFonts w:ascii="Arial Narrow" w:hAnsi="Arial Narrow"/>
                <w:sz w:val="20"/>
              </w:rPr>
              <w:t>Low</w:t>
            </w:r>
          </w:p>
        </w:tc>
        <w:tc>
          <w:tcPr>
            <w:tcW w:w="847" w:type="pct"/>
            <w:tcBorders>
              <w:top w:val="single" w:sz="4" w:space="0" w:color="auto"/>
              <w:left w:val="single" w:sz="4" w:space="0" w:color="auto"/>
              <w:bottom w:val="single" w:sz="4" w:space="0" w:color="auto"/>
              <w:right w:val="single" w:sz="4" w:space="0" w:color="auto"/>
            </w:tcBorders>
            <w:vAlign w:val="center"/>
            <w:hideMark/>
          </w:tcPr>
          <w:p w:rsidR="00820101" w:rsidRPr="00002A62" w:rsidRDefault="00FE4271" w:rsidP="00951BB0">
            <w:pPr>
              <w:jc w:val="center"/>
              <w:rPr>
                <w:rFonts w:ascii="Arial Narrow" w:hAnsi="Arial Narrow"/>
                <w:sz w:val="20"/>
              </w:rPr>
            </w:pPr>
            <w:r>
              <w:rPr>
                <w:rFonts w:ascii="Arial Narrow" w:hAnsi="Arial Narrow"/>
                <w:sz w:val="20"/>
              </w:rPr>
              <w:t>HBeAg</w:t>
            </w:r>
            <w:r w:rsidR="00820101" w:rsidRPr="00002A62">
              <w:rPr>
                <w:rFonts w:ascii="Arial Narrow" w:hAnsi="Arial Narrow"/>
                <w:sz w:val="20"/>
              </w:rPr>
              <w:t xml:space="preserve"> positive</w:t>
            </w: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820101" w:rsidRPr="00002A62" w:rsidRDefault="00820101" w:rsidP="00951BB0">
            <w:pPr>
              <w:widowControl/>
              <w:jc w:val="left"/>
              <w:rPr>
                <w:rFonts w:ascii="Arial Narrow" w:hAnsi="Arial Narrow"/>
                <w:sz w:val="20"/>
              </w:rPr>
            </w:pPr>
          </w:p>
        </w:tc>
      </w:tr>
      <w:tr w:rsidR="00820101" w:rsidRPr="00002A62" w:rsidTr="00ED54C1">
        <w:tc>
          <w:tcPr>
            <w:tcW w:w="536" w:type="pct"/>
            <w:tcBorders>
              <w:top w:val="single" w:sz="4" w:space="0" w:color="auto"/>
              <w:left w:val="single" w:sz="4" w:space="0" w:color="auto"/>
              <w:bottom w:val="single" w:sz="4" w:space="0" w:color="auto"/>
              <w:right w:val="single" w:sz="4" w:space="0" w:color="auto"/>
            </w:tcBorders>
            <w:vAlign w:val="center"/>
            <w:hideMark/>
          </w:tcPr>
          <w:p w:rsidR="00820101" w:rsidRPr="00002A62" w:rsidRDefault="00820101" w:rsidP="00951BB0">
            <w:pPr>
              <w:jc w:val="left"/>
              <w:rPr>
                <w:rFonts w:ascii="Arial Narrow" w:hAnsi="Arial Narrow"/>
                <w:sz w:val="20"/>
              </w:rPr>
            </w:pPr>
            <w:r w:rsidRPr="00002A62">
              <w:rPr>
                <w:rFonts w:ascii="Arial Narrow" w:hAnsi="Arial Narrow"/>
                <w:sz w:val="20"/>
              </w:rPr>
              <w:t>Study 1249</w:t>
            </w:r>
          </w:p>
        </w:tc>
        <w:tc>
          <w:tcPr>
            <w:tcW w:w="362" w:type="pct"/>
            <w:tcBorders>
              <w:top w:val="single" w:sz="4" w:space="0" w:color="auto"/>
              <w:left w:val="single" w:sz="4" w:space="0" w:color="auto"/>
              <w:bottom w:val="single" w:sz="4" w:space="0" w:color="auto"/>
              <w:right w:val="single" w:sz="4" w:space="0" w:color="auto"/>
            </w:tcBorders>
            <w:vAlign w:val="center"/>
            <w:hideMark/>
          </w:tcPr>
          <w:p w:rsidR="00820101" w:rsidRPr="00002A62" w:rsidRDefault="00820101" w:rsidP="00951BB0">
            <w:pPr>
              <w:jc w:val="center"/>
              <w:rPr>
                <w:rFonts w:ascii="Arial Narrow" w:hAnsi="Arial Narrow"/>
                <w:sz w:val="20"/>
              </w:rPr>
            </w:pPr>
            <w:r w:rsidRPr="00002A62">
              <w:rPr>
                <w:rFonts w:ascii="Arial Narrow" w:hAnsi="Arial Narrow"/>
                <w:sz w:val="20"/>
              </w:rPr>
              <w:t>79</w:t>
            </w:r>
          </w:p>
        </w:tc>
        <w:tc>
          <w:tcPr>
            <w:tcW w:w="1005" w:type="pct"/>
            <w:tcBorders>
              <w:top w:val="single" w:sz="4" w:space="0" w:color="auto"/>
              <w:left w:val="single" w:sz="4" w:space="0" w:color="auto"/>
              <w:bottom w:val="single" w:sz="4" w:space="0" w:color="auto"/>
              <w:right w:val="single" w:sz="4" w:space="0" w:color="auto"/>
            </w:tcBorders>
          </w:tcPr>
          <w:p w:rsidR="00820101" w:rsidRPr="00002A62" w:rsidRDefault="00820101" w:rsidP="00951BB0">
            <w:pPr>
              <w:jc w:val="center"/>
              <w:rPr>
                <w:rFonts w:ascii="Arial Narrow" w:hAnsi="Arial Narrow"/>
                <w:sz w:val="20"/>
              </w:rPr>
            </w:pPr>
            <w:r w:rsidRPr="00002A62">
              <w:rPr>
                <w:rFonts w:ascii="Arial Narrow" w:hAnsi="Arial Narrow"/>
                <w:sz w:val="20"/>
              </w:rPr>
              <w:t>elvitegravir 150</w:t>
            </w:r>
            <w:r w:rsidR="00F1578A" w:rsidRPr="00002A62">
              <w:rPr>
                <w:rFonts w:ascii="Arial Narrow" w:hAnsi="Arial Narrow"/>
                <w:sz w:val="20"/>
              </w:rPr>
              <w:t xml:space="preserve"> </w:t>
            </w:r>
            <w:r w:rsidRPr="00002A62">
              <w:rPr>
                <w:rFonts w:ascii="Arial Narrow" w:hAnsi="Arial Narrow"/>
                <w:sz w:val="20"/>
              </w:rPr>
              <w:t>mg/cobicistat 150</w:t>
            </w:r>
            <w:r w:rsidR="00F1578A" w:rsidRPr="00002A62">
              <w:rPr>
                <w:rFonts w:ascii="Arial Narrow" w:hAnsi="Arial Narrow"/>
                <w:sz w:val="20"/>
              </w:rPr>
              <w:t xml:space="preserve"> </w:t>
            </w:r>
            <w:r w:rsidRPr="00002A62">
              <w:rPr>
                <w:rFonts w:ascii="Arial Narrow" w:hAnsi="Arial Narrow"/>
                <w:sz w:val="20"/>
              </w:rPr>
              <w:t>mg/ emtricitabine 200</w:t>
            </w:r>
            <w:r w:rsidR="00F1578A" w:rsidRPr="00002A62">
              <w:rPr>
                <w:rFonts w:ascii="Arial Narrow" w:hAnsi="Arial Narrow"/>
                <w:sz w:val="20"/>
              </w:rPr>
              <w:t xml:space="preserve"> </w:t>
            </w:r>
            <w:r w:rsidRPr="00002A62">
              <w:rPr>
                <w:rFonts w:ascii="Arial Narrow" w:hAnsi="Arial Narrow"/>
                <w:sz w:val="20"/>
              </w:rPr>
              <w:t>mg/tenofovir alafenamide 10</w:t>
            </w:r>
            <w:r w:rsidR="00F1578A" w:rsidRPr="00002A62">
              <w:rPr>
                <w:rFonts w:ascii="Arial Narrow" w:hAnsi="Arial Narrow"/>
                <w:sz w:val="20"/>
              </w:rPr>
              <w:t xml:space="preserve"> </w:t>
            </w:r>
            <w:r w:rsidRPr="00002A62">
              <w:rPr>
                <w:rFonts w:ascii="Arial Narrow" w:hAnsi="Arial Narrow"/>
                <w:sz w:val="20"/>
              </w:rPr>
              <w:t>mg daily</w:t>
            </w:r>
          </w:p>
        </w:tc>
        <w:tc>
          <w:tcPr>
            <w:tcW w:w="1016" w:type="pct"/>
            <w:tcBorders>
              <w:top w:val="single" w:sz="4" w:space="0" w:color="auto"/>
              <w:left w:val="single" w:sz="4" w:space="0" w:color="auto"/>
              <w:bottom w:val="single" w:sz="4" w:space="0" w:color="auto"/>
              <w:right w:val="single" w:sz="4" w:space="0" w:color="auto"/>
            </w:tcBorders>
            <w:vAlign w:val="center"/>
            <w:hideMark/>
          </w:tcPr>
          <w:p w:rsidR="00820101" w:rsidRPr="00002A62" w:rsidRDefault="00820101" w:rsidP="00951BB0">
            <w:pPr>
              <w:jc w:val="center"/>
              <w:rPr>
                <w:rFonts w:ascii="Arial Narrow" w:hAnsi="Arial Narrow"/>
                <w:sz w:val="20"/>
              </w:rPr>
            </w:pPr>
            <w:r w:rsidRPr="00002A62">
              <w:rPr>
                <w:rFonts w:ascii="Arial Narrow" w:hAnsi="Arial Narrow"/>
                <w:sz w:val="20"/>
              </w:rPr>
              <w:t>OL single arm, 48 weeks</w:t>
            </w:r>
          </w:p>
        </w:tc>
        <w:tc>
          <w:tcPr>
            <w:tcW w:w="639" w:type="pct"/>
            <w:tcBorders>
              <w:top w:val="single" w:sz="4" w:space="0" w:color="auto"/>
              <w:left w:val="single" w:sz="4" w:space="0" w:color="auto"/>
              <w:bottom w:val="single" w:sz="4" w:space="0" w:color="auto"/>
              <w:right w:val="single" w:sz="4" w:space="0" w:color="auto"/>
            </w:tcBorders>
            <w:vAlign w:val="center"/>
            <w:hideMark/>
          </w:tcPr>
          <w:p w:rsidR="00820101" w:rsidRPr="00002A62" w:rsidRDefault="00820101" w:rsidP="00951BB0">
            <w:pPr>
              <w:jc w:val="center"/>
              <w:rPr>
                <w:rFonts w:ascii="Arial Narrow" w:hAnsi="Arial Narrow"/>
                <w:sz w:val="20"/>
              </w:rPr>
            </w:pPr>
            <w:r w:rsidRPr="00002A62">
              <w:rPr>
                <w:rFonts w:ascii="Arial Narrow" w:hAnsi="Arial Narrow"/>
                <w:sz w:val="20"/>
              </w:rPr>
              <w:t>High</w:t>
            </w:r>
          </w:p>
        </w:tc>
        <w:tc>
          <w:tcPr>
            <w:tcW w:w="847" w:type="pct"/>
            <w:tcBorders>
              <w:top w:val="single" w:sz="4" w:space="0" w:color="auto"/>
              <w:left w:val="single" w:sz="4" w:space="0" w:color="auto"/>
              <w:bottom w:val="single" w:sz="4" w:space="0" w:color="auto"/>
              <w:right w:val="single" w:sz="4" w:space="0" w:color="auto"/>
            </w:tcBorders>
            <w:vAlign w:val="center"/>
            <w:hideMark/>
          </w:tcPr>
          <w:p w:rsidR="00820101" w:rsidRPr="00002A62" w:rsidRDefault="00820101" w:rsidP="00951BB0">
            <w:pPr>
              <w:jc w:val="center"/>
              <w:rPr>
                <w:rFonts w:ascii="Arial Narrow" w:hAnsi="Arial Narrow"/>
                <w:sz w:val="20"/>
              </w:rPr>
            </w:pPr>
            <w:r w:rsidRPr="00002A62">
              <w:rPr>
                <w:rFonts w:ascii="Arial Narrow" w:hAnsi="Arial Narrow"/>
                <w:sz w:val="20"/>
              </w:rPr>
              <w:t>HIV/HBV coinfection</w:t>
            </w: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820101" w:rsidRPr="00002A62" w:rsidRDefault="00820101" w:rsidP="00951BB0">
            <w:pPr>
              <w:widowControl/>
              <w:jc w:val="left"/>
              <w:rPr>
                <w:rFonts w:ascii="Arial Narrow" w:hAnsi="Arial Narrow"/>
                <w:sz w:val="20"/>
              </w:rPr>
            </w:pPr>
          </w:p>
        </w:tc>
      </w:tr>
    </w:tbl>
    <w:p w:rsidR="00820101" w:rsidRPr="00002A62" w:rsidRDefault="00820101" w:rsidP="00ED54C1">
      <w:pPr>
        <w:pStyle w:val="TableFooter"/>
        <w:ind w:left="720"/>
      </w:pPr>
      <w:r w:rsidRPr="00002A62">
        <w:t xml:space="preserve">DB=double blind; OL=open label; OS=overall survival; MC= multicentre; R=randomised; </w:t>
      </w:r>
      <w:r w:rsidR="00FE4271">
        <w:t>HBeAg</w:t>
      </w:r>
      <w:r w:rsidRPr="00002A62">
        <w:t xml:space="preserve"> = hepatitis B envelope antigen, HIV = human immunodeficiency virus, HBV = hepatitis B virus; od=oral daily.</w:t>
      </w:r>
    </w:p>
    <w:p w:rsidR="00820101" w:rsidRPr="00002A62" w:rsidRDefault="00820101" w:rsidP="00ED54C1">
      <w:pPr>
        <w:pStyle w:val="TableFooter"/>
        <w:ind w:left="720"/>
        <w:rPr>
          <w:iCs/>
        </w:rPr>
      </w:pPr>
      <w:r w:rsidRPr="00002A62">
        <w:rPr>
          <w:iCs/>
        </w:rPr>
        <w:t>Source: compiled during the evaluation</w:t>
      </w:r>
    </w:p>
    <w:p w:rsidR="00820101" w:rsidRPr="00002A62" w:rsidRDefault="00820101" w:rsidP="00820101"/>
    <w:p w:rsidR="00820101" w:rsidRPr="00002A62" w:rsidRDefault="00820101" w:rsidP="00BD4AE0">
      <w:pPr>
        <w:pStyle w:val="ListParagraph"/>
        <w:widowControl/>
        <w:numPr>
          <w:ilvl w:val="1"/>
          <w:numId w:val="15"/>
        </w:numPr>
        <w:snapToGrid w:val="0"/>
        <w:rPr>
          <w:szCs w:val="22"/>
        </w:rPr>
      </w:pPr>
      <w:r w:rsidRPr="00002A62">
        <w:rPr>
          <w:szCs w:val="22"/>
        </w:rPr>
        <w:t xml:space="preserve">Study 108 was a double blind randomised </w:t>
      </w:r>
      <w:r w:rsidR="004A02BF" w:rsidRPr="00002A62">
        <w:rPr>
          <w:szCs w:val="22"/>
        </w:rPr>
        <w:t xml:space="preserve">trial of </w:t>
      </w:r>
      <w:r w:rsidRPr="00002A62">
        <w:rPr>
          <w:szCs w:val="22"/>
        </w:rPr>
        <w:t xml:space="preserve">426 adult patients who had </w:t>
      </w:r>
      <w:r w:rsidR="00FE4271">
        <w:rPr>
          <w:szCs w:val="22"/>
        </w:rPr>
        <w:t>HBeAg</w:t>
      </w:r>
      <w:r w:rsidRPr="00002A62">
        <w:rPr>
          <w:szCs w:val="22"/>
        </w:rPr>
        <w:t xml:space="preserve"> negative chronic hepatitis B, randomised in a 2:1 ratio to receive either treatment with TAF 25</w:t>
      </w:r>
      <w:r w:rsidR="00F1578A" w:rsidRPr="00002A62">
        <w:rPr>
          <w:szCs w:val="22"/>
        </w:rPr>
        <w:t xml:space="preserve"> mg</w:t>
      </w:r>
      <w:r w:rsidRPr="00002A62">
        <w:rPr>
          <w:szCs w:val="22"/>
        </w:rPr>
        <w:t xml:space="preserve"> once daily (n=285) or TDF 300</w:t>
      </w:r>
      <w:r w:rsidR="00F1578A" w:rsidRPr="00002A62">
        <w:rPr>
          <w:szCs w:val="22"/>
        </w:rPr>
        <w:t xml:space="preserve"> mg</w:t>
      </w:r>
      <w:r w:rsidRPr="00002A62">
        <w:rPr>
          <w:szCs w:val="22"/>
        </w:rPr>
        <w:t xml:space="preserve"> once daily (n=141) for 96 weeks, followed by 48 weeks of open label treatment for a total of 144 weeks</w:t>
      </w:r>
      <w:r w:rsidR="00716ED0" w:rsidRPr="00002A62">
        <w:rPr>
          <w:szCs w:val="22"/>
        </w:rPr>
        <w:t xml:space="preserve">. </w:t>
      </w:r>
      <w:r w:rsidRPr="00002A62">
        <w:rPr>
          <w:szCs w:val="22"/>
        </w:rPr>
        <w:t xml:space="preserve">Similarly, Study 110 was a double blind randomised study which enrolled 875 adult patients who had </w:t>
      </w:r>
      <w:r w:rsidR="00FE4271">
        <w:rPr>
          <w:szCs w:val="22"/>
        </w:rPr>
        <w:t>HBeAg</w:t>
      </w:r>
      <w:r w:rsidRPr="00002A62">
        <w:rPr>
          <w:szCs w:val="22"/>
        </w:rPr>
        <w:t xml:space="preserve"> positive chronic hepatitis B, randomised in a 2:1 ratio to receive either treatment with TAF 25</w:t>
      </w:r>
      <w:r w:rsidR="00F1578A" w:rsidRPr="00002A62">
        <w:rPr>
          <w:szCs w:val="22"/>
        </w:rPr>
        <w:t xml:space="preserve"> mg</w:t>
      </w:r>
      <w:r w:rsidRPr="00002A62">
        <w:rPr>
          <w:szCs w:val="22"/>
        </w:rPr>
        <w:t xml:space="preserve"> once daily (n=582) or TDF 300</w:t>
      </w:r>
      <w:r w:rsidR="00F1578A" w:rsidRPr="00002A62">
        <w:rPr>
          <w:szCs w:val="22"/>
        </w:rPr>
        <w:t xml:space="preserve"> mg</w:t>
      </w:r>
      <w:r w:rsidRPr="00002A62">
        <w:rPr>
          <w:szCs w:val="22"/>
        </w:rPr>
        <w:t xml:space="preserve"> once daily (n=293) for 96 weeks, followed by 48 weeks of open label treatment for a total of 144 weeks</w:t>
      </w:r>
      <w:r w:rsidR="00716ED0" w:rsidRPr="00002A62">
        <w:rPr>
          <w:szCs w:val="22"/>
        </w:rPr>
        <w:t xml:space="preserve">. </w:t>
      </w:r>
      <w:r w:rsidR="00BD4AE0" w:rsidRPr="00002A62">
        <w:rPr>
          <w:szCs w:val="22"/>
        </w:rPr>
        <w:t>The primary outcome of the trials of proportion of patients with plasma HBV DNA &lt; 29 IU/mL were measured after 48 weeks of treatment.</w:t>
      </w:r>
    </w:p>
    <w:p w:rsidR="00820101" w:rsidRPr="00002A62" w:rsidRDefault="00820101" w:rsidP="00820101">
      <w:pPr>
        <w:pStyle w:val="ListParagraph"/>
        <w:widowControl/>
        <w:snapToGrid w:val="0"/>
        <w:rPr>
          <w:szCs w:val="22"/>
        </w:rPr>
      </w:pPr>
    </w:p>
    <w:p w:rsidR="00820101" w:rsidRPr="00002A62" w:rsidRDefault="00820101" w:rsidP="00820101">
      <w:pPr>
        <w:pStyle w:val="ListParagraph"/>
        <w:widowControl/>
        <w:numPr>
          <w:ilvl w:val="1"/>
          <w:numId w:val="15"/>
        </w:numPr>
        <w:snapToGrid w:val="0"/>
        <w:rPr>
          <w:szCs w:val="22"/>
        </w:rPr>
      </w:pPr>
      <w:r w:rsidRPr="00002A62">
        <w:t xml:space="preserve">Study 1249 was an open label, single arm study </w:t>
      </w:r>
      <w:r w:rsidR="00311D5C" w:rsidRPr="00002A62">
        <w:t>that</w:t>
      </w:r>
      <w:r w:rsidRPr="00002A62">
        <w:t xml:space="preserve"> r</w:t>
      </w:r>
      <w:r w:rsidR="004A02BF" w:rsidRPr="00002A62">
        <w:t>ecruited 79 patients, of which four</w:t>
      </w:r>
      <w:r w:rsidRPr="00002A62">
        <w:t xml:space="preserve"> were HIV/HBV coinfected adults who were HIV and HBV treatment naïve and 75 were HIV/HBV coinfected adults who were HIV suppressed (with or without HBV DNA suppression)</w:t>
      </w:r>
      <w:r w:rsidR="00716ED0" w:rsidRPr="00002A62">
        <w:t xml:space="preserve">. </w:t>
      </w:r>
      <w:r w:rsidRPr="00002A62">
        <w:t>All patients were treated with a single tablet fixed dose combination of elvitegravir 150</w:t>
      </w:r>
      <w:r w:rsidR="00F1578A" w:rsidRPr="00002A62">
        <w:t xml:space="preserve"> mg</w:t>
      </w:r>
      <w:r w:rsidRPr="00002A62">
        <w:t>/cobicistat 150</w:t>
      </w:r>
      <w:r w:rsidR="00F1578A" w:rsidRPr="00002A62">
        <w:t xml:space="preserve"> mg</w:t>
      </w:r>
      <w:r w:rsidRPr="00002A62">
        <w:t>/ emtricitabine 200</w:t>
      </w:r>
      <w:r w:rsidR="00F1578A" w:rsidRPr="00002A62">
        <w:t xml:space="preserve"> mg</w:t>
      </w:r>
      <w:r w:rsidRPr="00002A62">
        <w:t>/tenofovir alafenamide</w:t>
      </w:r>
      <w:r w:rsidR="004A02BF" w:rsidRPr="00002A62">
        <w:t xml:space="preserve"> 10</w:t>
      </w:r>
      <w:r w:rsidR="00F1578A" w:rsidRPr="00002A62">
        <w:t xml:space="preserve"> mg</w:t>
      </w:r>
      <w:r w:rsidR="004A02BF" w:rsidRPr="00002A62">
        <w:t xml:space="preserve"> once daily for 48 weeks.</w:t>
      </w:r>
    </w:p>
    <w:p w:rsidR="00820101" w:rsidRPr="00002A62" w:rsidRDefault="00820101" w:rsidP="00820101">
      <w:pPr>
        <w:widowControl/>
        <w:snapToGrid w:val="0"/>
        <w:rPr>
          <w:szCs w:val="22"/>
        </w:rPr>
      </w:pPr>
    </w:p>
    <w:p w:rsidR="00820101" w:rsidRPr="00002A62" w:rsidRDefault="00BD4AE0" w:rsidP="00820101">
      <w:pPr>
        <w:pStyle w:val="ListParagraph"/>
        <w:widowControl/>
        <w:numPr>
          <w:ilvl w:val="1"/>
          <w:numId w:val="15"/>
        </w:numPr>
        <w:snapToGrid w:val="0"/>
        <w:rPr>
          <w:szCs w:val="22"/>
        </w:rPr>
      </w:pPr>
      <w:r w:rsidRPr="00002A62">
        <w:t xml:space="preserve">The trials were balanced with respect to patient demographics except that </w:t>
      </w:r>
      <w:r w:rsidR="004C3AD1" w:rsidRPr="00002A62">
        <w:t xml:space="preserve">in Studies 108 and 110, </w:t>
      </w:r>
      <w:r w:rsidR="00820101" w:rsidRPr="00002A62">
        <w:t xml:space="preserve">more patients randomised to TAF </w:t>
      </w:r>
      <w:r w:rsidR="004A02BF" w:rsidRPr="00002A62">
        <w:t xml:space="preserve">treatment </w:t>
      </w:r>
      <w:r w:rsidR="00820101" w:rsidRPr="00002A62">
        <w:t>were yo</w:t>
      </w:r>
      <w:r w:rsidR="00260DB3" w:rsidRPr="00002A62">
        <w:t>unger than 50 </w:t>
      </w:r>
      <w:r w:rsidR="004C3AD1" w:rsidRPr="00002A62">
        <w:t>years at baseline</w:t>
      </w:r>
      <w:r w:rsidR="00820101" w:rsidRPr="00002A62">
        <w:t xml:space="preserve"> compared to patients randomised to receive TDF</w:t>
      </w:r>
      <w:r w:rsidR="007A7C06" w:rsidRPr="00002A62">
        <w:t>,</w:t>
      </w:r>
      <w:r w:rsidRPr="00002A62">
        <w:t xml:space="preserve"> </w:t>
      </w:r>
      <w:r w:rsidR="004C3AD1" w:rsidRPr="00002A62">
        <w:t xml:space="preserve">with a </w:t>
      </w:r>
      <w:r w:rsidRPr="00002A62">
        <w:t xml:space="preserve">difference of 13% </w:t>
      </w:r>
      <w:r w:rsidR="007A7C06" w:rsidRPr="00002A62">
        <w:t xml:space="preserve">(p=0.015) </w:t>
      </w:r>
      <w:r w:rsidRPr="00002A62">
        <w:t xml:space="preserve">and </w:t>
      </w:r>
      <w:r w:rsidR="007A7C06" w:rsidRPr="00002A62">
        <w:t>5% (p=0.078)</w:t>
      </w:r>
      <w:r w:rsidR="004C3AD1" w:rsidRPr="00002A62">
        <w:t>,</w:t>
      </w:r>
      <w:r w:rsidR="007A7C06" w:rsidRPr="00002A62">
        <w:t xml:space="preserve"> </w:t>
      </w:r>
      <w:r w:rsidR="00311D5C" w:rsidRPr="00002A62">
        <w:t>respectively</w:t>
      </w:r>
      <w:r w:rsidR="00716ED0" w:rsidRPr="00002A62">
        <w:t xml:space="preserve">. </w:t>
      </w:r>
      <w:r w:rsidR="00820101" w:rsidRPr="00002A62">
        <w:t>Th</w:t>
      </w:r>
      <w:r w:rsidR="007A7C06" w:rsidRPr="00002A62">
        <w:t xml:space="preserve">is imbalance </w:t>
      </w:r>
      <w:r w:rsidR="00311D5C" w:rsidRPr="00002A62">
        <w:t xml:space="preserve">may have </w:t>
      </w:r>
      <w:r w:rsidR="004A02BF" w:rsidRPr="00002A62">
        <w:t xml:space="preserve">biased </w:t>
      </w:r>
      <w:r w:rsidR="00820101" w:rsidRPr="00002A62">
        <w:t xml:space="preserve">the results </w:t>
      </w:r>
      <w:r w:rsidR="004A02BF" w:rsidRPr="00002A62">
        <w:t xml:space="preserve">of trials in favour of TAF particularly </w:t>
      </w:r>
      <w:r w:rsidR="00311D5C" w:rsidRPr="00002A62">
        <w:t>for</w:t>
      </w:r>
      <w:r w:rsidR="004A02BF" w:rsidRPr="00002A62">
        <w:t xml:space="preserve"> outcome</w:t>
      </w:r>
      <w:r w:rsidR="007A7C06" w:rsidRPr="00002A62">
        <w:t xml:space="preserve">s </w:t>
      </w:r>
      <w:r w:rsidR="00311D5C" w:rsidRPr="00002A62">
        <w:t xml:space="preserve">that are </w:t>
      </w:r>
      <w:r w:rsidR="004A02BF" w:rsidRPr="00002A62">
        <w:t>age related, such as renal function decline or bone mineral density degradation</w:t>
      </w:r>
      <w:r w:rsidR="007A7C06" w:rsidRPr="00002A62">
        <w:rPr>
          <w:szCs w:val="22"/>
        </w:rPr>
        <w:t xml:space="preserve">, which </w:t>
      </w:r>
      <w:r w:rsidR="00311D5C" w:rsidRPr="00002A62">
        <w:rPr>
          <w:szCs w:val="22"/>
        </w:rPr>
        <w:t xml:space="preserve">were </w:t>
      </w:r>
      <w:r w:rsidR="007A7C06" w:rsidRPr="00002A62">
        <w:rPr>
          <w:szCs w:val="22"/>
        </w:rPr>
        <w:t xml:space="preserve">relied on </w:t>
      </w:r>
      <w:r w:rsidR="00311D5C" w:rsidRPr="00002A62">
        <w:rPr>
          <w:szCs w:val="22"/>
        </w:rPr>
        <w:t xml:space="preserve">by </w:t>
      </w:r>
      <w:r w:rsidR="007A7C06" w:rsidRPr="00002A62">
        <w:rPr>
          <w:szCs w:val="22"/>
        </w:rPr>
        <w:t xml:space="preserve">the submission for its </w:t>
      </w:r>
      <w:r w:rsidR="007A7C06" w:rsidRPr="00002A62">
        <w:t>safety claim.</w:t>
      </w:r>
    </w:p>
    <w:p w:rsidR="009A70AF" w:rsidRPr="00002A62" w:rsidRDefault="009A70AF" w:rsidP="009A70AF">
      <w:pPr>
        <w:rPr>
          <w:szCs w:val="22"/>
        </w:rPr>
      </w:pPr>
    </w:p>
    <w:p w:rsidR="009A70AF" w:rsidRPr="00002A62" w:rsidRDefault="009A70AF" w:rsidP="009A70AF">
      <w:pPr>
        <w:pStyle w:val="Heading2"/>
        <w:rPr>
          <w:i/>
        </w:rPr>
      </w:pPr>
      <w:bookmarkStart w:id="8" w:name="_Toc472330231"/>
      <w:r w:rsidRPr="00002A62">
        <w:rPr>
          <w:i/>
        </w:rPr>
        <w:t>Comparative effectiveness</w:t>
      </w:r>
      <w:bookmarkEnd w:id="8"/>
    </w:p>
    <w:p w:rsidR="009A70AF" w:rsidRPr="00002A62" w:rsidRDefault="009A70AF" w:rsidP="009A70AF">
      <w:pPr>
        <w:rPr>
          <w:szCs w:val="22"/>
        </w:rPr>
      </w:pPr>
    </w:p>
    <w:p w:rsidR="00ED54C1" w:rsidRPr="00002A62" w:rsidRDefault="009A70AF" w:rsidP="00E604FE">
      <w:pPr>
        <w:pStyle w:val="ListParagraph"/>
        <w:widowControl/>
        <w:numPr>
          <w:ilvl w:val="1"/>
          <w:numId w:val="15"/>
        </w:numPr>
        <w:snapToGrid w:val="0"/>
        <w:rPr>
          <w:szCs w:val="22"/>
        </w:rPr>
      </w:pPr>
      <w:r w:rsidRPr="00002A62">
        <w:rPr>
          <w:szCs w:val="22"/>
        </w:rPr>
        <w:t xml:space="preserve">The main outcome for </w:t>
      </w:r>
      <w:r w:rsidR="00ED54C1" w:rsidRPr="00002A62">
        <w:rPr>
          <w:szCs w:val="22"/>
        </w:rPr>
        <w:t>S</w:t>
      </w:r>
      <w:r w:rsidRPr="00002A62">
        <w:rPr>
          <w:szCs w:val="22"/>
        </w:rPr>
        <w:t xml:space="preserve">tudy 108 and 110 was </w:t>
      </w:r>
      <w:r w:rsidR="00ED54C1" w:rsidRPr="00002A62">
        <w:rPr>
          <w:szCs w:val="22"/>
        </w:rPr>
        <w:t>viral response defined as</w:t>
      </w:r>
      <w:r w:rsidRPr="00002A62">
        <w:rPr>
          <w:szCs w:val="22"/>
        </w:rPr>
        <w:t xml:space="preserve"> </w:t>
      </w:r>
      <w:r w:rsidR="004C3AD1" w:rsidRPr="00002A62">
        <w:rPr>
          <w:szCs w:val="22"/>
        </w:rPr>
        <w:t xml:space="preserve">a </w:t>
      </w:r>
      <w:r w:rsidRPr="00002A62">
        <w:rPr>
          <w:szCs w:val="22"/>
        </w:rPr>
        <w:t xml:space="preserve">proportion of patients who had plasma HBV DNA less than 29 IU/mL at </w:t>
      </w:r>
      <w:r w:rsidR="00ED54C1" w:rsidRPr="00002A62">
        <w:rPr>
          <w:szCs w:val="22"/>
        </w:rPr>
        <w:t>W</w:t>
      </w:r>
      <w:r w:rsidRPr="00002A62">
        <w:rPr>
          <w:szCs w:val="22"/>
        </w:rPr>
        <w:t>eek 48 of treatment</w:t>
      </w:r>
      <w:r w:rsidR="00716ED0" w:rsidRPr="00002A62">
        <w:rPr>
          <w:szCs w:val="22"/>
        </w:rPr>
        <w:t xml:space="preserve">. </w:t>
      </w:r>
      <w:r w:rsidR="007C13EC" w:rsidRPr="00002A62">
        <w:rPr>
          <w:szCs w:val="22"/>
        </w:rPr>
        <w:t>This was also the main outcome relied on for the clinical claim</w:t>
      </w:r>
      <w:r w:rsidR="00716ED0" w:rsidRPr="00002A62">
        <w:rPr>
          <w:szCs w:val="22"/>
        </w:rPr>
        <w:t xml:space="preserve">. </w:t>
      </w:r>
      <w:r w:rsidR="006602ED" w:rsidRPr="00002A62">
        <w:rPr>
          <w:szCs w:val="22"/>
        </w:rPr>
        <w:t xml:space="preserve">The results from the trials are </w:t>
      </w:r>
      <w:r w:rsidR="00ED54C1" w:rsidRPr="00002A62">
        <w:rPr>
          <w:szCs w:val="22"/>
        </w:rPr>
        <w:t>summarised in Table 3.</w:t>
      </w:r>
    </w:p>
    <w:p w:rsidR="009A70AF" w:rsidRPr="00002A62" w:rsidRDefault="009A70AF" w:rsidP="00ED54C1">
      <w:pPr>
        <w:pStyle w:val="ListParagraph"/>
        <w:widowControl/>
        <w:snapToGrid w:val="0"/>
        <w:rPr>
          <w:szCs w:val="22"/>
        </w:rPr>
      </w:pPr>
    </w:p>
    <w:p w:rsidR="009A70AF" w:rsidRPr="00002A62" w:rsidRDefault="009A70AF" w:rsidP="00903864">
      <w:pPr>
        <w:ind w:left="720"/>
        <w:rPr>
          <w:rStyle w:val="CommentReference"/>
          <w:rFonts w:cstheme="minorBidi"/>
          <w:b w:val="0"/>
        </w:rPr>
      </w:pPr>
      <w:r w:rsidRPr="00002A62">
        <w:rPr>
          <w:rStyle w:val="CommentReference"/>
          <w:rFonts w:cstheme="minorBidi"/>
        </w:rPr>
        <w:t xml:space="preserve">Table </w:t>
      </w:r>
      <w:r w:rsidR="00E604FE" w:rsidRPr="00002A62">
        <w:rPr>
          <w:rStyle w:val="CommentReference"/>
          <w:rFonts w:cstheme="minorBidi"/>
        </w:rPr>
        <w:t>3</w:t>
      </w:r>
      <w:r w:rsidR="00ED54C1" w:rsidRPr="00002A62">
        <w:rPr>
          <w:rStyle w:val="CommentReference"/>
          <w:rFonts w:cstheme="minorBidi"/>
        </w:rPr>
        <w:t>:</w:t>
      </w:r>
      <w:r w:rsidRPr="00002A62">
        <w:rPr>
          <w:rStyle w:val="CommentReference"/>
          <w:rFonts w:cstheme="minorBidi"/>
        </w:rPr>
        <w:t xml:space="preserve"> Proportion of patients with plasma HBV </w:t>
      </w:r>
      <w:r w:rsidR="00903864" w:rsidRPr="00002A62">
        <w:rPr>
          <w:rStyle w:val="CommentReference"/>
          <w:rFonts w:cstheme="minorBidi"/>
        </w:rPr>
        <w:t>D</w:t>
      </w:r>
      <w:r w:rsidRPr="00002A62">
        <w:rPr>
          <w:rStyle w:val="CommentReference"/>
          <w:rFonts w:cstheme="minorBidi"/>
        </w:rPr>
        <w:t xml:space="preserve">NA &lt;29IU/mL in </w:t>
      </w:r>
      <w:r w:rsidR="00ED54C1" w:rsidRPr="00002A62">
        <w:rPr>
          <w:rStyle w:val="CommentReference"/>
          <w:rFonts w:cstheme="minorBidi"/>
        </w:rPr>
        <w:t>S</w:t>
      </w:r>
      <w:r w:rsidRPr="00002A62">
        <w:rPr>
          <w:rStyle w:val="CommentReference"/>
          <w:rFonts w:cstheme="minorBidi"/>
        </w:rPr>
        <w:t xml:space="preserve">tudy 108 and </w:t>
      </w:r>
      <w:r w:rsidR="00ED54C1" w:rsidRPr="00002A62">
        <w:rPr>
          <w:rStyle w:val="CommentReference"/>
          <w:rFonts w:cstheme="minorBidi"/>
        </w:rPr>
        <w:t>S</w:t>
      </w:r>
      <w:r w:rsidRPr="00002A62">
        <w:rPr>
          <w:rStyle w:val="CommentReference"/>
          <w:rFonts w:cstheme="minorBidi"/>
        </w:rPr>
        <w:t xml:space="preserve">tudy 110 at </w:t>
      </w:r>
      <w:r w:rsidR="00ED54C1" w:rsidRPr="00002A62">
        <w:rPr>
          <w:rStyle w:val="CommentReference"/>
          <w:rFonts w:cstheme="minorBidi"/>
        </w:rPr>
        <w:t>W</w:t>
      </w:r>
      <w:r w:rsidRPr="00002A62">
        <w:rPr>
          <w:rStyle w:val="CommentReference"/>
          <w:rFonts w:cstheme="minorBidi"/>
        </w:rPr>
        <w:t>eek 48</w:t>
      </w:r>
    </w:p>
    <w:tbl>
      <w:tblPr>
        <w:tblW w:w="452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41"/>
        <w:gridCol w:w="2378"/>
        <w:gridCol w:w="2693"/>
        <w:gridCol w:w="2409"/>
      </w:tblGrid>
      <w:tr w:rsidR="009A70AF" w:rsidRPr="00002A62" w:rsidTr="009A70AF">
        <w:tc>
          <w:tcPr>
            <w:tcW w:w="451" w:type="pct"/>
            <w:tcBorders>
              <w:top w:val="single" w:sz="4" w:space="0" w:color="auto"/>
              <w:left w:val="single" w:sz="4" w:space="0" w:color="auto"/>
              <w:bottom w:val="single" w:sz="4" w:space="0" w:color="auto"/>
              <w:right w:val="single" w:sz="4" w:space="0" w:color="auto"/>
            </w:tcBorders>
            <w:vAlign w:val="center"/>
            <w:hideMark/>
          </w:tcPr>
          <w:p w:rsidR="009A70AF" w:rsidRPr="00002A62" w:rsidRDefault="009A70AF">
            <w:pPr>
              <w:jc w:val="left"/>
              <w:rPr>
                <w:rFonts w:ascii="Arial Narrow" w:hAnsi="Arial Narrow"/>
              </w:rPr>
            </w:pPr>
            <w:r w:rsidRPr="00002A62">
              <w:rPr>
                <w:rFonts w:ascii="Arial Narrow" w:hAnsi="Arial Narrow"/>
                <w:b/>
                <w:sz w:val="20"/>
              </w:rPr>
              <w:t>Trial ID</w:t>
            </w:r>
          </w:p>
        </w:tc>
        <w:tc>
          <w:tcPr>
            <w:tcW w:w="1446" w:type="pct"/>
            <w:tcBorders>
              <w:top w:val="single" w:sz="4" w:space="0" w:color="auto"/>
              <w:left w:val="single" w:sz="4" w:space="0" w:color="auto"/>
              <w:bottom w:val="single" w:sz="4" w:space="0" w:color="auto"/>
              <w:right w:val="single" w:sz="4" w:space="0" w:color="auto"/>
            </w:tcBorders>
            <w:vAlign w:val="center"/>
            <w:hideMark/>
          </w:tcPr>
          <w:p w:rsidR="009A70AF" w:rsidRPr="00002A62" w:rsidRDefault="009A70AF">
            <w:pPr>
              <w:ind w:right="-108"/>
              <w:jc w:val="center"/>
              <w:rPr>
                <w:rFonts w:ascii="Arial Narrow" w:hAnsi="Arial Narrow"/>
                <w:b/>
                <w:sz w:val="20"/>
              </w:rPr>
            </w:pPr>
            <w:r w:rsidRPr="00002A62">
              <w:rPr>
                <w:rFonts w:ascii="Arial Narrow" w:hAnsi="Arial Narrow"/>
                <w:b/>
                <w:sz w:val="20"/>
              </w:rPr>
              <w:t>TAF 25</w:t>
            </w:r>
            <w:r w:rsidR="00F1578A" w:rsidRPr="00002A62">
              <w:rPr>
                <w:rFonts w:ascii="Arial Narrow" w:hAnsi="Arial Narrow"/>
                <w:b/>
                <w:sz w:val="20"/>
              </w:rPr>
              <w:t xml:space="preserve"> mg</w:t>
            </w:r>
          </w:p>
          <w:p w:rsidR="009A70AF" w:rsidRPr="00002A62" w:rsidRDefault="009A70AF">
            <w:pPr>
              <w:ind w:right="-108"/>
              <w:jc w:val="center"/>
              <w:rPr>
                <w:rFonts w:ascii="Arial Narrow" w:hAnsi="Arial Narrow"/>
                <w:sz w:val="20"/>
              </w:rPr>
            </w:pPr>
            <w:r w:rsidRPr="00002A62">
              <w:rPr>
                <w:rFonts w:ascii="Arial Narrow" w:hAnsi="Arial Narrow"/>
                <w:b/>
                <w:sz w:val="20"/>
              </w:rPr>
              <w:t>n/N (%) [95% CI]</w:t>
            </w:r>
          </w:p>
        </w:tc>
        <w:tc>
          <w:tcPr>
            <w:tcW w:w="1638" w:type="pct"/>
            <w:tcBorders>
              <w:top w:val="single" w:sz="4" w:space="0" w:color="auto"/>
              <w:left w:val="single" w:sz="4" w:space="0" w:color="auto"/>
              <w:bottom w:val="single" w:sz="4" w:space="0" w:color="auto"/>
              <w:right w:val="single" w:sz="4" w:space="0" w:color="auto"/>
            </w:tcBorders>
            <w:vAlign w:val="center"/>
            <w:hideMark/>
          </w:tcPr>
          <w:p w:rsidR="009A70AF" w:rsidRPr="00002A62" w:rsidRDefault="009A70AF">
            <w:pPr>
              <w:jc w:val="center"/>
              <w:rPr>
                <w:rFonts w:ascii="Arial Narrow" w:hAnsi="Arial Narrow"/>
                <w:b/>
                <w:sz w:val="20"/>
              </w:rPr>
            </w:pPr>
            <w:r w:rsidRPr="00002A62">
              <w:rPr>
                <w:rFonts w:ascii="Arial Narrow" w:hAnsi="Arial Narrow"/>
                <w:b/>
                <w:sz w:val="20"/>
              </w:rPr>
              <w:t xml:space="preserve">TDF </w:t>
            </w:r>
            <w:r w:rsidR="00F1578A" w:rsidRPr="00002A62">
              <w:rPr>
                <w:rFonts w:ascii="Arial Narrow" w:hAnsi="Arial Narrow"/>
                <w:b/>
                <w:sz w:val="20"/>
              </w:rPr>
              <w:t>300 mg</w:t>
            </w:r>
          </w:p>
          <w:p w:rsidR="009A70AF" w:rsidRPr="00002A62" w:rsidRDefault="009A70AF">
            <w:pPr>
              <w:jc w:val="center"/>
              <w:rPr>
                <w:rFonts w:ascii="Arial Narrow" w:hAnsi="Arial Narrow"/>
                <w:sz w:val="20"/>
              </w:rPr>
            </w:pPr>
            <w:r w:rsidRPr="00002A62">
              <w:rPr>
                <w:rFonts w:ascii="Arial Narrow" w:hAnsi="Arial Narrow"/>
                <w:b/>
                <w:sz w:val="20"/>
              </w:rPr>
              <w:t>n/N(%) [95% CI]</w:t>
            </w:r>
          </w:p>
        </w:tc>
        <w:tc>
          <w:tcPr>
            <w:tcW w:w="1466" w:type="pct"/>
            <w:tcBorders>
              <w:top w:val="single" w:sz="4" w:space="0" w:color="auto"/>
              <w:left w:val="single" w:sz="4" w:space="0" w:color="auto"/>
              <w:bottom w:val="single" w:sz="4" w:space="0" w:color="auto"/>
              <w:right w:val="single" w:sz="4" w:space="0" w:color="auto"/>
            </w:tcBorders>
            <w:vAlign w:val="center"/>
            <w:hideMark/>
          </w:tcPr>
          <w:p w:rsidR="009A70AF" w:rsidRPr="00002A62" w:rsidRDefault="009A70AF">
            <w:pPr>
              <w:jc w:val="center"/>
              <w:rPr>
                <w:rFonts w:ascii="Arial Narrow" w:hAnsi="Arial Narrow"/>
                <w:b/>
                <w:sz w:val="20"/>
              </w:rPr>
            </w:pPr>
            <w:r w:rsidRPr="00002A62">
              <w:rPr>
                <w:rFonts w:ascii="Arial Narrow" w:hAnsi="Arial Narrow"/>
                <w:b/>
                <w:sz w:val="20"/>
              </w:rPr>
              <w:t>Difference in proportion</w:t>
            </w:r>
            <w:r w:rsidRPr="00002A62">
              <w:rPr>
                <w:rFonts w:ascii="Arial Narrow" w:hAnsi="Arial Narrow"/>
                <w:b/>
                <w:sz w:val="20"/>
                <w:vertAlign w:val="superscript"/>
              </w:rPr>
              <w:t>1</w:t>
            </w:r>
            <w:r w:rsidRPr="00002A62">
              <w:rPr>
                <w:rFonts w:ascii="Arial Narrow" w:hAnsi="Arial Narrow"/>
                <w:b/>
                <w:sz w:val="20"/>
              </w:rPr>
              <w:t xml:space="preserve"> </w:t>
            </w:r>
          </w:p>
          <w:p w:rsidR="009A70AF" w:rsidRPr="00002A62" w:rsidRDefault="009A70AF">
            <w:pPr>
              <w:jc w:val="center"/>
              <w:rPr>
                <w:rFonts w:ascii="Arial Narrow" w:hAnsi="Arial Narrow"/>
                <w:b/>
                <w:sz w:val="20"/>
              </w:rPr>
            </w:pPr>
            <w:r w:rsidRPr="00002A62">
              <w:rPr>
                <w:rFonts w:ascii="Arial Narrow" w:hAnsi="Arial Narrow"/>
                <w:b/>
                <w:sz w:val="20"/>
              </w:rPr>
              <w:t>(95% CI)</w:t>
            </w:r>
          </w:p>
        </w:tc>
      </w:tr>
      <w:tr w:rsidR="009A70AF" w:rsidRPr="00002A62" w:rsidTr="009A70AF">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9A70AF" w:rsidRPr="00002A62" w:rsidRDefault="009A70AF" w:rsidP="00ED54C1">
            <w:pPr>
              <w:jc w:val="left"/>
              <w:rPr>
                <w:rFonts w:ascii="Arial Narrow" w:hAnsi="Arial Narrow"/>
                <w:b/>
                <w:sz w:val="20"/>
              </w:rPr>
            </w:pPr>
            <w:r w:rsidRPr="00002A62">
              <w:rPr>
                <w:rFonts w:ascii="Arial Narrow" w:hAnsi="Arial Narrow"/>
                <w:b/>
                <w:sz w:val="20"/>
              </w:rPr>
              <w:t xml:space="preserve">Patients with chronic HBV infection, </w:t>
            </w:r>
            <w:r w:rsidR="00FE4271">
              <w:rPr>
                <w:rFonts w:ascii="Arial Narrow" w:hAnsi="Arial Narrow"/>
                <w:b/>
                <w:sz w:val="20"/>
              </w:rPr>
              <w:t>HBeAg</w:t>
            </w:r>
            <w:r w:rsidRPr="00002A62">
              <w:rPr>
                <w:rFonts w:ascii="Arial Narrow" w:hAnsi="Arial Narrow"/>
                <w:b/>
                <w:sz w:val="20"/>
              </w:rPr>
              <w:t xml:space="preserve"> negative (</w:t>
            </w:r>
            <w:r w:rsidR="00ED54C1" w:rsidRPr="00002A62">
              <w:rPr>
                <w:rFonts w:ascii="Arial Narrow" w:hAnsi="Arial Narrow"/>
                <w:b/>
                <w:sz w:val="20"/>
              </w:rPr>
              <w:t>S</w:t>
            </w:r>
            <w:r w:rsidRPr="00002A62">
              <w:rPr>
                <w:rFonts w:ascii="Arial Narrow" w:hAnsi="Arial Narrow"/>
                <w:b/>
                <w:sz w:val="20"/>
              </w:rPr>
              <w:t>tudy 108)</w:t>
            </w:r>
          </w:p>
        </w:tc>
      </w:tr>
      <w:tr w:rsidR="009A70AF" w:rsidRPr="00002A62" w:rsidTr="009A70AF">
        <w:tc>
          <w:tcPr>
            <w:tcW w:w="451" w:type="pct"/>
            <w:tcBorders>
              <w:top w:val="single" w:sz="4" w:space="0" w:color="auto"/>
              <w:left w:val="single" w:sz="4" w:space="0" w:color="auto"/>
              <w:bottom w:val="single" w:sz="4" w:space="0" w:color="auto"/>
              <w:right w:val="single" w:sz="4" w:space="0" w:color="auto"/>
            </w:tcBorders>
            <w:vAlign w:val="center"/>
            <w:hideMark/>
          </w:tcPr>
          <w:p w:rsidR="009A70AF" w:rsidRPr="00002A62" w:rsidRDefault="009A70AF">
            <w:pPr>
              <w:jc w:val="left"/>
              <w:rPr>
                <w:rFonts w:ascii="Arial Narrow" w:hAnsi="Arial Narrow"/>
                <w:sz w:val="20"/>
              </w:rPr>
            </w:pPr>
            <w:r w:rsidRPr="00002A62">
              <w:rPr>
                <w:rFonts w:ascii="Arial Narrow" w:hAnsi="Arial Narrow"/>
                <w:sz w:val="20"/>
              </w:rPr>
              <w:t>Week 48</w:t>
            </w:r>
          </w:p>
        </w:tc>
        <w:tc>
          <w:tcPr>
            <w:tcW w:w="1446" w:type="pct"/>
            <w:tcBorders>
              <w:top w:val="single" w:sz="4" w:space="0" w:color="auto"/>
              <w:left w:val="single" w:sz="4" w:space="0" w:color="auto"/>
              <w:bottom w:val="single" w:sz="4" w:space="0" w:color="auto"/>
              <w:right w:val="single" w:sz="4" w:space="0" w:color="auto"/>
            </w:tcBorders>
            <w:vAlign w:val="center"/>
            <w:hideMark/>
          </w:tcPr>
          <w:p w:rsidR="009A70AF" w:rsidRPr="00002A62" w:rsidRDefault="009A70AF">
            <w:pPr>
              <w:jc w:val="center"/>
              <w:rPr>
                <w:rFonts w:ascii="Arial Narrow" w:hAnsi="Arial Narrow"/>
                <w:sz w:val="20"/>
              </w:rPr>
            </w:pPr>
            <w:r w:rsidRPr="00002A62">
              <w:rPr>
                <w:rFonts w:ascii="Arial Narrow" w:hAnsi="Arial Narrow"/>
                <w:sz w:val="20"/>
              </w:rPr>
              <w:t>268/285 (94.0) [90.6, 96.5]</w:t>
            </w:r>
          </w:p>
        </w:tc>
        <w:tc>
          <w:tcPr>
            <w:tcW w:w="1638" w:type="pct"/>
            <w:tcBorders>
              <w:top w:val="single" w:sz="4" w:space="0" w:color="auto"/>
              <w:left w:val="single" w:sz="4" w:space="0" w:color="auto"/>
              <w:bottom w:val="single" w:sz="4" w:space="0" w:color="auto"/>
              <w:right w:val="single" w:sz="4" w:space="0" w:color="auto"/>
            </w:tcBorders>
            <w:vAlign w:val="center"/>
            <w:hideMark/>
          </w:tcPr>
          <w:p w:rsidR="009A70AF" w:rsidRPr="00002A62" w:rsidRDefault="009A70AF">
            <w:pPr>
              <w:jc w:val="center"/>
              <w:rPr>
                <w:rFonts w:ascii="Arial Narrow" w:hAnsi="Arial Narrow"/>
                <w:sz w:val="20"/>
              </w:rPr>
            </w:pPr>
            <w:r w:rsidRPr="00002A62">
              <w:rPr>
                <w:rFonts w:ascii="Arial Narrow" w:hAnsi="Arial Narrow"/>
                <w:sz w:val="20"/>
              </w:rPr>
              <w:t>130/140 (92.9) [87.3, 96.5]</w:t>
            </w:r>
          </w:p>
        </w:tc>
        <w:tc>
          <w:tcPr>
            <w:tcW w:w="1466" w:type="pct"/>
            <w:tcBorders>
              <w:top w:val="single" w:sz="4" w:space="0" w:color="auto"/>
              <w:left w:val="single" w:sz="4" w:space="0" w:color="auto"/>
              <w:bottom w:val="single" w:sz="4" w:space="0" w:color="auto"/>
              <w:right w:val="single" w:sz="4" w:space="0" w:color="auto"/>
            </w:tcBorders>
            <w:vAlign w:val="center"/>
            <w:hideMark/>
          </w:tcPr>
          <w:p w:rsidR="009A70AF" w:rsidRPr="00002A62" w:rsidRDefault="009A70AF">
            <w:pPr>
              <w:jc w:val="center"/>
              <w:rPr>
                <w:rFonts w:ascii="Arial Narrow" w:hAnsi="Arial Narrow"/>
                <w:sz w:val="20"/>
              </w:rPr>
            </w:pPr>
            <w:r w:rsidRPr="00002A62">
              <w:rPr>
                <w:rFonts w:ascii="Arial Narrow" w:hAnsi="Arial Narrow"/>
                <w:sz w:val="20"/>
              </w:rPr>
              <w:t>1.8 (-3.6%, 7.2%)</w:t>
            </w:r>
          </w:p>
        </w:tc>
      </w:tr>
      <w:tr w:rsidR="009A70AF" w:rsidRPr="00002A62" w:rsidTr="009A70AF">
        <w:tc>
          <w:tcPr>
            <w:tcW w:w="451" w:type="pct"/>
            <w:tcBorders>
              <w:top w:val="single" w:sz="4" w:space="0" w:color="auto"/>
              <w:left w:val="single" w:sz="4" w:space="0" w:color="auto"/>
              <w:bottom w:val="single" w:sz="4" w:space="0" w:color="auto"/>
              <w:right w:val="single" w:sz="4" w:space="0" w:color="auto"/>
            </w:tcBorders>
            <w:vAlign w:val="center"/>
            <w:hideMark/>
          </w:tcPr>
          <w:p w:rsidR="009A70AF" w:rsidRPr="00002A62" w:rsidRDefault="009A70AF">
            <w:pPr>
              <w:jc w:val="left"/>
              <w:rPr>
                <w:rFonts w:ascii="Arial Narrow" w:hAnsi="Arial Narrow"/>
                <w:sz w:val="20"/>
              </w:rPr>
            </w:pPr>
            <w:r w:rsidRPr="00002A62">
              <w:rPr>
                <w:rFonts w:ascii="Arial Narrow" w:hAnsi="Arial Narrow"/>
                <w:sz w:val="20"/>
              </w:rPr>
              <w:t>Week 72</w:t>
            </w:r>
          </w:p>
        </w:tc>
        <w:tc>
          <w:tcPr>
            <w:tcW w:w="1446" w:type="pct"/>
            <w:tcBorders>
              <w:top w:val="single" w:sz="4" w:space="0" w:color="auto"/>
              <w:left w:val="single" w:sz="4" w:space="0" w:color="auto"/>
              <w:bottom w:val="single" w:sz="4" w:space="0" w:color="auto"/>
              <w:right w:val="single" w:sz="4" w:space="0" w:color="auto"/>
            </w:tcBorders>
            <w:vAlign w:val="center"/>
            <w:hideMark/>
          </w:tcPr>
          <w:p w:rsidR="009A70AF" w:rsidRPr="00002A62" w:rsidRDefault="009A70AF">
            <w:pPr>
              <w:jc w:val="center"/>
              <w:rPr>
                <w:rFonts w:ascii="Arial Narrow" w:hAnsi="Arial Narrow"/>
                <w:sz w:val="20"/>
              </w:rPr>
            </w:pPr>
            <w:r w:rsidRPr="00002A62">
              <w:rPr>
                <w:rFonts w:ascii="Arial Narrow" w:hAnsi="Arial Narrow"/>
                <w:sz w:val="20"/>
              </w:rPr>
              <w:t>40/42 (95.2) [83.8, 99.4]</w:t>
            </w:r>
          </w:p>
        </w:tc>
        <w:tc>
          <w:tcPr>
            <w:tcW w:w="1638" w:type="pct"/>
            <w:tcBorders>
              <w:top w:val="single" w:sz="4" w:space="0" w:color="auto"/>
              <w:left w:val="single" w:sz="4" w:space="0" w:color="auto"/>
              <w:bottom w:val="single" w:sz="4" w:space="0" w:color="auto"/>
              <w:right w:val="single" w:sz="4" w:space="0" w:color="auto"/>
            </w:tcBorders>
            <w:vAlign w:val="center"/>
            <w:hideMark/>
          </w:tcPr>
          <w:p w:rsidR="009A70AF" w:rsidRPr="00002A62" w:rsidRDefault="009A70AF">
            <w:pPr>
              <w:jc w:val="center"/>
              <w:rPr>
                <w:rFonts w:ascii="Arial Narrow" w:hAnsi="Arial Narrow"/>
                <w:sz w:val="20"/>
              </w:rPr>
            </w:pPr>
            <w:r w:rsidRPr="00002A62">
              <w:rPr>
                <w:rFonts w:ascii="Arial Narrow" w:hAnsi="Arial Narrow"/>
                <w:sz w:val="20"/>
              </w:rPr>
              <w:t>22/23 (95.7) [78.1, 99.9]</w:t>
            </w:r>
          </w:p>
        </w:tc>
        <w:tc>
          <w:tcPr>
            <w:tcW w:w="1466" w:type="pct"/>
            <w:tcBorders>
              <w:top w:val="single" w:sz="4" w:space="0" w:color="auto"/>
              <w:left w:val="single" w:sz="4" w:space="0" w:color="auto"/>
              <w:bottom w:val="single" w:sz="4" w:space="0" w:color="auto"/>
              <w:right w:val="single" w:sz="4" w:space="0" w:color="auto"/>
            </w:tcBorders>
            <w:vAlign w:val="center"/>
            <w:hideMark/>
          </w:tcPr>
          <w:p w:rsidR="009A70AF" w:rsidRPr="00002A62" w:rsidRDefault="009A70AF">
            <w:pPr>
              <w:jc w:val="center"/>
              <w:rPr>
                <w:rFonts w:ascii="Arial Narrow" w:hAnsi="Arial Narrow"/>
                <w:sz w:val="20"/>
              </w:rPr>
            </w:pPr>
            <w:r w:rsidRPr="00002A62">
              <w:rPr>
                <w:rFonts w:ascii="Arial Narrow" w:hAnsi="Arial Narrow"/>
                <w:sz w:val="20"/>
              </w:rPr>
              <w:t>NR</w:t>
            </w:r>
          </w:p>
        </w:tc>
      </w:tr>
      <w:tr w:rsidR="009A70AF" w:rsidRPr="00002A62" w:rsidTr="009A70AF">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9A70AF" w:rsidRPr="00002A62" w:rsidRDefault="009A70AF">
            <w:pPr>
              <w:jc w:val="left"/>
              <w:rPr>
                <w:rFonts w:ascii="Arial Narrow" w:hAnsi="Arial Narrow"/>
                <w:b/>
                <w:sz w:val="20"/>
              </w:rPr>
            </w:pPr>
            <w:r w:rsidRPr="00002A62">
              <w:rPr>
                <w:rFonts w:ascii="Arial Narrow" w:hAnsi="Arial Narrow"/>
                <w:b/>
                <w:sz w:val="20"/>
              </w:rPr>
              <w:t xml:space="preserve">Patients with chronic HBV infection, </w:t>
            </w:r>
            <w:r w:rsidR="00FE4271">
              <w:rPr>
                <w:rFonts w:ascii="Arial Narrow" w:hAnsi="Arial Narrow"/>
                <w:b/>
                <w:sz w:val="20"/>
              </w:rPr>
              <w:t>HBeAg</w:t>
            </w:r>
            <w:r w:rsidRPr="00002A62">
              <w:rPr>
                <w:rFonts w:ascii="Arial Narrow" w:hAnsi="Arial Narrow"/>
                <w:b/>
                <w:sz w:val="20"/>
              </w:rPr>
              <w:t xml:space="preserve"> positive (</w:t>
            </w:r>
            <w:r w:rsidR="00ED54C1" w:rsidRPr="00002A62">
              <w:rPr>
                <w:rFonts w:ascii="Arial Narrow" w:hAnsi="Arial Narrow"/>
                <w:b/>
                <w:sz w:val="20"/>
              </w:rPr>
              <w:t>S</w:t>
            </w:r>
            <w:r w:rsidRPr="00002A62">
              <w:rPr>
                <w:rFonts w:ascii="Arial Narrow" w:hAnsi="Arial Narrow"/>
                <w:b/>
                <w:sz w:val="20"/>
              </w:rPr>
              <w:t>tudy 110)</w:t>
            </w:r>
          </w:p>
        </w:tc>
      </w:tr>
      <w:tr w:rsidR="009A70AF" w:rsidRPr="00002A62" w:rsidTr="009A70AF">
        <w:tc>
          <w:tcPr>
            <w:tcW w:w="451" w:type="pct"/>
            <w:tcBorders>
              <w:top w:val="single" w:sz="4" w:space="0" w:color="auto"/>
              <w:left w:val="single" w:sz="4" w:space="0" w:color="auto"/>
              <w:bottom w:val="single" w:sz="4" w:space="0" w:color="auto"/>
              <w:right w:val="single" w:sz="4" w:space="0" w:color="auto"/>
            </w:tcBorders>
            <w:vAlign w:val="center"/>
            <w:hideMark/>
          </w:tcPr>
          <w:p w:rsidR="009A70AF" w:rsidRPr="00002A62" w:rsidRDefault="009A70AF">
            <w:pPr>
              <w:jc w:val="left"/>
              <w:rPr>
                <w:rFonts w:ascii="Arial Narrow" w:hAnsi="Arial Narrow"/>
                <w:sz w:val="20"/>
              </w:rPr>
            </w:pPr>
            <w:r w:rsidRPr="00002A62">
              <w:rPr>
                <w:rFonts w:ascii="Arial Narrow" w:hAnsi="Arial Narrow"/>
                <w:sz w:val="20"/>
              </w:rPr>
              <w:t>Week 48</w:t>
            </w:r>
          </w:p>
        </w:tc>
        <w:tc>
          <w:tcPr>
            <w:tcW w:w="1446" w:type="pct"/>
            <w:tcBorders>
              <w:top w:val="single" w:sz="4" w:space="0" w:color="auto"/>
              <w:left w:val="single" w:sz="4" w:space="0" w:color="auto"/>
              <w:bottom w:val="single" w:sz="4" w:space="0" w:color="auto"/>
              <w:right w:val="single" w:sz="4" w:space="0" w:color="auto"/>
            </w:tcBorders>
            <w:vAlign w:val="center"/>
            <w:hideMark/>
          </w:tcPr>
          <w:p w:rsidR="009A70AF" w:rsidRPr="00002A62" w:rsidRDefault="009A70AF">
            <w:pPr>
              <w:jc w:val="center"/>
              <w:rPr>
                <w:rFonts w:ascii="Arial Narrow" w:hAnsi="Arial Narrow"/>
                <w:sz w:val="20"/>
              </w:rPr>
            </w:pPr>
            <w:r w:rsidRPr="00002A62">
              <w:rPr>
                <w:rFonts w:ascii="Arial Narrow" w:hAnsi="Arial Narrow"/>
                <w:sz w:val="20"/>
              </w:rPr>
              <w:t>371/581 (63.9) [59.8, 67.8]</w:t>
            </w:r>
          </w:p>
        </w:tc>
        <w:tc>
          <w:tcPr>
            <w:tcW w:w="1638" w:type="pct"/>
            <w:tcBorders>
              <w:top w:val="single" w:sz="4" w:space="0" w:color="auto"/>
              <w:left w:val="single" w:sz="4" w:space="0" w:color="auto"/>
              <w:bottom w:val="single" w:sz="4" w:space="0" w:color="auto"/>
              <w:right w:val="single" w:sz="4" w:space="0" w:color="auto"/>
            </w:tcBorders>
            <w:vAlign w:val="center"/>
            <w:hideMark/>
          </w:tcPr>
          <w:p w:rsidR="009A70AF" w:rsidRPr="00002A62" w:rsidRDefault="009A70AF">
            <w:pPr>
              <w:jc w:val="center"/>
              <w:rPr>
                <w:rFonts w:ascii="Arial Narrow" w:hAnsi="Arial Narrow"/>
                <w:sz w:val="20"/>
              </w:rPr>
            </w:pPr>
            <w:r w:rsidRPr="00002A62">
              <w:rPr>
                <w:rFonts w:ascii="Arial Narrow" w:hAnsi="Arial Narrow"/>
                <w:sz w:val="20"/>
              </w:rPr>
              <w:t>195/292 (66.8) [61.1, 72.2]</w:t>
            </w:r>
          </w:p>
        </w:tc>
        <w:tc>
          <w:tcPr>
            <w:tcW w:w="1466" w:type="pct"/>
            <w:tcBorders>
              <w:top w:val="single" w:sz="4" w:space="0" w:color="auto"/>
              <w:left w:val="single" w:sz="4" w:space="0" w:color="auto"/>
              <w:bottom w:val="single" w:sz="4" w:space="0" w:color="auto"/>
              <w:right w:val="single" w:sz="4" w:space="0" w:color="auto"/>
            </w:tcBorders>
            <w:vAlign w:val="center"/>
            <w:hideMark/>
          </w:tcPr>
          <w:p w:rsidR="009A70AF" w:rsidRPr="00002A62" w:rsidRDefault="009A70AF">
            <w:pPr>
              <w:jc w:val="center"/>
              <w:rPr>
                <w:rFonts w:ascii="Arial Narrow" w:hAnsi="Arial Narrow"/>
                <w:sz w:val="20"/>
              </w:rPr>
            </w:pPr>
            <w:r w:rsidRPr="00002A62">
              <w:rPr>
                <w:rFonts w:ascii="Arial Narrow" w:hAnsi="Arial Narrow"/>
                <w:sz w:val="20"/>
              </w:rPr>
              <w:t>-3.6 (-9.8%, 2.6%)</w:t>
            </w:r>
          </w:p>
        </w:tc>
      </w:tr>
      <w:tr w:rsidR="009A70AF" w:rsidRPr="00002A62" w:rsidTr="009A70AF">
        <w:tc>
          <w:tcPr>
            <w:tcW w:w="451" w:type="pct"/>
            <w:tcBorders>
              <w:top w:val="single" w:sz="4" w:space="0" w:color="auto"/>
              <w:left w:val="single" w:sz="4" w:space="0" w:color="auto"/>
              <w:bottom w:val="single" w:sz="4" w:space="0" w:color="auto"/>
              <w:right w:val="single" w:sz="4" w:space="0" w:color="auto"/>
            </w:tcBorders>
            <w:vAlign w:val="center"/>
            <w:hideMark/>
          </w:tcPr>
          <w:p w:rsidR="009A70AF" w:rsidRPr="00002A62" w:rsidRDefault="009A70AF">
            <w:pPr>
              <w:jc w:val="left"/>
              <w:rPr>
                <w:rFonts w:ascii="Arial Narrow" w:hAnsi="Arial Narrow"/>
                <w:sz w:val="20"/>
              </w:rPr>
            </w:pPr>
            <w:r w:rsidRPr="00002A62">
              <w:rPr>
                <w:rFonts w:ascii="Arial Narrow" w:hAnsi="Arial Narrow"/>
                <w:sz w:val="20"/>
              </w:rPr>
              <w:t>Week 72</w:t>
            </w:r>
          </w:p>
        </w:tc>
        <w:tc>
          <w:tcPr>
            <w:tcW w:w="1446" w:type="pct"/>
            <w:tcBorders>
              <w:top w:val="single" w:sz="4" w:space="0" w:color="auto"/>
              <w:left w:val="single" w:sz="4" w:space="0" w:color="auto"/>
              <w:bottom w:val="single" w:sz="4" w:space="0" w:color="auto"/>
              <w:right w:val="single" w:sz="4" w:space="0" w:color="auto"/>
            </w:tcBorders>
            <w:vAlign w:val="center"/>
            <w:hideMark/>
          </w:tcPr>
          <w:p w:rsidR="009A70AF" w:rsidRPr="00002A62" w:rsidRDefault="009A70AF">
            <w:pPr>
              <w:jc w:val="center"/>
              <w:rPr>
                <w:rFonts w:ascii="Arial Narrow" w:hAnsi="Arial Narrow"/>
                <w:sz w:val="20"/>
              </w:rPr>
            </w:pPr>
            <w:r w:rsidRPr="00002A62">
              <w:rPr>
                <w:rFonts w:ascii="Arial Narrow" w:hAnsi="Arial Narrow"/>
                <w:sz w:val="20"/>
              </w:rPr>
              <w:t>121/155 (78.1) [70.7, 84.3]</w:t>
            </w:r>
          </w:p>
        </w:tc>
        <w:tc>
          <w:tcPr>
            <w:tcW w:w="1638" w:type="pct"/>
            <w:tcBorders>
              <w:top w:val="single" w:sz="4" w:space="0" w:color="auto"/>
              <w:left w:val="single" w:sz="4" w:space="0" w:color="auto"/>
              <w:bottom w:val="single" w:sz="4" w:space="0" w:color="auto"/>
              <w:right w:val="single" w:sz="4" w:space="0" w:color="auto"/>
            </w:tcBorders>
            <w:vAlign w:val="center"/>
            <w:hideMark/>
          </w:tcPr>
          <w:p w:rsidR="009A70AF" w:rsidRPr="00002A62" w:rsidRDefault="009A70AF">
            <w:pPr>
              <w:jc w:val="center"/>
              <w:rPr>
                <w:rFonts w:ascii="Arial Narrow" w:hAnsi="Arial Narrow"/>
                <w:sz w:val="20"/>
              </w:rPr>
            </w:pPr>
            <w:r w:rsidRPr="00002A62">
              <w:rPr>
                <w:rFonts w:ascii="Arial Narrow" w:hAnsi="Arial Narrow"/>
                <w:sz w:val="20"/>
              </w:rPr>
              <w:t>53/73 (72.6) [60.9, 82.4]</w:t>
            </w:r>
          </w:p>
        </w:tc>
        <w:tc>
          <w:tcPr>
            <w:tcW w:w="1466" w:type="pct"/>
            <w:tcBorders>
              <w:top w:val="single" w:sz="4" w:space="0" w:color="auto"/>
              <w:left w:val="single" w:sz="4" w:space="0" w:color="auto"/>
              <w:bottom w:val="single" w:sz="4" w:space="0" w:color="auto"/>
              <w:right w:val="single" w:sz="4" w:space="0" w:color="auto"/>
            </w:tcBorders>
            <w:vAlign w:val="center"/>
            <w:hideMark/>
          </w:tcPr>
          <w:p w:rsidR="009A70AF" w:rsidRPr="00002A62" w:rsidRDefault="009A70AF">
            <w:pPr>
              <w:jc w:val="center"/>
              <w:rPr>
                <w:rFonts w:ascii="Arial Narrow" w:hAnsi="Arial Narrow"/>
                <w:sz w:val="20"/>
              </w:rPr>
            </w:pPr>
            <w:r w:rsidRPr="00002A62">
              <w:rPr>
                <w:rFonts w:ascii="Arial Narrow" w:hAnsi="Arial Narrow"/>
                <w:sz w:val="20"/>
              </w:rPr>
              <w:t>NR</w:t>
            </w:r>
          </w:p>
        </w:tc>
      </w:tr>
    </w:tbl>
    <w:p w:rsidR="009A70AF" w:rsidRPr="00002A62" w:rsidRDefault="009A70AF" w:rsidP="009A70AF">
      <w:pPr>
        <w:pStyle w:val="TableFooter"/>
        <w:ind w:left="720"/>
        <w:rPr>
          <w:rFonts w:cstheme="minorBidi"/>
          <w:sz w:val="16"/>
        </w:rPr>
      </w:pPr>
      <w:r w:rsidRPr="00002A62">
        <w:rPr>
          <w:rFonts w:cstheme="minorBidi"/>
        </w:rPr>
        <w:t xml:space="preserve">Abbreviation: TAF = tenofovir alafenamide, TDF = tenofovir disoproxil fumarate, HBV = hepatitis B virus, </w:t>
      </w:r>
      <w:r w:rsidR="00FE4271">
        <w:rPr>
          <w:rFonts w:cstheme="minorBidi"/>
        </w:rPr>
        <w:t>HBeAg</w:t>
      </w:r>
      <w:r w:rsidRPr="00002A62">
        <w:rPr>
          <w:rFonts w:cstheme="minorBidi"/>
        </w:rPr>
        <w:t xml:space="preserve"> = hepatitis B envelope antigen, NR = Not reported</w:t>
      </w:r>
    </w:p>
    <w:p w:rsidR="009A70AF" w:rsidRPr="00002A62" w:rsidRDefault="009A70AF" w:rsidP="009A70AF">
      <w:pPr>
        <w:pStyle w:val="TableFooter"/>
        <w:ind w:firstLine="720"/>
        <w:rPr>
          <w:rFonts w:cstheme="minorBidi"/>
        </w:rPr>
      </w:pPr>
      <w:r w:rsidRPr="00002A62">
        <w:rPr>
          <w:rFonts w:cstheme="minorBidi"/>
        </w:rPr>
        <w:t>Analysed in ITT population with missing = failure algorithm.</w:t>
      </w:r>
    </w:p>
    <w:p w:rsidR="009A70AF" w:rsidRPr="00002A62" w:rsidRDefault="009A70AF" w:rsidP="009A70AF">
      <w:pPr>
        <w:pStyle w:val="TableFooter"/>
        <w:ind w:left="720"/>
        <w:rPr>
          <w:rFonts w:cstheme="minorBidi"/>
        </w:rPr>
      </w:pPr>
      <w:r w:rsidRPr="00002A62">
        <w:rPr>
          <w:rFonts w:cstheme="minorBidi"/>
          <w:vertAlign w:val="superscript"/>
        </w:rPr>
        <w:t>1</w:t>
      </w:r>
      <w:r w:rsidRPr="00002A62">
        <w:rPr>
          <w:rFonts w:cstheme="minorBidi"/>
        </w:rPr>
        <w:t>Difference in the proportion between treatment groups and its 95% CI were calculated based on the Mantel-Haenszel proportions adjusted by baseline HBV DNA categories and OAV treatment status strata.</w:t>
      </w:r>
    </w:p>
    <w:p w:rsidR="009A70AF" w:rsidRPr="00002A62" w:rsidRDefault="009A70AF" w:rsidP="009A70AF">
      <w:pPr>
        <w:pStyle w:val="TableFooter"/>
        <w:ind w:left="720"/>
        <w:rPr>
          <w:rFonts w:cstheme="minorBidi"/>
        </w:rPr>
      </w:pPr>
      <w:r w:rsidRPr="00002A62">
        <w:rPr>
          <w:rFonts w:cstheme="minorBidi"/>
        </w:rPr>
        <w:t xml:space="preserve">Source: Table B-13, p81 of the submission, Table B-14, p83 of the submission, Table 14.2, p227 study 108 CSR and Table 14.2, p257 study 110 CSR </w:t>
      </w:r>
    </w:p>
    <w:p w:rsidR="009A70AF" w:rsidRPr="00002A62" w:rsidRDefault="009A70AF" w:rsidP="009A70AF">
      <w:pPr>
        <w:pStyle w:val="TableFooter"/>
        <w:ind w:left="720"/>
        <w:rPr>
          <w:rFonts w:asciiTheme="minorBidi" w:hAnsiTheme="minorBidi" w:cstheme="minorBidi"/>
          <w:sz w:val="20"/>
        </w:rPr>
      </w:pPr>
    </w:p>
    <w:p w:rsidR="00951BB0" w:rsidRPr="00002A62" w:rsidRDefault="006602ED" w:rsidP="00052A7D">
      <w:pPr>
        <w:pStyle w:val="ListParagraph"/>
        <w:widowControl/>
        <w:numPr>
          <w:ilvl w:val="1"/>
          <w:numId w:val="15"/>
        </w:numPr>
        <w:snapToGrid w:val="0"/>
        <w:rPr>
          <w:szCs w:val="22"/>
        </w:rPr>
      </w:pPr>
      <w:r w:rsidRPr="00002A62">
        <w:rPr>
          <w:szCs w:val="22"/>
        </w:rPr>
        <w:t xml:space="preserve">There were no statistically significant differences between TAF and TDF in </w:t>
      </w:r>
      <w:r w:rsidR="004C3AD1" w:rsidRPr="00002A62">
        <w:rPr>
          <w:szCs w:val="22"/>
        </w:rPr>
        <w:t xml:space="preserve">the </w:t>
      </w:r>
      <w:r w:rsidRPr="00002A62">
        <w:rPr>
          <w:szCs w:val="22"/>
        </w:rPr>
        <w:t>proportions of patients who attained HBV DNA&lt;29IU/mL in Study 108 or 110</w:t>
      </w:r>
      <w:r w:rsidR="007A7C06" w:rsidRPr="00002A62">
        <w:rPr>
          <w:szCs w:val="22"/>
        </w:rPr>
        <w:t xml:space="preserve"> at Week 48</w:t>
      </w:r>
      <w:r w:rsidR="00716ED0" w:rsidRPr="00002A62">
        <w:rPr>
          <w:szCs w:val="22"/>
        </w:rPr>
        <w:t xml:space="preserve">. </w:t>
      </w:r>
      <w:r w:rsidR="007C13EC" w:rsidRPr="00002A62">
        <w:rPr>
          <w:szCs w:val="22"/>
        </w:rPr>
        <w:t>For this outcome, t</w:t>
      </w:r>
      <w:r w:rsidR="00951BB0" w:rsidRPr="00002A62">
        <w:rPr>
          <w:szCs w:val="22"/>
        </w:rPr>
        <w:t xml:space="preserve">he submission </w:t>
      </w:r>
      <w:r w:rsidR="00311D5C" w:rsidRPr="00002A62">
        <w:rPr>
          <w:szCs w:val="22"/>
        </w:rPr>
        <w:t xml:space="preserve">had </w:t>
      </w:r>
      <w:r w:rsidR="00951BB0" w:rsidRPr="00002A62">
        <w:rPr>
          <w:szCs w:val="22"/>
        </w:rPr>
        <w:t>nominated a non-inferiority margin of 10%</w:t>
      </w:r>
      <w:r w:rsidR="00716ED0" w:rsidRPr="00002A62">
        <w:rPr>
          <w:szCs w:val="22"/>
        </w:rPr>
        <w:t xml:space="preserve">. </w:t>
      </w:r>
      <w:r w:rsidR="007A7C06" w:rsidRPr="00002A62">
        <w:rPr>
          <w:szCs w:val="22"/>
        </w:rPr>
        <w:t xml:space="preserve">As </w:t>
      </w:r>
      <w:r w:rsidR="00052A7D" w:rsidRPr="00002A62">
        <w:rPr>
          <w:szCs w:val="22"/>
        </w:rPr>
        <w:t>the lower 95%</w:t>
      </w:r>
      <w:r w:rsidR="006A08E4" w:rsidRPr="00002A62">
        <w:rPr>
          <w:szCs w:val="22"/>
        </w:rPr>
        <w:t xml:space="preserve"> </w:t>
      </w:r>
      <w:r w:rsidR="00052A7D" w:rsidRPr="00002A62">
        <w:rPr>
          <w:szCs w:val="22"/>
        </w:rPr>
        <w:t>CI</w:t>
      </w:r>
      <w:r w:rsidR="007A7C06" w:rsidRPr="00002A62">
        <w:rPr>
          <w:szCs w:val="22"/>
        </w:rPr>
        <w:t>s</w:t>
      </w:r>
      <w:r w:rsidR="00052A7D" w:rsidRPr="00002A62">
        <w:rPr>
          <w:szCs w:val="22"/>
        </w:rPr>
        <w:t xml:space="preserve"> </w:t>
      </w:r>
      <w:r w:rsidR="00311D5C" w:rsidRPr="00002A62">
        <w:rPr>
          <w:szCs w:val="22"/>
        </w:rPr>
        <w:t xml:space="preserve">did not </w:t>
      </w:r>
      <w:r w:rsidR="00052A7D" w:rsidRPr="00002A62">
        <w:rPr>
          <w:szCs w:val="22"/>
        </w:rPr>
        <w:t xml:space="preserve">exceed -10%, the submission claimed the results </w:t>
      </w:r>
      <w:r w:rsidR="00311D5C" w:rsidRPr="00002A62">
        <w:rPr>
          <w:szCs w:val="22"/>
        </w:rPr>
        <w:t xml:space="preserve">supported </w:t>
      </w:r>
      <w:r w:rsidR="00052A7D" w:rsidRPr="00002A62">
        <w:rPr>
          <w:szCs w:val="22"/>
        </w:rPr>
        <w:t xml:space="preserve">that TAF </w:t>
      </w:r>
      <w:r w:rsidR="00311D5C" w:rsidRPr="00002A62">
        <w:rPr>
          <w:szCs w:val="22"/>
        </w:rPr>
        <w:t>is</w:t>
      </w:r>
      <w:r w:rsidR="007A7C06" w:rsidRPr="00002A62">
        <w:rPr>
          <w:szCs w:val="22"/>
        </w:rPr>
        <w:t xml:space="preserve"> </w:t>
      </w:r>
      <w:r w:rsidR="004C3AD1" w:rsidRPr="00002A62">
        <w:rPr>
          <w:szCs w:val="22"/>
        </w:rPr>
        <w:t>non</w:t>
      </w:r>
      <w:r w:rsidR="004C3AD1" w:rsidRPr="00002A62">
        <w:rPr>
          <w:szCs w:val="22"/>
        </w:rPr>
        <w:noBreakHyphen/>
      </w:r>
      <w:r w:rsidR="00052A7D" w:rsidRPr="00002A62">
        <w:rPr>
          <w:szCs w:val="22"/>
        </w:rPr>
        <w:t xml:space="preserve">inferior to TDF. </w:t>
      </w:r>
      <w:r w:rsidR="00951BB0" w:rsidRPr="00002A62">
        <w:rPr>
          <w:iCs/>
          <w:szCs w:val="22"/>
        </w:rPr>
        <w:t>The PBAC previously accepted a 10</w:t>
      </w:r>
      <w:r w:rsidR="005F1DCC" w:rsidRPr="00002A62">
        <w:rPr>
          <w:iCs/>
          <w:szCs w:val="22"/>
        </w:rPr>
        <w:noBreakHyphen/>
      </w:r>
      <w:r w:rsidR="00951BB0" w:rsidRPr="00002A62">
        <w:rPr>
          <w:iCs/>
          <w:szCs w:val="22"/>
        </w:rPr>
        <w:t>15% non-inferiority margin for a similar</w:t>
      </w:r>
      <w:r w:rsidR="003334A1" w:rsidRPr="00002A62">
        <w:rPr>
          <w:iCs/>
          <w:szCs w:val="22"/>
        </w:rPr>
        <w:t>,</w:t>
      </w:r>
      <w:r w:rsidR="00951BB0" w:rsidRPr="00002A62">
        <w:rPr>
          <w:iCs/>
          <w:szCs w:val="22"/>
        </w:rPr>
        <w:t xml:space="preserve"> but not identical</w:t>
      </w:r>
      <w:r w:rsidR="003334A1" w:rsidRPr="00002A62">
        <w:rPr>
          <w:iCs/>
          <w:szCs w:val="22"/>
        </w:rPr>
        <w:t>,</w:t>
      </w:r>
      <w:r w:rsidR="00951BB0" w:rsidRPr="00002A62">
        <w:rPr>
          <w:iCs/>
          <w:szCs w:val="22"/>
        </w:rPr>
        <w:t xml:space="preserve"> outcome of </w:t>
      </w:r>
      <w:r w:rsidR="003334A1" w:rsidRPr="00002A62">
        <w:rPr>
          <w:iCs/>
          <w:szCs w:val="22"/>
        </w:rPr>
        <w:t xml:space="preserve">the </w:t>
      </w:r>
      <w:r w:rsidR="00951BB0" w:rsidRPr="00002A62">
        <w:rPr>
          <w:iCs/>
          <w:szCs w:val="22"/>
        </w:rPr>
        <w:t>proportion of patients with HBV DNA &lt;300 copies/mL in CHB infections (</w:t>
      </w:r>
      <w:r w:rsidR="003F3F1C" w:rsidRPr="00002A62">
        <w:rPr>
          <w:iCs/>
          <w:szCs w:val="22"/>
        </w:rPr>
        <w:t>TDF</w:t>
      </w:r>
      <w:r w:rsidR="00D8426F" w:rsidRPr="00002A62">
        <w:rPr>
          <w:iCs/>
          <w:szCs w:val="22"/>
        </w:rPr>
        <w:t xml:space="preserve"> </w:t>
      </w:r>
      <w:r w:rsidR="001C79BD" w:rsidRPr="00002A62">
        <w:rPr>
          <w:iCs/>
          <w:szCs w:val="22"/>
        </w:rPr>
        <w:t>Public Summary Document (PSD)</w:t>
      </w:r>
      <w:r w:rsidR="00D8426F" w:rsidRPr="00002A62">
        <w:rPr>
          <w:iCs/>
          <w:szCs w:val="22"/>
        </w:rPr>
        <w:t>, July 2009</w:t>
      </w:r>
      <w:r w:rsidR="00951BB0" w:rsidRPr="00002A62">
        <w:rPr>
          <w:iCs/>
          <w:szCs w:val="22"/>
        </w:rPr>
        <w:t>)</w:t>
      </w:r>
      <w:r w:rsidR="00716ED0" w:rsidRPr="00002A62">
        <w:rPr>
          <w:iCs/>
          <w:szCs w:val="22"/>
        </w:rPr>
        <w:t xml:space="preserve">. </w:t>
      </w:r>
      <w:r w:rsidR="00052A7D" w:rsidRPr="00002A62">
        <w:rPr>
          <w:iCs/>
          <w:szCs w:val="22"/>
        </w:rPr>
        <w:t xml:space="preserve">In that consideration, the PBAC accepted </w:t>
      </w:r>
      <w:r w:rsidR="007C13EC" w:rsidRPr="00002A62">
        <w:rPr>
          <w:iCs/>
          <w:szCs w:val="22"/>
        </w:rPr>
        <w:t xml:space="preserve">the </w:t>
      </w:r>
      <w:r w:rsidR="00052A7D" w:rsidRPr="00002A62">
        <w:rPr>
          <w:iCs/>
          <w:szCs w:val="22"/>
        </w:rPr>
        <w:t>claim that TDF 300</w:t>
      </w:r>
      <w:r w:rsidR="00F1578A" w:rsidRPr="00002A62">
        <w:rPr>
          <w:iCs/>
          <w:szCs w:val="22"/>
        </w:rPr>
        <w:t xml:space="preserve"> mg</w:t>
      </w:r>
      <w:r w:rsidR="00052A7D" w:rsidRPr="00002A62">
        <w:rPr>
          <w:iCs/>
          <w:szCs w:val="22"/>
        </w:rPr>
        <w:t xml:space="preserve"> was no worse than entecavir 0.5</w:t>
      </w:r>
      <w:r w:rsidR="00F1578A" w:rsidRPr="00002A62">
        <w:rPr>
          <w:iCs/>
          <w:szCs w:val="22"/>
        </w:rPr>
        <w:t xml:space="preserve"> mg</w:t>
      </w:r>
      <w:r w:rsidR="00052A7D" w:rsidRPr="00002A62">
        <w:rPr>
          <w:iCs/>
          <w:szCs w:val="22"/>
        </w:rPr>
        <w:t xml:space="preserve"> for treatment naïve patients and no worse than adefovir 10 mg for treatment experienced patients</w:t>
      </w:r>
      <w:r w:rsidR="007A7C06" w:rsidRPr="00002A62">
        <w:rPr>
          <w:iCs/>
          <w:szCs w:val="22"/>
        </w:rPr>
        <w:t xml:space="preserve"> (</w:t>
      </w:r>
      <w:r w:rsidR="003F3F1C" w:rsidRPr="00002A62">
        <w:rPr>
          <w:iCs/>
          <w:szCs w:val="22"/>
        </w:rPr>
        <w:t>TDF</w:t>
      </w:r>
      <w:r w:rsidR="00FE4583" w:rsidRPr="00002A62">
        <w:rPr>
          <w:iCs/>
          <w:szCs w:val="22"/>
        </w:rPr>
        <w:t xml:space="preserve"> PSD, </w:t>
      </w:r>
      <w:r w:rsidR="00954029" w:rsidRPr="00002A62">
        <w:rPr>
          <w:iCs/>
          <w:szCs w:val="22"/>
        </w:rPr>
        <w:t xml:space="preserve">July </w:t>
      </w:r>
      <w:r w:rsidR="007A7C06" w:rsidRPr="00002A62">
        <w:rPr>
          <w:iCs/>
          <w:szCs w:val="22"/>
        </w:rPr>
        <w:t>2009, p7).</w:t>
      </w:r>
      <w:r w:rsidR="003B45D1" w:rsidRPr="00002A62">
        <w:rPr>
          <w:iCs/>
          <w:szCs w:val="22"/>
        </w:rPr>
        <w:t xml:space="preserve"> The ESC </w:t>
      </w:r>
      <w:r w:rsidR="008D5DD6" w:rsidRPr="00002A62">
        <w:rPr>
          <w:iCs/>
          <w:szCs w:val="22"/>
        </w:rPr>
        <w:t>considered</w:t>
      </w:r>
      <w:r w:rsidR="005F1DCC" w:rsidRPr="00002A62">
        <w:rPr>
          <w:iCs/>
          <w:szCs w:val="22"/>
        </w:rPr>
        <w:t xml:space="preserve"> </w:t>
      </w:r>
      <w:r w:rsidR="008D5DD6" w:rsidRPr="00002A62">
        <w:rPr>
          <w:iCs/>
          <w:szCs w:val="22"/>
        </w:rPr>
        <w:t xml:space="preserve">the </w:t>
      </w:r>
      <w:r w:rsidR="005F1DCC" w:rsidRPr="00002A62">
        <w:rPr>
          <w:iCs/>
          <w:szCs w:val="22"/>
        </w:rPr>
        <w:t>nominated non-</w:t>
      </w:r>
      <w:r w:rsidR="008D5DD6" w:rsidRPr="00002A62">
        <w:rPr>
          <w:iCs/>
          <w:szCs w:val="22"/>
        </w:rPr>
        <w:t>inferiority margins to be appropriate</w:t>
      </w:r>
      <w:r w:rsidR="005F1DCC" w:rsidRPr="00002A62">
        <w:rPr>
          <w:iCs/>
          <w:szCs w:val="22"/>
        </w:rPr>
        <w:t xml:space="preserve"> and that on the basis of </w:t>
      </w:r>
      <w:r w:rsidR="00F7414B" w:rsidRPr="00002A62">
        <w:rPr>
          <w:iCs/>
          <w:szCs w:val="22"/>
        </w:rPr>
        <w:t xml:space="preserve">the </w:t>
      </w:r>
      <w:r w:rsidR="005F1DCC" w:rsidRPr="00002A62">
        <w:rPr>
          <w:iCs/>
          <w:szCs w:val="22"/>
        </w:rPr>
        <w:t xml:space="preserve">trial evidence </w:t>
      </w:r>
      <w:r w:rsidR="00F7414B" w:rsidRPr="00002A62">
        <w:rPr>
          <w:iCs/>
          <w:szCs w:val="22"/>
        </w:rPr>
        <w:t xml:space="preserve">presented, </w:t>
      </w:r>
      <w:r w:rsidR="005F1DCC" w:rsidRPr="00002A62">
        <w:rPr>
          <w:iCs/>
          <w:szCs w:val="22"/>
        </w:rPr>
        <w:t>TAF appeared to be non-inferior to TDF</w:t>
      </w:r>
      <w:r w:rsidR="008D5DD6" w:rsidRPr="00002A62">
        <w:rPr>
          <w:iCs/>
          <w:szCs w:val="22"/>
        </w:rPr>
        <w:t>.</w:t>
      </w:r>
      <w:r w:rsidR="00553399" w:rsidRPr="00002A62">
        <w:rPr>
          <w:iCs/>
          <w:szCs w:val="22"/>
        </w:rPr>
        <w:t xml:space="preserve"> </w:t>
      </w:r>
      <w:r w:rsidR="004B0611" w:rsidRPr="00002A62">
        <w:rPr>
          <w:iCs/>
          <w:szCs w:val="22"/>
        </w:rPr>
        <w:t>The PBAC agreed with the ESC that the nominated non</w:t>
      </w:r>
      <w:r w:rsidR="004B0611" w:rsidRPr="00002A62">
        <w:rPr>
          <w:iCs/>
          <w:szCs w:val="22"/>
        </w:rPr>
        <w:noBreakHyphen/>
        <w:t xml:space="preserve">inferiority margin was appropriate, and noted that although the confidence interval for </w:t>
      </w:r>
      <w:r w:rsidR="00FE4271">
        <w:rPr>
          <w:iCs/>
          <w:szCs w:val="22"/>
        </w:rPr>
        <w:t>HBeAg</w:t>
      </w:r>
      <w:r w:rsidR="004B0611" w:rsidRPr="00002A62">
        <w:rPr>
          <w:iCs/>
          <w:szCs w:val="22"/>
        </w:rPr>
        <w:t xml:space="preserve"> positive patients was very close to th</w:t>
      </w:r>
      <w:r w:rsidR="003F3F1C" w:rsidRPr="00002A62">
        <w:rPr>
          <w:iCs/>
          <w:szCs w:val="22"/>
        </w:rPr>
        <w:t>e 10%</w:t>
      </w:r>
      <w:r w:rsidR="004B0611" w:rsidRPr="00002A62">
        <w:rPr>
          <w:iCs/>
          <w:szCs w:val="22"/>
        </w:rPr>
        <w:t xml:space="preserve"> limit, the data supported the claim that TAF was non-inferior to TDF.</w:t>
      </w:r>
    </w:p>
    <w:p w:rsidR="007A7C06" w:rsidRPr="00002A62" w:rsidRDefault="007A7C06" w:rsidP="007A7C06">
      <w:pPr>
        <w:widowControl/>
        <w:snapToGrid w:val="0"/>
        <w:rPr>
          <w:szCs w:val="22"/>
        </w:rPr>
      </w:pPr>
    </w:p>
    <w:p w:rsidR="009A70AF" w:rsidRPr="00002A62" w:rsidRDefault="00052A7D" w:rsidP="00903864">
      <w:pPr>
        <w:pStyle w:val="ListParagraph"/>
        <w:widowControl/>
        <w:numPr>
          <w:ilvl w:val="1"/>
          <w:numId w:val="15"/>
        </w:numPr>
        <w:snapToGrid w:val="0"/>
        <w:rPr>
          <w:szCs w:val="22"/>
        </w:rPr>
      </w:pPr>
      <w:r w:rsidRPr="00002A62">
        <w:rPr>
          <w:szCs w:val="22"/>
        </w:rPr>
        <w:t>T</w:t>
      </w:r>
      <w:r w:rsidR="00951BB0" w:rsidRPr="00002A62">
        <w:rPr>
          <w:szCs w:val="22"/>
        </w:rPr>
        <w:t>here was no evidence of virological resistance to either TDF of TAF from th</w:t>
      </w:r>
      <w:r w:rsidR="007A7C06" w:rsidRPr="00002A62">
        <w:rPr>
          <w:szCs w:val="22"/>
        </w:rPr>
        <w:t>e trials, however the trials was</w:t>
      </w:r>
      <w:r w:rsidR="00951BB0" w:rsidRPr="00002A62">
        <w:rPr>
          <w:szCs w:val="22"/>
        </w:rPr>
        <w:t xml:space="preserve"> limited </w:t>
      </w:r>
      <w:r w:rsidR="007A7C06" w:rsidRPr="00002A62">
        <w:rPr>
          <w:szCs w:val="22"/>
        </w:rPr>
        <w:t xml:space="preserve">to a maximum of 144 weeks of </w:t>
      </w:r>
      <w:r w:rsidR="00951BB0" w:rsidRPr="00002A62">
        <w:rPr>
          <w:szCs w:val="22"/>
        </w:rPr>
        <w:t>follow up</w:t>
      </w:r>
      <w:r w:rsidR="007A7C06" w:rsidRPr="00002A62">
        <w:rPr>
          <w:szCs w:val="22"/>
        </w:rPr>
        <w:t xml:space="preserve"> whereas the treatments are intended to be </w:t>
      </w:r>
      <w:r w:rsidR="00F769B5" w:rsidRPr="00002A62">
        <w:rPr>
          <w:szCs w:val="22"/>
        </w:rPr>
        <w:t>lifelong</w:t>
      </w:r>
      <w:r w:rsidR="00951BB0" w:rsidRPr="00002A62">
        <w:rPr>
          <w:szCs w:val="22"/>
        </w:rPr>
        <w:t>.</w:t>
      </w:r>
    </w:p>
    <w:p w:rsidR="00E604FE" w:rsidRPr="00002A62" w:rsidRDefault="00E604FE" w:rsidP="009A70AF">
      <w:pPr>
        <w:rPr>
          <w:szCs w:val="22"/>
        </w:rPr>
      </w:pPr>
    </w:p>
    <w:p w:rsidR="00B60939" w:rsidRPr="00002A62" w:rsidRDefault="00B60939" w:rsidP="002C2775">
      <w:pPr>
        <w:pStyle w:val="Heading2"/>
        <w:rPr>
          <w:i/>
        </w:rPr>
      </w:pPr>
      <w:bookmarkStart w:id="9" w:name="_Toc472330232"/>
      <w:r w:rsidRPr="00002A62">
        <w:rPr>
          <w:i/>
        </w:rPr>
        <w:t>Comparative harms</w:t>
      </w:r>
      <w:bookmarkEnd w:id="9"/>
    </w:p>
    <w:p w:rsidR="00B60939" w:rsidRPr="00002A62" w:rsidRDefault="00B60939" w:rsidP="00B60939">
      <w:pPr>
        <w:ind w:left="720" w:hanging="720"/>
        <w:rPr>
          <w:szCs w:val="22"/>
        </w:rPr>
      </w:pPr>
    </w:p>
    <w:p w:rsidR="00DE67D6" w:rsidRPr="00002A62" w:rsidRDefault="00DE67D6" w:rsidP="00DE67D6">
      <w:pPr>
        <w:pStyle w:val="ListParagraph"/>
        <w:widowControl/>
        <w:numPr>
          <w:ilvl w:val="1"/>
          <w:numId w:val="7"/>
        </w:numPr>
        <w:rPr>
          <w:szCs w:val="22"/>
        </w:rPr>
      </w:pPr>
      <w:r w:rsidRPr="00002A62">
        <w:rPr>
          <w:szCs w:val="22"/>
        </w:rPr>
        <w:t xml:space="preserve">The overall rate of adverse events was similar in both </w:t>
      </w:r>
      <w:r w:rsidR="007C13EC" w:rsidRPr="00002A62">
        <w:rPr>
          <w:szCs w:val="22"/>
        </w:rPr>
        <w:t xml:space="preserve">TAF and TDF treatment arms </w:t>
      </w:r>
      <w:r w:rsidR="007A7C06" w:rsidRPr="00002A62">
        <w:rPr>
          <w:szCs w:val="22"/>
        </w:rPr>
        <w:t xml:space="preserve">of </w:t>
      </w:r>
      <w:r w:rsidRPr="00002A62">
        <w:rPr>
          <w:szCs w:val="22"/>
        </w:rPr>
        <w:t>Study 108 and 110</w:t>
      </w:r>
      <w:r w:rsidR="00716ED0" w:rsidRPr="00002A62">
        <w:rPr>
          <w:szCs w:val="22"/>
        </w:rPr>
        <w:t xml:space="preserve">. </w:t>
      </w:r>
      <w:r w:rsidRPr="00002A62">
        <w:rPr>
          <w:szCs w:val="22"/>
        </w:rPr>
        <w:t xml:space="preserve">One death was reported in each </w:t>
      </w:r>
      <w:r w:rsidR="007C13EC" w:rsidRPr="00002A62">
        <w:rPr>
          <w:szCs w:val="22"/>
        </w:rPr>
        <w:t xml:space="preserve">trial </w:t>
      </w:r>
      <w:r w:rsidRPr="00002A62">
        <w:rPr>
          <w:szCs w:val="22"/>
        </w:rPr>
        <w:t xml:space="preserve">but neither </w:t>
      </w:r>
      <w:r w:rsidR="00716ED0" w:rsidRPr="00002A62">
        <w:rPr>
          <w:szCs w:val="22"/>
        </w:rPr>
        <w:t>was</w:t>
      </w:r>
      <w:r w:rsidRPr="00002A62">
        <w:rPr>
          <w:szCs w:val="22"/>
        </w:rPr>
        <w:t xml:space="preserve"> considered to be treatment emergent. </w:t>
      </w:r>
    </w:p>
    <w:p w:rsidR="00DE67D6" w:rsidRPr="00002A62" w:rsidRDefault="00DE67D6" w:rsidP="00DE67D6">
      <w:pPr>
        <w:pStyle w:val="ListParagraph"/>
        <w:widowControl/>
        <w:rPr>
          <w:szCs w:val="22"/>
        </w:rPr>
      </w:pPr>
    </w:p>
    <w:p w:rsidR="00DE67D6" w:rsidRPr="00002A62" w:rsidRDefault="00DE67D6" w:rsidP="00DE67D6">
      <w:pPr>
        <w:pStyle w:val="ListParagraph"/>
        <w:widowControl/>
        <w:numPr>
          <w:ilvl w:val="1"/>
          <w:numId w:val="7"/>
        </w:numPr>
        <w:rPr>
          <w:szCs w:val="22"/>
        </w:rPr>
      </w:pPr>
      <w:r w:rsidRPr="00002A62">
        <w:rPr>
          <w:szCs w:val="22"/>
        </w:rPr>
        <w:t xml:space="preserve">The submission presented detailed </w:t>
      </w:r>
      <w:r w:rsidR="00052A7D" w:rsidRPr="00002A62">
        <w:rPr>
          <w:szCs w:val="22"/>
        </w:rPr>
        <w:t>comparison</w:t>
      </w:r>
      <w:r w:rsidR="00311D5C" w:rsidRPr="00002A62">
        <w:rPr>
          <w:szCs w:val="22"/>
        </w:rPr>
        <w:t>s</w:t>
      </w:r>
      <w:r w:rsidR="00052A7D" w:rsidRPr="00002A62">
        <w:rPr>
          <w:szCs w:val="22"/>
        </w:rPr>
        <w:t xml:space="preserve"> of </w:t>
      </w:r>
      <w:r w:rsidRPr="00002A62">
        <w:rPr>
          <w:szCs w:val="22"/>
        </w:rPr>
        <w:t>bone and renal safety</w:t>
      </w:r>
      <w:r w:rsidR="001B6315" w:rsidRPr="00002A62">
        <w:rPr>
          <w:szCs w:val="22"/>
        </w:rPr>
        <w:t xml:space="preserve"> </w:t>
      </w:r>
      <w:r w:rsidR="00052A7D" w:rsidRPr="00002A62">
        <w:rPr>
          <w:szCs w:val="22"/>
        </w:rPr>
        <w:t xml:space="preserve">outcomes from </w:t>
      </w:r>
      <w:r w:rsidR="001B6315" w:rsidRPr="00002A62">
        <w:rPr>
          <w:szCs w:val="22"/>
        </w:rPr>
        <w:t>Study 108 and Study 110</w:t>
      </w:r>
      <w:r w:rsidR="00716ED0" w:rsidRPr="00002A62">
        <w:rPr>
          <w:szCs w:val="22"/>
        </w:rPr>
        <w:t xml:space="preserve">. </w:t>
      </w:r>
      <w:r w:rsidR="00052A7D" w:rsidRPr="00002A62">
        <w:rPr>
          <w:szCs w:val="22"/>
        </w:rPr>
        <w:t xml:space="preserve">The results of percentage change from baseline to Week 48 in Hip and Spine BMD are summarised in Table </w:t>
      </w:r>
      <w:r w:rsidR="00EC0F6E" w:rsidRPr="00002A62">
        <w:rPr>
          <w:szCs w:val="22"/>
        </w:rPr>
        <w:t>4</w:t>
      </w:r>
      <w:r w:rsidR="00052A7D" w:rsidRPr="00002A62">
        <w:rPr>
          <w:szCs w:val="22"/>
        </w:rPr>
        <w:t>.</w:t>
      </w:r>
    </w:p>
    <w:p w:rsidR="00944320" w:rsidRPr="00002A62" w:rsidRDefault="00944320">
      <w:pPr>
        <w:widowControl/>
        <w:jc w:val="left"/>
        <w:rPr>
          <w:rFonts w:ascii="Arial Narrow" w:hAnsi="Arial Narrow"/>
          <w:b/>
          <w:sz w:val="20"/>
        </w:rPr>
      </w:pPr>
      <w:bookmarkStart w:id="10" w:name="_Toc469319427"/>
    </w:p>
    <w:p w:rsidR="00D6359D" w:rsidRDefault="00D6359D">
      <w:pPr>
        <w:widowControl/>
        <w:jc w:val="left"/>
        <w:rPr>
          <w:rFonts w:ascii="Arial Narrow" w:hAnsi="Arial Narrow"/>
          <w:b/>
          <w:sz w:val="20"/>
        </w:rPr>
      </w:pPr>
      <w:bookmarkStart w:id="11" w:name="_Toc472330162"/>
      <w:bookmarkStart w:id="12" w:name="_Toc472330233"/>
      <w:r>
        <w:rPr>
          <w:rFonts w:ascii="Arial Narrow" w:hAnsi="Arial Narrow"/>
          <w:b/>
          <w:sz w:val="20"/>
        </w:rPr>
        <w:br w:type="page"/>
      </w:r>
    </w:p>
    <w:p w:rsidR="005A6AB5" w:rsidRPr="00002A62" w:rsidRDefault="005A6AB5" w:rsidP="00D6359D">
      <w:pPr>
        <w:widowControl/>
        <w:jc w:val="left"/>
        <w:rPr>
          <w:rFonts w:ascii="Arial Narrow" w:hAnsi="Arial Narrow"/>
          <w:b/>
        </w:rPr>
      </w:pPr>
      <w:r w:rsidRPr="00002A62">
        <w:rPr>
          <w:rFonts w:ascii="Arial Narrow" w:hAnsi="Arial Narrow"/>
          <w:b/>
          <w:sz w:val="20"/>
        </w:rPr>
        <w:t xml:space="preserve">Table </w:t>
      </w:r>
      <w:r w:rsidR="00EC0F6E" w:rsidRPr="00002A62">
        <w:rPr>
          <w:rFonts w:ascii="Arial Narrow" w:hAnsi="Arial Narrow"/>
          <w:b/>
          <w:sz w:val="20"/>
        </w:rPr>
        <w:t>4</w:t>
      </w:r>
      <w:r w:rsidR="00ED54C1" w:rsidRPr="00002A62">
        <w:rPr>
          <w:rFonts w:ascii="Arial Narrow" w:hAnsi="Arial Narrow"/>
          <w:b/>
          <w:sz w:val="20"/>
        </w:rPr>
        <w:t>:</w:t>
      </w:r>
      <w:r w:rsidRPr="00002A62">
        <w:rPr>
          <w:rFonts w:ascii="Arial Narrow" w:hAnsi="Arial Narrow"/>
          <w:b/>
          <w:sz w:val="20"/>
        </w:rPr>
        <w:t xml:space="preserve"> Percentage change from baseline in Hip and Spine BMD at </w:t>
      </w:r>
      <w:r w:rsidR="00052A7D" w:rsidRPr="00002A62">
        <w:rPr>
          <w:rFonts w:ascii="Arial Narrow" w:hAnsi="Arial Narrow"/>
          <w:b/>
          <w:sz w:val="20"/>
        </w:rPr>
        <w:t>W</w:t>
      </w:r>
      <w:r w:rsidRPr="00002A62">
        <w:rPr>
          <w:rFonts w:ascii="Arial Narrow" w:hAnsi="Arial Narrow"/>
          <w:b/>
          <w:sz w:val="20"/>
        </w:rPr>
        <w:t>eek 48</w:t>
      </w:r>
      <w:bookmarkEnd w:id="10"/>
      <w:bookmarkEnd w:id="11"/>
      <w:bookmarkEnd w:id="12"/>
      <w:r w:rsidRPr="00002A62">
        <w:rPr>
          <w:rFonts w:ascii="Arial Narrow" w:hAnsi="Arial Narrow"/>
          <w:b/>
          <w:sz w:val="20"/>
        </w:rPr>
        <w:t xml:space="preserve"> </w:t>
      </w:r>
    </w:p>
    <w:tbl>
      <w:tblPr>
        <w:tblStyle w:val="TableGrid"/>
        <w:tblW w:w="0" w:type="auto"/>
        <w:tblInd w:w="704" w:type="dxa"/>
        <w:tblCellMar>
          <w:left w:w="28" w:type="dxa"/>
          <w:right w:w="28" w:type="dxa"/>
        </w:tblCellMar>
        <w:tblLook w:val="04A0" w:firstRow="1" w:lastRow="0" w:firstColumn="1" w:lastColumn="0" w:noHBand="0" w:noVBand="1"/>
        <w:tblCaption w:val="Table 4: Percentage change from baseline in Hip and Spine BMD at Week 48 "/>
      </w:tblPr>
      <w:tblGrid>
        <w:gridCol w:w="950"/>
        <w:gridCol w:w="1213"/>
        <w:gridCol w:w="1213"/>
        <w:gridCol w:w="1351"/>
        <w:gridCol w:w="1078"/>
        <w:gridCol w:w="1201"/>
        <w:gridCol w:w="1306"/>
      </w:tblGrid>
      <w:tr w:rsidR="007A7C06" w:rsidRPr="00002A62" w:rsidTr="00D6359D">
        <w:trPr>
          <w:tblHeader/>
        </w:trPr>
        <w:tc>
          <w:tcPr>
            <w:tcW w:w="950" w:type="dxa"/>
            <w:vMerge w:val="restart"/>
            <w:vAlign w:val="center"/>
          </w:tcPr>
          <w:p w:rsidR="007A7C06" w:rsidRPr="00002A62" w:rsidRDefault="007A7C06" w:rsidP="007A7C06">
            <w:pPr>
              <w:jc w:val="left"/>
              <w:rPr>
                <w:rFonts w:ascii="Arial Narrow" w:hAnsi="Arial Narrow"/>
                <w:b/>
                <w:bCs/>
                <w:sz w:val="20"/>
              </w:rPr>
            </w:pPr>
            <w:r w:rsidRPr="00002A62">
              <w:rPr>
                <w:rFonts w:ascii="Arial Narrow" w:hAnsi="Arial Narrow"/>
                <w:b/>
                <w:bCs/>
                <w:sz w:val="20"/>
              </w:rPr>
              <w:t>Measure, Mean(SD)</w:t>
            </w:r>
          </w:p>
        </w:tc>
        <w:tc>
          <w:tcPr>
            <w:tcW w:w="3777" w:type="dxa"/>
            <w:gridSpan w:val="3"/>
            <w:vAlign w:val="center"/>
          </w:tcPr>
          <w:p w:rsidR="007A7C06" w:rsidRPr="00002A62" w:rsidRDefault="007A7C06" w:rsidP="00166ED1">
            <w:pPr>
              <w:jc w:val="center"/>
              <w:rPr>
                <w:rFonts w:ascii="Arial Narrow" w:hAnsi="Arial Narrow"/>
                <w:b/>
                <w:bCs/>
                <w:sz w:val="20"/>
              </w:rPr>
            </w:pPr>
            <w:r w:rsidRPr="00002A62">
              <w:rPr>
                <w:rFonts w:ascii="Arial Narrow" w:hAnsi="Arial Narrow"/>
                <w:b/>
                <w:bCs/>
                <w:sz w:val="20"/>
              </w:rPr>
              <w:t>Study 108</w:t>
            </w:r>
          </w:p>
        </w:tc>
        <w:tc>
          <w:tcPr>
            <w:tcW w:w="3585" w:type="dxa"/>
            <w:gridSpan w:val="3"/>
          </w:tcPr>
          <w:p w:rsidR="007A7C06" w:rsidRPr="00002A62" w:rsidRDefault="007A7C06" w:rsidP="00166ED1">
            <w:pPr>
              <w:jc w:val="center"/>
              <w:rPr>
                <w:rFonts w:ascii="Arial Narrow" w:hAnsi="Arial Narrow"/>
                <w:b/>
                <w:bCs/>
                <w:sz w:val="20"/>
              </w:rPr>
            </w:pPr>
            <w:r w:rsidRPr="00002A62">
              <w:rPr>
                <w:rFonts w:ascii="Arial Narrow" w:hAnsi="Arial Narrow"/>
                <w:b/>
                <w:bCs/>
                <w:sz w:val="20"/>
              </w:rPr>
              <w:t>Study 110</w:t>
            </w:r>
          </w:p>
        </w:tc>
      </w:tr>
      <w:tr w:rsidR="007A7C06" w:rsidRPr="00002A62" w:rsidTr="00D6359D">
        <w:trPr>
          <w:tblHeader/>
        </w:trPr>
        <w:tc>
          <w:tcPr>
            <w:tcW w:w="950" w:type="dxa"/>
            <w:vMerge/>
          </w:tcPr>
          <w:p w:rsidR="007A7C06" w:rsidRPr="00002A62" w:rsidRDefault="007A7C06" w:rsidP="00166ED1">
            <w:pPr>
              <w:rPr>
                <w:rFonts w:ascii="Arial Narrow" w:hAnsi="Arial Narrow"/>
                <w:b/>
                <w:bCs/>
                <w:sz w:val="20"/>
              </w:rPr>
            </w:pPr>
          </w:p>
        </w:tc>
        <w:tc>
          <w:tcPr>
            <w:tcW w:w="1213" w:type="dxa"/>
            <w:vAlign w:val="center"/>
          </w:tcPr>
          <w:p w:rsidR="007A7C06" w:rsidRPr="00002A62" w:rsidRDefault="007A7C06" w:rsidP="00166ED1">
            <w:pPr>
              <w:jc w:val="center"/>
              <w:rPr>
                <w:rFonts w:ascii="Arial Narrow" w:hAnsi="Arial Narrow"/>
                <w:b/>
                <w:bCs/>
                <w:sz w:val="20"/>
              </w:rPr>
            </w:pPr>
            <w:r w:rsidRPr="00002A62">
              <w:rPr>
                <w:rFonts w:ascii="Arial Narrow" w:hAnsi="Arial Narrow"/>
                <w:b/>
                <w:bCs/>
                <w:sz w:val="20"/>
              </w:rPr>
              <w:t>TAF 25</w:t>
            </w:r>
            <w:r w:rsidR="00F1578A" w:rsidRPr="00002A62">
              <w:rPr>
                <w:rFonts w:ascii="Arial Narrow" w:hAnsi="Arial Narrow"/>
                <w:b/>
                <w:bCs/>
                <w:sz w:val="20"/>
              </w:rPr>
              <w:t xml:space="preserve"> mg</w:t>
            </w:r>
          </w:p>
        </w:tc>
        <w:tc>
          <w:tcPr>
            <w:tcW w:w="1213" w:type="dxa"/>
            <w:vAlign w:val="center"/>
          </w:tcPr>
          <w:p w:rsidR="007A7C06" w:rsidRPr="00002A62" w:rsidRDefault="007A7C06" w:rsidP="00166ED1">
            <w:pPr>
              <w:jc w:val="center"/>
              <w:rPr>
                <w:rFonts w:ascii="Arial Narrow" w:hAnsi="Arial Narrow"/>
                <w:b/>
                <w:bCs/>
                <w:sz w:val="20"/>
              </w:rPr>
            </w:pPr>
            <w:r w:rsidRPr="00002A62">
              <w:rPr>
                <w:rFonts w:ascii="Arial Narrow" w:hAnsi="Arial Narrow"/>
                <w:b/>
                <w:bCs/>
                <w:sz w:val="20"/>
              </w:rPr>
              <w:t>TDF 300</w:t>
            </w:r>
            <w:r w:rsidR="00F1578A" w:rsidRPr="00002A62">
              <w:rPr>
                <w:rFonts w:ascii="Arial Narrow" w:hAnsi="Arial Narrow"/>
                <w:b/>
                <w:bCs/>
                <w:sz w:val="20"/>
              </w:rPr>
              <w:t xml:space="preserve"> mg</w:t>
            </w:r>
          </w:p>
        </w:tc>
        <w:tc>
          <w:tcPr>
            <w:tcW w:w="1351" w:type="dxa"/>
            <w:vAlign w:val="center"/>
          </w:tcPr>
          <w:p w:rsidR="007A7C06" w:rsidRPr="00002A62" w:rsidRDefault="007A7C06" w:rsidP="00ED54C1">
            <w:pPr>
              <w:jc w:val="center"/>
              <w:rPr>
                <w:rFonts w:ascii="Arial Narrow" w:hAnsi="Arial Narrow"/>
                <w:b/>
                <w:bCs/>
                <w:sz w:val="20"/>
              </w:rPr>
            </w:pPr>
            <w:r w:rsidRPr="00002A62">
              <w:rPr>
                <w:rFonts w:ascii="Arial Narrow" w:hAnsi="Arial Narrow"/>
                <w:b/>
                <w:bCs/>
                <w:sz w:val="20"/>
              </w:rPr>
              <w:t>Difference</w:t>
            </w:r>
            <w:r w:rsidRPr="00002A62">
              <w:rPr>
                <w:rFonts w:ascii="Arial Narrow" w:hAnsi="Arial Narrow"/>
                <w:b/>
                <w:bCs/>
                <w:sz w:val="20"/>
                <w:vertAlign w:val="superscript"/>
              </w:rPr>
              <w:t>1</w:t>
            </w:r>
          </w:p>
          <w:p w:rsidR="007A7C06" w:rsidRPr="00002A62" w:rsidRDefault="007A7C06" w:rsidP="00ED54C1">
            <w:pPr>
              <w:jc w:val="center"/>
              <w:rPr>
                <w:rFonts w:ascii="Arial Narrow" w:hAnsi="Arial Narrow"/>
                <w:b/>
                <w:bCs/>
                <w:sz w:val="20"/>
              </w:rPr>
            </w:pPr>
            <w:r w:rsidRPr="00002A62">
              <w:rPr>
                <w:rFonts w:ascii="Arial Narrow" w:hAnsi="Arial Narrow"/>
                <w:b/>
                <w:bCs/>
                <w:sz w:val="20"/>
              </w:rPr>
              <w:t>(95% CI)</w:t>
            </w:r>
          </w:p>
        </w:tc>
        <w:tc>
          <w:tcPr>
            <w:tcW w:w="1078" w:type="dxa"/>
            <w:vAlign w:val="center"/>
          </w:tcPr>
          <w:p w:rsidR="007A7C06" w:rsidRPr="00002A62" w:rsidRDefault="007A7C06" w:rsidP="00166ED1">
            <w:pPr>
              <w:jc w:val="center"/>
              <w:rPr>
                <w:rFonts w:ascii="Arial Narrow" w:hAnsi="Arial Narrow"/>
                <w:b/>
                <w:bCs/>
                <w:sz w:val="20"/>
              </w:rPr>
            </w:pPr>
            <w:r w:rsidRPr="00002A62">
              <w:rPr>
                <w:rFonts w:ascii="Arial Narrow" w:hAnsi="Arial Narrow"/>
                <w:b/>
                <w:bCs/>
                <w:sz w:val="20"/>
              </w:rPr>
              <w:t>TAF 25</w:t>
            </w:r>
            <w:r w:rsidR="00F1578A" w:rsidRPr="00002A62">
              <w:rPr>
                <w:rFonts w:ascii="Arial Narrow" w:hAnsi="Arial Narrow"/>
                <w:b/>
                <w:bCs/>
                <w:sz w:val="20"/>
              </w:rPr>
              <w:t xml:space="preserve"> mg</w:t>
            </w:r>
          </w:p>
        </w:tc>
        <w:tc>
          <w:tcPr>
            <w:tcW w:w="1201" w:type="dxa"/>
            <w:vAlign w:val="center"/>
          </w:tcPr>
          <w:p w:rsidR="007A7C06" w:rsidRPr="00002A62" w:rsidRDefault="007A7C06" w:rsidP="00166ED1">
            <w:pPr>
              <w:jc w:val="center"/>
              <w:rPr>
                <w:rFonts w:ascii="Arial Narrow" w:hAnsi="Arial Narrow"/>
                <w:b/>
                <w:bCs/>
                <w:sz w:val="20"/>
              </w:rPr>
            </w:pPr>
            <w:r w:rsidRPr="00002A62">
              <w:rPr>
                <w:rFonts w:ascii="Arial Narrow" w:hAnsi="Arial Narrow"/>
                <w:b/>
                <w:bCs/>
                <w:sz w:val="20"/>
              </w:rPr>
              <w:t>TDF 300</w:t>
            </w:r>
            <w:r w:rsidR="00F1578A" w:rsidRPr="00002A62">
              <w:rPr>
                <w:rFonts w:ascii="Arial Narrow" w:hAnsi="Arial Narrow"/>
                <w:b/>
                <w:bCs/>
                <w:sz w:val="20"/>
              </w:rPr>
              <w:t xml:space="preserve"> mg</w:t>
            </w:r>
          </w:p>
        </w:tc>
        <w:tc>
          <w:tcPr>
            <w:tcW w:w="1306" w:type="dxa"/>
            <w:vAlign w:val="center"/>
          </w:tcPr>
          <w:p w:rsidR="007A7C06" w:rsidRPr="00002A62" w:rsidRDefault="007A7C06" w:rsidP="00166ED1">
            <w:pPr>
              <w:jc w:val="center"/>
              <w:rPr>
                <w:rFonts w:ascii="Arial Narrow" w:hAnsi="Arial Narrow"/>
                <w:b/>
                <w:bCs/>
                <w:sz w:val="20"/>
              </w:rPr>
            </w:pPr>
            <w:r w:rsidRPr="00002A62">
              <w:rPr>
                <w:rFonts w:ascii="Arial Narrow" w:hAnsi="Arial Narrow"/>
                <w:b/>
                <w:bCs/>
                <w:sz w:val="20"/>
              </w:rPr>
              <w:t>Difference</w:t>
            </w:r>
            <w:r w:rsidRPr="00002A62">
              <w:rPr>
                <w:rFonts w:ascii="Arial Narrow" w:hAnsi="Arial Narrow"/>
                <w:b/>
                <w:bCs/>
                <w:sz w:val="20"/>
                <w:vertAlign w:val="superscript"/>
              </w:rPr>
              <w:t>1</w:t>
            </w:r>
            <w:r w:rsidRPr="00002A62">
              <w:rPr>
                <w:rFonts w:ascii="Arial Narrow" w:hAnsi="Arial Narrow"/>
                <w:b/>
                <w:bCs/>
                <w:sz w:val="20"/>
              </w:rPr>
              <w:t xml:space="preserve"> (95% CI)</w:t>
            </w:r>
          </w:p>
        </w:tc>
      </w:tr>
      <w:tr w:rsidR="005A6AB5" w:rsidRPr="00002A62" w:rsidTr="00ED54C1">
        <w:tc>
          <w:tcPr>
            <w:tcW w:w="8312" w:type="dxa"/>
            <w:gridSpan w:val="7"/>
            <w:vAlign w:val="center"/>
          </w:tcPr>
          <w:p w:rsidR="005A6AB5" w:rsidRPr="00002A62" w:rsidRDefault="005A6AB5" w:rsidP="00166ED1">
            <w:pPr>
              <w:jc w:val="left"/>
              <w:rPr>
                <w:rFonts w:ascii="Arial Narrow" w:hAnsi="Arial Narrow"/>
                <w:b/>
                <w:sz w:val="20"/>
              </w:rPr>
            </w:pPr>
            <w:r w:rsidRPr="00002A62">
              <w:rPr>
                <w:rFonts w:ascii="Arial Narrow" w:hAnsi="Arial Narrow"/>
                <w:b/>
                <w:sz w:val="20"/>
              </w:rPr>
              <w:t>Hip BMD</w:t>
            </w:r>
          </w:p>
        </w:tc>
      </w:tr>
      <w:tr w:rsidR="005A6AB5" w:rsidRPr="00002A62" w:rsidTr="00847B94">
        <w:tc>
          <w:tcPr>
            <w:tcW w:w="950" w:type="dxa"/>
            <w:vAlign w:val="center"/>
          </w:tcPr>
          <w:p w:rsidR="005A6AB5" w:rsidRPr="00002A62" w:rsidRDefault="005A6AB5" w:rsidP="00ED54C1">
            <w:pPr>
              <w:jc w:val="left"/>
              <w:rPr>
                <w:rFonts w:ascii="Arial Narrow" w:hAnsi="Arial Narrow"/>
                <w:sz w:val="20"/>
              </w:rPr>
            </w:pPr>
            <w:r w:rsidRPr="00002A62">
              <w:rPr>
                <w:rFonts w:ascii="Arial Narrow" w:hAnsi="Arial Narrow"/>
                <w:sz w:val="20"/>
              </w:rPr>
              <w:t>Baseline</w:t>
            </w:r>
          </w:p>
        </w:tc>
        <w:tc>
          <w:tcPr>
            <w:tcW w:w="1213" w:type="dxa"/>
            <w:vAlign w:val="center"/>
          </w:tcPr>
          <w:p w:rsidR="005A6AB5" w:rsidRPr="00002A62" w:rsidRDefault="005A6AB5" w:rsidP="00052A7D">
            <w:pPr>
              <w:jc w:val="center"/>
              <w:rPr>
                <w:rFonts w:ascii="Arial Narrow" w:hAnsi="Arial Narrow"/>
                <w:sz w:val="20"/>
              </w:rPr>
            </w:pPr>
            <w:r w:rsidRPr="00002A62">
              <w:rPr>
                <w:rFonts w:ascii="Arial Narrow" w:hAnsi="Arial Narrow"/>
                <w:sz w:val="20"/>
              </w:rPr>
              <w:t>0.953 (0.1</w:t>
            </w:r>
            <w:r w:rsidR="00052A7D" w:rsidRPr="00002A62">
              <w:rPr>
                <w:rFonts w:ascii="Arial Narrow" w:hAnsi="Arial Narrow"/>
                <w:sz w:val="20"/>
              </w:rPr>
              <w:t>6</w:t>
            </w:r>
            <w:r w:rsidRPr="00002A62">
              <w:rPr>
                <w:rFonts w:ascii="Arial Narrow" w:hAnsi="Arial Narrow"/>
                <w:sz w:val="20"/>
              </w:rPr>
              <w:t>), n=283</w:t>
            </w:r>
          </w:p>
        </w:tc>
        <w:tc>
          <w:tcPr>
            <w:tcW w:w="1213" w:type="dxa"/>
            <w:vAlign w:val="center"/>
          </w:tcPr>
          <w:p w:rsidR="005A6AB5" w:rsidRPr="00002A62" w:rsidRDefault="005A6AB5" w:rsidP="00052A7D">
            <w:pPr>
              <w:jc w:val="center"/>
              <w:rPr>
                <w:rFonts w:ascii="Arial Narrow" w:hAnsi="Arial Narrow"/>
                <w:sz w:val="20"/>
              </w:rPr>
            </w:pPr>
            <w:r w:rsidRPr="00002A62">
              <w:rPr>
                <w:rFonts w:ascii="Arial Narrow" w:hAnsi="Arial Narrow"/>
                <w:sz w:val="20"/>
              </w:rPr>
              <w:t>0.938 (0.14), n=140</w:t>
            </w:r>
          </w:p>
        </w:tc>
        <w:tc>
          <w:tcPr>
            <w:tcW w:w="1351" w:type="dxa"/>
            <w:vAlign w:val="center"/>
          </w:tcPr>
          <w:p w:rsidR="005A6AB5" w:rsidRPr="00002A62" w:rsidRDefault="005A6AB5" w:rsidP="00ED54C1">
            <w:pPr>
              <w:jc w:val="center"/>
              <w:rPr>
                <w:rFonts w:ascii="Arial Narrow" w:hAnsi="Arial Narrow"/>
                <w:sz w:val="20"/>
              </w:rPr>
            </w:pPr>
            <w:r w:rsidRPr="00002A62">
              <w:rPr>
                <w:rFonts w:ascii="Arial Narrow" w:hAnsi="Arial Narrow"/>
                <w:sz w:val="20"/>
              </w:rPr>
              <w:t>0.015</w:t>
            </w:r>
          </w:p>
          <w:p w:rsidR="005A6AB5" w:rsidRPr="00002A62" w:rsidRDefault="005A6AB5" w:rsidP="00ED54C1">
            <w:pPr>
              <w:jc w:val="center"/>
              <w:rPr>
                <w:rFonts w:ascii="Arial Narrow" w:hAnsi="Arial Narrow"/>
                <w:sz w:val="20"/>
              </w:rPr>
            </w:pPr>
            <w:r w:rsidRPr="00002A62">
              <w:rPr>
                <w:rFonts w:ascii="Arial Narrow" w:hAnsi="Arial Narrow"/>
                <w:sz w:val="20"/>
              </w:rPr>
              <w:t>(-0.016, 0.046)</w:t>
            </w:r>
          </w:p>
        </w:tc>
        <w:tc>
          <w:tcPr>
            <w:tcW w:w="1078" w:type="dxa"/>
            <w:vAlign w:val="center"/>
          </w:tcPr>
          <w:p w:rsidR="005A6AB5" w:rsidRPr="00002A62" w:rsidRDefault="005A6AB5" w:rsidP="00847B94">
            <w:pPr>
              <w:jc w:val="center"/>
              <w:rPr>
                <w:rFonts w:ascii="Arial Narrow" w:hAnsi="Arial Narrow"/>
                <w:sz w:val="20"/>
              </w:rPr>
            </w:pPr>
            <w:r w:rsidRPr="00002A62">
              <w:rPr>
                <w:rFonts w:ascii="Arial Narrow" w:hAnsi="Arial Narrow"/>
                <w:sz w:val="20"/>
              </w:rPr>
              <w:t>0.957 (0.14), n=568</w:t>
            </w:r>
          </w:p>
        </w:tc>
        <w:tc>
          <w:tcPr>
            <w:tcW w:w="1201" w:type="dxa"/>
            <w:vAlign w:val="center"/>
          </w:tcPr>
          <w:p w:rsidR="005A6AB5" w:rsidRPr="00002A62" w:rsidRDefault="005A6AB5" w:rsidP="00ED54C1">
            <w:pPr>
              <w:jc w:val="center"/>
              <w:rPr>
                <w:rFonts w:ascii="Arial Narrow" w:hAnsi="Arial Narrow"/>
                <w:sz w:val="20"/>
              </w:rPr>
            </w:pPr>
            <w:r w:rsidRPr="00002A62">
              <w:rPr>
                <w:rFonts w:ascii="Arial Narrow" w:hAnsi="Arial Narrow"/>
                <w:sz w:val="20"/>
              </w:rPr>
              <w:t>0.960 (0.14), n=286</w:t>
            </w:r>
          </w:p>
        </w:tc>
        <w:tc>
          <w:tcPr>
            <w:tcW w:w="1306" w:type="dxa"/>
            <w:vAlign w:val="center"/>
          </w:tcPr>
          <w:p w:rsidR="005A6AB5" w:rsidRPr="00002A62" w:rsidRDefault="005A6AB5" w:rsidP="00ED54C1">
            <w:pPr>
              <w:jc w:val="center"/>
              <w:rPr>
                <w:rFonts w:ascii="Arial Narrow" w:hAnsi="Arial Narrow"/>
                <w:sz w:val="20"/>
              </w:rPr>
            </w:pPr>
            <w:r w:rsidRPr="00002A62">
              <w:rPr>
                <w:rFonts w:ascii="Arial Narrow" w:hAnsi="Arial Narrow"/>
                <w:sz w:val="20"/>
              </w:rPr>
              <w:t>-0.002</w:t>
            </w:r>
          </w:p>
          <w:p w:rsidR="005A6AB5" w:rsidRPr="00002A62" w:rsidRDefault="005A6AB5" w:rsidP="00ED54C1">
            <w:pPr>
              <w:jc w:val="center"/>
              <w:rPr>
                <w:rFonts w:ascii="Arial Narrow" w:hAnsi="Arial Narrow"/>
                <w:sz w:val="20"/>
              </w:rPr>
            </w:pPr>
            <w:r w:rsidRPr="00002A62">
              <w:rPr>
                <w:rFonts w:ascii="Arial Narrow" w:hAnsi="Arial Narrow"/>
                <w:sz w:val="20"/>
              </w:rPr>
              <w:t>(-0.023, 0.018)</w:t>
            </w:r>
          </w:p>
        </w:tc>
      </w:tr>
      <w:tr w:rsidR="005A6AB5" w:rsidRPr="00002A62" w:rsidTr="00847B94">
        <w:tc>
          <w:tcPr>
            <w:tcW w:w="950" w:type="dxa"/>
            <w:vAlign w:val="center"/>
          </w:tcPr>
          <w:p w:rsidR="005A6AB5" w:rsidRPr="00002A62" w:rsidRDefault="005A6AB5" w:rsidP="00ED54C1">
            <w:pPr>
              <w:jc w:val="left"/>
              <w:rPr>
                <w:rFonts w:ascii="Arial Narrow" w:hAnsi="Arial Narrow"/>
                <w:sz w:val="20"/>
                <w:vertAlign w:val="superscript"/>
              </w:rPr>
            </w:pPr>
            <w:r w:rsidRPr="00002A62">
              <w:rPr>
                <w:rFonts w:ascii="Arial Narrow" w:hAnsi="Arial Narrow"/>
                <w:sz w:val="20"/>
              </w:rPr>
              <w:t>% change Week 48</w:t>
            </w:r>
            <w:r w:rsidRPr="00002A62">
              <w:rPr>
                <w:rFonts w:ascii="Arial Narrow" w:hAnsi="Arial Narrow"/>
                <w:sz w:val="20"/>
                <w:vertAlign w:val="superscript"/>
              </w:rPr>
              <w:t>2</w:t>
            </w:r>
          </w:p>
        </w:tc>
        <w:tc>
          <w:tcPr>
            <w:tcW w:w="1213" w:type="dxa"/>
            <w:vAlign w:val="center"/>
          </w:tcPr>
          <w:p w:rsidR="005A6AB5" w:rsidRPr="00002A62" w:rsidRDefault="005A6AB5" w:rsidP="00ED54C1">
            <w:pPr>
              <w:jc w:val="center"/>
              <w:rPr>
                <w:rFonts w:ascii="Arial Narrow" w:hAnsi="Arial Narrow"/>
                <w:sz w:val="20"/>
              </w:rPr>
            </w:pPr>
            <w:r w:rsidRPr="00002A62">
              <w:rPr>
                <w:rFonts w:ascii="Arial Narrow" w:hAnsi="Arial Narrow"/>
                <w:sz w:val="20"/>
              </w:rPr>
              <w:t>-0.288% (2.14), n=270</w:t>
            </w:r>
          </w:p>
        </w:tc>
        <w:tc>
          <w:tcPr>
            <w:tcW w:w="1213" w:type="dxa"/>
            <w:vAlign w:val="center"/>
          </w:tcPr>
          <w:p w:rsidR="005A6AB5" w:rsidRPr="00002A62" w:rsidRDefault="005A6AB5" w:rsidP="00052A7D">
            <w:pPr>
              <w:jc w:val="center"/>
              <w:rPr>
                <w:rFonts w:ascii="Arial Narrow" w:hAnsi="Arial Narrow"/>
                <w:sz w:val="20"/>
              </w:rPr>
            </w:pPr>
            <w:r w:rsidRPr="00002A62">
              <w:rPr>
                <w:rFonts w:ascii="Arial Narrow" w:hAnsi="Arial Narrow"/>
                <w:sz w:val="20"/>
              </w:rPr>
              <w:t>-2.156% (2.17), n=133</w:t>
            </w:r>
          </w:p>
        </w:tc>
        <w:tc>
          <w:tcPr>
            <w:tcW w:w="1351" w:type="dxa"/>
            <w:vAlign w:val="center"/>
          </w:tcPr>
          <w:p w:rsidR="005A6AB5" w:rsidRPr="00002A62" w:rsidRDefault="005A6AB5" w:rsidP="00ED54C1">
            <w:pPr>
              <w:jc w:val="center"/>
              <w:rPr>
                <w:rFonts w:ascii="Arial Narrow" w:hAnsi="Arial Narrow"/>
                <w:b/>
                <w:bCs/>
                <w:sz w:val="20"/>
              </w:rPr>
            </w:pPr>
            <w:r w:rsidRPr="00002A62">
              <w:rPr>
                <w:rFonts w:ascii="Arial Narrow" w:hAnsi="Arial Narrow"/>
                <w:b/>
                <w:bCs/>
                <w:sz w:val="20"/>
              </w:rPr>
              <w:t>1.868%</w:t>
            </w:r>
          </w:p>
          <w:p w:rsidR="005A6AB5" w:rsidRPr="00002A62" w:rsidRDefault="005A6AB5" w:rsidP="00ED54C1">
            <w:pPr>
              <w:jc w:val="center"/>
              <w:rPr>
                <w:rFonts w:ascii="Arial Narrow" w:hAnsi="Arial Narrow"/>
                <w:b/>
                <w:bCs/>
                <w:sz w:val="20"/>
              </w:rPr>
            </w:pPr>
            <w:r w:rsidRPr="00002A62">
              <w:rPr>
                <w:rFonts w:ascii="Arial Narrow" w:hAnsi="Arial Narrow"/>
                <w:b/>
                <w:bCs/>
                <w:sz w:val="20"/>
              </w:rPr>
              <w:t>(1.420, 2.317)</w:t>
            </w:r>
          </w:p>
        </w:tc>
        <w:tc>
          <w:tcPr>
            <w:tcW w:w="1078" w:type="dxa"/>
            <w:vAlign w:val="center"/>
          </w:tcPr>
          <w:p w:rsidR="005A6AB5" w:rsidRPr="00002A62" w:rsidRDefault="005A6AB5" w:rsidP="00847B94">
            <w:pPr>
              <w:jc w:val="center"/>
              <w:rPr>
                <w:rFonts w:ascii="Arial Narrow" w:hAnsi="Arial Narrow"/>
                <w:b/>
                <w:bCs/>
                <w:sz w:val="20"/>
              </w:rPr>
            </w:pPr>
            <w:r w:rsidRPr="00002A62">
              <w:rPr>
                <w:rFonts w:ascii="Arial Narrow" w:hAnsi="Arial Narrow"/>
                <w:sz w:val="20"/>
              </w:rPr>
              <w:t>-0.100% (2.29), n=537</w:t>
            </w:r>
          </w:p>
        </w:tc>
        <w:tc>
          <w:tcPr>
            <w:tcW w:w="1201" w:type="dxa"/>
            <w:vAlign w:val="center"/>
          </w:tcPr>
          <w:p w:rsidR="005A6AB5" w:rsidRPr="00002A62" w:rsidRDefault="005A6AB5" w:rsidP="00ED54C1">
            <w:pPr>
              <w:jc w:val="center"/>
              <w:rPr>
                <w:rFonts w:ascii="Arial Narrow" w:hAnsi="Arial Narrow"/>
                <w:b/>
                <w:bCs/>
                <w:sz w:val="20"/>
              </w:rPr>
            </w:pPr>
            <w:r w:rsidRPr="00002A62">
              <w:rPr>
                <w:rFonts w:ascii="Arial Narrow" w:hAnsi="Arial Narrow"/>
                <w:sz w:val="20"/>
              </w:rPr>
              <w:t>-1.715% (2.57), n =271</w:t>
            </w:r>
          </w:p>
        </w:tc>
        <w:tc>
          <w:tcPr>
            <w:tcW w:w="1306" w:type="dxa"/>
            <w:vAlign w:val="center"/>
          </w:tcPr>
          <w:p w:rsidR="005A6AB5" w:rsidRPr="00002A62" w:rsidRDefault="005A6AB5" w:rsidP="00ED54C1">
            <w:pPr>
              <w:jc w:val="center"/>
              <w:rPr>
                <w:rFonts w:ascii="Arial Narrow" w:hAnsi="Arial Narrow"/>
                <w:b/>
                <w:bCs/>
                <w:sz w:val="20"/>
              </w:rPr>
            </w:pPr>
            <w:r w:rsidRPr="00002A62">
              <w:rPr>
                <w:rFonts w:ascii="Arial Narrow" w:hAnsi="Arial Narrow"/>
                <w:b/>
                <w:bCs/>
                <w:sz w:val="20"/>
              </w:rPr>
              <w:t>1.615%</w:t>
            </w:r>
          </w:p>
          <w:p w:rsidR="005A6AB5" w:rsidRPr="00002A62" w:rsidRDefault="005A6AB5" w:rsidP="00ED54C1">
            <w:pPr>
              <w:jc w:val="center"/>
              <w:rPr>
                <w:rFonts w:ascii="Arial Narrow" w:hAnsi="Arial Narrow"/>
                <w:b/>
                <w:bCs/>
                <w:sz w:val="20"/>
              </w:rPr>
            </w:pPr>
            <w:r w:rsidRPr="00002A62">
              <w:rPr>
                <w:rFonts w:ascii="Arial Narrow" w:hAnsi="Arial Narrow"/>
                <w:b/>
                <w:bCs/>
                <w:sz w:val="20"/>
              </w:rPr>
              <w:t>(1.265, 1.964)</w:t>
            </w:r>
          </w:p>
        </w:tc>
      </w:tr>
      <w:tr w:rsidR="005A6AB5" w:rsidRPr="00002A62" w:rsidTr="00ED54C1">
        <w:tc>
          <w:tcPr>
            <w:tcW w:w="8312" w:type="dxa"/>
            <w:gridSpan w:val="7"/>
            <w:vAlign w:val="center"/>
          </w:tcPr>
          <w:p w:rsidR="005A6AB5" w:rsidRPr="00002A62" w:rsidRDefault="005A6AB5" w:rsidP="00166ED1">
            <w:pPr>
              <w:jc w:val="left"/>
              <w:rPr>
                <w:rFonts w:ascii="Arial Narrow" w:hAnsi="Arial Narrow"/>
                <w:b/>
                <w:sz w:val="20"/>
              </w:rPr>
            </w:pPr>
            <w:r w:rsidRPr="00002A62">
              <w:rPr>
                <w:rFonts w:ascii="Arial Narrow" w:hAnsi="Arial Narrow"/>
                <w:b/>
                <w:sz w:val="20"/>
              </w:rPr>
              <w:t>Spine BMD</w:t>
            </w:r>
          </w:p>
        </w:tc>
      </w:tr>
      <w:tr w:rsidR="005A6AB5" w:rsidRPr="00002A62" w:rsidTr="00847B94">
        <w:tc>
          <w:tcPr>
            <w:tcW w:w="950" w:type="dxa"/>
            <w:vAlign w:val="center"/>
          </w:tcPr>
          <w:p w:rsidR="005A6AB5" w:rsidRPr="00002A62" w:rsidRDefault="005A6AB5" w:rsidP="00ED54C1">
            <w:pPr>
              <w:jc w:val="left"/>
              <w:rPr>
                <w:rFonts w:ascii="Arial Narrow" w:hAnsi="Arial Narrow"/>
                <w:sz w:val="20"/>
              </w:rPr>
            </w:pPr>
            <w:r w:rsidRPr="00002A62">
              <w:rPr>
                <w:rFonts w:ascii="Arial Narrow" w:hAnsi="Arial Narrow"/>
                <w:sz w:val="20"/>
              </w:rPr>
              <w:t>Baseline</w:t>
            </w:r>
          </w:p>
        </w:tc>
        <w:tc>
          <w:tcPr>
            <w:tcW w:w="1213" w:type="dxa"/>
            <w:vAlign w:val="center"/>
          </w:tcPr>
          <w:p w:rsidR="005A6AB5" w:rsidRPr="00002A62" w:rsidRDefault="005A6AB5" w:rsidP="00052A7D">
            <w:pPr>
              <w:jc w:val="center"/>
              <w:rPr>
                <w:rFonts w:ascii="Arial Narrow" w:hAnsi="Arial Narrow"/>
                <w:sz w:val="20"/>
              </w:rPr>
            </w:pPr>
            <w:r w:rsidRPr="00002A62">
              <w:rPr>
                <w:rFonts w:ascii="Arial Narrow" w:hAnsi="Arial Narrow"/>
                <w:sz w:val="20"/>
              </w:rPr>
              <w:t>1.050 (0.19), n=284</w:t>
            </w:r>
          </w:p>
        </w:tc>
        <w:tc>
          <w:tcPr>
            <w:tcW w:w="1213" w:type="dxa"/>
            <w:vAlign w:val="center"/>
          </w:tcPr>
          <w:p w:rsidR="005A6AB5" w:rsidRPr="00002A62" w:rsidRDefault="005A6AB5" w:rsidP="00ED54C1">
            <w:pPr>
              <w:jc w:val="center"/>
              <w:rPr>
                <w:rFonts w:ascii="Arial Narrow" w:hAnsi="Arial Narrow"/>
                <w:sz w:val="20"/>
              </w:rPr>
            </w:pPr>
            <w:r w:rsidRPr="00002A62">
              <w:rPr>
                <w:rFonts w:ascii="Arial Narrow" w:hAnsi="Arial Narrow"/>
                <w:sz w:val="20"/>
              </w:rPr>
              <w:t>1.033 (0.18), n=140</w:t>
            </w:r>
          </w:p>
        </w:tc>
        <w:tc>
          <w:tcPr>
            <w:tcW w:w="1351" w:type="dxa"/>
            <w:vAlign w:val="center"/>
          </w:tcPr>
          <w:p w:rsidR="005A6AB5" w:rsidRPr="00002A62" w:rsidRDefault="005A6AB5" w:rsidP="00ED54C1">
            <w:pPr>
              <w:jc w:val="center"/>
              <w:rPr>
                <w:rFonts w:ascii="Arial Narrow" w:hAnsi="Arial Narrow"/>
                <w:sz w:val="20"/>
              </w:rPr>
            </w:pPr>
            <w:r w:rsidRPr="00002A62">
              <w:rPr>
                <w:rFonts w:ascii="Arial Narrow" w:hAnsi="Arial Narrow"/>
                <w:sz w:val="20"/>
              </w:rPr>
              <w:t>0.017</w:t>
            </w:r>
          </w:p>
          <w:p w:rsidR="005A6AB5" w:rsidRPr="00002A62" w:rsidRDefault="005A6AB5" w:rsidP="00ED54C1">
            <w:pPr>
              <w:jc w:val="center"/>
              <w:rPr>
                <w:rFonts w:ascii="Arial Narrow" w:hAnsi="Arial Narrow"/>
                <w:sz w:val="20"/>
              </w:rPr>
            </w:pPr>
            <w:r w:rsidRPr="00002A62">
              <w:rPr>
                <w:rFonts w:ascii="Arial Narrow" w:hAnsi="Arial Narrow"/>
                <w:sz w:val="20"/>
              </w:rPr>
              <w:t>(-0.021, 0.055)</w:t>
            </w:r>
          </w:p>
        </w:tc>
        <w:tc>
          <w:tcPr>
            <w:tcW w:w="1078" w:type="dxa"/>
            <w:vAlign w:val="center"/>
          </w:tcPr>
          <w:p w:rsidR="005A6AB5" w:rsidRPr="00002A62" w:rsidRDefault="005A6AB5" w:rsidP="00847B94">
            <w:pPr>
              <w:jc w:val="center"/>
              <w:rPr>
                <w:rFonts w:ascii="Arial Narrow" w:hAnsi="Arial Narrow"/>
                <w:sz w:val="20"/>
              </w:rPr>
            </w:pPr>
            <w:r w:rsidRPr="00002A62">
              <w:rPr>
                <w:rFonts w:ascii="Arial Narrow" w:hAnsi="Arial Narrow"/>
                <w:sz w:val="20"/>
              </w:rPr>
              <w:t>1.059 (0.16), n=572</w:t>
            </w:r>
          </w:p>
        </w:tc>
        <w:tc>
          <w:tcPr>
            <w:tcW w:w="1201" w:type="dxa"/>
            <w:vAlign w:val="center"/>
          </w:tcPr>
          <w:p w:rsidR="005A6AB5" w:rsidRPr="00002A62" w:rsidRDefault="005A6AB5" w:rsidP="00ED54C1">
            <w:pPr>
              <w:jc w:val="center"/>
              <w:rPr>
                <w:rFonts w:ascii="Arial Narrow" w:hAnsi="Arial Narrow"/>
                <w:sz w:val="20"/>
              </w:rPr>
            </w:pPr>
            <w:r w:rsidRPr="00002A62">
              <w:rPr>
                <w:rFonts w:ascii="Arial Narrow" w:hAnsi="Arial Narrow"/>
                <w:sz w:val="20"/>
              </w:rPr>
              <w:t>1.061 (0.16), n=286</w:t>
            </w:r>
          </w:p>
        </w:tc>
        <w:tc>
          <w:tcPr>
            <w:tcW w:w="1306" w:type="dxa"/>
            <w:vAlign w:val="center"/>
          </w:tcPr>
          <w:p w:rsidR="005A6AB5" w:rsidRPr="00002A62" w:rsidRDefault="005A6AB5" w:rsidP="00ED54C1">
            <w:pPr>
              <w:jc w:val="center"/>
              <w:rPr>
                <w:rFonts w:ascii="Arial Narrow" w:hAnsi="Arial Narrow"/>
                <w:sz w:val="20"/>
              </w:rPr>
            </w:pPr>
            <w:r w:rsidRPr="00002A62">
              <w:rPr>
                <w:rFonts w:ascii="Arial Narrow" w:hAnsi="Arial Narrow"/>
                <w:sz w:val="20"/>
              </w:rPr>
              <w:t>-0.002</w:t>
            </w:r>
          </w:p>
          <w:p w:rsidR="005A6AB5" w:rsidRPr="00002A62" w:rsidRDefault="005A6AB5" w:rsidP="00ED54C1">
            <w:pPr>
              <w:jc w:val="center"/>
              <w:rPr>
                <w:rFonts w:ascii="Arial Narrow" w:hAnsi="Arial Narrow"/>
                <w:sz w:val="20"/>
              </w:rPr>
            </w:pPr>
            <w:r w:rsidRPr="00002A62">
              <w:rPr>
                <w:rFonts w:ascii="Arial Narrow" w:hAnsi="Arial Narrow"/>
                <w:sz w:val="20"/>
              </w:rPr>
              <w:t>(-0.025, 0.022)</w:t>
            </w:r>
          </w:p>
        </w:tc>
      </w:tr>
      <w:tr w:rsidR="005A6AB5" w:rsidRPr="00002A62" w:rsidTr="00847B94">
        <w:tc>
          <w:tcPr>
            <w:tcW w:w="950" w:type="dxa"/>
            <w:vAlign w:val="center"/>
          </w:tcPr>
          <w:p w:rsidR="005A6AB5" w:rsidRPr="00002A62" w:rsidRDefault="005A6AB5" w:rsidP="00ED54C1">
            <w:pPr>
              <w:jc w:val="left"/>
              <w:rPr>
                <w:rFonts w:ascii="Arial Narrow" w:hAnsi="Arial Narrow"/>
                <w:sz w:val="20"/>
                <w:vertAlign w:val="superscript"/>
              </w:rPr>
            </w:pPr>
            <w:r w:rsidRPr="00002A62">
              <w:rPr>
                <w:rFonts w:ascii="Arial Narrow" w:hAnsi="Arial Narrow"/>
                <w:sz w:val="20"/>
              </w:rPr>
              <w:t>% change Week 48</w:t>
            </w:r>
            <w:r w:rsidRPr="00002A62">
              <w:rPr>
                <w:rFonts w:ascii="Arial Narrow" w:hAnsi="Arial Narrow"/>
                <w:sz w:val="20"/>
                <w:vertAlign w:val="superscript"/>
              </w:rPr>
              <w:t>2</w:t>
            </w:r>
          </w:p>
        </w:tc>
        <w:tc>
          <w:tcPr>
            <w:tcW w:w="1213" w:type="dxa"/>
            <w:vAlign w:val="center"/>
          </w:tcPr>
          <w:p w:rsidR="005A6AB5" w:rsidRPr="00002A62" w:rsidRDefault="005A6AB5" w:rsidP="00ED54C1">
            <w:pPr>
              <w:jc w:val="center"/>
              <w:rPr>
                <w:rFonts w:ascii="Arial Narrow" w:hAnsi="Arial Narrow"/>
                <w:sz w:val="20"/>
              </w:rPr>
            </w:pPr>
            <w:r w:rsidRPr="00002A62">
              <w:rPr>
                <w:rFonts w:ascii="Arial Narrow" w:hAnsi="Arial Narrow"/>
                <w:sz w:val="20"/>
              </w:rPr>
              <w:t>-0.876 (2.8</w:t>
            </w:r>
            <w:r w:rsidR="00052A7D" w:rsidRPr="00002A62">
              <w:rPr>
                <w:rFonts w:ascii="Arial Narrow" w:hAnsi="Arial Narrow"/>
                <w:sz w:val="20"/>
              </w:rPr>
              <w:t>6</w:t>
            </w:r>
            <w:r w:rsidRPr="00002A62">
              <w:rPr>
                <w:rFonts w:ascii="Arial Narrow" w:hAnsi="Arial Narrow"/>
                <w:sz w:val="20"/>
              </w:rPr>
              <w:t>), n=271</w:t>
            </w:r>
          </w:p>
        </w:tc>
        <w:tc>
          <w:tcPr>
            <w:tcW w:w="1213" w:type="dxa"/>
            <w:vAlign w:val="center"/>
          </w:tcPr>
          <w:p w:rsidR="005A6AB5" w:rsidRPr="00002A62" w:rsidRDefault="005A6AB5" w:rsidP="00ED54C1">
            <w:pPr>
              <w:jc w:val="center"/>
              <w:rPr>
                <w:rFonts w:ascii="Arial Narrow" w:hAnsi="Arial Narrow"/>
                <w:sz w:val="20"/>
              </w:rPr>
            </w:pPr>
            <w:r w:rsidRPr="00002A62">
              <w:rPr>
                <w:rFonts w:ascii="Arial Narrow" w:hAnsi="Arial Narrow"/>
                <w:sz w:val="20"/>
              </w:rPr>
              <w:t>-2.514% (3.3</w:t>
            </w:r>
            <w:r w:rsidR="00052A7D" w:rsidRPr="00002A62">
              <w:rPr>
                <w:rFonts w:ascii="Arial Narrow" w:hAnsi="Arial Narrow"/>
                <w:sz w:val="20"/>
              </w:rPr>
              <w:t>6</w:t>
            </w:r>
            <w:r w:rsidRPr="00002A62">
              <w:rPr>
                <w:rFonts w:ascii="Arial Narrow" w:hAnsi="Arial Narrow"/>
                <w:sz w:val="20"/>
              </w:rPr>
              <w:t>), n=133</w:t>
            </w:r>
          </w:p>
        </w:tc>
        <w:tc>
          <w:tcPr>
            <w:tcW w:w="1351" w:type="dxa"/>
            <w:vAlign w:val="center"/>
          </w:tcPr>
          <w:p w:rsidR="005A6AB5" w:rsidRPr="00002A62" w:rsidRDefault="005A6AB5" w:rsidP="00ED54C1">
            <w:pPr>
              <w:jc w:val="center"/>
              <w:rPr>
                <w:rFonts w:ascii="Arial Narrow" w:hAnsi="Arial Narrow"/>
                <w:b/>
                <w:bCs/>
                <w:sz w:val="20"/>
              </w:rPr>
            </w:pPr>
            <w:r w:rsidRPr="00002A62">
              <w:rPr>
                <w:rFonts w:ascii="Arial Narrow" w:hAnsi="Arial Narrow"/>
                <w:b/>
                <w:bCs/>
                <w:sz w:val="20"/>
              </w:rPr>
              <w:t>1.638%</w:t>
            </w:r>
          </w:p>
          <w:p w:rsidR="005A6AB5" w:rsidRPr="00002A62" w:rsidRDefault="005A6AB5" w:rsidP="00ED54C1">
            <w:pPr>
              <w:jc w:val="center"/>
              <w:rPr>
                <w:rFonts w:ascii="Arial Narrow" w:hAnsi="Arial Narrow"/>
                <w:b/>
                <w:bCs/>
                <w:sz w:val="20"/>
              </w:rPr>
            </w:pPr>
            <w:r w:rsidRPr="00002A62">
              <w:rPr>
                <w:rFonts w:ascii="Arial Narrow" w:hAnsi="Arial Narrow"/>
                <w:b/>
                <w:bCs/>
                <w:sz w:val="20"/>
              </w:rPr>
              <w:t>(1.007, 2.268)</w:t>
            </w:r>
          </w:p>
        </w:tc>
        <w:tc>
          <w:tcPr>
            <w:tcW w:w="1078" w:type="dxa"/>
            <w:vAlign w:val="center"/>
          </w:tcPr>
          <w:p w:rsidR="005A6AB5" w:rsidRPr="00002A62" w:rsidRDefault="005A6AB5" w:rsidP="00ED54C1">
            <w:pPr>
              <w:jc w:val="center"/>
              <w:rPr>
                <w:rFonts w:ascii="Arial Narrow" w:hAnsi="Arial Narrow"/>
                <w:b/>
                <w:bCs/>
                <w:sz w:val="20"/>
              </w:rPr>
            </w:pPr>
            <w:r w:rsidRPr="00002A62">
              <w:rPr>
                <w:rFonts w:ascii="Arial Narrow" w:hAnsi="Arial Narrow"/>
                <w:sz w:val="20"/>
              </w:rPr>
              <w:t>-0.417% (2.93), n=543</w:t>
            </w:r>
          </w:p>
        </w:tc>
        <w:tc>
          <w:tcPr>
            <w:tcW w:w="1201" w:type="dxa"/>
            <w:vAlign w:val="center"/>
          </w:tcPr>
          <w:p w:rsidR="005A6AB5" w:rsidRPr="00002A62" w:rsidRDefault="005A6AB5" w:rsidP="00ED54C1">
            <w:pPr>
              <w:jc w:val="center"/>
              <w:rPr>
                <w:rFonts w:ascii="Arial Narrow" w:hAnsi="Arial Narrow"/>
                <w:b/>
                <w:bCs/>
                <w:sz w:val="20"/>
              </w:rPr>
            </w:pPr>
            <w:r w:rsidRPr="00002A62">
              <w:rPr>
                <w:rFonts w:ascii="Arial Narrow" w:hAnsi="Arial Narrow"/>
                <w:sz w:val="20"/>
              </w:rPr>
              <w:t>-2.294% (3.13), n =274</w:t>
            </w:r>
          </w:p>
        </w:tc>
        <w:tc>
          <w:tcPr>
            <w:tcW w:w="1306" w:type="dxa"/>
            <w:vAlign w:val="center"/>
          </w:tcPr>
          <w:p w:rsidR="005A6AB5" w:rsidRPr="00002A62" w:rsidRDefault="005A6AB5" w:rsidP="00ED54C1">
            <w:pPr>
              <w:jc w:val="center"/>
              <w:rPr>
                <w:rFonts w:ascii="Arial Narrow" w:hAnsi="Arial Narrow"/>
                <w:b/>
                <w:bCs/>
                <w:sz w:val="20"/>
              </w:rPr>
            </w:pPr>
            <w:r w:rsidRPr="00002A62">
              <w:rPr>
                <w:rFonts w:ascii="Arial Narrow" w:hAnsi="Arial Narrow"/>
                <w:b/>
                <w:bCs/>
                <w:sz w:val="20"/>
              </w:rPr>
              <w:t>1.877%</w:t>
            </w:r>
          </w:p>
          <w:p w:rsidR="005A6AB5" w:rsidRPr="00002A62" w:rsidRDefault="005A6AB5" w:rsidP="00ED54C1">
            <w:pPr>
              <w:jc w:val="center"/>
              <w:rPr>
                <w:rFonts w:ascii="Arial Narrow" w:hAnsi="Arial Narrow"/>
                <w:b/>
                <w:bCs/>
                <w:sz w:val="20"/>
              </w:rPr>
            </w:pPr>
            <w:r w:rsidRPr="00002A62">
              <w:rPr>
                <w:rFonts w:ascii="Arial Narrow" w:hAnsi="Arial Narrow"/>
                <w:b/>
                <w:bCs/>
                <w:sz w:val="20"/>
              </w:rPr>
              <w:t>(1.440, 2.313)</w:t>
            </w:r>
          </w:p>
        </w:tc>
      </w:tr>
      <w:tr w:rsidR="005A6AB5" w:rsidRPr="00002A62" w:rsidTr="00ED54C1">
        <w:tc>
          <w:tcPr>
            <w:tcW w:w="8312" w:type="dxa"/>
            <w:gridSpan w:val="7"/>
            <w:vAlign w:val="center"/>
          </w:tcPr>
          <w:p w:rsidR="005A6AB5" w:rsidRPr="00002A62" w:rsidRDefault="005A6AB5" w:rsidP="00166ED1">
            <w:pPr>
              <w:jc w:val="left"/>
              <w:rPr>
                <w:rFonts w:ascii="Arial Narrow" w:hAnsi="Arial Narrow"/>
                <w:b/>
                <w:sz w:val="20"/>
              </w:rPr>
            </w:pPr>
            <w:r w:rsidRPr="00002A62">
              <w:rPr>
                <w:rFonts w:ascii="Arial Narrow" w:hAnsi="Arial Narrow"/>
                <w:b/>
                <w:sz w:val="20"/>
              </w:rPr>
              <w:t>FRAX analysis</w:t>
            </w:r>
          </w:p>
        </w:tc>
      </w:tr>
      <w:tr w:rsidR="005A6AB5" w:rsidRPr="00002A62" w:rsidTr="00847B94">
        <w:tc>
          <w:tcPr>
            <w:tcW w:w="950" w:type="dxa"/>
            <w:vAlign w:val="center"/>
          </w:tcPr>
          <w:p w:rsidR="005A6AB5" w:rsidRPr="00002A62" w:rsidRDefault="005A6AB5" w:rsidP="00ED54C1">
            <w:pPr>
              <w:jc w:val="left"/>
              <w:rPr>
                <w:rFonts w:ascii="Arial Narrow" w:hAnsi="Arial Narrow"/>
                <w:sz w:val="20"/>
              </w:rPr>
            </w:pPr>
            <w:r w:rsidRPr="00002A62">
              <w:rPr>
                <w:rFonts w:ascii="Arial Narrow" w:hAnsi="Arial Narrow"/>
                <w:sz w:val="20"/>
              </w:rPr>
              <w:t>10 year hip fracture risk</w:t>
            </w:r>
          </w:p>
        </w:tc>
        <w:tc>
          <w:tcPr>
            <w:tcW w:w="1213" w:type="dxa"/>
            <w:vAlign w:val="center"/>
          </w:tcPr>
          <w:p w:rsidR="005A6AB5" w:rsidRPr="00002A62" w:rsidRDefault="005A6AB5" w:rsidP="00ED54C1">
            <w:pPr>
              <w:jc w:val="center"/>
              <w:rPr>
                <w:rFonts w:ascii="Arial Narrow" w:hAnsi="Arial Narrow"/>
                <w:sz w:val="20"/>
              </w:rPr>
            </w:pPr>
            <w:r w:rsidRPr="00002A62">
              <w:rPr>
                <w:rFonts w:ascii="Arial Narrow" w:hAnsi="Arial Narrow"/>
                <w:sz w:val="20"/>
              </w:rPr>
              <w:t>0.79% (1.0</w:t>
            </w:r>
            <w:r w:rsidR="00052A7D" w:rsidRPr="00002A62">
              <w:rPr>
                <w:rFonts w:ascii="Arial Narrow" w:hAnsi="Arial Narrow"/>
                <w:sz w:val="20"/>
              </w:rPr>
              <w:t>4</w:t>
            </w:r>
            <w:r w:rsidRPr="00002A62">
              <w:rPr>
                <w:rFonts w:ascii="Arial Narrow" w:hAnsi="Arial Narrow"/>
                <w:sz w:val="20"/>
              </w:rPr>
              <w:t>)</w:t>
            </w:r>
          </w:p>
        </w:tc>
        <w:tc>
          <w:tcPr>
            <w:tcW w:w="1213" w:type="dxa"/>
            <w:vAlign w:val="center"/>
          </w:tcPr>
          <w:p w:rsidR="005A6AB5" w:rsidRPr="00002A62" w:rsidRDefault="005A6AB5" w:rsidP="00ED54C1">
            <w:pPr>
              <w:jc w:val="center"/>
              <w:rPr>
                <w:rFonts w:ascii="Arial Narrow" w:hAnsi="Arial Narrow"/>
                <w:sz w:val="20"/>
              </w:rPr>
            </w:pPr>
            <w:r w:rsidRPr="00002A62">
              <w:rPr>
                <w:rFonts w:ascii="Arial Narrow" w:hAnsi="Arial Narrow"/>
                <w:sz w:val="20"/>
              </w:rPr>
              <w:t>0.84% (1.06)</w:t>
            </w:r>
          </w:p>
        </w:tc>
        <w:tc>
          <w:tcPr>
            <w:tcW w:w="1351" w:type="dxa"/>
            <w:vAlign w:val="center"/>
          </w:tcPr>
          <w:p w:rsidR="005A6AB5" w:rsidRPr="00002A62" w:rsidRDefault="005A6AB5" w:rsidP="00ED54C1">
            <w:pPr>
              <w:jc w:val="center"/>
              <w:rPr>
                <w:rFonts w:ascii="Arial Narrow" w:hAnsi="Arial Narrow"/>
                <w:sz w:val="20"/>
              </w:rPr>
            </w:pPr>
            <w:r w:rsidRPr="00002A62">
              <w:rPr>
                <w:rFonts w:ascii="Arial Narrow" w:hAnsi="Arial Narrow"/>
                <w:sz w:val="20"/>
              </w:rPr>
              <w:t>NR</w:t>
            </w:r>
          </w:p>
        </w:tc>
        <w:tc>
          <w:tcPr>
            <w:tcW w:w="1078" w:type="dxa"/>
            <w:vAlign w:val="center"/>
          </w:tcPr>
          <w:p w:rsidR="005A6AB5" w:rsidRPr="00002A62" w:rsidRDefault="005A6AB5" w:rsidP="00ED54C1">
            <w:pPr>
              <w:jc w:val="center"/>
              <w:rPr>
                <w:rFonts w:ascii="Arial Narrow" w:hAnsi="Arial Narrow"/>
                <w:sz w:val="20"/>
              </w:rPr>
            </w:pPr>
            <w:r w:rsidRPr="00002A62">
              <w:rPr>
                <w:rFonts w:ascii="Arial Narrow" w:hAnsi="Arial Narrow"/>
                <w:sz w:val="20"/>
              </w:rPr>
              <w:t>0.72% (1.6</w:t>
            </w:r>
            <w:r w:rsidR="00052A7D" w:rsidRPr="00002A62">
              <w:rPr>
                <w:rFonts w:ascii="Arial Narrow" w:hAnsi="Arial Narrow"/>
                <w:sz w:val="20"/>
              </w:rPr>
              <w:t>8</w:t>
            </w:r>
            <w:r w:rsidRPr="00002A62">
              <w:rPr>
                <w:rFonts w:ascii="Arial Narrow" w:hAnsi="Arial Narrow"/>
                <w:sz w:val="20"/>
              </w:rPr>
              <w:t>)</w:t>
            </w:r>
          </w:p>
        </w:tc>
        <w:tc>
          <w:tcPr>
            <w:tcW w:w="1201" w:type="dxa"/>
            <w:vAlign w:val="center"/>
          </w:tcPr>
          <w:p w:rsidR="005A6AB5" w:rsidRPr="00002A62" w:rsidRDefault="005A6AB5" w:rsidP="00ED54C1">
            <w:pPr>
              <w:jc w:val="center"/>
              <w:rPr>
                <w:rFonts w:ascii="Arial Narrow" w:hAnsi="Arial Narrow"/>
                <w:sz w:val="20"/>
              </w:rPr>
            </w:pPr>
            <w:r w:rsidRPr="00002A62">
              <w:rPr>
                <w:rFonts w:ascii="Arial Narrow" w:hAnsi="Arial Narrow"/>
                <w:sz w:val="20"/>
              </w:rPr>
              <w:t>0.67% (0.9</w:t>
            </w:r>
            <w:r w:rsidR="00052A7D" w:rsidRPr="00002A62">
              <w:rPr>
                <w:rFonts w:ascii="Arial Narrow" w:hAnsi="Arial Narrow"/>
                <w:sz w:val="20"/>
              </w:rPr>
              <w:t>1</w:t>
            </w:r>
            <w:r w:rsidRPr="00002A62">
              <w:rPr>
                <w:rFonts w:ascii="Arial Narrow" w:hAnsi="Arial Narrow"/>
                <w:sz w:val="20"/>
              </w:rPr>
              <w:t>)</w:t>
            </w:r>
          </w:p>
        </w:tc>
        <w:tc>
          <w:tcPr>
            <w:tcW w:w="1306" w:type="dxa"/>
            <w:vAlign w:val="center"/>
          </w:tcPr>
          <w:p w:rsidR="005A6AB5" w:rsidRPr="00002A62" w:rsidRDefault="005A6AB5" w:rsidP="00ED54C1">
            <w:pPr>
              <w:jc w:val="center"/>
              <w:rPr>
                <w:rFonts w:ascii="Arial Narrow" w:hAnsi="Arial Narrow"/>
                <w:sz w:val="20"/>
              </w:rPr>
            </w:pPr>
            <w:r w:rsidRPr="00002A62">
              <w:rPr>
                <w:rFonts w:ascii="Arial Narrow" w:hAnsi="Arial Narrow"/>
                <w:sz w:val="20"/>
              </w:rPr>
              <w:t>NR</w:t>
            </w:r>
          </w:p>
        </w:tc>
      </w:tr>
      <w:tr w:rsidR="005A6AB5" w:rsidRPr="00002A62" w:rsidTr="00847B94">
        <w:tc>
          <w:tcPr>
            <w:tcW w:w="950" w:type="dxa"/>
            <w:vAlign w:val="center"/>
          </w:tcPr>
          <w:p w:rsidR="005A6AB5" w:rsidRPr="00002A62" w:rsidRDefault="005A6AB5" w:rsidP="00ED54C1">
            <w:pPr>
              <w:jc w:val="left"/>
              <w:rPr>
                <w:rFonts w:ascii="Arial Narrow" w:hAnsi="Arial Narrow"/>
                <w:sz w:val="20"/>
              </w:rPr>
            </w:pPr>
            <w:r w:rsidRPr="00002A62">
              <w:rPr>
                <w:rFonts w:ascii="Arial Narrow" w:hAnsi="Arial Narrow"/>
                <w:sz w:val="20"/>
              </w:rPr>
              <w:t>10 year major osteoporotic fracture risk</w:t>
            </w:r>
          </w:p>
        </w:tc>
        <w:tc>
          <w:tcPr>
            <w:tcW w:w="1213" w:type="dxa"/>
            <w:vAlign w:val="center"/>
          </w:tcPr>
          <w:p w:rsidR="005A6AB5" w:rsidRPr="00002A62" w:rsidRDefault="005A6AB5" w:rsidP="00052A7D">
            <w:pPr>
              <w:jc w:val="center"/>
              <w:rPr>
                <w:rFonts w:ascii="Arial Narrow" w:hAnsi="Arial Narrow"/>
                <w:sz w:val="20"/>
              </w:rPr>
            </w:pPr>
            <w:r w:rsidRPr="00002A62">
              <w:rPr>
                <w:rFonts w:ascii="Arial Narrow" w:hAnsi="Arial Narrow"/>
                <w:sz w:val="20"/>
              </w:rPr>
              <w:t>3.72% (2.5</w:t>
            </w:r>
            <w:r w:rsidR="00052A7D" w:rsidRPr="00002A62">
              <w:rPr>
                <w:rFonts w:ascii="Arial Narrow" w:hAnsi="Arial Narrow"/>
                <w:sz w:val="20"/>
              </w:rPr>
              <w:t>3</w:t>
            </w:r>
            <w:r w:rsidRPr="00002A62">
              <w:rPr>
                <w:rFonts w:ascii="Arial Narrow" w:hAnsi="Arial Narrow"/>
                <w:sz w:val="20"/>
              </w:rPr>
              <w:t>)</w:t>
            </w:r>
          </w:p>
        </w:tc>
        <w:tc>
          <w:tcPr>
            <w:tcW w:w="1213" w:type="dxa"/>
            <w:vAlign w:val="center"/>
          </w:tcPr>
          <w:p w:rsidR="005A6AB5" w:rsidRPr="00002A62" w:rsidRDefault="005A6AB5" w:rsidP="00052A7D">
            <w:pPr>
              <w:jc w:val="center"/>
              <w:rPr>
                <w:rFonts w:ascii="Arial Narrow" w:hAnsi="Arial Narrow"/>
                <w:sz w:val="20"/>
              </w:rPr>
            </w:pPr>
            <w:r w:rsidRPr="00002A62">
              <w:rPr>
                <w:rFonts w:ascii="Arial Narrow" w:hAnsi="Arial Narrow"/>
                <w:sz w:val="20"/>
              </w:rPr>
              <w:t>3.83% (2.65)</w:t>
            </w:r>
          </w:p>
        </w:tc>
        <w:tc>
          <w:tcPr>
            <w:tcW w:w="1351" w:type="dxa"/>
            <w:vAlign w:val="center"/>
          </w:tcPr>
          <w:p w:rsidR="005A6AB5" w:rsidRPr="00002A62" w:rsidRDefault="005A6AB5" w:rsidP="00ED54C1">
            <w:pPr>
              <w:jc w:val="center"/>
              <w:rPr>
                <w:rFonts w:ascii="Arial Narrow" w:hAnsi="Arial Narrow"/>
                <w:sz w:val="20"/>
              </w:rPr>
            </w:pPr>
            <w:r w:rsidRPr="00002A62">
              <w:rPr>
                <w:rFonts w:ascii="Arial Narrow" w:hAnsi="Arial Narrow"/>
                <w:sz w:val="20"/>
              </w:rPr>
              <w:t>NR</w:t>
            </w:r>
          </w:p>
        </w:tc>
        <w:tc>
          <w:tcPr>
            <w:tcW w:w="1078" w:type="dxa"/>
            <w:vAlign w:val="center"/>
          </w:tcPr>
          <w:p w:rsidR="005A6AB5" w:rsidRPr="00002A62" w:rsidRDefault="005A6AB5" w:rsidP="00ED54C1">
            <w:pPr>
              <w:jc w:val="center"/>
              <w:rPr>
                <w:rFonts w:ascii="Arial Narrow" w:hAnsi="Arial Narrow"/>
                <w:sz w:val="20"/>
              </w:rPr>
            </w:pPr>
            <w:r w:rsidRPr="00002A62">
              <w:rPr>
                <w:rFonts w:ascii="Arial Narrow" w:hAnsi="Arial Narrow"/>
                <w:sz w:val="20"/>
              </w:rPr>
              <w:t>3.13% (2.6</w:t>
            </w:r>
            <w:r w:rsidR="00052A7D" w:rsidRPr="00002A62">
              <w:rPr>
                <w:rFonts w:ascii="Arial Narrow" w:hAnsi="Arial Narrow"/>
                <w:sz w:val="20"/>
              </w:rPr>
              <w:t>6</w:t>
            </w:r>
            <w:r w:rsidRPr="00002A62">
              <w:rPr>
                <w:rFonts w:ascii="Arial Narrow" w:hAnsi="Arial Narrow"/>
                <w:sz w:val="20"/>
              </w:rPr>
              <w:t>)</w:t>
            </w:r>
          </w:p>
        </w:tc>
        <w:tc>
          <w:tcPr>
            <w:tcW w:w="1201" w:type="dxa"/>
            <w:vAlign w:val="center"/>
          </w:tcPr>
          <w:p w:rsidR="005A6AB5" w:rsidRPr="00002A62" w:rsidRDefault="005A6AB5" w:rsidP="00ED54C1">
            <w:pPr>
              <w:jc w:val="center"/>
              <w:rPr>
                <w:rFonts w:ascii="Arial Narrow" w:hAnsi="Arial Narrow"/>
                <w:sz w:val="20"/>
              </w:rPr>
            </w:pPr>
            <w:r w:rsidRPr="00002A62">
              <w:rPr>
                <w:rFonts w:ascii="Arial Narrow" w:hAnsi="Arial Narrow"/>
                <w:sz w:val="20"/>
              </w:rPr>
              <w:t>3.25% (2.2</w:t>
            </w:r>
            <w:r w:rsidR="00052A7D" w:rsidRPr="00002A62">
              <w:rPr>
                <w:rFonts w:ascii="Arial Narrow" w:hAnsi="Arial Narrow"/>
                <w:sz w:val="20"/>
              </w:rPr>
              <w:t>5</w:t>
            </w:r>
            <w:r w:rsidRPr="00002A62">
              <w:rPr>
                <w:rFonts w:ascii="Arial Narrow" w:hAnsi="Arial Narrow"/>
                <w:sz w:val="20"/>
              </w:rPr>
              <w:t>)</w:t>
            </w:r>
          </w:p>
        </w:tc>
        <w:tc>
          <w:tcPr>
            <w:tcW w:w="1306" w:type="dxa"/>
            <w:vAlign w:val="center"/>
          </w:tcPr>
          <w:p w:rsidR="005A6AB5" w:rsidRPr="00002A62" w:rsidRDefault="005A6AB5" w:rsidP="00ED54C1">
            <w:pPr>
              <w:jc w:val="center"/>
              <w:rPr>
                <w:rFonts w:ascii="Arial Narrow" w:hAnsi="Arial Narrow"/>
                <w:sz w:val="20"/>
              </w:rPr>
            </w:pPr>
            <w:r w:rsidRPr="00002A62">
              <w:rPr>
                <w:rFonts w:ascii="Arial Narrow" w:hAnsi="Arial Narrow"/>
                <w:sz w:val="20"/>
              </w:rPr>
              <w:t>NR</w:t>
            </w:r>
          </w:p>
        </w:tc>
      </w:tr>
    </w:tbl>
    <w:p w:rsidR="005A6AB5" w:rsidRPr="00002A62" w:rsidRDefault="005A6AB5" w:rsidP="00215F98">
      <w:pPr>
        <w:ind w:left="720"/>
        <w:rPr>
          <w:rFonts w:ascii="Arial Narrow" w:hAnsi="Arial Narrow"/>
          <w:b/>
          <w:sz w:val="18"/>
          <w:szCs w:val="18"/>
        </w:rPr>
      </w:pPr>
      <w:bookmarkStart w:id="13" w:name="_Toc469319428"/>
      <w:bookmarkStart w:id="14" w:name="_Toc472330163"/>
      <w:bookmarkStart w:id="15" w:name="_Toc472330234"/>
      <w:r w:rsidRPr="00002A62">
        <w:rPr>
          <w:rFonts w:ascii="Arial Narrow" w:hAnsi="Arial Narrow"/>
          <w:sz w:val="18"/>
          <w:szCs w:val="18"/>
        </w:rPr>
        <w:t>Abbreviation: TAF = tenofovir alafenamide, TDF = tenofovir disoproxil fumarate, BMD = bone mineral density, NR = not reported</w:t>
      </w:r>
      <w:bookmarkEnd w:id="13"/>
      <w:bookmarkEnd w:id="14"/>
      <w:bookmarkEnd w:id="15"/>
      <w:r w:rsidRPr="00002A62">
        <w:rPr>
          <w:rFonts w:ascii="Arial Narrow" w:hAnsi="Arial Narrow"/>
          <w:sz w:val="18"/>
          <w:szCs w:val="18"/>
        </w:rPr>
        <w:t xml:space="preserve"> </w:t>
      </w:r>
    </w:p>
    <w:p w:rsidR="005A6AB5" w:rsidRPr="00002A62" w:rsidRDefault="005A6AB5" w:rsidP="00215F98">
      <w:pPr>
        <w:ind w:left="720"/>
        <w:rPr>
          <w:rFonts w:ascii="Arial Narrow" w:hAnsi="Arial Narrow"/>
          <w:b/>
          <w:sz w:val="18"/>
          <w:szCs w:val="18"/>
        </w:rPr>
      </w:pPr>
      <w:bookmarkStart w:id="16" w:name="_Toc469319429"/>
      <w:bookmarkStart w:id="17" w:name="_Toc472330164"/>
      <w:bookmarkStart w:id="18" w:name="_Toc472330235"/>
      <w:r w:rsidRPr="00002A62">
        <w:rPr>
          <w:rFonts w:ascii="Arial Narrow" w:hAnsi="Arial Narrow"/>
          <w:sz w:val="18"/>
          <w:szCs w:val="18"/>
          <w:vertAlign w:val="superscript"/>
        </w:rPr>
        <w:t xml:space="preserve">1 </w:t>
      </w:r>
      <w:r w:rsidRPr="00002A62">
        <w:rPr>
          <w:rFonts w:ascii="Arial Narrow" w:hAnsi="Arial Narrow"/>
          <w:sz w:val="18"/>
          <w:szCs w:val="18"/>
        </w:rPr>
        <w:t>Difference of Least-squared mean</w:t>
      </w:r>
      <w:bookmarkEnd w:id="16"/>
      <w:bookmarkEnd w:id="17"/>
      <w:bookmarkEnd w:id="18"/>
    </w:p>
    <w:p w:rsidR="005A6AB5" w:rsidRPr="00002A62" w:rsidRDefault="005A6AB5" w:rsidP="00215F98">
      <w:pPr>
        <w:ind w:left="720"/>
        <w:rPr>
          <w:rFonts w:ascii="Arial Narrow" w:hAnsi="Arial Narrow"/>
          <w:b/>
          <w:sz w:val="18"/>
          <w:szCs w:val="18"/>
        </w:rPr>
      </w:pPr>
      <w:bookmarkStart w:id="19" w:name="_Toc469319430"/>
      <w:bookmarkStart w:id="20" w:name="_Toc472330165"/>
      <w:bookmarkStart w:id="21" w:name="_Toc472330236"/>
      <w:r w:rsidRPr="00002A62">
        <w:rPr>
          <w:rFonts w:ascii="Arial Narrow" w:hAnsi="Arial Narrow"/>
          <w:sz w:val="18"/>
          <w:szCs w:val="18"/>
          <w:vertAlign w:val="superscript"/>
        </w:rPr>
        <w:t>2</w:t>
      </w:r>
      <w:r w:rsidRPr="00002A62">
        <w:rPr>
          <w:rFonts w:ascii="Arial Narrow" w:hAnsi="Arial Narrow"/>
          <w:sz w:val="18"/>
          <w:szCs w:val="18"/>
        </w:rPr>
        <w:t xml:space="preserve"> % change = change from baseline at a post baseline/baseline × 100%</w:t>
      </w:r>
      <w:bookmarkEnd w:id="19"/>
      <w:bookmarkEnd w:id="20"/>
      <w:bookmarkEnd w:id="21"/>
    </w:p>
    <w:p w:rsidR="005A6AB5" w:rsidRPr="00002A62" w:rsidRDefault="005A6AB5" w:rsidP="00215F98">
      <w:pPr>
        <w:ind w:left="720"/>
        <w:rPr>
          <w:rFonts w:ascii="Arial Narrow" w:hAnsi="Arial Narrow"/>
          <w:b/>
          <w:sz w:val="18"/>
          <w:szCs w:val="18"/>
        </w:rPr>
      </w:pPr>
      <w:bookmarkStart w:id="22" w:name="_Toc469319431"/>
      <w:bookmarkStart w:id="23" w:name="_Toc472330166"/>
      <w:bookmarkStart w:id="24" w:name="_Toc472330237"/>
      <w:r w:rsidRPr="00002A62">
        <w:rPr>
          <w:rFonts w:ascii="Arial Narrow" w:hAnsi="Arial Narrow"/>
          <w:sz w:val="18"/>
          <w:szCs w:val="18"/>
        </w:rPr>
        <w:t>Text in bold indicates statistically significant values</w:t>
      </w:r>
      <w:bookmarkEnd w:id="22"/>
      <w:bookmarkEnd w:id="23"/>
      <w:bookmarkEnd w:id="24"/>
      <w:r w:rsidRPr="00002A62">
        <w:rPr>
          <w:rFonts w:ascii="Arial Narrow" w:hAnsi="Arial Narrow"/>
          <w:sz w:val="18"/>
          <w:szCs w:val="18"/>
        </w:rPr>
        <w:t xml:space="preserve"> </w:t>
      </w:r>
    </w:p>
    <w:p w:rsidR="005A6AB5" w:rsidRPr="00002A62" w:rsidRDefault="005A6AB5" w:rsidP="00215F98">
      <w:pPr>
        <w:ind w:left="720"/>
        <w:rPr>
          <w:b/>
        </w:rPr>
      </w:pPr>
      <w:bookmarkStart w:id="25" w:name="_Toc469319432"/>
      <w:bookmarkStart w:id="26" w:name="_Toc472330167"/>
      <w:bookmarkStart w:id="27" w:name="_Toc472330238"/>
      <w:r w:rsidRPr="00002A62">
        <w:rPr>
          <w:rFonts w:ascii="Arial Narrow" w:hAnsi="Arial Narrow"/>
          <w:sz w:val="18"/>
          <w:szCs w:val="18"/>
        </w:rPr>
        <w:t>Source: Table B-25, p103-104 and Table B-26, p104-105, p115 of the submission</w:t>
      </w:r>
      <w:bookmarkEnd w:id="25"/>
      <w:bookmarkEnd w:id="26"/>
      <w:bookmarkEnd w:id="27"/>
    </w:p>
    <w:p w:rsidR="005A6AB5" w:rsidRPr="00002A62" w:rsidRDefault="005A6AB5" w:rsidP="005A6AB5">
      <w:pPr>
        <w:pStyle w:val="ListParagraph"/>
        <w:widowControl/>
        <w:rPr>
          <w:szCs w:val="22"/>
        </w:rPr>
      </w:pPr>
    </w:p>
    <w:p w:rsidR="00144470" w:rsidRPr="00002A62" w:rsidRDefault="007A7C06" w:rsidP="00144470">
      <w:pPr>
        <w:pStyle w:val="ListParagraph"/>
        <w:widowControl/>
        <w:numPr>
          <w:ilvl w:val="1"/>
          <w:numId w:val="7"/>
        </w:numPr>
        <w:rPr>
          <w:bCs/>
          <w:iCs/>
          <w:szCs w:val="22"/>
        </w:rPr>
      </w:pPr>
      <w:r w:rsidRPr="00002A62">
        <w:rPr>
          <w:bCs/>
          <w:iCs/>
          <w:szCs w:val="22"/>
        </w:rPr>
        <w:t xml:space="preserve">The measured decline in </w:t>
      </w:r>
      <w:r w:rsidR="00144470" w:rsidRPr="00002A62">
        <w:rPr>
          <w:bCs/>
          <w:iCs/>
          <w:szCs w:val="22"/>
        </w:rPr>
        <w:t xml:space="preserve">BMD from baseline to Week 48 </w:t>
      </w:r>
      <w:r w:rsidRPr="00002A62">
        <w:rPr>
          <w:bCs/>
          <w:iCs/>
          <w:szCs w:val="22"/>
        </w:rPr>
        <w:t xml:space="preserve">was less </w:t>
      </w:r>
      <w:r w:rsidR="00847B94" w:rsidRPr="00002A62">
        <w:rPr>
          <w:bCs/>
          <w:iCs/>
          <w:szCs w:val="22"/>
        </w:rPr>
        <w:t>for</w:t>
      </w:r>
      <w:r w:rsidRPr="00002A62">
        <w:rPr>
          <w:bCs/>
          <w:iCs/>
          <w:szCs w:val="22"/>
        </w:rPr>
        <w:t xml:space="preserve"> patients treated with TAF than those treated with </w:t>
      </w:r>
      <w:r w:rsidR="00144470" w:rsidRPr="00002A62">
        <w:rPr>
          <w:bCs/>
          <w:iCs/>
          <w:szCs w:val="22"/>
        </w:rPr>
        <w:t>TDF</w:t>
      </w:r>
      <w:r w:rsidRPr="00002A62">
        <w:rPr>
          <w:bCs/>
          <w:iCs/>
          <w:szCs w:val="22"/>
        </w:rPr>
        <w:t xml:space="preserve"> in the trials</w:t>
      </w:r>
      <w:r w:rsidR="00716ED0" w:rsidRPr="00002A62">
        <w:rPr>
          <w:bCs/>
          <w:iCs/>
          <w:szCs w:val="22"/>
        </w:rPr>
        <w:t xml:space="preserve">. </w:t>
      </w:r>
      <w:r w:rsidR="00712088" w:rsidRPr="00002A62">
        <w:rPr>
          <w:bCs/>
          <w:iCs/>
          <w:szCs w:val="22"/>
        </w:rPr>
        <w:t xml:space="preserve">The PBAC noted that although </w:t>
      </w:r>
      <w:r w:rsidR="00144470" w:rsidRPr="00002A62">
        <w:rPr>
          <w:bCs/>
          <w:iCs/>
          <w:szCs w:val="22"/>
        </w:rPr>
        <w:t>the difference</w:t>
      </w:r>
      <w:r w:rsidRPr="00002A62">
        <w:rPr>
          <w:bCs/>
          <w:iCs/>
          <w:szCs w:val="22"/>
        </w:rPr>
        <w:t>s</w:t>
      </w:r>
      <w:r w:rsidR="00144470" w:rsidRPr="00002A62">
        <w:rPr>
          <w:bCs/>
          <w:iCs/>
          <w:szCs w:val="22"/>
        </w:rPr>
        <w:t xml:space="preserve"> between treatments </w:t>
      </w:r>
      <w:r w:rsidRPr="00002A62">
        <w:rPr>
          <w:bCs/>
          <w:iCs/>
          <w:szCs w:val="22"/>
        </w:rPr>
        <w:t xml:space="preserve">were </w:t>
      </w:r>
      <w:r w:rsidR="00144470" w:rsidRPr="00002A62">
        <w:rPr>
          <w:bCs/>
          <w:iCs/>
          <w:szCs w:val="22"/>
        </w:rPr>
        <w:t>statistical</w:t>
      </w:r>
      <w:r w:rsidRPr="00002A62">
        <w:rPr>
          <w:bCs/>
          <w:iCs/>
          <w:szCs w:val="22"/>
        </w:rPr>
        <w:t>ly</w:t>
      </w:r>
      <w:r w:rsidR="00144470" w:rsidRPr="00002A62">
        <w:rPr>
          <w:bCs/>
          <w:iCs/>
          <w:szCs w:val="22"/>
        </w:rPr>
        <w:t xml:space="preserve"> significan</w:t>
      </w:r>
      <w:r w:rsidRPr="00002A62">
        <w:rPr>
          <w:bCs/>
          <w:iCs/>
          <w:szCs w:val="22"/>
        </w:rPr>
        <w:t>t</w:t>
      </w:r>
      <w:r w:rsidR="00144470" w:rsidRPr="00002A62">
        <w:rPr>
          <w:bCs/>
          <w:iCs/>
          <w:szCs w:val="22"/>
        </w:rPr>
        <w:t xml:space="preserve">, </w:t>
      </w:r>
      <w:r w:rsidRPr="00002A62">
        <w:rPr>
          <w:bCs/>
          <w:iCs/>
          <w:szCs w:val="22"/>
        </w:rPr>
        <w:t>their</w:t>
      </w:r>
      <w:r w:rsidR="00144470" w:rsidRPr="00002A62">
        <w:rPr>
          <w:bCs/>
          <w:iCs/>
          <w:szCs w:val="22"/>
        </w:rPr>
        <w:t xml:space="preserve"> magnitude</w:t>
      </w:r>
      <w:r w:rsidR="00847B94" w:rsidRPr="00002A62">
        <w:rPr>
          <w:bCs/>
          <w:iCs/>
          <w:szCs w:val="22"/>
        </w:rPr>
        <w:t>s</w:t>
      </w:r>
      <w:r w:rsidR="00144470" w:rsidRPr="00002A62">
        <w:rPr>
          <w:bCs/>
          <w:iCs/>
          <w:szCs w:val="22"/>
        </w:rPr>
        <w:t xml:space="preserve"> w</w:t>
      </w:r>
      <w:r w:rsidRPr="00002A62">
        <w:rPr>
          <w:bCs/>
          <w:iCs/>
          <w:szCs w:val="22"/>
        </w:rPr>
        <w:t>ere</w:t>
      </w:r>
      <w:r w:rsidR="00144470" w:rsidRPr="00002A62">
        <w:rPr>
          <w:bCs/>
          <w:iCs/>
          <w:szCs w:val="22"/>
        </w:rPr>
        <w:t xml:space="preserve"> small (&lt;2% difference between</w:t>
      </w:r>
      <w:r w:rsidRPr="00002A62">
        <w:rPr>
          <w:bCs/>
          <w:iCs/>
          <w:szCs w:val="22"/>
        </w:rPr>
        <w:t xml:space="preserve"> the</w:t>
      </w:r>
      <w:r w:rsidR="00144470" w:rsidRPr="00002A62">
        <w:rPr>
          <w:bCs/>
          <w:iCs/>
          <w:szCs w:val="22"/>
        </w:rPr>
        <w:t xml:space="preserve"> treatment arms</w:t>
      </w:r>
      <w:r w:rsidR="006868FF" w:rsidRPr="00002A62">
        <w:rPr>
          <w:bCs/>
          <w:iCs/>
          <w:szCs w:val="22"/>
        </w:rPr>
        <w:t>)</w:t>
      </w:r>
      <w:r w:rsidR="00712088" w:rsidRPr="00002A62">
        <w:rPr>
          <w:bCs/>
          <w:iCs/>
          <w:szCs w:val="22"/>
        </w:rPr>
        <w:t xml:space="preserve"> and believed it was unlikely that this would </w:t>
      </w:r>
      <w:r w:rsidR="00E60AF9" w:rsidRPr="00002A62">
        <w:rPr>
          <w:bCs/>
          <w:iCs/>
          <w:szCs w:val="22"/>
        </w:rPr>
        <w:t xml:space="preserve">have any clinical </w:t>
      </w:r>
      <w:r w:rsidR="00712088" w:rsidRPr="00002A62">
        <w:rPr>
          <w:bCs/>
          <w:iCs/>
          <w:szCs w:val="22"/>
        </w:rPr>
        <w:t>benefit</w:t>
      </w:r>
      <w:r w:rsidR="00716ED0" w:rsidRPr="00002A62">
        <w:rPr>
          <w:bCs/>
          <w:iCs/>
          <w:szCs w:val="22"/>
        </w:rPr>
        <w:t xml:space="preserve">. </w:t>
      </w:r>
      <w:r w:rsidR="00144470" w:rsidRPr="00002A62">
        <w:rPr>
          <w:bCs/>
          <w:iCs/>
          <w:szCs w:val="22"/>
        </w:rPr>
        <w:t>The difference in BMD also did not translate into any differences in fracture events during the trials (8 total events between all patients, with 6 events associated with known trauma)</w:t>
      </w:r>
      <w:r w:rsidR="00716ED0" w:rsidRPr="00002A62">
        <w:rPr>
          <w:bCs/>
          <w:iCs/>
          <w:szCs w:val="22"/>
        </w:rPr>
        <w:t xml:space="preserve">. </w:t>
      </w:r>
      <w:r w:rsidR="00144470" w:rsidRPr="00002A62">
        <w:rPr>
          <w:bCs/>
          <w:iCs/>
          <w:szCs w:val="22"/>
        </w:rPr>
        <w:t>The estimated 10</w:t>
      </w:r>
      <w:r w:rsidR="00EC0F6E" w:rsidRPr="00002A62">
        <w:rPr>
          <w:bCs/>
          <w:iCs/>
          <w:szCs w:val="22"/>
        </w:rPr>
        <w:t xml:space="preserve"> </w:t>
      </w:r>
      <w:r w:rsidR="00144470" w:rsidRPr="00002A62">
        <w:rPr>
          <w:bCs/>
          <w:iCs/>
          <w:szCs w:val="22"/>
        </w:rPr>
        <w:t>year fracture probability (based on FRAX analysis) for both TDF and TAF were also low</w:t>
      </w:r>
      <w:r w:rsidR="006868FF" w:rsidRPr="00002A62">
        <w:rPr>
          <w:bCs/>
          <w:iCs/>
          <w:szCs w:val="22"/>
        </w:rPr>
        <w:t xml:space="preserve"> and did not significantly differ between TAF and TDF</w:t>
      </w:r>
      <w:r w:rsidR="003334A1" w:rsidRPr="00002A62">
        <w:rPr>
          <w:bCs/>
          <w:iCs/>
          <w:szCs w:val="22"/>
        </w:rPr>
        <w:t>,</w:t>
      </w:r>
      <w:r w:rsidR="006868FF" w:rsidRPr="00002A62">
        <w:rPr>
          <w:bCs/>
          <w:iCs/>
          <w:szCs w:val="22"/>
        </w:rPr>
        <w:t xml:space="preserve"> </w:t>
      </w:r>
      <w:r w:rsidR="003334A1" w:rsidRPr="00002A62">
        <w:rPr>
          <w:bCs/>
          <w:iCs/>
          <w:szCs w:val="22"/>
        </w:rPr>
        <w:t>which</w:t>
      </w:r>
      <w:r w:rsidR="006868FF" w:rsidRPr="00002A62">
        <w:rPr>
          <w:bCs/>
          <w:iCs/>
          <w:szCs w:val="22"/>
        </w:rPr>
        <w:t xml:space="preserve"> indicated </w:t>
      </w:r>
      <w:r w:rsidR="00144470" w:rsidRPr="00002A62">
        <w:rPr>
          <w:bCs/>
          <w:iCs/>
          <w:szCs w:val="22"/>
        </w:rPr>
        <w:t xml:space="preserve">TAF </w:t>
      </w:r>
      <w:r w:rsidR="00847B94" w:rsidRPr="00002A62">
        <w:rPr>
          <w:bCs/>
          <w:iCs/>
          <w:szCs w:val="22"/>
        </w:rPr>
        <w:t xml:space="preserve">treatment is unlikely to </w:t>
      </w:r>
      <w:r w:rsidR="00144470" w:rsidRPr="00002A62">
        <w:rPr>
          <w:bCs/>
          <w:iCs/>
          <w:szCs w:val="22"/>
        </w:rPr>
        <w:t>deliver any</w:t>
      </w:r>
      <w:r w:rsidR="00051A54" w:rsidRPr="00002A62">
        <w:rPr>
          <w:bCs/>
          <w:iCs/>
          <w:szCs w:val="22"/>
        </w:rPr>
        <w:t xml:space="preserve"> clinically meaningful</w:t>
      </w:r>
      <w:r w:rsidR="00144470" w:rsidRPr="00002A62">
        <w:rPr>
          <w:bCs/>
          <w:iCs/>
          <w:szCs w:val="22"/>
        </w:rPr>
        <w:t xml:space="preserve"> bone safety benefits over TDF</w:t>
      </w:r>
      <w:r w:rsidR="00716ED0" w:rsidRPr="00002A62">
        <w:rPr>
          <w:bCs/>
          <w:iCs/>
          <w:szCs w:val="22"/>
        </w:rPr>
        <w:t xml:space="preserve">. </w:t>
      </w:r>
      <w:r w:rsidR="00144470" w:rsidRPr="00002A62">
        <w:rPr>
          <w:bCs/>
          <w:iCs/>
          <w:szCs w:val="22"/>
        </w:rPr>
        <w:t>Patients in the TDF arm of the trials were also significantly older (</w:t>
      </w:r>
      <w:r w:rsidR="00716ED0" w:rsidRPr="00002A62">
        <w:rPr>
          <w:bCs/>
          <w:iCs/>
          <w:szCs w:val="22"/>
        </w:rPr>
        <w:t>i.e.</w:t>
      </w:r>
      <w:r w:rsidR="00144470" w:rsidRPr="00002A62">
        <w:rPr>
          <w:bCs/>
          <w:iCs/>
          <w:szCs w:val="22"/>
        </w:rPr>
        <w:t xml:space="preserve"> greater proportion over 50 years), given BMD decay generally increases with age, </w:t>
      </w:r>
      <w:r w:rsidR="00051A54" w:rsidRPr="00002A62">
        <w:rPr>
          <w:bCs/>
          <w:iCs/>
          <w:szCs w:val="22"/>
        </w:rPr>
        <w:t>this also favoured TAF</w:t>
      </w:r>
      <w:r w:rsidR="00144470" w:rsidRPr="00002A62">
        <w:rPr>
          <w:bCs/>
          <w:iCs/>
          <w:szCs w:val="22"/>
        </w:rPr>
        <w:t>.</w:t>
      </w:r>
      <w:r w:rsidR="005C7DCC" w:rsidRPr="00002A62">
        <w:rPr>
          <w:bCs/>
          <w:iCs/>
          <w:szCs w:val="22"/>
        </w:rPr>
        <w:t xml:space="preserve"> The </w:t>
      </w:r>
      <w:r w:rsidR="00B87F80" w:rsidRPr="00002A62">
        <w:rPr>
          <w:bCs/>
          <w:iCs/>
          <w:szCs w:val="22"/>
        </w:rPr>
        <w:t xml:space="preserve">PBAC agreed with the ESC </w:t>
      </w:r>
      <w:r w:rsidR="00E61E29" w:rsidRPr="00002A62">
        <w:rPr>
          <w:bCs/>
          <w:iCs/>
          <w:szCs w:val="22"/>
        </w:rPr>
        <w:t>that</w:t>
      </w:r>
      <w:r w:rsidR="005C7DCC" w:rsidRPr="00002A62">
        <w:rPr>
          <w:bCs/>
          <w:iCs/>
          <w:szCs w:val="22"/>
        </w:rPr>
        <w:t xml:space="preserve"> the </w:t>
      </w:r>
      <w:r w:rsidR="00E61E29" w:rsidRPr="00002A62">
        <w:rPr>
          <w:bCs/>
          <w:iCs/>
          <w:szCs w:val="22"/>
        </w:rPr>
        <w:t>difference in</w:t>
      </w:r>
      <w:r w:rsidR="005C7DCC" w:rsidRPr="00002A62">
        <w:rPr>
          <w:bCs/>
          <w:iCs/>
          <w:szCs w:val="22"/>
        </w:rPr>
        <w:t xml:space="preserve"> BMD between </w:t>
      </w:r>
      <w:r w:rsidR="00E61E29" w:rsidRPr="00002A62">
        <w:rPr>
          <w:bCs/>
          <w:iCs/>
          <w:szCs w:val="22"/>
        </w:rPr>
        <w:t xml:space="preserve">patients treated with </w:t>
      </w:r>
      <w:r w:rsidR="005C7DCC" w:rsidRPr="00002A62">
        <w:rPr>
          <w:bCs/>
          <w:iCs/>
          <w:szCs w:val="22"/>
        </w:rPr>
        <w:t>TAF and TDF was minimal,</w:t>
      </w:r>
      <w:r w:rsidR="00E61E29" w:rsidRPr="00002A62">
        <w:rPr>
          <w:bCs/>
          <w:iCs/>
          <w:szCs w:val="22"/>
        </w:rPr>
        <w:t xml:space="preserve"> and that this did not result in a significant difference in fracture risk.</w:t>
      </w:r>
      <w:r w:rsidR="001623F8" w:rsidRPr="00002A62">
        <w:rPr>
          <w:bCs/>
          <w:iCs/>
          <w:szCs w:val="22"/>
        </w:rPr>
        <w:t xml:space="preserve"> </w:t>
      </w:r>
    </w:p>
    <w:p w:rsidR="00052A7D" w:rsidRPr="00002A62" w:rsidRDefault="00052A7D" w:rsidP="00144470">
      <w:pPr>
        <w:pStyle w:val="ListParagraph"/>
        <w:widowControl/>
        <w:rPr>
          <w:b/>
          <w:sz w:val="20"/>
        </w:rPr>
      </w:pPr>
    </w:p>
    <w:p w:rsidR="00052A7D" w:rsidRPr="00002A62" w:rsidRDefault="00052A7D" w:rsidP="00052A7D">
      <w:pPr>
        <w:pStyle w:val="ListParagraph"/>
        <w:widowControl/>
        <w:numPr>
          <w:ilvl w:val="1"/>
          <w:numId w:val="7"/>
        </w:numPr>
        <w:rPr>
          <w:bCs/>
          <w:szCs w:val="22"/>
        </w:rPr>
      </w:pPr>
      <w:r w:rsidRPr="00002A62">
        <w:rPr>
          <w:bCs/>
          <w:szCs w:val="22"/>
        </w:rPr>
        <w:t xml:space="preserve">Table </w:t>
      </w:r>
      <w:r w:rsidR="00EC0F6E" w:rsidRPr="00002A62">
        <w:rPr>
          <w:bCs/>
          <w:szCs w:val="22"/>
        </w:rPr>
        <w:t>5</w:t>
      </w:r>
      <w:r w:rsidRPr="00002A62">
        <w:rPr>
          <w:bCs/>
          <w:szCs w:val="22"/>
        </w:rPr>
        <w:t xml:space="preserve"> summarises changes in serum creatinine and estimated glomerular filtration rate at Week 48 and 72 in Study 108 and 110.</w:t>
      </w:r>
    </w:p>
    <w:p w:rsidR="00052A7D" w:rsidRPr="00002A62" w:rsidRDefault="00052A7D" w:rsidP="00052A7D">
      <w:pPr>
        <w:pStyle w:val="ListParagraph"/>
        <w:widowControl/>
        <w:rPr>
          <w:b/>
          <w:sz w:val="20"/>
        </w:rPr>
      </w:pPr>
    </w:p>
    <w:p w:rsidR="00A917C2" w:rsidRDefault="00A917C2">
      <w:pPr>
        <w:widowControl/>
        <w:jc w:val="left"/>
        <w:rPr>
          <w:rFonts w:ascii="Arial Narrow" w:hAnsi="Arial Narrow"/>
          <w:b/>
          <w:sz w:val="20"/>
        </w:rPr>
      </w:pPr>
      <w:r>
        <w:rPr>
          <w:rFonts w:ascii="Arial Narrow" w:hAnsi="Arial Narrow"/>
          <w:b/>
          <w:sz w:val="20"/>
        </w:rPr>
        <w:br w:type="page"/>
      </w:r>
    </w:p>
    <w:p w:rsidR="005A6AB5" w:rsidRPr="00002A62" w:rsidRDefault="005A6AB5" w:rsidP="005B478C">
      <w:pPr>
        <w:widowControl/>
        <w:ind w:firstLine="720"/>
        <w:jc w:val="left"/>
        <w:rPr>
          <w:rFonts w:ascii="Arial Narrow" w:hAnsi="Arial Narrow"/>
          <w:b/>
          <w:sz w:val="20"/>
        </w:rPr>
      </w:pPr>
      <w:r w:rsidRPr="00002A62">
        <w:rPr>
          <w:rFonts w:ascii="Arial Narrow" w:hAnsi="Arial Narrow"/>
          <w:b/>
          <w:sz w:val="20"/>
        </w:rPr>
        <w:t xml:space="preserve">Table </w:t>
      </w:r>
      <w:r w:rsidR="00EC0F6E" w:rsidRPr="00002A62">
        <w:rPr>
          <w:rFonts w:ascii="Arial Narrow" w:hAnsi="Arial Narrow"/>
          <w:b/>
          <w:sz w:val="20"/>
        </w:rPr>
        <w:t>5</w:t>
      </w:r>
      <w:r w:rsidR="00ED54C1" w:rsidRPr="00002A62">
        <w:rPr>
          <w:rFonts w:ascii="Arial Narrow" w:hAnsi="Arial Narrow"/>
          <w:b/>
          <w:sz w:val="20"/>
        </w:rPr>
        <w:t>:</w:t>
      </w:r>
      <w:r w:rsidRPr="00002A62">
        <w:rPr>
          <w:rFonts w:ascii="Arial Narrow" w:hAnsi="Arial Narrow"/>
          <w:b/>
          <w:sz w:val="20"/>
        </w:rPr>
        <w:t xml:space="preserve"> Measures of renal function in Study 108 and Study 110 (combined)</w:t>
      </w:r>
    </w:p>
    <w:tbl>
      <w:tblPr>
        <w:tblStyle w:val="TableGrid"/>
        <w:tblW w:w="0" w:type="auto"/>
        <w:tblInd w:w="704" w:type="dxa"/>
        <w:tblLook w:val="04A0" w:firstRow="1" w:lastRow="0" w:firstColumn="1" w:lastColumn="0" w:noHBand="0" w:noVBand="1"/>
        <w:tblCaption w:val="Table 5: Measures of renal function in Study 108 and Study 110 (combined)"/>
      </w:tblPr>
      <w:tblGrid>
        <w:gridCol w:w="1951"/>
        <w:gridCol w:w="1053"/>
        <w:gridCol w:w="1053"/>
        <w:gridCol w:w="1073"/>
        <w:gridCol w:w="1053"/>
        <w:gridCol w:w="1056"/>
        <w:gridCol w:w="1073"/>
      </w:tblGrid>
      <w:tr w:rsidR="00051A54" w:rsidRPr="00002A62" w:rsidTr="00D6359D">
        <w:trPr>
          <w:tblHeader/>
        </w:trPr>
        <w:tc>
          <w:tcPr>
            <w:tcW w:w="1951" w:type="dxa"/>
            <w:vMerge w:val="restart"/>
            <w:vAlign w:val="center"/>
          </w:tcPr>
          <w:p w:rsidR="00051A54" w:rsidRPr="00002A62" w:rsidRDefault="00051A54" w:rsidP="00051A54">
            <w:pPr>
              <w:jc w:val="left"/>
              <w:rPr>
                <w:rFonts w:ascii="Arial Narrow" w:hAnsi="Arial Narrow"/>
                <w:b/>
                <w:iCs/>
                <w:sz w:val="20"/>
              </w:rPr>
            </w:pPr>
            <w:r w:rsidRPr="00002A62">
              <w:rPr>
                <w:rFonts w:ascii="Arial Narrow" w:hAnsi="Arial Narrow"/>
                <w:b/>
                <w:iCs/>
                <w:sz w:val="20"/>
              </w:rPr>
              <w:t>Renal function measurements</w:t>
            </w:r>
          </w:p>
        </w:tc>
        <w:tc>
          <w:tcPr>
            <w:tcW w:w="3179" w:type="dxa"/>
            <w:gridSpan w:val="3"/>
            <w:vAlign w:val="center"/>
          </w:tcPr>
          <w:p w:rsidR="00051A54" w:rsidRPr="00002A62" w:rsidRDefault="00051A54" w:rsidP="00166ED1">
            <w:pPr>
              <w:jc w:val="center"/>
              <w:rPr>
                <w:rFonts w:ascii="Arial Narrow" w:hAnsi="Arial Narrow"/>
                <w:b/>
                <w:bCs/>
                <w:iCs/>
                <w:sz w:val="20"/>
              </w:rPr>
            </w:pPr>
            <w:r w:rsidRPr="00002A62">
              <w:rPr>
                <w:rFonts w:ascii="Arial Narrow" w:hAnsi="Arial Narrow"/>
                <w:b/>
                <w:bCs/>
                <w:iCs/>
                <w:sz w:val="20"/>
              </w:rPr>
              <w:t>Week 48</w:t>
            </w:r>
          </w:p>
        </w:tc>
        <w:tc>
          <w:tcPr>
            <w:tcW w:w="3182" w:type="dxa"/>
            <w:gridSpan w:val="3"/>
            <w:vAlign w:val="center"/>
          </w:tcPr>
          <w:p w:rsidR="00051A54" w:rsidRPr="00002A62" w:rsidRDefault="00051A54" w:rsidP="00166ED1">
            <w:pPr>
              <w:jc w:val="center"/>
              <w:rPr>
                <w:rFonts w:ascii="Arial Narrow" w:hAnsi="Arial Narrow"/>
                <w:b/>
                <w:bCs/>
                <w:iCs/>
                <w:sz w:val="20"/>
              </w:rPr>
            </w:pPr>
            <w:r w:rsidRPr="00002A62">
              <w:rPr>
                <w:rFonts w:ascii="Arial Narrow" w:hAnsi="Arial Narrow"/>
                <w:b/>
                <w:bCs/>
                <w:iCs/>
                <w:sz w:val="20"/>
              </w:rPr>
              <w:t>Week 72</w:t>
            </w:r>
          </w:p>
        </w:tc>
      </w:tr>
      <w:tr w:rsidR="00051A54" w:rsidRPr="00002A62" w:rsidTr="00D6359D">
        <w:trPr>
          <w:tblHeader/>
        </w:trPr>
        <w:tc>
          <w:tcPr>
            <w:tcW w:w="1951" w:type="dxa"/>
            <w:vMerge/>
            <w:vAlign w:val="center"/>
          </w:tcPr>
          <w:p w:rsidR="00051A54" w:rsidRPr="00002A62" w:rsidRDefault="00051A54" w:rsidP="00166ED1">
            <w:pPr>
              <w:jc w:val="left"/>
              <w:rPr>
                <w:rFonts w:ascii="Arial Narrow" w:hAnsi="Arial Narrow"/>
                <w:iCs/>
                <w:sz w:val="20"/>
              </w:rPr>
            </w:pPr>
          </w:p>
        </w:tc>
        <w:tc>
          <w:tcPr>
            <w:tcW w:w="1053" w:type="dxa"/>
            <w:vAlign w:val="center"/>
          </w:tcPr>
          <w:p w:rsidR="00051A54" w:rsidRPr="00002A62" w:rsidRDefault="00051A54" w:rsidP="00166ED1">
            <w:pPr>
              <w:jc w:val="center"/>
              <w:rPr>
                <w:rFonts w:ascii="Arial Narrow" w:hAnsi="Arial Narrow"/>
                <w:b/>
                <w:bCs/>
                <w:iCs/>
                <w:sz w:val="20"/>
              </w:rPr>
            </w:pPr>
            <w:r w:rsidRPr="00002A62">
              <w:rPr>
                <w:rFonts w:ascii="Arial Narrow" w:hAnsi="Arial Narrow"/>
                <w:b/>
                <w:bCs/>
                <w:iCs/>
                <w:sz w:val="20"/>
              </w:rPr>
              <w:t>TAF (N=828)</w:t>
            </w:r>
          </w:p>
        </w:tc>
        <w:tc>
          <w:tcPr>
            <w:tcW w:w="1053" w:type="dxa"/>
            <w:vAlign w:val="center"/>
          </w:tcPr>
          <w:p w:rsidR="00051A54" w:rsidRPr="00002A62" w:rsidRDefault="00051A54" w:rsidP="00166ED1">
            <w:pPr>
              <w:jc w:val="center"/>
              <w:rPr>
                <w:rFonts w:ascii="Arial Narrow" w:hAnsi="Arial Narrow"/>
                <w:b/>
                <w:bCs/>
                <w:iCs/>
                <w:sz w:val="20"/>
              </w:rPr>
            </w:pPr>
            <w:r w:rsidRPr="00002A62">
              <w:rPr>
                <w:rFonts w:ascii="Arial Narrow" w:hAnsi="Arial Narrow"/>
                <w:b/>
                <w:bCs/>
                <w:iCs/>
                <w:sz w:val="20"/>
              </w:rPr>
              <w:t>TDF (N=418)</w:t>
            </w:r>
          </w:p>
        </w:tc>
        <w:tc>
          <w:tcPr>
            <w:tcW w:w="1073" w:type="dxa"/>
            <w:vAlign w:val="center"/>
          </w:tcPr>
          <w:p w:rsidR="00051A54" w:rsidRPr="00002A62" w:rsidRDefault="00051A54" w:rsidP="00166ED1">
            <w:pPr>
              <w:jc w:val="center"/>
              <w:rPr>
                <w:rFonts w:ascii="Arial Narrow" w:hAnsi="Arial Narrow"/>
                <w:b/>
                <w:bCs/>
                <w:iCs/>
                <w:sz w:val="20"/>
              </w:rPr>
            </w:pPr>
            <w:r w:rsidRPr="00002A62">
              <w:rPr>
                <w:rFonts w:ascii="Arial Narrow" w:hAnsi="Arial Narrow"/>
                <w:b/>
                <w:bCs/>
                <w:iCs/>
                <w:sz w:val="20"/>
              </w:rPr>
              <w:t>Mean difference</w:t>
            </w:r>
            <w:r w:rsidRPr="00002A62">
              <w:rPr>
                <w:rFonts w:ascii="Arial Narrow" w:hAnsi="Arial Narrow"/>
                <w:b/>
                <w:bCs/>
                <w:iCs/>
                <w:sz w:val="20"/>
                <w:vertAlign w:val="superscript"/>
              </w:rPr>
              <w:t>1</w:t>
            </w:r>
          </w:p>
        </w:tc>
        <w:tc>
          <w:tcPr>
            <w:tcW w:w="1053" w:type="dxa"/>
            <w:vAlign w:val="center"/>
          </w:tcPr>
          <w:p w:rsidR="00051A54" w:rsidRPr="00002A62" w:rsidRDefault="00051A54" w:rsidP="00166ED1">
            <w:pPr>
              <w:jc w:val="center"/>
              <w:rPr>
                <w:rFonts w:ascii="Arial Narrow" w:hAnsi="Arial Narrow"/>
                <w:b/>
                <w:bCs/>
                <w:iCs/>
                <w:sz w:val="20"/>
              </w:rPr>
            </w:pPr>
            <w:r w:rsidRPr="00002A62">
              <w:rPr>
                <w:rFonts w:ascii="Arial Narrow" w:hAnsi="Arial Narrow"/>
                <w:b/>
                <w:bCs/>
                <w:iCs/>
                <w:sz w:val="20"/>
              </w:rPr>
              <w:t>TAF (N=818)</w:t>
            </w:r>
          </w:p>
        </w:tc>
        <w:tc>
          <w:tcPr>
            <w:tcW w:w="1056" w:type="dxa"/>
            <w:vAlign w:val="center"/>
          </w:tcPr>
          <w:p w:rsidR="00051A54" w:rsidRPr="00002A62" w:rsidRDefault="00051A54" w:rsidP="00166ED1">
            <w:pPr>
              <w:jc w:val="center"/>
              <w:rPr>
                <w:rFonts w:ascii="Arial Narrow" w:hAnsi="Arial Narrow"/>
                <w:b/>
                <w:bCs/>
                <w:iCs/>
                <w:sz w:val="20"/>
              </w:rPr>
            </w:pPr>
            <w:r w:rsidRPr="00002A62">
              <w:rPr>
                <w:rFonts w:ascii="Arial Narrow" w:hAnsi="Arial Narrow"/>
                <w:b/>
                <w:bCs/>
                <w:iCs/>
                <w:sz w:val="20"/>
              </w:rPr>
              <w:t>TDF (N=399)</w:t>
            </w:r>
          </w:p>
        </w:tc>
        <w:tc>
          <w:tcPr>
            <w:tcW w:w="1073" w:type="dxa"/>
            <w:vAlign w:val="center"/>
          </w:tcPr>
          <w:p w:rsidR="00051A54" w:rsidRPr="00002A62" w:rsidRDefault="00051A54" w:rsidP="00166ED1">
            <w:pPr>
              <w:jc w:val="center"/>
              <w:rPr>
                <w:rFonts w:ascii="Arial Narrow" w:hAnsi="Arial Narrow"/>
                <w:b/>
                <w:bCs/>
                <w:iCs/>
                <w:sz w:val="20"/>
              </w:rPr>
            </w:pPr>
            <w:r w:rsidRPr="00002A62">
              <w:rPr>
                <w:rFonts w:ascii="Arial Narrow" w:hAnsi="Arial Narrow"/>
                <w:b/>
                <w:bCs/>
                <w:iCs/>
                <w:sz w:val="20"/>
              </w:rPr>
              <w:t>Mean difference</w:t>
            </w:r>
            <w:r w:rsidRPr="00002A62">
              <w:rPr>
                <w:rFonts w:ascii="Arial Narrow" w:hAnsi="Arial Narrow"/>
                <w:b/>
                <w:bCs/>
                <w:iCs/>
                <w:sz w:val="20"/>
                <w:vertAlign w:val="superscript"/>
              </w:rPr>
              <w:t>1</w:t>
            </w:r>
          </w:p>
        </w:tc>
      </w:tr>
      <w:tr w:rsidR="005A6AB5" w:rsidRPr="00002A62" w:rsidTr="00B2041D">
        <w:tc>
          <w:tcPr>
            <w:tcW w:w="1951" w:type="dxa"/>
            <w:vAlign w:val="center"/>
          </w:tcPr>
          <w:p w:rsidR="005A6AB5" w:rsidRPr="00002A62" w:rsidRDefault="005A6AB5" w:rsidP="00166ED1">
            <w:pPr>
              <w:jc w:val="left"/>
              <w:rPr>
                <w:rFonts w:ascii="Arial Narrow" w:hAnsi="Arial Narrow"/>
                <w:iCs/>
                <w:sz w:val="20"/>
              </w:rPr>
            </w:pPr>
            <w:r w:rsidRPr="00002A62">
              <w:rPr>
                <w:rFonts w:ascii="Arial Narrow" w:hAnsi="Arial Narrow"/>
                <w:iCs/>
                <w:sz w:val="20"/>
              </w:rPr>
              <w:t>Change from baseline in serum creatinine (</w:t>
            </w:r>
            <w:r w:rsidR="00F1578A" w:rsidRPr="00002A62">
              <w:rPr>
                <w:rFonts w:ascii="Arial Narrow" w:hAnsi="Arial Narrow"/>
                <w:iCs/>
                <w:sz w:val="20"/>
              </w:rPr>
              <w:t xml:space="preserve"> mg</w:t>
            </w:r>
            <w:r w:rsidRPr="00002A62">
              <w:rPr>
                <w:rFonts w:ascii="Arial Narrow" w:hAnsi="Arial Narrow"/>
                <w:iCs/>
                <w:sz w:val="20"/>
              </w:rPr>
              <w:t>/dL), mean(SD)</w:t>
            </w:r>
          </w:p>
        </w:tc>
        <w:tc>
          <w:tcPr>
            <w:tcW w:w="1053" w:type="dxa"/>
            <w:vAlign w:val="center"/>
          </w:tcPr>
          <w:p w:rsidR="005A6AB5" w:rsidRPr="00002A62" w:rsidRDefault="005A6AB5" w:rsidP="00166ED1">
            <w:pPr>
              <w:jc w:val="center"/>
              <w:rPr>
                <w:rFonts w:ascii="Arial Narrow" w:hAnsi="Arial Narrow"/>
                <w:iCs/>
                <w:sz w:val="20"/>
              </w:rPr>
            </w:pPr>
            <w:r w:rsidRPr="00002A62">
              <w:rPr>
                <w:rFonts w:ascii="Arial Narrow" w:hAnsi="Arial Narrow"/>
                <w:iCs/>
                <w:sz w:val="20"/>
              </w:rPr>
              <w:t>0.010</w:t>
            </w:r>
          </w:p>
          <w:p w:rsidR="005A6AB5" w:rsidRPr="00002A62" w:rsidRDefault="005A6AB5" w:rsidP="00166ED1">
            <w:pPr>
              <w:jc w:val="center"/>
              <w:rPr>
                <w:rFonts w:ascii="Arial Narrow" w:hAnsi="Arial Narrow"/>
                <w:iCs/>
                <w:sz w:val="20"/>
              </w:rPr>
            </w:pPr>
            <w:r w:rsidRPr="00002A62">
              <w:rPr>
                <w:rFonts w:ascii="Arial Narrow" w:hAnsi="Arial Narrow"/>
                <w:iCs/>
                <w:sz w:val="20"/>
              </w:rPr>
              <w:t>(0.1140)</w:t>
            </w:r>
          </w:p>
        </w:tc>
        <w:tc>
          <w:tcPr>
            <w:tcW w:w="1053" w:type="dxa"/>
            <w:vAlign w:val="center"/>
          </w:tcPr>
          <w:p w:rsidR="005A6AB5" w:rsidRPr="00002A62" w:rsidRDefault="005A6AB5" w:rsidP="00166ED1">
            <w:pPr>
              <w:jc w:val="center"/>
              <w:rPr>
                <w:rFonts w:ascii="Arial Narrow" w:hAnsi="Arial Narrow"/>
                <w:iCs/>
                <w:sz w:val="20"/>
              </w:rPr>
            </w:pPr>
            <w:r w:rsidRPr="00002A62">
              <w:rPr>
                <w:rFonts w:ascii="Arial Narrow" w:hAnsi="Arial Narrow"/>
                <w:iCs/>
                <w:sz w:val="20"/>
              </w:rPr>
              <w:t>0.024</w:t>
            </w:r>
          </w:p>
          <w:p w:rsidR="005A6AB5" w:rsidRPr="00002A62" w:rsidRDefault="005A6AB5" w:rsidP="00166ED1">
            <w:pPr>
              <w:jc w:val="center"/>
              <w:rPr>
                <w:rFonts w:ascii="Arial Narrow" w:hAnsi="Arial Narrow"/>
                <w:iCs/>
                <w:sz w:val="20"/>
              </w:rPr>
            </w:pPr>
            <w:r w:rsidRPr="00002A62">
              <w:rPr>
                <w:rFonts w:ascii="Arial Narrow" w:hAnsi="Arial Narrow"/>
                <w:iCs/>
                <w:sz w:val="20"/>
              </w:rPr>
              <w:t>(0.0974)</w:t>
            </w:r>
          </w:p>
        </w:tc>
        <w:tc>
          <w:tcPr>
            <w:tcW w:w="1073" w:type="dxa"/>
            <w:vAlign w:val="center"/>
          </w:tcPr>
          <w:p w:rsidR="005A6AB5" w:rsidRPr="00002A62" w:rsidRDefault="005A6AB5" w:rsidP="00166ED1">
            <w:pPr>
              <w:jc w:val="center"/>
              <w:rPr>
                <w:rFonts w:ascii="Arial Narrow" w:hAnsi="Arial Narrow"/>
                <w:b/>
                <w:bCs/>
                <w:iCs/>
                <w:sz w:val="20"/>
              </w:rPr>
            </w:pPr>
            <w:r w:rsidRPr="00002A62">
              <w:rPr>
                <w:rFonts w:ascii="Arial Narrow" w:hAnsi="Arial Narrow"/>
                <w:b/>
                <w:bCs/>
                <w:iCs/>
                <w:sz w:val="20"/>
              </w:rPr>
              <w:t>0.014,</w:t>
            </w:r>
          </w:p>
          <w:p w:rsidR="005A6AB5" w:rsidRPr="00002A62" w:rsidRDefault="005A6AB5" w:rsidP="00166ED1">
            <w:pPr>
              <w:jc w:val="center"/>
              <w:rPr>
                <w:rFonts w:ascii="Arial Narrow" w:hAnsi="Arial Narrow"/>
                <w:iCs/>
                <w:sz w:val="20"/>
                <w:vertAlign w:val="superscript"/>
              </w:rPr>
            </w:pPr>
            <w:r w:rsidRPr="00002A62">
              <w:rPr>
                <w:rFonts w:ascii="Arial Narrow" w:hAnsi="Arial Narrow"/>
                <w:b/>
                <w:bCs/>
                <w:iCs/>
                <w:sz w:val="20"/>
              </w:rPr>
              <w:t>P=0.012</w:t>
            </w:r>
            <w:r w:rsidRPr="00002A62">
              <w:rPr>
                <w:rFonts w:ascii="Arial Narrow" w:hAnsi="Arial Narrow"/>
                <w:b/>
                <w:bCs/>
                <w:iCs/>
                <w:sz w:val="20"/>
                <w:vertAlign w:val="superscript"/>
              </w:rPr>
              <w:t>2</w:t>
            </w:r>
          </w:p>
        </w:tc>
        <w:tc>
          <w:tcPr>
            <w:tcW w:w="1053" w:type="dxa"/>
            <w:vAlign w:val="center"/>
          </w:tcPr>
          <w:p w:rsidR="005A6AB5" w:rsidRPr="00002A62" w:rsidRDefault="005A6AB5" w:rsidP="00166ED1">
            <w:pPr>
              <w:jc w:val="center"/>
              <w:rPr>
                <w:rFonts w:ascii="Arial Narrow" w:hAnsi="Arial Narrow"/>
                <w:iCs/>
                <w:sz w:val="20"/>
              </w:rPr>
            </w:pPr>
            <w:r w:rsidRPr="00002A62">
              <w:rPr>
                <w:rFonts w:ascii="Arial Narrow" w:hAnsi="Arial Narrow"/>
                <w:iCs/>
                <w:sz w:val="20"/>
              </w:rPr>
              <w:t>0.009</w:t>
            </w:r>
          </w:p>
          <w:p w:rsidR="005A6AB5" w:rsidRPr="00002A62" w:rsidRDefault="005A6AB5" w:rsidP="00166ED1">
            <w:pPr>
              <w:jc w:val="center"/>
              <w:rPr>
                <w:rFonts w:ascii="Arial Narrow" w:hAnsi="Arial Narrow"/>
                <w:iCs/>
                <w:sz w:val="20"/>
              </w:rPr>
            </w:pPr>
            <w:r w:rsidRPr="00002A62">
              <w:rPr>
                <w:rFonts w:ascii="Arial Narrow" w:hAnsi="Arial Narrow"/>
                <w:iCs/>
                <w:sz w:val="20"/>
              </w:rPr>
              <w:t>(0.0933)</w:t>
            </w:r>
          </w:p>
        </w:tc>
        <w:tc>
          <w:tcPr>
            <w:tcW w:w="1056" w:type="dxa"/>
            <w:vAlign w:val="center"/>
          </w:tcPr>
          <w:p w:rsidR="005A6AB5" w:rsidRPr="00002A62" w:rsidRDefault="005A6AB5" w:rsidP="00166ED1">
            <w:pPr>
              <w:jc w:val="center"/>
              <w:rPr>
                <w:rFonts w:ascii="Arial Narrow" w:hAnsi="Arial Narrow"/>
                <w:iCs/>
                <w:sz w:val="20"/>
              </w:rPr>
            </w:pPr>
            <w:r w:rsidRPr="00002A62">
              <w:rPr>
                <w:rFonts w:ascii="Arial Narrow" w:hAnsi="Arial Narrow"/>
                <w:iCs/>
                <w:sz w:val="20"/>
              </w:rPr>
              <w:t>0.016</w:t>
            </w:r>
          </w:p>
          <w:p w:rsidR="005A6AB5" w:rsidRPr="00002A62" w:rsidRDefault="005A6AB5" w:rsidP="00166ED1">
            <w:pPr>
              <w:jc w:val="center"/>
              <w:rPr>
                <w:rFonts w:ascii="Arial Narrow" w:hAnsi="Arial Narrow"/>
                <w:iCs/>
                <w:sz w:val="20"/>
              </w:rPr>
            </w:pPr>
            <w:r w:rsidRPr="00002A62">
              <w:rPr>
                <w:rFonts w:ascii="Arial Narrow" w:hAnsi="Arial Narrow"/>
                <w:iCs/>
                <w:sz w:val="20"/>
              </w:rPr>
              <w:t>(0.0911)</w:t>
            </w:r>
          </w:p>
        </w:tc>
        <w:tc>
          <w:tcPr>
            <w:tcW w:w="1073" w:type="dxa"/>
            <w:vAlign w:val="center"/>
          </w:tcPr>
          <w:p w:rsidR="005A6AB5" w:rsidRPr="00002A62" w:rsidRDefault="005A6AB5" w:rsidP="00166ED1">
            <w:pPr>
              <w:jc w:val="center"/>
              <w:rPr>
                <w:rFonts w:ascii="Arial Narrow" w:hAnsi="Arial Narrow"/>
                <w:iCs/>
                <w:sz w:val="20"/>
              </w:rPr>
            </w:pPr>
            <w:r w:rsidRPr="00002A62">
              <w:rPr>
                <w:rFonts w:ascii="Arial Narrow" w:hAnsi="Arial Narrow"/>
                <w:iCs/>
                <w:sz w:val="20"/>
              </w:rPr>
              <w:t>0.007,</w:t>
            </w:r>
          </w:p>
          <w:p w:rsidR="005A6AB5" w:rsidRPr="00002A62" w:rsidRDefault="005A6AB5" w:rsidP="00166ED1">
            <w:pPr>
              <w:jc w:val="center"/>
              <w:rPr>
                <w:rFonts w:ascii="Arial Narrow" w:hAnsi="Arial Narrow"/>
                <w:iCs/>
                <w:sz w:val="20"/>
                <w:vertAlign w:val="superscript"/>
              </w:rPr>
            </w:pPr>
            <w:r w:rsidRPr="00002A62">
              <w:rPr>
                <w:rFonts w:ascii="Arial Narrow" w:hAnsi="Arial Narrow"/>
                <w:iCs/>
                <w:sz w:val="20"/>
              </w:rPr>
              <w:t>P=0.11</w:t>
            </w:r>
            <w:r w:rsidRPr="00002A62">
              <w:rPr>
                <w:rFonts w:ascii="Arial Narrow" w:hAnsi="Arial Narrow"/>
                <w:iCs/>
                <w:sz w:val="20"/>
                <w:vertAlign w:val="superscript"/>
              </w:rPr>
              <w:t>2</w:t>
            </w:r>
          </w:p>
        </w:tc>
      </w:tr>
      <w:tr w:rsidR="005A6AB5" w:rsidRPr="00002A62" w:rsidTr="00B2041D">
        <w:tc>
          <w:tcPr>
            <w:tcW w:w="1951" w:type="dxa"/>
            <w:vAlign w:val="center"/>
          </w:tcPr>
          <w:p w:rsidR="005A6AB5" w:rsidRPr="00002A62" w:rsidRDefault="005A6AB5" w:rsidP="00166ED1">
            <w:pPr>
              <w:jc w:val="left"/>
              <w:rPr>
                <w:rFonts w:ascii="Arial Narrow" w:hAnsi="Arial Narrow"/>
                <w:iCs/>
                <w:sz w:val="20"/>
              </w:rPr>
            </w:pPr>
            <w:r w:rsidRPr="00002A62">
              <w:rPr>
                <w:rFonts w:ascii="Arial Narrow" w:hAnsi="Arial Narrow"/>
                <w:iCs/>
                <w:sz w:val="20"/>
              </w:rPr>
              <w:t>Change from baseline in eGRFCG (mL/Min), median (Q1,Q3)</w:t>
            </w:r>
          </w:p>
        </w:tc>
        <w:tc>
          <w:tcPr>
            <w:tcW w:w="1053" w:type="dxa"/>
            <w:vAlign w:val="center"/>
          </w:tcPr>
          <w:p w:rsidR="005A6AB5" w:rsidRPr="00002A62" w:rsidRDefault="005A6AB5" w:rsidP="00166ED1">
            <w:pPr>
              <w:jc w:val="center"/>
              <w:rPr>
                <w:rFonts w:ascii="Arial Narrow" w:hAnsi="Arial Narrow"/>
                <w:iCs/>
                <w:sz w:val="20"/>
              </w:rPr>
            </w:pPr>
            <w:r w:rsidRPr="00002A62">
              <w:rPr>
                <w:rFonts w:ascii="Arial Narrow" w:hAnsi="Arial Narrow"/>
                <w:iCs/>
                <w:sz w:val="20"/>
              </w:rPr>
              <w:t>-1.2</w:t>
            </w:r>
          </w:p>
          <w:p w:rsidR="005A6AB5" w:rsidRPr="00002A62" w:rsidRDefault="005A6AB5" w:rsidP="00166ED1">
            <w:pPr>
              <w:jc w:val="center"/>
              <w:rPr>
                <w:rFonts w:ascii="Arial Narrow" w:hAnsi="Arial Narrow"/>
                <w:iCs/>
                <w:sz w:val="20"/>
              </w:rPr>
            </w:pPr>
            <w:r w:rsidRPr="00002A62">
              <w:rPr>
                <w:rFonts w:ascii="Arial Narrow" w:hAnsi="Arial Narrow"/>
                <w:iCs/>
                <w:sz w:val="20"/>
              </w:rPr>
              <w:t>(-8.4, 7.3)</w:t>
            </w:r>
          </w:p>
        </w:tc>
        <w:tc>
          <w:tcPr>
            <w:tcW w:w="1053" w:type="dxa"/>
            <w:vAlign w:val="center"/>
          </w:tcPr>
          <w:p w:rsidR="005A6AB5" w:rsidRPr="00002A62" w:rsidRDefault="005A6AB5" w:rsidP="00166ED1">
            <w:pPr>
              <w:jc w:val="center"/>
              <w:rPr>
                <w:rFonts w:ascii="Arial Narrow" w:hAnsi="Arial Narrow"/>
                <w:iCs/>
                <w:sz w:val="20"/>
              </w:rPr>
            </w:pPr>
            <w:r w:rsidRPr="00002A62">
              <w:rPr>
                <w:rFonts w:ascii="Arial Narrow" w:hAnsi="Arial Narrow"/>
                <w:iCs/>
                <w:sz w:val="20"/>
              </w:rPr>
              <w:t>-5.1</w:t>
            </w:r>
          </w:p>
          <w:p w:rsidR="005A6AB5" w:rsidRPr="00002A62" w:rsidRDefault="005A6AB5" w:rsidP="00166ED1">
            <w:pPr>
              <w:jc w:val="center"/>
              <w:rPr>
                <w:rFonts w:ascii="Arial Narrow" w:hAnsi="Arial Narrow"/>
                <w:iCs/>
                <w:sz w:val="20"/>
              </w:rPr>
            </w:pPr>
            <w:r w:rsidRPr="00002A62">
              <w:rPr>
                <w:rFonts w:ascii="Arial Narrow" w:hAnsi="Arial Narrow"/>
                <w:iCs/>
                <w:sz w:val="20"/>
              </w:rPr>
              <w:t>(-12.0, 3.0)</w:t>
            </w:r>
          </w:p>
        </w:tc>
        <w:tc>
          <w:tcPr>
            <w:tcW w:w="1073" w:type="dxa"/>
            <w:vAlign w:val="center"/>
          </w:tcPr>
          <w:p w:rsidR="005A6AB5" w:rsidRPr="00002A62" w:rsidRDefault="005A6AB5" w:rsidP="00166ED1">
            <w:pPr>
              <w:jc w:val="center"/>
              <w:rPr>
                <w:rFonts w:ascii="Arial Narrow" w:hAnsi="Arial Narrow"/>
                <w:b/>
                <w:bCs/>
                <w:iCs/>
                <w:sz w:val="20"/>
              </w:rPr>
            </w:pPr>
            <w:r w:rsidRPr="00002A62">
              <w:rPr>
                <w:rFonts w:ascii="Arial Narrow" w:hAnsi="Arial Narrow"/>
                <w:b/>
                <w:bCs/>
                <w:iCs/>
                <w:sz w:val="20"/>
              </w:rPr>
              <w:t>3.9</w:t>
            </w:r>
          </w:p>
          <w:p w:rsidR="005A6AB5" w:rsidRPr="00002A62" w:rsidRDefault="005A6AB5" w:rsidP="00166ED1">
            <w:pPr>
              <w:jc w:val="center"/>
              <w:rPr>
                <w:rFonts w:ascii="Arial Narrow" w:hAnsi="Arial Narrow"/>
                <w:iCs/>
                <w:sz w:val="20"/>
                <w:vertAlign w:val="superscript"/>
              </w:rPr>
            </w:pPr>
            <w:r w:rsidRPr="00002A62">
              <w:rPr>
                <w:rFonts w:ascii="Arial Narrow" w:hAnsi="Arial Narrow"/>
                <w:b/>
                <w:bCs/>
                <w:iCs/>
                <w:sz w:val="20"/>
              </w:rPr>
              <w:t>p &lt;0.001</w:t>
            </w:r>
            <w:r w:rsidRPr="00002A62">
              <w:rPr>
                <w:rFonts w:ascii="Arial Narrow" w:hAnsi="Arial Narrow"/>
                <w:b/>
                <w:bCs/>
                <w:iCs/>
                <w:sz w:val="20"/>
                <w:vertAlign w:val="superscript"/>
              </w:rPr>
              <w:t>3</w:t>
            </w:r>
          </w:p>
        </w:tc>
        <w:tc>
          <w:tcPr>
            <w:tcW w:w="1053" w:type="dxa"/>
            <w:vAlign w:val="center"/>
          </w:tcPr>
          <w:p w:rsidR="005A6AB5" w:rsidRPr="00002A62" w:rsidRDefault="005A6AB5" w:rsidP="00166ED1">
            <w:pPr>
              <w:jc w:val="center"/>
              <w:rPr>
                <w:rFonts w:ascii="Arial Narrow" w:hAnsi="Arial Narrow"/>
                <w:iCs/>
                <w:sz w:val="20"/>
              </w:rPr>
            </w:pPr>
            <w:r w:rsidRPr="00002A62">
              <w:rPr>
                <w:rFonts w:ascii="Arial Narrow" w:hAnsi="Arial Narrow"/>
                <w:iCs/>
                <w:sz w:val="20"/>
              </w:rPr>
              <w:t>-0.6</w:t>
            </w:r>
          </w:p>
          <w:p w:rsidR="005A6AB5" w:rsidRPr="00002A62" w:rsidRDefault="005A6AB5" w:rsidP="00166ED1">
            <w:pPr>
              <w:jc w:val="center"/>
              <w:rPr>
                <w:rFonts w:ascii="Arial Narrow" w:hAnsi="Arial Narrow"/>
                <w:iCs/>
                <w:sz w:val="20"/>
              </w:rPr>
            </w:pPr>
            <w:r w:rsidRPr="00002A62">
              <w:rPr>
                <w:rFonts w:ascii="Arial Narrow" w:hAnsi="Arial Narrow"/>
                <w:iCs/>
                <w:sz w:val="20"/>
              </w:rPr>
              <w:t>(-9.0,7.8)</w:t>
            </w:r>
          </w:p>
        </w:tc>
        <w:tc>
          <w:tcPr>
            <w:tcW w:w="1056" w:type="dxa"/>
            <w:vAlign w:val="center"/>
          </w:tcPr>
          <w:p w:rsidR="005A6AB5" w:rsidRPr="00002A62" w:rsidRDefault="005A6AB5" w:rsidP="00166ED1">
            <w:pPr>
              <w:jc w:val="center"/>
              <w:rPr>
                <w:rFonts w:ascii="Arial Narrow" w:hAnsi="Arial Narrow"/>
                <w:iCs/>
                <w:sz w:val="20"/>
              </w:rPr>
            </w:pPr>
            <w:r w:rsidRPr="00002A62">
              <w:rPr>
                <w:rFonts w:ascii="Arial Narrow" w:hAnsi="Arial Narrow"/>
                <w:iCs/>
                <w:sz w:val="20"/>
              </w:rPr>
              <w:t>-4.2</w:t>
            </w:r>
          </w:p>
          <w:p w:rsidR="005A6AB5" w:rsidRPr="00002A62" w:rsidRDefault="005A6AB5" w:rsidP="00166ED1">
            <w:pPr>
              <w:jc w:val="center"/>
              <w:rPr>
                <w:rFonts w:ascii="Arial Narrow" w:hAnsi="Arial Narrow"/>
                <w:iCs/>
                <w:sz w:val="20"/>
              </w:rPr>
            </w:pPr>
            <w:r w:rsidRPr="00002A62">
              <w:rPr>
                <w:rFonts w:ascii="Arial Narrow" w:hAnsi="Arial Narrow"/>
                <w:iCs/>
                <w:sz w:val="20"/>
              </w:rPr>
              <w:t>(-12.0,3.6)</w:t>
            </w:r>
          </w:p>
        </w:tc>
        <w:tc>
          <w:tcPr>
            <w:tcW w:w="1073" w:type="dxa"/>
            <w:vAlign w:val="center"/>
          </w:tcPr>
          <w:p w:rsidR="005A6AB5" w:rsidRPr="00002A62" w:rsidRDefault="005A6AB5" w:rsidP="00166ED1">
            <w:pPr>
              <w:jc w:val="center"/>
              <w:rPr>
                <w:rFonts w:ascii="Arial Narrow" w:hAnsi="Arial Narrow"/>
                <w:b/>
                <w:bCs/>
                <w:iCs/>
                <w:sz w:val="20"/>
              </w:rPr>
            </w:pPr>
            <w:r w:rsidRPr="00002A62">
              <w:rPr>
                <w:rFonts w:ascii="Arial Narrow" w:hAnsi="Arial Narrow"/>
                <w:b/>
                <w:bCs/>
                <w:iCs/>
                <w:sz w:val="20"/>
              </w:rPr>
              <w:t>3.6</w:t>
            </w:r>
          </w:p>
          <w:p w:rsidR="005A6AB5" w:rsidRPr="00002A62" w:rsidRDefault="005A6AB5" w:rsidP="00166ED1">
            <w:pPr>
              <w:jc w:val="center"/>
              <w:rPr>
                <w:rFonts w:ascii="Arial Narrow" w:hAnsi="Arial Narrow"/>
                <w:iCs/>
                <w:sz w:val="20"/>
                <w:vertAlign w:val="superscript"/>
              </w:rPr>
            </w:pPr>
            <w:r w:rsidRPr="00002A62">
              <w:rPr>
                <w:rFonts w:ascii="Arial Narrow" w:hAnsi="Arial Narrow"/>
                <w:b/>
                <w:bCs/>
                <w:iCs/>
                <w:sz w:val="20"/>
              </w:rPr>
              <w:t>p&lt;0.001</w:t>
            </w:r>
            <w:r w:rsidRPr="00002A62">
              <w:rPr>
                <w:rFonts w:ascii="Arial Narrow" w:hAnsi="Arial Narrow"/>
                <w:b/>
                <w:bCs/>
                <w:iCs/>
                <w:sz w:val="20"/>
                <w:vertAlign w:val="superscript"/>
              </w:rPr>
              <w:t>3</w:t>
            </w:r>
          </w:p>
        </w:tc>
      </w:tr>
    </w:tbl>
    <w:p w:rsidR="005A6AB5" w:rsidRPr="00002A62" w:rsidRDefault="005A6AB5" w:rsidP="00215F98">
      <w:pPr>
        <w:ind w:left="720"/>
        <w:rPr>
          <w:rFonts w:ascii="Arial Narrow" w:hAnsi="Arial Narrow"/>
          <w:b/>
          <w:sz w:val="18"/>
          <w:szCs w:val="18"/>
        </w:rPr>
      </w:pPr>
      <w:bookmarkStart w:id="28" w:name="_Toc469319433"/>
      <w:bookmarkStart w:id="29" w:name="_Toc472330168"/>
      <w:bookmarkStart w:id="30" w:name="_Toc472330239"/>
      <w:r w:rsidRPr="00002A62">
        <w:rPr>
          <w:rFonts w:ascii="Arial Narrow" w:hAnsi="Arial Narrow"/>
          <w:sz w:val="18"/>
          <w:szCs w:val="18"/>
        </w:rPr>
        <w:t>Abbreviation: TAF = tenofovir alafenamide, TDF = tenofovir disoproxil fumarate, eGRFCV = estimated glomerular filtration rate according to Cockcroft-Gault formula</w:t>
      </w:r>
      <w:bookmarkEnd w:id="28"/>
      <w:bookmarkEnd w:id="29"/>
      <w:bookmarkEnd w:id="30"/>
    </w:p>
    <w:p w:rsidR="005A6AB5" w:rsidRPr="00002A62" w:rsidRDefault="005A6AB5" w:rsidP="00215F98">
      <w:pPr>
        <w:ind w:left="720"/>
        <w:rPr>
          <w:rFonts w:ascii="Arial Narrow" w:hAnsi="Arial Narrow"/>
          <w:b/>
          <w:sz w:val="18"/>
          <w:szCs w:val="18"/>
        </w:rPr>
      </w:pPr>
      <w:bookmarkStart w:id="31" w:name="_Toc469319434"/>
      <w:bookmarkStart w:id="32" w:name="_Toc472330169"/>
      <w:bookmarkStart w:id="33" w:name="_Toc472330240"/>
      <w:r w:rsidRPr="00002A62">
        <w:rPr>
          <w:rFonts w:ascii="Arial Narrow" w:hAnsi="Arial Narrow"/>
          <w:sz w:val="18"/>
          <w:szCs w:val="18"/>
          <w:vertAlign w:val="superscript"/>
        </w:rPr>
        <w:t>1</w:t>
      </w:r>
      <w:r w:rsidRPr="00002A62">
        <w:rPr>
          <w:rFonts w:ascii="Arial Narrow" w:hAnsi="Arial Narrow"/>
          <w:sz w:val="18"/>
          <w:szCs w:val="18"/>
        </w:rPr>
        <w:t>Mean difference calculated during evaluation as simple arithmetic difference in the point estimate of TAF minus point estimate of TDF.</w:t>
      </w:r>
      <w:bookmarkEnd w:id="31"/>
      <w:bookmarkEnd w:id="32"/>
      <w:bookmarkEnd w:id="33"/>
      <w:r w:rsidRPr="00002A62">
        <w:rPr>
          <w:rFonts w:ascii="Arial Narrow" w:hAnsi="Arial Narrow"/>
          <w:sz w:val="18"/>
          <w:szCs w:val="18"/>
        </w:rPr>
        <w:t xml:space="preserve"> </w:t>
      </w:r>
    </w:p>
    <w:p w:rsidR="005A6AB5" w:rsidRPr="00002A62" w:rsidRDefault="005A6AB5" w:rsidP="00215F98">
      <w:pPr>
        <w:ind w:left="720"/>
        <w:rPr>
          <w:rFonts w:ascii="Arial Narrow" w:hAnsi="Arial Narrow"/>
          <w:b/>
          <w:sz w:val="18"/>
          <w:szCs w:val="18"/>
        </w:rPr>
      </w:pPr>
      <w:bookmarkStart w:id="34" w:name="_Toc469319435"/>
      <w:bookmarkStart w:id="35" w:name="_Toc472330170"/>
      <w:bookmarkStart w:id="36" w:name="_Toc472330241"/>
      <w:r w:rsidRPr="00002A62">
        <w:rPr>
          <w:rFonts w:ascii="Arial Narrow" w:hAnsi="Arial Narrow"/>
          <w:sz w:val="18"/>
          <w:szCs w:val="18"/>
          <w:vertAlign w:val="superscript"/>
        </w:rPr>
        <w:t>2</w:t>
      </w:r>
      <w:r w:rsidRPr="00002A62">
        <w:rPr>
          <w:rFonts w:ascii="Arial Narrow" w:hAnsi="Arial Narrow"/>
          <w:sz w:val="18"/>
          <w:szCs w:val="18"/>
        </w:rPr>
        <w:t>P values from ANCOVA model including treatment as fixed effect and baseline serum creatinine as covariate</w:t>
      </w:r>
      <w:bookmarkEnd w:id="34"/>
      <w:bookmarkEnd w:id="35"/>
      <w:bookmarkEnd w:id="36"/>
    </w:p>
    <w:p w:rsidR="005A6AB5" w:rsidRPr="00002A62" w:rsidRDefault="005A6AB5" w:rsidP="00215F98">
      <w:pPr>
        <w:ind w:left="720"/>
        <w:rPr>
          <w:rFonts w:ascii="Arial Narrow" w:hAnsi="Arial Narrow"/>
          <w:b/>
          <w:sz w:val="18"/>
          <w:szCs w:val="18"/>
        </w:rPr>
      </w:pPr>
      <w:bookmarkStart w:id="37" w:name="_Toc469319436"/>
      <w:bookmarkStart w:id="38" w:name="_Toc472330171"/>
      <w:bookmarkStart w:id="39" w:name="_Toc472330242"/>
      <w:r w:rsidRPr="00002A62">
        <w:rPr>
          <w:rFonts w:ascii="Arial Narrow" w:hAnsi="Arial Narrow"/>
          <w:sz w:val="18"/>
          <w:szCs w:val="18"/>
          <w:vertAlign w:val="superscript"/>
        </w:rPr>
        <w:t>3</w:t>
      </w:r>
      <w:r w:rsidRPr="00002A62">
        <w:rPr>
          <w:rFonts w:ascii="Arial Narrow" w:hAnsi="Arial Narrow"/>
          <w:sz w:val="18"/>
          <w:szCs w:val="18"/>
        </w:rPr>
        <w:t>P values from 2-sided Wilcoxon rank sum test to compare the two treatment groups</w:t>
      </w:r>
      <w:bookmarkEnd w:id="37"/>
      <w:bookmarkEnd w:id="38"/>
      <w:bookmarkEnd w:id="39"/>
    </w:p>
    <w:p w:rsidR="005A6AB5" w:rsidRPr="00002A62" w:rsidRDefault="005A6AB5" w:rsidP="00215F98">
      <w:pPr>
        <w:ind w:left="720"/>
        <w:rPr>
          <w:rFonts w:ascii="Arial Narrow" w:hAnsi="Arial Narrow"/>
          <w:b/>
          <w:sz w:val="18"/>
          <w:szCs w:val="18"/>
        </w:rPr>
      </w:pPr>
      <w:bookmarkStart w:id="40" w:name="_Toc469319437"/>
      <w:bookmarkStart w:id="41" w:name="_Toc472330172"/>
      <w:bookmarkStart w:id="42" w:name="_Toc472330243"/>
      <w:r w:rsidRPr="00002A62">
        <w:rPr>
          <w:rFonts w:ascii="Arial Narrow" w:hAnsi="Arial Narrow"/>
          <w:sz w:val="18"/>
          <w:szCs w:val="18"/>
        </w:rPr>
        <w:t>Text in bold indicate statistical significantly differences</w:t>
      </w:r>
      <w:bookmarkEnd w:id="40"/>
      <w:bookmarkEnd w:id="41"/>
      <w:bookmarkEnd w:id="42"/>
      <w:r w:rsidRPr="00002A62">
        <w:rPr>
          <w:rFonts w:ascii="Arial Narrow" w:hAnsi="Arial Narrow"/>
          <w:sz w:val="18"/>
          <w:szCs w:val="18"/>
        </w:rPr>
        <w:t xml:space="preserve"> </w:t>
      </w:r>
    </w:p>
    <w:p w:rsidR="005A6AB5" w:rsidRPr="00002A62" w:rsidRDefault="005A6AB5" w:rsidP="00215F98">
      <w:pPr>
        <w:ind w:left="720"/>
        <w:rPr>
          <w:rFonts w:ascii="Arial Narrow" w:hAnsi="Arial Narrow"/>
          <w:b/>
        </w:rPr>
      </w:pPr>
      <w:bookmarkStart w:id="43" w:name="_Toc469319438"/>
      <w:bookmarkStart w:id="44" w:name="_Toc472330173"/>
      <w:bookmarkStart w:id="45" w:name="_Toc472330244"/>
      <w:r w:rsidRPr="00002A62">
        <w:rPr>
          <w:rFonts w:ascii="Arial Narrow" w:hAnsi="Arial Narrow"/>
          <w:sz w:val="18"/>
          <w:szCs w:val="18"/>
        </w:rPr>
        <w:t>Source: Table B-33, p118 of the submission</w:t>
      </w:r>
      <w:bookmarkEnd w:id="43"/>
      <w:bookmarkEnd w:id="44"/>
      <w:bookmarkEnd w:id="45"/>
    </w:p>
    <w:p w:rsidR="005A6AB5" w:rsidRPr="00002A62" w:rsidRDefault="005A6AB5" w:rsidP="00B2041D">
      <w:pPr>
        <w:pStyle w:val="ListParagraph"/>
        <w:widowControl/>
        <w:rPr>
          <w:szCs w:val="22"/>
        </w:rPr>
      </w:pPr>
    </w:p>
    <w:p w:rsidR="00B2041D" w:rsidRPr="00002A62" w:rsidRDefault="007816AB" w:rsidP="00144470">
      <w:pPr>
        <w:pStyle w:val="ListParagraph"/>
        <w:widowControl/>
        <w:numPr>
          <w:ilvl w:val="1"/>
          <w:numId w:val="7"/>
        </w:numPr>
        <w:rPr>
          <w:iCs/>
          <w:szCs w:val="22"/>
        </w:rPr>
      </w:pPr>
      <w:r w:rsidRPr="00002A62">
        <w:rPr>
          <w:iCs/>
          <w:szCs w:val="22"/>
        </w:rPr>
        <w:t xml:space="preserve">The PBAC noted that </w:t>
      </w:r>
      <w:r w:rsidR="00C9778B" w:rsidRPr="00002A62">
        <w:rPr>
          <w:iCs/>
          <w:szCs w:val="22"/>
        </w:rPr>
        <w:t>p</w:t>
      </w:r>
      <w:r w:rsidR="00144470" w:rsidRPr="00002A62">
        <w:rPr>
          <w:iCs/>
          <w:szCs w:val="22"/>
        </w:rPr>
        <w:t>atients treated with TDF experienced slightly greater decrease in serum creatinine (SeCr) from baseline to Week 48 compared to patients treated with TAF</w:t>
      </w:r>
      <w:r w:rsidR="00716ED0" w:rsidRPr="00002A62">
        <w:rPr>
          <w:iCs/>
          <w:szCs w:val="22"/>
        </w:rPr>
        <w:t xml:space="preserve">. </w:t>
      </w:r>
      <w:r w:rsidR="00144470" w:rsidRPr="00002A62">
        <w:rPr>
          <w:iCs/>
          <w:szCs w:val="22"/>
        </w:rPr>
        <w:t>This difference was statistically significant for both mean and median difference</w:t>
      </w:r>
      <w:r w:rsidR="00051A54" w:rsidRPr="00002A62">
        <w:rPr>
          <w:iCs/>
          <w:szCs w:val="22"/>
        </w:rPr>
        <w:t>s</w:t>
      </w:r>
      <w:r w:rsidR="00144470" w:rsidRPr="00002A62">
        <w:rPr>
          <w:iCs/>
          <w:szCs w:val="22"/>
        </w:rPr>
        <w:t xml:space="preserve"> at Week 48, but </w:t>
      </w:r>
      <w:r w:rsidR="00847B94" w:rsidRPr="00002A62">
        <w:rPr>
          <w:iCs/>
          <w:szCs w:val="22"/>
        </w:rPr>
        <w:t xml:space="preserve">was </w:t>
      </w:r>
      <w:r w:rsidR="00051A54" w:rsidRPr="00002A62">
        <w:rPr>
          <w:iCs/>
          <w:szCs w:val="22"/>
        </w:rPr>
        <w:t>not</w:t>
      </w:r>
      <w:r w:rsidR="00144470" w:rsidRPr="00002A62">
        <w:rPr>
          <w:iCs/>
          <w:szCs w:val="22"/>
        </w:rPr>
        <w:t xml:space="preserve"> statistically significant </w:t>
      </w:r>
      <w:r w:rsidR="00051A54" w:rsidRPr="00002A62">
        <w:rPr>
          <w:iCs/>
          <w:szCs w:val="22"/>
        </w:rPr>
        <w:t xml:space="preserve">at </w:t>
      </w:r>
      <w:r w:rsidR="00144470" w:rsidRPr="00002A62">
        <w:rPr>
          <w:iCs/>
          <w:szCs w:val="22"/>
        </w:rPr>
        <w:t>Week 72 for mean difference</w:t>
      </w:r>
      <w:r w:rsidR="00051A54" w:rsidRPr="00002A62">
        <w:rPr>
          <w:iCs/>
          <w:szCs w:val="22"/>
        </w:rPr>
        <w:t>s</w:t>
      </w:r>
      <w:r w:rsidR="00716ED0" w:rsidRPr="00002A62">
        <w:rPr>
          <w:iCs/>
          <w:szCs w:val="22"/>
        </w:rPr>
        <w:t>.</w:t>
      </w:r>
      <w:r w:rsidR="00791FAF" w:rsidRPr="00002A62">
        <w:rPr>
          <w:iCs/>
          <w:szCs w:val="22"/>
        </w:rPr>
        <w:t xml:space="preserve"> </w:t>
      </w:r>
      <w:r w:rsidR="00144470" w:rsidRPr="00002A62">
        <w:rPr>
          <w:iCs/>
          <w:szCs w:val="22"/>
        </w:rPr>
        <w:t xml:space="preserve">This anomaly was not explained by the </w:t>
      </w:r>
      <w:r w:rsidR="00200670" w:rsidRPr="00002A62">
        <w:rPr>
          <w:iCs/>
          <w:szCs w:val="22"/>
        </w:rPr>
        <w:t>submission;</w:t>
      </w:r>
      <w:r w:rsidR="00144470" w:rsidRPr="00002A62">
        <w:rPr>
          <w:iCs/>
          <w:szCs w:val="22"/>
        </w:rPr>
        <w:t xml:space="preserve"> </w:t>
      </w:r>
      <w:r w:rsidR="00847B94" w:rsidRPr="00002A62">
        <w:rPr>
          <w:iCs/>
          <w:szCs w:val="22"/>
        </w:rPr>
        <w:t xml:space="preserve">however continued </w:t>
      </w:r>
      <w:r w:rsidR="00144470" w:rsidRPr="00002A62">
        <w:rPr>
          <w:iCs/>
          <w:szCs w:val="22"/>
        </w:rPr>
        <w:t>renal function decline</w:t>
      </w:r>
      <w:r w:rsidR="00847B94" w:rsidRPr="00002A62">
        <w:rPr>
          <w:iCs/>
          <w:szCs w:val="22"/>
        </w:rPr>
        <w:t>s</w:t>
      </w:r>
      <w:r w:rsidR="00144470" w:rsidRPr="00002A62">
        <w:rPr>
          <w:iCs/>
          <w:szCs w:val="22"/>
        </w:rPr>
        <w:t xml:space="preserve"> </w:t>
      </w:r>
      <w:r w:rsidR="00847B94" w:rsidRPr="00002A62">
        <w:rPr>
          <w:iCs/>
          <w:szCs w:val="22"/>
        </w:rPr>
        <w:t xml:space="preserve">would normally have been expected if </w:t>
      </w:r>
      <w:r w:rsidR="00144470" w:rsidRPr="00002A62">
        <w:rPr>
          <w:iCs/>
          <w:szCs w:val="22"/>
        </w:rPr>
        <w:t xml:space="preserve">there </w:t>
      </w:r>
      <w:r w:rsidR="00847B94" w:rsidRPr="00002A62">
        <w:rPr>
          <w:iCs/>
          <w:szCs w:val="22"/>
        </w:rPr>
        <w:t>is</w:t>
      </w:r>
      <w:r w:rsidR="00144470" w:rsidRPr="00002A62">
        <w:rPr>
          <w:iCs/>
          <w:szCs w:val="22"/>
        </w:rPr>
        <w:t xml:space="preserve"> a true difference between TAF and TDF in renal toxicity.</w:t>
      </w:r>
      <w:r w:rsidR="00DA4E11" w:rsidRPr="00002A62">
        <w:rPr>
          <w:iCs/>
          <w:szCs w:val="22"/>
        </w:rPr>
        <w:t xml:space="preserve"> </w:t>
      </w:r>
      <w:r w:rsidRPr="00002A62">
        <w:rPr>
          <w:iCs/>
          <w:szCs w:val="22"/>
        </w:rPr>
        <w:t>Similarly, t</w:t>
      </w:r>
      <w:r w:rsidR="0050543B" w:rsidRPr="00002A62">
        <w:rPr>
          <w:iCs/>
          <w:szCs w:val="22"/>
        </w:rPr>
        <w:t xml:space="preserve">he PBAC also noted that although there was a statistically significant mean difference in eGRFCG levels between TAF and TDF, </w:t>
      </w:r>
      <w:r w:rsidR="004B0611" w:rsidRPr="00002A62">
        <w:rPr>
          <w:iCs/>
          <w:szCs w:val="22"/>
        </w:rPr>
        <w:t>the mean difference did not appear to increase over time</w:t>
      </w:r>
      <w:r w:rsidR="0050543B" w:rsidRPr="00002A62">
        <w:rPr>
          <w:iCs/>
          <w:szCs w:val="22"/>
        </w:rPr>
        <w:t xml:space="preserve">. </w:t>
      </w:r>
    </w:p>
    <w:p w:rsidR="001B6315" w:rsidRPr="00002A62" w:rsidRDefault="001B6315" w:rsidP="001B6315">
      <w:pPr>
        <w:pStyle w:val="ListParagraph"/>
        <w:widowControl/>
        <w:rPr>
          <w:iCs/>
          <w:szCs w:val="22"/>
        </w:rPr>
      </w:pPr>
    </w:p>
    <w:p w:rsidR="006F7633" w:rsidRPr="00002A62" w:rsidRDefault="006F7633" w:rsidP="006F7633">
      <w:pPr>
        <w:pStyle w:val="ListParagraph"/>
        <w:numPr>
          <w:ilvl w:val="1"/>
          <w:numId w:val="7"/>
        </w:numPr>
        <w:rPr>
          <w:szCs w:val="22"/>
        </w:rPr>
      </w:pPr>
      <w:r w:rsidRPr="00002A62">
        <w:rPr>
          <w:szCs w:val="22"/>
        </w:rPr>
        <w:t>No other relevant safety issues were identified by the submission from any regulatory publications or other clinical studies of TAF. Post</w:t>
      </w:r>
      <w:r w:rsidR="003F3F1C" w:rsidRPr="00002A62">
        <w:rPr>
          <w:szCs w:val="22"/>
        </w:rPr>
        <w:t>-</w:t>
      </w:r>
      <w:r w:rsidRPr="00002A62">
        <w:rPr>
          <w:szCs w:val="22"/>
        </w:rPr>
        <w:t xml:space="preserve">marketing safety data was not presented by submission because at the time of </w:t>
      </w:r>
      <w:r w:rsidR="003F3F1C" w:rsidRPr="00002A62">
        <w:rPr>
          <w:szCs w:val="22"/>
        </w:rPr>
        <w:t xml:space="preserve">making the </w:t>
      </w:r>
      <w:r w:rsidR="00873360" w:rsidRPr="00002A62">
        <w:rPr>
          <w:szCs w:val="22"/>
        </w:rPr>
        <w:t>submission</w:t>
      </w:r>
      <w:r w:rsidRPr="00002A62">
        <w:rPr>
          <w:szCs w:val="22"/>
        </w:rPr>
        <w:t xml:space="preserve">, TAF as a single agent was unregistered in Australia and </w:t>
      </w:r>
      <w:r w:rsidR="003F3F1C" w:rsidRPr="00002A62">
        <w:rPr>
          <w:szCs w:val="22"/>
        </w:rPr>
        <w:t>internationally</w:t>
      </w:r>
      <w:r w:rsidRPr="00002A62">
        <w:rPr>
          <w:szCs w:val="22"/>
        </w:rPr>
        <w:t>.</w:t>
      </w:r>
      <w:r w:rsidR="00E000DA" w:rsidRPr="00002A62">
        <w:t xml:space="preserve"> </w:t>
      </w:r>
    </w:p>
    <w:p w:rsidR="006B328B" w:rsidRPr="00002A62" w:rsidRDefault="006B328B" w:rsidP="006B328B">
      <w:pPr>
        <w:rPr>
          <w:szCs w:val="22"/>
        </w:rPr>
      </w:pPr>
    </w:p>
    <w:p w:rsidR="00334AB3" w:rsidRPr="00002A62" w:rsidRDefault="006A3AED" w:rsidP="00334AB3">
      <w:pPr>
        <w:pStyle w:val="ListParagraph"/>
        <w:widowControl/>
        <w:numPr>
          <w:ilvl w:val="1"/>
          <w:numId w:val="7"/>
        </w:numPr>
        <w:rPr>
          <w:iCs/>
          <w:szCs w:val="22"/>
        </w:rPr>
      </w:pPr>
      <w:r w:rsidRPr="00002A62">
        <w:rPr>
          <w:iCs/>
        </w:rPr>
        <w:t xml:space="preserve">Although statically significant, the magnitude of difference </w:t>
      </w:r>
      <w:r w:rsidR="005A3656" w:rsidRPr="00002A62">
        <w:rPr>
          <w:iCs/>
        </w:rPr>
        <w:t xml:space="preserve">between TAF and TDF </w:t>
      </w:r>
      <w:r w:rsidRPr="00002A62">
        <w:rPr>
          <w:iCs/>
        </w:rPr>
        <w:t xml:space="preserve">in the safety outcomes </w:t>
      </w:r>
      <w:r w:rsidR="005A3656" w:rsidRPr="00002A62">
        <w:rPr>
          <w:iCs/>
        </w:rPr>
        <w:t>relating to</w:t>
      </w:r>
      <w:r w:rsidRPr="00002A62">
        <w:rPr>
          <w:iCs/>
        </w:rPr>
        <w:t xml:space="preserve"> BMD, </w:t>
      </w:r>
      <w:r w:rsidR="005A3656" w:rsidRPr="00002A62">
        <w:rPr>
          <w:iCs/>
        </w:rPr>
        <w:t>fracture risk, and SeCR</w:t>
      </w:r>
      <w:r w:rsidRPr="00002A62">
        <w:rPr>
          <w:iCs/>
        </w:rPr>
        <w:t xml:space="preserve">, was small and unlikely to translate to any clinically meaningful differences. </w:t>
      </w:r>
      <w:r w:rsidR="00334AB3" w:rsidRPr="00002A62">
        <w:rPr>
          <w:iCs/>
          <w:szCs w:val="22"/>
        </w:rPr>
        <w:t xml:space="preserve">The PSCR </w:t>
      </w:r>
      <w:r w:rsidR="0009424A" w:rsidRPr="00002A62">
        <w:rPr>
          <w:iCs/>
          <w:szCs w:val="22"/>
        </w:rPr>
        <w:t xml:space="preserve"> and pre-PBAC response </w:t>
      </w:r>
      <w:r w:rsidR="00334AB3" w:rsidRPr="00002A62">
        <w:rPr>
          <w:iCs/>
          <w:szCs w:val="22"/>
        </w:rPr>
        <w:t xml:space="preserve"> argued that given the submission does not request a price premium for TAF over TDF on the basis of a comparative safety benefit, the magnitude of the accepted safety benefit is of diminished importance in PBAC’s decision-making but that the reduced impact of TAF on biomarkers of long-term renal and bone toxicities is relevant in the context of long-term safety for a chronic therapy.</w:t>
      </w:r>
      <w:r w:rsidRPr="00002A62">
        <w:rPr>
          <w:iCs/>
          <w:szCs w:val="22"/>
        </w:rPr>
        <w:t xml:space="preserve"> </w:t>
      </w:r>
    </w:p>
    <w:p w:rsidR="006B328B" w:rsidRPr="00002A62" w:rsidRDefault="006B328B" w:rsidP="006B328B">
      <w:pPr>
        <w:widowControl/>
        <w:rPr>
          <w:szCs w:val="22"/>
        </w:rPr>
      </w:pPr>
    </w:p>
    <w:p w:rsidR="00CF48E5" w:rsidRPr="00002A62" w:rsidRDefault="005A3656" w:rsidP="00B70FB3">
      <w:pPr>
        <w:pStyle w:val="ListParagraph"/>
        <w:widowControl/>
        <w:numPr>
          <w:ilvl w:val="1"/>
          <w:numId w:val="7"/>
        </w:numPr>
        <w:rPr>
          <w:szCs w:val="22"/>
        </w:rPr>
      </w:pPr>
      <w:r w:rsidRPr="00002A62">
        <w:rPr>
          <w:iCs/>
        </w:rPr>
        <w:t xml:space="preserve">There was a statistically significant difference (p=0.017) in hepatocellular carcinoma (HCC) events in patients treated with TAF (1 total event) and patients treated with TDF (5 total events). </w:t>
      </w:r>
      <w:r w:rsidRPr="00002A62">
        <w:t>However, given the small number of events, the short duration of follow up, as well as the significant differences in age between patients treated with</w:t>
      </w:r>
      <w:r w:rsidRPr="00002A62">
        <w:rPr>
          <w:iCs/>
        </w:rPr>
        <w:t xml:space="preserve"> </w:t>
      </w:r>
      <w:r w:rsidRPr="00002A62">
        <w:t xml:space="preserve">TDF and TAF, the ESC considered that it was unreasonable to draw conclusions from these trials on the relative effect of TAF and TDF treatments on the incidence of HCC but that this may warrant further investigation. </w:t>
      </w:r>
      <w:r w:rsidR="0040541B" w:rsidRPr="00002A62">
        <w:rPr>
          <w:iCs/>
        </w:rPr>
        <w:t xml:space="preserve">Table </w:t>
      </w:r>
      <w:r w:rsidR="00314D2E" w:rsidRPr="00002A62">
        <w:rPr>
          <w:iCs/>
        </w:rPr>
        <w:t xml:space="preserve">6 </w:t>
      </w:r>
      <w:r w:rsidR="0040541B" w:rsidRPr="00002A62">
        <w:rPr>
          <w:iCs/>
        </w:rPr>
        <w:t xml:space="preserve">summarises the subject characteristics in Study 108 and Study 110. </w:t>
      </w:r>
      <w:r w:rsidR="00B70FB3" w:rsidRPr="00002A62">
        <w:rPr>
          <w:iCs/>
        </w:rPr>
        <w:t>All subjects were Asian, treatment-naive and had a FibroTest® score at baseline consistent with severe fibrosis or cirrhosis (range: 0.59 to 0.91).</w:t>
      </w:r>
      <w:r w:rsidR="00464D3E" w:rsidRPr="00002A62">
        <w:rPr>
          <w:iCs/>
        </w:rPr>
        <w:t xml:space="preserve"> </w:t>
      </w:r>
      <w:r w:rsidR="007816AB" w:rsidRPr="00002A62">
        <w:rPr>
          <w:iCs/>
        </w:rPr>
        <w:t>T</w:t>
      </w:r>
      <w:r w:rsidR="00DB366F" w:rsidRPr="00002A62">
        <w:rPr>
          <w:iCs/>
        </w:rPr>
        <w:t>he p</w:t>
      </w:r>
      <w:r w:rsidR="00464D3E" w:rsidRPr="00002A62">
        <w:rPr>
          <w:iCs/>
        </w:rPr>
        <w:t xml:space="preserve">re-PBAC response </w:t>
      </w:r>
      <w:r w:rsidR="002B162C" w:rsidRPr="00002A62">
        <w:rPr>
          <w:iCs/>
        </w:rPr>
        <w:t xml:space="preserve">agreed with the ESC and </w:t>
      </w:r>
      <w:r w:rsidR="00C17B6A" w:rsidRPr="00002A62">
        <w:rPr>
          <w:iCs/>
        </w:rPr>
        <w:t xml:space="preserve">stated that </w:t>
      </w:r>
      <w:r w:rsidR="002B162C" w:rsidRPr="00002A62">
        <w:rPr>
          <w:iCs/>
        </w:rPr>
        <w:t>serious adverse event</w:t>
      </w:r>
      <w:r w:rsidR="00F56C65" w:rsidRPr="00002A62">
        <w:rPr>
          <w:iCs/>
        </w:rPr>
        <w:t>s</w:t>
      </w:r>
      <w:r w:rsidR="002B162C" w:rsidRPr="00002A62">
        <w:rPr>
          <w:iCs/>
        </w:rPr>
        <w:t xml:space="preserve"> </w:t>
      </w:r>
      <w:r w:rsidR="00464D3E" w:rsidRPr="00002A62">
        <w:rPr>
          <w:iCs/>
        </w:rPr>
        <w:t xml:space="preserve">will continue to </w:t>
      </w:r>
      <w:r w:rsidR="002B162C" w:rsidRPr="00002A62">
        <w:rPr>
          <w:iCs/>
        </w:rPr>
        <w:t xml:space="preserve">be </w:t>
      </w:r>
      <w:r w:rsidR="00464D3E" w:rsidRPr="00002A62">
        <w:rPr>
          <w:iCs/>
        </w:rPr>
        <w:t>report</w:t>
      </w:r>
      <w:r w:rsidR="002B162C" w:rsidRPr="00002A62">
        <w:rPr>
          <w:iCs/>
        </w:rPr>
        <w:t>ed</w:t>
      </w:r>
      <w:r w:rsidR="00464D3E" w:rsidRPr="00002A62">
        <w:rPr>
          <w:iCs/>
        </w:rPr>
        <w:t xml:space="preserve"> as a matter of course. </w:t>
      </w:r>
    </w:p>
    <w:p w:rsidR="006F7633" w:rsidRPr="00002A62" w:rsidRDefault="006F7633" w:rsidP="00D6359D"/>
    <w:p w:rsidR="001A219F" w:rsidRPr="00002A62" w:rsidRDefault="001A219F" w:rsidP="001A219F">
      <w:pPr>
        <w:ind w:left="720"/>
        <w:rPr>
          <w:rFonts w:ascii="Arial Narrow" w:hAnsi="Arial Narrow" w:cstheme="minorBidi"/>
          <w:b/>
          <w:bCs/>
          <w:sz w:val="20"/>
        </w:rPr>
      </w:pPr>
      <w:bookmarkStart w:id="46" w:name="_Ref462740847"/>
      <w:bookmarkStart w:id="47" w:name="_Toc464574628"/>
      <w:bookmarkStart w:id="48" w:name="_Toc465681216"/>
      <w:r w:rsidRPr="00002A62">
        <w:rPr>
          <w:rFonts w:ascii="Arial Narrow" w:hAnsi="Arial Narrow" w:cstheme="minorBidi"/>
          <w:b/>
          <w:bCs/>
          <w:sz w:val="20"/>
        </w:rPr>
        <w:t xml:space="preserve">Table </w:t>
      </w:r>
      <w:bookmarkEnd w:id="46"/>
      <w:r w:rsidR="00314D2E" w:rsidRPr="00002A62">
        <w:rPr>
          <w:rFonts w:ascii="Arial Narrow" w:hAnsi="Arial Narrow" w:cstheme="minorBidi"/>
          <w:b/>
          <w:bCs/>
          <w:sz w:val="20"/>
        </w:rPr>
        <w:t>6</w:t>
      </w:r>
      <w:r w:rsidRPr="00002A62">
        <w:rPr>
          <w:rFonts w:ascii="Arial Narrow" w:hAnsi="Arial Narrow" w:cstheme="minorBidi"/>
          <w:b/>
          <w:bCs/>
          <w:sz w:val="20"/>
        </w:rPr>
        <w:t>: Summary of Subjects with HCC across the Phase 3 Safety Population in Study 108 and Study 110</w:t>
      </w:r>
      <w:bookmarkEnd w:id="47"/>
      <w:bookmarkEnd w:id="48"/>
    </w:p>
    <w:tbl>
      <w:tblPr>
        <w:tblStyle w:val="TableGrid1"/>
        <w:tblW w:w="4545" w:type="pct"/>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108" w:type="dxa"/>
          <w:bottom w:w="69" w:type="dxa"/>
          <w:right w:w="87" w:type="dxa"/>
        </w:tblCellMar>
        <w:tblLook w:val="04A0" w:firstRow="1" w:lastRow="0" w:firstColumn="1" w:lastColumn="0" w:noHBand="0" w:noVBand="1"/>
        <w:tblCaption w:val="Table 6: Summary of Subjects with HCC across the Phase 3 Safety Population in Study 108 and Study 110"/>
      </w:tblPr>
      <w:tblGrid>
        <w:gridCol w:w="924"/>
        <w:gridCol w:w="924"/>
        <w:gridCol w:w="1039"/>
        <w:gridCol w:w="684"/>
        <w:gridCol w:w="764"/>
        <w:gridCol w:w="1080"/>
        <w:gridCol w:w="1308"/>
        <w:gridCol w:w="724"/>
        <w:gridCol w:w="935"/>
      </w:tblGrid>
      <w:tr w:rsidR="00B70FB3" w:rsidRPr="00002A62" w:rsidTr="00D6359D">
        <w:trPr>
          <w:trHeight w:val="236"/>
          <w:tblHeader/>
        </w:trPr>
        <w:tc>
          <w:tcPr>
            <w:tcW w:w="551" w:type="pct"/>
            <w:shd w:val="clear" w:color="auto" w:fill="auto"/>
          </w:tcPr>
          <w:p w:rsidR="00B70FB3" w:rsidRPr="00002A62" w:rsidRDefault="00B70FB3" w:rsidP="00AC35DA">
            <w:pPr>
              <w:jc w:val="center"/>
              <w:rPr>
                <w:b/>
                <w:sz w:val="18"/>
              </w:rPr>
            </w:pPr>
            <w:r w:rsidRPr="00002A62">
              <w:rPr>
                <w:b/>
                <w:sz w:val="18"/>
              </w:rPr>
              <w:t>Study</w:t>
            </w:r>
          </w:p>
        </w:tc>
        <w:tc>
          <w:tcPr>
            <w:tcW w:w="551" w:type="pct"/>
            <w:shd w:val="clear" w:color="auto" w:fill="auto"/>
          </w:tcPr>
          <w:p w:rsidR="00B70FB3" w:rsidRPr="00002A62" w:rsidRDefault="00B70FB3" w:rsidP="00AC35DA">
            <w:pPr>
              <w:jc w:val="center"/>
              <w:rPr>
                <w:b/>
                <w:sz w:val="18"/>
              </w:rPr>
            </w:pPr>
            <w:r w:rsidRPr="00002A62">
              <w:rPr>
                <w:b/>
                <w:sz w:val="18"/>
              </w:rPr>
              <w:t>Study Drug</w:t>
            </w:r>
          </w:p>
        </w:tc>
        <w:tc>
          <w:tcPr>
            <w:tcW w:w="620" w:type="pct"/>
            <w:shd w:val="clear" w:color="auto" w:fill="auto"/>
          </w:tcPr>
          <w:p w:rsidR="00B70FB3" w:rsidRPr="00002A62" w:rsidRDefault="00B70FB3" w:rsidP="00AC35DA">
            <w:pPr>
              <w:jc w:val="center"/>
              <w:rPr>
                <w:b/>
                <w:sz w:val="18"/>
              </w:rPr>
            </w:pPr>
            <w:r w:rsidRPr="00002A62">
              <w:rPr>
                <w:b/>
                <w:sz w:val="18"/>
              </w:rPr>
              <w:t>Age</w:t>
            </w:r>
          </w:p>
          <w:p w:rsidR="00B70FB3" w:rsidRPr="00002A62" w:rsidRDefault="00B70FB3" w:rsidP="00AC35DA">
            <w:pPr>
              <w:jc w:val="center"/>
              <w:rPr>
                <w:b/>
                <w:sz w:val="18"/>
              </w:rPr>
            </w:pPr>
            <w:r w:rsidRPr="00002A62">
              <w:rPr>
                <w:b/>
                <w:sz w:val="18"/>
              </w:rPr>
              <w:t>(years)</w:t>
            </w:r>
          </w:p>
        </w:tc>
        <w:tc>
          <w:tcPr>
            <w:tcW w:w="408" w:type="pct"/>
            <w:shd w:val="clear" w:color="auto" w:fill="auto"/>
          </w:tcPr>
          <w:p w:rsidR="00B70FB3" w:rsidRPr="00002A62" w:rsidRDefault="00B70FB3" w:rsidP="00AC35DA">
            <w:pPr>
              <w:jc w:val="center"/>
              <w:rPr>
                <w:b/>
                <w:sz w:val="18"/>
              </w:rPr>
            </w:pPr>
            <w:r w:rsidRPr="00002A62">
              <w:rPr>
                <w:b/>
                <w:sz w:val="18"/>
              </w:rPr>
              <w:t>Sex</w:t>
            </w:r>
          </w:p>
        </w:tc>
        <w:tc>
          <w:tcPr>
            <w:tcW w:w="456" w:type="pct"/>
            <w:shd w:val="clear" w:color="auto" w:fill="auto"/>
          </w:tcPr>
          <w:p w:rsidR="00B70FB3" w:rsidRPr="00002A62" w:rsidRDefault="00B70FB3" w:rsidP="00AC35DA">
            <w:pPr>
              <w:jc w:val="center"/>
              <w:rPr>
                <w:b/>
                <w:sz w:val="18"/>
              </w:rPr>
            </w:pPr>
            <w:r w:rsidRPr="00002A62">
              <w:rPr>
                <w:b/>
                <w:sz w:val="18"/>
              </w:rPr>
              <w:t>HBV GT</w:t>
            </w:r>
          </w:p>
        </w:tc>
        <w:tc>
          <w:tcPr>
            <w:tcW w:w="644" w:type="pct"/>
            <w:shd w:val="clear" w:color="auto" w:fill="auto"/>
          </w:tcPr>
          <w:p w:rsidR="00B70FB3" w:rsidRPr="00002A62" w:rsidRDefault="00B70FB3" w:rsidP="00AC35DA">
            <w:pPr>
              <w:jc w:val="center"/>
              <w:rPr>
                <w:b/>
                <w:sz w:val="18"/>
              </w:rPr>
            </w:pPr>
            <w:r w:rsidRPr="00002A62">
              <w:rPr>
                <w:b/>
                <w:sz w:val="18"/>
              </w:rPr>
              <w:t>AFP</w:t>
            </w:r>
          </w:p>
          <w:p w:rsidR="00B70FB3" w:rsidRPr="00002A62" w:rsidRDefault="00B70FB3" w:rsidP="00AC35DA">
            <w:pPr>
              <w:jc w:val="center"/>
              <w:rPr>
                <w:b/>
                <w:sz w:val="18"/>
              </w:rPr>
            </w:pPr>
            <w:r w:rsidRPr="00002A62">
              <w:rPr>
                <w:b/>
                <w:sz w:val="18"/>
              </w:rPr>
              <w:t>(IU/mL)</w:t>
            </w:r>
          </w:p>
        </w:tc>
        <w:tc>
          <w:tcPr>
            <w:tcW w:w="780" w:type="pct"/>
            <w:shd w:val="clear" w:color="auto" w:fill="auto"/>
          </w:tcPr>
          <w:p w:rsidR="00B70FB3" w:rsidRPr="00002A62" w:rsidRDefault="00B70FB3" w:rsidP="00AC35DA">
            <w:pPr>
              <w:jc w:val="center"/>
              <w:rPr>
                <w:b/>
                <w:sz w:val="18"/>
              </w:rPr>
            </w:pPr>
            <w:r w:rsidRPr="00002A62">
              <w:rPr>
                <w:b/>
                <w:sz w:val="18"/>
              </w:rPr>
              <w:t>Cirrhosis History</w:t>
            </w:r>
          </w:p>
        </w:tc>
        <w:tc>
          <w:tcPr>
            <w:tcW w:w="432" w:type="pct"/>
            <w:shd w:val="clear" w:color="auto" w:fill="auto"/>
          </w:tcPr>
          <w:p w:rsidR="00B70FB3" w:rsidRPr="00002A62" w:rsidRDefault="00B70FB3" w:rsidP="00AC35DA">
            <w:pPr>
              <w:jc w:val="center"/>
              <w:rPr>
                <w:b/>
                <w:sz w:val="18"/>
              </w:rPr>
            </w:pPr>
            <w:r w:rsidRPr="00002A62">
              <w:rPr>
                <w:b/>
                <w:sz w:val="18"/>
              </w:rPr>
              <w:t>FBT at</w:t>
            </w:r>
          </w:p>
          <w:p w:rsidR="00B70FB3" w:rsidRPr="00002A62" w:rsidRDefault="00B70FB3" w:rsidP="00AC35DA">
            <w:pPr>
              <w:jc w:val="center"/>
              <w:rPr>
                <w:b/>
                <w:sz w:val="18"/>
              </w:rPr>
            </w:pPr>
            <w:r w:rsidRPr="00002A62">
              <w:rPr>
                <w:b/>
                <w:sz w:val="18"/>
              </w:rPr>
              <w:t>BL</w:t>
            </w:r>
          </w:p>
        </w:tc>
        <w:tc>
          <w:tcPr>
            <w:tcW w:w="558" w:type="pct"/>
            <w:shd w:val="clear" w:color="auto" w:fill="auto"/>
          </w:tcPr>
          <w:p w:rsidR="00B70FB3" w:rsidRPr="00002A62" w:rsidRDefault="00B70FB3" w:rsidP="00AC35DA">
            <w:pPr>
              <w:jc w:val="center"/>
              <w:rPr>
                <w:b/>
                <w:sz w:val="18"/>
              </w:rPr>
            </w:pPr>
            <w:r w:rsidRPr="00002A62">
              <w:rPr>
                <w:b/>
                <w:sz w:val="18"/>
              </w:rPr>
              <w:t>Onset (Day)</w:t>
            </w:r>
          </w:p>
        </w:tc>
      </w:tr>
      <w:tr w:rsidR="00B70FB3" w:rsidRPr="00002A62" w:rsidTr="00B70FB3">
        <w:trPr>
          <w:trHeight w:val="236"/>
        </w:trPr>
        <w:tc>
          <w:tcPr>
            <w:tcW w:w="551"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108</w:t>
            </w:r>
          </w:p>
        </w:tc>
        <w:tc>
          <w:tcPr>
            <w:tcW w:w="551"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TAF</w:t>
            </w:r>
          </w:p>
        </w:tc>
        <w:tc>
          <w:tcPr>
            <w:tcW w:w="620"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52</w:t>
            </w:r>
          </w:p>
        </w:tc>
        <w:tc>
          <w:tcPr>
            <w:tcW w:w="408"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M</w:t>
            </w:r>
          </w:p>
        </w:tc>
        <w:tc>
          <w:tcPr>
            <w:tcW w:w="456"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C</w:t>
            </w:r>
          </w:p>
        </w:tc>
        <w:tc>
          <w:tcPr>
            <w:tcW w:w="644"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5.6</w:t>
            </w:r>
          </w:p>
        </w:tc>
        <w:tc>
          <w:tcPr>
            <w:tcW w:w="780"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UNK</w:t>
            </w:r>
          </w:p>
        </w:tc>
        <w:tc>
          <w:tcPr>
            <w:tcW w:w="432"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0.59</w:t>
            </w:r>
          </w:p>
        </w:tc>
        <w:tc>
          <w:tcPr>
            <w:tcW w:w="558"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253</w:t>
            </w:r>
          </w:p>
        </w:tc>
      </w:tr>
      <w:tr w:rsidR="00B70FB3" w:rsidRPr="00002A62" w:rsidTr="00B70FB3">
        <w:trPr>
          <w:trHeight w:val="236"/>
        </w:trPr>
        <w:tc>
          <w:tcPr>
            <w:tcW w:w="551"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108</w:t>
            </w:r>
          </w:p>
        </w:tc>
        <w:tc>
          <w:tcPr>
            <w:tcW w:w="551"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TDF</w:t>
            </w:r>
          </w:p>
        </w:tc>
        <w:tc>
          <w:tcPr>
            <w:tcW w:w="620"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46</w:t>
            </w:r>
          </w:p>
        </w:tc>
        <w:tc>
          <w:tcPr>
            <w:tcW w:w="408"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M</w:t>
            </w:r>
          </w:p>
        </w:tc>
        <w:tc>
          <w:tcPr>
            <w:tcW w:w="456"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B</w:t>
            </w:r>
          </w:p>
        </w:tc>
        <w:tc>
          <w:tcPr>
            <w:tcW w:w="644"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24.6</w:t>
            </w:r>
          </w:p>
        </w:tc>
        <w:tc>
          <w:tcPr>
            <w:tcW w:w="780"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Yes</w:t>
            </w:r>
          </w:p>
        </w:tc>
        <w:tc>
          <w:tcPr>
            <w:tcW w:w="432"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0.64</w:t>
            </w:r>
          </w:p>
        </w:tc>
        <w:tc>
          <w:tcPr>
            <w:tcW w:w="558"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460</w:t>
            </w:r>
          </w:p>
        </w:tc>
      </w:tr>
      <w:tr w:rsidR="00B70FB3" w:rsidRPr="00002A62" w:rsidTr="00B70FB3">
        <w:trPr>
          <w:trHeight w:val="236"/>
        </w:trPr>
        <w:tc>
          <w:tcPr>
            <w:tcW w:w="551"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108</w:t>
            </w:r>
          </w:p>
        </w:tc>
        <w:tc>
          <w:tcPr>
            <w:tcW w:w="551"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TDF</w:t>
            </w:r>
          </w:p>
        </w:tc>
        <w:tc>
          <w:tcPr>
            <w:tcW w:w="620"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52</w:t>
            </w:r>
          </w:p>
        </w:tc>
        <w:tc>
          <w:tcPr>
            <w:tcW w:w="408"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F</w:t>
            </w:r>
          </w:p>
        </w:tc>
        <w:tc>
          <w:tcPr>
            <w:tcW w:w="456"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D</w:t>
            </w:r>
          </w:p>
        </w:tc>
        <w:tc>
          <w:tcPr>
            <w:tcW w:w="644"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5.3</w:t>
            </w:r>
          </w:p>
        </w:tc>
        <w:tc>
          <w:tcPr>
            <w:tcW w:w="780"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No</w:t>
            </w:r>
          </w:p>
        </w:tc>
        <w:tc>
          <w:tcPr>
            <w:tcW w:w="432"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0.69</w:t>
            </w:r>
          </w:p>
        </w:tc>
        <w:tc>
          <w:tcPr>
            <w:tcW w:w="558"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105</w:t>
            </w:r>
          </w:p>
        </w:tc>
      </w:tr>
      <w:tr w:rsidR="00B70FB3" w:rsidRPr="00002A62" w:rsidTr="00B70FB3">
        <w:trPr>
          <w:trHeight w:val="236"/>
        </w:trPr>
        <w:tc>
          <w:tcPr>
            <w:tcW w:w="551"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108</w:t>
            </w:r>
          </w:p>
        </w:tc>
        <w:tc>
          <w:tcPr>
            <w:tcW w:w="551"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TDF</w:t>
            </w:r>
          </w:p>
        </w:tc>
        <w:tc>
          <w:tcPr>
            <w:tcW w:w="620"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51</w:t>
            </w:r>
          </w:p>
        </w:tc>
        <w:tc>
          <w:tcPr>
            <w:tcW w:w="408"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M</w:t>
            </w:r>
          </w:p>
        </w:tc>
        <w:tc>
          <w:tcPr>
            <w:tcW w:w="456"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C</w:t>
            </w:r>
          </w:p>
        </w:tc>
        <w:tc>
          <w:tcPr>
            <w:tcW w:w="644"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14.7</w:t>
            </w:r>
          </w:p>
        </w:tc>
        <w:tc>
          <w:tcPr>
            <w:tcW w:w="780"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Yes</w:t>
            </w:r>
          </w:p>
        </w:tc>
        <w:tc>
          <w:tcPr>
            <w:tcW w:w="432"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0.91</w:t>
            </w:r>
          </w:p>
        </w:tc>
        <w:tc>
          <w:tcPr>
            <w:tcW w:w="558"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378</w:t>
            </w:r>
          </w:p>
        </w:tc>
      </w:tr>
      <w:tr w:rsidR="00B70FB3" w:rsidRPr="00002A62" w:rsidTr="00B70FB3">
        <w:trPr>
          <w:trHeight w:val="236"/>
        </w:trPr>
        <w:tc>
          <w:tcPr>
            <w:tcW w:w="551"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110</w:t>
            </w:r>
          </w:p>
        </w:tc>
        <w:tc>
          <w:tcPr>
            <w:tcW w:w="551"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TDF</w:t>
            </w:r>
          </w:p>
        </w:tc>
        <w:tc>
          <w:tcPr>
            <w:tcW w:w="620"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52</w:t>
            </w:r>
          </w:p>
        </w:tc>
        <w:tc>
          <w:tcPr>
            <w:tcW w:w="408"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M</w:t>
            </w:r>
          </w:p>
        </w:tc>
        <w:tc>
          <w:tcPr>
            <w:tcW w:w="456"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C</w:t>
            </w:r>
          </w:p>
        </w:tc>
        <w:tc>
          <w:tcPr>
            <w:tcW w:w="644"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25</w:t>
            </w:r>
          </w:p>
        </w:tc>
        <w:tc>
          <w:tcPr>
            <w:tcW w:w="780"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Yes</w:t>
            </w:r>
          </w:p>
        </w:tc>
        <w:tc>
          <w:tcPr>
            <w:tcW w:w="432"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0.77</w:t>
            </w:r>
          </w:p>
        </w:tc>
        <w:tc>
          <w:tcPr>
            <w:tcW w:w="558"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174</w:t>
            </w:r>
          </w:p>
        </w:tc>
      </w:tr>
      <w:tr w:rsidR="00B70FB3" w:rsidRPr="00002A62" w:rsidTr="00B70FB3">
        <w:trPr>
          <w:trHeight w:val="236"/>
        </w:trPr>
        <w:tc>
          <w:tcPr>
            <w:tcW w:w="551"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110</w:t>
            </w:r>
          </w:p>
        </w:tc>
        <w:tc>
          <w:tcPr>
            <w:tcW w:w="551"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TDF</w:t>
            </w:r>
          </w:p>
        </w:tc>
        <w:tc>
          <w:tcPr>
            <w:tcW w:w="620"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59</w:t>
            </w:r>
          </w:p>
        </w:tc>
        <w:tc>
          <w:tcPr>
            <w:tcW w:w="408"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M</w:t>
            </w:r>
          </w:p>
        </w:tc>
        <w:tc>
          <w:tcPr>
            <w:tcW w:w="456"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C</w:t>
            </w:r>
          </w:p>
        </w:tc>
        <w:tc>
          <w:tcPr>
            <w:tcW w:w="644"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19.4</w:t>
            </w:r>
          </w:p>
        </w:tc>
        <w:tc>
          <w:tcPr>
            <w:tcW w:w="780"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Yes</w:t>
            </w:r>
          </w:p>
        </w:tc>
        <w:tc>
          <w:tcPr>
            <w:tcW w:w="432"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0.66</w:t>
            </w:r>
          </w:p>
        </w:tc>
        <w:tc>
          <w:tcPr>
            <w:tcW w:w="558" w:type="pct"/>
            <w:shd w:val="clear" w:color="auto" w:fill="auto"/>
            <w:vAlign w:val="center"/>
          </w:tcPr>
          <w:p w:rsidR="00B70FB3" w:rsidRPr="00002A62" w:rsidRDefault="00B70FB3" w:rsidP="00B70FB3">
            <w:pPr>
              <w:jc w:val="center"/>
              <w:rPr>
                <w:rFonts w:ascii="Arial Narrow" w:hAnsi="Arial Narrow"/>
                <w:iCs/>
                <w:sz w:val="20"/>
              </w:rPr>
            </w:pPr>
            <w:r w:rsidRPr="00002A62">
              <w:rPr>
                <w:rFonts w:ascii="Arial Narrow" w:hAnsi="Arial Narrow"/>
                <w:iCs/>
                <w:sz w:val="20"/>
              </w:rPr>
              <w:t>180</w:t>
            </w:r>
          </w:p>
        </w:tc>
      </w:tr>
    </w:tbl>
    <w:p w:rsidR="001A219F" w:rsidRPr="00002A62" w:rsidRDefault="001A219F" w:rsidP="001A219F">
      <w:pPr>
        <w:pStyle w:val="ListParagraph"/>
        <w:rPr>
          <w:rFonts w:ascii="Arial Narrow" w:hAnsi="Arial Narrow" w:cstheme="minorBidi"/>
          <w:sz w:val="18"/>
          <w:szCs w:val="18"/>
        </w:rPr>
      </w:pPr>
      <w:r w:rsidRPr="00002A62">
        <w:rPr>
          <w:rFonts w:ascii="Arial Narrow" w:hAnsi="Arial Narrow" w:cstheme="minorBidi"/>
          <w:sz w:val="18"/>
          <w:szCs w:val="18"/>
        </w:rPr>
        <w:t>Source: Regulatory dossier, Module 2.7.4: p62, Table 24.</w:t>
      </w:r>
    </w:p>
    <w:p w:rsidR="001A219F" w:rsidRPr="00002A62" w:rsidRDefault="001A219F" w:rsidP="001A219F">
      <w:pPr>
        <w:pStyle w:val="ListParagraph"/>
        <w:rPr>
          <w:rFonts w:ascii="Arial Narrow" w:hAnsi="Arial Narrow" w:cstheme="minorBidi"/>
          <w:sz w:val="18"/>
          <w:szCs w:val="18"/>
        </w:rPr>
      </w:pPr>
      <w:r w:rsidRPr="00002A62">
        <w:rPr>
          <w:rFonts w:ascii="Arial Narrow" w:hAnsi="Arial Narrow" w:cstheme="minorBidi"/>
          <w:sz w:val="18"/>
          <w:szCs w:val="18"/>
        </w:rPr>
        <w:t>Abbreviations: AFP = alfa-fetoprotein; BL = baseline; F = female; FBT = FibroTest; GT = genotype; ID = identification; M = male; UNK = unknown</w:t>
      </w:r>
    </w:p>
    <w:p w:rsidR="008D691D" w:rsidRPr="00002A62" w:rsidRDefault="008D691D" w:rsidP="007F1017">
      <w:pPr>
        <w:pStyle w:val="ListParagraph"/>
        <w:ind w:left="0"/>
        <w:rPr>
          <w:szCs w:val="22"/>
        </w:rPr>
      </w:pPr>
    </w:p>
    <w:p w:rsidR="007F1017" w:rsidRPr="00002A62" w:rsidRDefault="007F1017" w:rsidP="002C2775">
      <w:pPr>
        <w:pStyle w:val="Heading2"/>
        <w:rPr>
          <w:i/>
        </w:rPr>
      </w:pPr>
      <w:bookmarkStart w:id="49" w:name="_Toc469319439"/>
      <w:bookmarkStart w:id="50" w:name="_Toc472330245"/>
      <w:r w:rsidRPr="00002A62">
        <w:rPr>
          <w:i/>
        </w:rPr>
        <w:t>Benefits/harms</w:t>
      </w:r>
      <w:bookmarkEnd w:id="49"/>
      <w:bookmarkEnd w:id="50"/>
    </w:p>
    <w:p w:rsidR="00051A54" w:rsidRPr="00002A62" w:rsidRDefault="00051A54" w:rsidP="00051A54">
      <w:pPr>
        <w:rPr>
          <w:b/>
        </w:rPr>
      </w:pPr>
    </w:p>
    <w:p w:rsidR="00EC00C9" w:rsidRPr="00002A62" w:rsidRDefault="00903864" w:rsidP="00903864">
      <w:pPr>
        <w:pStyle w:val="ListParagraph"/>
        <w:widowControl/>
        <w:numPr>
          <w:ilvl w:val="1"/>
          <w:numId w:val="7"/>
        </w:numPr>
        <w:rPr>
          <w:szCs w:val="22"/>
        </w:rPr>
      </w:pPr>
      <w:r w:rsidRPr="00002A62">
        <w:rPr>
          <w:szCs w:val="22"/>
        </w:rPr>
        <w:t xml:space="preserve">There </w:t>
      </w:r>
      <w:r w:rsidR="00052A7D" w:rsidRPr="00002A62">
        <w:rPr>
          <w:szCs w:val="22"/>
        </w:rPr>
        <w:t>are</w:t>
      </w:r>
      <w:r w:rsidRPr="00002A62">
        <w:rPr>
          <w:szCs w:val="22"/>
        </w:rPr>
        <w:t xml:space="preserve"> no expected clinically meaningful differences between TAF and TDF </w:t>
      </w:r>
      <w:r w:rsidR="00052A7D" w:rsidRPr="00002A62">
        <w:rPr>
          <w:szCs w:val="22"/>
        </w:rPr>
        <w:t xml:space="preserve">in </w:t>
      </w:r>
      <w:r w:rsidRPr="00002A62">
        <w:rPr>
          <w:szCs w:val="22"/>
        </w:rPr>
        <w:t xml:space="preserve">efficacy and safety </w:t>
      </w:r>
      <w:r w:rsidR="00052A7D" w:rsidRPr="00002A62">
        <w:rPr>
          <w:szCs w:val="22"/>
        </w:rPr>
        <w:t xml:space="preserve">when used </w:t>
      </w:r>
      <w:r w:rsidRPr="00002A62">
        <w:rPr>
          <w:szCs w:val="22"/>
        </w:rPr>
        <w:t xml:space="preserve">in the management of </w:t>
      </w:r>
      <w:r w:rsidR="00052A7D" w:rsidRPr="00002A62">
        <w:rPr>
          <w:szCs w:val="22"/>
        </w:rPr>
        <w:t xml:space="preserve">CHB </w:t>
      </w:r>
      <w:r w:rsidRPr="00002A62">
        <w:rPr>
          <w:szCs w:val="22"/>
        </w:rPr>
        <w:t>infections.</w:t>
      </w:r>
    </w:p>
    <w:p w:rsidR="006602ED" w:rsidRPr="00002A62" w:rsidRDefault="006602ED" w:rsidP="006602ED">
      <w:pPr>
        <w:pStyle w:val="ListParagraph"/>
        <w:widowControl/>
        <w:rPr>
          <w:szCs w:val="22"/>
        </w:rPr>
      </w:pPr>
    </w:p>
    <w:p w:rsidR="00B60939" w:rsidRPr="00002A62" w:rsidRDefault="00B60939" w:rsidP="002C2775">
      <w:pPr>
        <w:pStyle w:val="Heading2"/>
        <w:rPr>
          <w:i/>
        </w:rPr>
      </w:pPr>
      <w:bookmarkStart w:id="51" w:name="_Toc469319440"/>
      <w:bookmarkStart w:id="52" w:name="_Toc472330246"/>
      <w:r w:rsidRPr="00002A62">
        <w:rPr>
          <w:i/>
        </w:rPr>
        <w:t>Clinical claim</w:t>
      </w:r>
      <w:bookmarkEnd w:id="51"/>
      <w:bookmarkEnd w:id="52"/>
    </w:p>
    <w:p w:rsidR="00B60939" w:rsidRPr="00002A62" w:rsidRDefault="00B60939" w:rsidP="00B60939">
      <w:pPr>
        <w:ind w:left="720" w:hanging="720"/>
        <w:rPr>
          <w:szCs w:val="22"/>
        </w:rPr>
      </w:pPr>
    </w:p>
    <w:p w:rsidR="00E57FDC" w:rsidRPr="00002A62" w:rsidRDefault="00D84F3A" w:rsidP="00E57FDC">
      <w:pPr>
        <w:pStyle w:val="ListParagraph"/>
        <w:widowControl/>
        <w:numPr>
          <w:ilvl w:val="1"/>
          <w:numId w:val="7"/>
        </w:numPr>
      </w:pPr>
      <w:r w:rsidRPr="00002A62">
        <w:t>The submission described TAF as non-inferior in terms of comparative effectiveness and superior in terms of comparative safety over TDF</w:t>
      </w:r>
      <w:r w:rsidR="00716ED0" w:rsidRPr="00002A62">
        <w:t xml:space="preserve">. </w:t>
      </w:r>
      <w:r w:rsidRPr="00002A62">
        <w:t xml:space="preserve">The </w:t>
      </w:r>
      <w:r w:rsidR="006577C8" w:rsidRPr="00002A62">
        <w:t xml:space="preserve">ESC considered that the </w:t>
      </w:r>
      <w:r w:rsidRPr="00002A62">
        <w:t xml:space="preserve">claim was reasonable with respect to efficacy but </w:t>
      </w:r>
      <w:r w:rsidR="00E57FDC" w:rsidRPr="00002A62">
        <w:t>t</w:t>
      </w:r>
      <w:r w:rsidR="00E62B8F" w:rsidRPr="00002A62">
        <w:t xml:space="preserve">he </w:t>
      </w:r>
      <w:r w:rsidR="002D4CEB" w:rsidRPr="00002A62">
        <w:t>claim of superior safety of TAF over</w:t>
      </w:r>
      <w:r w:rsidR="00B334C9" w:rsidRPr="00002A62">
        <w:t xml:space="preserve"> </w:t>
      </w:r>
      <w:r w:rsidR="002D4CEB" w:rsidRPr="00002A62">
        <w:t>TDF was based on surrogate measures (</w:t>
      </w:r>
      <w:r w:rsidR="00D21580" w:rsidRPr="00002A62">
        <w:t xml:space="preserve">BMD </w:t>
      </w:r>
      <w:r w:rsidR="002F0B88" w:rsidRPr="00002A62">
        <w:t>and</w:t>
      </w:r>
      <w:r w:rsidR="002D4CEB" w:rsidRPr="00002A62">
        <w:t xml:space="preserve"> renal function)</w:t>
      </w:r>
      <w:r w:rsidR="00E621F6" w:rsidRPr="00002A62">
        <w:t xml:space="preserve">, </w:t>
      </w:r>
      <w:r w:rsidR="00E62B8F" w:rsidRPr="00002A62">
        <w:t>and</w:t>
      </w:r>
      <w:r w:rsidR="00096996" w:rsidRPr="00002A62">
        <w:t xml:space="preserve"> t</w:t>
      </w:r>
      <w:r w:rsidR="00437919" w:rsidRPr="00002A62">
        <w:t xml:space="preserve">he </w:t>
      </w:r>
      <w:r w:rsidR="002D4CEB" w:rsidRPr="00002A62">
        <w:t>results were not consistent at all measured time points</w:t>
      </w:r>
      <w:r w:rsidR="00E62B8F" w:rsidRPr="00002A62">
        <w:t xml:space="preserve">. </w:t>
      </w:r>
      <w:r w:rsidR="00E57FDC" w:rsidRPr="00002A62">
        <w:t>The clinical relevance of the small but</w:t>
      </w:r>
      <w:r w:rsidR="009A4F1F" w:rsidRPr="00002A62">
        <w:t xml:space="preserve"> </w:t>
      </w:r>
      <w:r w:rsidR="00E57FDC" w:rsidRPr="00002A62">
        <w:t>statistically significant differences in these surrogate outcomes was not established by the submission.</w:t>
      </w:r>
      <w:r w:rsidR="00DB366F" w:rsidRPr="00002A62">
        <w:t xml:space="preserve"> </w:t>
      </w:r>
    </w:p>
    <w:p w:rsidR="006577C8" w:rsidRPr="00002A62" w:rsidRDefault="006577C8" w:rsidP="00D84F3A">
      <w:pPr>
        <w:ind w:left="720"/>
        <w:rPr>
          <w:iCs/>
        </w:rPr>
      </w:pPr>
    </w:p>
    <w:p w:rsidR="00D84F3A" w:rsidRPr="00002A62" w:rsidRDefault="00D6630D" w:rsidP="00061D5B">
      <w:pPr>
        <w:pStyle w:val="ListParagraph"/>
        <w:widowControl/>
        <w:numPr>
          <w:ilvl w:val="1"/>
          <w:numId w:val="7"/>
        </w:numPr>
        <w:rPr>
          <w:szCs w:val="22"/>
        </w:rPr>
      </w:pPr>
      <w:r w:rsidRPr="00002A62">
        <w:rPr>
          <w:szCs w:val="22"/>
        </w:rPr>
        <w:t>G</w:t>
      </w:r>
      <w:r w:rsidR="00D84F3A" w:rsidRPr="00002A62">
        <w:rPr>
          <w:szCs w:val="22"/>
        </w:rPr>
        <w:t xml:space="preserve">iven the data presented, </w:t>
      </w:r>
      <w:r w:rsidR="005A3656" w:rsidRPr="00002A62">
        <w:rPr>
          <w:szCs w:val="22"/>
        </w:rPr>
        <w:t xml:space="preserve">the ESC considered that </w:t>
      </w:r>
      <w:r w:rsidR="00D84F3A" w:rsidRPr="00002A62">
        <w:rPr>
          <w:szCs w:val="22"/>
        </w:rPr>
        <w:t xml:space="preserve">treatment with TAF is likely to be at least non-inferior in terms of safety compared to treatment with TDF. </w:t>
      </w:r>
    </w:p>
    <w:p w:rsidR="001C736F" w:rsidRPr="00002A62" w:rsidRDefault="001C736F" w:rsidP="001C736F">
      <w:pPr>
        <w:widowControl/>
        <w:rPr>
          <w:szCs w:val="22"/>
        </w:rPr>
      </w:pPr>
    </w:p>
    <w:p w:rsidR="00634ED8" w:rsidRPr="00002A62" w:rsidRDefault="00C93864" w:rsidP="005F7E98">
      <w:pPr>
        <w:pStyle w:val="ListParagraph"/>
        <w:widowControl/>
        <w:numPr>
          <w:ilvl w:val="1"/>
          <w:numId w:val="7"/>
        </w:numPr>
        <w:contextualSpacing w:val="0"/>
        <w:jc w:val="left"/>
      </w:pPr>
      <w:r w:rsidRPr="00002A62">
        <w:rPr>
          <w:bCs/>
          <w:szCs w:val="22"/>
        </w:rPr>
        <w:t xml:space="preserve">The PBAC considered that the claim of </w:t>
      </w:r>
      <w:r w:rsidR="001F3FAE" w:rsidRPr="00002A62">
        <w:rPr>
          <w:bCs/>
          <w:szCs w:val="22"/>
        </w:rPr>
        <w:t xml:space="preserve">non-inferior </w:t>
      </w:r>
      <w:r w:rsidRPr="00002A62">
        <w:rPr>
          <w:bCs/>
          <w:szCs w:val="22"/>
        </w:rPr>
        <w:t xml:space="preserve">comparative effectiveness </w:t>
      </w:r>
      <w:r w:rsidR="007816AB" w:rsidRPr="00002A62">
        <w:rPr>
          <w:bCs/>
          <w:szCs w:val="22"/>
        </w:rPr>
        <w:t xml:space="preserve">over TDF </w:t>
      </w:r>
      <w:r w:rsidRPr="00002A62">
        <w:rPr>
          <w:bCs/>
          <w:szCs w:val="22"/>
        </w:rPr>
        <w:t>was reasonable</w:t>
      </w:r>
      <w:r w:rsidR="007816AB" w:rsidRPr="00002A62">
        <w:rPr>
          <w:bCs/>
          <w:szCs w:val="22"/>
        </w:rPr>
        <w:t>, but that the claim of superior safety compared to TDF was</w:t>
      </w:r>
      <w:r w:rsidR="007816AB" w:rsidRPr="00002A62">
        <w:rPr>
          <w:szCs w:val="22"/>
        </w:rPr>
        <w:t xml:space="preserve"> not adequately supported by the data</w:t>
      </w:r>
      <w:r w:rsidR="007816AB" w:rsidRPr="00002A62">
        <w:rPr>
          <w:bCs/>
          <w:szCs w:val="22"/>
        </w:rPr>
        <w:t xml:space="preserve">. </w:t>
      </w:r>
      <w:r w:rsidR="000E4F0A" w:rsidRPr="00002A62">
        <w:rPr>
          <w:bCs/>
          <w:szCs w:val="22"/>
        </w:rPr>
        <w:t>T</w:t>
      </w:r>
      <w:r w:rsidR="007816AB" w:rsidRPr="00002A62">
        <w:rPr>
          <w:bCs/>
          <w:szCs w:val="22"/>
        </w:rPr>
        <w:t>he PBAC agreed with the ESC that TAF was at least non-inferior to TDF in terms of comparative safety</w:t>
      </w:r>
      <w:r w:rsidRPr="00002A62">
        <w:rPr>
          <w:bCs/>
          <w:szCs w:val="22"/>
        </w:rPr>
        <w:t>.</w:t>
      </w:r>
    </w:p>
    <w:p w:rsidR="00634ED8" w:rsidRPr="00002A62" w:rsidRDefault="00634ED8" w:rsidP="00634ED8">
      <w:pPr>
        <w:pStyle w:val="ListParagraph"/>
        <w:rPr>
          <w:bCs/>
          <w:szCs w:val="22"/>
        </w:rPr>
      </w:pPr>
    </w:p>
    <w:p w:rsidR="001A5EC9" w:rsidRPr="00002A62" w:rsidRDefault="00C310EA" w:rsidP="005F7E98">
      <w:pPr>
        <w:pStyle w:val="ListParagraph"/>
        <w:widowControl/>
        <w:numPr>
          <w:ilvl w:val="1"/>
          <w:numId w:val="7"/>
        </w:numPr>
        <w:contextualSpacing w:val="0"/>
        <w:jc w:val="left"/>
      </w:pPr>
      <w:r w:rsidRPr="00002A62">
        <w:rPr>
          <w:bCs/>
          <w:szCs w:val="22"/>
        </w:rPr>
        <w:t>The PBAC recalled it had previously recommended tenofovir di</w:t>
      </w:r>
      <w:r w:rsidR="00FE4271">
        <w:rPr>
          <w:bCs/>
          <w:szCs w:val="22"/>
        </w:rPr>
        <w:t>soproxil</w:t>
      </w:r>
      <w:r w:rsidRPr="00002A62">
        <w:rPr>
          <w:bCs/>
          <w:szCs w:val="22"/>
        </w:rPr>
        <w:t xml:space="preserve"> fumarate 300</w:t>
      </w:r>
      <w:r w:rsidR="005B478C" w:rsidRPr="00002A62">
        <w:rPr>
          <w:bCs/>
          <w:szCs w:val="22"/>
        </w:rPr>
        <w:t> m</w:t>
      </w:r>
      <w:r w:rsidRPr="00002A62">
        <w:rPr>
          <w:bCs/>
          <w:szCs w:val="22"/>
        </w:rPr>
        <w:t>g for listing for use in CHB on a cost minimisation basis with adefovir 10 mg (nucleos</w:t>
      </w:r>
      <w:r w:rsidR="005B478C" w:rsidRPr="00002A62">
        <w:rPr>
          <w:bCs/>
          <w:szCs w:val="22"/>
        </w:rPr>
        <w:t>(t)</w:t>
      </w:r>
      <w:r w:rsidRPr="00002A62">
        <w:rPr>
          <w:bCs/>
          <w:szCs w:val="22"/>
        </w:rPr>
        <w:t xml:space="preserve">ide experienced) </w:t>
      </w:r>
      <w:r w:rsidR="00C87E83" w:rsidRPr="00002A62">
        <w:rPr>
          <w:bCs/>
          <w:szCs w:val="22"/>
        </w:rPr>
        <w:t>and</w:t>
      </w:r>
      <w:r w:rsidRPr="00002A62">
        <w:rPr>
          <w:bCs/>
          <w:szCs w:val="22"/>
        </w:rPr>
        <w:t xml:space="preserve"> entecavir 500 mcg (nucleos</w:t>
      </w:r>
      <w:r w:rsidR="005B478C" w:rsidRPr="00002A62">
        <w:rPr>
          <w:bCs/>
          <w:szCs w:val="22"/>
        </w:rPr>
        <w:t>(t)</w:t>
      </w:r>
      <w:r w:rsidRPr="00002A62">
        <w:rPr>
          <w:bCs/>
          <w:szCs w:val="22"/>
        </w:rPr>
        <w:t>ide naïve)</w:t>
      </w:r>
      <w:r w:rsidR="00312E6E" w:rsidRPr="00002A62">
        <w:rPr>
          <w:bCs/>
          <w:szCs w:val="22"/>
        </w:rPr>
        <w:t xml:space="preserve"> (TDF PSD, July 2009)</w:t>
      </w:r>
      <w:r w:rsidRPr="00002A62">
        <w:rPr>
          <w:bCs/>
          <w:szCs w:val="22"/>
        </w:rPr>
        <w:t xml:space="preserve">.  </w:t>
      </w:r>
      <w:r w:rsidR="00002A62" w:rsidRPr="00002A62">
        <w:rPr>
          <w:bCs/>
          <w:szCs w:val="22"/>
        </w:rPr>
        <w:t>Similarly,</w:t>
      </w:r>
      <w:r w:rsidRPr="00002A62">
        <w:rPr>
          <w:bCs/>
          <w:szCs w:val="22"/>
        </w:rPr>
        <w:t xml:space="preserve"> entecavir 1 mg had</w:t>
      </w:r>
      <w:r w:rsidRPr="00002A62">
        <w:rPr>
          <w:szCs w:val="22"/>
        </w:rPr>
        <w:t xml:space="preserve"> been cost minimised to adefovir 10 mg in nucleoside experienced patients</w:t>
      </w:r>
      <w:r w:rsidR="00A77A6F" w:rsidRPr="00002A62">
        <w:rPr>
          <w:szCs w:val="22"/>
        </w:rPr>
        <w:t xml:space="preserve"> (e</w:t>
      </w:r>
      <w:r w:rsidR="0066482A" w:rsidRPr="00002A62">
        <w:rPr>
          <w:szCs w:val="22"/>
        </w:rPr>
        <w:t>ntecavir PSD, July 2006)</w:t>
      </w:r>
      <w:r w:rsidRPr="00002A62">
        <w:rPr>
          <w:szCs w:val="22"/>
        </w:rPr>
        <w:t xml:space="preserve">.  </w:t>
      </w:r>
      <w:r w:rsidR="00586748" w:rsidRPr="00002A62">
        <w:rPr>
          <w:szCs w:val="22"/>
        </w:rPr>
        <w:t>The</w:t>
      </w:r>
      <w:r w:rsidR="008D197A" w:rsidRPr="00002A62">
        <w:rPr>
          <w:szCs w:val="22"/>
        </w:rPr>
        <w:t>refore, the</w:t>
      </w:r>
      <w:r w:rsidR="00586748" w:rsidRPr="00002A62">
        <w:rPr>
          <w:szCs w:val="22"/>
        </w:rPr>
        <w:t xml:space="preserve"> PBAC </w:t>
      </w:r>
      <w:r w:rsidR="0032157A" w:rsidRPr="00002A62">
        <w:rPr>
          <w:szCs w:val="22"/>
        </w:rPr>
        <w:t>considered</w:t>
      </w:r>
      <w:r w:rsidR="00586748" w:rsidRPr="00002A62">
        <w:rPr>
          <w:szCs w:val="22"/>
        </w:rPr>
        <w:t xml:space="preserve"> that TAF </w:t>
      </w:r>
      <w:r w:rsidR="0032157A" w:rsidRPr="00002A62">
        <w:rPr>
          <w:szCs w:val="22"/>
        </w:rPr>
        <w:t>could also be considered to be</w:t>
      </w:r>
      <w:r w:rsidR="00586748" w:rsidRPr="00002A62">
        <w:rPr>
          <w:szCs w:val="22"/>
        </w:rPr>
        <w:t xml:space="preserve"> non-inferior in terms of </w:t>
      </w:r>
      <w:r w:rsidR="0032157A" w:rsidRPr="00002A62">
        <w:rPr>
          <w:szCs w:val="22"/>
        </w:rPr>
        <w:t xml:space="preserve">comparative </w:t>
      </w:r>
      <w:r w:rsidR="00586748" w:rsidRPr="00002A62">
        <w:rPr>
          <w:szCs w:val="22"/>
        </w:rPr>
        <w:t>effectiveness and safety to entecavir.</w:t>
      </w:r>
    </w:p>
    <w:p w:rsidR="00A24A57" w:rsidRPr="00002A62" w:rsidRDefault="00A24A57" w:rsidP="00D6359D">
      <w:bookmarkStart w:id="53" w:name="_Toc469319441"/>
      <w:bookmarkStart w:id="54" w:name="_Toc472330247"/>
    </w:p>
    <w:p w:rsidR="00B60939" w:rsidRPr="00002A62" w:rsidRDefault="00B60939" w:rsidP="002C2775">
      <w:pPr>
        <w:pStyle w:val="Heading2"/>
        <w:rPr>
          <w:i/>
        </w:rPr>
      </w:pPr>
      <w:r w:rsidRPr="00002A62">
        <w:rPr>
          <w:i/>
        </w:rPr>
        <w:t>Economic analysis</w:t>
      </w:r>
      <w:bookmarkEnd w:id="53"/>
      <w:bookmarkEnd w:id="54"/>
      <w:r w:rsidR="00491B3A" w:rsidRPr="00002A62">
        <w:rPr>
          <w:i/>
        </w:rPr>
        <w:t xml:space="preserve"> </w:t>
      </w:r>
    </w:p>
    <w:p w:rsidR="00B60939" w:rsidRPr="00002A62" w:rsidRDefault="00B60939" w:rsidP="00B60939">
      <w:pPr>
        <w:ind w:left="720" w:hanging="720"/>
        <w:rPr>
          <w:szCs w:val="22"/>
        </w:rPr>
      </w:pPr>
    </w:p>
    <w:p w:rsidR="00D110BD" w:rsidRPr="00002A62" w:rsidRDefault="007F25C1" w:rsidP="007F25C1">
      <w:pPr>
        <w:pStyle w:val="ListParagraph"/>
        <w:widowControl/>
        <w:numPr>
          <w:ilvl w:val="1"/>
          <w:numId w:val="7"/>
        </w:numPr>
        <w:rPr>
          <w:szCs w:val="22"/>
        </w:rPr>
      </w:pPr>
      <w:r w:rsidRPr="00002A62">
        <w:t>The submission present</w:t>
      </w:r>
      <w:r w:rsidR="00847B94" w:rsidRPr="00002A62">
        <w:t>ed</w:t>
      </w:r>
      <w:r w:rsidRPr="00002A62">
        <w:t xml:space="preserve"> a cost minimisation analysis between TAF and TDF. </w:t>
      </w:r>
    </w:p>
    <w:p w:rsidR="00A86E8B" w:rsidRPr="00002A62" w:rsidRDefault="00A86E8B" w:rsidP="00A86E8B">
      <w:pPr>
        <w:widowControl/>
        <w:rPr>
          <w:szCs w:val="22"/>
        </w:rPr>
      </w:pPr>
    </w:p>
    <w:p w:rsidR="005322F3" w:rsidRPr="00002A62" w:rsidRDefault="005322F3" w:rsidP="005F7E98">
      <w:pPr>
        <w:pStyle w:val="ListParagraph"/>
        <w:widowControl/>
        <w:numPr>
          <w:ilvl w:val="1"/>
          <w:numId w:val="7"/>
        </w:numPr>
        <w:rPr>
          <w:szCs w:val="22"/>
        </w:rPr>
      </w:pPr>
      <w:r w:rsidRPr="00002A62">
        <w:rPr>
          <w:szCs w:val="22"/>
        </w:rPr>
        <w:t>The PBAC noted it could only recommend listing TAF at a higher price than an alternative therapy or therapies if it is satisfied that it provides, for some patients, a significant improvement in efficacy or reduction of toxicity over the alternative therapy or therapies.  The alternative therapies in this case include entecavir.</w:t>
      </w:r>
      <w:r w:rsidR="005F7E98" w:rsidRPr="00002A62">
        <w:rPr>
          <w:szCs w:val="22"/>
        </w:rPr>
        <w:t xml:space="preserve"> As noted above, the PBAC considered that TAF could be considered to be non-inferior in terms of comparative effectiveness and safety to entecavir</w:t>
      </w:r>
      <w:r w:rsidR="00053414" w:rsidRPr="00002A62">
        <w:rPr>
          <w:szCs w:val="22"/>
        </w:rPr>
        <w:t>.</w:t>
      </w:r>
    </w:p>
    <w:p w:rsidR="005F7E98" w:rsidRPr="00002A62" w:rsidRDefault="005F7E98" w:rsidP="005F7E98">
      <w:pPr>
        <w:pStyle w:val="ListParagraph"/>
        <w:widowControl/>
        <w:rPr>
          <w:szCs w:val="22"/>
        </w:rPr>
      </w:pPr>
    </w:p>
    <w:p w:rsidR="005F7E98" w:rsidRPr="00002A62" w:rsidRDefault="005F7E98" w:rsidP="005F7E98">
      <w:pPr>
        <w:pStyle w:val="ListParagraph"/>
        <w:widowControl/>
        <w:numPr>
          <w:ilvl w:val="1"/>
          <w:numId w:val="7"/>
        </w:numPr>
        <w:rPr>
          <w:szCs w:val="22"/>
        </w:rPr>
      </w:pPr>
      <w:r w:rsidRPr="00002A62">
        <w:rPr>
          <w:szCs w:val="22"/>
        </w:rPr>
        <w:t xml:space="preserve">The PBAC considered the equi-effective doses for the purposes of the cost-minimisation to be 0.5 mg </w:t>
      </w:r>
      <w:r w:rsidR="00002A62" w:rsidRPr="00002A62">
        <w:rPr>
          <w:szCs w:val="22"/>
        </w:rPr>
        <w:t>entecavir</w:t>
      </w:r>
      <w:r w:rsidRPr="00002A62">
        <w:rPr>
          <w:szCs w:val="22"/>
        </w:rPr>
        <w:t xml:space="preserve"> to 25 mg TAF for nucleos(t)ide naïve patients and 1 mg entecavir to 25 mg TAF for nucleos(t)ide experienced CHB patients.</w:t>
      </w:r>
      <w:r w:rsidRPr="00002A62">
        <w:t xml:space="preserve"> </w:t>
      </w:r>
      <w:r w:rsidRPr="00002A62">
        <w:rPr>
          <w:szCs w:val="22"/>
        </w:rPr>
        <w:t xml:space="preserve">The PBAC recommended a weighted price approach  based on the current proportion of </w:t>
      </w:r>
      <w:r w:rsidR="005B478C" w:rsidRPr="00002A62">
        <w:rPr>
          <w:szCs w:val="22"/>
        </w:rPr>
        <w:t xml:space="preserve">PBS </w:t>
      </w:r>
      <w:r w:rsidRPr="00002A62">
        <w:rPr>
          <w:szCs w:val="22"/>
        </w:rPr>
        <w:t>utilisation for entecavir 0.5 mg and 1 mg, to account for the different equi-effective doses for the treatment of CHB in nucleoside analogue naïve patients (0.5 mg entecavir) and patients who have failed previous antihepadnaviral therapy (1 mg entecavir)</w:t>
      </w:r>
      <w:r w:rsidR="00053414" w:rsidRPr="00002A62">
        <w:rPr>
          <w:szCs w:val="22"/>
        </w:rPr>
        <w:t>.</w:t>
      </w:r>
    </w:p>
    <w:p w:rsidR="003965C3" w:rsidRPr="00002A62" w:rsidRDefault="003965C3" w:rsidP="005F7E98">
      <w:pPr>
        <w:pStyle w:val="ListParagraph"/>
        <w:widowControl/>
        <w:rPr>
          <w:iCs/>
        </w:rPr>
      </w:pPr>
    </w:p>
    <w:p w:rsidR="004423E8" w:rsidRPr="00002A62" w:rsidRDefault="004423E8" w:rsidP="004423E8">
      <w:pPr>
        <w:ind w:left="720"/>
        <w:rPr>
          <w:rFonts w:ascii="Arial Narrow" w:hAnsi="Arial Narrow" w:cstheme="minorBidi"/>
          <w:b/>
          <w:bCs/>
          <w:sz w:val="20"/>
        </w:rPr>
      </w:pPr>
      <w:r w:rsidRPr="00002A62">
        <w:rPr>
          <w:rFonts w:ascii="Arial Narrow" w:hAnsi="Arial Narrow" w:cstheme="minorBidi"/>
          <w:b/>
          <w:bCs/>
          <w:sz w:val="20"/>
        </w:rPr>
        <w:t xml:space="preserve">Table </w:t>
      </w:r>
      <w:r w:rsidR="00314D2E" w:rsidRPr="00002A62">
        <w:rPr>
          <w:rFonts w:ascii="Arial Narrow" w:hAnsi="Arial Narrow" w:cstheme="minorBidi"/>
          <w:b/>
          <w:bCs/>
          <w:sz w:val="20"/>
        </w:rPr>
        <w:t>7</w:t>
      </w:r>
      <w:r w:rsidRPr="00002A62">
        <w:rPr>
          <w:rFonts w:ascii="Arial Narrow" w:hAnsi="Arial Narrow" w:cstheme="minorBidi"/>
          <w:b/>
          <w:bCs/>
          <w:sz w:val="20"/>
        </w:rPr>
        <w:t>: Price calculations for maximum dispensed quantity of TAF 25</w:t>
      </w:r>
      <w:r w:rsidR="00F1578A" w:rsidRPr="00002A62">
        <w:rPr>
          <w:rFonts w:ascii="Arial Narrow" w:hAnsi="Arial Narrow" w:cstheme="minorBidi"/>
          <w:b/>
          <w:bCs/>
          <w:sz w:val="20"/>
        </w:rPr>
        <w:t xml:space="preserve"> mg</w:t>
      </w:r>
    </w:p>
    <w:tbl>
      <w:tblPr>
        <w:tblStyle w:val="TableGrid"/>
        <w:tblW w:w="4594" w:type="pct"/>
        <w:tblInd w:w="737" w:type="dxa"/>
        <w:tblCellMar>
          <w:left w:w="28" w:type="dxa"/>
          <w:right w:w="28" w:type="dxa"/>
        </w:tblCellMar>
        <w:tblLook w:val="04A0" w:firstRow="1" w:lastRow="0" w:firstColumn="1" w:lastColumn="0" w:noHBand="0" w:noVBand="1"/>
        <w:tblCaption w:val="Table 7: Price calculations for maximum dispensed quantity of TAF 25 mg"/>
      </w:tblPr>
      <w:tblGrid>
        <w:gridCol w:w="1722"/>
        <w:gridCol w:w="1247"/>
        <w:gridCol w:w="1429"/>
        <w:gridCol w:w="1370"/>
        <w:gridCol w:w="1290"/>
        <w:gridCol w:w="1287"/>
      </w:tblGrid>
      <w:tr w:rsidR="004423E8" w:rsidRPr="00002A62" w:rsidTr="00D6359D">
        <w:trPr>
          <w:trHeight w:val="251"/>
          <w:tblHeader/>
        </w:trPr>
        <w:tc>
          <w:tcPr>
            <w:tcW w:w="1032" w:type="pct"/>
            <w:tcBorders>
              <w:right w:val="single" w:sz="4" w:space="0" w:color="auto"/>
            </w:tcBorders>
            <w:shd w:val="clear" w:color="auto" w:fill="auto"/>
            <w:vAlign w:val="center"/>
          </w:tcPr>
          <w:p w:rsidR="004423E8" w:rsidRPr="00002A62" w:rsidRDefault="004423E8" w:rsidP="00A316C8">
            <w:pPr>
              <w:jc w:val="left"/>
              <w:rPr>
                <w:rFonts w:ascii="Arial Narrow" w:hAnsi="Arial Narrow" w:cstheme="minorBidi"/>
                <w:b/>
                <w:bCs/>
                <w:sz w:val="20"/>
              </w:rPr>
            </w:pPr>
            <w:r w:rsidRPr="00002A62">
              <w:rPr>
                <w:rFonts w:ascii="Arial Narrow" w:hAnsi="Arial Narrow" w:cstheme="minorBidi"/>
                <w:b/>
                <w:bCs/>
                <w:sz w:val="20"/>
              </w:rPr>
              <w:t>Item</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4423E8" w:rsidRPr="00002A62" w:rsidRDefault="004423E8" w:rsidP="00A316C8">
            <w:pPr>
              <w:jc w:val="center"/>
              <w:rPr>
                <w:rFonts w:ascii="Arial Narrow" w:hAnsi="Arial Narrow" w:cstheme="minorBidi"/>
                <w:b/>
                <w:bCs/>
                <w:sz w:val="20"/>
              </w:rPr>
            </w:pPr>
            <w:r w:rsidRPr="00002A62">
              <w:rPr>
                <w:rFonts w:ascii="Arial Narrow" w:hAnsi="Arial Narrow" w:cstheme="minorBidi"/>
                <w:b/>
                <w:bCs/>
                <w:sz w:val="20"/>
              </w:rPr>
              <w:t>TAF 25</w:t>
            </w:r>
            <w:r w:rsidR="00F1578A" w:rsidRPr="00002A62">
              <w:rPr>
                <w:rFonts w:ascii="Arial Narrow" w:hAnsi="Arial Narrow" w:cstheme="minorBidi"/>
                <w:b/>
                <w:bCs/>
                <w:sz w:val="20"/>
              </w:rPr>
              <w:t xml:space="preserve"> mg</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4423E8" w:rsidRPr="00002A62" w:rsidRDefault="004423E8" w:rsidP="00A316C8">
            <w:pPr>
              <w:jc w:val="center"/>
              <w:rPr>
                <w:rFonts w:ascii="Arial Narrow" w:hAnsi="Arial Narrow" w:cstheme="minorBidi"/>
                <w:b/>
                <w:bCs/>
                <w:sz w:val="20"/>
              </w:rPr>
            </w:pPr>
            <w:r w:rsidRPr="00002A62">
              <w:rPr>
                <w:rFonts w:ascii="Arial Narrow" w:hAnsi="Arial Narrow" w:cstheme="minorBidi"/>
                <w:b/>
                <w:bCs/>
                <w:sz w:val="20"/>
              </w:rPr>
              <w:t>TDF 300</w:t>
            </w:r>
            <w:r w:rsidR="00F1578A" w:rsidRPr="00002A62">
              <w:rPr>
                <w:rFonts w:ascii="Arial Narrow" w:hAnsi="Arial Narrow" w:cstheme="minorBidi"/>
                <w:b/>
                <w:bCs/>
                <w:sz w:val="20"/>
              </w:rPr>
              <w:t xml:space="preserve"> mg</w:t>
            </w: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423E8" w:rsidRPr="00002A62" w:rsidRDefault="004423E8" w:rsidP="00A316C8">
            <w:pPr>
              <w:jc w:val="center"/>
              <w:rPr>
                <w:rFonts w:ascii="Arial Narrow" w:hAnsi="Arial Narrow" w:cstheme="minorBidi"/>
                <w:b/>
                <w:bCs/>
                <w:sz w:val="20"/>
              </w:rPr>
            </w:pPr>
            <w:r w:rsidRPr="00002A62">
              <w:rPr>
                <w:rFonts w:ascii="Arial Narrow" w:hAnsi="Arial Narrow" w:cstheme="minorBidi"/>
                <w:b/>
                <w:bCs/>
                <w:sz w:val="20"/>
              </w:rPr>
              <w:t>Entecavir 0.5</w:t>
            </w:r>
            <w:r w:rsidR="00F1578A" w:rsidRPr="00002A62">
              <w:rPr>
                <w:rFonts w:ascii="Arial Narrow" w:hAnsi="Arial Narrow" w:cstheme="minorBidi"/>
                <w:b/>
                <w:bCs/>
                <w:sz w:val="20"/>
              </w:rPr>
              <w:t xml:space="preserve"> mg</w:t>
            </w:r>
          </w:p>
        </w:tc>
        <w:tc>
          <w:tcPr>
            <w:tcW w:w="7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423E8" w:rsidRPr="00002A62" w:rsidRDefault="004423E8" w:rsidP="00A316C8">
            <w:pPr>
              <w:jc w:val="center"/>
              <w:rPr>
                <w:rFonts w:ascii="Arial Narrow" w:hAnsi="Arial Narrow" w:cstheme="minorBidi"/>
                <w:b/>
                <w:bCs/>
                <w:sz w:val="20"/>
              </w:rPr>
            </w:pPr>
            <w:r w:rsidRPr="00002A62">
              <w:rPr>
                <w:rFonts w:ascii="Arial Narrow" w:hAnsi="Arial Narrow" w:cstheme="minorBidi"/>
                <w:b/>
                <w:bCs/>
                <w:sz w:val="20"/>
              </w:rPr>
              <w:t>Entecavir 1</w:t>
            </w:r>
            <w:r w:rsidR="00F1578A" w:rsidRPr="00002A62">
              <w:rPr>
                <w:rFonts w:ascii="Arial Narrow" w:hAnsi="Arial Narrow" w:cstheme="minorBidi"/>
                <w:b/>
                <w:bCs/>
                <w:sz w:val="20"/>
              </w:rPr>
              <w:t xml:space="preserve"> mg</w:t>
            </w:r>
          </w:p>
        </w:tc>
        <w:tc>
          <w:tcPr>
            <w:tcW w:w="7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423E8" w:rsidRPr="00002A62" w:rsidRDefault="004423E8" w:rsidP="00A316C8">
            <w:pPr>
              <w:jc w:val="center"/>
              <w:rPr>
                <w:rFonts w:ascii="Arial Narrow" w:hAnsi="Arial Narrow" w:cstheme="minorBidi"/>
                <w:b/>
                <w:bCs/>
                <w:sz w:val="20"/>
              </w:rPr>
            </w:pPr>
            <w:r w:rsidRPr="00002A62">
              <w:rPr>
                <w:rFonts w:ascii="Arial Narrow" w:hAnsi="Arial Narrow" w:cstheme="minorBidi"/>
                <w:b/>
                <w:bCs/>
                <w:sz w:val="20"/>
              </w:rPr>
              <w:t>Adefovir 10</w:t>
            </w:r>
            <w:r w:rsidR="00F1578A" w:rsidRPr="00002A62">
              <w:rPr>
                <w:rFonts w:ascii="Arial Narrow" w:hAnsi="Arial Narrow" w:cstheme="minorBidi"/>
                <w:b/>
                <w:bCs/>
                <w:sz w:val="20"/>
              </w:rPr>
              <w:t xml:space="preserve"> mg</w:t>
            </w:r>
          </w:p>
        </w:tc>
      </w:tr>
      <w:tr w:rsidR="004423E8" w:rsidRPr="00002A62" w:rsidTr="00222366">
        <w:tc>
          <w:tcPr>
            <w:tcW w:w="1032" w:type="pct"/>
            <w:vAlign w:val="center"/>
          </w:tcPr>
          <w:p w:rsidR="004423E8" w:rsidRPr="00002A62" w:rsidRDefault="004423E8" w:rsidP="00A316C8">
            <w:pPr>
              <w:jc w:val="left"/>
              <w:rPr>
                <w:rFonts w:ascii="Arial Narrow" w:hAnsi="Arial Narrow" w:cstheme="minorBidi"/>
                <w:b/>
                <w:bCs/>
                <w:sz w:val="20"/>
              </w:rPr>
            </w:pPr>
            <w:r w:rsidRPr="00002A62">
              <w:rPr>
                <w:rFonts w:ascii="Arial Narrow" w:hAnsi="Arial Narrow" w:cstheme="minorBidi"/>
                <w:b/>
                <w:bCs/>
                <w:sz w:val="20"/>
              </w:rPr>
              <w:t>Setting</w:t>
            </w:r>
          </w:p>
        </w:tc>
        <w:tc>
          <w:tcPr>
            <w:tcW w:w="3968" w:type="pct"/>
            <w:gridSpan w:val="5"/>
            <w:tcBorders>
              <w:top w:val="single" w:sz="4" w:space="0" w:color="auto"/>
            </w:tcBorders>
            <w:shd w:val="clear" w:color="auto" w:fill="FFFFFF" w:themeFill="background1"/>
            <w:vAlign w:val="center"/>
          </w:tcPr>
          <w:p w:rsidR="004423E8" w:rsidRPr="00002A62" w:rsidRDefault="004423E8" w:rsidP="00A316C8">
            <w:pPr>
              <w:jc w:val="center"/>
              <w:rPr>
                <w:rFonts w:ascii="Arial Narrow" w:hAnsi="Arial Narrow" w:cstheme="minorBidi"/>
                <w:b/>
                <w:bCs/>
                <w:sz w:val="20"/>
              </w:rPr>
            </w:pPr>
            <w:r w:rsidRPr="00002A62">
              <w:rPr>
                <w:rFonts w:ascii="Arial Narrow" w:hAnsi="Arial Narrow" w:cstheme="minorBidi"/>
                <w:b/>
                <w:bCs/>
                <w:sz w:val="20"/>
              </w:rPr>
              <w:t>HSD (Community Access)</w:t>
            </w:r>
          </w:p>
        </w:tc>
      </w:tr>
      <w:tr w:rsidR="004423E8" w:rsidRPr="00002A62" w:rsidTr="004423E8">
        <w:tc>
          <w:tcPr>
            <w:tcW w:w="1032" w:type="pct"/>
            <w:vAlign w:val="center"/>
          </w:tcPr>
          <w:p w:rsidR="004423E8" w:rsidRPr="00002A62" w:rsidRDefault="004423E8" w:rsidP="00A316C8">
            <w:pPr>
              <w:jc w:val="left"/>
              <w:rPr>
                <w:rFonts w:ascii="Arial Narrow" w:hAnsi="Arial Narrow" w:cstheme="minorBidi"/>
                <w:sz w:val="20"/>
              </w:rPr>
            </w:pPr>
            <w:r w:rsidRPr="00002A62">
              <w:rPr>
                <w:rFonts w:ascii="Arial Narrow" w:hAnsi="Arial Narrow" w:cstheme="minorBidi"/>
                <w:sz w:val="20"/>
              </w:rPr>
              <w:t>PBS code</w:t>
            </w:r>
          </w:p>
        </w:tc>
        <w:tc>
          <w:tcPr>
            <w:tcW w:w="747" w:type="pct"/>
            <w:tcBorders>
              <w:top w:val="single" w:sz="4" w:space="0" w:color="auto"/>
            </w:tcBorders>
            <w:vAlign w:val="center"/>
          </w:tcPr>
          <w:p w:rsidR="004423E8" w:rsidRPr="00002A62" w:rsidRDefault="004423E8" w:rsidP="00A316C8">
            <w:pPr>
              <w:jc w:val="center"/>
              <w:rPr>
                <w:rFonts w:ascii="Arial Narrow" w:hAnsi="Arial Narrow" w:cstheme="minorBidi"/>
                <w:sz w:val="20"/>
              </w:rPr>
            </w:pPr>
            <w:r w:rsidRPr="00002A62">
              <w:rPr>
                <w:rFonts w:ascii="Arial Narrow" w:hAnsi="Arial Narrow" w:cstheme="minorBidi"/>
                <w:sz w:val="20"/>
              </w:rPr>
              <w:t>-</w:t>
            </w:r>
          </w:p>
        </w:tc>
        <w:tc>
          <w:tcPr>
            <w:tcW w:w="856" w:type="pct"/>
            <w:tcBorders>
              <w:top w:val="single" w:sz="4" w:space="0" w:color="auto"/>
            </w:tcBorders>
            <w:vAlign w:val="center"/>
          </w:tcPr>
          <w:p w:rsidR="004423E8" w:rsidRPr="00002A62" w:rsidRDefault="004423E8" w:rsidP="00A316C8">
            <w:pPr>
              <w:jc w:val="center"/>
              <w:rPr>
                <w:rFonts w:ascii="Arial Narrow" w:hAnsi="Arial Narrow" w:cstheme="minorBidi"/>
                <w:sz w:val="20"/>
              </w:rPr>
            </w:pPr>
            <w:r w:rsidRPr="00002A62">
              <w:rPr>
                <w:rFonts w:ascii="Arial Narrow" w:hAnsi="Arial Narrow" w:cstheme="minorBidi"/>
                <w:sz w:val="20"/>
              </w:rPr>
              <w:t>10310P</w:t>
            </w:r>
          </w:p>
        </w:tc>
        <w:tc>
          <w:tcPr>
            <w:tcW w:w="821" w:type="pct"/>
            <w:tcBorders>
              <w:top w:val="single" w:sz="4" w:space="0" w:color="auto"/>
            </w:tcBorders>
            <w:shd w:val="clear" w:color="auto" w:fill="D9D9D9" w:themeFill="background1" w:themeFillShade="D9"/>
            <w:vAlign w:val="center"/>
          </w:tcPr>
          <w:p w:rsidR="004423E8" w:rsidRPr="00002A62" w:rsidRDefault="004423E8" w:rsidP="00A316C8">
            <w:pPr>
              <w:jc w:val="center"/>
              <w:rPr>
                <w:rFonts w:ascii="Arial Narrow" w:hAnsi="Arial Narrow" w:cstheme="minorBidi"/>
                <w:iCs/>
                <w:sz w:val="20"/>
              </w:rPr>
            </w:pPr>
            <w:r w:rsidRPr="00002A62">
              <w:rPr>
                <w:rFonts w:ascii="Arial Narrow" w:hAnsi="Arial Narrow" w:cstheme="minorBidi"/>
                <w:iCs/>
                <w:sz w:val="20"/>
              </w:rPr>
              <w:t>10279B</w:t>
            </w:r>
          </w:p>
        </w:tc>
        <w:tc>
          <w:tcPr>
            <w:tcW w:w="773" w:type="pct"/>
            <w:tcBorders>
              <w:top w:val="single" w:sz="4" w:space="0" w:color="auto"/>
            </w:tcBorders>
            <w:shd w:val="clear" w:color="auto" w:fill="D9D9D9" w:themeFill="background1" w:themeFillShade="D9"/>
            <w:vAlign w:val="center"/>
          </w:tcPr>
          <w:p w:rsidR="004423E8" w:rsidRPr="00002A62" w:rsidRDefault="004423E8" w:rsidP="00A316C8">
            <w:pPr>
              <w:jc w:val="center"/>
              <w:rPr>
                <w:rFonts w:ascii="Arial Narrow" w:hAnsi="Arial Narrow" w:cstheme="minorBidi"/>
                <w:iCs/>
                <w:sz w:val="20"/>
              </w:rPr>
            </w:pPr>
            <w:r w:rsidRPr="00002A62">
              <w:rPr>
                <w:rFonts w:ascii="Arial Narrow" w:hAnsi="Arial Narrow" w:cstheme="minorBidi"/>
                <w:iCs/>
                <w:sz w:val="20"/>
              </w:rPr>
              <w:t>10353X</w:t>
            </w:r>
          </w:p>
        </w:tc>
        <w:tc>
          <w:tcPr>
            <w:tcW w:w="772" w:type="pct"/>
            <w:tcBorders>
              <w:top w:val="single" w:sz="4" w:space="0" w:color="auto"/>
            </w:tcBorders>
            <w:shd w:val="clear" w:color="auto" w:fill="D9D9D9" w:themeFill="background1" w:themeFillShade="D9"/>
            <w:vAlign w:val="center"/>
          </w:tcPr>
          <w:p w:rsidR="004423E8" w:rsidRPr="00002A62" w:rsidRDefault="004423E8" w:rsidP="00A316C8">
            <w:pPr>
              <w:jc w:val="center"/>
              <w:rPr>
                <w:rFonts w:ascii="Arial Narrow" w:hAnsi="Arial Narrow" w:cstheme="minorBidi"/>
                <w:iCs/>
                <w:sz w:val="20"/>
              </w:rPr>
            </w:pPr>
            <w:r w:rsidRPr="00002A62">
              <w:rPr>
                <w:rFonts w:ascii="Arial Narrow" w:hAnsi="Arial Narrow" w:cstheme="minorBidi"/>
                <w:iCs/>
                <w:sz w:val="20"/>
              </w:rPr>
              <w:t>10290N</w:t>
            </w:r>
          </w:p>
        </w:tc>
      </w:tr>
      <w:tr w:rsidR="004423E8" w:rsidRPr="00002A62" w:rsidTr="004423E8">
        <w:tc>
          <w:tcPr>
            <w:tcW w:w="1032" w:type="pct"/>
            <w:vAlign w:val="center"/>
          </w:tcPr>
          <w:p w:rsidR="004423E8" w:rsidRPr="00002A62" w:rsidRDefault="004423E8" w:rsidP="00A316C8">
            <w:pPr>
              <w:jc w:val="left"/>
              <w:rPr>
                <w:rFonts w:ascii="Arial Narrow" w:hAnsi="Arial Narrow" w:cstheme="minorBidi"/>
                <w:sz w:val="20"/>
              </w:rPr>
            </w:pPr>
            <w:r w:rsidRPr="00002A62">
              <w:rPr>
                <w:rFonts w:ascii="Arial Narrow" w:hAnsi="Arial Narrow" w:cstheme="minorBidi"/>
                <w:sz w:val="20"/>
              </w:rPr>
              <w:t>AEMP (30 tablets)</w:t>
            </w:r>
          </w:p>
        </w:tc>
        <w:tc>
          <w:tcPr>
            <w:tcW w:w="747" w:type="pct"/>
            <w:vAlign w:val="center"/>
          </w:tcPr>
          <w:p w:rsidR="004423E8" w:rsidRPr="00002A62" w:rsidRDefault="004423E8" w:rsidP="00A316C8">
            <w:pPr>
              <w:jc w:val="center"/>
              <w:rPr>
                <w:rFonts w:ascii="Arial Narrow" w:hAnsi="Arial Narrow" w:cstheme="minorBidi"/>
                <w:sz w:val="20"/>
              </w:rPr>
            </w:pPr>
            <w:r w:rsidRPr="00002A62">
              <w:rPr>
                <w:rFonts w:ascii="Arial Narrow" w:hAnsi="Arial Narrow" w:cstheme="minorBidi"/>
                <w:sz w:val="20"/>
              </w:rPr>
              <w:t>$458.95</w:t>
            </w:r>
          </w:p>
        </w:tc>
        <w:tc>
          <w:tcPr>
            <w:tcW w:w="856" w:type="pct"/>
            <w:vAlign w:val="center"/>
          </w:tcPr>
          <w:p w:rsidR="004423E8" w:rsidRPr="00002A62" w:rsidRDefault="004423E8" w:rsidP="00A316C8">
            <w:pPr>
              <w:jc w:val="center"/>
              <w:rPr>
                <w:rFonts w:ascii="Arial Narrow" w:hAnsi="Arial Narrow" w:cstheme="minorBidi"/>
                <w:sz w:val="20"/>
              </w:rPr>
            </w:pPr>
            <w:r w:rsidRPr="00002A62">
              <w:rPr>
                <w:rFonts w:ascii="Arial Narrow" w:hAnsi="Arial Narrow" w:cstheme="minorBidi"/>
                <w:sz w:val="20"/>
              </w:rPr>
              <w:t>$458.95</w:t>
            </w:r>
          </w:p>
        </w:tc>
        <w:tc>
          <w:tcPr>
            <w:tcW w:w="821" w:type="pct"/>
            <w:shd w:val="clear" w:color="auto" w:fill="D9D9D9" w:themeFill="background1" w:themeFillShade="D9"/>
            <w:vAlign w:val="center"/>
          </w:tcPr>
          <w:p w:rsidR="004423E8" w:rsidRPr="00002A62" w:rsidRDefault="004423E8" w:rsidP="00A316C8">
            <w:pPr>
              <w:jc w:val="center"/>
              <w:rPr>
                <w:rFonts w:ascii="Arial Narrow" w:hAnsi="Arial Narrow" w:cstheme="minorBidi"/>
                <w:iCs/>
                <w:sz w:val="20"/>
              </w:rPr>
            </w:pPr>
            <w:r w:rsidRPr="00002A62">
              <w:rPr>
                <w:rFonts w:ascii="Arial Narrow" w:hAnsi="Arial Narrow" w:cstheme="minorBidi"/>
                <w:iCs/>
                <w:sz w:val="20"/>
              </w:rPr>
              <w:t>$306.68</w:t>
            </w:r>
          </w:p>
        </w:tc>
        <w:tc>
          <w:tcPr>
            <w:tcW w:w="773" w:type="pct"/>
            <w:shd w:val="clear" w:color="auto" w:fill="D9D9D9" w:themeFill="background1" w:themeFillShade="D9"/>
            <w:vAlign w:val="center"/>
          </w:tcPr>
          <w:p w:rsidR="004423E8" w:rsidRPr="00002A62" w:rsidRDefault="004423E8" w:rsidP="00A316C8">
            <w:pPr>
              <w:jc w:val="center"/>
              <w:rPr>
                <w:rFonts w:ascii="Arial Narrow" w:hAnsi="Arial Narrow" w:cstheme="minorBidi"/>
                <w:iCs/>
                <w:sz w:val="20"/>
              </w:rPr>
            </w:pPr>
            <w:r w:rsidRPr="00002A62">
              <w:rPr>
                <w:rFonts w:ascii="Arial Narrow" w:hAnsi="Arial Narrow" w:cstheme="minorBidi"/>
                <w:iCs/>
                <w:sz w:val="20"/>
              </w:rPr>
              <w:t>$498.70</w:t>
            </w:r>
          </w:p>
        </w:tc>
        <w:tc>
          <w:tcPr>
            <w:tcW w:w="772" w:type="pct"/>
            <w:shd w:val="clear" w:color="auto" w:fill="D9D9D9" w:themeFill="background1" w:themeFillShade="D9"/>
            <w:vAlign w:val="center"/>
          </w:tcPr>
          <w:p w:rsidR="004423E8" w:rsidRPr="00002A62" w:rsidRDefault="004423E8" w:rsidP="00A316C8">
            <w:pPr>
              <w:jc w:val="center"/>
              <w:rPr>
                <w:rFonts w:ascii="Arial Narrow" w:hAnsi="Arial Narrow" w:cstheme="minorBidi"/>
                <w:iCs/>
                <w:sz w:val="20"/>
              </w:rPr>
            </w:pPr>
            <w:r w:rsidRPr="00002A62">
              <w:rPr>
                <w:rFonts w:ascii="Arial Narrow" w:hAnsi="Arial Narrow" w:cstheme="minorBidi"/>
                <w:iCs/>
                <w:sz w:val="20"/>
              </w:rPr>
              <w:t>$525.00</w:t>
            </w:r>
          </w:p>
        </w:tc>
      </w:tr>
      <w:tr w:rsidR="004423E8" w:rsidRPr="00002A62" w:rsidTr="004423E8">
        <w:tc>
          <w:tcPr>
            <w:tcW w:w="1032" w:type="pct"/>
            <w:vAlign w:val="center"/>
          </w:tcPr>
          <w:p w:rsidR="004423E8" w:rsidRPr="00002A62" w:rsidRDefault="004423E8" w:rsidP="00A316C8">
            <w:pPr>
              <w:jc w:val="left"/>
              <w:rPr>
                <w:rFonts w:ascii="Arial Narrow" w:hAnsi="Arial Narrow" w:cstheme="minorBidi"/>
                <w:sz w:val="20"/>
              </w:rPr>
            </w:pPr>
            <w:r w:rsidRPr="00002A62">
              <w:rPr>
                <w:rFonts w:ascii="Arial Narrow" w:hAnsi="Arial Narrow" w:cstheme="minorBidi"/>
                <w:sz w:val="20"/>
              </w:rPr>
              <w:t>Wholesaler mark-up</w:t>
            </w:r>
          </w:p>
        </w:tc>
        <w:tc>
          <w:tcPr>
            <w:tcW w:w="747" w:type="pct"/>
            <w:vAlign w:val="center"/>
          </w:tcPr>
          <w:p w:rsidR="004423E8" w:rsidRPr="00002A62" w:rsidRDefault="004423E8" w:rsidP="00A316C8">
            <w:pPr>
              <w:jc w:val="center"/>
              <w:rPr>
                <w:rFonts w:ascii="Arial Narrow" w:hAnsi="Arial Narrow" w:cstheme="minorBidi"/>
                <w:sz w:val="20"/>
              </w:rPr>
            </w:pPr>
            <w:r w:rsidRPr="00002A62">
              <w:rPr>
                <w:rFonts w:ascii="Arial Narrow" w:hAnsi="Arial Narrow" w:cstheme="minorBidi"/>
                <w:sz w:val="20"/>
              </w:rPr>
              <w:t>-</w:t>
            </w:r>
          </w:p>
        </w:tc>
        <w:tc>
          <w:tcPr>
            <w:tcW w:w="856" w:type="pct"/>
            <w:vAlign w:val="center"/>
          </w:tcPr>
          <w:p w:rsidR="004423E8" w:rsidRPr="00002A62" w:rsidRDefault="004423E8" w:rsidP="00A316C8">
            <w:pPr>
              <w:jc w:val="center"/>
              <w:rPr>
                <w:rFonts w:ascii="Arial Narrow" w:hAnsi="Arial Narrow" w:cstheme="minorBidi"/>
                <w:sz w:val="20"/>
              </w:rPr>
            </w:pPr>
            <w:r w:rsidRPr="00002A62">
              <w:rPr>
                <w:rFonts w:ascii="Arial Narrow" w:hAnsi="Arial Narrow" w:cstheme="minorBidi"/>
                <w:sz w:val="20"/>
              </w:rPr>
              <w:t>-</w:t>
            </w:r>
          </w:p>
        </w:tc>
        <w:tc>
          <w:tcPr>
            <w:tcW w:w="821" w:type="pct"/>
            <w:shd w:val="clear" w:color="auto" w:fill="D9D9D9" w:themeFill="background1" w:themeFillShade="D9"/>
            <w:vAlign w:val="center"/>
          </w:tcPr>
          <w:p w:rsidR="004423E8" w:rsidRPr="00002A62" w:rsidRDefault="004423E8" w:rsidP="00A316C8">
            <w:pPr>
              <w:jc w:val="center"/>
              <w:rPr>
                <w:rFonts w:ascii="Arial Narrow" w:hAnsi="Arial Narrow" w:cstheme="minorBidi"/>
                <w:iCs/>
                <w:sz w:val="20"/>
              </w:rPr>
            </w:pPr>
            <w:r w:rsidRPr="00002A62">
              <w:rPr>
                <w:rFonts w:ascii="Arial Narrow" w:hAnsi="Arial Narrow" w:cstheme="minorBidi"/>
                <w:iCs/>
                <w:sz w:val="20"/>
              </w:rPr>
              <w:t>-</w:t>
            </w:r>
          </w:p>
        </w:tc>
        <w:tc>
          <w:tcPr>
            <w:tcW w:w="773" w:type="pct"/>
            <w:shd w:val="clear" w:color="auto" w:fill="D9D9D9" w:themeFill="background1" w:themeFillShade="D9"/>
            <w:vAlign w:val="center"/>
          </w:tcPr>
          <w:p w:rsidR="004423E8" w:rsidRPr="00002A62" w:rsidRDefault="004423E8" w:rsidP="00A316C8">
            <w:pPr>
              <w:jc w:val="center"/>
              <w:rPr>
                <w:rFonts w:ascii="Arial Narrow" w:hAnsi="Arial Narrow" w:cstheme="minorBidi"/>
                <w:iCs/>
                <w:sz w:val="20"/>
              </w:rPr>
            </w:pPr>
            <w:r w:rsidRPr="00002A62">
              <w:rPr>
                <w:rFonts w:ascii="Arial Narrow" w:hAnsi="Arial Narrow" w:cstheme="minorBidi"/>
                <w:iCs/>
                <w:sz w:val="20"/>
              </w:rPr>
              <w:t>-</w:t>
            </w:r>
          </w:p>
        </w:tc>
        <w:tc>
          <w:tcPr>
            <w:tcW w:w="772" w:type="pct"/>
            <w:shd w:val="clear" w:color="auto" w:fill="D9D9D9" w:themeFill="background1" w:themeFillShade="D9"/>
            <w:vAlign w:val="center"/>
          </w:tcPr>
          <w:p w:rsidR="004423E8" w:rsidRPr="00002A62" w:rsidRDefault="004423E8" w:rsidP="00A316C8">
            <w:pPr>
              <w:jc w:val="center"/>
              <w:rPr>
                <w:rFonts w:ascii="Arial Narrow" w:hAnsi="Arial Narrow" w:cstheme="minorBidi"/>
                <w:iCs/>
                <w:sz w:val="20"/>
              </w:rPr>
            </w:pPr>
            <w:r w:rsidRPr="00002A62">
              <w:rPr>
                <w:rFonts w:ascii="Arial Narrow" w:hAnsi="Arial Narrow" w:cstheme="minorBidi"/>
                <w:iCs/>
                <w:sz w:val="20"/>
              </w:rPr>
              <w:t>-</w:t>
            </w:r>
          </w:p>
        </w:tc>
      </w:tr>
      <w:tr w:rsidR="004423E8" w:rsidRPr="00002A62" w:rsidTr="004423E8">
        <w:tc>
          <w:tcPr>
            <w:tcW w:w="1032" w:type="pct"/>
            <w:vAlign w:val="center"/>
          </w:tcPr>
          <w:p w:rsidR="004423E8" w:rsidRPr="00002A62" w:rsidRDefault="004423E8" w:rsidP="00A316C8">
            <w:pPr>
              <w:jc w:val="left"/>
              <w:rPr>
                <w:rFonts w:ascii="Arial Narrow" w:hAnsi="Arial Narrow" w:cstheme="minorBidi"/>
                <w:sz w:val="20"/>
              </w:rPr>
            </w:pPr>
            <w:r w:rsidRPr="00002A62">
              <w:rPr>
                <w:rFonts w:ascii="Arial Narrow" w:hAnsi="Arial Narrow" w:cstheme="minorBidi"/>
                <w:sz w:val="20"/>
              </w:rPr>
              <w:t xml:space="preserve">Price to pharmacist (30 tablets) </w:t>
            </w:r>
          </w:p>
        </w:tc>
        <w:tc>
          <w:tcPr>
            <w:tcW w:w="747" w:type="pct"/>
            <w:vAlign w:val="center"/>
          </w:tcPr>
          <w:p w:rsidR="004423E8" w:rsidRPr="00002A62" w:rsidRDefault="004423E8" w:rsidP="00A316C8">
            <w:pPr>
              <w:jc w:val="center"/>
              <w:rPr>
                <w:rFonts w:ascii="Arial Narrow" w:hAnsi="Arial Narrow" w:cstheme="minorBidi"/>
                <w:sz w:val="20"/>
              </w:rPr>
            </w:pPr>
            <w:r w:rsidRPr="00002A62">
              <w:rPr>
                <w:rFonts w:ascii="Arial Narrow" w:hAnsi="Arial Narrow" w:cstheme="minorBidi"/>
                <w:sz w:val="20"/>
              </w:rPr>
              <w:t>$458.95</w:t>
            </w:r>
          </w:p>
        </w:tc>
        <w:tc>
          <w:tcPr>
            <w:tcW w:w="856" w:type="pct"/>
            <w:vAlign w:val="center"/>
          </w:tcPr>
          <w:p w:rsidR="004423E8" w:rsidRPr="00002A62" w:rsidRDefault="004423E8" w:rsidP="00A316C8">
            <w:pPr>
              <w:jc w:val="center"/>
              <w:rPr>
                <w:rFonts w:ascii="Arial Narrow" w:hAnsi="Arial Narrow" w:cstheme="minorBidi"/>
                <w:sz w:val="20"/>
              </w:rPr>
            </w:pPr>
            <w:r w:rsidRPr="00002A62">
              <w:rPr>
                <w:rFonts w:ascii="Arial Narrow" w:hAnsi="Arial Narrow" w:cstheme="minorBidi"/>
                <w:sz w:val="20"/>
              </w:rPr>
              <w:t>$458.95</w:t>
            </w:r>
          </w:p>
        </w:tc>
        <w:tc>
          <w:tcPr>
            <w:tcW w:w="821" w:type="pct"/>
            <w:shd w:val="clear" w:color="auto" w:fill="D9D9D9" w:themeFill="background1" w:themeFillShade="D9"/>
            <w:vAlign w:val="center"/>
          </w:tcPr>
          <w:p w:rsidR="004423E8" w:rsidRPr="00002A62" w:rsidRDefault="004423E8" w:rsidP="00A316C8">
            <w:pPr>
              <w:jc w:val="center"/>
              <w:rPr>
                <w:rFonts w:ascii="Arial Narrow" w:hAnsi="Arial Narrow" w:cstheme="minorBidi"/>
                <w:iCs/>
                <w:sz w:val="20"/>
              </w:rPr>
            </w:pPr>
            <w:r w:rsidRPr="00002A62">
              <w:rPr>
                <w:rFonts w:ascii="Arial Narrow" w:hAnsi="Arial Narrow" w:cstheme="minorBidi"/>
                <w:iCs/>
                <w:sz w:val="20"/>
              </w:rPr>
              <w:t>$306.68</w:t>
            </w:r>
          </w:p>
        </w:tc>
        <w:tc>
          <w:tcPr>
            <w:tcW w:w="773" w:type="pct"/>
            <w:shd w:val="clear" w:color="auto" w:fill="D9D9D9" w:themeFill="background1" w:themeFillShade="D9"/>
            <w:vAlign w:val="center"/>
          </w:tcPr>
          <w:p w:rsidR="004423E8" w:rsidRPr="00002A62" w:rsidRDefault="004423E8" w:rsidP="00A316C8">
            <w:pPr>
              <w:jc w:val="center"/>
              <w:rPr>
                <w:rFonts w:ascii="Arial Narrow" w:hAnsi="Arial Narrow" w:cstheme="minorBidi"/>
                <w:iCs/>
                <w:sz w:val="20"/>
              </w:rPr>
            </w:pPr>
            <w:r w:rsidRPr="00002A62">
              <w:rPr>
                <w:rFonts w:ascii="Arial Narrow" w:hAnsi="Arial Narrow" w:cstheme="minorBidi"/>
                <w:iCs/>
                <w:sz w:val="20"/>
              </w:rPr>
              <w:t>$498.70</w:t>
            </w:r>
          </w:p>
        </w:tc>
        <w:tc>
          <w:tcPr>
            <w:tcW w:w="772" w:type="pct"/>
            <w:shd w:val="clear" w:color="auto" w:fill="D9D9D9" w:themeFill="background1" w:themeFillShade="D9"/>
            <w:vAlign w:val="center"/>
          </w:tcPr>
          <w:p w:rsidR="004423E8" w:rsidRPr="00002A62" w:rsidRDefault="004423E8" w:rsidP="00A316C8">
            <w:pPr>
              <w:jc w:val="center"/>
              <w:rPr>
                <w:rFonts w:ascii="Arial Narrow" w:hAnsi="Arial Narrow" w:cstheme="minorBidi"/>
                <w:iCs/>
                <w:sz w:val="20"/>
              </w:rPr>
            </w:pPr>
            <w:r w:rsidRPr="00002A62">
              <w:rPr>
                <w:rFonts w:ascii="Arial Narrow" w:hAnsi="Arial Narrow" w:cstheme="minorBidi"/>
                <w:iCs/>
                <w:sz w:val="20"/>
              </w:rPr>
              <w:t>$525.00</w:t>
            </w:r>
          </w:p>
        </w:tc>
      </w:tr>
      <w:tr w:rsidR="004423E8" w:rsidRPr="00002A62" w:rsidTr="004423E8">
        <w:tc>
          <w:tcPr>
            <w:tcW w:w="1032" w:type="pct"/>
            <w:vAlign w:val="center"/>
          </w:tcPr>
          <w:p w:rsidR="004423E8" w:rsidRPr="00002A62" w:rsidRDefault="004423E8" w:rsidP="00A316C8">
            <w:pPr>
              <w:jc w:val="left"/>
              <w:rPr>
                <w:rFonts w:ascii="Arial Narrow" w:hAnsi="Arial Narrow" w:cstheme="minorBidi"/>
                <w:sz w:val="20"/>
              </w:rPr>
            </w:pPr>
            <w:r w:rsidRPr="00002A62">
              <w:rPr>
                <w:rFonts w:ascii="Arial Narrow" w:hAnsi="Arial Narrow" w:cstheme="minorBidi"/>
                <w:sz w:val="20"/>
              </w:rPr>
              <w:t>Pharmacist mark-up</w:t>
            </w:r>
          </w:p>
        </w:tc>
        <w:tc>
          <w:tcPr>
            <w:tcW w:w="747" w:type="pct"/>
            <w:vAlign w:val="center"/>
          </w:tcPr>
          <w:p w:rsidR="004423E8" w:rsidRPr="00002A62" w:rsidRDefault="004423E8" w:rsidP="00A316C8">
            <w:pPr>
              <w:jc w:val="center"/>
              <w:rPr>
                <w:rFonts w:ascii="Arial Narrow" w:hAnsi="Arial Narrow" w:cstheme="minorBidi"/>
                <w:sz w:val="20"/>
              </w:rPr>
            </w:pPr>
            <w:r w:rsidRPr="00002A62">
              <w:rPr>
                <w:rFonts w:ascii="Arial Narrow" w:hAnsi="Arial Narrow" w:cstheme="minorBidi"/>
                <w:sz w:val="20"/>
              </w:rPr>
              <w:t>$36.72 (4%)</w:t>
            </w:r>
          </w:p>
        </w:tc>
        <w:tc>
          <w:tcPr>
            <w:tcW w:w="856" w:type="pct"/>
            <w:vAlign w:val="center"/>
          </w:tcPr>
          <w:p w:rsidR="004423E8" w:rsidRPr="00002A62" w:rsidRDefault="004423E8" w:rsidP="00A316C8">
            <w:pPr>
              <w:jc w:val="center"/>
              <w:rPr>
                <w:rFonts w:ascii="Arial Narrow" w:hAnsi="Arial Narrow" w:cstheme="minorBidi"/>
                <w:sz w:val="20"/>
              </w:rPr>
            </w:pPr>
            <w:r w:rsidRPr="00002A62">
              <w:rPr>
                <w:rFonts w:ascii="Arial Narrow" w:hAnsi="Arial Narrow" w:cstheme="minorBidi"/>
                <w:sz w:val="20"/>
              </w:rPr>
              <w:t>$36.72 (4%)</w:t>
            </w:r>
          </w:p>
        </w:tc>
        <w:tc>
          <w:tcPr>
            <w:tcW w:w="821" w:type="pct"/>
            <w:shd w:val="clear" w:color="auto" w:fill="D9D9D9" w:themeFill="background1" w:themeFillShade="D9"/>
            <w:vAlign w:val="center"/>
          </w:tcPr>
          <w:p w:rsidR="004423E8" w:rsidRPr="00002A62" w:rsidRDefault="004423E8" w:rsidP="00A316C8">
            <w:pPr>
              <w:jc w:val="center"/>
              <w:rPr>
                <w:rFonts w:ascii="Arial Narrow" w:hAnsi="Arial Narrow" w:cstheme="minorBidi"/>
                <w:iCs/>
                <w:sz w:val="20"/>
              </w:rPr>
            </w:pPr>
            <w:r w:rsidRPr="00002A62">
              <w:rPr>
                <w:rFonts w:ascii="Arial Narrow" w:hAnsi="Arial Narrow" w:cstheme="minorBidi"/>
                <w:iCs/>
                <w:sz w:val="20"/>
              </w:rPr>
              <w:t>$24.53 (4%)</w:t>
            </w:r>
          </w:p>
        </w:tc>
        <w:tc>
          <w:tcPr>
            <w:tcW w:w="773" w:type="pct"/>
            <w:shd w:val="clear" w:color="auto" w:fill="D9D9D9" w:themeFill="background1" w:themeFillShade="D9"/>
            <w:vAlign w:val="center"/>
          </w:tcPr>
          <w:p w:rsidR="004423E8" w:rsidRPr="00002A62" w:rsidRDefault="004423E8" w:rsidP="00A316C8">
            <w:pPr>
              <w:jc w:val="center"/>
              <w:rPr>
                <w:rFonts w:ascii="Arial Narrow" w:hAnsi="Arial Narrow" w:cstheme="minorBidi"/>
                <w:iCs/>
                <w:sz w:val="20"/>
              </w:rPr>
            </w:pPr>
            <w:r w:rsidRPr="00002A62">
              <w:rPr>
                <w:rFonts w:ascii="Arial Narrow" w:hAnsi="Arial Narrow" w:cstheme="minorBidi"/>
                <w:iCs/>
                <w:sz w:val="20"/>
              </w:rPr>
              <w:t>$40.00</w:t>
            </w:r>
          </w:p>
        </w:tc>
        <w:tc>
          <w:tcPr>
            <w:tcW w:w="772" w:type="pct"/>
            <w:shd w:val="clear" w:color="auto" w:fill="D9D9D9" w:themeFill="background1" w:themeFillShade="D9"/>
            <w:vAlign w:val="center"/>
          </w:tcPr>
          <w:p w:rsidR="004423E8" w:rsidRPr="00002A62" w:rsidRDefault="004423E8" w:rsidP="00A316C8">
            <w:pPr>
              <w:jc w:val="center"/>
              <w:rPr>
                <w:rFonts w:ascii="Arial Narrow" w:hAnsi="Arial Narrow" w:cstheme="minorBidi"/>
                <w:iCs/>
                <w:sz w:val="20"/>
              </w:rPr>
            </w:pPr>
            <w:r w:rsidRPr="00002A62">
              <w:rPr>
                <w:rFonts w:ascii="Arial Narrow" w:hAnsi="Arial Narrow" w:cstheme="minorBidi"/>
                <w:iCs/>
                <w:sz w:val="20"/>
              </w:rPr>
              <w:t>$40.00</w:t>
            </w:r>
          </w:p>
        </w:tc>
      </w:tr>
      <w:tr w:rsidR="004423E8" w:rsidRPr="00002A62" w:rsidTr="004423E8">
        <w:tc>
          <w:tcPr>
            <w:tcW w:w="1032" w:type="pct"/>
            <w:vAlign w:val="center"/>
          </w:tcPr>
          <w:p w:rsidR="004423E8" w:rsidRPr="00002A62" w:rsidRDefault="004423E8" w:rsidP="00A316C8">
            <w:pPr>
              <w:jc w:val="left"/>
              <w:rPr>
                <w:rFonts w:ascii="Arial Narrow" w:hAnsi="Arial Narrow" w:cstheme="minorBidi"/>
                <w:sz w:val="20"/>
              </w:rPr>
            </w:pPr>
            <w:r w:rsidRPr="00002A62">
              <w:rPr>
                <w:rFonts w:ascii="Arial Narrow" w:hAnsi="Arial Narrow" w:cstheme="minorBidi"/>
                <w:sz w:val="20"/>
              </w:rPr>
              <w:t>Dispensing fee</w:t>
            </w:r>
          </w:p>
        </w:tc>
        <w:tc>
          <w:tcPr>
            <w:tcW w:w="747" w:type="pct"/>
            <w:vAlign w:val="center"/>
          </w:tcPr>
          <w:p w:rsidR="004423E8" w:rsidRPr="00002A62" w:rsidRDefault="004423E8" w:rsidP="00A316C8">
            <w:pPr>
              <w:jc w:val="center"/>
              <w:rPr>
                <w:rFonts w:ascii="Arial Narrow" w:hAnsi="Arial Narrow" w:cstheme="minorBidi"/>
                <w:sz w:val="20"/>
              </w:rPr>
            </w:pPr>
            <w:r w:rsidRPr="00002A62">
              <w:rPr>
                <w:rFonts w:ascii="Arial Narrow" w:hAnsi="Arial Narrow" w:cstheme="minorBidi"/>
                <w:sz w:val="20"/>
              </w:rPr>
              <w:t>$7.02</w:t>
            </w:r>
          </w:p>
        </w:tc>
        <w:tc>
          <w:tcPr>
            <w:tcW w:w="856" w:type="pct"/>
            <w:vAlign w:val="center"/>
          </w:tcPr>
          <w:p w:rsidR="004423E8" w:rsidRPr="00002A62" w:rsidRDefault="004423E8" w:rsidP="00A316C8">
            <w:pPr>
              <w:jc w:val="center"/>
              <w:rPr>
                <w:rFonts w:ascii="Arial Narrow" w:hAnsi="Arial Narrow" w:cstheme="minorBidi"/>
                <w:sz w:val="20"/>
              </w:rPr>
            </w:pPr>
            <w:r w:rsidRPr="00002A62">
              <w:rPr>
                <w:rFonts w:ascii="Arial Narrow" w:hAnsi="Arial Narrow" w:cstheme="minorBidi"/>
                <w:sz w:val="20"/>
              </w:rPr>
              <w:t>$7.02</w:t>
            </w:r>
          </w:p>
        </w:tc>
        <w:tc>
          <w:tcPr>
            <w:tcW w:w="821" w:type="pct"/>
            <w:shd w:val="clear" w:color="auto" w:fill="D9D9D9" w:themeFill="background1" w:themeFillShade="D9"/>
            <w:vAlign w:val="center"/>
          </w:tcPr>
          <w:p w:rsidR="004423E8" w:rsidRPr="00002A62" w:rsidRDefault="004423E8" w:rsidP="00A316C8">
            <w:pPr>
              <w:jc w:val="center"/>
              <w:rPr>
                <w:rFonts w:ascii="Arial Narrow" w:hAnsi="Arial Narrow" w:cstheme="minorBidi"/>
                <w:iCs/>
                <w:sz w:val="20"/>
              </w:rPr>
            </w:pPr>
            <w:r w:rsidRPr="00002A62">
              <w:rPr>
                <w:rFonts w:ascii="Arial Narrow" w:hAnsi="Arial Narrow" w:cstheme="minorBidi"/>
                <w:iCs/>
                <w:sz w:val="20"/>
              </w:rPr>
              <w:t>$7.02</w:t>
            </w:r>
          </w:p>
        </w:tc>
        <w:tc>
          <w:tcPr>
            <w:tcW w:w="773" w:type="pct"/>
            <w:shd w:val="clear" w:color="auto" w:fill="D9D9D9" w:themeFill="background1" w:themeFillShade="D9"/>
            <w:vAlign w:val="center"/>
          </w:tcPr>
          <w:p w:rsidR="004423E8" w:rsidRPr="00002A62" w:rsidRDefault="004423E8" w:rsidP="00A316C8">
            <w:pPr>
              <w:jc w:val="center"/>
              <w:rPr>
                <w:rFonts w:ascii="Arial Narrow" w:hAnsi="Arial Narrow" w:cstheme="minorBidi"/>
                <w:iCs/>
                <w:sz w:val="20"/>
              </w:rPr>
            </w:pPr>
            <w:r w:rsidRPr="00002A62">
              <w:rPr>
                <w:rFonts w:ascii="Arial Narrow" w:hAnsi="Arial Narrow" w:cstheme="minorBidi"/>
                <w:iCs/>
                <w:sz w:val="20"/>
              </w:rPr>
              <w:t>$7.02</w:t>
            </w:r>
          </w:p>
        </w:tc>
        <w:tc>
          <w:tcPr>
            <w:tcW w:w="772" w:type="pct"/>
            <w:shd w:val="clear" w:color="auto" w:fill="D9D9D9" w:themeFill="background1" w:themeFillShade="D9"/>
            <w:vAlign w:val="center"/>
          </w:tcPr>
          <w:p w:rsidR="004423E8" w:rsidRPr="00002A62" w:rsidRDefault="004423E8" w:rsidP="00A316C8">
            <w:pPr>
              <w:jc w:val="center"/>
              <w:rPr>
                <w:rFonts w:ascii="Arial Narrow" w:hAnsi="Arial Narrow" w:cstheme="minorBidi"/>
                <w:iCs/>
                <w:sz w:val="20"/>
              </w:rPr>
            </w:pPr>
            <w:r w:rsidRPr="00002A62">
              <w:rPr>
                <w:rFonts w:ascii="Arial Narrow" w:hAnsi="Arial Narrow" w:cstheme="minorBidi"/>
                <w:iCs/>
                <w:sz w:val="20"/>
              </w:rPr>
              <w:t>$7.02</w:t>
            </w:r>
          </w:p>
        </w:tc>
      </w:tr>
      <w:tr w:rsidR="004423E8" w:rsidRPr="00002A62" w:rsidTr="004423E8">
        <w:tc>
          <w:tcPr>
            <w:tcW w:w="1032" w:type="pct"/>
            <w:vAlign w:val="center"/>
          </w:tcPr>
          <w:p w:rsidR="004423E8" w:rsidRPr="00002A62" w:rsidRDefault="004423E8" w:rsidP="00A316C8">
            <w:pPr>
              <w:jc w:val="left"/>
              <w:rPr>
                <w:rFonts w:ascii="Arial Narrow" w:hAnsi="Arial Narrow" w:cstheme="minorBidi"/>
                <w:sz w:val="20"/>
              </w:rPr>
            </w:pPr>
            <w:r w:rsidRPr="00002A62">
              <w:rPr>
                <w:rFonts w:ascii="Arial Narrow" w:hAnsi="Arial Narrow" w:cstheme="minorBidi"/>
                <w:sz w:val="20"/>
              </w:rPr>
              <w:t>DPMQ (60 tablets)</w:t>
            </w:r>
          </w:p>
        </w:tc>
        <w:tc>
          <w:tcPr>
            <w:tcW w:w="747" w:type="pct"/>
            <w:vAlign w:val="center"/>
          </w:tcPr>
          <w:p w:rsidR="004423E8" w:rsidRPr="00002A62" w:rsidRDefault="004423E8" w:rsidP="00A316C8">
            <w:pPr>
              <w:jc w:val="center"/>
              <w:rPr>
                <w:rFonts w:ascii="Arial Narrow" w:hAnsi="Arial Narrow" w:cstheme="minorBidi"/>
                <w:sz w:val="20"/>
              </w:rPr>
            </w:pPr>
            <w:r w:rsidRPr="00002A62">
              <w:rPr>
                <w:rFonts w:ascii="Arial Narrow" w:hAnsi="Arial Narrow" w:cstheme="minorBidi"/>
                <w:sz w:val="20"/>
              </w:rPr>
              <w:t>$961.64</w:t>
            </w:r>
          </w:p>
        </w:tc>
        <w:tc>
          <w:tcPr>
            <w:tcW w:w="856" w:type="pct"/>
            <w:vAlign w:val="center"/>
          </w:tcPr>
          <w:p w:rsidR="004423E8" w:rsidRPr="00002A62" w:rsidRDefault="004423E8" w:rsidP="00A316C8">
            <w:pPr>
              <w:jc w:val="center"/>
              <w:rPr>
                <w:rFonts w:ascii="Arial Narrow" w:hAnsi="Arial Narrow" w:cstheme="minorBidi"/>
                <w:sz w:val="20"/>
              </w:rPr>
            </w:pPr>
            <w:r w:rsidRPr="00002A62">
              <w:rPr>
                <w:rFonts w:ascii="Arial Narrow" w:hAnsi="Arial Narrow" w:cstheme="minorBidi"/>
                <w:sz w:val="20"/>
              </w:rPr>
              <w:t>$961.64</w:t>
            </w:r>
          </w:p>
        </w:tc>
        <w:tc>
          <w:tcPr>
            <w:tcW w:w="821" w:type="pct"/>
            <w:shd w:val="clear" w:color="auto" w:fill="D9D9D9" w:themeFill="background1" w:themeFillShade="D9"/>
            <w:vAlign w:val="center"/>
          </w:tcPr>
          <w:p w:rsidR="004423E8" w:rsidRPr="00002A62" w:rsidRDefault="004423E8" w:rsidP="00A316C8">
            <w:pPr>
              <w:jc w:val="center"/>
              <w:rPr>
                <w:rFonts w:ascii="Arial Narrow" w:hAnsi="Arial Narrow" w:cstheme="minorBidi"/>
                <w:iCs/>
                <w:sz w:val="20"/>
              </w:rPr>
            </w:pPr>
            <w:r w:rsidRPr="00002A62">
              <w:rPr>
                <w:rFonts w:ascii="Arial Narrow" w:hAnsi="Arial Narrow" w:cstheme="minorBidi"/>
                <w:iCs/>
                <w:sz w:val="20"/>
              </w:rPr>
              <w:t>$644.92</w:t>
            </w:r>
          </w:p>
        </w:tc>
        <w:tc>
          <w:tcPr>
            <w:tcW w:w="773" w:type="pct"/>
            <w:shd w:val="clear" w:color="auto" w:fill="D9D9D9" w:themeFill="background1" w:themeFillShade="D9"/>
            <w:vAlign w:val="center"/>
          </w:tcPr>
          <w:p w:rsidR="004423E8" w:rsidRPr="00002A62" w:rsidRDefault="004423E8" w:rsidP="00A316C8">
            <w:pPr>
              <w:jc w:val="center"/>
              <w:rPr>
                <w:rFonts w:ascii="Arial Narrow" w:hAnsi="Arial Narrow" w:cstheme="minorBidi"/>
                <w:iCs/>
                <w:sz w:val="20"/>
              </w:rPr>
            </w:pPr>
            <w:r w:rsidRPr="00002A62">
              <w:rPr>
                <w:rFonts w:ascii="Arial Narrow" w:hAnsi="Arial Narrow" w:cstheme="minorBidi"/>
                <w:iCs/>
                <w:sz w:val="20"/>
              </w:rPr>
              <w:t>$1044.42</w:t>
            </w:r>
          </w:p>
        </w:tc>
        <w:tc>
          <w:tcPr>
            <w:tcW w:w="772" w:type="pct"/>
            <w:shd w:val="clear" w:color="auto" w:fill="D9D9D9" w:themeFill="background1" w:themeFillShade="D9"/>
            <w:vAlign w:val="center"/>
          </w:tcPr>
          <w:p w:rsidR="004423E8" w:rsidRPr="00002A62" w:rsidRDefault="004423E8" w:rsidP="00A316C8">
            <w:pPr>
              <w:jc w:val="center"/>
              <w:rPr>
                <w:rFonts w:ascii="Arial Narrow" w:hAnsi="Arial Narrow" w:cstheme="minorBidi"/>
                <w:iCs/>
                <w:sz w:val="20"/>
              </w:rPr>
            </w:pPr>
            <w:r w:rsidRPr="00002A62">
              <w:rPr>
                <w:rFonts w:ascii="Arial Narrow" w:hAnsi="Arial Narrow" w:cstheme="minorBidi"/>
                <w:iCs/>
                <w:sz w:val="20"/>
              </w:rPr>
              <w:t>$1097.02</w:t>
            </w:r>
          </w:p>
        </w:tc>
      </w:tr>
    </w:tbl>
    <w:p w:rsidR="004423E8" w:rsidRPr="00002A62" w:rsidRDefault="004423E8" w:rsidP="004423E8">
      <w:pPr>
        <w:ind w:left="720"/>
        <w:rPr>
          <w:rFonts w:ascii="Arial Narrow" w:hAnsi="Arial Narrow" w:cstheme="minorBidi"/>
          <w:sz w:val="18"/>
          <w:szCs w:val="18"/>
        </w:rPr>
      </w:pPr>
      <w:r w:rsidRPr="00002A62">
        <w:rPr>
          <w:rFonts w:ascii="Arial Narrow" w:hAnsi="Arial Narrow"/>
          <w:sz w:val="18"/>
          <w:szCs w:val="18"/>
        </w:rPr>
        <w:t xml:space="preserve">Abbreviation: TAF = tenofovir alafenamide, TDF = tenofovir disoproxil fumarate, </w:t>
      </w:r>
      <w:r w:rsidRPr="00002A62">
        <w:rPr>
          <w:rFonts w:ascii="Arial Narrow" w:hAnsi="Arial Narrow" w:cstheme="minorBidi"/>
          <w:sz w:val="18"/>
          <w:szCs w:val="18"/>
        </w:rPr>
        <w:t>AEMP = approved ex-manufacturer price; DPMQ = Dispensed Price for Maximum Quantity</w:t>
      </w:r>
    </w:p>
    <w:p w:rsidR="004423E8" w:rsidRPr="00002A62" w:rsidRDefault="008568A9" w:rsidP="004423E8">
      <w:pPr>
        <w:ind w:firstLine="720"/>
        <w:rPr>
          <w:rFonts w:ascii="Arial Narrow" w:hAnsi="Arial Narrow" w:cstheme="minorBidi"/>
          <w:iCs/>
          <w:sz w:val="18"/>
          <w:szCs w:val="18"/>
        </w:rPr>
      </w:pPr>
      <w:r w:rsidRPr="00002A62">
        <w:rPr>
          <w:rFonts w:ascii="Arial Narrow" w:hAnsi="Arial Narrow" w:cstheme="minorBidi"/>
          <w:iCs/>
          <w:sz w:val="18"/>
          <w:szCs w:val="18"/>
        </w:rPr>
        <w:t xml:space="preserve">Values for entecavir and adefovir were </w:t>
      </w:r>
      <w:r w:rsidR="004423E8" w:rsidRPr="00002A62">
        <w:rPr>
          <w:rFonts w:ascii="Arial Narrow" w:hAnsi="Arial Narrow" w:cstheme="minorBidi"/>
          <w:iCs/>
          <w:sz w:val="18"/>
          <w:szCs w:val="18"/>
        </w:rPr>
        <w:t>added during evaluation</w:t>
      </w:r>
    </w:p>
    <w:p w:rsidR="00A43AC8" w:rsidRPr="00002A62" w:rsidRDefault="004423E8" w:rsidP="00A43AC8">
      <w:pPr>
        <w:pStyle w:val="ListParagraph"/>
        <w:rPr>
          <w:rFonts w:ascii="Arial Narrow" w:hAnsi="Arial Narrow" w:cstheme="minorBidi"/>
          <w:sz w:val="18"/>
          <w:szCs w:val="18"/>
        </w:rPr>
      </w:pPr>
      <w:r w:rsidRPr="00002A62">
        <w:rPr>
          <w:rFonts w:ascii="Arial Narrow" w:hAnsi="Arial Narrow" w:cstheme="minorBidi"/>
          <w:sz w:val="18"/>
          <w:szCs w:val="18"/>
        </w:rPr>
        <w:t xml:space="preserve">Source: Table D-1, p137 of the submission, PBS online schedule </w:t>
      </w:r>
    </w:p>
    <w:p w:rsidR="00D531B5" w:rsidRPr="00002A62" w:rsidRDefault="00D531B5" w:rsidP="00A43AC8">
      <w:pPr>
        <w:pStyle w:val="ListParagraph"/>
        <w:rPr>
          <w:iCs/>
          <w:szCs w:val="22"/>
        </w:rPr>
      </w:pPr>
    </w:p>
    <w:p w:rsidR="00743337" w:rsidRPr="00002A62" w:rsidRDefault="00A43AC8" w:rsidP="00743337">
      <w:pPr>
        <w:widowControl/>
        <w:rPr>
          <w:i/>
          <w:iCs/>
        </w:rPr>
      </w:pPr>
      <w:r w:rsidRPr="00002A62">
        <w:rPr>
          <w:b/>
          <w:i/>
          <w:iCs/>
        </w:rPr>
        <w:t>Drug cost/patient/year</w:t>
      </w:r>
      <w:r w:rsidR="00C25D9C" w:rsidRPr="00002A62">
        <w:rPr>
          <w:i/>
          <w:iCs/>
        </w:rPr>
        <w:t xml:space="preserve">: </w:t>
      </w:r>
    </w:p>
    <w:p w:rsidR="00200670" w:rsidRPr="00002A62" w:rsidRDefault="00200670" w:rsidP="00743337">
      <w:pPr>
        <w:widowControl/>
        <w:rPr>
          <w:i/>
          <w:iCs/>
          <w:szCs w:val="22"/>
        </w:rPr>
      </w:pPr>
    </w:p>
    <w:p w:rsidR="00C25D9C" w:rsidRPr="00002A62" w:rsidRDefault="00C25D9C" w:rsidP="00200670">
      <w:pPr>
        <w:pStyle w:val="ListParagraph"/>
        <w:widowControl/>
        <w:numPr>
          <w:ilvl w:val="1"/>
          <w:numId w:val="7"/>
        </w:numPr>
      </w:pPr>
      <w:r w:rsidRPr="00002A62">
        <w:t>$</w:t>
      </w:r>
      <w:r w:rsidR="00A43AC8" w:rsidRPr="00002A62">
        <w:t xml:space="preserve">5,769.84 assuming 6 scripts of 60 </w:t>
      </w:r>
      <w:r w:rsidR="00F83548" w:rsidRPr="00002A62">
        <w:t>TAF 25</w:t>
      </w:r>
      <w:r w:rsidR="00F1578A" w:rsidRPr="00002A62">
        <w:t xml:space="preserve"> mg</w:t>
      </w:r>
      <w:r w:rsidR="00F83548" w:rsidRPr="00002A62">
        <w:t xml:space="preserve"> tablets (at a dose of 1 tablet a day)</w:t>
      </w:r>
      <w:r w:rsidR="00716ED0" w:rsidRPr="00002A62">
        <w:t xml:space="preserve">. </w:t>
      </w:r>
      <w:r w:rsidR="00A43AC8" w:rsidRPr="00002A62">
        <w:t xml:space="preserve">This is the same as the </w:t>
      </w:r>
      <w:r w:rsidR="00F83548" w:rsidRPr="00002A62">
        <w:t xml:space="preserve">current </w:t>
      </w:r>
      <w:r w:rsidR="00A43AC8" w:rsidRPr="00002A62">
        <w:t>drug cost/patient/year for TDF 300</w:t>
      </w:r>
      <w:r w:rsidR="00F1578A" w:rsidRPr="00002A62">
        <w:t xml:space="preserve"> mg</w:t>
      </w:r>
      <w:r w:rsidR="00FC2DA7" w:rsidRPr="00002A62">
        <w:t xml:space="preserve"> at a dose of 1 tablet a day</w:t>
      </w:r>
      <w:r w:rsidR="00A43AC8" w:rsidRPr="00002A62">
        <w:t xml:space="preserve">. </w:t>
      </w:r>
    </w:p>
    <w:p w:rsidR="005322F3" w:rsidRPr="00002A62" w:rsidRDefault="005322F3" w:rsidP="005322F3">
      <w:pPr>
        <w:pStyle w:val="ListParagraph"/>
        <w:widowControl/>
      </w:pPr>
    </w:p>
    <w:p w:rsidR="00205960" w:rsidRPr="00002A62" w:rsidRDefault="00205960" w:rsidP="00200670">
      <w:pPr>
        <w:pStyle w:val="ListParagraph"/>
        <w:widowControl/>
        <w:numPr>
          <w:ilvl w:val="1"/>
          <w:numId w:val="7"/>
        </w:numPr>
      </w:pPr>
      <w:r w:rsidRPr="00002A62">
        <w:t>The PBAC noted that the cost per year of TAF will need to be recalculated on the basis of the cost-minimisation recommendation with entecavir.</w:t>
      </w:r>
    </w:p>
    <w:p w:rsidR="00205960" w:rsidRPr="00002A62" w:rsidRDefault="00205960" w:rsidP="00D6359D"/>
    <w:p w:rsidR="00C25D9C" w:rsidRPr="00002A62" w:rsidRDefault="00C25D9C" w:rsidP="00C25D9C">
      <w:pPr>
        <w:widowControl/>
        <w:rPr>
          <w:szCs w:val="22"/>
        </w:rPr>
      </w:pPr>
    </w:p>
    <w:p w:rsidR="00A917C2" w:rsidRDefault="00A917C2">
      <w:pPr>
        <w:widowControl/>
        <w:jc w:val="left"/>
        <w:rPr>
          <w:b/>
          <w:i/>
        </w:rPr>
      </w:pPr>
      <w:bookmarkStart w:id="55" w:name="_Toc469319442"/>
      <w:bookmarkStart w:id="56" w:name="_Toc472330248"/>
      <w:r>
        <w:rPr>
          <w:i/>
        </w:rPr>
        <w:br w:type="page"/>
      </w:r>
    </w:p>
    <w:p w:rsidR="00B60939" w:rsidRPr="00002A62" w:rsidRDefault="00B60939" w:rsidP="002C2775">
      <w:pPr>
        <w:pStyle w:val="Heading2"/>
        <w:rPr>
          <w:i/>
        </w:rPr>
      </w:pPr>
      <w:r w:rsidRPr="00002A62">
        <w:rPr>
          <w:i/>
        </w:rPr>
        <w:t>Estimated PBS usage &amp; financial implications</w:t>
      </w:r>
      <w:bookmarkEnd w:id="55"/>
      <w:bookmarkEnd w:id="56"/>
    </w:p>
    <w:p w:rsidR="00B60939" w:rsidRPr="00002A62" w:rsidRDefault="00B60939" w:rsidP="00B60939">
      <w:pPr>
        <w:ind w:left="720" w:hanging="720"/>
        <w:rPr>
          <w:b/>
          <w:i/>
          <w:szCs w:val="22"/>
        </w:rPr>
      </w:pPr>
    </w:p>
    <w:p w:rsidR="00C25D9C" w:rsidRPr="00002A62" w:rsidRDefault="00C25D9C" w:rsidP="00556102">
      <w:pPr>
        <w:pStyle w:val="ListParagraph"/>
        <w:widowControl/>
        <w:numPr>
          <w:ilvl w:val="1"/>
          <w:numId w:val="7"/>
        </w:numPr>
        <w:rPr>
          <w:szCs w:val="22"/>
        </w:rPr>
      </w:pPr>
      <w:r w:rsidRPr="00002A62">
        <w:t>This submission</w:t>
      </w:r>
      <w:r w:rsidR="00A43AC8" w:rsidRPr="00002A62">
        <w:t xml:space="preserve"> </w:t>
      </w:r>
      <w:r w:rsidR="00215F98" w:rsidRPr="00002A62">
        <w:t>was not</w:t>
      </w:r>
      <w:r w:rsidRPr="00002A62">
        <w:t xml:space="preserve"> considered by DUSC</w:t>
      </w:r>
      <w:r w:rsidR="00716ED0" w:rsidRPr="00002A62">
        <w:t xml:space="preserve">. </w:t>
      </w:r>
      <w:r w:rsidR="00556102" w:rsidRPr="00002A62">
        <w:t xml:space="preserve">The submission </w:t>
      </w:r>
      <w:r w:rsidR="00F1471A" w:rsidRPr="00002A62">
        <w:t xml:space="preserve">used </w:t>
      </w:r>
      <w:r w:rsidR="00556102" w:rsidRPr="00002A62">
        <w:t xml:space="preserve">a market share approach for the financial estimates, assuming substitution </w:t>
      </w:r>
      <w:r w:rsidR="00F1471A" w:rsidRPr="00002A62">
        <w:t>from</w:t>
      </w:r>
      <w:r w:rsidR="00556102" w:rsidRPr="00002A62">
        <w:t xml:space="preserve"> TDF to TAF. </w:t>
      </w:r>
    </w:p>
    <w:p w:rsidR="00944320" w:rsidRPr="00002A62" w:rsidRDefault="00944320" w:rsidP="00200670">
      <w:pPr>
        <w:keepNext/>
        <w:keepLines/>
        <w:widowControl/>
        <w:jc w:val="left"/>
        <w:rPr>
          <w:rFonts w:asciiTheme="minorBidi" w:hAnsiTheme="minorBidi" w:cstheme="minorBidi"/>
          <w:b/>
          <w:bCs/>
          <w:sz w:val="20"/>
        </w:rPr>
      </w:pPr>
    </w:p>
    <w:p w:rsidR="00556102" w:rsidRPr="00002A62" w:rsidRDefault="00556102" w:rsidP="00200670">
      <w:pPr>
        <w:keepNext/>
        <w:keepLines/>
        <w:ind w:left="720"/>
        <w:rPr>
          <w:rFonts w:ascii="Arial Narrow" w:hAnsi="Arial Narrow" w:cstheme="minorBidi"/>
          <w:b/>
          <w:bCs/>
          <w:sz w:val="20"/>
        </w:rPr>
      </w:pPr>
      <w:r w:rsidRPr="00002A62">
        <w:rPr>
          <w:rFonts w:ascii="Arial Narrow" w:hAnsi="Arial Narrow" w:cstheme="minorBidi"/>
          <w:b/>
          <w:bCs/>
          <w:sz w:val="20"/>
        </w:rPr>
        <w:t xml:space="preserve">Table </w:t>
      </w:r>
      <w:r w:rsidR="00314D2E" w:rsidRPr="00002A62">
        <w:rPr>
          <w:rFonts w:ascii="Arial Narrow" w:hAnsi="Arial Narrow" w:cstheme="minorBidi"/>
          <w:b/>
          <w:bCs/>
          <w:sz w:val="20"/>
        </w:rPr>
        <w:t>8</w:t>
      </w:r>
      <w:r w:rsidRPr="00002A62">
        <w:rPr>
          <w:rFonts w:ascii="Arial Narrow" w:hAnsi="Arial Narrow" w:cstheme="minorBidi"/>
          <w:b/>
          <w:bCs/>
          <w:sz w:val="20"/>
        </w:rPr>
        <w:t>: Estimated extent of use and financial impact of TAF</w:t>
      </w:r>
      <w:r w:rsidR="00580442" w:rsidRPr="00002A62">
        <w:rPr>
          <w:rFonts w:ascii="Arial Narrow" w:hAnsi="Arial Narrow" w:cstheme="minorBidi"/>
          <w:b/>
          <w:bCs/>
          <w:sz w:val="20"/>
        </w:rPr>
        <w:t xml:space="preserve"> and sensitivity analyses</w:t>
      </w:r>
    </w:p>
    <w:tbl>
      <w:tblPr>
        <w:tblStyle w:val="TableGrid"/>
        <w:tblW w:w="8378" w:type="dxa"/>
        <w:tblInd w:w="704" w:type="dxa"/>
        <w:tblLayout w:type="fixed"/>
        <w:tblCellMar>
          <w:left w:w="28" w:type="dxa"/>
          <w:right w:w="28" w:type="dxa"/>
        </w:tblCellMar>
        <w:tblLook w:val="04A0" w:firstRow="1" w:lastRow="0" w:firstColumn="1" w:lastColumn="0" w:noHBand="0" w:noVBand="1"/>
        <w:tblCaption w:val="Table 8: Estimated extent of use and financial impact of TAF and sensitivity analyses"/>
      </w:tblPr>
      <w:tblGrid>
        <w:gridCol w:w="2977"/>
        <w:gridCol w:w="1080"/>
        <w:gridCol w:w="1080"/>
        <w:gridCol w:w="1080"/>
        <w:gridCol w:w="1080"/>
        <w:gridCol w:w="1081"/>
      </w:tblGrid>
      <w:tr w:rsidR="00556102" w:rsidRPr="00002A62" w:rsidTr="00D6359D">
        <w:trPr>
          <w:tblHeader/>
        </w:trPr>
        <w:tc>
          <w:tcPr>
            <w:tcW w:w="2977" w:type="dxa"/>
          </w:tcPr>
          <w:p w:rsidR="00556102" w:rsidRPr="00002A62" w:rsidRDefault="00556102" w:rsidP="00200670">
            <w:pPr>
              <w:keepNext/>
              <w:keepLines/>
              <w:jc w:val="left"/>
              <w:rPr>
                <w:rFonts w:ascii="Arial Narrow" w:hAnsi="Arial Narrow" w:cstheme="minorBidi"/>
                <w:sz w:val="20"/>
              </w:rPr>
            </w:pPr>
          </w:p>
        </w:tc>
        <w:tc>
          <w:tcPr>
            <w:tcW w:w="1080" w:type="dxa"/>
            <w:vAlign w:val="center"/>
          </w:tcPr>
          <w:p w:rsidR="00556102" w:rsidRPr="00002A62" w:rsidRDefault="00556102" w:rsidP="00200670">
            <w:pPr>
              <w:keepNext/>
              <w:keepLines/>
              <w:jc w:val="center"/>
              <w:rPr>
                <w:rFonts w:ascii="Arial Narrow" w:hAnsi="Arial Narrow" w:cstheme="minorBidi"/>
                <w:b/>
                <w:bCs/>
                <w:sz w:val="20"/>
              </w:rPr>
            </w:pPr>
            <w:r w:rsidRPr="00002A62">
              <w:rPr>
                <w:rFonts w:ascii="Arial Narrow" w:hAnsi="Arial Narrow" w:cstheme="minorBidi"/>
                <w:b/>
                <w:bCs/>
                <w:sz w:val="20"/>
              </w:rPr>
              <w:t>2017</w:t>
            </w:r>
          </w:p>
        </w:tc>
        <w:tc>
          <w:tcPr>
            <w:tcW w:w="1080" w:type="dxa"/>
            <w:vAlign w:val="center"/>
          </w:tcPr>
          <w:p w:rsidR="00556102" w:rsidRPr="00002A62" w:rsidRDefault="00556102" w:rsidP="00200670">
            <w:pPr>
              <w:keepNext/>
              <w:keepLines/>
              <w:jc w:val="center"/>
              <w:rPr>
                <w:rFonts w:ascii="Arial Narrow" w:hAnsi="Arial Narrow" w:cstheme="minorBidi"/>
                <w:b/>
                <w:bCs/>
                <w:sz w:val="20"/>
              </w:rPr>
            </w:pPr>
            <w:r w:rsidRPr="00002A62">
              <w:rPr>
                <w:rFonts w:ascii="Arial Narrow" w:hAnsi="Arial Narrow" w:cstheme="minorBidi"/>
                <w:b/>
                <w:bCs/>
                <w:sz w:val="20"/>
              </w:rPr>
              <w:t>2018</w:t>
            </w:r>
          </w:p>
        </w:tc>
        <w:tc>
          <w:tcPr>
            <w:tcW w:w="1080" w:type="dxa"/>
            <w:vAlign w:val="center"/>
          </w:tcPr>
          <w:p w:rsidR="00556102" w:rsidRPr="00002A62" w:rsidRDefault="00556102" w:rsidP="00200670">
            <w:pPr>
              <w:keepNext/>
              <w:keepLines/>
              <w:jc w:val="center"/>
              <w:rPr>
                <w:rFonts w:ascii="Arial Narrow" w:hAnsi="Arial Narrow" w:cstheme="minorBidi"/>
                <w:b/>
                <w:bCs/>
                <w:sz w:val="20"/>
              </w:rPr>
            </w:pPr>
            <w:r w:rsidRPr="00002A62">
              <w:rPr>
                <w:rFonts w:ascii="Arial Narrow" w:hAnsi="Arial Narrow" w:cstheme="minorBidi"/>
                <w:b/>
                <w:bCs/>
                <w:sz w:val="20"/>
              </w:rPr>
              <w:t>2019</w:t>
            </w:r>
          </w:p>
        </w:tc>
        <w:tc>
          <w:tcPr>
            <w:tcW w:w="1080" w:type="dxa"/>
            <w:vAlign w:val="center"/>
          </w:tcPr>
          <w:p w:rsidR="00556102" w:rsidRPr="00002A62" w:rsidRDefault="00556102" w:rsidP="00200670">
            <w:pPr>
              <w:keepNext/>
              <w:keepLines/>
              <w:jc w:val="center"/>
              <w:rPr>
                <w:rFonts w:ascii="Arial Narrow" w:hAnsi="Arial Narrow" w:cstheme="minorBidi"/>
                <w:b/>
                <w:bCs/>
                <w:sz w:val="20"/>
              </w:rPr>
            </w:pPr>
            <w:r w:rsidRPr="00002A62">
              <w:rPr>
                <w:rFonts w:ascii="Arial Narrow" w:hAnsi="Arial Narrow" w:cstheme="minorBidi"/>
                <w:b/>
                <w:bCs/>
                <w:sz w:val="20"/>
              </w:rPr>
              <w:t>2020</w:t>
            </w:r>
          </w:p>
        </w:tc>
        <w:tc>
          <w:tcPr>
            <w:tcW w:w="1081" w:type="dxa"/>
            <w:vAlign w:val="center"/>
          </w:tcPr>
          <w:p w:rsidR="00556102" w:rsidRPr="00002A62" w:rsidRDefault="00556102" w:rsidP="00200670">
            <w:pPr>
              <w:keepNext/>
              <w:keepLines/>
              <w:jc w:val="center"/>
              <w:rPr>
                <w:rFonts w:ascii="Arial Narrow" w:hAnsi="Arial Narrow" w:cstheme="minorBidi"/>
                <w:b/>
                <w:bCs/>
                <w:sz w:val="20"/>
              </w:rPr>
            </w:pPr>
            <w:r w:rsidRPr="00002A62">
              <w:rPr>
                <w:rFonts w:ascii="Arial Narrow" w:hAnsi="Arial Narrow" w:cstheme="minorBidi"/>
                <w:b/>
                <w:bCs/>
                <w:sz w:val="20"/>
              </w:rPr>
              <w:t>2021</w:t>
            </w:r>
          </w:p>
        </w:tc>
      </w:tr>
      <w:tr w:rsidR="00580442" w:rsidRPr="00002A62" w:rsidTr="00166ED1">
        <w:trPr>
          <w:trHeight w:val="77"/>
        </w:trPr>
        <w:tc>
          <w:tcPr>
            <w:tcW w:w="8378" w:type="dxa"/>
            <w:gridSpan w:val="6"/>
          </w:tcPr>
          <w:p w:rsidR="00580442" w:rsidRPr="00002A62" w:rsidRDefault="00580442" w:rsidP="00200670">
            <w:pPr>
              <w:keepNext/>
              <w:keepLines/>
              <w:jc w:val="left"/>
              <w:rPr>
                <w:rFonts w:ascii="Arial Narrow" w:hAnsi="Arial Narrow" w:cstheme="minorBidi"/>
                <w:b/>
                <w:bCs/>
                <w:color w:val="000000"/>
                <w:sz w:val="20"/>
              </w:rPr>
            </w:pPr>
            <w:r w:rsidRPr="00002A62">
              <w:rPr>
                <w:rFonts w:ascii="Arial Narrow" w:hAnsi="Arial Narrow" w:cstheme="minorBidi"/>
                <w:b/>
                <w:bCs/>
                <w:color w:val="000000"/>
                <w:sz w:val="20"/>
              </w:rPr>
              <w:t>Financial estimates</w:t>
            </w:r>
          </w:p>
        </w:tc>
      </w:tr>
      <w:tr w:rsidR="00556102" w:rsidRPr="00002A62" w:rsidTr="00556102">
        <w:trPr>
          <w:trHeight w:val="77"/>
        </w:trPr>
        <w:tc>
          <w:tcPr>
            <w:tcW w:w="2977" w:type="dxa"/>
          </w:tcPr>
          <w:p w:rsidR="00556102" w:rsidRPr="00002A62" w:rsidRDefault="00556102" w:rsidP="00200670">
            <w:pPr>
              <w:keepNext/>
              <w:keepLines/>
              <w:jc w:val="left"/>
              <w:rPr>
                <w:rFonts w:ascii="Arial Narrow" w:hAnsi="Arial Narrow" w:cstheme="minorBidi"/>
                <w:sz w:val="20"/>
              </w:rPr>
            </w:pPr>
            <w:r w:rsidRPr="00002A62">
              <w:rPr>
                <w:rFonts w:ascii="Arial Narrow" w:hAnsi="Arial Narrow" w:cstheme="minorBidi"/>
                <w:sz w:val="20"/>
              </w:rPr>
              <w:t>Forecasted TDF scripts (2 packs) for HBV</w:t>
            </w:r>
          </w:p>
        </w:tc>
        <w:tc>
          <w:tcPr>
            <w:tcW w:w="1080" w:type="dxa"/>
            <w:vAlign w:val="center"/>
          </w:tcPr>
          <w:p w:rsidR="00556102" w:rsidRPr="00507973" w:rsidRDefault="00507973" w:rsidP="00200670">
            <w:pPr>
              <w:keepNext/>
              <w:keepLines/>
              <w:widowControl/>
              <w:jc w:val="center"/>
              <w:rPr>
                <w:rFonts w:ascii="Arial Narrow" w:hAnsi="Arial Narrow" w:cstheme="minorBidi"/>
                <w:snapToGrid/>
                <w:color w:val="000000"/>
                <w:sz w:val="20"/>
                <w:highlight w:val="black"/>
                <w:lang w:eastAsia="zh-CN"/>
              </w:rPr>
            </w:pPr>
            <w:r>
              <w:rPr>
                <w:rFonts w:ascii="Arial Narrow" w:hAnsi="Arial Narrow" w:cstheme="minorBidi"/>
                <w:noProof/>
                <w:snapToGrid/>
                <w:color w:val="000000"/>
                <w:sz w:val="20"/>
                <w:highlight w:val="black"/>
                <w:lang w:eastAsia="zh-CN"/>
              </w:rPr>
              <w:t>''''''''''''''''</w:t>
            </w:r>
          </w:p>
        </w:tc>
        <w:tc>
          <w:tcPr>
            <w:tcW w:w="1080" w:type="dxa"/>
            <w:vAlign w:val="center"/>
          </w:tcPr>
          <w:p w:rsidR="00556102" w:rsidRPr="00507973" w:rsidRDefault="00507973" w:rsidP="00200670">
            <w:pPr>
              <w:keepNext/>
              <w:keepLines/>
              <w:jc w:val="center"/>
              <w:rPr>
                <w:rFonts w:ascii="Arial Narrow" w:hAnsi="Arial Narrow" w:cstheme="minorBidi"/>
                <w:color w:val="000000"/>
                <w:sz w:val="20"/>
                <w:highlight w:val="black"/>
              </w:rPr>
            </w:pPr>
            <w:r>
              <w:rPr>
                <w:rFonts w:ascii="Arial Narrow" w:hAnsi="Arial Narrow" w:cstheme="minorBidi"/>
                <w:noProof/>
                <w:color w:val="000000"/>
                <w:sz w:val="20"/>
                <w:highlight w:val="black"/>
              </w:rPr>
              <w:t>''''''''''''''''</w:t>
            </w:r>
          </w:p>
        </w:tc>
        <w:tc>
          <w:tcPr>
            <w:tcW w:w="1080" w:type="dxa"/>
            <w:vAlign w:val="center"/>
          </w:tcPr>
          <w:p w:rsidR="00556102" w:rsidRPr="00507973" w:rsidRDefault="00507973" w:rsidP="00200670">
            <w:pPr>
              <w:keepNext/>
              <w:keepLines/>
              <w:jc w:val="center"/>
              <w:rPr>
                <w:rFonts w:ascii="Arial Narrow" w:hAnsi="Arial Narrow" w:cstheme="minorBidi"/>
                <w:color w:val="000000"/>
                <w:sz w:val="20"/>
                <w:highlight w:val="black"/>
              </w:rPr>
            </w:pPr>
            <w:r>
              <w:rPr>
                <w:rFonts w:ascii="Arial Narrow" w:hAnsi="Arial Narrow" w:cstheme="minorBidi"/>
                <w:noProof/>
                <w:color w:val="000000"/>
                <w:sz w:val="20"/>
                <w:highlight w:val="black"/>
              </w:rPr>
              <w:t>'''''''''''''''</w:t>
            </w:r>
          </w:p>
        </w:tc>
        <w:tc>
          <w:tcPr>
            <w:tcW w:w="1080" w:type="dxa"/>
            <w:vAlign w:val="center"/>
          </w:tcPr>
          <w:p w:rsidR="00556102" w:rsidRPr="00507973" w:rsidRDefault="00507973" w:rsidP="00200670">
            <w:pPr>
              <w:keepNext/>
              <w:keepLines/>
              <w:jc w:val="center"/>
              <w:rPr>
                <w:rFonts w:ascii="Arial Narrow" w:hAnsi="Arial Narrow" w:cstheme="minorBidi"/>
                <w:color w:val="000000"/>
                <w:sz w:val="20"/>
                <w:highlight w:val="black"/>
              </w:rPr>
            </w:pPr>
            <w:r>
              <w:rPr>
                <w:rFonts w:ascii="Arial Narrow" w:hAnsi="Arial Narrow" w:cstheme="minorBidi"/>
                <w:noProof/>
                <w:color w:val="000000"/>
                <w:sz w:val="20"/>
                <w:highlight w:val="black"/>
              </w:rPr>
              <w:t>'''''''''''''''</w:t>
            </w:r>
          </w:p>
        </w:tc>
        <w:tc>
          <w:tcPr>
            <w:tcW w:w="1081" w:type="dxa"/>
            <w:vAlign w:val="center"/>
          </w:tcPr>
          <w:p w:rsidR="00556102" w:rsidRPr="00507973" w:rsidRDefault="00507973" w:rsidP="00200670">
            <w:pPr>
              <w:keepNext/>
              <w:keepLines/>
              <w:jc w:val="center"/>
              <w:rPr>
                <w:rFonts w:ascii="Arial Narrow" w:hAnsi="Arial Narrow" w:cstheme="minorBidi"/>
                <w:color w:val="000000"/>
                <w:sz w:val="20"/>
                <w:highlight w:val="black"/>
              </w:rPr>
            </w:pPr>
            <w:r>
              <w:rPr>
                <w:rFonts w:ascii="Arial Narrow" w:hAnsi="Arial Narrow" w:cstheme="minorBidi"/>
                <w:noProof/>
                <w:color w:val="000000"/>
                <w:sz w:val="20"/>
                <w:highlight w:val="black"/>
              </w:rPr>
              <w:t>'''''''''''''''''</w:t>
            </w:r>
          </w:p>
        </w:tc>
      </w:tr>
      <w:tr w:rsidR="00556102" w:rsidRPr="00002A62" w:rsidTr="00556102">
        <w:tc>
          <w:tcPr>
            <w:tcW w:w="2977" w:type="dxa"/>
          </w:tcPr>
          <w:p w:rsidR="00556102" w:rsidRPr="00002A62" w:rsidRDefault="00556102" w:rsidP="00200670">
            <w:pPr>
              <w:keepNext/>
              <w:keepLines/>
              <w:jc w:val="left"/>
              <w:rPr>
                <w:rFonts w:ascii="Arial Narrow" w:hAnsi="Arial Narrow" w:cstheme="minorBidi"/>
                <w:sz w:val="20"/>
              </w:rPr>
            </w:pPr>
            <w:r w:rsidRPr="00002A62">
              <w:rPr>
                <w:rFonts w:ascii="Arial Narrow" w:hAnsi="Arial Narrow" w:cstheme="minorBidi"/>
                <w:sz w:val="20"/>
              </w:rPr>
              <w:t>Uptake/substitution rate of TAF</w:t>
            </w:r>
          </w:p>
        </w:tc>
        <w:tc>
          <w:tcPr>
            <w:tcW w:w="1080" w:type="dxa"/>
            <w:vAlign w:val="center"/>
          </w:tcPr>
          <w:p w:rsidR="00556102" w:rsidRPr="00002A62" w:rsidRDefault="00507973" w:rsidP="00200670">
            <w:pPr>
              <w:keepNext/>
              <w:keepLines/>
              <w:jc w:val="center"/>
              <w:rPr>
                <w:rFonts w:ascii="Arial Narrow" w:hAnsi="Arial Narrow" w:cstheme="minorBidi"/>
                <w:sz w:val="20"/>
              </w:rPr>
            </w:pPr>
            <w:r>
              <w:rPr>
                <w:rFonts w:ascii="Arial Narrow" w:hAnsi="Arial Narrow" w:cstheme="minorBidi"/>
                <w:noProof/>
                <w:color w:val="000000"/>
                <w:sz w:val="20"/>
                <w:highlight w:val="black"/>
              </w:rPr>
              <w:t>''''''</w:t>
            </w:r>
            <w:r w:rsidR="00556102" w:rsidRPr="00002A62">
              <w:rPr>
                <w:rFonts w:ascii="Arial Narrow" w:hAnsi="Arial Narrow" w:cstheme="minorBidi"/>
                <w:sz w:val="20"/>
              </w:rPr>
              <w:t>%</w:t>
            </w:r>
          </w:p>
        </w:tc>
        <w:tc>
          <w:tcPr>
            <w:tcW w:w="1080" w:type="dxa"/>
            <w:vAlign w:val="center"/>
          </w:tcPr>
          <w:p w:rsidR="00556102" w:rsidRPr="00002A62" w:rsidRDefault="00507973" w:rsidP="00200670">
            <w:pPr>
              <w:keepNext/>
              <w:keepLines/>
              <w:jc w:val="center"/>
              <w:rPr>
                <w:rFonts w:ascii="Arial Narrow" w:hAnsi="Arial Narrow" w:cstheme="minorBidi"/>
                <w:sz w:val="20"/>
              </w:rPr>
            </w:pPr>
            <w:r>
              <w:rPr>
                <w:rFonts w:ascii="Arial Narrow" w:hAnsi="Arial Narrow" w:cstheme="minorBidi"/>
                <w:noProof/>
                <w:color w:val="000000"/>
                <w:sz w:val="20"/>
                <w:highlight w:val="black"/>
              </w:rPr>
              <w:t>''''''</w:t>
            </w:r>
            <w:r w:rsidR="00556102" w:rsidRPr="00002A62">
              <w:rPr>
                <w:rFonts w:ascii="Arial Narrow" w:hAnsi="Arial Narrow" w:cstheme="minorBidi"/>
                <w:sz w:val="20"/>
              </w:rPr>
              <w:t>%</w:t>
            </w:r>
          </w:p>
        </w:tc>
        <w:tc>
          <w:tcPr>
            <w:tcW w:w="1080" w:type="dxa"/>
            <w:vAlign w:val="center"/>
          </w:tcPr>
          <w:p w:rsidR="00556102" w:rsidRPr="00002A62" w:rsidRDefault="00507973" w:rsidP="00200670">
            <w:pPr>
              <w:keepNext/>
              <w:keepLines/>
              <w:jc w:val="center"/>
              <w:rPr>
                <w:rFonts w:ascii="Arial Narrow" w:hAnsi="Arial Narrow" w:cstheme="minorBidi"/>
                <w:sz w:val="20"/>
              </w:rPr>
            </w:pPr>
            <w:r>
              <w:rPr>
                <w:rFonts w:ascii="Arial Narrow" w:hAnsi="Arial Narrow" w:cstheme="minorBidi"/>
                <w:noProof/>
                <w:color w:val="000000"/>
                <w:sz w:val="20"/>
                <w:highlight w:val="black"/>
              </w:rPr>
              <w:t>''''''</w:t>
            </w:r>
            <w:r w:rsidR="00556102" w:rsidRPr="00002A62">
              <w:rPr>
                <w:rFonts w:ascii="Arial Narrow" w:hAnsi="Arial Narrow" w:cstheme="minorBidi"/>
                <w:sz w:val="20"/>
              </w:rPr>
              <w:t>%</w:t>
            </w:r>
          </w:p>
        </w:tc>
        <w:tc>
          <w:tcPr>
            <w:tcW w:w="1080" w:type="dxa"/>
            <w:vAlign w:val="center"/>
          </w:tcPr>
          <w:p w:rsidR="00556102" w:rsidRPr="00002A62" w:rsidRDefault="00507973" w:rsidP="00200670">
            <w:pPr>
              <w:keepNext/>
              <w:keepLines/>
              <w:jc w:val="center"/>
              <w:rPr>
                <w:rFonts w:ascii="Arial Narrow" w:hAnsi="Arial Narrow" w:cstheme="minorBidi"/>
                <w:sz w:val="20"/>
              </w:rPr>
            </w:pPr>
            <w:r>
              <w:rPr>
                <w:rFonts w:ascii="Arial Narrow" w:hAnsi="Arial Narrow" w:cstheme="minorBidi"/>
                <w:noProof/>
                <w:color w:val="000000"/>
                <w:sz w:val="20"/>
                <w:highlight w:val="black"/>
              </w:rPr>
              <w:t>''''''</w:t>
            </w:r>
            <w:r w:rsidR="00556102" w:rsidRPr="00002A62">
              <w:rPr>
                <w:rFonts w:ascii="Arial Narrow" w:hAnsi="Arial Narrow" w:cstheme="minorBidi"/>
                <w:sz w:val="20"/>
              </w:rPr>
              <w:t>%</w:t>
            </w:r>
          </w:p>
        </w:tc>
        <w:tc>
          <w:tcPr>
            <w:tcW w:w="1081" w:type="dxa"/>
            <w:vAlign w:val="center"/>
          </w:tcPr>
          <w:p w:rsidR="00556102" w:rsidRPr="00002A62" w:rsidRDefault="00507973" w:rsidP="00200670">
            <w:pPr>
              <w:keepNext/>
              <w:keepLines/>
              <w:jc w:val="center"/>
              <w:rPr>
                <w:rFonts w:ascii="Arial Narrow" w:hAnsi="Arial Narrow" w:cstheme="minorBidi"/>
                <w:sz w:val="20"/>
              </w:rPr>
            </w:pPr>
            <w:r>
              <w:rPr>
                <w:rFonts w:ascii="Arial Narrow" w:hAnsi="Arial Narrow" w:cstheme="minorBidi"/>
                <w:noProof/>
                <w:color w:val="000000"/>
                <w:sz w:val="20"/>
                <w:highlight w:val="black"/>
              </w:rPr>
              <w:t>''''''</w:t>
            </w:r>
            <w:r w:rsidR="00556102" w:rsidRPr="00002A62">
              <w:rPr>
                <w:rFonts w:ascii="Arial Narrow" w:hAnsi="Arial Narrow" w:cstheme="minorBidi"/>
                <w:sz w:val="20"/>
              </w:rPr>
              <w:t>%</w:t>
            </w:r>
          </w:p>
        </w:tc>
      </w:tr>
      <w:tr w:rsidR="00556102" w:rsidRPr="00002A62" w:rsidTr="00556102">
        <w:tc>
          <w:tcPr>
            <w:tcW w:w="2977" w:type="dxa"/>
          </w:tcPr>
          <w:p w:rsidR="00556102" w:rsidRPr="00002A62" w:rsidRDefault="00556102" w:rsidP="00200670">
            <w:pPr>
              <w:keepNext/>
              <w:keepLines/>
              <w:jc w:val="left"/>
              <w:rPr>
                <w:rFonts w:ascii="Arial Narrow" w:hAnsi="Arial Narrow" w:cstheme="minorBidi"/>
                <w:b/>
                <w:bCs/>
                <w:sz w:val="20"/>
              </w:rPr>
            </w:pPr>
            <w:r w:rsidRPr="00002A62">
              <w:rPr>
                <w:rFonts w:ascii="Arial Narrow" w:hAnsi="Arial Narrow" w:cstheme="minorBidi"/>
                <w:b/>
                <w:bCs/>
                <w:sz w:val="20"/>
              </w:rPr>
              <w:t>Estimated TAF scripts (2 packs)</w:t>
            </w:r>
          </w:p>
        </w:tc>
        <w:tc>
          <w:tcPr>
            <w:tcW w:w="1080" w:type="dxa"/>
            <w:vAlign w:val="center"/>
          </w:tcPr>
          <w:p w:rsidR="00556102" w:rsidRPr="00507973" w:rsidRDefault="00507973" w:rsidP="00200670">
            <w:pPr>
              <w:keepNext/>
              <w:keepLines/>
              <w:widowControl/>
              <w:jc w:val="center"/>
              <w:rPr>
                <w:rFonts w:ascii="Arial Narrow" w:hAnsi="Arial Narrow" w:cstheme="minorBidi"/>
                <w:b/>
                <w:bCs/>
                <w:snapToGrid/>
                <w:color w:val="000000"/>
                <w:sz w:val="20"/>
                <w:highlight w:val="black"/>
                <w:lang w:eastAsia="zh-CN"/>
              </w:rPr>
            </w:pPr>
            <w:r>
              <w:rPr>
                <w:rFonts w:ascii="Arial Narrow" w:hAnsi="Arial Narrow" w:cstheme="minorBidi"/>
                <w:b/>
                <w:bCs/>
                <w:noProof/>
                <w:snapToGrid/>
                <w:color w:val="000000"/>
                <w:sz w:val="20"/>
                <w:highlight w:val="black"/>
                <w:lang w:eastAsia="zh-CN"/>
              </w:rPr>
              <w:t>''''''''''''</w:t>
            </w:r>
          </w:p>
        </w:tc>
        <w:tc>
          <w:tcPr>
            <w:tcW w:w="1080" w:type="dxa"/>
            <w:vAlign w:val="center"/>
          </w:tcPr>
          <w:p w:rsidR="00556102" w:rsidRPr="00507973" w:rsidRDefault="00507973" w:rsidP="00200670">
            <w:pPr>
              <w:keepNext/>
              <w:keepLines/>
              <w:jc w:val="center"/>
              <w:rPr>
                <w:rFonts w:ascii="Arial Narrow" w:hAnsi="Arial Narrow" w:cstheme="minorBidi"/>
                <w:b/>
                <w:bCs/>
                <w:color w:val="000000"/>
                <w:sz w:val="20"/>
                <w:highlight w:val="black"/>
              </w:rPr>
            </w:pPr>
            <w:r>
              <w:rPr>
                <w:rFonts w:ascii="Arial Narrow" w:hAnsi="Arial Narrow" w:cstheme="minorBidi"/>
                <w:b/>
                <w:bCs/>
                <w:noProof/>
                <w:color w:val="000000"/>
                <w:sz w:val="20"/>
                <w:highlight w:val="black"/>
              </w:rPr>
              <w:t>''''''''''''''</w:t>
            </w:r>
          </w:p>
        </w:tc>
        <w:tc>
          <w:tcPr>
            <w:tcW w:w="1080" w:type="dxa"/>
            <w:vAlign w:val="center"/>
          </w:tcPr>
          <w:p w:rsidR="00556102" w:rsidRPr="00507973" w:rsidRDefault="00507973" w:rsidP="00200670">
            <w:pPr>
              <w:keepNext/>
              <w:keepLines/>
              <w:jc w:val="center"/>
              <w:rPr>
                <w:rFonts w:ascii="Arial Narrow" w:hAnsi="Arial Narrow" w:cstheme="minorBidi"/>
                <w:b/>
                <w:bCs/>
                <w:color w:val="000000"/>
                <w:sz w:val="20"/>
                <w:highlight w:val="black"/>
              </w:rPr>
            </w:pPr>
            <w:r>
              <w:rPr>
                <w:rFonts w:ascii="Arial Narrow" w:hAnsi="Arial Narrow" w:cstheme="minorBidi"/>
                <w:b/>
                <w:bCs/>
                <w:noProof/>
                <w:color w:val="000000"/>
                <w:sz w:val="20"/>
                <w:highlight w:val="black"/>
              </w:rPr>
              <w:t>'''''''''''''''</w:t>
            </w:r>
          </w:p>
        </w:tc>
        <w:tc>
          <w:tcPr>
            <w:tcW w:w="1080" w:type="dxa"/>
            <w:vAlign w:val="center"/>
          </w:tcPr>
          <w:p w:rsidR="00556102" w:rsidRPr="00507973" w:rsidRDefault="00507973" w:rsidP="00200670">
            <w:pPr>
              <w:keepNext/>
              <w:keepLines/>
              <w:jc w:val="center"/>
              <w:rPr>
                <w:rFonts w:ascii="Arial Narrow" w:hAnsi="Arial Narrow" w:cstheme="minorBidi"/>
                <w:b/>
                <w:bCs/>
                <w:color w:val="000000"/>
                <w:sz w:val="20"/>
                <w:highlight w:val="black"/>
              </w:rPr>
            </w:pPr>
            <w:r>
              <w:rPr>
                <w:rFonts w:ascii="Arial Narrow" w:hAnsi="Arial Narrow" w:cstheme="minorBidi"/>
                <w:b/>
                <w:bCs/>
                <w:noProof/>
                <w:color w:val="000000"/>
                <w:sz w:val="20"/>
                <w:highlight w:val="black"/>
              </w:rPr>
              <w:t>'''''''''''''</w:t>
            </w:r>
          </w:p>
        </w:tc>
        <w:tc>
          <w:tcPr>
            <w:tcW w:w="1081" w:type="dxa"/>
            <w:vAlign w:val="center"/>
          </w:tcPr>
          <w:p w:rsidR="00556102" w:rsidRPr="00507973" w:rsidRDefault="00507973" w:rsidP="00200670">
            <w:pPr>
              <w:keepNext/>
              <w:keepLines/>
              <w:jc w:val="center"/>
              <w:rPr>
                <w:rFonts w:ascii="Arial Narrow" w:hAnsi="Arial Narrow" w:cstheme="minorBidi"/>
                <w:b/>
                <w:bCs/>
                <w:color w:val="000000"/>
                <w:sz w:val="20"/>
                <w:highlight w:val="black"/>
              </w:rPr>
            </w:pPr>
            <w:r>
              <w:rPr>
                <w:rFonts w:ascii="Arial Narrow" w:hAnsi="Arial Narrow" w:cstheme="minorBidi"/>
                <w:b/>
                <w:bCs/>
                <w:noProof/>
                <w:color w:val="000000"/>
                <w:sz w:val="20"/>
                <w:highlight w:val="black"/>
              </w:rPr>
              <w:t>''''''''''''''</w:t>
            </w:r>
          </w:p>
        </w:tc>
      </w:tr>
      <w:tr w:rsidR="00556102" w:rsidRPr="00002A62" w:rsidTr="00556102">
        <w:tc>
          <w:tcPr>
            <w:tcW w:w="2977" w:type="dxa"/>
          </w:tcPr>
          <w:p w:rsidR="00556102" w:rsidRPr="00002A62" w:rsidRDefault="00556102" w:rsidP="00200670">
            <w:pPr>
              <w:keepNext/>
              <w:keepLines/>
              <w:jc w:val="left"/>
              <w:rPr>
                <w:rFonts w:ascii="Arial Narrow" w:hAnsi="Arial Narrow" w:cstheme="minorBidi"/>
                <w:sz w:val="20"/>
              </w:rPr>
            </w:pPr>
            <w:r w:rsidRPr="00002A62">
              <w:rPr>
                <w:rFonts w:ascii="Arial Narrow" w:hAnsi="Arial Narrow" w:cstheme="minorBidi"/>
                <w:sz w:val="20"/>
              </w:rPr>
              <w:t>Total cost of TAF in submission</w:t>
            </w:r>
            <w:r w:rsidRPr="00002A62">
              <w:rPr>
                <w:rFonts w:ascii="Arial Narrow" w:hAnsi="Arial Narrow" w:cstheme="minorBidi"/>
                <w:sz w:val="20"/>
                <w:vertAlign w:val="superscript"/>
              </w:rPr>
              <w:t>1</w:t>
            </w:r>
            <w:r w:rsidRPr="00002A62">
              <w:rPr>
                <w:rFonts w:ascii="Arial Narrow" w:hAnsi="Arial Narrow" w:cstheme="minorBidi"/>
                <w:sz w:val="20"/>
              </w:rPr>
              <w:t xml:space="preserve"> </w:t>
            </w:r>
          </w:p>
        </w:tc>
        <w:tc>
          <w:tcPr>
            <w:tcW w:w="1080"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0"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0"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0"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1"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r>
      <w:tr w:rsidR="00556102" w:rsidRPr="00002A62" w:rsidTr="00556102">
        <w:tc>
          <w:tcPr>
            <w:tcW w:w="2977" w:type="dxa"/>
          </w:tcPr>
          <w:p w:rsidR="00556102" w:rsidRPr="00002A62" w:rsidRDefault="00556102" w:rsidP="00200670">
            <w:pPr>
              <w:keepNext/>
              <w:keepLines/>
              <w:jc w:val="left"/>
              <w:rPr>
                <w:rFonts w:ascii="Arial Narrow" w:hAnsi="Arial Narrow" w:cstheme="minorBidi"/>
                <w:sz w:val="20"/>
                <w:vertAlign w:val="superscript"/>
              </w:rPr>
            </w:pPr>
            <w:r w:rsidRPr="00002A62">
              <w:rPr>
                <w:rFonts w:ascii="Arial Narrow" w:hAnsi="Arial Narrow" w:cstheme="minorBidi"/>
                <w:sz w:val="20"/>
              </w:rPr>
              <w:t>Total copayment</w:t>
            </w:r>
            <w:r w:rsidRPr="00002A62">
              <w:rPr>
                <w:rFonts w:ascii="Arial Narrow" w:hAnsi="Arial Narrow" w:cstheme="minorBidi"/>
                <w:sz w:val="20"/>
                <w:vertAlign w:val="superscript"/>
              </w:rPr>
              <w:t>2</w:t>
            </w:r>
          </w:p>
        </w:tc>
        <w:tc>
          <w:tcPr>
            <w:tcW w:w="1080"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0"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0"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0"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1"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r>
      <w:tr w:rsidR="00556102" w:rsidRPr="00002A62" w:rsidTr="00556102">
        <w:tc>
          <w:tcPr>
            <w:tcW w:w="2977" w:type="dxa"/>
          </w:tcPr>
          <w:p w:rsidR="00556102" w:rsidRPr="00002A62" w:rsidRDefault="00556102" w:rsidP="00200670">
            <w:pPr>
              <w:keepNext/>
              <w:keepLines/>
              <w:jc w:val="left"/>
              <w:rPr>
                <w:rFonts w:ascii="Arial Narrow" w:hAnsi="Arial Narrow" w:cstheme="minorBidi"/>
                <w:sz w:val="20"/>
              </w:rPr>
            </w:pPr>
            <w:r w:rsidRPr="00002A62">
              <w:rPr>
                <w:rFonts w:ascii="Arial Narrow" w:hAnsi="Arial Narrow" w:cstheme="minorBidi"/>
                <w:sz w:val="20"/>
              </w:rPr>
              <w:t>Net cost of TAF scripts</w:t>
            </w:r>
          </w:p>
        </w:tc>
        <w:tc>
          <w:tcPr>
            <w:tcW w:w="1080"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0"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0"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0"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1"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r>
      <w:tr w:rsidR="00556102" w:rsidRPr="00002A62" w:rsidTr="00556102">
        <w:tc>
          <w:tcPr>
            <w:tcW w:w="2977" w:type="dxa"/>
          </w:tcPr>
          <w:p w:rsidR="00556102" w:rsidRPr="00002A62" w:rsidRDefault="00556102" w:rsidP="00200670">
            <w:pPr>
              <w:keepNext/>
              <w:keepLines/>
              <w:jc w:val="left"/>
              <w:rPr>
                <w:rFonts w:ascii="Arial Narrow" w:hAnsi="Arial Narrow" w:cstheme="minorBidi"/>
                <w:sz w:val="20"/>
                <w:vertAlign w:val="superscript"/>
              </w:rPr>
            </w:pPr>
            <w:r w:rsidRPr="00002A62">
              <w:rPr>
                <w:rFonts w:ascii="Arial Narrow" w:hAnsi="Arial Narrow" w:cstheme="minorBidi"/>
                <w:sz w:val="20"/>
              </w:rPr>
              <w:t>Cost offset from switching from TDF</w:t>
            </w:r>
            <w:r w:rsidRPr="00002A62">
              <w:rPr>
                <w:rFonts w:ascii="Arial Narrow" w:hAnsi="Arial Narrow" w:cstheme="minorBidi"/>
                <w:sz w:val="20"/>
                <w:vertAlign w:val="superscript"/>
              </w:rPr>
              <w:t>1</w:t>
            </w:r>
            <w:r w:rsidRPr="00002A62">
              <w:rPr>
                <w:rFonts w:ascii="Arial Narrow" w:hAnsi="Arial Narrow" w:cstheme="minorBidi"/>
                <w:sz w:val="20"/>
              </w:rPr>
              <w:t xml:space="preserve"> </w:t>
            </w:r>
          </w:p>
        </w:tc>
        <w:tc>
          <w:tcPr>
            <w:tcW w:w="1080"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0"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0"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0"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1"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r>
      <w:tr w:rsidR="00556102" w:rsidRPr="00002A62" w:rsidTr="00556102">
        <w:tc>
          <w:tcPr>
            <w:tcW w:w="2977" w:type="dxa"/>
          </w:tcPr>
          <w:p w:rsidR="00556102" w:rsidRPr="00002A62" w:rsidRDefault="00556102" w:rsidP="00200670">
            <w:pPr>
              <w:keepNext/>
              <w:keepLines/>
              <w:jc w:val="left"/>
              <w:rPr>
                <w:rFonts w:ascii="Arial Narrow" w:hAnsi="Arial Narrow" w:cstheme="minorBidi"/>
                <w:sz w:val="20"/>
              </w:rPr>
            </w:pPr>
            <w:r w:rsidRPr="00002A62">
              <w:rPr>
                <w:rFonts w:ascii="Arial Narrow" w:hAnsi="Arial Narrow" w:cstheme="minorBidi"/>
                <w:sz w:val="20"/>
              </w:rPr>
              <w:t>MBS offset for TDF</w:t>
            </w:r>
            <w:r w:rsidRPr="00002A62">
              <w:rPr>
                <w:rFonts w:ascii="Arial Narrow" w:hAnsi="Arial Narrow" w:cstheme="minorBidi"/>
                <w:sz w:val="20"/>
                <w:vertAlign w:val="superscript"/>
              </w:rPr>
              <w:t>3</w:t>
            </w:r>
            <w:r w:rsidRPr="00002A62">
              <w:rPr>
                <w:rFonts w:ascii="Arial Narrow" w:hAnsi="Arial Narrow" w:cstheme="minorBidi"/>
                <w:sz w:val="20"/>
              </w:rPr>
              <w:t xml:space="preserve"> </w:t>
            </w:r>
          </w:p>
        </w:tc>
        <w:tc>
          <w:tcPr>
            <w:tcW w:w="1080"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0"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0"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0"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1" w:type="dxa"/>
          </w:tcPr>
          <w:p w:rsidR="00556102" w:rsidRPr="00002A62" w:rsidRDefault="00556102" w:rsidP="00200670">
            <w:pPr>
              <w:keepNext/>
              <w:keepLines/>
              <w:jc w:val="center"/>
              <w:rPr>
                <w:rFonts w:ascii="Arial Narrow" w:hAnsi="Arial Narrow"/>
                <w:sz w:val="20"/>
              </w:rPr>
            </w:pPr>
            <w:r w:rsidRPr="00002A62">
              <w:rPr>
                <w:rFonts w:ascii="Arial Narrow" w:hAnsi="Arial Narrow"/>
                <w:sz w:val="20"/>
              </w:rPr>
              <w:t>$</w:t>
            </w:r>
            <w:r w:rsidR="00507973">
              <w:rPr>
                <w:rFonts w:ascii="Arial Narrow" w:hAnsi="Arial Narrow"/>
                <w:noProof/>
                <w:color w:val="000000"/>
                <w:sz w:val="20"/>
                <w:highlight w:val="black"/>
              </w:rPr>
              <w:t>''''''''''''''''''''''</w:t>
            </w:r>
          </w:p>
        </w:tc>
      </w:tr>
      <w:tr w:rsidR="00556102" w:rsidRPr="00002A62" w:rsidTr="00580442">
        <w:trPr>
          <w:trHeight w:val="343"/>
        </w:trPr>
        <w:tc>
          <w:tcPr>
            <w:tcW w:w="2977" w:type="dxa"/>
          </w:tcPr>
          <w:p w:rsidR="00556102" w:rsidRPr="00002A62" w:rsidRDefault="00556102" w:rsidP="00200670">
            <w:pPr>
              <w:keepNext/>
              <w:keepLines/>
              <w:jc w:val="left"/>
              <w:rPr>
                <w:rFonts w:ascii="Arial Narrow" w:hAnsi="Arial Narrow" w:cstheme="minorBidi"/>
                <w:b/>
                <w:bCs/>
                <w:sz w:val="20"/>
              </w:rPr>
            </w:pPr>
            <w:r w:rsidRPr="00002A62">
              <w:rPr>
                <w:rFonts w:ascii="Arial Narrow" w:hAnsi="Arial Narrow" w:cstheme="minorBidi"/>
                <w:b/>
                <w:bCs/>
                <w:sz w:val="20"/>
              </w:rPr>
              <w:t>Total cost from switching in submission</w:t>
            </w:r>
            <w:r w:rsidRPr="00002A62">
              <w:rPr>
                <w:rFonts w:ascii="Arial Narrow" w:hAnsi="Arial Narrow" w:cstheme="minorBidi"/>
                <w:b/>
                <w:bCs/>
                <w:sz w:val="20"/>
                <w:vertAlign w:val="superscript"/>
              </w:rPr>
              <w:t>4</w:t>
            </w:r>
          </w:p>
        </w:tc>
        <w:tc>
          <w:tcPr>
            <w:tcW w:w="1080" w:type="dxa"/>
          </w:tcPr>
          <w:p w:rsidR="00556102" w:rsidRPr="00002A62" w:rsidRDefault="00556102" w:rsidP="00200670">
            <w:pPr>
              <w:keepNext/>
              <w:keepLines/>
              <w:jc w:val="center"/>
              <w:rPr>
                <w:rFonts w:ascii="Arial Narrow" w:hAnsi="Arial Narrow"/>
                <w:b/>
                <w:bCs/>
                <w:sz w:val="20"/>
              </w:rPr>
            </w:pPr>
            <w:r w:rsidRPr="00002A62">
              <w:rPr>
                <w:rFonts w:ascii="Arial Narrow" w:hAnsi="Arial Narrow"/>
                <w:b/>
                <w:bCs/>
                <w:sz w:val="20"/>
              </w:rPr>
              <w:t>-$</w:t>
            </w:r>
            <w:r w:rsidR="00507973">
              <w:rPr>
                <w:rFonts w:ascii="Arial Narrow" w:hAnsi="Arial Narrow"/>
                <w:b/>
                <w:bCs/>
                <w:noProof/>
                <w:color w:val="000000"/>
                <w:sz w:val="20"/>
                <w:highlight w:val="black"/>
              </w:rPr>
              <w:t>'''''''''''''''''</w:t>
            </w:r>
          </w:p>
        </w:tc>
        <w:tc>
          <w:tcPr>
            <w:tcW w:w="1080" w:type="dxa"/>
          </w:tcPr>
          <w:p w:rsidR="00556102" w:rsidRPr="00002A62" w:rsidRDefault="00556102" w:rsidP="00200670">
            <w:pPr>
              <w:keepNext/>
              <w:keepLines/>
              <w:jc w:val="center"/>
              <w:rPr>
                <w:rFonts w:ascii="Arial Narrow" w:hAnsi="Arial Narrow"/>
                <w:b/>
                <w:bCs/>
                <w:sz w:val="20"/>
              </w:rPr>
            </w:pPr>
            <w:r w:rsidRPr="00002A62">
              <w:rPr>
                <w:rFonts w:ascii="Arial Narrow" w:hAnsi="Arial Narrow"/>
                <w:b/>
                <w:bCs/>
                <w:sz w:val="20"/>
              </w:rPr>
              <w:t>-$</w:t>
            </w:r>
            <w:r w:rsidR="00507973">
              <w:rPr>
                <w:rFonts w:ascii="Arial Narrow" w:hAnsi="Arial Narrow"/>
                <w:b/>
                <w:bCs/>
                <w:noProof/>
                <w:color w:val="000000"/>
                <w:sz w:val="20"/>
                <w:highlight w:val="black"/>
              </w:rPr>
              <w:t>''''''''''''''''''</w:t>
            </w:r>
          </w:p>
        </w:tc>
        <w:tc>
          <w:tcPr>
            <w:tcW w:w="1080" w:type="dxa"/>
          </w:tcPr>
          <w:p w:rsidR="00556102" w:rsidRPr="00002A62" w:rsidRDefault="00556102" w:rsidP="00200670">
            <w:pPr>
              <w:keepNext/>
              <w:keepLines/>
              <w:jc w:val="center"/>
              <w:rPr>
                <w:rFonts w:ascii="Arial Narrow" w:hAnsi="Arial Narrow"/>
                <w:b/>
                <w:bCs/>
                <w:sz w:val="20"/>
              </w:rPr>
            </w:pPr>
            <w:r w:rsidRPr="00002A62">
              <w:rPr>
                <w:rFonts w:ascii="Arial Narrow" w:hAnsi="Arial Narrow"/>
                <w:b/>
                <w:bCs/>
                <w:sz w:val="20"/>
              </w:rPr>
              <w:t>-$</w:t>
            </w:r>
            <w:r w:rsidR="00507973">
              <w:rPr>
                <w:rFonts w:ascii="Arial Narrow" w:hAnsi="Arial Narrow"/>
                <w:b/>
                <w:bCs/>
                <w:noProof/>
                <w:color w:val="000000"/>
                <w:sz w:val="20"/>
                <w:highlight w:val="black"/>
              </w:rPr>
              <w:t>''''''''''''''''''</w:t>
            </w:r>
          </w:p>
        </w:tc>
        <w:tc>
          <w:tcPr>
            <w:tcW w:w="1080" w:type="dxa"/>
          </w:tcPr>
          <w:p w:rsidR="00556102" w:rsidRPr="00002A62" w:rsidRDefault="00556102" w:rsidP="00200670">
            <w:pPr>
              <w:keepNext/>
              <w:keepLines/>
              <w:jc w:val="center"/>
              <w:rPr>
                <w:rFonts w:ascii="Arial Narrow" w:hAnsi="Arial Narrow"/>
                <w:b/>
                <w:bCs/>
                <w:sz w:val="20"/>
              </w:rPr>
            </w:pPr>
            <w:r w:rsidRPr="00002A62">
              <w:rPr>
                <w:rFonts w:ascii="Arial Narrow" w:hAnsi="Arial Narrow"/>
                <w:b/>
                <w:bCs/>
                <w:sz w:val="20"/>
              </w:rPr>
              <w:t>-$</w:t>
            </w:r>
            <w:r w:rsidR="00507973">
              <w:rPr>
                <w:rFonts w:ascii="Arial Narrow" w:hAnsi="Arial Narrow"/>
                <w:b/>
                <w:bCs/>
                <w:noProof/>
                <w:color w:val="000000"/>
                <w:sz w:val="20"/>
                <w:highlight w:val="black"/>
              </w:rPr>
              <w:t>''''''''''''''''''''</w:t>
            </w:r>
          </w:p>
        </w:tc>
        <w:tc>
          <w:tcPr>
            <w:tcW w:w="1081" w:type="dxa"/>
          </w:tcPr>
          <w:p w:rsidR="00556102" w:rsidRPr="00002A62" w:rsidRDefault="00556102" w:rsidP="00200670">
            <w:pPr>
              <w:keepNext/>
              <w:keepLines/>
              <w:jc w:val="center"/>
              <w:rPr>
                <w:rFonts w:ascii="Arial Narrow" w:hAnsi="Arial Narrow"/>
                <w:b/>
                <w:bCs/>
                <w:sz w:val="20"/>
              </w:rPr>
            </w:pPr>
            <w:r w:rsidRPr="00002A62">
              <w:rPr>
                <w:rFonts w:ascii="Arial Narrow" w:hAnsi="Arial Narrow"/>
                <w:b/>
                <w:bCs/>
                <w:sz w:val="20"/>
              </w:rPr>
              <w:t>-$</w:t>
            </w:r>
            <w:r w:rsidR="00507973">
              <w:rPr>
                <w:rFonts w:ascii="Arial Narrow" w:hAnsi="Arial Narrow"/>
                <w:b/>
                <w:bCs/>
                <w:noProof/>
                <w:color w:val="000000"/>
                <w:sz w:val="20"/>
                <w:highlight w:val="black"/>
              </w:rPr>
              <w:t>''''''''''''''''''</w:t>
            </w:r>
          </w:p>
        </w:tc>
      </w:tr>
      <w:tr w:rsidR="00580442" w:rsidRPr="00002A62" w:rsidTr="00166ED1">
        <w:tc>
          <w:tcPr>
            <w:tcW w:w="8378" w:type="dxa"/>
            <w:gridSpan w:val="6"/>
          </w:tcPr>
          <w:p w:rsidR="00580442" w:rsidRPr="00002A62" w:rsidRDefault="00580442" w:rsidP="00200670">
            <w:pPr>
              <w:keepNext/>
              <w:keepLines/>
              <w:jc w:val="left"/>
              <w:rPr>
                <w:rFonts w:ascii="Arial Narrow" w:hAnsi="Arial Narrow"/>
                <w:b/>
                <w:bCs/>
                <w:sz w:val="20"/>
              </w:rPr>
            </w:pPr>
            <w:r w:rsidRPr="00002A62">
              <w:rPr>
                <w:rFonts w:ascii="Arial Narrow" w:hAnsi="Arial Narrow"/>
                <w:b/>
                <w:bCs/>
                <w:sz w:val="20"/>
              </w:rPr>
              <w:t>Sensitivity analyses</w:t>
            </w:r>
          </w:p>
        </w:tc>
      </w:tr>
      <w:tr w:rsidR="00580442" w:rsidRPr="00002A62" w:rsidTr="00166ED1">
        <w:tc>
          <w:tcPr>
            <w:tcW w:w="2977" w:type="dxa"/>
          </w:tcPr>
          <w:p w:rsidR="00580442" w:rsidRPr="00002A62" w:rsidRDefault="00580442" w:rsidP="00200670">
            <w:pPr>
              <w:keepNext/>
              <w:keepLines/>
              <w:jc w:val="left"/>
              <w:rPr>
                <w:rFonts w:ascii="Arial Narrow" w:hAnsi="Arial Narrow" w:cstheme="minorBidi"/>
                <w:b/>
                <w:bCs/>
                <w:sz w:val="20"/>
              </w:rPr>
            </w:pPr>
            <w:r w:rsidRPr="00002A62">
              <w:rPr>
                <w:rFonts w:ascii="Arial Narrow" w:hAnsi="Arial Narrow" w:cstheme="minorBidi"/>
                <w:sz w:val="20"/>
              </w:rPr>
              <w:t>20% Increase uptake of TAF (48% year 1 to 96% year 5)</w:t>
            </w:r>
          </w:p>
        </w:tc>
        <w:tc>
          <w:tcPr>
            <w:tcW w:w="1080" w:type="dxa"/>
            <w:vAlign w:val="center"/>
          </w:tcPr>
          <w:p w:rsidR="00580442" w:rsidRPr="00002A62" w:rsidRDefault="00580442" w:rsidP="00200670">
            <w:pPr>
              <w:keepNext/>
              <w:keepLines/>
              <w:jc w:val="center"/>
              <w:rPr>
                <w:rFonts w:ascii="Arial Narrow" w:hAnsi="Arial Narrow"/>
                <w:b/>
                <w:bCs/>
                <w:sz w:val="20"/>
              </w:rPr>
            </w:pPr>
            <w:r w:rsidRPr="00002A62">
              <w:rPr>
                <w:rFonts w:ascii="Arial Narrow" w:hAnsi="Arial Narrow" w:cstheme="minorBidi"/>
                <w:sz w:val="20"/>
              </w:rPr>
              <w:t>-$</w:t>
            </w:r>
            <w:r w:rsidR="00507973">
              <w:rPr>
                <w:rFonts w:ascii="Arial Narrow" w:hAnsi="Arial Narrow" w:cstheme="minorBidi"/>
                <w:noProof/>
                <w:color w:val="000000"/>
                <w:sz w:val="20"/>
                <w:highlight w:val="black"/>
              </w:rPr>
              <w:t>'''''''''''''''''''</w:t>
            </w:r>
          </w:p>
        </w:tc>
        <w:tc>
          <w:tcPr>
            <w:tcW w:w="1080" w:type="dxa"/>
            <w:vAlign w:val="center"/>
          </w:tcPr>
          <w:p w:rsidR="00580442" w:rsidRPr="00002A62" w:rsidRDefault="00580442" w:rsidP="00200670">
            <w:pPr>
              <w:keepNext/>
              <w:keepLines/>
              <w:jc w:val="center"/>
              <w:rPr>
                <w:rFonts w:ascii="Arial Narrow" w:hAnsi="Arial Narrow"/>
                <w:b/>
                <w:bCs/>
                <w:sz w:val="20"/>
              </w:rPr>
            </w:pPr>
            <w:r w:rsidRPr="00002A62">
              <w:rPr>
                <w:rFonts w:ascii="Arial Narrow" w:hAnsi="Arial Narrow" w:cstheme="minorBidi"/>
                <w:sz w:val="20"/>
              </w:rPr>
              <w:t>-$</w:t>
            </w:r>
            <w:r w:rsidR="00507973">
              <w:rPr>
                <w:rFonts w:ascii="Arial Narrow" w:hAnsi="Arial Narrow" w:cstheme="minorBidi"/>
                <w:noProof/>
                <w:color w:val="000000"/>
                <w:sz w:val="20"/>
                <w:highlight w:val="black"/>
              </w:rPr>
              <w:t>'''''''''''''''''</w:t>
            </w:r>
          </w:p>
        </w:tc>
        <w:tc>
          <w:tcPr>
            <w:tcW w:w="1080" w:type="dxa"/>
            <w:vAlign w:val="center"/>
          </w:tcPr>
          <w:p w:rsidR="00580442" w:rsidRPr="00002A62" w:rsidRDefault="00580442" w:rsidP="00200670">
            <w:pPr>
              <w:keepNext/>
              <w:keepLines/>
              <w:jc w:val="center"/>
              <w:rPr>
                <w:rFonts w:ascii="Arial Narrow" w:hAnsi="Arial Narrow"/>
                <w:b/>
                <w:bCs/>
                <w:sz w:val="20"/>
              </w:rPr>
            </w:pPr>
            <w:r w:rsidRPr="00002A62">
              <w:rPr>
                <w:rFonts w:ascii="Arial Narrow" w:hAnsi="Arial Narrow" w:cstheme="minorBidi"/>
                <w:sz w:val="20"/>
              </w:rPr>
              <w:t>-$</w:t>
            </w:r>
            <w:r w:rsidR="00507973">
              <w:rPr>
                <w:rFonts w:ascii="Arial Narrow" w:hAnsi="Arial Narrow" w:cstheme="minorBidi"/>
                <w:noProof/>
                <w:color w:val="000000"/>
                <w:sz w:val="20"/>
                <w:highlight w:val="black"/>
              </w:rPr>
              <w:t>''''''''''''''''''''''</w:t>
            </w:r>
          </w:p>
        </w:tc>
        <w:tc>
          <w:tcPr>
            <w:tcW w:w="1080" w:type="dxa"/>
            <w:vAlign w:val="center"/>
          </w:tcPr>
          <w:p w:rsidR="00580442" w:rsidRPr="00002A62" w:rsidRDefault="00580442" w:rsidP="00200670">
            <w:pPr>
              <w:keepNext/>
              <w:keepLines/>
              <w:jc w:val="center"/>
              <w:rPr>
                <w:rFonts w:ascii="Arial Narrow" w:hAnsi="Arial Narrow"/>
                <w:b/>
                <w:bCs/>
                <w:sz w:val="20"/>
              </w:rPr>
            </w:pPr>
            <w:r w:rsidRPr="00002A62">
              <w:rPr>
                <w:rFonts w:ascii="Arial Narrow" w:hAnsi="Arial Narrow" w:cstheme="minorBidi"/>
                <w:sz w:val="20"/>
              </w:rPr>
              <w:t>-$</w:t>
            </w:r>
            <w:r w:rsidR="00507973">
              <w:rPr>
                <w:rFonts w:ascii="Arial Narrow" w:hAnsi="Arial Narrow" w:cstheme="minorBidi"/>
                <w:noProof/>
                <w:color w:val="000000"/>
                <w:sz w:val="20"/>
                <w:highlight w:val="black"/>
              </w:rPr>
              <w:t>'''''''''''''''''''''''''</w:t>
            </w:r>
          </w:p>
        </w:tc>
        <w:tc>
          <w:tcPr>
            <w:tcW w:w="1081" w:type="dxa"/>
            <w:vAlign w:val="center"/>
          </w:tcPr>
          <w:p w:rsidR="00580442" w:rsidRPr="00002A62" w:rsidRDefault="00580442" w:rsidP="00200670">
            <w:pPr>
              <w:keepNext/>
              <w:keepLines/>
              <w:jc w:val="center"/>
              <w:rPr>
                <w:rFonts w:ascii="Arial Narrow" w:hAnsi="Arial Narrow"/>
                <w:b/>
                <w:bCs/>
                <w:sz w:val="20"/>
              </w:rPr>
            </w:pPr>
            <w:r w:rsidRPr="00002A62">
              <w:rPr>
                <w:rFonts w:ascii="Arial Narrow" w:hAnsi="Arial Narrow" w:cstheme="minorBidi"/>
                <w:sz w:val="20"/>
              </w:rPr>
              <w:t>-$</w:t>
            </w:r>
            <w:r w:rsidR="00507973">
              <w:rPr>
                <w:rFonts w:ascii="Arial Narrow" w:hAnsi="Arial Narrow" w:cstheme="minorBidi"/>
                <w:noProof/>
                <w:color w:val="000000"/>
                <w:sz w:val="20"/>
                <w:highlight w:val="black"/>
              </w:rPr>
              <w:t>'''''''''''''''''''''''</w:t>
            </w:r>
          </w:p>
        </w:tc>
      </w:tr>
      <w:tr w:rsidR="00580442" w:rsidRPr="00002A62" w:rsidTr="00166ED1">
        <w:tc>
          <w:tcPr>
            <w:tcW w:w="2977" w:type="dxa"/>
          </w:tcPr>
          <w:p w:rsidR="00580442" w:rsidRPr="00002A62" w:rsidRDefault="00580442" w:rsidP="00200670">
            <w:pPr>
              <w:keepNext/>
              <w:keepLines/>
              <w:jc w:val="left"/>
              <w:rPr>
                <w:rFonts w:ascii="Arial Narrow" w:hAnsi="Arial Narrow" w:cstheme="minorBidi"/>
                <w:b/>
                <w:bCs/>
                <w:sz w:val="20"/>
              </w:rPr>
            </w:pPr>
            <w:r w:rsidRPr="00002A62">
              <w:rPr>
                <w:rFonts w:ascii="Arial Narrow" w:hAnsi="Arial Narrow" w:cstheme="minorBidi"/>
                <w:sz w:val="20"/>
              </w:rPr>
              <w:t>20% Decrease uptake of TAF (32% year 1 to 64% year 5)</w:t>
            </w:r>
          </w:p>
        </w:tc>
        <w:tc>
          <w:tcPr>
            <w:tcW w:w="1080" w:type="dxa"/>
            <w:vAlign w:val="center"/>
          </w:tcPr>
          <w:p w:rsidR="00580442" w:rsidRPr="00002A62" w:rsidRDefault="00580442" w:rsidP="00200670">
            <w:pPr>
              <w:keepNext/>
              <w:keepLines/>
              <w:jc w:val="center"/>
              <w:rPr>
                <w:rFonts w:ascii="Arial Narrow" w:hAnsi="Arial Narrow"/>
                <w:b/>
                <w:bCs/>
                <w:sz w:val="20"/>
              </w:rPr>
            </w:pPr>
            <w:r w:rsidRPr="00002A62">
              <w:rPr>
                <w:rFonts w:ascii="Arial Narrow" w:hAnsi="Arial Narrow" w:cstheme="minorBidi"/>
                <w:snapToGrid/>
                <w:color w:val="000000"/>
                <w:sz w:val="20"/>
                <w:lang w:eastAsia="zh-CN"/>
              </w:rPr>
              <w:t>-$</w:t>
            </w:r>
            <w:r w:rsidR="00507973">
              <w:rPr>
                <w:rFonts w:ascii="Arial Narrow" w:hAnsi="Arial Narrow" w:cstheme="minorBidi"/>
                <w:noProof/>
                <w:snapToGrid/>
                <w:color w:val="000000"/>
                <w:sz w:val="20"/>
                <w:highlight w:val="black"/>
                <w:lang w:eastAsia="zh-CN"/>
              </w:rPr>
              <w:t>''''''''''''''''''''</w:t>
            </w:r>
          </w:p>
        </w:tc>
        <w:tc>
          <w:tcPr>
            <w:tcW w:w="1080" w:type="dxa"/>
            <w:vAlign w:val="center"/>
          </w:tcPr>
          <w:p w:rsidR="00580442" w:rsidRPr="00002A62" w:rsidRDefault="00580442" w:rsidP="00200670">
            <w:pPr>
              <w:keepNext/>
              <w:keepLines/>
              <w:jc w:val="center"/>
              <w:rPr>
                <w:rFonts w:ascii="Arial Narrow" w:hAnsi="Arial Narrow"/>
                <w:b/>
                <w:bCs/>
                <w:sz w:val="20"/>
              </w:rPr>
            </w:pPr>
            <w:r w:rsidRPr="00002A62">
              <w:rPr>
                <w:rFonts w:ascii="Arial Narrow" w:hAnsi="Arial Narrow" w:cstheme="minorBidi"/>
                <w:color w:val="000000"/>
                <w:sz w:val="20"/>
              </w:rPr>
              <w:t>-$</w:t>
            </w:r>
            <w:r w:rsidR="00507973">
              <w:rPr>
                <w:rFonts w:ascii="Arial Narrow" w:hAnsi="Arial Narrow" w:cstheme="minorBidi"/>
                <w:noProof/>
                <w:color w:val="000000"/>
                <w:sz w:val="20"/>
                <w:highlight w:val="black"/>
              </w:rPr>
              <w:t>'''''''''''''''''''</w:t>
            </w:r>
          </w:p>
        </w:tc>
        <w:tc>
          <w:tcPr>
            <w:tcW w:w="1080" w:type="dxa"/>
            <w:vAlign w:val="center"/>
          </w:tcPr>
          <w:p w:rsidR="00580442" w:rsidRPr="00002A62" w:rsidRDefault="00580442" w:rsidP="00200670">
            <w:pPr>
              <w:keepNext/>
              <w:keepLines/>
              <w:jc w:val="center"/>
              <w:rPr>
                <w:rFonts w:ascii="Arial Narrow" w:hAnsi="Arial Narrow"/>
                <w:b/>
                <w:bCs/>
                <w:sz w:val="20"/>
              </w:rPr>
            </w:pPr>
            <w:r w:rsidRPr="00002A62">
              <w:rPr>
                <w:rFonts w:ascii="Arial Narrow" w:hAnsi="Arial Narrow" w:cstheme="minorBidi"/>
                <w:color w:val="000000"/>
                <w:sz w:val="20"/>
              </w:rPr>
              <w:t>-$</w:t>
            </w:r>
            <w:r w:rsidR="00507973">
              <w:rPr>
                <w:rFonts w:ascii="Arial Narrow" w:hAnsi="Arial Narrow" w:cstheme="minorBidi"/>
                <w:noProof/>
                <w:color w:val="000000"/>
                <w:sz w:val="20"/>
                <w:highlight w:val="black"/>
              </w:rPr>
              <w:t>'''''''''''''''''''</w:t>
            </w:r>
          </w:p>
        </w:tc>
        <w:tc>
          <w:tcPr>
            <w:tcW w:w="1080" w:type="dxa"/>
            <w:vAlign w:val="center"/>
          </w:tcPr>
          <w:p w:rsidR="00580442" w:rsidRPr="00002A62" w:rsidRDefault="00580442" w:rsidP="00200670">
            <w:pPr>
              <w:keepNext/>
              <w:keepLines/>
              <w:jc w:val="center"/>
              <w:rPr>
                <w:rFonts w:ascii="Arial Narrow" w:hAnsi="Arial Narrow"/>
                <w:b/>
                <w:bCs/>
                <w:sz w:val="20"/>
              </w:rPr>
            </w:pPr>
            <w:r w:rsidRPr="00002A62">
              <w:rPr>
                <w:rFonts w:ascii="Arial Narrow" w:hAnsi="Arial Narrow" w:cstheme="minorBidi"/>
                <w:color w:val="000000"/>
                <w:sz w:val="20"/>
              </w:rPr>
              <w:t>-$</w:t>
            </w:r>
            <w:r w:rsidR="00507973">
              <w:rPr>
                <w:rFonts w:ascii="Arial Narrow" w:hAnsi="Arial Narrow" w:cstheme="minorBidi"/>
                <w:noProof/>
                <w:color w:val="000000"/>
                <w:sz w:val="20"/>
                <w:highlight w:val="black"/>
              </w:rPr>
              <w:t>''''''''''''''''''</w:t>
            </w:r>
          </w:p>
        </w:tc>
        <w:tc>
          <w:tcPr>
            <w:tcW w:w="1081" w:type="dxa"/>
            <w:vAlign w:val="center"/>
          </w:tcPr>
          <w:p w:rsidR="00580442" w:rsidRPr="00002A62" w:rsidRDefault="00580442" w:rsidP="00200670">
            <w:pPr>
              <w:keepNext/>
              <w:keepLines/>
              <w:jc w:val="center"/>
              <w:rPr>
                <w:rFonts w:ascii="Arial Narrow" w:hAnsi="Arial Narrow"/>
                <w:b/>
                <w:bCs/>
                <w:sz w:val="20"/>
              </w:rPr>
            </w:pPr>
            <w:r w:rsidRPr="00002A62">
              <w:rPr>
                <w:rFonts w:ascii="Arial Narrow" w:hAnsi="Arial Narrow" w:cstheme="minorBidi"/>
                <w:color w:val="000000"/>
                <w:sz w:val="20"/>
              </w:rPr>
              <w:t>-$</w:t>
            </w:r>
            <w:r w:rsidR="00507973">
              <w:rPr>
                <w:rFonts w:ascii="Arial Narrow" w:hAnsi="Arial Narrow" w:cstheme="minorBidi"/>
                <w:noProof/>
                <w:color w:val="000000"/>
                <w:sz w:val="20"/>
                <w:highlight w:val="black"/>
              </w:rPr>
              <w:t>'''''''''''''''''''''''''</w:t>
            </w:r>
          </w:p>
        </w:tc>
      </w:tr>
      <w:tr w:rsidR="00580442" w:rsidRPr="00002A62" w:rsidTr="00556102">
        <w:tc>
          <w:tcPr>
            <w:tcW w:w="2977" w:type="dxa"/>
          </w:tcPr>
          <w:p w:rsidR="00580442" w:rsidRPr="00002A62" w:rsidRDefault="00580442" w:rsidP="00200670">
            <w:pPr>
              <w:keepNext/>
              <w:keepLines/>
              <w:jc w:val="left"/>
              <w:rPr>
                <w:rFonts w:ascii="Arial Narrow" w:hAnsi="Arial Narrow" w:cstheme="minorBidi"/>
                <w:b/>
                <w:bCs/>
                <w:sz w:val="20"/>
              </w:rPr>
            </w:pPr>
            <w:r w:rsidRPr="00002A62">
              <w:rPr>
                <w:rFonts w:ascii="Arial Narrow" w:hAnsi="Arial Narrow" w:cstheme="minorBidi"/>
                <w:sz w:val="20"/>
              </w:rPr>
              <w:t xml:space="preserve">Increase MBS cost offset by 20% </w:t>
            </w:r>
          </w:p>
        </w:tc>
        <w:tc>
          <w:tcPr>
            <w:tcW w:w="1080" w:type="dxa"/>
          </w:tcPr>
          <w:p w:rsidR="00580442" w:rsidRPr="00002A62" w:rsidRDefault="00580442" w:rsidP="00200670">
            <w:pPr>
              <w:keepNext/>
              <w:keepLines/>
              <w:jc w:val="center"/>
              <w:rPr>
                <w:rFonts w:ascii="Arial Narrow" w:hAnsi="Arial Narrow"/>
                <w:b/>
                <w:bCs/>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0" w:type="dxa"/>
          </w:tcPr>
          <w:p w:rsidR="00580442" w:rsidRPr="00002A62" w:rsidRDefault="00580442" w:rsidP="00200670">
            <w:pPr>
              <w:keepNext/>
              <w:keepLines/>
              <w:jc w:val="center"/>
              <w:rPr>
                <w:rFonts w:ascii="Arial Narrow" w:hAnsi="Arial Narrow"/>
                <w:b/>
                <w:bCs/>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0" w:type="dxa"/>
          </w:tcPr>
          <w:p w:rsidR="00580442" w:rsidRPr="00002A62" w:rsidRDefault="00580442" w:rsidP="00200670">
            <w:pPr>
              <w:keepNext/>
              <w:keepLines/>
              <w:jc w:val="center"/>
              <w:rPr>
                <w:rFonts w:ascii="Arial Narrow" w:hAnsi="Arial Narrow"/>
                <w:b/>
                <w:bCs/>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0" w:type="dxa"/>
          </w:tcPr>
          <w:p w:rsidR="00580442" w:rsidRPr="00002A62" w:rsidRDefault="00580442" w:rsidP="00200670">
            <w:pPr>
              <w:keepNext/>
              <w:keepLines/>
              <w:jc w:val="center"/>
              <w:rPr>
                <w:rFonts w:ascii="Arial Narrow" w:hAnsi="Arial Narrow"/>
                <w:b/>
                <w:bCs/>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1" w:type="dxa"/>
          </w:tcPr>
          <w:p w:rsidR="00580442" w:rsidRPr="00002A62" w:rsidRDefault="00580442" w:rsidP="00200670">
            <w:pPr>
              <w:keepNext/>
              <w:keepLines/>
              <w:jc w:val="center"/>
              <w:rPr>
                <w:rFonts w:ascii="Arial Narrow" w:hAnsi="Arial Narrow"/>
                <w:b/>
                <w:bCs/>
                <w:sz w:val="20"/>
              </w:rPr>
            </w:pPr>
            <w:r w:rsidRPr="00002A62">
              <w:rPr>
                <w:rFonts w:ascii="Arial Narrow" w:hAnsi="Arial Narrow"/>
                <w:sz w:val="20"/>
              </w:rPr>
              <w:t>-$</w:t>
            </w:r>
            <w:r w:rsidR="00507973">
              <w:rPr>
                <w:rFonts w:ascii="Arial Narrow" w:hAnsi="Arial Narrow"/>
                <w:noProof/>
                <w:color w:val="000000"/>
                <w:sz w:val="20"/>
                <w:highlight w:val="black"/>
              </w:rPr>
              <w:t>''''''''''''''''''''''</w:t>
            </w:r>
          </w:p>
        </w:tc>
      </w:tr>
      <w:tr w:rsidR="00580442" w:rsidRPr="00002A62" w:rsidTr="00556102">
        <w:tc>
          <w:tcPr>
            <w:tcW w:w="2977" w:type="dxa"/>
          </w:tcPr>
          <w:p w:rsidR="00580442" w:rsidRPr="00002A62" w:rsidRDefault="00580442" w:rsidP="00200670">
            <w:pPr>
              <w:keepNext/>
              <w:keepLines/>
              <w:jc w:val="left"/>
              <w:rPr>
                <w:rFonts w:ascii="Arial Narrow" w:hAnsi="Arial Narrow" w:cstheme="minorBidi"/>
                <w:b/>
                <w:bCs/>
                <w:sz w:val="20"/>
              </w:rPr>
            </w:pPr>
            <w:r w:rsidRPr="00002A62">
              <w:rPr>
                <w:rFonts w:ascii="Arial Narrow" w:hAnsi="Arial Narrow" w:cstheme="minorBidi"/>
                <w:sz w:val="20"/>
              </w:rPr>
              <w:t xml:space="preserve">Decrease MBS cost offset by 20% </w:t>
            </w:r>
          </w:p>
        </w:tc>
        <w:tc>
          <w:tcPr>
            <w:tcW w:w="1080" w:type="dxa"/>
          </w:tcPr>
          <w:p w:rsidR="00580442" w:rsidRPr="00002A62" w:rsidRDefault="00580442" w:rsidP="00200670">
            <w:pPr>
              <w:keepNext/>
              <w:keepLines/>
              <w:jc w:val="center"/>
              <w:rPr>
                <w:rFonts w:ascii="Arial Narrow" w:hAnsi="Arial Narrow"/>
                <w:b/>
                <w:bCs/>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0" w:type="dxa"/>
          </w:tcPr>
          <w:p w:rsidR="00580442" w:rsidRPr="00002A62" w:rsidRDefault="00580442" w:rsidP="00200670">
            <w:pPr>
              <w:keepNext/>
              <w:keepLines/>
              <w:jc w:val="center"/>
              <w:rPr>
                <w:rFonts w:ascii="Arial Narrow" w:hAnsi="Arial Narrow"/>
                <w:b/>
                <w:bCs/>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0" w:type="dxa"/>
          </w:tcPr>
          <w:p w:rsidR="00580442" w:rsidRPr="00002A62" w:rsidRDefault="00580442" w:rsidP="00200670">
            <w:pPr>
              <w:keepNext/>
              <w:keepLines/>
              <w:jc w:val="center"/>
              <w:rPr>
                <w:rFonts w:ascii="Arial Narrow" w:hAnsi="Arial Narrow"/>
                <w:b/>
                <w:bCs/>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0" w:type="dxa"/>
          </w:tcPr>
          <w:p w:rsidR="00580442" w:rsidRPr="00002A62" w:rsidRDefault="00580442" w:rsidP="00200670">
            <w:pPr>
              <w:keepNext/>
              <w:keepLines/>
              <w:jc w:val="center"/>
              <w:rPr>
                <w:rFonts w:ascii="Arial Narrow" w:hAnsi="Arial Narrow"/>
                <w:b/>
                <w:bCs/>
                <w:sz w:val="20"/>
              </w:rPr>
            </w:pPr>
            <w:r w:rsidRPr="00002A62">
              <w:rPr>
                <w:rFonts w:ascii="Arial Narrow" w:hAnsi="Arial Narrow"/>
                <w:sz w:val="20"/>
              </w:rPr>
              <w:t>-$</w:t>
            </w:r>
            <w:r w:rsidR="00507973">
              <w:rPr>
                <w:rFonts w:ascii="Arial Narrow" w:hAnsi="Arial Narrow"/>
                <w:noProof/>
                <w:color w:val="000000"/>
                <w:sz w:val="20"/>
                <w:highlight w:val="black"/>
              </w:rPr>
              <w:t>'''''''''''''''''''</w:t>
            </w:r>
          </w:p>
        </w:tc>
        <w:tc>
          <w:tcPr>
            <w:tcW w:w="1081" w:type="dxa"/>
          </w:tcPr>
          <w:p w:rsidR="00580442" w:rsidRPr="00002A62" w:rsidRDefault="00580442" w:rsidP="00200670">
            <w:pPr>
              <w:keepNext/>
              <w:keepLines/>
              <w:jc w:val="center"/>
              <w:rPr>
                <w:rFonts w:ascii="Arial Narrow" w:hAnsi="Arial Narrow"/>
                <w:b/>
                <w:bCs/>
                <w:sz w:val="20"/>
              </w:rPr>
            </w:pPr>
            <w:r w:rsidRPr="00002A62">
              <w:rPr>
                <w:rFonts w:ascii="Arial Narrow" w:hAnsi="Arial Narrow"/>
                <w:sz w:val="20"/>
              </w:rPr>
              <w:t>-$</w:t>
            </w:r>
            <w:r w:rsidR="00507973">
              <w:rPr>
                <w:rFonts w:ascii="Arial Narrow" w:hAnsi="Arial Narrow"/>
                <w:noProof/>
                <w:color w:val="000000"/>
                <w:sz w:val="20"/>
                <w:highlight w:val="black"/>
              </w:rPr>
              <w:t>''''''''''''''''''''''</w:t>
            </w:r>
          </w:p>
        </w:tc>
      </w:tr>
      <w:tr w:rsidR="00580442" w:rsidRPr="00002A62" w:rsidTr="00556102">
        <w:tc>
          <w:tcPr>
            <w:tcW w:w="2977" w:type="dxa"/>
          </w:tcPr>
          <w:p w:rsidR="00580442" w:rsidRPr="00002A62" w:rsidRDefault="00580442" w:rsidP="00200670">
            <w:pPr>
              <w:keepNext/>
              <w:keepLines/>
              <w:jc w:val="left"/>
              <w:rPr>
                <w:rFonts w:ascii="Arial Narrow" w:hAnsi="Arial Narrow" w:cstheme="minorBidi"/>
                <w:b/>
                <w:bCs/>
                <w:sz w:val="20"/>
              </w:rPr>
            </w:pPr>
            <w:r w:rsidRPr="00002A62">
              <w:rPr>
                <w:rFonts w:ascii="Arial Narrow" w:hAnsi="Arial Narrow" w:cstheme="minorBidi"/>
                <w:iCs/>
                <w:sz w:val="20"/>
              </w:rPr>
              <w:t>Assume no BMD monitoring with TDF</w:t>
            </w:r>
            <w:r w:rsidRPr="00002A62">
              <w:rPr>
                <w:rFonts w:ascii="Arial Narrow" w:hAnsi="Arial Narrow" w:cstheme="minorBidi"/>
                <w:iCs/>
                <w:sz w:val="20"/>
                <w:vertAlign w:val="superscript"/>
              </w:rPr>
              <w:t>5</w:t>
            </w:r>
          </w:p>
        </w:tc>
        <w:tc>
          <w:tcPr>
            <w:tcW w:w="1080" w:type="dxa"/>
          </w:tcPr>
          <w:p w:rsidR="00580442" w:rsidRPr="00002A62" w:rsidRDefault="00580442" w:rsidP="00200670">
            <w:pPr>
              <w:keepNext/>
              <w:keepLines/>
              <w:jc w:val="center"/>
              <w:rPr>
                <w:rFonts w:ascii="Arial Narrow" w:hAnsi="Arial Narrow"/>
                <w:b/>
                <w:bCs/>
                <w:sz w:val="20"/>
              </w:rPr>
            </w:pPr>
            <w:r w:rsidRPr="00002A62">
              <w:rPr>
                <w:rFonts w:ascii="Arial Narrow" w:hAnsi="Arial Narrow"/>
                <w:iCs/>
                <w:sz w:val="20"/>
              </w:rPr>
              <w:t>-$</w:t>
            </w:r>
            <w:r w:rsidR="00507973">
              <w:rPr>
                <w:rFonts w:ascii="Arial Narrow" w:hAnsi="Arial Narrow"/>
                <w:iCs/>
                <w:noProof/>
                <w:color w:val="000000"/>
                <w:sz w:val="20"/>
                <w:highlight w:val="black"/>
              </w:rPr>
              <w:t>''''''''''''''''''</w:t>
            </w:r>
          </w:p>
        </w:tc>
        <w:tc>
          <w:tcPr>
            <w:tcW w:w="1080" w:type="dxa"/>
          </w:tcPr>
          <w:p w:rsidR="00580442" w:rsidRPr="00002A62" w:rsidRDefault="00580442" w:rsidP="00200670">
            <w:pPr>
              <w:keepNext/>
              <w:keepLines/>
              <w:jc w:val="center"/>
              <w:rPr>
                <w:rFonts w:ascii="Arial Narrow" w:hAnsi="Arial Narrow"/>
                <w:b/>
                <w:bCs/>
                <w:sz w:val="20"/>
              </w:rPr>
            </w:pPr>
            <w:r w:rsidRPr="00002A62">
              <w:rPr>
                <w:rFonts w:ascii="Arial Narrow" w:hAnsi="Arial Narrow"/>
                <w:iCs/>
                <w:sz w:val="20"/>
              </w:rPr>
              <w:t>-$</w:t>
            </w:r>
            <w:r w:rsidR="00507973">
              <w:rPr>
                <w:rFonts w:ascii="Arial Narrow" w:hAnsi="Arial Narrow"/>
                <w:iCs/>
                <w:noProof/>
                <w:color w:val="000000"/>
                <w:sz w:val="20"/>
                <w:highlight w:val="black"/>
              </w:rPr>
              <w:t>'''''''''''''''''''''</w:t>
            </w:r>
          </w:p>
        </w:tc>
        <w:tc>
          <w:tcPr>
            <w:tcW w:w="1080" w:type="dxa"/>
          </w:tcPr>
          <w:p w:rsidR="00580442" w:rsidRPr="00002A62" w:rsidRDefault="00580442" w:rsidP="00200670">
            <w:pPr>
              <w:keepNext/>
              <w:keepLines/>
              <w:jc w:val="center"/>
              <w:rPr>
                <w:rFonts w:ascii="Arial Narrow" w:hAnsi="Arial Narrow"/>
                <w:b/>
                <w:bCs/>
                <w:sz w:val="20"/>
              </w:rPr>
            </w:pPr>
            <w:r w:rsidRPr="00002A62">
              <w:rPr>
                <w:rFonts w:ascii="Arial Narrow" w:hAnsi="Arial Narrow"/>
                <w:iCs/>
                <w:sz w:val="20"/>
              </w:rPr>
              <w:t>-$</w:t>
            </w:r>
            <w:r w:rsidR="00507973">
              <w:rPr>
                <w:rFonts w:ascii="Arial Narrow" w:hAnsi="Arial Narrow"/>
                <w:iCs/>
                <w:noProof/>
                <w:color w:val="000000"/>
                <w:sz w:val="20"/>
                <w:highlight w:val="black"/>
              </w:rPr>
              <w:t>'''''''''''''''''''</w:t>
            </w:r>
          </w:p>
        </w:tc>
        <w:tc>
          <w:tcPr>
            <w:tcW w:w="1080" w:type="dxa"/>
          </w:tcPr>
          <w:p w:rsidR="00580442" w:rsidRPr="00002A62" w:rsidRDefault="00580442" w:rsidP="00200670">
            <w:pPr>
              <w:keepNext/>
              <w:keepLines/>
              <w:jc w:val="center"/>
              <w:rPr>
                <w:rFonts w:ascii="Arial Narrow" w:hAnsi="Arial Narrow"/>
                <w:b/>
                <w:bCs/>
                <w:sz w:val="20"/>
              </w:rPr>
            </w:pPr>
            <w:r w:rsidRPr="00002A62">
              <w:rPr>
                <w:rFonts w:ascii="Arial Narrow" w:hAnsi="Arial Narrow"/>
                <w:iCs/>
                <w:sz w:val="20"/>
              </w:rPr>
              <w:t>-$</w:t>
            </w:r>
            <w:r w:rsidR="00507973">
              <w:rPr>
                <w:rFonts w:ascii="Arial Narrow" w:hAnsi="Arial Narrow"/>
                <w:iCs/>
                <w:noProof/>
                <w:color w:val="000000"/>
                <w:sz w:val="20"/>
                <w:highlight w:val="black"/>
              </w:rPr>
              <w:t>''''''''''''''''''''</w:t>
            </w:r>
          </w:p>
        </w:tc>
        <w:tc>
          <w:tcPr>
            <w:tcW w:w="1081" w:type="dxa"/>
          </w:tcPr>
          <w:p w:rsidR="00580442" w:rsidRPr="00002A62" w:rsidRDefault="00580442" w:rsidP="00200670">
            <w:pPr>
              <w:keepNext/>
              <w:keepLines/>
              <w:jc w:val="center"/>
              <w:rPr>
                <w:rFonts w:ascii="Arial Narrow" w:hAnsi="Arial Narrow"/>
                <w:b/>
                <w:bCs/>
                <w:sz w:val="20"/>
              </w:rPr>
            </w:pPr>
            <w:r w:rsidRPr="00002A62">
              <w:rPr>
                <w:rFonts w:ascii="Arial Narrow" w:hAnsi="Arial Narrow"/>
                <w:iCs/>
                <w:sz w:val="20"/>
              </w:rPr>
              <w:t>-$</w:t>
            </w:r>
            <w:r w:rsidR="00507973">
              <w:rPr>
                <w:rFonts w:ascii="Arial Narrow" w:hAnsi="Arial Narrow"/>
                <w:iCs/>
                <w:noProof/>
                <w:color w:val="000000"/>
                <w:sz w:val="20"/>
                <w:highlight w:val="black"/>
              </w:rPr>
              <w:t>'''''''''''''''''''</w:t>
            </w:r>
          </w:p>
        </w:tc>
      </w:tr>
    </w:tbl>
    <w:p w:rsidR="00556102" w:rsidRPr="00002A62" w:rsidRDefault="00556102" w:rsidP="00200670">
      <w:pPr>
        <w:keepNext/>
        <w:keepLines/>
        <w:ind w:firstLine="720"/>
        <w:rPr>
          <w:rFonts w:ascii="Arial Narrow" w:hAnsi="Arial Narrow" w:cstheme="minorBidi"/>
          <w:sz w:val="18"/>
        </w:rPr>
      </w:pPr>
      <w:r w:rsidRPr="00002A62">
        <w:rPr>
          <w:rFonts w:ascii="Arial Narrow" w:hAnsi="Arial Narrow" w:cstheme="minorBidi"/>
          <w:sz w:val="18"/>
          <w:vertAlign w:val="superscript"/>
        </w:rPr>
        <w:t>1</w:t>
      </w:r>
      <w:r w:rsidRPr="00002A62">
        <w:rPr>
          <w:rFonts w:ascii="Arial Narrow" w:hAnsi="Arial Narrow" w:cstheme="minorBidi"/>
          <w:sz w:val="18"/>
        </w:rPr>
        <w:t xml:space="preserve">Assume a DPMQ for each TAF and TDF service of $961.64 </w:t>
      </w:r>
    </w:p>
    <w:p w:rsidR="00556102" w:rsidRPr="00002A62" w:rsidRDefault="00556102" w:rsidP="00200670">
      <w:pPr>
        <w:keepNext/>
        <w:keepLines/>
        <w:ind w:firstLine="720"/>
        <w:rPr>
          <w:rFonts w:ascii="Arial Narrow" w:hAnsi="Arial Narrow" w:cstheme="minorBidi"/>
          <w:iCs/>
          <w:sz w:val="18"/>
        </w:rPr>
      </w:pPr>
      <w:r w:rsidRPr="00002A62">
        <w:rPr>
          <w:rFonts w:ascii="Arial Narrow" w:hAnsi="Arial Narrow" w:cstheme="minorBidi"/>
          <w:sz w:val="18"/>
          <w:vertAlign w:val="superscript"/>
        </w:rPr>
        <w:t>2</w:t>
      </w:r>
      <w:r w:rsidRPr="00002A62">
        <w:rPr>
          <w:rFonts w:ascii="Arial Narrow" w:hAnsi="Arial Narrow" w:cstheme="minorBidi"/>
          <w:iCs/>
          <w:sz w:val="18"/>
        </w:rPr>
        <w:t>Assume 99.86% PBS scripts at copayment of $25.73 each and 0.14% RPBS scripts at copayment of $5.54 each</w:t>
      </w:r>
    </w:p>
    <w:p w:rsidR="00556102" w:rsidRPr="00002A62" w:rsidRDefault="00556102" w:rsidP="00200670">
      <w:pPr>
        <w:keepNext/>
        <w:keepLines/>
        <w:ind w:firstLine="720"/>
        <w:rPr>
          <w:rFonts w:ascii="Arial Narrow" w:hAnsi="Arial Narrow" w:cstheme="minorBidi"/>
          <w:sz w:val="18"/>
        </w:rPr>
      </w:pPr>
      <w:r w:rsidRPr="00002A62">
        <w:rPr>
          <w:rFonts w:ascii="Arial Narrow" w:hAnsi="Arial Narrow" w:cstheme="minorBidi"/>
          <w:sz w:val="18"/>
          <w:vertAlign w:val="superscript"/>
        </w:rPr>
        <w:t>3</w:t>
      </w:r>
      <w:r w:rsidRPr="00002A62">
        <w:rPr>
          <w:rFonts w:ascii="Arial Narrow" w:hAnsi="Arial Narrow" w:cstheme="minorBidi"/>
          <w:sz w:val="18"/>
        </w:rPr>
        <w:t xml:space="preserve">Assume a MBS cost of $29.33 for each TDF service and </w:t>
      </w:r>
    </w:p>
    <w:p w:rsidR="00556102" w:rsidRPr="00002A62" w:rsidRDefault="00556102" w:rsidP="00200670">
      <w:pPr>
        <w:keepNext/>
        <w:keepLines/>
        <w:ind w:firstLine="720"/>
        <w:rPr>
          <w:rFonts w:ascii="Arial Narrow" w:hAnsi="Arial Narrow" w:cstheme="minorBidi"/>
          <w:sz w:val="18"/>
        </w:rPr>
      </w:pPr>
      <w:r w:rsidRPr="00002A62">
        <w:rPr>
          <w:rFonts w:ascii="Arial Narrow" w:hAnsi="Arial Narrow" w:cstheme="minorBidi"/>
          <w:sz w:val="18"/>
          <w:vertAlign w:val="superscript"/>
        </w:rPr>
        <w:t>4</w:t>
      </w:r>
      <w:r w:rsidRPr="00002A62">
        <w:rPr>
          <w:rFonts w:ascii="Arial Narrow" w:hAnsi="Arial Narrow" w:cstheme="minorBidi"/>
          <w:sz w:val="18"/>
        </w:rPr>
        <w:t>Calculated by the net cost of TAF script minus the cost offset from switching from TDF and MBS offset for TDF.</w:t>
      </w:r>
    </w:p>
    <w:p w:rsidR="00580442" w:rsidRPr="00002A62" w:rsidRDefault="00580442" w:rsidP="00200670">
      <w:pPr>
        <w:keepNext/>
        <w:keepLines/>
        <w:ind w:firstLine="720"/>
        <w:rPr>
          <w:rFonts w:ascii="Arial Narrow" w:hAnsi="Arial Narrow" w:cstheme="minorBidi"/>
          <w:sz w:val="18"/>
          <w:szCs w:val="18"/>
        </w:rPr>
      </w:pPr>
      <w:r w:rsidRPr="00002A62">
        <w:rPr>
          <w:rFonts w:ascii="Arial Narrow" w:hAnsi="Arial Narrow" w:cstheme="minorBidi"/>
          <w:sz w:val="18"/>
          <w:szCs w:val="18"/>
          <w:vertAlign w:val="superscript"/>
        </w:rPr>
        <w:t>5</w:t>
      </w:r>
      <w:r w:rsidRPr="00002A62">
        <w:rPr>
          <w:rFonts w:ascii="Arial Narrow" w:hAnsi="Arial Narrow" w:cstheme="minorBidi"/>
          <w:sz w:val="18"/>
          <w:szCs w:val="18"/>
        </w:rPr>
        <w:t>Assume $0 for BMD monitoring, resulting in an expected monitoring cost for TDF of $20.91 per TDF script</w:t>
      </w:r>
    </w:p>
    <w:p w:rsidR="00556102" w:rsidRPr="00002A62" w:rsidRDefault="00556102" w:rsidP="00200670">
      <w:pPr>
        <w:keepNext/>
        <w:keepLines/>
        <w:ind w:firstLine="720"/>
        <w:rPr>
          <w:rFonts w:ascii="Arial Narrow" w:hAnsi="Arial Narrow" w:cstheme="minorBidi"/>
          <w:sz w:val="18"/>
        </w:rPr>
      </w:pPr>
      <w:r w:rsidRPr="00002A62">
        <w:rPr>
          <w:rFonts w:ascii="Arial Narrow" w:hAnsi="Arial Narrow" w:cstheme="minorBidi"/>
          <w:sz w:val="18"/>
        </w:rPr>
        <w:t xml:space="preserve">Source: Table E-4, p143, table E-5, p144, table E-4, p145 and table E-5, p146 of the submission </w:t>
      </w:r>
    </w:p>
    <w:p w:rsidR="00C25D9C" w:rsidRPr="00002A62" w:rsidRDefault="00C25D9C" w:rsidP="00857CC3">
      <w:pPr>
        <w:pStyle w:val="ListParagraph"/>
        <w:widowControl/>
        <w:rPr>
          <w:szCs w:val="22"/>
        </w:rPr>
      </w:pPr>
    </w:p>
    <w:p w:rsidR="00256D49" w:rsidRPr="00002A62" w:rsidRDefault="00857CC3" w:rsidP="00205960">
      <w:pPr>
        <w:pStyle w:val="ListParagraph"/>
        <w:widowControl/>
        <w:numPr>
          <w:ilvl w:val="1"/>
          <w:numId w:val="7"/>
        </w:numPr>
        <w:rPr>
          <w:szCs w:val="22"/>
        </w:rPr>
      </w:pPr>
      <w:r w:rsidRPr="00002A62">
        <w:rPr>
          <w:szCs w:val="22"/>
        </w:rPr>
        <w:t>The submission estimated a saving of</w:t>
      </w:r>
      <w:r w:rsidR="00AB2556">
        <w:rPr>
          <w:szCs w:val="22"/>
        </w:rPr>
        <w:t xml:space="preserve"> less than</w:t>
      </w:r>
      <w:r w:rsidRPr="00002A62">
        <w:rPr>
          <w:szCs w:val="22"/>
        </w:rPr>
        <w:t xml:space="preserve"> $</w:t>
      </w:r>
      <w:r w:rsidR="00AB2556">
        <w:rPr>
          <w:szCs w:val="22"/>
        </w:rPr>
        <w:t>10</w:t>
      </w:r>
      <w:r w:rsidRPr="00002A62">
        <w:rPr>
          <w:szCs w:val="22"/>
        </w:rPr>
        <w:t xml:space="preserve"> million to the overall government budget by the fifth year of listing and a total of </w:t>
      </w:r>
      <w:r w:rsidR="00AB2556">
        <w:rPr>
          <w:szCs w:val="22"/>
        </w:rPr>
        <w:t xml:space="preserve">less than </w:t>
      </w:r>
      <w:r w:rsidRPr="00002A62">
        <w:rPr>
          <w:szCs w:val="22"/>
        </w:rPr>
        <w:t>$</w:t>
      </w:r>
      <w:r w:rsidR="00AB2556">
        <w:rPr>
          <w:szCs w:val="22"/>
        </w:rPr>
        <w:t>10</w:t>
      </w:r>
      <w:r w:rsidRPr="00002A62">
        <w:rPr>
          <w:szCs w:val="22"/>
        </w:rPr>
        <w:t xml:space="preserve"> million over the first five years of listing</w:t>
      </w:r>
      <w:r w:rsidR="00716ED0" w:rsidRPr="00002A62">
        <w:rPr>
          <w:szCs w:val="22"/>
        </w:rPr>
        <w:t xml:space="preserve">. </w:t>
      </w:r>
      <w:r w:rsidRPr="00002A62">
        <w:rPr>
          <w:szCs w:val="22"/>
        </w:rPr>
        <w:t xml:space="preserve">This saving was entirely derived from the assumed MBS cost offsets associated with additional clinical monitoring </w:t>
      </w:r>
      <w:r w:rsidR="004423E8" w:rsidRPr="00002A62">
        <w:rPr>
          <w:szCs w:val="22"/>
        </w:rPr>
        <w:t xml:space="preserve">(renal and BMD) </w:t>
      </w:r>
      <w:r w:rsidRPr="00002A62">
        <w:rPr>
          <w:szCs w:val="22"/>
        </w:rPr>
        <w:t>for TDF</w:t>
      </w:r>
      <w:r w:rsidR="00716ED0" w:rsidRPr="00002A62">
        <w:rPr>
          <w:szCs w:val="22"/>
        </w:rPr>
        <w:t xml:space="preserve">. </w:t>
      </w:r>
      <w:r w:rsidR="001F6ECC" w:rsidRPr="00002A62">
        <w:rPr>
          <w:szCs w:val="22"/>
        </w:rPr>
        <w:t>T</w:t>
      </w:r>
      <w:r w:rsidRPr="00002A62">
        <w:rPr>
          <w:szCs w:val="22"/>
        </w:rPr>
        <w:t>he</w:t>
      </w:r>
      <w:r w:rsidR="00AE40F5" w:rsidRPr="00002A62">
        <w:rPr>
          <w:szCs w:val="22"/>
        </w:rPr>
        <w:t xml:space="preserve"> evaluation considered that</w:t>
      </w:r>
      <w:r w:rsidRPr="00002A62">
        <w:rPr>
          <w:szCs w:val="22"/>
        </w:rPr>
        <w:t xml:space="preserve"> number of BMD </w:t>
      </w:r>
      <w:r w:rsidR="001F6ECC" w:rsidRPr="00002A62">
        <w:rPr>
          <w:szCs w:val="22"/>
        </w:rPr>
        <w:t xml:space="preserve">tests </w:t>
      </w:r>
      <w:r w:rsidRPr="00002A62">
        <w:rPr>
          <w:szCs w:val="22"/>
        </w:rPr>
        <w:t>may be an overestimate and thus the savings would also be overestimated</w:t>
      </w:r>
      <w:r w:rsidR="00716ED0" w:rsidRPr="00002A62">
        <w:rPr>
          <w:szCs w:val="22"/>
        </w:rPr>
        <w:t xml:space="preserve">. </w:t>
      </w:r>
      <w:r w:rsidR="00096996" w:rsidRPr="00002A62">
        <w:rPr>
          <w:szCs w:val="22"/>
        </w:rPr>
        <w:t xml:space="preserve">The ESC </w:t>
      </w:r>
      <w:r w:rsidR="00646AE4" w:rsidRPr="00002A62">
        <w:rPr>
          <w:szCs w:val="22"/>
        </w:rPr>
        <w:t xml:space="preserve">and PBAC </w:t>
      </w:r>
      <w:r w:rsidR="00096996" w:rsidRPr="00002A62">
        <w:rPr>
          <w:szCs w:val="22"/>
        </w:rPr>
        <w:t xml:space="preserve">agreed </w:t>
      </w:r>
      <w:r w:rsidR="000304C8" w:rsidRPr="00002A62">
        <w:rPr>
          <w:szCs w:val="22"/>
        </w:rPr>
        <w:t xml:space="preserve">that </w:t>
      </w:r>
      <w:r w:rsidR="001F6ECC" w:rsidRPr="00002A62">
        <w:rPr>
          <w:szCs w:val="22"/>
        </w:rPr>
        <w:t>the</w:t>
      </w:r>
      <w:r w:rsidR="000304C8" w:rsidRPr="00002A62">
        <w:rPr>
          <w:szCs w:val="22"/>
        </w:rPr>
        <w:t xml:space="preserve"> MB</w:t>
      </w:r>
      <w:r w:rsidR="00E738AE" w:rsidRPr="00002A62">
        <w:rPr>
          <w:szCs w:val="22"/>
        </w:rPr>
        <w:t>S offset was overestimated</w:t>
      </w:r>
      <w:r w:rsidR="005B478C" w:rsidRPr="00002A62">
        <w:rPr>
          <w:szCs w:val="22"/>
        </w:rPr>
        <w:t xml:space="preserve"> and unlikely to be realised in practice.</w:t>
      </w:r>
    </w:p>
    <w:p w:rsidR="00256D49" w:rsidRPr="00002A62" w:rsidRDefault="00256D49" w:rsidP="00256D49">
      <w:pPr>
        <w:pStyle w:val="ListParagraph"/>
        <w:widowControl/>
        <w:rPr>
          <w:szCs w:val="22"/>
        </w:rPr>
      </w:pPr>
    </w:p>
    <w:p w:rsidR="00857CC3" w:rsidRPr="00002A62" w:rsidRDefault="00205960" w:rsidP="00205960">
      <w:pPr>
        <w:pStyle w:val="ListParagraph"/>
        <w:widowControl/>
        <w:numPr>
          <w:ilvl w:val="1"/>
          <w:numId w:val="7"/>
        </w:numPr>
        <w:rPr>
          <w:szCs w:val="22"/>
        </w:rPr>
      </w:pPr>
      <w:r w:rsidRPr="00002A62">
        <w:rPr>
          <w:szCs w:val="22"/>
        </w:rPr>
        <w:t>The PBAC considered that TAF will substitute for entecavir as well as TDF and noted that the financial estimates will need to be recalculated to take this into account</w:t>
      </w:r>
      <w:r w:rsidR="00634ED8" w:rsidRPr="00002A62">
        <w:rPr>
          <w:szCs w:val="22"/>
        </w:rPr>
        <w:t>.</w:t>
      </w:r>
    </w:p>
    <w:p w:rsidR="00576972" w:rsidRPr="00002A62" w:rsidRDefault="00576972" w:rsidP="00576972">
      <w:pPr>
        <w:widowControl/>
        <w:rPr>
          <w:szCs w:val="22"/>
        </w:rPr>
      </w:pPr>
    </w:p>
    <w:p w:rsidR="00576972" w:rsidRPr="00002A62" w:rsidRDefault="00576972" w:rsidP="002C2775">
      <w:pPr>
        <w:pStyle w:val="Heading2"/>
        <w:rPr>
          <w:i/>
        </w:rPr>
      </w:pPr>
      <w:bookmarkStart w:id="57" w:name="_Toc469319443"/>
      <w:bookmarkStart w:id="58" w:name="_Toc472330249"/>
      <w:r w:rsidRPr="00002A62">
        <w:rPr>
          <w:i/>
        </w:rPr>
        <w:t>Quality Use of Medicines</w:t>
      </w:r>
      <w:bookmarkEnd w:id="57"/>
      <w:bookmarkEnd w:id="58"/>
    </w:p>
    <w:p w:rsidR="00576972" w:rsidRPr="00002A62" w:rsidRDefault="00576972" w:rsidP="00576972">
      <w:pPr>
        <w:widowControl/>
        <w:rPr>
          <w:szCs w:val="22"/>
        </w:rPr>
      </w:pPr>
    </w:p>
    <w:p w:rsidR="008334BE" w:rsidRPr="00002A62" w:rsidRDefault="00DD0214" w:rsidP="008334BE">
      <w:pPr>
        <w:pStyle w:val="ListParagraph"/>
        <w:widowControl/>
        <w:numPr>
          <w:ilvl w:val="1"/>
          <w:numId w:val="7"/>
        </w:numPr>
        <w:rPr>
          <w:szCs w:val="22"/>
        </w:rPr>
      </w:pPr>
      <w:r w:rsidRPr="00002A62">
        <w:t xml:space="preserve">No quality use of medicine </w:t>
      </w:r>
      <w:r w:rsidR="007A2EAF" w:rsidRPr="00002A62">
        <w:t xml:space="preserve">initiatives had been identified </w:t>
      </w:r>
      <w:r w:rsidRPr="00002A62">
        <w:t xml:space="preserve">by the submission. </w:t>
      </w:r>
      <w:r w:rsidR="007A2EAF" w:rsidRPr="00002A62">
        <w:t>Given the similarities between TAF and TDF</w:t>
      </w:r>
      <w:r w:rsidR="00051A54" w:rsidRPr="00002A62">
        <w:t xml:space="preserve"> but a difference in dosage</w:t>
      </w:r>
      <w:r w:rsidR="007A2EAF" w:rsidRPr="00002A62">
        <w:t>, initiatives such as</w:t>
      </w:r>
      <w:r w:rsidR="008334BE" w:rsidRPr="00002A62">
        <w:t xml:space="preserve"> clinician training and patient</w:t>
      </w:r>
      <w:r w:rsidR="007A2EAF" w:rsidRPr="00002A62">
        <w:t xml:space="preserve"> education may be necessary to minimise confusion.</w:t>
      </w:r>
    </w:p>
    <w:p w:rsidR="00C93864" w:rsidRPr="00002A62" w:rsidRDefault="00C93864" w:rsidP="00C93864">
      <w:pPr>
        <w:pStyle w:val="ListParagraph"/>
        <w:widowControl/>
      </w:pPr>
    </w:p>
    <w:p w:rsidR="00C93864" w:rsidRPr="00002A62" w:rsidRDefault="00C93864" w:rsidP="00C93864">
      <w:pPr>
        <w:ind w:firstLine="720"/>
        <w:rPr>
          <w:bCs/>
          <w:szCs w:val="22"/>
        </w:rPr>
      </w:pPr>
      <w:r w:rsidRPr="00002A62">
        <w:rPr>
          <w:bCs/>
          <w:i/>
          <w:szCs w:val="22"/>
        </w:rPr>
        <w:t>For more detail on PBAC’s view, see section 7 “PBAC outcome”</w:t>
      </w:r>
    </w:p>
    <w:p w:rsidR="00C93864" w:rsidRPr="00002A62" w:rsidRDefault="00C93864" w:rsidP="00C93864">
      <w:pPr>
        <w:pStyle w:val="ListParagraph"/>
        <w:widowControl/>
        <w:rPr>
          <w:szCs w:val="22"/>
        </w:rPr>
      </w:pPr>
    </w:p>
    <w:p w:rsidR="00576972" w:rsidRPr="00002A62" w:rsidRDefault="00576972" w:rsidP="00576972">
      <w:pPr>
        <w:widowControl/>
        <w:rPr>
          <w:szCs w:val="22"/>
        </w:rPr>
      </w:pPr>
    </w:p>
    <w:p w:rsidR="00C93864" w:rsidRPr="00002A62" w:rsidRDefault="00C93864" w:rsidP="00D6359D">
      <w:pPr>
        <w:pStyle w:val="PBACHeading1"/>
      </w:pPr>
      <w:r w:rsidRPr="00002A62">
        <w:t>PBAC Outcome</w:t>
      </w:r>
    </w:p>
    <w:p w:rsidR="00C93864" w:rsidRPr="00002A62" w:rsidRDefault="00C93864" w:rsidP="00C93864">
      <w:pPr>
        <w:rPr>
          <w:b/>
          <w:bCs/>
        </w:rPr>
      </w:pPr>
    </w:p>
    <w:p w:rsidR="005B478C" w:rsidRPr="00002A62" w:rsidRDefault="00C93864" w:rsidP="00EB2633">
      <w:pPr>
        <w:numPr>
          <w:ilvl w:val="1"/>
          <w:numId w:val="7"/>
        </w:numPr>
        <w:rPr>
          <w:bCs/>
        </w:rPr>
      </w:pPr>
      <w:r w:rsidRPr="00002A62">
        <w:rPr>
          <w:bCs/>
        </w:rPr>
        <w:t xml:space="preserve">The PBAC recommended the listing of </w:t>
      </w:r>
      <w:r w:rsidR="00767BFD" w:rsidRPr="00002A62">
        <w:rPr>
          <w:bCs/>
        </w:rPr>
        <w:t>tenofovir alafenamide</w:t>
      </w:r>
      <w:r w:rsidR="00CE7668" w:rsidRPr="00002A62">
        <w:rPr>
          <w:bCs/>
        </w:rPr>
        <w:t xml:space="preserve"> </w:t>
      </w:r>
      <w:r w:rsidR="00EB753B" w:rsidRPr="00002A62">
        <w:rPr>
          <w:bCs/>
        </w:rPr>
        <w:t xml:space="preserve">(TAF) </w:t>
      </w:r>
      <w:r w:rsidR="00CE7668" w:rsidRPr="00002A62">
        <w:rPr>
          <w:bCs/>
        </w:rPr>
        <w:t xml:space="preserve">as a </w:t>
      </w:r>
      <w:r w:rsidRPr="00002A62">
        <w:rPr>
          <w:bCs/>
        </w:rPr>
        <w:t>Section 100</w:t>
      </w:r>
      <w:r w:rsidR="00366896" w:rsidRPr="00002A62">
        <w:rPr>
          <w:bCs/>
        </w:rPr>
        <w:t xml:space="preserve"> </w:t>
      </w:r>
      <w:r w:rsidR="00366896" w:rsidRPr="00002A62">
        <w:t>(Highly Specialised Drugs Program – Community Access): Authority Required (STREAMLINED) listing for the treatment of chronic hepatitis B infection (CHB)</w:t>
      </w:r>
      <w:r w:rsidR="005F7E98" w:rsidRPr="00002A62">
        <w:t xml:space="preserve">. The PBAC’s recommendation for listing was based on, among other matters, its assessment, as described above, that the cost-effectiveness of TAF would be acceptable if it were cost-minimised against entecavir. </w:t>
      </w:r>
    </w:p>
    <w:p w:rsidR="005B478C" w:rsidRPr="00002A62" w:rsidRDefault="005B478C" w:rsidP="005B478C">
      <w:pPr>
        <w:ind w:left="720"/>
        <w:rPr>
          <w:bCs/>
        </w:rPr>
      </w:pPr>
    </w:p>
    <w:p w:rsidR="00EB2633" w:rsidRPr="00002A62" w:rsidRDefault="0006548A" w:rsidP="00EB2633">
      <w:pPr>
        <w:numPr>
          <w:ilvl w:val="1"/>
          <w:numId w:val="7"/>
        </w:numPr>
        <w:rPr>
          <w:bCs/>
        </w:rPr>
      </w:pPr>
      <w:r w:rsidRPr="00002A62">
        <w:t xml:space="preserve">The PBAC recommended </w:t>
      </w:r>
      <w:r w:rsidR="00A16726" w:rsidRPr="00002A62">
        <w:t xml:space="preserve">that </w:t>
      </w:r>
      <w:r w:rsidRPr="00002A62">
        <w:t xml:space="preserve">the equi-effective doses to </w:t>
      </w:r>
      <w:r w:rsidR="00205960" w:rsidRPr="00002A62">
        <w:t xml:space="preserve">be </w:t>
      </w:r>
      <w:r w:rsidRPr="00002A62">
        <w:t>TAF 25 mg once daily</w:t>
      </w:r>
      <w:r w:rsidRPr="00002A62" w:rsidDel="0006548A">
        <w:t xml:space="preserve"> </w:t>
      </w:r>
      <w:r w:rsidRPr="00002A62">
        <w:t xml:space="preserve">is equivalent to </w:t>
      </w:r>
      <w:r w:rsidR="00366896" w:rsidRPr="00002A62">
        <w:t>entecavir</w:t>
      </w:r>
      <w:r w:rsidR="00355DC6" w:rsidRPr="00002A62">
        <w:t xml:space="preserve"> 0.5 mg</w:t>
      </w:r>
      <w:r w:rsidR="0005116B" w:rsidRPr="00002A62">
        <w:t xml:space="preserve"> once daily</w:t>
      </w:r>
      <w:r w:rsidR="006A3D2C" w:rsidRPr="00002A62">
        <w:t xml:space="preserve"> </w:t>
      </w:r>
      <w:r w:rsidRPr="00002A62">
        <w:t>for nucleos</w:t>
      </w:r>
      <w:r w:rsidR="005B478C" w:rsidRPr="00002A62">
        <w:t>(t)</w:t>
      </w:r>
      <w:r w:rsidRPr="00002A62">
        <w:t xml:space="preserve">ide naïve CHB patients, </w:t>
      </w:r>
      <w:r w:rsidR="006A3D2C" w:rsidRPr="00002A62">
        <w:t>and entecavir 1 mg once daily</w:t>
      </w:r>
      <w:r w:rsidRPr="00002A62">
        <w:t xml:space="preserve"> for nucleos</w:t>
      </w:r>
      <w:r w:rsidR="005B478C" w:rsidRPr="00002A62">
        <w:t>(t)</w:t>
      </w:r>
      <w:r w:rsidRPr="00002A62">
        <w:t>ide experienced CHB patients</w:t>
      </w:r>
      <w:r w:rsidR="00205960" w:rsidRPr="00002A62">
        <w:t>, with the proportions of use of the two entecavir strengths reflecting current usage under the PBS.</w:t>
      </w:r>
    </w:p>
    <w:p w:rsidR="00A16726" w:rsidRPr="00002A62" w:rsidRDefault="00A16726" w:rsidP="00A16726">
      <w:pPr>
        <w:rPr>
          <w:bCs/>
          <w:highlight w:val="yellow"/>
        </w:rPr>
      </w:pPr>
    </w:p>
    <w:p w:rsidR="00EB2633" w:rsidRPr="00002A62" w:rsidRDefault="00170E1E" w:rsidP="00EB2633">
      <w:pPr>
        <w:numPr>
          <w:ilvl w:val="1"/>
          <w:numId w:val="7"/>
        </w:numPr>
        <w:rPr>
          <w:bCs/>
        </w:rPr>
      </w:pPr>
      <w:r w:rsidRPr="00002A62">
        <w:rPr>
          <w:bCs/>
        </w:rPr>
        <w:t xml:space="preserve">The PBAC believed there </w:t>
      </w:r>
      <w:r w:rsidR="005B478C" w:rsidRPr="00002A62">
        <w:rPr>
          <w:bCs/>
        </w:rPr>
        <w:t xml:space="preserve">is </w:t>
      </w:r>
      <w:r w:rsidRPr="00002A62">
        <w:rPr>
          <w:bCs/>
        </w:rPr>
        <w:t xml:space="preserve">a clinical place for TAF as </w:t>
      </w:r>
      <w:r w:rsidRPr="00002A62">
        <w:rPr>
          <w:szCs w:val="22"/>
        </w:rPr>
        <w:t>another treatment option alongside TDF</w:t>
      </w:r>
      <w:r w:rsidR="00205960" w:rsidRPr="00002A62">
        <w:rPr>
          <w:szCs w:val="22"/>
        </w:rPr>
        <w:t xml:space="preserve"> and </w:t>
      </w:r>
      <w:r w:rsidR="0006548A" w:rsidRPr="00002A62">
        <w:rPr>
          <w:szCs w:val="22"/>
        </w:rPr>
        <w:t xml:space="preserve">entecavir </w:t>
      </w:r>
      <w:r w:rsidRPr="00002A62">
        <w:rPr>
          <w:szCs w:val="22"/>
        </w:rPr>
        <w:t xml:space="preserve">in </w:t>
      </w:r>
      <w:r w:rsidR="0006548A" w:rsidRPr="00002A62">
        <w:rPr>
          <w:szCs w:val="22"/>
        </w:rPr>
        <w:t xml:space="preserve">the </w:t>
      </w:r>
      <w:r w:rsidRPr="00002A62">
        <w:rPr>
          <w:szCs w:val="22"/>
        </w:rPr>
        <w:t>first line t</w:t>
      </w:r>
      <w:r w:rsidR="0006548A" w:rsidRPr="00002A62">
        <w:rPr>
          <w:szCs w:val="22"/>
        </w:rPr>
        <w:t>reatment</w:t>
      </w:r>
      <w:r w:rsidRPr="00002A62">
        <w:rPr>
          <w:szCs w:val="22"/>
        </w:rPr>
        <w:t xml:space="preserve"> of </w:t>
      </w:r>
      <w:r w:rsidR="00AE736F" w:rsidRPr="00002A62">
        <w:rPr>
          <w:szCs w:val="22"/>
        </w:rPr>
        <w:t>CH</w:t>
      </w:r>
      <w:r w:rsidRPr="00002A62">
        <w:rPr>
          <w:szCs w:val="22"/>
        </w:rPr>
        <w:t>B infection, as well as an alternative in cases where the patient has developed resistance to lamivudine</w:t>
      </w:r>
      <w:r w:rsidRPr="00002A62">
        <w:rPr>
          <w:bCs/>
        </w:rPr>
        <w:t>.</w:t>
      </w:r>
    </w:p>
    <w:p w:rsidR="00C93864" w:rsidRPr="00002A62" w:rsidRDefault="00C93864" w:rsidP="00C93864">
      <w:pPr>
        <w:rPr>
          <w:bCs/>
        </w:rPr>
      </w:pPr>
    </w:p>
    <w:p w:rsidR="00140026" w:rsidRPr="00002A62" w:rsidRDefault="00140026" w:rsidP="00140026">
      <w:pPr>
        <w:numPr>
          <w:ilvl w:val="1"/>
          <w:numId w:val="7"/>
        </w:numPr>
        <w:rPr>
          <w:bCs/>
        </w:rPr>
      </w:pPr>
      <w:r w:rsidRPr="00002A62">
        <w:rPr>
          <w:bCs/>
        </w:rPr>
        <w:t>The PBAC recommended that TAF should</w:t>
      </w:r>
      <w:r w:rsidR="00205960" w:rsidRPr="00002A62">
        <w:rPr>
          <w:bCs/>
        </w:rPr>
        <w:t xml:space="preserve"> not</w:t>
      </w:r>
      <w:r w:rsidRPr="00002A62">
        <w:rPr>
          <w:bCs/>
        </w:rPr>
        <w:t xml:space="preserve"> be treated as interchangeable on an individual patient basis with </w:t>
      </w:r>
      <w:r w:rsidR="00205960" w:rsidRPr="00002A62">
        <w:rPr>
          <w:bCs/>
        </w:rPr>
        <w:t>any other drug</w:t>
      </w:r>
      <w:r w:rsidRPr="00002A62">
        <w:rPr>
          <w:bCs/>
        </w:rPr>
        <w:t>.</w:t>
      </w:r>
    </w:p>
    <w:p w:rsidR="00140026" w:rsidRPr="00002A62" w:rsidRDefault="00140026" w:rsidP="00140026">
      <w:pPr>
        <w:rPr>
          <w:bCs/>
        </w:rPr>
      </w:pPr>
    </w:p>
    <w:p w:rsidR="00140026" w:rsidRPr="00002A62" w:rsidRDefault="00140026" w:rsidP="00140026">
      <w:pPr>
        <w:numPr>
          <w:ilvl w:val="1"/>
          <w:numId w:val="7"/>
        </w:numPr>
        <w:rPr>
          <w:bCs/>
        </w:rPr>
      </w:pPr>
      <w:r w:rsidRPr="00002A62">
        <w:rPr>
          <w:bCs/>
        </w:rPr>
        <w:t xml:space="preserve">The PBAC advised that TAF is not suitable for prescribing by nurse practitioners as </w:t>
      </w:r>
      <w:r w:rsidRPr="00002A62">
        <w:rPr>
          <w:szCs w:val="22"/>
        </w:rPr>
        <w:t>other listings for chronic hepatitis B are currently not included for prescribing by nurse practitioners</w:t>
      </w:r>
      <w:r w:rsidRPr="00002A62">
        <w:rPr>
          <w:bCs/>
        </w:rPr>
        <w:t xml:space="preserve">. </w:t>
      </w:r>
    </w:p>
    <w:p w:rsidR="00140026" w:rsidRPr="00002A62" w:rsidRDefault="00140026" w:rsidP="00140026">
      <w:pPr>
        <w:rPr>
          <w:bCs/>
        </w:rPr>
      </w:pPr>
    </w:p>
    <w:p w:rsidR="00140026" w:rsidRPr="00002A62" w:rsidRDefault="00140026" w:rsidP="00140026">
      <w:pPr>
        <w:numPr>
          <w:ilvl w:val="1"/>
          <w:numId w:val="7"/>
        </w:numPr>
        <w:rPr>
          <w:bCs/>
        </w:rPr>
      </w:pPr>
      <w:r w:rsidRPr="00002A62">
        <w:rPr>
          <w:bCs/>
        </w:rPr>
        <w:t xml:space="preserve">The PBAC recommended that the Early Supply Rule should apply as </w:t>
      </w:r>
      <w:r w:rsidR="00B07C69">
        <w:rPr>
          <w:szCs w:val="22"/>
        </w:rPr>
        <w:t xml:space="preserve">it applies to other drugs listed under the </w:t>
      </w:r>
      <w:r w:rsidR="00B07C69" w:rsidRPr="00002A62">
        <w:rPr>
          <w:bCs/>
        </w:rPr>
        <w:t xml:space="preserve">Section 100 </w:t>
      </w:r>
      <w:r w:rsidR="00B07C69" w:rsidRPr="00002A62">
        <w:t>Highly Specialised Drugs Program</w:t>
      </w:r>
      <w:r w:rsidR="00650822">
        <w:t xml:space="preserve"> (Community Access)</w:t>
      </w:r>
      <w:r w:rsidRPr="00002A62">
        <w:rPr>
          <w:bCs/>
        </w:rPr>
        <w:t xml:space="preserve">. </w:t>
      </w:r>
    </w:p>
    <w:p w:rsidR="00140026" w:rsidRPr="00002A62" w:rsidRDefault="00140026" w:rsidP="00140026">
      <w:pPr>
        <w:pStyle w:val="ListParagraph"/>
        <w:rPr>
          <w:bCs/>
        </w:rPr>
      </w:pPr>
    </w:p>
    <w:p w:rsidR="001A2170" w:rsidRPr="00D6359D" w:rsidRDefault="00140026" w:rsidP="00C93864">
      <w:pPr>
        <w:numPr>
          <w:ilvl w:val="1"/>
          <w:numId w:val="7"/>
        </w:numPr>
        <w:rPr>
          <w:b/>
          <w:bCs/>
        </w:rPr>
      </w:pPr>
      <w:r w:rsidRPr="00D6359D">
        <w:rPr>
          <w:bCs/>
        </w:rPr>
        <w:t xml:space="preserve">The PBAC noted that this submission is not eligible for an Independent Review as it received a positive recommendation. </w:t>
      </w:r>
    </w:p>
    <w:p w:rsidR="00A917C2" w:rsidRPr="00002A62" w:rsidRDefault="00A917C2" w:rsidP="00C93864">
      <w:pPr>
        <w:rPr>
          <w:b/>
          <w:bCs/>
        </w:rPr>
      </w:pPr>
    </w:p>
    <w:p w:rsidR="00C93864" w:rsidRPr="00002A62" w:rsidRDefault="00C93864" w:rsidP="00C93864">
      <w:pPr>
        <w:rPr>
          <w:b/>
          <w:bCs/>
        </w:rPr>
      </w:pPr>
      <w:r w:rsidRPr="00002A62">
        <w:rPr>
          <w:b/>
          <w:bCs/>
        </w:rPr>
        <w:t>Outcome:</w:t>
      </w:r>
    </w:p>
    <w:p w:rsidR="00C93864" w:rsidRPr="00002A62" w:rsidRDefault="00C93864" w:rsidP="00C93864">
      <w:pPr>
        <w:rPr>
          <w:bCs/>
        </w:rPr>
      </w:pPr>
      <w:r w:rsidRPr="00002A62">
        <w:rPr>
          <w:bCs/>
        </w:rPr>
        <w:t>Recommended</w:t>
      </w:r>
    </w:p>
    <w:p w:rsidR="00C93864" w:rsidRPr="00002A62" w:rsidRDefault="00C93864" w:rsidP="00C93864">
      <w:pPr>
        <w:rPr>
          <w:bCs/>
          <w:highlight w:val="yellow"/>
        </w:rPr>
      </w:pPr>
    </w:p>
    <w:p w:rsidR="00C93864" w:rsidRPr="00002A62" w:rsidRDefault="00C93864" w:rsidP="00C93864">
      <w:pPr>
        <w:rPr>
          <w:b/>
          <w:bCs/>
          <w:highlight w:val="yellow"/>
        </w:rPr>
      </w:pPr>
    </w:p>
    <w:p w:rsidR="00A917C2" w:rsidRDefault="00A917C2">
      <w:pPr>
        <w:widowControl/>
        <w:jc w:val="left"/>
        <w:rPr>
          <w:b/>
          <w:bCs/>
        </w:rPr>
      </w:pPr>
      <w:r>
        <w:rPr>
          <w:b/>
          <w:bCs/>
        </w:rPr>
        <w:br w:type="page"/>
      </w:r>
    </w:p>
    <w:p w:rsidR="00C93864" w:rsidRPr="00002A62" w:rsidRDefault="00C93864" w:rsidP="00D6359D">
      <w:pPr>
        <w:pStyle w:val="PBACHeading1"/>
        <w:rPr>
          <w:i/>
        </w:rPr>
      </w:pPr>
      <w:r w:rsidRPr="00002A62">
        <w:t>Recommended listing</w:t>
      </w:r>
    </w:p>
    <w:p w:rsidR="00C93864" w:rsidRPr="00002A62" w:rsidRDefault="00C93864" w:rsidP="00C93864">
      <w:pPr>
        <w:rPr>
          <w:b/>
          <w:bCs/>
          <w:i/>
        </w:rPr>
      </w:pPr>
    </w:p>
    <w:p w:rsidR="00C93864" w:rsidRPr="00002A62" w:rsidRDefault="00B1169E" w:rsidP="00C93864">
      <w:pPr>
        <w:numPr>
          <w:ilvl w:val="1"/>
          <w:numId w:val="7"/>
        </w:numPr>
        <w:rPr>
          <w:b/>
          <w:bCs/>
        </w:rPr>
      </w:pPr>
      <w:r w:rsidRPr="00002A62">
        <w:rPr>
          <w:bCs/>
        </w:rPr>
        <w:t>Add new item:</w:t>
      </w:r>
    </w:p>
    <w:p w:rsidR="00AD1400" w:rsidRPr="00002A62" w:rsidRDefault="00AD1400" w:rsidP="00AD1400"/>
    <w:tbl>
      <w:tblPr>
        <w:tblW w:w="4558" w:type="pct"/>
        <w:tblInd w:w="817" w:type="dxa"/>
        <w:tblLook w:val="0000" w:firstRow="0" w:lastRow="0" w:firstColumn="0" w:lastColumn="0" w:noHBand="0" w:noVBand="0"/>
      </w:tblPr>
      <w:tblGrid>
        <w:gridCol w:w="2024"/>
        <w:gridCol w:w="1095"/>
        <w:gridCol w:w="849"/>
        <w:gridCol w:w="1609"/>
        <w:gridCol w:w="1564"/>
        <w:gridCol w:w="1284"/>
      </w:tblGrid>
      <w:tr w:rsidR="00AD1400" w:rsidRPr="00002A62" w:rsidTr="00AD1400">
        <w:trPr>
          <w:cantSplit/>
          <w:trHeight w:val="471"/>
        </w:trPr>
        <w:tc>
          <w:tcPr>
            <w:tcW w:w="1851" w:type="pct"/>
            <w:gridSpan w:val="2"/>
            <w:tcBorders>
              <w:bottom w:val="single" w:sz="4" w:space="0" w:color="auto"/>
            </w:tcBorders>
          </w:tcPr>
          <w:p w:rsidR="00AD1400" w:rsidRPr="00002A62" w:rsidRDefault="00AD1400" w:rsidP="00576CF0">
            <w:pPr>
              <w:keepNext/>
              <w:ind w:left="-108"/>
              <w:rPr>
                <w:rFonts w:ascii="Arial Narrow" w:hAnsi="Arial Narrow"/>
                <w:sz w:val="20"/>
              </w:rPr>
            </w:pPr>
            <w:r w:rsidRPr="00002A62">
              <w:rPr>
                <w:rFonts w:ascii="Arial Narrow" w:hAnsi="Arial Narrow"/>
                <w:sz w:val="20"/>
              </w:rPr>
              <w:t>Name, Restriction,</w:t>
            </w:r>
          </w:p>
          <w:p w:rsidR="00AD1400" w:rsidRPr="00002A62" w:rsidRDefault="00AD1400" w:rsidP="00576CF0">
            <w:pPr>
              <w:keepNext/>
              <w:ind w:left="-108"/>
              <w:rPr>
                <w:rFonts w:ascii="Arial Narrow" w:hAnsi="Arial Narrow"/>
                <w:sz w:val="20"/>
              </w:rPr>
            </w:pPr>
            <w:r w:rsidRPr="00002A62">
              <w:rPr>
                <w:rFonts w:ascii="Arial Narrow" w:hAnsi="Arial Narrow"/>
                <w:sz w:val="20"/>
              </w:rPr>
              <w:t>Manner of administration and form</w:t>
            </w:r>
          </w:p>
        </w:tc>
        <w:tc>
          <w:tcPr>
            <w:tcW w:w="504" w:type="pct"/>
            <w:tcBorders>
              <w:bottom w:val="single" w:sz="4" w:space="0" w:color="auto"/>
            </w:tcBorders>
          </w:tcPr>
          <w:p w:rsidR="00AD1400" w:rsidRPr="00002A62" w:rsidRDefault="00AD1400" w:rsidP="00576CF0">
            <w:pPr>
              <w:keepNext/>
              <w:ind w:left="-108"/>
              <w:rPr>
                <w:rFonts w:ascii="Arial Narrow" w:hAnsi="Arial Narrow"/>
                <w:sz w:val="20"/>
              </w:rPr>
            </w:pPr>
            <w:r w:rsidRPr="00002A62">
              <w:rPr>
                <w:rFonts w:ascii="Arial Narrow" w:hAnsi="Arial Narrow"/>
                <w:sz w:val="20"/>
              </w:rPr>
              <w:t>Max.</w:t>
            </w:r>
          </w:p>
          <w:p w:rsidR="00AD1400" w:rsidRPr="00002A62" w:rsidRDefault="00AD1400" w:rsidP="00576CF0">
            <w:pPr>
              <w:keepNext/>
              <w:ind w:left="-108"/>
              <w:rPr>
                <w:rFonts w:ascii="Arial Narrow" w:hAnsi="Arial Narrow"/>
                <w:sz w:val="20"/>
              </w:rPr>
            </w:pPr>
            <w:r w:rsidRPr="00002A62">
              <w:rPr>
                <w:rFonts w:ascii="Arial Narrow" w:hAnsi="Arial Narrow"/>
                <w:sz w:val="20"/>
              </w:rPr>
              <w:t>Qty</w:t>
            </w:r>
          </w:p>
        </w:tc>
        <w:tc>
          <w:tcPr>
            <w:tcW w:w="955" w:type="pct"/>
            <w:tcBorders>
              <w:bottom w:val="single" w:sz="4" w:space="0" w:color="auto"/>
            </w:tcBorders>
          </w:tcPr>
          <w:p w:rsidR="00AD1400" w:rsidRPr="00002A62" w:rsidRDefault="00AD1400" w:rsidP="00576CF0">
            <w:pPr>
              <w:keepNext/>
              <w:ind w:left="-108"/>
              <w:rPr>
                <w:rFonts w:ascii="Arial Narrow" w:hAnsi="Arial Narrow"/>
                <w:sz w:val="20"/>
              </w:rPr>
            </w:pPr>
            <w:r w:rsidRPr="00002A62">
              <w:rPr>
                <w:rFonts w:ascii="Arial Narrow" w:hAnsi="Arial Narrow"/>
                <w:sz w:val="20"/>
              </w:rPr>
              <w:t>№.of</w:t>
            </w:r>
          </w:p>
          <w:p w:rsidR="00AD1400" w:rsidRPr="00002A62" w:rsidRDefault="00AD1400" w:rsidP="00576CF0">
            <w:pPr>
              <w:keepNext/>
              <w:ind w:left="-108"/>
              <w:rPr>
                <w:rFonts w:ascii="Arial Narrow" w:hAnsi="Arial Narrow"/>
                <w:sz w:val="20"/>
              </w:rPr>
            </w:pPr>
            <w:r w:rsidRPr="00002A62">
              <w:rPr>
                <w:rFonts w:ascii="Arial Narrow" w:hAnsi="Arial Narrow"/>
                <w:sz w:val="20"/>
              </w:rPr>
              <w:t>Rpts</w:t>
            </w:r>
          </w:p>
        </w:tc>
        <w:tc>
          <w:tcPr>
            <w:tcW w:w="1689" w:type="pct"/>
            <w:gridSpan w:val="2"/>
            <w:tcBorders>
              <w:bottom w:val="single" w:sz="4" w:space="0" w:color="auto"/>
            </w:tcBorders>
          </w:tcPr>
          <w:p w:rsidR="00AD1400" w:rsidRPr="00002A62" w:rsidRDefault="00AD1400" w:rsidP="00576CF0">
            <w:pPr>
              <w:keepNext/>
              <w:rPr>
                <w:rFonts w:ascii="Arial Narrow" w:hAnsi="Arial Narrow"/>
                <w:sz w:val="20"/>
              </w:rPr>
            </w:pPr>
            <w:r w:rsidRPr="00002A62">
              <w:rPr>
                <w:rFonts w:ascii="Arial Narrow" w:hAnsi="Arial Narrow"/>
                <w:sz w:val="20"/>
              </w:rPr>
              <w:t>Proprietary Name and Manufacturer</w:t>
            </w:r>
          </w:p>
        </w:tc>
      </w:tr>
      <w:tr w:rsidR="00AD1400" w:rsidRPr="00002A62" w:rsidTr="00AD1400">
        <w:trPr>
          <w:cantSplit/>
          <w:trHeight w:val="577"/>
        </w:trPr>
        <w:tc>
          <w:tcPr>
            <w:tcW w:w="1851" w:type="pct"/>
            <w:gridSpan w:val="2"/>
          </w:tcPr>
          <w:p w:rsidR="00AD1400" w:rsidRPr="00002A62" w:rsidRDefault="00AD1400" w:rsidP="00576CF0">
            <w:pPr>
              <w:keepNext/>
              <w:rPr>
                <w:rFonts w:ascii="Arial Narrow" w:hAnsi="Arial Narrow"/>
                <w:sz w:val="20"/>
              </w:rPr>
            </w:pPr>
            <w:r w:rsidRPr="00002A62">
              <w:rPr>
                <w:rFonts w:ascii="Arial Narrow" w:hAnsi="Arial Narrow"/>
                <w:smallCaps/>
                <w:sz w:val="20"/>
              </w:rPr>
              <w:t>Tenofovir Alafenamide</w:t>
            </w:r>
          </w:p>
          <w:p w:rsidR="00AD1400" w:rsidRPr="00002A62" w:rsidRDefault="00AD1400" w:rsidP="00576CF0">
            <w:pPr>
              <w:keepNext/>
              <w:rPr>
                <w:rFonts w:ascii="Arial Narrow" w:hAnsi="Arial Narrow"/>
                <w:sz w:val="20"/>
              </w:rPr>
            </w:pPr>
            <w:r w:rsidRPr="00002A62">
              <w:rPr>
                <w:rFonts w:ascii="Arial Narrow" w:hAnsi="Arial Narrow"/>
                <w:sz w:val="20"/>
              </w:rPr>
              <w:t>Tablets, 25mg, 30</w:t>
            </w:r>
          </w:p>
        </w:tc>
        <w:tc>
          <w:tcPr>
            <w:tcW w:w="504" w:type="pct"/>
          </w:tcPr>
          <w:p w:rsidR="00AD1400" w:rsidRPr="00002A62" w:rsidRDefault="00AD1400" w:rsidP="00576CF0">
            <w:pPr>
              <w:keepNext/>
              <w:jc w:val="center"/>
              <w:rPr>
                <w:rFonts w:ascii="Arial Narrow" w:hAnsi="Arial Narrow"/>
                <w:sz w:val="20"/>
              </w:rPr>
            </w:pPr>
          </w:p>
          <w:p w:rsidR="00AD1400" w:rsidRPr="00002A62" w:rsidRDefault="00AD1400" w:rsidP="00A24A57">
            <w:pPr>
              <w:keepNext/>
              <w:rPr>
                <w:rFonts w:ascii="Arial Narrow" w:hAnsi="Arial Narrow"/>
                <w:sz w:val="20"/>
              </w:rPr>
            </w:pPr>
            <w:r w:rsidRPr="00002A62">
              <w:rPr>
                <w:rFonts w:ascii="Arial Narrow" w:hAnsi="Arial Narrow"/>
                <w:sz w:val="20"/>
              </w:rPr>
              <w:t>2</w:t>
            </w:r>
          </w:p>
        </w:tc>
        <w:tc>
          <w:tcPr>
            <w:tcW w:w="955" w:type="pct"/>
          </w:tcPr>
          <w:p w:rsidR="00AD1400" w:rsidRPr="00002A62" w:rsidRDefault="00AD1400" w:rsidP="00576CF0">
            <w:pPr>
              <w:keepNext/>
              <w:jc w:val="center"/>
              <w:rPr>
                <w:rFonts w:ascii="Arial Narrow" w:hAnsi="Arial Narrow"/>
                <w:sz w:val="20"/>
              </w:rPr>
            </w:pPr>
          </w:p>
          <w:p w:rsidR="00AD1400" w:rsidRPr="00002A62" w:rsidRDefault="00AD1400" w:rsidP="00A24A57">
            <w:pPr>
              <w:keepNext/>
              <w:rPr>
                <w:rFonts w:ascii="Arial Narrow" w:hAnsi="Arial Narrow"/>
                <w:sz w:val="20"/>
              </w:rPr>
            </w:pPr>
            <w:r w:rsidRPr="00002A62">
              <w:rPr>
                <w:rFonts w:ascii="Arial Narrow" w:hAnsi="Arial Narrow"/>
                <w:sz w:val="20"/>
              </w:rPr>
              <w:t>5</w:t>
            </w:r>
          </w:p>
          <w:p w:rsidR="00AD1400" w:rsidRPr="00002A62" w:rsidRDefault="00AD1400" w:rsidP="00576CF0">
            <w:pPr>
              <w:keepNext/>
              <w:jc w:val="center"/>
              <w:rPr>
                <w:rFonts w:ascii="Arial Narrow" w:hAnsi="Arial Narrow"/>
                <w:sz w:val="20"/>
              </w:rPr>
            </w:pPr>
          </w:p>
          <w:p w:rsidR="00AD1400" w:rsidRPr="00002A62" w:rsidRDefault="00AD1400" w:rsidP="00576CF0">
            <w:pPr>
              <w:keepNext/>
              <w:jc w:val="center"/>
              <w:rPr>
                <w:rFonts w:ascii="Arial Narrow" w:hAnsi="Arial Narrow"/>
                <w:sz w:val="20"/>
              </w:rPr>
            </w:pPr>
          </w:p>
        </w:tc>
        <w:tc>
          <w:tcPr>
            <w:tcW w:w="928" w:type="pct"/>
          </w:tcPr>
          <w:p w:rsidR="00AD1400" w:rsidRPr="00002A62" w:rsidRDefault="00AD1400" w:rsidP="00576CF0">
            <w:pPr>
              <w:keepNext/>
              <w:jc w:val="center"/>
              <w:rPr>
                <w:rFonts w:ascii="Arial Narrow" w:hAnsi="Arial Narrow"/>
                <w:sz w:val="20"/>
              </w:rPr>
            </w:pPr>
          </w:p>
          <w:p w:rsidR="00AD1400" w:rsidRPr="00002A62" w:rsidRDefault="00AD1400" w:rsidP="00576CF0">
            <w:pPr>
              <w:keepNext/>
              <w:jc w:val="center"/>
              <w:rPr>
                <w:rFonts w:ascii="Arial Narrow" w:hAnsi="Arial Narrow"/>
                <w:sz w:val="20"/>
              </w:rPr>
            </w:pPr>
            <w:r w:rsidRPr="00002A62">
              <w:rPr>
                <w:rFonts w:ascii="Arial Narrow" w:hAnsi="Arial Narrow"/>
                <w:sz w:val="20"/>
              </w:rPr>
              <w:t>Vemlidy</w:t>
            </w:r>
          </w:p>
        </w:tc>
        <w:tc>
          <w:tcPr>
            <w:tcW w:w="761" w:type="pct"/>
          </w:tcPr>
          <w:p w:rsidR="00AD1400" w:rsidRPr="00002A62" w:rsidRDefault="00AD1400" w:rsidP="00576CF0">
            <w:pPr>
              <w:keepNext/>
              <w:jc w:val="center"/>
              <w:rPr>
                <w:rFonts w:ascii="Arial Narrow" w:hAnsi="Arial Narrow"/>
                <w:sz w:val="20"/>
              </w:rPr>
            </w:pPr>
            <w:r w:rsidRPr="00002A62">
              <w:rPr>
                <w:rFonts w:ascii="Arial Narrow" w:hAnsi="Arial Narrow"/>
                <w:sz w:val="20"/>
              </w:rPr>
              <w:t>Gilead Sciences</w:t>
            </w:r>
          </w:p>
        </w:tc>
      </w:tr>
      <w:tr w:rsidR="00AD1400" w:rsidRPr="00002A62" w:rsidTr="00576CF0">
        <w:trPr>
          <w:cantSplit/>
          <w:trHeight w:val="360"/>
        </w:trPr>
        <w:tc>
          <w:tcPr>
            <w:tcW w:w="1201" w:type="pct"/>
            <w:tcBorders>
              <w:top w:val="single" w:sz="4" w:space="0" w:color="auto"/>
              <w:left w:val="single" w:sz="4" w:space="0" w:color="auto"/>
              <w:bottom w:val="single" w:sz="4" w:space="0" w:color="auto"/>
              <w:right w:val="single" w:sz="4" w:space="0" w:color="auto"/>
            </w:tcBorders>
          </w:tcPr>
          <w:p w:rsidR="00AD1400" w:rsidRPr="00002A62" w:rsidRDefault="00AD1400" w:rsidP="00576CF0">
            <w:pPr>
              <w:rPr>
                <w:rFonts w:ascii="Arial Narrow" w:hAnsi="Arial Narrow"/>
                <w:b/>
                <w:sz w:val="20"/>
              </w:rPr>
            </w:pPr>
            <w:r w:rsidRPr="00002A62">
              <w:rPr>
                <w:rFonts w:ascii="Arial Narrow" w:hAnsi="Arial Narrow"/>
                <w:b/>
                <w:sz w:val="20"/>
              </w:rPr>
              <w:t>Category / Program</w:t>
            </w:r>
          </w:p>
        </w:tc>
        <w:tc>
          <w:tcPr>
            <w:tcW w:w="3799" w:type="pct"/>
            <w:gridSpan w:val="5"/>
            <w:tcBorders>
              <w:top w:val="single" w:sz="4" w:space="0" w:color="auto"/>
              <w:left w:val="single" w:sz="4" w:space="0" w:color="auto"/>
              <w:bottom w:val="single" w:sz="4" w:space="0" w:color="auto"/>
              <w:right w:val="single" w:sz="4" w:space="0" w:color="auto"/>
            </w:tcBorders>
          </w:tcPr>
          <w:p w:rsidR="00AD1400" w:rsidRPr="00002A62" w:rsidRDefault="00AD1400" w:rsidP="00576CF0">
            <w:pPr>
              <w:rPr>
                <w:rFonts w:ascii="Arial Narrow" w:hAnsi="Arial Narrow"/>
                <w:sz w:val="20"/>
              </w:rPr>
            </w:pPr>
            <w:r w:rsidRPr="00002A62">
              <w:rPr>
                <w:rFonts w:ascii="Arial Narrow" w:hAnsi="Arial Narrow"/>
                <w:sz w:val="20"/>
              </w:rPr>
              <w:t xml:space="preserve">Section 100 – Highly Specialised Drugs Program – Community Access </w:t>
            </w:r>
          </w:p>
        </w:tc>
      </w:tr>
      <w:tr w:rsidR="00AD1400" w:rsidRPr="00002A62" w:rsidTr="00576CF0">
        <w:trPr>
          <w:cantSplit/>
          <w:trHeight w:val="360"/>
        </w:trPr>
        <w:tc>
          <w:tcPr>
            <w:tcW w:w="1201" w:type="pct"/>
            <w:tcBorders>
              <w:top w:val="single" w:sz="4" w:space="0" w:color="auto"/>
              <w:left w:val="single" w:sz="4" w:space="0" w:color="auto"/>
              <w:bottom w:val="single" w:sz="4" w:space="0" w:color="auto"/>
              <w:right w:val="single" w:sz="4" w:space="0" w:color="auto"/>
            </w:tcBorders>
          </w:tcPr>
          <w:p w:rsidR="00AD1400" w:rsidRPr="00002A62" w:rsidRDefault="00AD1400" w:rsidP="00576CF0">
            <w:pPr>
              <w:rPr>
                <w:rFonts w:ascii="Arial Narrow" w:hAnsi="Arial Narrow"/>
                <w:b/>
                <w:sz w:val="20"/>
              </w:rPr>
            </w:pPr>
            <w:r w:rsidRPr="00002A62">
              <w:rPr>
                <w:rFonts w:ascii="Arial Narrow" w:hAnsi="Arial Narrow"/>
                <w:b/>
                <w:sz w:val="20"/>
              </w:rPr>
              <w:t>Prescriber type:</w:t>
            </w:r>
          </w:p>
        </w:tc>
        <w:tc>
          <w:tcPr>
            <w:tcW w:w="3799" w:type="pct"/>
            <w:gridSpan w:val="5"/>
            <w:tcBorders>
              <w:top w:val="single" w:sz="4" w:space="0" w:color="auto"/>
              <w:left w:val="single" w:sz="4" w:space="0" w:color="auto"/>
              <w:bottom w:val="single" w:sz="4" w:space="0" w:color="auto"/>
              <w:right w:val="single" w:sz="4" w:space="0" w:color="auto"/>
            </w:tcBorders>
          </w:tcPr>
          <w:p w:rsidR="00AD1400" w:rsidRPr="00002A62" w:rsidRDefault="00AD1400" w:rsidP="00576CF0">
            <w:pPr>
              <w:rPr>
                <w:rFonts w:ascii="Arial Narrow" w:hAnsi="Arial Narrow"/>
                <w:sz w:val="20"/>
              </w:rPr>
            </w:pPr>
            <w:r w:rsidRPr="00002A62">
              <w:rPr>
                <w:rFonts w:ascii="Arial Narrow" w:hAnsi="Arial Narrow"/>
                <w:sz w:val="20"/>
              </w:rPr>
              <w:fldChar w:fldCharType="begin">
                <w:ffData>
                  <w:name w:val="Check1"/>
                  <w:enabled/>
                  <w:calcOnExit w:val="0"/>
                  <w:checkBox>
                    <w:sizeAuto/>
                    <w:default w:val="0"/>
                  </w:checkBox>
                </w:ffData>
              </w:fldChar>
            </w:r>
            <w:r w:rsidRPr="00002A62">
              <w:rPr>
                <w:rFonts w:ascii="Arial Narrow" w:hAnsi="Arial Narrow"/>
                <w:sz w:val="20"/>
              </w:rPr>
              <w:instrText xml:space="preserve"> FORMCHECKBOX </w:instrText>
            </w:r>
            <w:r w:rsidR="00507973">
              <w:rPr>
                <w:rFonts w:ascii="Arial Narrow" w:hAnsi="Arial Narrow"/>
                <w:sz w:val="20"/>
              </w:rPr>
            </w:r>
            <w:r w:rsidR="00507973">
              <w:rPr>
                <w:rFonts w:ascii="Arial Narrow" w:hAnsi="Arial Narrow"/>
                <w:sz w:val="20"/>
              </w:rPr>
              <w:fldChar w:fldCharType="separate"/>
            </w:r>
            <w:r w:rsidRPr="00002A62">
              <w:rPr>
                <w:rFonts w:ascii="Arial Narrow" w:hAnsi="Arial Narrow"/>
                <w:sz w:val="20"/>
              </w:rPr>
              <w:fldChar w:fldCharType="end"/>
            </w:r>
            <w:r w:rsidRPr="00002A62">
              <w:rPr>
                <w:rFonts w:ascii="Arial Narrow" w:hAnsi="Arial Narrow"/>
                <w:sz w:val="20"/>
              </w:rPr>
              <w:t xml:space="preserve">Dental  </w:t>
            </w:r>
            <w:r w:rsidRPr="00002A62">
              <w:rPr>
                <w:rFonts w:ascii="Arial Narrow" w:hAnsi="Arial Narrow"/>
                <w:sz w:val="20"/>
              </w:rPr>
              <w:fldChar w:fldCharType="begin">
                <w:ffData>
                  <w:name w:val=""/>
                  <w:enabled/>
                  <w:calcOnExit w:val="0"/>
                  <w:checkBox>
                    <w:sizeAuto/>
                    <w:default w:val="1"/>
                  </w:checkBox>
                </w:ffData>
              </w:fldChar>
            </w:r>
            <w:r w:rsidRPr="00002A62">
              <w:rPr>
                <w:rFonts w:ascii="Arial Narrow" w:hAnsi="Arial Narrow"/>
                <w:sz w:val="20"/>
              </w:rPr>
              <w:instrText xml:space="preserve"> FORMCHECKBOX </w:instrText>
            </w:r>
            <w:r w:rsidR="00507973">
              <w:rPr>
                <w:rFonts w:ascii="Arial Narrow" w:hAnsi="Arial Narrow"/>
                <w:sz w:val="20"/>
              </w:rPr>
            </w:r>
            <w:r w:rsidR="00507973">
              <w:rPr>
                <w:rFonts w:ascii="Arial Narrow" w:hAnsi="Arial Narrow"/>
                <w:sz w:val="20"/>
              </w:rPr>
              <w:fldChar w:fldCharType="separate"/>
            </w:r>
            <w:r w:rsidRPr="00002A62">
              <w:rPr>
                <w:rFonts w:ascii="Arial Narrow" w:hAnsi="Arial Narrow"/>
                <w:sz w:val="20"/>
              </w:rPr>
              <w:fldChar w:fldCharType="end"/>
            </w:r>
            <w:r w:rsidRPr="00002A62">
              <w:rPr>
                <w:rFonts w:ascii="Arial Narrow" w:hAnsi="Arial Narrow"/>
                <w:sz w:val="20"/>
              </w:rPr>
              <w:t xml:space="preserve">Medical Practitioners  </w:t>
            </w:r>
            <w:r w:rsidRPr="00002A62">
              <w:rPr>
                <w:rFonts w:ascii="Arial Narrow" w:hAnsi="Arial Narrow"/>
                <w:sz w:val="20"/>
              </w:rPr>
              <w:fldChar w:fldCharType="begin">
                <w:ffData>
                  <w:name w:val="Check3"/>
                  <w:enabled/>
                  <w:calcOnExit w:val="0"/>
                  <w:checkBox>
                    <w:sizeAuto/>
                    <w:default w:val="0"/>
                  </w:checkBox>
                </w:ffData>
              </w:fldChar>
            </w:r>
            <w:r w:rsidRPr="00002A62">
              <w:rPr>
                <w:rFonts w:ascii="Arial Narrow" w:hAnsi="Arial Narrow"/>
                <w:sz w:val="20"/>
              </w:rPr>
              <w:instrText xml:space="preserve"> FORMCHECKBOX </w:instrText>
            </w:r>
            <w:r w:rsidR="00507973">
              <w:rPr>
                <w:rFonts w:ascii="Arial Narrow" w:hAnsi="Arial Narrow"/>
                <w:sz w:val="20"/>
              </w:rPr>
            </w:r>
            <w:r w:rsidR="00507973">
              <w:rPr>
                <w:rFonts w:ascii="Arial Narrow" w:hAnsi="Arial Narrow"/>
                <w:sz w:val="20"/>
              </w:rPr>
              <w:fldChar w:fldCharType="separate"/>
            </w:r>
            <w:r w:rsidRPr="00002A62">
              <w:rPr>
                <w:rFonts w:ascii="Arial Narrow" w:hAnsi="Arial Narrow"/>
                <w:sz w:val="20"/>
              </w:rPr>
              <w:fldChar w:fldCharType="end"/>
            </w:r>
            <w:r w:rsidRPr="00002A62">
              <w:rPr>
                <w:rFonts w:ascii="Arial Narrow" w:hAnsi="Arial Narrow"/>
                <w:sz w:val="20"/>
              </w:rPr>
              <w:t xml:space="preserve">Nurse practitioners  </w:t>
            </w:r>
            <w:r w:rsidRPr="00002A62">
              <w:rPr>
                <w:rFonts w:ascii="Arial Narrow" w:hAnsi="Arial Narrow"/>
                <w:sz w:val="20"/>
              </w:rPr>
              <w:fldChar w:fldCharType="begin">
                <w:ffData>
                  <w:name w:val=""/>
                  <w:enabled/>
                  <w:calcOnExit w:val="0"/>
                  <w:checkBox>
                    <w:sizeAuto/>
                    <w:default w:val="0"/>
                  </w:checkBox>
                </w:ffData>
              </w:fldChar>
            </w:r>
            <w:r w:rsidRPr="00002A62">
              <w:rPr>
                <w:rFonts w:ascii="Arial Narrow" w:hAnsi="Arial Narrow"/>
                <w:sz w:val="20"/>
              </w:rPr>
              <w:instrText xml:space="preserve"> FORMCHECKBOX </w:instrText>
            </w:r>
            <w:r w:rsidR="00507973">
              <w:rPr>
                <w:rFonts w:ascii="Arial Narrow" w:hAnsi="Arial Narrow"/>
                <w:sz w:val="20"/>
              </w:rPr>
            </w:r>
            <w:r w:rsidR="00507973">
              <w:rPr>
                <w:rFonts w:ascii="Arial Narrow" w:hAnsi="Arial Narrow"/>
                <w:sz w:val="20"/>
              </w:rPr>
              <w:fldChar w:fldCharType="separate"/>
            </w:r>
            <w:r w:rsidRPr="00002A62">
              <w:rPr>
                <w:rFonts w:ascii="Arial Narrow" w:hAnsi="Arial Narrow"/>
                <w:sz w:val="20"/>
              </w:rPr>
              <w:fldChar w:fldCharType="end"/>
            </w:r>
            <w:r w:rsidRPr="00002A62">
              <w:rPr>
                <w:rFonts w:ascii="Arial Narrow" w:hAnsi="Arial Narrow"/>
                <w:sz w:val="20"/>
              </w:rPr>
              <w:t>Optometrists</w:t>
            </w:r>
          </w:p>
          <w:p w:rsidR="00AD1400" w:rsidRPr="00002A62" w:rsidRDefault="00AD1400" w:rsidP="00576CF0">
            <w:pPr>
              <w:rPr>
                <w:rFonts w:ascii="Arial Narrow" w:hAnsi="Arial Narrow"/>
                <w:sz w:val="20"/>
              </w:rPr>
            </w:pPr>
            <w:r w:rsidRPr="00002A62">
              <w:rPr>
                <w:rFonts w:ascii="Arial Narrow" w:hAnsi="Arial Narrow"/>
                <w:sz w:val="20"/>
              </w:rPr>
              <w:fldChar w:fldCharType="begin">
                <w:ffData>
                  <w:name w:val="Check5"/>
                  <w:enabled/>
                  <w:calcOnExit w:val="0"/>
                  <w:checkBox>
                    <w:sizeAuto/>
                    <w:default w:val="0"/>
                  </w:checkBox>
                </w:ffData>
              </w:fldChar>
            </w:r>
            <w:r w:rsidRPr="00002A62">
              <w:rPr>
                <w:rFonts w:ascii="Arial Narrow" w:hAnsi="Arial Narrow"/>
                <w:sz w:val="20"/>
              </w:rPr>
              <w:instrText xml:space="preserve"> FORMCHECKBOX </w:instrText>
            </w:r>
            <w:r w:rsidR="00507973">
              <w:rPr>
                <w:rFonts w:ascii="Arial Narrow" w:hAnsi="Arial Narrow"/>
                <w:sz w:val="20"/>
              </w:rPr>
            </w:r>
            <w:r w:rsidR="00507973">
              <w:rPr>
                <w:rFonts w:ascii="Arial Narrow" w:hAnsi="Arial Narrow"/>
                <w:sz w:val="20"/>
              </w:rPr>
              <w:fldChar w:fldCharType="separate"/>
            </w:r>
            <w:r w:rsidRPr="00002A62">
              <w:rPr>
                <w:rFonts w:ascii="Arial Narrow" w:hAnsi="Arial Narrow"/>
                <w:sz w:val="20"/>
              </w:rPr>
              <w:fldChar w:fldCharType="end"/>
            </w:r>
            <w:r w:rsidRPr="00002A62">
              <w:rPr>
                <w:rFonts w:ascii="Arial Narrow" w:hAnsi="Arial Narrow"/>
                <w:sz w:val="20"/>
              </w:rPr>
              <w:t>Midwives</w:t>
            </w:r>
          </w:p>
        </w:tc>
      </w:tr>
      <w:tr w:rsidR="00AD1400" w:rsidRPr="00002A62" w:rsidTr="00576CF0">
        <w:trPr>
          <w:cantSplit/>
          <w:trHeight w:val="360"/>
        </w:trPr>
        <w:tc>
          <w:tcPr>
            <w:tcW w:w="1201" w:type="pct"/>
            <w:tcBorders>
              <w:top w:val="single" w:sz="4" w:space="0" w:color="auto"/>
              <w:left w:val="single" w:sz="4" w:space="0" w:color="auto"/>
              <w:bottom w:val="single" w:sz="4" w:space="0" w:color="auto"/>
              <w:right w:val="single" w:sz="4" w:space="0" w:color="auto"/>
            </w:tcBorders>
          </w:tcPr>
          <w:p w:rsidR="00AD1400" w:rsidRPr="00002A62" w:rsidRDefault="00AD1400" w:rsidP="00576CF0">
            <w:pPr>
              <w:rPr>
                <w:rFonts w:ascii="Arial Narrow" w:hAnsi="Arial Narrow"/>
                <w:i/>
                <w:sz w:val="20"/>
              </w:rPr>
            </w:pPr>
            <w:r w:rsidRPr="00002A62">
              <w:rPr>
                <w:rFonts w:ascii="Arial Narrow" w:hAnsi="Arial Narrow"/>
                <w:b/>
                <w:sz w:val="20"/>
              </w:rPr>
              <w:t>PBS Indication:</w:t>
            </w:r>
          </w:p>
        </w:tc>
        <w:tc>
          <w:tcPr>
            <w:tcW w:w="3799" w:type="pct"/>
            <w:gridSpan w:val="5"/>
            <w:tcBorders>
              <w:top w:val="single" w:sz="4" w:space="0" w:color="auto"/>
              <w:left w:val="single" w:sz="4" w:space="0" w:color="auto"/>
              <w:bottom w:val="single" w:sz="4" w:space="0" w:color="auto"/>
              <w:right w:val="single" w:sz="4" w:space="0" w:color="auto"/>
            </w:tcBorders>
          </w:tcPr>
          <w:p w:rsidR="00AD1400" w:rsidRPr="00002A62" w:rsidRDefault="00AD1400" w:rsidP="00576CF0">
            <w:pPr>
              <w:rPr>
                <w:rFonts w:ascii="Arial Narrow" w:hAnsi="Arial Narrow"/>
                <w:sz w:val="20"/>
              </w:rPr>
            </w:pPr>
            <w:r w:rsidRPr="00002A62">
              <w:rPr>
                <w:rFonts w:ascii="Arial Narrow" w:hAnsi="Arial Narrow"/>
                <w:sz w:val="20"/>
              </w:rPr>
              <w:t>Chronic hepatitis B infection</w:t>
            </w:r>
          </w:p>
        </w:tc>
      </w:tr>
      <w:tr w:rsidR="00AD1400" w:rsidRPr="00002A62" w:rsidTr="00576CF0">
        <w:trPr>
          <w:cantSplit/>
          <w:trHeight w:val="311"/>
        </w:trPr>
        <w:tc>
          <w:tcPr>
            <w:tcW w:w="1201" w:type="pct"/>
            <w:tcBorders>
              <w:top w:val="single" w:sz="4" w:space="0" w:color="auto"/>
              <w:left w:val="single" w:sz="4" w:space="0" w:color="auto"/>
              <w:bottom w:val="single" w:sz="4" w:space="0" w:color="auto"/>
              <w:right w:val="single" w:sz="4" w:space="0" w:color="auto"/>
            </w:tcBorders>
          </w:tcPr>
          <w:p w:rsidR="00AD1400" w:rsidRPr="00002A62" w:rsidRDefault="00AD1400" w:rsidP="00576CF0">
            <w:pPr>
              <w:rPr>
                <w:rFonts w:ascii="Arial Narrow" w:hAnsi="Arial Narrow"/>
                <w:i/>
                <w:sz w:val="20"/>
              </w:rPr>
            </w:pPr>
            <w:r w:rsidRPr="00002A62">
              <w:rPr>
                <w:rFonts w:ascii="Arial Narrow" w:hAnsi="Arial Narrow"/>
                <w:b/>
                <w:sz w:val="20"/>
              </w:rPr>
              <w:t>Restriction Level / Method:</w:t>
            </w:r>
          </w:p>
        </w:tc>
        <w:tc>
          <w:tcPr>
            <w:tcW w:w="3799" w:type="pct"/>
            <w:gridSpan w:val="5"/>
            <w:tcBorders>
              <w:top w:val="single" w:sz="4" w:space="0" w:color="auto"/>
              <w:left w:val="single" w:sz="4" w:space="0" w:color="auto"/>
              <w:bottom w:val="single" w:sz="4" w:space="0" w:color="auto"/>
              <w:right w:val="single" w:sz="4" w:space="0" w:color="auto"/>
            </w:tcBorders>
          </w:tcPr>
          <w:p w:rsidR="00AD1400" w:rsidRPr="00002A62" w:rsidRDefault="00AD1400" w:rsidP="00576CF0">
            <w:pPr>
              <w:rPr>
                <w:rFonts w:ascii="Arial Narrow" w:hAnsi="Arial Narrow"/>
                <w:sz w:val="20"/>
              </w:rPr>
            </w:pPr>
            <w:r w:rsidRPr="00002A62">
              <w:rPr>
                <w:rFonts w:ascii="Arial Narrow" w:hAnsi="Arial Narrow"/>
                <w:sz w:val="20"/>
              </w:rPr>
              <w:fldChar w:fldCharType="begin">
                <w:ffData>
                  <w:name w:val=""/>
                  <w:enabled/>
                  <w:calcOnExit w:val="0"/>
                  <w:checkBox>
                    <w:sizeAuto/>
                    <w:default w:val="1"/>
                  </w:checkBox>
                </w:ffData>
              </w:fldChar>
            </w:r>
            <w:r w:rsidRPr="00002A62">
              <w:rPr>
                <w:rFonts w:ascii="Arial Narrow" w:hAnsi="Arial Narrow"/>
                <w:sz w:val="20"/>
              </w:rPr>
              <w:instrText xml:space="preserve"> FORMCHECKBOX </w:instrText>
            </w:r>
            <w:r w:rsidR="00507973">
              <w:rPr>
                <w:rFonts w:ascii="Arial Narrow" w:hAnsi="Arial Narrow"/>
                <w:sz w:val="20"/>
              </w:rPr>
            </w:r>
            <w:r w:rsidR="00507973">
              <w:rPr>
                <w:rFonts w:ascii="Arial Narrow" w:hAnsi="Arial Narrow"/>
                <w:sz w:val="20"/>
              </w:rPr>
              <w:fldChar w:fldCharType="separate"/>
            </w:r>
            <w:r w:rsidRPr="00002A62">
              <w:rPr>
                <w:rFonts w:ascii="Arial Narrow" w:hAnsi="Arial Narrow"/>
                <w:sz w:val="20"/>
              </w:rPr>
              <w:fldChar w:fldCharType="end"/>
            </w:r>
            <w:r w:rsidRPr="00002A62">
              <w:rPr>
                <w:rFonts w:ascii="Arial Narrow" w:hAnsi="Arial Narrow"/>
                <w:sz w:val="20"/>
              </w:rPr>
              <w:t>Authority Required (STREAMLINED)</w:t>
            </w:r>
          </w:p>
        </w:tc>
      </w:tr>
      <w:tr w:rsidR="00AD1400" w:rsidRPr="00002A62" w:rsidTr="00576CF0">
        <w:trPr>
          <w:cantSplit/>
          <w:trHeight w:val="360"/>
        </w:trPr>
        <w:tc>
          <w:tcPr>
            <w:tcW w:w="1201" w:type="pct"/>
            <w:tcBorders>
              <w:top w:val="single" w:sz="4" w:space="0" w:color="auto"/>
              <w:left w:val="single" w:sz="4" w:space="0" w:color="auto"/>
              <w:bottom w:val="single" w:sz="4" w:space="0" w:color="auto"/>
              <w:right w:val="single" w:sz="4" w:space="0" w:color="auto"/>
            </w:tcBorders>
          </w:tcPr>
          <w:p w:rsidR="00AD1400" w:rsidRPr="00002A62" w:rsidRDefault="00AD1400" w:rsidP="00576CF0">
            <w:pPr>
              <w:rPr>
                <w:rFonts w:ascii="Arial Narrow" w:hAnsi="Arial Narrow"/>
                <w:sz w:val="20"/>
              </w:rPr>
            </w:pPr>
            <w:r w:rsidRPr="00002A62">
              <w:rPr>
                <w:rFonts w:ascii="Arial Narrow" w:hAnsi="Arial Narrow"/>
                <w:b/>
                <w:sz w:val="20"/>
              </w:rPr>
              <w:t>Clinical criteria:</w:t>
            </w:r>
            <w:r w:rsidRPr="00002A62">
              <w:rPr>
                <w:rFonts w:ascii="Arial Narrow" w:hAnsi="Arial Narrow"/>
                <w:sz w:val="20"/>
              </w:rPr>
              <w:t xml:space="preserve"> </w:t>
            </w:r>
          </w:p>
        </w:tc>
        <w:tc>
          <w:tcPr>
            <w:tcW w:w="3799" w:type="pct"/>
            <w:gridSpan w:val="5"/>
            <w:tcBorders>
              <w:top w:val="single" w:sz="4" w:space="0" w:color="auto"/>
              <w:left w:val="single" w:sz="4" w:space="0" w:color="auto"/>
              <w:bottom w:val="single" w:sz="4" w:space="0" w:color="auto"/>
              <w:right w:val="single" w:sz="4" w:space="0" w:color="auto"/>
            </w:tcBorders>
          </w:tcPr>
          <w:p w:rsidR="00AD1400" w:rsidRPr="00002A62" w:rsidRDefault="00AD1400" w:rsidP="00576CF0">
            <w:pPr>
              <w:rPr>
                <w:rFonts w:ascii="Arial Narrow" w:hAnsi="Arial Narrow"/>
                <w:sz w:val="20"/>
              </w:rPr>
            </w:pPr>
            <w:r w:rsidRPr="00002A62">
              <w:rPr>
                <w:rFonts w:ascii="Arial Narrow" w:hAnsi="Arial Narrow"/>
                <w:sz w:val="20"/>
              </w:rPr>
              <w:t xml:space="preserve">Patient must have </w:t>
            </w:r>
            <w:r w:rsidRPr="00002A62">
              <w:rPr>
                <w:rFonts w:ascii="Arial Narrow" w:hAnsi="Arial Narrow"/>
                <w:b/>
                <w:bCs/>
                <w:sz w:val="20"/>
              </w:rPr>
              <w:t>cirrhosis</w:t>
            </w:r>
            <w:r w:rsidRPr="00002A62">
              <w:rPr>
                <w:rFonts w:ascii="Arial Narrow" w:hAnsi="Arial Narrow"/>
                <w:sz w:val="20"/>
              </w:rPr>
              <w:t>,</w:t>
            </w:r>
          </w:p>
          <w:p w:rsidR="00AD1400" w:rsidRPr="00002A62" w:rsidRDefault="00AD1400" w:rsidP="00576CF0">
            <w:pPr>
              <w:rPr>
                <w:rFonts w:ascii="Arial Narrow" w:hAnsi="Arial Narrow"/>
                <w:sz w:val="20"/>
              </w:rPr>
            </w:pPr>
            <w:r w:rsidRPr="00002A62">
              <w:rPr>
                <w:rFonts w:ascii="Arial Narrow" w:hAnsi="Arial Narrow"/>
                <w:sz w:val="20"/>
              </w:rPr>
              <w:t>AND</w:t>
            </w:r>
          </w:p>
          <w:p w:rsidR="00AD1400" w:rsidRPr="00002A62" w:rsidRDefault="00AD1400" w:rsidP="00576CF0">
            <w:pPr>
              <w:rPr>
                <w:rFonts w:ascii="Arial Narrow" w:hAnsi="Arial Narrow"/>
                <w:sz w:val="20"/>
              </w:rPr>
            </w:pPr>
            <w:r w:rsidRPr="00002A62">
              <w:rPr>
                <w:rFonts w:ascii="Arial Narrow" w:hAnsi="Arial Narrow"/>
                <w:sz w:val="20"/>
              </w:rPr>
              <w:t xml:space="preserve">Patient must be </w:t>
            </w:r>
            <w:r w:rsidRPr="00002A62">
              <w:rPr>
                <w:rFonts w:ascii="Arial Narrow" w:hAnsi="Arial Narrow"/>
                <w:b/>
                <w:bCs/>
                <w:sz w:val="20"/>
              </w:rPr>
              <w:t>nucleoside analogue naive</w:t>
            </w:r>
            <w:r w:rsidRPr="00002A62">
              <w:rPr>
                <w:rFonts w:ascii="Arial Narrow" w:hAnsi="Arial Narrow"/>
                <w:sz w:val="20"/>
              </w:rPr>
              <w:t>,</w:t>
            </w:r>
          </w:p>
          <w:p w:rsidR="00AD1400" w:rsidRPr="00002A62" w:rsidRDefault="00AD1400" w:rsidP="00576CF0">
            <w:pPr>
              <w:rPr>
                <w:rFonts w:ascii="Arial Narrow" w:hAnsi="Arial Narrow"/>
                <w:sz w:val="20"/>
              </w:rPr>
            </w:pPr>
            <w:r w:rsidRPr="00002A62">
              <w:rPr>
                <w:rFonts w:ascii="Arial Narrow" w:hAnsi="Arial Narrow"/>
                <w:sz w:val="20"/>
              </w:rPr>
              <w:t>AND</w:t>
            </w:r>
          </w:p>
          <w:p w:rsidR="00AD1400" w:rsidRPr="00002A62" w:rsidRDefault="00AD1400" w:rsidP="00576CF0">
            <w:pPr>
              <w:rPr>
                <w:rFonts w:ascii="Arial Narrow" w:hAnsi="Arial Narrow"/>
                <w:sz w:val="20"/>
              </w:rPr>
            </w:pPr>
            <w:r w:rsidRPr="00002A62">
              <w:rPr>
                <w:rFonts w:ascii="Arial Narrow" w:hAnsi="Arial Narrow"/>
                <w:sz w:val="20"/>
              </w:rPr>
              <w:t>Patient must have detectable HBV DNA,</w:t>
            </w:r>
          </w:p>
          <w:p w:rsidR="00AD1400" w:rsidRPr="00002A62" w:rsidRDefault="00AD1400" w:rsidP="00576CF0">
            <w:pPr>
              <w:rPr>
                <w:rFonts w:ascii="Arial Narrow" w:hAnsi="Arial Narrow"/>
                <w:sz w:val="20"/>
              </w:rPr>
            </w:pPr>
            <w:r w:rsidRPr="00002A62">
              <w:rPr>
                <w:rFonts w:ascii="Arial Narrow" w:hAnsi="Arial Narrow"/>
                <w:sz w:val="20"/>
              </w:rPr>
              <w:t>AND</w:t>
            </w:r>
          </w:p>
          <w:p w:rsidR="00AD1400" w:rsidRPr="00002A62" w:rsidRDefault="00AD1400" w:rsidP="00576CF0">
            <w:pPr>
              <w:rPr>
                <w:rFonts w:ascii="Arial Narrow" w:hAnsi="Arial Narrow"/>
                <w:sz w:val="20"/>
              </w:rPr>
            </w:pPr>
            <w:r w:rsidRPr="00002A62">
              <w:rPr>
                <w:rFonts w:ascii="Arial Narrow" w:hAnsi="Arial Narrow"/>
                <w:sz w:val="20"/>
              </w:rPr>
              <w:t>The treatment must be the sole PBS-subsidised therapy for this condition.</w:t>
            </w:r>
          </w:p>
        </w:tc>
      </w:tr>
      <w:tr w:rsidR="00AD1400" w:rsidRPr="00002A62" w:rsidTr="00576CF0">
        <w:trPr>
          <w:cantSplit/>
          <w:trHeight w:val="360"/>
        </w:trPr>
        <w:tc>
          <w:tcPr>
            <w:tcW w:w="1201" w:type="pct"/>
            <w:tcBorders>
              <w:top w:val="single" w:sz="4" w:space="0" w:color="auto"/>
              <w:left w:val="single" w:sz="4" w:space="0" w:color="auto"/>
              <w:bottom w:val="single" w:sz="4" w:space="0" w:color="auto"/>
              <w:right w:val="single" w:sz="4" w:space="0" w:color="auto"/>
            </w:tcBorders>
          </w:tcPr>
          <w:p w:rsidR="00AD1400" w:rsidRPr="00002A62" w:rsidRDefault="00AD1400" w:rsidP="00576CF0">
            <w:pPr>
              <w:rPr>
                <w:rFonts w:ascii="Arial Narrow" w:hAnsi="Arial Narrow"/>
                <w:sz w:val="20"/>
              </w:rPr>
            </w:pPr>
            <w:r w:rsidRPr="00002A62">
              <w:rPr>
                <w:rFonts w:ascii="Arial Narrow" w:hAnsi="Arial Narrow"/>
                <w:b/>
                <w:sz w:val="20"/>
              </w:rPr>
              <w:t>Prescriber Instructions</w:t>
            </w:r>
          </w:p>
        </w:tc>
        <w:tc>
          <w:tcPr>
            <w:tcW w:w="3799" w:type="pct"/>
            <w:gridSpan w:val="5"/>
            <w:tcBorders>
              <w:top w:val="single" w:sz="4" w:space="0" w:color="auto"/>
              <w:left w:val="single" w:sz="4" w:space="0" w:color="auto"/>
              <w:bottom w:val="single" w:sz="4" w:space="0" w:color="auto"/>
              <w:right w:val="single" w:sz="4" w:space="0" w:color="auto"/>
            </w:tcBorders>
          </w:tcPr>
          <w:p w:rsidR="00AD1400" w:rsidRPr="00002A62" w:rsidRDefault="00AD1400" w:rsidP="00576CF0">
            <w:pPr>
              <w:rPr>
                <w:rFonts w:ascii="Arial Narrow" w:hAnsi="Arial Narrow"/>
                <w:sz w:val="20"/>
              </w:rPr>
            </w:pPr>
            <w:r w:rsidRPr="00002A62">
              <w:rPr>
                <w:rFonts w:ascii="Arial Narrow" w:hAnsi="Arial Narrow"/>
                <w:sz w:val="20"/>
              </w:rPr>
              <w:t>Patients with Child's class B or C cirrhosis (ascites, variceal bleeding, encephalopathy, albumin less than 30 g per L, bilirubin greater than 30 micromoles per L) should have their treatment discussed with a transplant unit prior to initiating therapy.</w:t>
            </w:r>
          </w:p>
        </w:tc>
      </w:tr>
      <w:tr w:rsidR="00AD1400" w:rsidRPr="00002A62" w:rsidTr="00576CF0">
        <w:trPr>
          <w:cantSplit/>
          <w:trHeight w:val="360"/>
        </w:trPr>
        <w:tc>
          <w:tcPr>
            <w:tcW w:w="1201" w:type="pct"/>
            <w:tcBorders>
              <w:top w:val="single" w:sz="4" w:space="0" w:color="auto"/>
              <w:left w:val="single" w:sz="4" w:space="0" w:color="auto"/>
              <w:bottom w:val="single" w:sz="4" w:space="0" w:color="auto"/>
              <w:right w:val="single" w:sz="4" w:space="0" w:color="auto"/>
            </w:tcBorders>
          </w:tcPr>
          <w:p w:rsidR="00AD1400" w:rsidRPr="00002A62" w:rsidRDefault="00AD1400" w:rsidP="00576CF0">
            <w:pPr>
              <w:rPr>
                <w:rFonts w:ascii="Arial Narrow" w:hAnsi="Arial Narrow"/>
                <w:i/>
                <w:sz w:val="20"/>
              </w:rPr>
            </w:pPr>
            <w:r w:rsidRPr="00002A62">
              <w:rPr>
                <w:rFonts w:ascii="Arial Narrow" w:hAnsi="Arial Narrow"/>
                <w:b/>
                <w:sz w:val="20"/>
              </w:rPr>
              <w:t>Administrative Advice</w:t>
            </w:r>
          </w:p>
        </w:tc>
        <w:tc>
          <w:tcPr>
            <w:tcW w:w="3799" w:type="pct"/>
            <w:gridSpan w:val="5"/>
            <w:tcBorders>
              <w:top w:val="single" w:sz="4" w:space="0" w:color="auto"/>
              <w:left w:val="single" w:sz="4" w:space="0" w:color="auto"/>
              <w:bottom w:val="single" w:sz="4" w:space="0" w:color="auto"/>
              <w:right w:val="single" w:sz="4" w:space="0" w:color="auto"/>
            </w:tcBorders>
          </w:tcPr>
          <w:p w:rsidR="00AD1400" w:rsidRPr="00002A62" w:rsidRDefault="00AD1400" w:rsidP="00576CF0">
            <w:pPr>
              <w:rPr>
                <w:rFonts w:ascii="Arial Narrow" w:hAnsi="Arial Narrow"/>
                <w:sz w:val="20"/>
              </w:rPr>
            </w:pPr>
            <w:r w:rsidRPr="00002A62">
              <w:rPr>
                <w:rFonts w:ascii="Arial Narrow" w:hAnsi="Arial Narrow"/>
                <w:sz w:val="20"/>
              </w:rPr>
              <w:t>Patients may receive treatment in combination with lamivudine but not with other PBS-subsidised antihepadnaviral therapy.</w:t>
            </w:r>
          </w:p>
        </w:tc>
      </w:tr>
    </w:tbl>
    <w:p w:rsidR="00AD1400" w:rsidRPr="00002A62" w:rsidRDefault="00AD1400" w:rsidP="00AD1400">
      <w:pPr>
        <w:pStyle w:val="CaptionFootnote"/>
        <w:rPr>
          <w:rFonts w:ascii="Arial Narrow" w:hAnsi="Arial Narrow"/>
          <w:sz w:val="20"/>
          <w:szCs w:val="20"/>
        </w:rPr>
      </w:pP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1"/>
        <w:gridCol w:w="6324"/>
      </w:tblGrid>
      <w:tr w:rsidR="00AD1400" w:rsidRPr="00002A62" w:rsidTr="00576CF0">
        <w:trPr>
          <w:cantSplit/>
        </w:trPr>
        <w:tc>
          <w:tcPr>
            <w:tcW w:w="1247" w:type="pct"/>
            <w:tcMar>
              <w:top w:w="0" w:type="dxa"/>
              <w:left w:w="108" w:type="dxa"/>
              <w:bottom w:w="0" w:type="dxa"/>
              <w:right w:w="108" w:type="dxa"/>
            </w:tcMar>
            <w:hideMark/>
          </w:tcPr>
          <w:p w:rsidR="00AD1400" w:rsidRPr="00002A62" w:rsidRDefault="00AD1400" w:rsidP="00576CF0">
            <w:pPr>
              <w:pStyle w:val="Table"/>
              <w:rPr>
                <w:rStyle w:val="SmallBold"/>
                <w:rFonts w:ascii="Arial Narrow" w:hAnsi="Arial Narrow"/>
                <w:szCs w:val="20"/>
              </w:rPr>
            </w:pPr>
            <w:r w:rsidRPr="00002A62">
              <w:rPr>
                <w:rStyle w:val="SmallBold"/>
                <w:rFonts w:ascii="Arial Narrow" w:hAnsi="Arial Narrow"/>
                <w:szCs w:val="20"/>
              </w:rPr>
              <w:t>Category / Program</w:t>
            </w:r>
          </w:p>
        </w:tc>
        <w:tc>
          <w:tcPr>
            <w:tcW w:w="3753" w:type="pct"/>
            <w:tcMar>
              <w:top w:w="0" w:type="dxa"/>
              <w:left w:w="108" w:type="dxa"/>
              <w:bottom w:w="0" w:type="dxa"/>
              <w:right w:w="108" w:type="dxa"/>
            </w:tcMar>
          </w:tcPr>
          <w:p w:rsidR="00AD1400" w:rsidRPr="00002A62" w:rsidRDefault="00AD1400" w:rsidP="00576CF0">
            <w:pPr>
              <w:pStyle w:val="Table"/>
              <w:rPr>
                <w:rFonts w:ascii="Arial Narrow" w:hAnsi="Arial Narrow"/>
                <w:szCs w:val="20"/>
              </w:rPr>
            </w:pPr>
            <w:r w:rsidRPr="00002A62">
              <w:rPr>
                <w:rFonts w:ascii="Arial Narrow" w:hAnsi="Arial Narrow"/>
                <w:szCs w:val="20"/>
              </w:rPr>
              <w:t>Section 100 (Highly Specialised Drug) Community Access</w:t>
            </w:r>
          </w:p>
        </w:tc>
      </w:tr>
      <w:tr w:rsidR="00AD1400" w:rsidRPr="00002A62" w:rsidTr="00576CF0">
        <w:trPr>
          <w:cantSplit/>
        </w:trPr>
        <w:tc>
          <w:tcPr>
            <w:tcW w:w="1247" w:type="pct"/>
            <w:tcMar>
              <w:top w:w="0" w:type="dxa"/>
              <w:left w:w="108" w:type="dxa"/>
              <w:bottom w:w="0" w:type="dxa"/>
              <w:right w:w="108" w:type="dxa"/>
            </w:tcMar>
            <w:hideMark/>
          </w:tcPr>
          <w:p w:rsidR="00AD1400" w:rsidRPr="00002A62" w:rsidRDefault="00AD1400" w:rsidP="00576CF0">
            <w:pPr>
              <w:pStyle w:val="Table"/>
              <w:rPr>
                <w:rStyle w:val="SmallBold"/>
                <w:rFonts w:ascii="Arial Narrow" w:hAnsi="Arial Narrow"/>
                <w:szCs w:val="20"/>
              </w:rPr>
            </w:pPr>
            <w:r w:rsidRPr="00002A62">
              <w:rPr>
                <w:rStyle w:val="SmallBold"/>
                <w:rFonts w:ascii="Arial Narrow" w:hAnsi="Arial Narrow"/>
                <w:szCs w:val="20"/>
              </w:rPr>
              <w:t>Prescriber type:</w:t>
            </w:r>
          </w:p>
        </w:tc>
        <w:tc>
          <w:tcPr>
            <w:tcW w:w="3753" w:type="pct"/>
            <w:tcMar>
              <w:top w:w="0" w:type="dxa"/>
              <w:left w:w="108" w:type="dxa"/>
              <w:bottom w:w="0" w:type="dxa"/>
              <w:right w:w="108" w:type="dxa"/>
            </w:tcMar>
          </w:tcPr>
          <w:p w:rsidR="00AD1400" w:rsidRPr="00002A62" w:rsidRDefault="00AD1400" w:rsidP="00576CF0">
            <w:pPr>
              <w:rPr>
                <w:rFonts w:ascii="Arial Narrow" w:hAnsi="Arial Narrow"/>
                <w:sz w:val="20"/>
              </w:rPr>
            </w:pPr>
            <w:r w:rsidRPr="00002A62">
              <w:rPr>
                <w:rFonts w:ascii="Arial Narrow" w:hAnsi="Arial Narrow"/>
                <w:sz w:val="20"/>
              </w:rPr>
              <w:fldChar w:fldCharType="begin">
                <w:ffData>
                  <w:name w:val="Check1"/>
                  <w:enabled/>
                  <w:calcOnExit w:val="0"/>
                  <w:checkBox>
                    <w:sizeAuto/>
                    <w:default w:val="0"/>
                  </w:checkBox>
                </w:ffData>
              </w:fldChar>
            </w:r>
            <w:r w:rsidRPr="00002A62">
              <w:rPr>
                <w:rFonts w:ascii="Arial Narrow" w:hAnsi="Arial Narrow"/>
                <w:sz w:val="20"/>
              </w:rPr>
              <w:instrText xml:space="preserve"> FORMCHECKBOX </w:instrText>
            </w:r>
            <w:r w:rsidR="00507973">
              <w:rPr>
                <w:rFonts w:ascii="Arial Narrow" w:hAnsi="Arial Narrow"/>
                <w:sz w:val="20"/>
              </w:rPr>
            </w:r>
            <w:r w:rsidR="00507973">
              <w:rPr>
                <w:rFonts w:ascii="Arial Narrow" w:hAnsi="Arial Narrow"/>
                <w:sz w:val="20"/>
              </w:rPr>
              <w:fldChar w:fldCharType="separate"/>
            </w:r>
            <w:r w:rsidRPr="00002A62">
              <w:rPr>
                <w:rFonts w:ascii="Arial Narrow" w:hAnsi="Arial Narrow"/>
                <w:sz w:val="20"/>
              </w:rPr>
              <w:fldChar w:fldCharType="end"/>
            </w:r>
            <w:r w:rsidRPr="00002A62">
              <w:rPr>
                <w:rFonts w:ascii="Arial Narrow" w:hAnsi="Arial Narrow"/>
                <w:sz w:val="20"/>
              </w:rPr>
              <w:t xml:space="preserve">Dental  </w:t>
            </w:r>
            <w:r w:rsidRPr="00002A62">
              <w:rPr>
                <w:rFonts w:ascii="Arial Narrow" w:hAnsi="Arial Narrow"/>
                <w:sz w:val="20"/>
              </w:rPr>
              <w:fldChar w:fldCharType="begin">
                <w:ffData>
                  <w:name w:val=""/>
                  <w:enabled/>
                  <w:calcOnExit w:val="0"/>
                  <w:checkBox>
                    <w:sizeAuto/>
                    <w:default w:val="1"/>
                  </w:checkBox>
                </w:ffData>
              </w:fldChar>
            </w:r>
            <w:r w:rsidRPr="00002A62">
              <w:rPr>
                <w:rFonts w:ascii="Arial Narrow" w:hAnsi="Arial Narrow"/>
                <w:sz w:val="20"/>
              </w:rPr>
              <w:instrText xml:space="preserve"> FORMCHECKBOX </w:instrText>
            </w:r>
            <w:r w:rsidR="00507973">
              <w:rPr>
                <w:rFonts w:ascii="Arial Narrow" w:hAnsi="Arial Narrow"/>
                <w:sz w:val="20"/>
              </w:rPr>
            </w:r>
            <w:r w:rsidR="00507973">
              <w:rPr>
                <w:rFonts w:ascii="Arial Narrow" w:hAnsi="Arial Narrow"/>
                <w:sz w:val="20"/>
              </w:rPr>
              <w:fldChar w:fldCharType="separate"/>
            </w:r>
            <w:r w:rsidRPr="00002A62">
              <w:rPr>
                <w:rFonts w:ascii="Arial Narrow" w:hAnsi="Arial Narrow"/>
                <w:sz w:val="20"/>
              </w:rPr>
              <w:fldChar w:fldCharType="end"/>
            </w:r>
            <w:r w:rsidRPr="00002A62">
              <w:rPr>
                <w:rFonts w:ascii="Arial Narrow" w:hAnsi="Arial Narrow"/>
                <w:sz w:val="20"/>
              </w:rPr>
              <w:t xml:space="preserve">Medical Practitioners  </w:t>
            </w:r>
            <w:r w:rsidRPr="00002A62">
              <w:rPr>
                <w:rFonts w:ascii="Arial Narrow" w:hAnsi="Arial Narrow"/>
                <w:sz w:val="20"/>
              </w:rPr>
              <w:fldChar w:fldCharType="begin">
                <w:ffData>
                  <w:name w:val="Check3"/>
                  <w:enabled/>
                  <w:calcOnExit w:val="0"/>
                  <w:checkBox>
                    <w:sizeAuto/>
                    <w:default w:val="0"/>
                  </w:checkBox>
                </w:ffData>
              </w:fldChar>
            </w:r>
            <w:r w:rsidRPr="00002A62">
              <w:rPr>
                <w:rFonts w:ascii="Arial Narrow" w:hAnsi="Arial Narrow"/>
                <w:sz w:val="20"/>
              </w:rPr>
              <w:instrText xml:space="preserve"> FORMCHECKBOX </w:instrText>
            </w:r>
            <w:r w:rsidR="00507973">
              <w:rPr>
                <w:rFonts w:ascii="Arial Narrow" w:hAnsi="Arial Narrow"/>
                <w:sz w:val="20"/>
              </w:rPr>
            </w:r>
            <w:r w:rsidR="00507973">
              <w:rPr>
                <w:rFonts w:ascii="Arial Narrow" w:hAnsi="Arial Narrow"/>
                <w:sz w:val="20"/>
              </w:rPr>
              <w:fldChar w:fldCharType="separate"/>
            </w:r>
            <w:r w:rsidRPr="00002A62">
              <w:rPr>
                <w:rFonts w:ascii="Arial Narrow" w:hAnsi="Arial Narrow"/>
                <w:sz w:val="20"/>
              </w:rPr>
              <w:fldChar w:fldCharType="end"/>
            </w:r>
            <w:r w:rsidRPr="00002A62">
              <w:rPr>
                <w:rFonts w:ascii="Arial Narrow" w:hAnsi="Arial Narrow"/>
                <w:sz w:val="20"/>
              </w:rPr>
              <w:t xml:space="preserve">Nurse practitioners  </w:t>
            </w:r>
            <w:r w:rsidRPr="00002A62">
              <w:rPr>
                <w:rFonts w:ascii="Arial Narrow" w:hAnsi="Arial Narrow"/>
                <w:sz w:val="20"/>
              </w:rPr>
              <w:fldChar w:fldCharType="begin">
                <w:ffData>
                  <w:name w:val=""/>
                  <w:enabled/>
                  <w:calcOnExit w:val="0"/>
                  <w:checkBox>
                    <w:sizeAuto/>
                    <w:default w:val="0"/>
                  </w:checkBox>
                </w:ffData>
              </w:fldChar>
            </w:r>
            <w:r w:rsidRPr="00002A62">
              <w:rPr>
                <w:rFonts w:ascii="Arial Narrow" w:hAnsi="Arial Narrow"/>
                <w:sz w:val="20"/>
              </w:rPr>
              <w:instrText xml:space="preserve"> FORMCHECKBOX </w:instrText>
            </w:r>
            <w:r w:rsidR="00507973">
              <w:rPr>
                <w:rFonts w:ascii="Arial Narrow" w:hAnsi="Arial Narrow"/>
                <w:sz w:val="20"/>
              </w:rPr>
            </w:r>
            <w:r w:rsidR="00507973">
              <w:rPr>
                <w:rFonts w:ascii="Arial Narrow" w:hAnsi="Arial Narrow"/>
                <w:sz w:val="20"/>
              </w:rPr>
              <w:fldChar w:fldCharType="separate"/>
            </w:r>
            <w:r w:rsidRPr="00002A62">
              <w:rPr>
                <w:rFonts w:ascii="Arial Narrow" w:hAnsi="Arial Narrow"/>
                <w:sz w:val="20"/>
              </w:rPr>
              <w:fldChar w:fldCharType="end"/>
            </w:r>
            <w:r w:rsidRPr="00002A62">
              <w:rPr>
                <w:rFonts w:ascii="Arial Narrow" w:hAnsi="Arial Narrow"/>
                <w:sz w:val="20"/>
              </w:rPr>
              <w:t>Optometrists</w:t>
            </w:r>
          </w:p>
          <w:p w:rsidR="00AD1400" w:rsidRPr="00002A62" w:rsidRDefault="00AD1400" w:rsidP="00576CF0">
            <w:pPr>
              <w:pStyle w:val="Table"/>
              <w:rPr>
                <w:rFonts w:ascii="Arial Narrow" w:hAnsi="Arial Narrow"/>
                <w:szCs w:val="20"/>
              </w:rPr>
            </w:pPr>
            <w:r w:rsidRPr="00002A62">
              <w:rPr>
                <w:rFonts w:ascii="Arial Narrow" w:hAnsi="Arial Narrow" w:cs="Arial"/>
                <w:szCs w:val="20"/>
              </w:rPr>
              <w:fldChar w:fldCharType="begin">
                <w:ffData>
                  <w:name w:val="Check5"/>
                  <w:enabled/>
                  <w:calcOnExit w:val="0"/>
                  <w:checkBox>
                    <w:sizeAuto/>
                    <w:default w:val="0"/>
                  </w:checkBox>
                </w:ffData>
              </w:fldChar>
            </w:r>
            <w:r w:rsidRPr="00002A62">
              <w:rPr>
                <w:rFonts w:ascii="Arial Narrow" w:hAnsi="Arial Narrow" w:cs="Arial"/>
                <w:szCs w:val="20"/>
              </w:rPr>
              <w:instrText xml:space="preserve"> FORMCHECKBOX </w:instrText>
            </w:r>
            <w:r w:rsidR="00507973">
              <w:rPr>
                <w:rFonts w:ascii="Arial Narrow" w:hAnsi="Arial Narrow" w:cs="Arial"/>
                <w:szCs w:val="20"/>
              </w:rPr>
            </w:r>
            <w:r w:rsidR="00507973">
              <w:rPr>
                <w:rFonts w:ascii="Arial Narrow" w:hAnsi="Arial Narrow" w:cs="Arial"/>
                <w:szCs w:val="20"/>
              </w:rPr>
              <w:fldChar w:fldCharType="separate"/>
            </w:r>
            <w:r w:rsidRPr="00002A62">
              <w:rPr>
                <w:rFonts w:ascii="Arial Narrow" w:hAnsi="Arial Narrow" w:cs="Arial"/>
                <w:szCs w:val="20"/>
              </w:rPr>
              <w:fldChar w:fldCharType="end"/>
            </w:r>
            <w:r w:rsidRPr="00002A62">
              <w:rPr>
                <w:rFonts w:ascii="Arial Narrow" w:hAnsi="Arial Narrow" w:cs="Arial"/>
                <w:szCs w:val="20"/>
              </w:rPr>
              <w:t>Midwives</w:t>
            </w:r>
          </w:p>
        </w:tc>
      </w:tr>
      <w:tr w:rsidR="00AD1400" w:rsidRPr="00002A62" w:rsidTr="00576CF0">
        <w:trPr>
          <w:cantSplit/>
        </w:trPr>
        <w:tc>
          <w:tcPr>
            <w:tcW w:w="1247" w:type="pct"/>
            <w:tcMar>
              <w:top w:w="0" w:type="dxa"/>
              <w:left w:w="108" w:type="dxa"/>
              <w:bottom w:w="0" w:type="dxa"/>
              <w:right w:w="108" w:type="dxa"/>
            </w:tcMar>
            <w:hideMark/>
          </w:tcPr>
          <w:p w:rsidR="00AD1400" w:rsidRPr="00002A62" w:rsidRDefault="00AD1400" w:rsidP="00576CF0">
            <w:pPr>
              <w:pStyle w:val="Table"/>
              <w:rPr>
                <w:rStyle w:val="SmallBold"/>
                <w:rFonts w:ascii="Arial Narrow" w:hAnsi="Arial Narrow"/>
                <w:szCs w:val="20"/>
              </w:rPr>
            </w:pPr>
            <w:r w:rsidRPr="00002A62">
              <w:rPr>
                <w:rStyle w:val="SmallBold"/>
                <w:rFonts w:ascii="Arial Narrow" w:hAnsi="Arial Narrow"/>
                <w:szCs w:val="20"/>
              </w:rPr>
              <w:t>PBS Indication:</w:t>
            </w:r>
          </w:p>
        </w:tc>
        <w:tc>
          <w:tcPr>
            <w:tcW w:w="3753" w:type="pct"/>
            <w:tcMar>
              <w:top w:w="0" w:type="dxa"/>
              <w:left w:w="108" w:type="dxa"/>
              <w:bottom w:w="0" w:type="dxa"/>
              <w:right w:w="108" w:type="dxa"/>
            </w:tcMar>
          </w:tcPr>
          <w:p w:rsidR="00AD1400" w:rsidRPr="00002A62" w:rsidRDefault="00AD1400" w:rsidP="00576CF0">
            <w:pPr>
              <w:pStyle w:val="Table"/>
              <w:rPr>
                <w:rFonts w:ascii="Arial Narrow" w:hAnsi="Arial Narrow"/>
                <w:szCs w:val="20"/>
              </w:rPr>
            </w:pPr>
            <w:r w:rsidRPr="00002A62">
              <w:rPr>
                <w:rFonts w:ascii="Arial Narrow" w:hAnsi="Arial Narrow"/>
              </w:rPr>
              <w:t>Chronic hepatitis B infection</w:t>
            </w:r>
          </w:p>
        </w:tc>
      </w:tr>
      <w:tr w:rsidR="00AD1400" w:rsidRPr="00002A62" w:rsidTr="00576CF0">
        <w:trPr>
          <w:cantSplit/>
        </w:trPr>
        <w:tc>
          <w:tcPr>
            <w:tcW w:w="1247" w:type="pct"/>
            <w:tcMar>
              <w:top w:w="0" w:type="dxa"/>
              <w:left w:w="108" w:type="dxa"/>
              <w:bottom w:w="0" w:type="dxa"/>
              <w:right w:w="108" w:type="dxa"/>
            </w:tcMar>
          </w:tcPr>
          <w:p w:rsidR="00AD1400" w:rsidRPr="00002A62" w:rsidRDefault="00AD1400" w:rsidP="00576CF0">
            <w:pPr>
              <w:rPr>
                <w:rFonts w:ascii="Arial Narrow" w:hAnsi="Arial Narrow"/>
                <w:i/>
                <w:sz w:val="20"/>
              </w:rPr>
            </w:pPr>
            <w:r w:rsidRPr="00002A62">
              <w:rPr>
                <w:rFonts w:ascii="Arial Narrow" w:hAnsi="Arial Narrow"/>
                <w:b/>
                <w:sz w:val="20"/>
              </w:rPr>
              <w:t>Restriction Level / Method:</w:t>
            </w:r>
          </w:p>
        </w:tc>
        <w:tc>
          <w:tcPr>
            <w:tcW w:w="3753" w:type="pct"/>
            <w:tcMar>
              <w:top w:w="0" w:type="dxa"/>
              <w:left w:w="108" w:type="dxa"/>
              <w:bottom w:w="0" w:type="dxa"/>
              <w:right w:w="108" w:type="dxa"/>
            </w:tcMar>
          </w:tcPr>
          <w:p w:rsidR="00AD1400" w:rsidRPr="00002A62" w:rsidRDefault="00AD1400" w:rsidP="00576CF0">
            <w:pPr>
              <w:rPr>
                <w:rFonts w:ascii="Arial Narrow" w:hAnsi="Arial Narrow"/>
                <w:sz w:val="20"/>
              </w:rPr>
            </w:pPr>
            <w:r w:rsidRPr="00002A62">
              <w:rPr>
                <w:rFonts w:ascii="Arial Narrow" w:hAnsi="Arial Narrow"/>
                <w:sz w:val="20"/>
              </w:rPr>
              <w:fldChar w:fldCharType="begin">
                <w:ffData>
                  <w:name w:val=""/>
                  <w:enabled/>
                  <w:calcOnExit w:val="0"/>
                  <w:checkBox>
                    <w:sizeAuto/>
                    <w:default w:val="1"/>
                  </w:checkBox>
                </w:ffData>
              </w:fldChar>
            </w:r>
            <w:r w:rsidRPr="00002A62">
              <w:rPr>
                <w:rFonts w:ascii="Arial Narrow" w:hAnsi="Arial Narrow"/>
                <w:sz w:val="20"/>
              </w:rPr>
              <w:instrText xml:space="preserve"> FORMCHECKBOX </w:instrText>
            </w:r>
            <w:r w:rsidR="00507973">
              <w:rPr>
                <w:rFonts w:ascii="Arial Narrow" w:hAnsi="Arial Narrow"/>
                <w:sz w:val="20"/>
              </w:rPr>
            </w:r>
            <w:r w:rsidR="00507973">
              <w:rPr>
                <w:rFonts w:ascii="Arial Narrow" w:hAnsi="Arial Narrow"/>
                <w:sz w:val="20"/>
              </w:rPr>
              <w:fldChar w:fldCharType="separate"/>
            </w:r>
            <w:r w:rsidRPr="00002A62">
              <w:rPr>
                <w:rFonts w:ascii="Arial Narrow" w:hAnsi="Arial Narrow"/>
                <w:sz w:val="20"/>
              </w:rPr>
              <w:fldChar w:fldCharType="end"/>
            </w:r>
            <w:r w:rsidRPr="00002A62">
              <w:rPr>
                <w:rFonts w:ascii="Arial Narrow" w:hAnsi="Arial Narrow"/>
                <w:sz w:val="20"/>
              </w:rPr>
              <w:t>Authority Required (STREAMLINED)</w:t>
            </w:r>
          </w:p>
        </w:tc>
      </w:tr>
      <w:tr w:rsidR="00AD1400" w:rsidRPr="00002A62" w:rsidTr="00576CF0">
        <w:trPr>
          <w:cantSplit/>
        </w:trPr>
        <w:tc>
          <w:tcPr>
            <w:tcW w:w="1247" w:type="pct"/>
            <w:tcMar>
              <w:top w:w="0" w:type="dxa"/>
              <w:left w:w="108" w:type="dxa"/>
              <w:bottom w:w="0" w:type="dxa"/>
              <w:right w:w="108" w:type="dxa"/>
            </w:tcMar>
            <w:hideMark/>
          </w:tcPr>
          <w:p w:rsidR="00AD1400" w:rsidRPr="00002A62" w:rsidRDefault="00AD1400" w:rsidP="00576CF0">
            <w:pPr>
              <w:pStyle w:val="Table"/>
              <w:rPr>
                <w:rStyle w:val="SmallBold"/>
                <w:rFonts w:ascii="Arial Narrow" w:hAnsi="Arial Narrow"/>
                <w:szCs w:val="20"/>
              </w:rPr>
            </w:pPr>
            <w:r w:rsidRPr="00002A62">
              <w:rPr>
                <w:rStyle w:val="SmallBold"/>
                <w:rFonts w:ascii="Arial Narrow" w:hAnsi="Arial Narrow"/>
                <w:szCs w:val="20"/>
              </w:rPr>
              <w:t>Clinical criteria:</w:t>
            </w:r>
          </w:p>
        </w:tc>
        <w:tc>
          <w:tcPr>
            <w:tcW w:w="3753" w:type="pct"/>
            <w:tcMar>
              <w:top w:w="0" w:type="dxa"/>
              <w:left w:w="108" w:type="dxa"/>
              <w:bottom w:w="0" w:type="dxa"/>
              <w:right w:w="108" w:type="dxa"/>
            </w:tcMar>
          </w:tcPr>
          <w:p w:rsidR="00AD1400" w:rsidRPr="00002A62" w:rsidRDefault="00AD1400" w:rsidP="00576CF0">
            <w:pPr>
              <w:pStyle w:val="Table"/>
              <w:rPr>
                <w:rFonts w:ascii="Arial Narrow" w:hAnsi="Arial Narrow"/>
                <w:b/>
                <w:bCs/>
                <w:szCs w:val="20"/>
              </w:rPr>
            </w:pPr>
            <w:r w:rsidRPr="00002A62">
              <w:rPr>
                <w:rFonts w:ascii="Arial Narrow" w:hAnsi="Arial Narrow"/>
                <w:szCs w:val="20"/>
              </w:rPr>
              <w:t xml:space="preserve">Patient must </w:t>
            </w:r>
            <w:r w:rsidRPr="00002A62">
              <w:rPr>
                <w:rFonts w:ascii="Arial Narrow" w:hAnsi="Arial Narrow"/>
                <w:b/>
                <w:bCs/>
                <w:szCs w:val="20"/>
                <w:u w:val="single"/>
              </w:rPr>
              <w:t>not</w:t>
            </w:r>
            <w:r w:rsidRPr="00002A62">
              <w:rPr>
                <w:rFonts w:ascii="Arial Narrow" w:hAnsi="Arial Narrow"/>
                <w:b/>
                <w:bCs/>
                <w:szCs w:val="20"/>
              </w:rPr>
              <w:t xml:space="preserve"> have cirrhosis,</w:t>
            </w:r>
          </w:p>
          <w:p w:rsidR="00AD1400" w:rsidRPr="00002A62" w:rsidRDefault="00AD1400" w:rsidP="00576CF0">
            <w:pPr>
              <w:pStyle w:val="Table"/>
              <w:rPr>
                <w:rFonts w:ascii="Arial Narrow" w:hAnsi="Arial Narrow"/>
                <w:szCs w:val="20"/>
              </w:rPr>
            </w:pPr>
            <w:r w:rsidRPr="00002A62">
              <w:rPr>
                <w:rFonts w:ascii="Arial Narrow" w:hAnsi="Arial Narrow"/>
                <w:szCs w:val="20"/>
              </w:rPr>
              <w:t>AND</w:t>
            </w:r>
          </w:p>
          <w:p w:rsidR="00AD1400" w:rsidRPr="00002A62" w:rsidRDefault="00AD1400" w:rsidP="00576CF0">
            <w:pPr>
              <w:pStyle w:val="Table"/>
              <w:rPr>
                <w:rFonts w:ascii="Arial Narrow" w:hAnsi="Arial Narrow"/>
                <w:szCs w:val="20"/>
              </w:rPr>
            </w:pPr>
            <w:r w:rsidRPr="00002A62">
              <w:rPr>
                <w:rFonts w:ascii="Arial Narrow" w:hAnsi="Arial Narrow"/>
                <w:szCs w:val="20"/>
              </w:rPr>
              <w:t xml:space="preserve">Patient must be </w:t>
            </w:r>
            <w:r w:rsidRPr="00002A62">
              <w:rPr>
                <w:rFonts w:ascii="Arial Narrow" w:hAnsi="Arial Narrow"/>
                <w:b/>
                <w:bCs/>
                <w:szCs w:val="20"/>
              </w:rPr>
              <w:t>nucleoside analogue naive</w:t>
            </w:r>
            <w:r w:rsidRPr="00002A62">
              <w:rPr>
                <w:rFonts w:ascii="Arial Narrow" w:hAnsi="Arial Narrow"/>
                <w:szCs w:val="20"/>
              </w:rPr>
              <w:t>,</w:t>
            </w:r>
          </w:p>
          <w:p w:rsidR="00AD1400" w:rsidRPr="00002A62" w:rsidRDefault="00AD1400" w:rsidP="00576CF0">
            <w:pPr>
              <w:pStyle w:val="Table"/>
              <w:rPr>
                <w:rFonts w:ascii="Arial Narrow" w:hAnsi="Arial Narrow"/>
                <w:szCs w:val="20"/>
              </w:rPr>
            </w:pPr>
            <w:r w:rsidRPr="00002A62">
              <w:rPr>
                <w:rFonts w:ascii="Arial Narrow" w:hAnsi="Arial Narrow"/>
                <w:szCs w:val="20"/>
              </w:rPr>
              <w:t>AND</w:t>
            </w:r>
          </w:p>
          <w:p w:rsidR="00AD1400" w:rsidRPr="00002A62" w:rsidRDefault="00AD1400" w:rsidP="00576CF0">
            <w:pPr>
              <w:pStyle w:val="Table"/>
              <w:rPr>
                <w:rFonts w:ascii="Arial Narrow" w:hAnsi="Arial Narrow"/>
                <w:szCs w:val="20"/>
              </w:rPr>
            </w:pPr>
            <w:r w:rsidRPr="00002A62">
              <w:rPr>
                <w:rFonts w:ascii="Arial Narrow" w:hAnsi="Arial Narrow"/>
                <w:szCs w:val="20"/>
              </w:rPr>
              <w:t xml:space="preserve">Patient must have elevated HBV DNA levels greater than 20,000 IU/mL (100,000 copies/mL) if </w:t>
            </w:r>
            <w:r w:rsidR="00FE4271">
              <w:rPr>
                <w:rFonts w:ascii="Arial Narrow" w:hAnsi="Arial Narrow"/>
                <w:szCs w:val="20"/>
              </w:rPr>
              <w:t>HBeAg</w:t>
            </w:r>
            <w:r w:rsidRPr="00002A62">
              <w:rPr>
                <w:rFonts w:ascii="Arial Narrow" w:hAnsi="Arial Narrow"/>
                <w:szCs w:val="20"/>
              </w:rPr>
              <w:t xml:space="preserve"> positive, in conjunction with documented hepatitis B infection; OR</w:t>
            </w:r>
          </w:p>
          <w:p w:rsidR="00AD1400" w:rsidRPr="00002A62" w:rsidRDefault="00AD1400" w:rsidP="00576CF0">
            <w:pPr>
              <w:pStyle w:val="Table"/>
              <w:rPr>
                <w:rFonts w:ascii="Arial Narrow" w:hAnsi="Arial Narrow"/>
                <w:szCs w:val="20"/>
              </w:rPr>
            </w:pPr>
            <w:r w:rsidRPr="00002A62">
              <w:rPr>
                <w:rFonts w:ascii="Arial Narrow" w:hAnsi="Arial Narrow"/>
                <w:szCs w:val="20"/>
              </w:rPr>
              <w:t xml:space="preserve">Patient must have elevated HBV DNA levels greater than 2,000 IU/mL (10,000 copies/mL) if </w:t>
            </w:r>
            <w:r w:rsidR="00FE4271">
              <w:rPr>
                <w:rFonts w:ascii="Arial Narrow" w:hAnsi="Arial Narrow"/>
                <w:szCs w:val="20"/>
              </w:rPr>
              <w:t>HBeAg</w:t>
            </w:r>
            <w:r w:rsidRPr="00002A62">
              <w:rPr>
                <w:rFonts w:ascii="Arial Narrow" w:hAnsi="Arial Narrow"/>
                <w:szCs w:val="20"/>
              </w:rPr>
              <w:t xml:space="preserve"> negative, in conjunction with documented hepatitis B infection,</w:t>
            </w:r>
          </w:p>
          <w:p w:rsidR="00AD1400" w:rsidRPr="00002A62" w:rsidRDefault="00AD1400" w:rsidP="00576CF0">
            <w:pPr>
              <w:pStyle w:val="Table"/>
              <w:rPr>
                <w:rFonts w:ascii="Arial Narrow" w:hAnsi="Arial Narrow"/>
                <w:szCs w:val="20"/>
              </w:rPr>
            </w:pPr>
            <w:r w:rsidRPr="00002A62">
              <w:rPr>
                <w:rFonts w:ascii="Arial Narrow" w:hAnsi="Arial Narrow"/>
                <w:szCs w:val="20"/>
              </w:rPr>
              <w:t>AND</w:t>
            </w:r>
          </w:p>
          <w:p w:rsidR="00AD1400" w:rsidRPr="00002A62" w:rsidRDefault="00AD1400" w:rsidP="00576CF0">
            <w:pPr>
              <w:pStyle w:val="Table"/>
              <w:rPr>
                <w:rFonts w:ascii="Arial Narrow" w:hAnsi="Arial Narrow"/>
                <w:szCs w:val="20"/>
              </w:rPr>
            </w:pPr>
            <w:r w:rsidRPr="00002A62">
              <w:rPr>
                <w:rFonts w:ascii="Arial Narrow" w:hAnsi="Arial Narrow"/>
                <w:szCs w:val="20"/>
              </w:rPr>
              <w:t>Patient must have evidence of chronic liver injury determined by: (i) confirmed elevated serum ALT; or (ii) liver biopsy,</w:t>
            </w:r>
          </w:p>
          <w:p w:rsidR="00AD1400" w:rsidRPr="00002A62" w:rsidRDefault="00AD1400" w:rsidP="00576CF0">
            <w:pPr>
              <w:pStyle w:val="Table"/>
              <w:rPr>
                <w:rFonts w:ascii="Arial Narrow" w:hAnsi="Arial Narrow"/>
                <w:szCs w:val="20"/>
              </w:rPr>
            </w:pPr>
            <w:r w:rsidRPr="00002A62">
              <w:rPr>
                <w:rFonts w:ascii="Arial Narrow" w:hAnsi="Arial Narrow"/>
                <w:szCs w:val="20"/>
              </w:rPr>
              <w:t>AND</w:t>
            </w:r>
          </w:p>
          <w:p w:rsidR="00AD1400" w:rsidRPr="00002A62" w:rsidRDefault="00AD1400" w:rsidP="00576CF0">
            <w:pPr>
              <w:pStyle w:val="Table"/>
              <w:rPr>
                <w:rFonts w:ascii="Arial Narrow" w:hAnsi="Arial Narrow"/>
                <w:szCs w:val="20"/>
              </w:rPr>
            </w:pPr>
            <w:r w:rsidRPr="00002A62">
              <w:rPr>
                <w:rFonts w:ascii="Arial Narrow" w:hAnsi="Arial Narrow"/>
                <w:szCs w:val="20"/>
              </w:rPr>
              <w:t>The treatment must be the sole PBS-subsidised therapy for this condition.</w:t>
            </w:r>
          </w:p>
        </w:tc>
      </w:tr>
      <w:tr w:rsidR="00AD1400" w:rsidRPr="00002A62" w:rsidTr="00576CF0">
        <w:tc>
          <w:tcPr>
            <w:tcW w:w="1247" w:type="pct"/>
            <w:hideMark/>
          </w:tcPr>
          <w:p w:rsidR="00AD1400" w:rsidRPr="00002A62" w:rsidRDefault="00AD1400" w:rsidP="00576CF0">
            <w:pPr>
              <w:ind w:left="137"/>
              <w:rPr>
                <w:rFonts w:ascii="Arial Narrow" w:hAnsi="Arial Narrow"/>
                <w:sz w:val="20"/>
              </w:rPr>
            </w:pPr>
            <w:r w:rsidRPr="00002A62">
              <w:rPr>
                <w:rStyle w:val="SmallBold"/>
                <w:rFonts w:ascii="Arial Narrow" w:hAnsi="Arial Narrow"/>
              </w:rPr>
              <w:t>Notes:</w:t>
            </w:r>
          </w:p>
        </w:tc>
        <w:tc>
          <w:tcPr>
            <w:tcW w:w="3753" w:type="pct"/>
            <w:vAlign w:val="center"/>
          </w:tcPr>
          <w:p w:rsidR="00AD1400" w:rsidRPr="00002A62" w:rsidRDefault="00AD1400" w:rsidP="00576CF0">
            <w:pPr>
              <w:pStyle w:val="Table"/>
              <w:ind w:left="141"/>
              <w:rPr>
                <w:rFonts w:ascii="Arial Narrow" w:hAnsi="Arial Narrow"/>
                <w:szCs w:val="20"/>
              </w:rPr>
            </w:pPr>
            <w:r w:rsidRPr="00002A62">
              <w:rPr>
                <w:rFonts w:ascii="Arial Narrow" w:hAnsi="Arial Narrow"/>
                <w:szCs w:val="20"/>
              </w:rPr>
              <w:t>Patients may receive treatment in combination with lamivudine but not with other PBS-subsidised antihepadnaviral therapy.</w:t>
            </w:r>
          </w:p>
        </w:tc>
      </w:tr>
    </w:tbl>
    <w:p w:rsidR="00D6359D" w:rsidRDefault="00D6359D" w:rsidP="00AD1400">
      <w:pPr>
        <w:pStyle w:val="CaptionFootnote"/>
        <w:rPr>
          <w:rFonts w:ascii="Arial Narrow" w:hAnsi="Arial Narrow"/>
          <w:sz w:val="20"/>
          <w:szCs w:val="20"/>
        </w:rPr>
      </w:pPr>
    </w:p>
    <w:p w:rsidR="00D6359D" w:rsidRDefault="00D6359D">
      <w:pPr>
        <w:widowControl/>
        <w:jc w:val="left"/>
        <w:rPr>
          <w:rFonts w:ascii="Arial Narrow" w:eastAsiaTheme="majorEastAsia" w:hAnsi="Arial Narrow" w:cstheme="majorBidi"/>
          <w:bCs/>
          <w:snapToGrid/>
          <w:sz w:val="20"/>
          <w:lang w:bidi="en-US"/>
        </w:rPr>
      </w:pPr>
      <w:r>
        <w:rPr>
          <w:rFonts w:ascii="Arial Narrow" w:hAnsi="Arial Narrow"/>
          <w:sz w:val="20"/>
        </w:rPr>
        <w:br w:type="page"/>
      </w:r>
    </w:p>
    <w:p w:rsidR="00AD1400" w:rsidRPr="00002A62" w:rsidRDefault="00AD1400" w:rsidP="00AD1400">
      <w:pPr>
        <w:pStyle w:val="CaptionFootnote"/>
        <w:rPr>
          <w:rFonts w:ascii="Arial Narrow" w:hAnsi="Arial Narrow"/>
          <w:sz w:val="20"/>
          <w:szCs w:val="20"/>
        </w:rPr>
      </w:pP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1"/>
        <w:gridCol w:w="6324"/>
      </w:tblGrid>
      <w:tr w:rsidR="00AD1400" w:rsidRPr="00002A62" w:rsidTr="00576CF0">
        <w:trPr>
          <w:cantSplit/>
        </w:trPr>
        <w:tc>
          <w:tcPr>
            <w:tcW w:w="1247" w:type="pct"/>
            <w:tcMar>
              <w:top w:w="0" w:type="dxa"/>
              <w:left w:w="108" w:type="dxa"/>
              <w:bottom w:w="0" w:type="dxa"/>
              <w:right w:w="108" w:type="dxa"/>
            </w:tcMar>
            <w:hideMark/>
          </w:tcPr>
          <w:p w:rsidR="00AD1400" w:rsidRPr="00002A62" w:rsidRDefault="00AD1400" w:rsidP="00576CF0">
            <w:pPr>
              <w:pStyle w:val="Table"/>
              <w:rPr>
                <w:rStyle w:val="SmallBold"/>
                <w:rFonts w:ascii="Arial Narrow" w:hAnsi="Arial Narrow"/>
                <w:szCs w:val="20"/>
              </w:rPr>
            </w:pPr>
            <w:r w:rsidRPr="00002A62">
              <w:rPr>
                <w:rStyle w:val="SmallBold"/>
                <w:rFonts w:ascii="Arial Narrow" w:hAnsi="Arial Narrow"/>
                <w:szCs w:val="20"/>
              </w:rPr>
              <w:t>Category / Program</w:t>
            </w:r>
          </w:p>
        </w:tc>
        <w:tc>
          <w:tcPr>
            <w:tcW w:w="3753" w:type="pct"/>
            <w:tcMar>
              <w:top w:w="0" w:type="dxa"/>
              <w:left w:w="108" w:type="dxa"/>
              <w:bottom w:w="0" w:type="dxa"/>
              <w:right w:w="108" w:type="dxa"/>
            </w:tcMar>
          </w:tcPr>
          <w:p w:rsidR="00AD1400" w:rsidRPr="00002A62" w:rsidRDefault="00AD1400" w:rsidP="00576CF0">
            <w:pPr>
              <w:pStyle w:val="Table"/>
              <w:rPr>
                <w:rFonts w:ascii="Arial Narrow" w:hAnsi="Arial Narrow"/>
                <w:szCs w:val="20"/>
              </w:rPr>
            </w:pPr>
            <w:r w:rsidRPr="00002A62">
              <w:rPr>
                <w:rFonts w:ascii="Arial Narrow" w:hAnsi="Arial Narrow"/>
                <w:szCs w:val="20"/>
              </w:rPr>
              <w:t>Section 100 (Highly Specialised Drug) Community Access</w:t>
            </w:r>
          </w:p>
        </w:tc>
      </w:tr>
      <w:tr w:rsidR="00AD1400" w:rsidRPr="00002A62" w:rsidTr="00576CF0">
        <w:trPr>
          <w:cantSplit/>
        </w:trPr>
        <w:tc>
          <w:tcPr>
            <w:tcW w:w="1247" w:type="pct"/>
            <w:tcMar>
              <w:top w:w="0" w:type="dxa"/>
              <w:left w:w="108" w:type="dxa"/>
              <w:bottom w:w="0" w:type="dxa"/>
              <w:right w:w="108" w:type="dxa"/>
            </w:tcMar>
            <w:hideMark/>
          </w:tcPr>
          <w:p w:rsidR="00AD1400" w:rsidRPr="00002A62" w:rsidRDefault="00AD1400" w:rsidP="00576CF0">
            <w:pPr>
              <w:pStyle w:val="Table"/>
              <w:rPr>
                <w:rStyle w:val="SmallBold"/>
                <w:rFonts w:ascii="Arial Narrow" w:hAnsi="Arial Narrow"/>
                <w:szCs w:val="20"/>
              </w:rPr>
            </w:pPr>
            <w:r w:rsidRPr="00002A62">
              <w:rPr>
                <w:rStyle w:val="SmallBold"/>
                <w:rFonts w:ascii="Arial Narrow" w:hAnsi="Arial Narrow"/>
                <w:szCs w:val="20"/>
              </w:rPr>
              <w:t>Prescriber type:</w:t>
            </w:r>
          </w:p>
        </w:tc>
        <w:tc>
          <w:tcPr>
            <w:tcW w:w="3753" w:type="pct"/>
            <w:tcMar>
              <w:top w:w="0" w:type="dxa"/>
              <w:left w:w="108" w:type="dxa"/>
              <w:bottom w:w="0" w:type="dxa"/>
              <w:right w:w="108" w:type="dxa"/>
            </w:tcMar>
          </w:tcPr>
          <w:p w:rsidR="00AD1400" w:rsidRPr="00002A62" w:rsidRDefault="00AD1400" w:rsidP="00576CF0">
            <w:pPr>
              <w:rPr>
                <w:rFonts w:ascii="Arial Narrow" w:hAnsi="Arial Narrow"/>
                <w:sz w:val="20"/>
              </w:rPr>
            </w:pPr>
            <w:r w:rsidRPr="00002A62">
              <w:rPr>
                <w:rFonts w:ascii="Arial Narrow" w:hAnsi="Arial Narrow"/>
                <w:sz w:val="20"/>
              </w:rPr>
              <w:fldChar w:fldCharType="begin">
                <w:ffData>
                  <w:name w:val="Check1"/>
                  <w:enabled/>
                  <w:calcOnExit w:val="0"/>
                  <w:checkBox>
                    <w:sizeAuto/>
                    <w:default w:val="0"/>
                  </w:checkBox>
                </w:ffData>
              </w:fldChar>
            </w:r>
            <w:r w:rsidRPr="00002A62">
              <w:rPr>
                <w:rFonts w:ascii="Arial Narrow" w:hAnsi="Arial Narrow"/>
                <w:sz w:val="20"/>
              </w:rPr>
              <w:instrText xml:space="preserve"> FORMCHECKBOX </w:instrText>
            </w:r>
            <w:r w:rsidR="00507973">
              <w:rPr>
                <w:rFonts w:ascii="Arial Narrow" w:hAnsi="Arial Narrow"/>
                <w:sz w:val="20"/>
              </w:rPr>
            </w:r>
            <w:r w:rsidR="00507973">
              <w:rPr>
                <w:rFonts w:ascii="Arial Narrow" w:hAnsi="Arial Narrow"/>
                <w:sz w:val="20"/>
              </w:rPr>
              <w:fldChar w:fldCharType="separate"/>
            </w:r>
            <w:r w:rsidRPr="00002A62">
              <w:rPr>
                <w:rFonts w:ascii="Arial Narrow" w:hAnsi="Arial Narrow"/>
                <w:sz w:val="20"/>
              </w:rPr>
              <w:fldChar w:fldCharType="end"/>
            </w:r>
            <w:r w:rsidRPr="00002A62">
              <w:rPr>
                <w:rFonts w:ascii="Arial Narrow" w:hAnsi="Arial Narrow"/>
                <w:sz w:val="20"/>
              </w:rPr>
              <w:t xml:space="preserve">Dental  </w:t>
            </w:r>
            <w:r w:rsidRPr="00002A62">
              <w:rPr>
                <w:rFonts w:ascii="Arial Narrow" w:hAnsi="Arial Narrow"/>
                <w:sz w:val="20"/>
              </w:rPr>
              <w:fldChar w:fldCharType="begin">
                <w:ffData>
                  <w:name w:val=""/>
                  <w:enabled/>
                  <w:calcOnExit w:val="0"/>
                  <w:checkBox>
                    <w:sizeAuto/>
                    <w:default w:val="1"/>
                  </w:checkBox>
                </w:ffData>
              </w:fldChar>
            </w:r>
            <w:r w:rsidRPr="00002A62">
              <w:rPr>
                <w:rFonts w:ascii="Arial Narrow" w:hAnsi="Arial Narrow"/>
                <w:sz w:val="20"/>
              </w:rPr>
              <w:instrText xml:space="preserve"> FORMCHECKBOX </w:instrText>
            </w:r>
            <w:r w:rsidR="00507973">
              <w:rPr>
                <w:rFonts w:ascii="Arial Narrow" w:hAnsi="Arial Narrow"/>
                <w:sz w:val="20"/>
              </w:rPr>
            </w:r>
            <w:r w:rsidR="00507973">
              <w:rPr>
                <w:rFonts w:ascii="Arial Narrow" w:hAnsi="Arial Narrow"/>
                <w:sz w:val="20"/>
              </w:rPr>
              <w:fldChar w:fldCharType="separate"/>
            </w:r>
            <w:r w:rsidRPr="00002A62">
              <w:rPr>
                <w:rFonts w:ascii="Arial Narrow" w:hAnsi="Arial Narrow"/>
                <w:sz w:val="20"/>
              </w:rPr>
              <w:fldChar w:fldCharType="end"/>
            </w:r>
            <w:r w:rsidRPr="00002A62">
              <w:rPr>
                <w:rFonts w:ascii="Arial Narrow" w:hAnsi="Arial Narrow"/>
                <w:sz w:val="20"/>
              </w:rPr>
              <w:t xml:space="preserve">Medical Practitioners  </w:t>
            </w:r>
            <w:r w:rsidRPr="00002A62">
              <w:rPr>
                <w:rFonts w:ascii="Arial Narrow" w:hAnsi="Arial Narrow"/>
                <w:sz w:val="20"/>
              </w:rPr>
              <w:fldChar w:fldCharType="begin">
                <w:ffData>
                  <w:name w:val="Check3"/>
                  <w:enabled/>
                  <w:calcOnExit w:val="0"/>
                  <w:checkBox>
                    <w:sizeAuto/>
                    <w:default w:val="0"/>
                  </w:checkBox>
                </w:ffData>
              </w:fldChar>
            </w:r>
            <w:r w:rsidRPr="00002A62">
              <w:rPr>
                <w:rFonts w:ascii="Arial Narrow" w:hAnsi="Arial Narrow"/>
                <w:sz w:val="20"/>
              </w:rPr>
              <w:instrText xml:space="preserve"> FORMCHECKBOX </w:instrText>
            </w:r>
            <w:r w:rsidR="00507973">
              <w:rPr>
                <w:rFonts w:ascii="Arial Narrow" w:hAnsi="Arial Narrow"/>
                <w:sz w:val="20"/>
              </w:rPr>
            </w:r>
            <w:r w:rsidR="00507973">
              <w:rPr>
                <w:rFonts w:ascii="Arial Narrow" w:hAnsi="Arial Narrow"/>
                <w:sz w:val="20"/>
              </w:rPr>
              <w:fldChar w:fldCharType="separate"/>
            </w:r>
            <w:r w:rsidRPr="00002A62">
              <w:rPr>
                <w:rFonts w:ascii="Arial Narrow" w:hAnsi="Arial Narrow"/>
                <w:sz w:val="20"/>
              </w:rPr>
              <w:fldChar w:fldCharType="end"/>
            </w:r>
            <w:r w:rsidRPr="00002A62">
              <w:rPr>
                <w:rFonts w:ascii="Arial Narrow" w:hAnsi="Arial Narrow"/>
                <w:sz w:val="20"/>
              </w:rPr>
              <w:t xml:space="preserve">Nurse practitioners  </w:t>
            </w:r>
            <w:r w:rsidRPr="00002A62">
              <w:rPr>
                <w:rFonts w:ascii="Arial Narrow" w:hAnsi="Arial Narrow"/>
                <w:sz w:val="20"/>
              </w:rPr>
              <w:fldChar w:fldCharType="begin">
                <w:ffData>
                  <w:name w:val=""/>
                  <w:enabled/>
                  <w:calcOnExit w:val="0"/>
                  <w:checkBox>
                    <w:sizeAuto/>
                    <w:default w:val="0"/>
                  </w:checkBox>
                </w:ffData>
              </w:fldChar>
            </w:r>
            <w:r w:rsidRPr="00002A62">
              <w:rPr>
                <w:rFonts w:ascii="Arial Narrow" w:hAnsi="Arial Narrow"/>
                <w:sz w:val="20"/>
              </w:rPr>
              <w:instrText xml:space="preserve"> FORMCHECKBOX </w:instrText>
            </w:r>
            <w:r w:rsidR="00507973">
              <w:rPr>
                <w:rFonts w:ascii="Arial Narrow" w:hAnsi="Arial Narrow"/>
                <w:sz w:val="20"/>
              </w:rPr>
            </w:r>
            <w:r w:rsidR="00507973">
              <w:rPr>
                <w:rFonts w:ascii="Arial Narrow" w:hAnsi="Arial Narrow"/>
                <w:sz w:val="20"/>
              </w:rPr>
              <w:fldChar w:fldCharType="separate"/>
            </w:r>
            <w:r w:rsidRPr="00002A62">
              <w:rPr>
                <w:rFonts w:ascii="Arial Narrow" w:hAnsi="Arial Narrow"/>
                <w:sz w:val="20"/>
              </w:rPr>
              <w:fldChar w:fldCharType="end"/>
            </w:r>
            <w:r w:rsidRPr="00002A62">
              <w:rPr>
                <w:rFonts w:ascii="Arial Narrow" w:hAnsi="Arial Narrow"/>
                <w:sz w:val="20"/>
              </w:rPr>
              <w:t>Optometrists</w:t>
            </w:r>
          </w:p>
          <w:p w:rsidR="00AD1400" w:rsidRPr="00002A62" w:rsidRDefault="00AD1400" w:rsidP="00576CF0">
            <w:pPr>
              <w:pStyle w:val="Table"/>
              <w:rPr>
                <w:rFonts w:ascii="Arial Narrow" w:hAnsi="Arial Narrow"/>
                <w:szCs w:val="20"/>
              </w:rPr>
            </w:pPr>
            <w:r w:rsidRPr="00002A62">
              <w:rPr>
                <w:rFonts w:ascii="Arial Narrow" w:hAnsi="Arial Narrow" w:cs="Arial"/>
                <w:szCs w:val="20"/>
              </w:rPr>
              <w:fldChar w:fldCharType="begin">
                <w:ffData>
                  <w:name w:val="Check5"/>
                  <w:enabled/>
                  <w:calcOnExit w:val="0"/>
                  <w:checkBox>
                    <w:sizeAuto/>
                    <w:default w:val="0"/>
                  </w:checkBox>
                </w:ffData>
              </w:fldChar>
            </w:r>
            <w:r w:rsidRPr="00002A62">
              <w:rPr>
                <w:rFonts w:ascii="Arial Narrow" w:hAnsi="Arial Narrow" w:cs="Arial"/>
                <w:szCs w:val="20"/>
              </w:rPr>
              <w:instrText xml:space="preserve"> FORMCHECKBOX </w:instrText>
            </w:r>
            <w:r w:rsidR="00507973">
              <w:rPr>
                <w:rFonts w:ascii="Arial Narrow" w:hAnsi="Arial Narrow" w:cs="Arial"/>
                <w:szCs w:val="20"/>
              </w:rPr>
            </w:r>
            <w:r w:rsidR="00507973">
              <w:rPr>
                <w:rFonts w:ascii="Arial Narrow" w:hAnsi="Arial Narrow" w:cs="Arial"/>
                <w:szCs w:val="20"/>
              </w:rPr>
              <w:fldChar w:fldCharType="separate"/>
            </w:r>
            <w:r w:rsidRPr="00002A62">
              <w:rPr>
                <w:rFonts w:ascii="Arial Narrow" w:hAnsi="Arial Narrow" w:cs="Arial"/>
                <w:szCs w:val="20"/>
              </w:rPr>
              <w:fldChar w:fldCharType="end"/>
            </w:r>
            <w:r w:rsidRPr="00002A62">
              <w:rPr>
                <w:rFonts w:ascii="Arial Narrow" w:hAnsi="Arial Narrow" w:cs="Arial"/>
                <w:szCs w:val="20"/>
              </w:rPr>
              <w:t>Midwives</w:t>
            </w:r>
          </w:p>
        </w:tc>
      </w:tr>
      <w:tr w:rsidR="00AD1400" w:rsidRPr="00002A62" w:rsidTr="00576CF0">
        <w:trPr>
          <w:cantSplit/>
        </w:trPr>
        <w:tc>
          <w:tcPr>
            <w:tcW w:w="1247" w:type="pct"/>
            <w:tcMar>
              <w:top w:w="0" w:type="dxa"/>
              <w:left w:w="108" w:type="dxa"/>
              <w:bottom w:w="0" w:type="dxa"/>
              <w:right w:w="108" w:type="dxa"/>
            </w:tcMar>
            <w:hideMark/>
          </w:tcPr>
          <w:p w:rsidR="00AD1400" w:rsidRPr="00002A62" w:rsidRDefault="00AD1400" w:rsidP="00576CF0">
            <w:pPr>
              <w:pStyle w:val="Table"/>
              <w:rPr>
                <w:rStyle w:val="SmallBold"/>
                <w:rFonts w:ascii="Arial Narrow" w:hAnsi="Arial Narrow"/>
                <w:szCs w:val="20"/>
              </w:rPr>
            </w:pPr>
            <w:r w:rsidRPr="00002A62">
              <w:rPr>
                <w:rStyle w:val="SmallBold"/>
                <w:rFonts w:ascii="Arial Narrow" w:hAnsi="Arial Narrow"/>
                <w:szCs w:val="20"/>
              </w:rPr>
              <w:t>PBS Indication:</w:t>
            </w:r>
          </w:p>
        </w:tc>
        <w:tc>
          <w:tcPr>
            <w:tcW w:w="3753" w:type="pct"/>
            <w:tcMar>
              <w:top w:w="0" w:type="dxa"/>
              <w:left w:w="108" w:type="dxa"/>
              <w:bottom w:w="0" w:type="dxa"/>
              <w:right w:w="108" w:type="dxa"/>
            </w:tcMar>
          </w:tcPr>
          <w:p w:rsidR="00AD1400" w:rsidRPr="00002A62" w:rsidRDefault="00AD1400" w:rsidP="00576CF0">
            <w:pPr>
              <w:pStyle w:val="Table"/>
              <w:rPr>
                <w:rFonts w:ascii="Arial Narrow" w:hAnsi="Arial Narrow"/>
                <w:szCs w:val="20"/>
              </w:rPr>
            </w:pPr>
            <w:r w:rsidRPr="00002A62">
              <w:rPr>
                <w:rFonts w:ascii="Arial Narrow" w:hAnsi="Arial Narrow"/>
              </w:rPr>
              <w:t>Chronic hepatitis B infection</w:t>
            </w:r>
          </w:p>
        </w:tc>
      </w:tr>
      <w:tr w:rsidR="00AD1400" w:rsidRPr="00002A62" w:rsidTr="00576CF0">
        <w:trPr>
          <w:cantSplit/>
        </w:trPr>
        <w:tc>
          <w:tcPr>
            <w:tcW w:w="1247" w:type="pct"/>
            <w:tcMar>
              <w:top w:w="0" w:type="dxa"/>
              <w:left w:w="108" w:type="dxa"/>
              <w:bottom w:w="0" w:type="dxa"/>
              <w:right w:w="108" w:type="dxa"/>
            </w:tcMar>
          </w:tcPr>
          <w:p w:rsidR="00AD1400" w:rsidRPr="00002A62" w:rsidRDefault="00AD1400" w:rsidP="00576CF0">
            <w:pPr>
              <w:rPr>
                <w:rFonts w:ascii="Arial Narrow" w:hAnsi="Arial Narrow"/>
                <w:i/>
                <w:sz w:val="20"/>
              </w:rPr>
            </w:pPr>
            <w:r w:rsidRPr="00002A62">
              <w:rPr>
                <w:rFonts w:ascii="Arial Narrow" w:hAnsi="Arial Narrow"/>
                <w:b/>
                <w:sz w:val="20"/>
              </w:rPr>
              <w:t>Restriction Level / Method:</w:t>
            </w:r>
          </w:p>
        </w:tc>
        <w:tc>
          <w:tcPr>
            <w:tcW w:w="3753" w:type="pct"/>
            <w:tcMar>
              <w:top w:w="0" w:type="dxa"/>
              <w:left w:w="108" w:type="dxa"/>
              <w:bottom w:w="0" w:type="dxa"/>
              <w:right w:w="108" w:type="dxa"/>
            </w:tcMar>
          </w:tcPr>
          <w:p w:rsidR="00AD1400" w:rsidRPr="00002A62" w:rsidRDefault="00AD1400" w:rsidP="00576CF0">
            <w:pPr>
              <w:rPr>
                <w:rFonts w:ascii="Arial Narrow" w:hAnsi="Arial Narrow"/>
                <w:sz w:val="20"/>
              </w:rPr>
            </w:pPr>
            <w:r w:rsidRPr="00002A62">
              <w:rPr>
                <w:rFonts w:ascii="Arial Narrow" w:hAnsi="Arial Narrow"/>
                <w:sz w:val="20"/>
              </w:rPr>
              <w:fldChar w:fldCharType="begin">
                <w:ffData>
                  <w:name w:val=""/>
                  <w:enabled/>
                  <w:calcOnExit w:val="0"/>
                  <w:checkBox>
                    <w:sizeAuto/>
                    <w:default w:val="1"/>
                  </w:checkBox>
                </w:ffData>
              </w:fldChar>
            </w:r>
            <w:r w:rsidRPr="00002A62">
              <w:rPr>
                <w:rFonts w:ascii="Arial Narrow" w:hAnsi="Arial Narrow"/>
                <w:sz w:val="20"/>
              </w:rPr>
              <w:instrText xml:space="preserve"> FORMCHECKBOX </w:instrText>
            </w:r>
            <w:r w:rsidR="00507973">
              <w:rPr>
                <w:rFonts w:ascii="Arial Narrow" w:hAnsi="Arial Narrow"/>
                <w:sz w:val="20"/>
              </w:rPr>
            </w:r>
            <w:r w:rsidR="00507973">
              <w:rPr>
                <w:rFonts w:ascii="Arial Narrow" w:hAnsi="Arial Narrow"/>
                <w:sz w:val="20"/>
              </w:rPr>
              <w:fldChar w:fldCharType="separate"/>
            </w:r>
            <w:r w:rsidRPr="00002A62">
              <w:rPr>
                <w:rFonts w:ascii="Arial Narrow" w:hAnsi="Arial Narrow"/>
                <w:sz w:val="20"/>
              </w:rPr>
              <w:fldChar w:fldCharType="end"/>
            </w:r>
            <w:r w:rsidRPr="00002A62">
              <w:rPr>
                <w:rFonts w:ascii="Arial Narrow" w:hAnsi="Arial Narrow"/>
                <w:sz w:val="20"/>
              </w:rPr>
              <w:t>Authority Required (STREAMLINED)</w:t>
            </w:r>
          </w:p>
        </w:tc>
      </w:tr>
      <w:tr w:rsidR="00AD1400" w:rsidRPr="00002A62" w:rsidTr="00576CF0">
        <w:trPr>
          <w:cantSplit/>
        </w:trPr>
        <w:tc>
          <w:tcPr>
            <w:tcW w:w="1247" w:type="pct"/>
            <w:tcMar>
              <w:top w:w="0" w:type="dxa"/>
              <w:left w:w="108" w:type="dxa"/>
              <w:bottom w:w="0" w:type="dxa"/>
              <w:right w:w="108" w:type="dxa"/>
            </w:tcMar>
            <w:hideMark/>
          </w:tcPr>
          <w:p w:rsidR="00AD1400" w:rsidRPr="00002A62" w:rsidRDefault="00AD1400" w:rsidP="00576CF0">
            <w:pPr>
              <w:pStyle w:val="Table"/>
              <w:rPr>
                <w:rStyle w:val="SmallBold"/>
                <w:rFonts w:ascii="Arial Narrow" w:hAnsi="Arial Narrow"/>
                <w:szCs w:val="20"/>
              </w:rPr>
            </w:pPr>
            <w:r w:rsidRPr="00002A62">
              <w:rPr>
                <w:rStyle w:val="SmallBold"/>
                <w:rFonts w:ascii="Arial Narrow" w:hAnsi="Arial Narrow"/>
                <w:szCs w:val="20"/>
              </w:rPr>
              <w:t>Clinical criteria:</w:t>
            </w:r>
          </w:p>
        </w:tc>
        <w:tc>
          <w:tcPr>
            <w:tcW w:w="3753" w:type="pct"/>
            <w:tcMar>
              <w:top w:w="0" w:type="dxa"/>
              <w:left w:w="108" w:type="dxa"/>
              <w:bottom w:w="0" w:type="dxa"/>
              <w:right w:w="108" w:type="dxa"/>
            </w:tcMar>
          </w:tcPr>
          <w:p w:rsidR="00AD1400" w:rsidRPr="00002A62" w:rsidRDefault="00AD1400" w:rsidP="00576CF0">
            <w:pPr>
              <w:pStyle w:val="Table"/>
              <w:rPr>
                <w:rFonts w:ascii="Arial Narrow" w:hAnsi="Arial Narrow"/>
                <w:b/>
                <w:bCs/>
                <w:szCs w:val="20"/>
              </w:rPr>
            </w:pPr>
            <w:r w:rsidRPr="00002A62">
              <w:rPr>
                <w:rFonts w:ascii="Arial Narrow" w:hAnsi="Arial Narrow"/>
                <w:szCs w:val="20"/>
              </w:rPr>
              <w:t xml:space="preserve">Patient must have </w:t>
            </w:r>
            <w:r w:rsidRPr="00002A62">
              <w:rPr>
                <w:rFonts w:ascii="Arial Narrow" w:hAnsi="Arial Narrow"/>
                <w:b/>
                <w:bCs/>
                <w:szCs w:val="20"/>
              </w:rPr>
              <w:t>cirrhosis,</w:t>
            </w:r>
          </w:p>
          <w:p w:rsidR="00AD1400" w:rsidRPr="00002A62" w:rsidRDefault="00AD1400" w:rsidP="00576CF0">
            <w:pPr>
              <w:pStyle w:val="Table"/>
              <w:rPr>
                <w:rFonts w:ascii="Arial Narrow" w:hAnsi="Arial Narrow"/>
                <w:szCs w:val="20"/>
              </w:rPr>
            </w:pPr>
            <w:r w:rsidRPr="00002A62">
              <w:rPr>
                <w:rFonts w:ascii="Arial Narrow" w:hAnsi="Arial Narrow"/>
                <w:szCs w:val="20"/>
              </w:rPr>
              <w:t>AND</w:t>
            </w:r>
          </w:p>
          <w:p w:rsidR="00AD1400" w:rsidRPr="00002A62" w:rsidRDefault="00AD1400" w:rsidP="00576CF0">
            <w:pPr>
              <w:pStyle w:val="Table"/>
              <w:rPr>
                <w:rFonts w:ascii="Arial Narrow" w:hAnsi="Arial Narrow"/>
                <w:szCs w:val="20"/>
              </w:rPr>
            </w:pPr>
            <w:r w:rsidRPr="00002A62">
              <w:rPr>
                <w:rFonts w:ascii="Arial Narrow" w:hAnsi="Arial Narrow"/>
                <w:szCs w:val="20"/>
              </w:rPr>
              <w:t xml:space="preserve">Patient must have </w:t>
            </w:r>
            <w:r w:rsidRPr="00002A62">
              <w:rPr>
                <w:rFonts w:ascii="Arial Narrow" w:hAnsi="Arial Narrow"/>
                <w:b/>
                <w:bCs/>
                <w:szCs w:val="20"/>
              </w:rPr>
              <w:t>failed antihepadnaviral therapy</w:t>
            </w:r>
            <w:r w:rsidRPr="00002A62">
              <w:rPr>
                <w:rFonts w:ascii="Arial Narrow" w:hAnsi="Arial Narrow"/>
                <w:szCs w:val="20"/>
              </w:rPr>
              <w:t>,</w:t>
            </w:r>
          </w:p>
          <w:p w:rsidR="00AD1400" w:rsidRPr="00002A62" w:rsidRDefault="00AD1400" w:rsidP="00576CF0">
            <w:pPr>
              <w:pStyle w:val="Table"/>
              <w:rPr>
                <w:rFonts w:ascii="Arial Narrow" w:hAnsi="Arial Narrow"/>
                <w:szCs w:val="20"/>
              </w:rPr>
            </w:pPr>
            <w:r w:rsidRPr="00002A62">
              <w:rPr>
                <w:rFonts w:ascii="Arial Narrow" w:hAnsi="Arial Narrow"/>
                <w:szCs w:val="20"/>
              </w:rPr>
              <w:t>AND</w:t>
            </w:r>
          </w:p>
          <w:p w:rsidR="00AD1400" w:rsidRPr="00002A62" w:rsidRDefault="00AD1400" w:rsidP="00576CF0">
            <w:pPr>
              <w:pStyle w:val="Table"/>
              <w:rPr>
                <w:rFonts w:ascii="Arial Narrow" w:hAnsi="Arial Narrow"/>
                <w:szCs w:val="20"/>
              </w:rPr>
            </w:pPr>
            <w:r w:rsidRPr="00002A62">
              <w:rPr>
                <w:rFonts w:ascii="Arial Narrow" w:hAnsi="Arial Narrow"/>
                <w:szCs w:val="20"/>
              </w:rPr>
              <w:t>Patient must have detectable HBV DNA.</w:t>
            </w:r>
          </w:p>
        </w:tc>
      </w:tr>
      <w:tr w:rsidR="00AD1400" w:rsidRPr="00002A62" w:rsidTr="00576CF0">
        <w:trPr>
          <w:cantSplit/>
        </w:trPr>
        <w:tc>
          <w:tcPr>
            <w:tcW w:w="1247" w:type="pct"/>
            <w:tcMar>
              <w:top w:w="0" w:type="dxa"/>
              <w:left w:w="108" w:type="dxa"/>
              <w:bottom w:w="0" w:type="dxa"/>
              <w:right w:w="108" w:type="dxa"/>
            </w:tcMar>
            <w:hideMark/>
          </w:tcPr>
          <w:p w:rsidR="00AD1400" w:rsidRPr="00002A62" w:rsidRDefault="00AD1400" w:rsidP="00576CF0">
            <w:pPr>
              <w:pStyle w:val="Table"/>
              <w:rPr>
                <w:rStyle w:val="SmallBold"/>
                <w:rFonts w:ascii="Arial Narrow" w:hAnsi="Arial Narrow"/>
                <w:szCs w:val="20"/>
              </w:rPr>
            </w:pPr>
            <w:r w:rsidRPr="00002A62">
              <w:rPr>
                <w:rStyle w:val="SmallBold"/>
                <w:rFonts w:ascii="Arial Narrow" w:hAnsi="Arial Narrow"/>
                <w:szCs w:val="20"/>
              </w:rPr>
              <w:t>Prescriber instructions</w:t>
            </w:r>
          </w:p>
        </w:tc>
        <w:tc>
          <w:tcPr>
            <w:tcW w:w="3753" w:type="pct"/>
            <w:tcMar>
              <w:top w:w="0" w:type="dxa"/>
              <w:left w:w="108" w:type="dxa"/>
              <w:bottom w:w="0" w:type="dxa"/>
              <w:right w:w="108" w:type="dxa"/>
            </w:tcMar>
          </w:tcPr>
          <w:p w:rsidR="00AD1400" w:rsidRPr="00002A62" w:rsidRDefault="00AD1400" w:rsidP="00576CF0">
            <w:pPr>
              <w:pStyle w:val="Table"/>
              <w:rPr>
                <w:rFonts w:ascii="Arial Narrow" w:hAnsi="Arial Narrow"/>
                <w:szCs w:val="20"/>
              </w:rPr>
            </w:pPr>
            <w:r w:rsidRPr="00002A62">
              <w:rPr>
                <w:rFonts w:ascii="Arial Narrow" w:hAnsi="Arial Narrow"/>
                <w:szCs w:val="20"/>
              </w:rPr>
              <w:t>Patients with Child's class B or C cirrhosis (ascites, variceal bleeding, encephalopathy, albumin less than 30 g per L, bilirubin greater than 30 micromoles per L) should have their treatment discussed with a transplant unit prior to initiating therapy.</w:t>
            </w:r>
          </w:p>
        </w:tc>
      </w:tr>
      <w:tr w:rsidR="00AD1400" w:rsidRPr="00002A62" w:rsidTr="00576CF0">
        <w:tc>
          <w:tcPr>
            <w:tcW w:w="1247" w:type="pct"/>
            <w:hideMark/>
          </w:tcPr>
          <w:p w:rsidR="00AD1400" w:rsidRPr="00002A62" w:rsidRDefault="00AD1400" w:rsidP="00576CF0">
            <w:pPr>
              <w:ind w:left="108"/>
              <w:rPr>
                <w:rFonts w:ascii="Arial Narrow" w:hAnsi="Arial Narrow"/>
                <w:sz w:val="20"/>
              </w:rPr>
            </w:pPr>
            <w:r w:rsidRPr="00002A62">
              <w:rPr>
                <w:rStyle w:val="SmallBold"/>
                <w:rFonts w:ascii="Arial Narrow" w:hAnsi="Arial Narrow"/>
              </w:rPr>
              <w:t>Notes:</w:t>
            </w:r>
          </w:p>
        </w:tc>
        <w:tc>
          <w:tcPr>
            <w:tcW w:w="3753" w:type="pct"/>
            <w:vAlign w:val="center"/>
          </w:tcPr>
          <w:p w:rsidR="00AD1400" w:rsidRPr="00002A62" w:rsidRDefault="00AD1400" w:rsidP="00576CF0">
            <w:pPr>
              <w:pStyle w:val="Table"/>
              <w:ind w:left="141"/>
              <w:rPr>
                <w:rFonts w:ascii="Arial Narrow" w:hAnsi="Arial Narrow"/>
                <w:szCs w:val="20"/>
              </w:rPr>
            </w:pPr>
            <w:r w:rsidRPr="00002A62">
              <w:rPr>
                <w:rFonts w:ascii="Arial Narrow" w:hAnsi="Arial Narrow"/>
                <w:szCs w:val="20"/>
              </w:rPr>
              <w:t>Patients may receive treatment in combination with lamivudine but not with other PBS-subsidised antihepadnaviral therapy.</w:t>
            </w:r>
          </w:p>
        </w:tc>
      </w:tr>
    </w:tbl>
    <w:p w:rsidR="00AD1400" w:rsidRPr="00002A62" w:rsidRDefault="00AD1400" w:rsidP="00AD1400">
      <w:pPr>
        <w:pStyle w:val="CaptionFootnote"/>
        <w:rPr>
          <w:rFonts w:ascii="Arial Narrow" w:hAnsi="Arial Narrow"/>
          <w:sz w:val="20"/>
          <w:szCs w:val="20"/>
        </w:rPr>
      </w:pP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1"/>
        <w:gridCol w:w="6324"/>
      </w:tblGrid>
      <w:tr w:rsidR="00AD1400" w:rsidRPr="00002A62" w:rsidTr="00576CF0">
        <w:trPr>
          <w:cantSplit/>
        </w:trPr>
        <w:tc>
          <w:tcPr>
            <w:tcW w:w="1247" w:type="pct"/>
            <w:tcMar>
              <w:top w:w="0" w:type="dxa"/>
              <w:left w:w="108" w:type="dxa"/>
              <w:bottom w:w="0" w:type="dxa"/>
              <w:right w:w="108" w:type="dxa"/>
            </w:tcMar>
            <w:hideMark/>
          </w:tcPr>
          <w:p w:rsidR="00AD1400" w:rsidRPr="00002A62" w:rsidRDefault="00AD1400" w:rsidP="00576CF0">
            <w:pPr>
              <w:pStyle w:val="Table"/>
              <w:rPr>
                <w:rStyle w:val="SmallBold"/>
                <w:rFonts w:ascii="Arial Narrow" w:hAnsi="Arial Narrow"/>
                <w:szCs w:val="20"/>
              </w:rPr>
            </w:pPr>
            <w:r w:rsidRPr="00002A62">
              <w:rPr>
                <w:rStyle w:val="SmallBold"/>
                <w:rFonts w:ascii="Arial Narrow" w:hAnsi="Arial Narrow"/>
                <w:szCs w:val="20"/>
              </w:rPr>
              <w:t>Category / Program</w:t>
            </w:r>
          </w:p>
        </w:tc>
        <w:tc>
          <w:tcPr>
            <w:tcW w:w="3753" w:type="pct"/>
            <w:tcMar>
              <w:top w:w="0" w:type="dxa"/>
              <w:left w:w="108" w:type="dxa"/>
              <w:bottom w:w="0" w:type="dxa"/>
              <w:right w:w="108" w:type="dxa"/>
            </w:tcMar>
          </w:tcPr>
          <w:p w:rsidR="00AD1400" w:rsidRPr="00002A62" w:rsidRDefault="00AD1400" w:rsidP="00576CF0">
            <w:pPr>
              <w:pStyle w:val="Table"/>
              <w:rPr>
                <w:rFonts w:ascii="Arial Narrow" w:hAnsi="Arial Narrow"/>
                <w:szCs w:val="20"/>
              </w:rPr>
            </w:pPr>
            <w:r w:rsidRPr="00002A62">
              <w:rPr>
                <w:rFonts w:ascii="Arial Narrow" w:hAnsi="Arial Narrow"/>
                <w:szCs w:val="20"/>
              </w:rPr>
              <w:t>Section 100 (Highly Specialised Drug) Community</w:t>
            </w:r>
          </w:p>
          <w:p w:rsidR="00AD1400" w:rsidRPr="00002A62" w:rsidRDefault="00AD1400" w:rsidP="00576CF0">
            <w:pPr>
              <w:pStyle w:val="Table"/>
              <w:rPr>
                <w:rFonts w:ascii="Arial Narrow" w:hAnsi="Arial Narrow"/>
                <w:szCs w:val="20"/>
              </w:rPr>
            </w:pPr>
            <w:r w:rsidRPr="00002A62">
              <w:rPr>
                <w:rFonts w:ascii="Arial Narrow" w:hAnsi="Arial Narrow"/>
                <w:szCs w:val="20"/>
              </w:rPr>
              <w:t>Access authority required (STREAMLINED)</w:t>
            </w:r>
          </w:p>
        </w:tc>
      </w:tr>
      <w:tr w:rsidR="00AD1400" w:rsidRPr="00002A62" w:rsidTr="00576CF0">
        <w:trPr>
          <w:cantSplit/>
        </w:trPr>
        <w:tc>
          <w:tcPr>
            <w:tcW w:w="1247" w:type="pct"/>
            <w:tcMar>
              <w:top w:w="0" w:type="dxa"/>
              <w:left w:w="108" w:type="dxa"/>
              <w:bottom w:w="0" w:type="dxa"/>
              <w:right w:w="108" w:type="dxa"/>
            </w:tcMar>
            <w:hideMark/>
          </w:tcPr>
          <w:p w:rsidR="00AD1400" w:rsidRPr="00002A62" w:rsidRDefault="00AD1400" w:rsidP="00576CF0">
            <w:pPr>
              <w:pStyle w:val="Table"/>
              <w:rPr>
                <w:rStyle w:val="SmallBold"/>
                <w:rFonts w:ascii="Arial Narrow" w:hAnsi="Arial Narrow"/>
                <w:szCs w:val="20"/>
              </w:rPr>
            </w:pPr>
            <w:r w:rsidRPr="00002A62">
              <w:rPr>
                <w:rStyle w:val="SmallBold"/>
                <w:rFonts w:ascii="Arial Narrow" w:hAnsi="Arial Narrow"/>
                <w:szCs w:val="20"/>
              </w:rPr>
              <w:t>Prescriber type:</w:t>
            </w:r>
          </w:p>
        </w:tc>
        <w:tc>
          <w:tcPr>
            <w:tcW w:w="3753" w:type="pct"/>
            <w:tcMar>
              <w:top w:w="0" w:type="dxa"/>
              <w:left w:w="108" w:type="dxa"/>
              <w:bottom w:w="0" w:type="dxa"/>
              <w:right w:w="108" w:type="dxa"/>
            </w:tcMar>
          </w:tcPr>
          <w:p w:rsidR="00AD1400" w:rsidRPr="00002A62" w:rsidRDefault="00AD1400" w:rsidP="00576CF0">
            <w:pPr>
              <w:rPr>
                <w:rFonts w:ascii="Arial Narrow" w:hAnsi="Arial Narrow"/>
                <w:sz w:val="20"/>
              </w:rPr>
            </w:pPr>
            <w:r w:rsidRPr="00002A62">
              <w:rPr>
                <w:rFonts w:ascii="Arial Narrow" w:hAnsi="Arial Narrow"/>
                <w:sz w:val="20"/>
              </w:rPr>
              <w:fldChar w:fldCharType="begin">
                <w:ffData>
                  <w:name w:val="Check1"/>
                  <w:enabled/>
                  <w:calcOnExit w:val="0"/>
                  <w:checkBox>
                    <w:sizeAuto/>
                    <w:default w:val="0"/>
                  </w:checkBox>
                </w:ffData>
              </w:fldChar>
            </w:r>
            <w:r w:rsidRPr="00002A62">
              <w:rPr>
                <w:rFonts w:ascii="Arial Narrow" w:hAnsi="Arial Narrow"/>
                <w:sz w:val="20"/>
              </w:rPr>
              <w:instrText xml:space="preserve"> FORMCHECKBOX </w:instrText>
            </w:r>
            <w:r w:rsidR="00507973">
              <w:rPr>
                <w:rFonts w:ascii="Arial Narrow" w:hAnsi="Arial Narrow"/>
                <w:sz w:val="20"/>
              </w:rPr>
            </w:r>
            <w:r w:rsidR="00507973">
              <w:rPr>
                <w:rFonts w:ascii="Arial Narrow" w:hAnsi="Arial Narrow"/>
                <w:sz w:val="20"/>
              </w:rPr>
              <w:fldChar w:fldCharType="separate"/>
            </w:r>
            <w:r w:rsidRPr="00002A62">
              <w:rPr>
                <w:rFonts w:ascii="Arial Narrow" w:hAnsi="Arial Narrow"/>
                <w:sz w:val="20"/>
              </w:rPr>
              <w:fldChar w:fldCharType="end"/>
            </w:r>
            <w:r w:rsidRPr="00002A62">
              <w:rPr>
                <w:rFonts w:ascii="Arial Narrow" w:hAnsi="Arial Narrow"/>
                <w:sz w:val="20"/>
              </w:rPr>
              <w:t xml:space="preserve">Dental  </w:t>
            </w:r>
            <w:r w:rsidRPr="00002A62">
              <w:rPr>
                <w:rFonts w:ascii="Arial Narrow" w:hAnsi="Arial Narrow"/>
                <w:sz w:val="20"/>
              </w:rPr>
              <w:fldChar w:fldCharType="begin">
                <w:ffData>
                  <w:name w:val=""/>
                  <w:enabled/>
                  <w:calcOnExit w:val="0"/>
                  <w:checkBox>
                    <w:sizeAuto/>
                    <w:default w:val="1"/>
                  </w:checkBox>
                </w:ffData>
              </w:fldChar>
            </w:r>
            <w:r w:rsidRPr="00002A62">
              <w:rPr>
                <w:rFonts w:ascii="Arial Narrow" w:hAnsi="Arial Narrow"/>
                <w:sz w:val="20"/>
              </w:rPr>
              <w:instrText xml:space="preserve"> FORMCHECKBOX </w:instrText>
            </w:r>
            <w:r w:rsidR="00507973">
              <w:rPr>
                <w:rFonts w:ascii="Arial Narrow" w:hAnsi="Arial Narrow"/>
                <w:sz w:val="20"/>
              </w:rPr>
            </w:r>
            <w:r w:rsidR="00507973">
              <w:rPr>
                <w:rFonts w:ascii="Arial Narrow" w:hAnsi="Arial Narrow"/>
                <w:sz w:val="20"/>
              </w:rPr>
              <w:fldChar w:fldCharType="separate"/>
            </w:r>
            <w:r w:rsidRPr="00002A62">
              <w:rPr>
                <w:rFonts w:ascii="Arial Narrow" w:hAnsi="Arial Narrow"/>
                <w:sz w:val="20"/>
              </w:rPr>
              <w:fldChar w:fldCharType="end"/>
            </w:r>
            <w:r w:rsidRPr="00002A62">
              <w:rPr>
                <w:rFonts w:ascii="Arial Narrow" w:hAnsi="Arial Narrow"/>
                <w:sz w:val="20"/>
              </w:rPr>
              <w:t xml:space="preserve">Medical Practitioners  </w:t>
            </w:r>
            <w:r w:rsidRPr="00002A62">
              <w:rPr>
                <w:rFonts w:ascii="Arial Narrow" w:hAnsi="Arial Narrow"/>
                <w:sz w:val="20"/>
              </w:rPr>
              <w:fldChar w:fldCharType="begin">
                <w:ffData>
                  <w:name w:val="Check3"/>
                  <w:enabled/>
                  <w:calcOnExit w:val="0"/>
                  <w:checkBox>
                    <w:sizeAuto/>
                    <w:default w:val="0"/>
                  </w:checkBox>
                </w:ffData>
              </w:fldChar>
            </w:r>
            <w:r w:rsidRPr="00002A62">
              <w:rPr>
                <w:rFonts w:ascii="Arial Narrow" w:hAnsi="Arial Narrow"/>
                <w:sz w:val="20"/>
              </w:rPr>
              <w:instrText xml:space="preserve"> FORMCHECKBOX </w:instrText>
            </w:r>
            <w:r w:rsidR="00507973">
              <w:rPr>
                <w:rFonts w:ascii="Arial Narrow" w:hAnsi="Arial Narrow"/>
                <w:sz w:val="20"/>
              </w:rPr>
            </w:r>
            <w:r w:rsidR="00507973">
              <w:rPr>
                <w:rFonts w:ascii="Arial Narrow" w:hAnsi="Arial Narrow"/>
                <w:sz w:val="20"/>
              </w:rPr>
              <w:fldChar w:fldCharType="separate"/>
            </w:r>
            <w:r w:rsidRPr="00002A62">
              <w:rPr>
                <w:rFonts w:ascii="Arial Narrow" w:hAnsi="Arial Narrow"/>
                <w:sz w:val="20"/>
              </w:rPr>
              <w:fldChar w:fldCharType="end"/>
            </w:r>
            <w:r w:rsidRPr="00002A62">
              <w:rPr>
                <w:rFonts w:ascii="Arial Narrow" w:hAnsi="Arial Narrow"/>
                <w:sz w:val="20"/>
              </w:rPr>
              <w:t xml:space="preserve">Nurse practitioners  </w:t>
            </w:r>
            <w:r w:rsidRPr="00002A62">
              <w:rPr>
                <w:rFonts w:ascii="Arial Narrow" w:hAnsi="Arial Narrow"/>
                <w:sz w:val="20"/>
              </w:rPr>
              <w:fldChar w:fldCharType="begin">
                <w:ffData>
                  <w:name w:val=""/>
                  <w:enabled/>
                  <w:calcOnExit w:val="0"/>
                  <w:checkBox>
                    <w:sizeAuto/>
                    <w:default w:val="0"/>
                  </w:checkBox>
                </w:ffData>
              </w:fldChar>
            </w:r>
            <w:r w:rsidRPr="00002A62">
              <w:rPr>
                <w:rFonts w:ascii="Arial Narrow" w:hAnsi="Arial Narrow"/>
                <w:sz w:val="20"/>
              </w:rPr>
              <w:instrText xml:space="preserve"> FORMCHECKBOX </w:instrText>
            </w:r>
            <w:r w:rsidR="00507973">
              <w:rPr>
                <w:rFonts w:ascii="Arial Narrow" w:hAnsi="Arial Narrow"/>
                <w:sz w:val="20"/>
              </w:rPr>
            </w:r>
            <w:r w:rsidR="00507973">
              <w:rPr>
                <w:rFonts w:ascii="Arial Narrow" w:hAnsi="Arial Narrow"/>
                <w:sz w:val="20"/>
              </w:rPr>
              <w:fldChar w:fldCharType="separate"/>
            </w:r>
            <w:r w:rsidRPr="00002A62">
              <w:rPr>
                <w:rFonts w:ascii="Arial Narrow" w:hAnsi="Arial Narrow"/>
                <w:sz w:val="20"/>
              </w:rPr>
              <w:fldChar w:fldCharType="end"/>
            </w:r>
            <w:r w:rsidRPr="00002A62">
              <w:rPr>
                <w:rFonts w:ascii="Arial Narrow" w:hAnsi="Arial Narrow"/>
                <w:sz w:val="20"/>
              </w:rPr>
              <w:t>Optometrists</w:t>
            </w:r>
          </w:p>
          <w:p w:rsidR="00AD1400" w:rsidRPr="00002A62" w:rsidRDefault="00AD1400" w:rsidP="00576CF0">
            <w:pPr>
              <w:pStyle w:val="Table"/>
              <w:rPr>
                <w:rFonts w:ascii="Arial Narrow" w:hAnsi="Arial Narrow"/>
                <w:szCs w:val="20"/>
              </w:rPr>
            </w:pPr>
            <w:r w:rsidRPr="00002A62">
              <w:rPr>
                <w:rFonts w:ascii="Arial Narrow" w:hAnsi="Arial Narrow" w:cs="Arial"/>
                <w:szCs w:val="20"/>
              </w:rPr>
              <w:fldChar w:fldCharType="begin">
                <w:ffData>
                  <w:name w:val="Check5"/>
                  <w:enabled/>
                  <w:calcOnExit w:val="0"/>
                  <w:checkBox>
                    <w:sizeAuto/>
                    <w:default w:val="0"/>
                  </w:checkBox>
                </w:ffData>
              </w:fldChar>
            </w:r>
            <w:r w:rsidRPr="00002A62">
              <w:rPr>
                <w:rFonts w:ascii="Arial Narrow" w:hAnsi="Arial Narrow" w:cs="Arial"/>
                <w:szCs w:val="20"/>
              </w:rPr>
              <w:instrText xml:space="preserve"> FORMCHECKBOX </w:instrText>
            </w:r>
            <w:r w:rsidR="00507973">
              <w:rPr>
                <w:rFonts w:ascii="Arial Narrow" w:hAnsi="Arial Narrow" w:cs="Arial"/>
                <w:szCs w:val="20"/>
              </w:rPr>
            </w:r>
            <w:r w:rsidR="00507973">
              <w:rPr>
                <w:rFonts w:ascii="Arial Narrow" w:hAnsi="Arial Narrow" w:cs="Arial"/>
                <w:szCs w:val="20"/>
              </w:rPr>
              <w:fldChar w:fldCharType="separate"/>
            </w:r>
            <w:r w:rsidRPr="00002A62">
              <w:rPr>
                <w:rFonts w:ascii="Arial Narrow" w:hAnsi="Arial Narrow" w:cs="Arial"/>
                <w:szCs w:val="20"/>
              </w:rPr>
              <w:fldChar w:fldCharType="end"/>
            </w:r>
            <w:r w:rsidRPr="00002A62">
              <w:rPr>
                <w:rFonts w:ascii="Arial Narrow" w:hAnsi="Arial Narrow" w:cs="Arial"/>
                <w:szCs w:val="20"/>
              </w:rPr>
              <w:t>Midwives</w:t>
            </w:r>
          </w:p>
        </w:tc>
      </w:tr>
      <w:tr w:rsidR="00AD1400" w:rsidRPr="00002A62" w:rsidTr="00576CF0">
        <w:trPr>
          <w:cantSplit/>
        </w:trPr>
        <w:tc>
          <w:tcPr>
            <w:tcW w:w="1247" w:type="pct"/>
            <w:tcMar>
              <w:top w:w="0" w:type="dxa"/>
              <w:left w:w="108" w:type="dxa"/>
              <w:bottom w:w="0" w:type="dxa"/>
              <w:right w:w="108" w:type="dxa"/>
            </w:tcMar>
            <w:hideMark/>
          </w:tcPr>
          <w:p w:rsidR="00AD1400" w:rsidRPr="00002A62" w:rsidRDefault="00AD1400" w:rsidP="00576CF0">
            <w:pPr>
              <w:pStyle w:val="Table"/>
              <w:rPr>
                <w:rStyle w:val="SmallBold"/>
                <w:rFonts w:ascii="Arial Narrow" w:hAnsi="Arial Narrow"/>
                <w:szCs w:val="20"/>
              </w:rPr>
            </w:pPr>
            <w:r w:rsidRPr="00002A62">
              <w:rPr>
                <w:rStyle w:val="SmallBold"/>
                <w:rFonts w:ascii="Arial Narrow" w:hAnsi="Arial Narrow"/>
                <w:szCs w:val="20"/>
              </w:rPr>
              <w:t>PBS Indication:</w:t>
            </w:r>
          </w:p>
        </w:tc>
        <w:tc>
          <w:tcPr>
            <w:tcW w:w="3753" w:type="pct"/>
            <w:tcMar>
              <w:top w:w="0" w:type="dxa"/>
              <w:left w:w="108" w:type="dxa"/>
              <w:bottom w:w="0" w:type="dxa"/>
              <w:right w:w="108" w:type="dxa"/>
            </w:tcMar>
          </w:tcPr>
          <w:p w:rsidR="00AD1400" w:rsidRPr="00002A62" w:rsidRDefault="00AD1400" w:rsidP="00576CF0">
            <w:pPr>
              <w:pStyle w:val="Table"/>
              <w:rPr>
                <w:rFonts w:ascii="Arial Narrow" w:hAnsi="Arial Narrow"/>
                <w:szCs w:val="20"/>
              </w:rPr>
            </w:pPr>
            <w:r w:rsidRPr="00002A62">
              <w:rPr>
                <w:rFonts w:ascii="Arial Narrow" w:hAnsi="Arial Narrow"/>
              </w:rPr>
              <w:t>Chronic hepatitis B infection</w:t>
            </w:r>
          </w:p>
        </w:tc>
      </w:tr>
      <w:tr w:rsidR="00AD1400" w:rsidRPr="00002A62" w:rsidTr="00576CF0">
        <w:trPr>
          <w:cantSplit/>
        </w:trPr>
        <w:tc>
          <w:tcPr>
            <w:tcW w:w="1247" w:type="pct"/>
            <w:tcMar>
              <w:top w:w="0" w:type="dxa"/>
              <w:left w:w="108" w:type="dxa"/>
              <w:bottom w:w="0" w:type="dxa"/>
              <w:right w:w="108" w:type="dxa"/>
            </w:tcMar>
          </w:tcPr>
          <w:p w:rsidR="00AD1400" w:rsidRPr="00002A62" w:rsidRDefault="00AD1400" w:rsidP="00576CF0">
            <w:pPr>
              <w:rPr>
                <w:rFonts w:ascii="Arial Narrow" w:hAnsi="Arial Narrow"/>
                <w:i/>
                <w:sz w:val="20"/>
              </w:rPr>
            </w:pPr>
            <w:r w:rsidRPr="00002A62">
              <w:rPr>
                <w:rFonts w:ascii="Arial Narrow" w:hAnsi="Arial Narrow"/>
                <w:b/>
                <w:sz w:val="20"/>
              </w:rPr>
              <w:t>Restriction Level / Method:</w:t>
            </w:r>
          </w:p>
        </w:tc>
        <w:tc>
          <w:tcPr>
            <w:tcW w:w="3753" w:type="pct"/>
            <w:tcMar>
              <w:top w:w="0" w:type="dxa"/>
              <w:left w:w="108" w:type="dxa"/>
              <w:bottom w:w="0" w:type="dxa"/>
              <w:right w:w="108" w:type="dxa"/>
            </w:tcMar>
          </w:tcPr>
          <w:p w:rsidR="00AD1400" w:rsidRPr="00002A62" w:rsidRDefault="00AD1400" w:rsidP="00576CF0">
            <w:pPr>
              <w:rPr>
                <w:rFonts w:ascii="Arial Narrow" w:hAnsi="Arial Narrow"/>
                <w:sz w:val="20"/>
              </w:rPr>
            </w:pPr>
            <w:r w:rsidRPr="00002A62">
              <w:rPr>
                <w:rFonts w:ascii="Arial Narrow" w:hAnsi="Arial Narrow"/>
                <w:sz w:val="20"/>
              </w:rPr>
              <w:fldChar w:fldCharType="begin">
                <w:ffData>
                  <w:name w:val=""/>
                  <w:enabled/>
                  <w:calcOnExit w:val="0"/>
                  <w:checkBox>
                    <w:sizeAuto/>
                    <w:default w:val="1"/>
                  </w:checkBox>
                </w:ffData>
              </w:fldChar>
            </w:r>
            <w:r w:rsidRPr="00002A62">
              <w:rPr>
                <w:rFonts w:ascii="Arial Narrow" w:hAnsi="Arial Narrow"/>
                <w:sz w:val="20"/>
              </w:rPr>
              <w:instrText xml:space="preserve"> FORMCHECKBOX </w:instrText>
            </w:r>
            <w:r w:rsidR="00507973">
              <w:rPr>
                <w:rFonts w:ascii="Arial Narrow" w:hAnsi="Arial Narrow"/>
                <w:sz w:val="20"/>
              </w:rPr>
            </w:r>
            <w:r w:rsidR="00507973">
              <w:rPr>
                <w:rFonts w:ascii="Arial Narrow" w:hAnsi="Arial Narrow"/>
                <w:sz w:val="20"/>
              </w:rPr>
              <w:fldChar w:fldCharType="separate"/>
            </w:r>
            <w:r w:rsidRPr="00002A62">
              <w:rPr>
                <w:rFonts w:ascii="Arial Narrow" w:hAnsi="Arial Narrow"/>
                <w:sz w:val="20"/>
              </w:rPr>
              <w:fldChar w:fldCharType="end"/>
            </w:r>
            <w:r w:rsidRPr="00002A62">
              <w:rPr>
                <w:rFonts w:ascii="Arial Narrow" w:hAnsi="Arial Narrow"/>
                <w:sz w:val="20"/>
              </w:rPr>
              <w:t>Authority Required (STREAMLINED)</w:t>
            </w:r>
          </w:p>
        </w:tc>
      </w:tr>
      <w:tr w:rsidR="00AD1400" w:rsidRPr="00002A62" w:rsidTr="00576CF0">
        <w:trPr>
          <w:cantSplit/>
        </w:trPr>
        <w:tc>
          <w:tcPr>
            <w:tcW w:w="1247" w:type="pct"/>
            <w:tcMar>
              <w:top w:w="0" w:type="dxa"/>
              <w:left w:w="108" w:type="dxa"/>
              <w:bottom w:w="0" w:type="dxa"/>
              <w:right w:w="108" w:type="dxa"/>
            </w:tcMar>
            <w:hideMark/>
          </w:tcPr>
          <w:p w:rsidR="00AD1400" w:rsidRPr="00002A62" w:rsidRDefault="00AD1400" w:rsidP="00576CF0">
            <w:pPr>
              <w:pStyle w:val="Table"/>
              <w:rPr>
                <w:rStyle w:val="SmallBold"/>
                <w:rFonts w:ascii="Arial Narrow" w:hAnsi="Arial Narrow"/>
                <w:szCs w:val="20"/>
              </w:rPr>
            </w:pPr>
            <w:r w:rsidRPr="00002A62">
              <w:rPr>
                <w:rStyle w:val="SmallBold"/>
                <w:rFonts w:ascii="Arial Narrow" w:hAnsi="Arial Narrow"/>
                <w:szCs w:val="20"/>
              </w:rPr>
              <w:t>Clinical criteria:</w:t>
            </w:r>
          </w:p>
        </w:tc>
        <w:tc>
          <w:tcPr>
            <w:tcW w:w="3753" w:type="pct"/>
            <w:tcMar>
              <w:top w:w="0" w:type="dxa"/>
              <w:left w:w="108" w:type="dxa"/>
              <w:bottom w:w="0" w:type="dxa"/>
              <w:right w:w="108" w:type="dxa"/>
            </w:tcMar>
          </w:tcPr>
          <w:p w:rsidR="00AD1400" w:rsidRPr="00002A62" w:rsidRDefault="00AD1400" w:rsidP="00576CF0">
            <w:pPr>
              <w:pStyle w:val="Table"/>
              <w:rPr>
                <w:rFonts w:ascii="Arial Narrow" w:hAnsi="Arial Narrow"/>
                <w:b/>
                <w:bCs/>
                <w:szCs w:val="20"/>
              </w:rPr>
            </w:pPr>
            <w:r w:rsidRPr="00002A62">
              <w:rPr>
                <w:rFonts w:ascii="Arial Narrow" w:hAnsi="Arial Narrow"/>
                <w:szCs w:val="20"/>
              </w:rPr>
              <w:t xml:space="preserve">Patient must </w:t>
            </w:r>
            <w:r w:rsidRPr="00002A62">
              <w:rPr>
                <w:rFonts w:ascii="Arial Narrow" w:hAnsi="Arial Narrow"/>
                <w:b/>
                <w:bCs/>
                <w:szCs w:val="20"/>
                <w:u w:val="single"/>
              </w:rPr>
              <w:t xml:space="preserve">not </w:t>
            </w:r>
            <w:r w:rsidRPr="00002A62">
              <w:rPr>
                <w:rFonts w:ascii="Arial Narrow" w:hAnsi="Arial Narrow"/>
                <w:b/>
                <w:bCs/>
                <w:szCs w:val="20"/>
              </w:rPr>
              <w:t>have cirrhosis,</w:t>
            </w:r>
          </w:p>
          <w:p w:rsidR="00AD1400" w:rsidRPr="00002A62" w:rsidRDefault="00AD1400" w:rsidP="00576CF0">
            <w:pPr>
              <w:pStyle w:val="Table"/>
              <w:rPr>
                <w:rFonts w:ascii="Arial Narrow" w:hAnsi="Arial Narrow"/>
                <w:szCs w:val="20"/>
              </w:rPr>
            </w:pPr>
            <w:r w:rsidRPr="00002A62">
              <w:rPr>
                <w:rFonts w:ascii="Arial Narrow" w:hAnsi="Arial Narrow"/>
                <w:szCs w:val="20"/>
              </w:rPr>
              <w:t>AND</w:t>
            </w:r>
          </w:p>
          <w:p w:rsidR="00AD1400" w:rsidRPr="00002A62" w:rsidRDefault="00AD1400" w:rsidP="00576CF0">
            <w:pPr>
              <w:pStyle w:val="Table"/>
              <w:rPr>
                <w:rFonts w:ascii="Arial Narrow" w:hAnsi="Arial Narrow"/>
                <w:szCs w:val="20"/>
              </w:rPr>
            </w:pPr>
            <w:r w:rsidRPr="00002A62">
              <w:rPr>
                <w:rFonts w:ascii="Arial Narrow" w:hAnsi="Arial Narrow"/>
                <w:szCs w:val="20"/>
              </w:rPr>
              <w:t xml:space="preserve">Patient must have </w:t>
            </w:r>
            <w:r w:rsidRPr="00002A62">
              <w:rPr>
                <w:rFonts w:ascii="Arial Narrow" w:hAnsi="Arial Narrow"/>
                <w:b/>
                <w:bCs/>
                <w:szCs w:val="20"/>
              </w:rPr>
              <w:t>failed antihepadnaviral therapy</w:t>
            </w:r>
            <w:r w:rsidRPr="00002A62">
              <w:rPr>
                <w:rFonts w:ascii="Arial Narrow" w:hAnsi="Arial Narrow"/>
                <w:szCs w:val="20"/>
              </w:rPr>
              <w:t>,</w:t>
            </w:r>
          </w:p>
          <w:p w:rsidR="00AD1400" w:rsidRPr="00002A62" w:rsidRDefault="00AD1400" w:rsidP="00576CF0">
            <w:pPr>
              <w:pStyle w:val="Table"/>
              <w:rPr>
                <w:rFonts w:ascii="Arial Narrow" w:hAnsi="Arial Narrow"/>
                <w:szCs w:val="20"/>
              </w:rPr>
            </w:pPr>
            <w:r w:rsidRPr="00002A62">
              <w:rPr>
                <w:rFonts w:ascii="Arial Narrow" w:hAnsi="Arial Narrow"/>
                <w:szCs w:val="20"/>
              </w:rPr>
              <w:t>AND</w:t>
            </w:r>
          </w:p>
          <w:p w:rsidR="00AD1400" w:rsidRPr="00002A62" w:rsidRDefault="00AD1400" w:rsidP="00576CF0">
            <w:pPr>
              <w:pStyle w:val="Table"/>
              <w:rPr>
                <w:rFonts w:ascii="Arial Narrow" w:hAnsi="Arial Narrow"/>
                <w:szCs w:val="20"/>
              </w:rPr>
            </w:pPr>
            <w:r w:rsidRPr="00002A62">
              <w:rPr>
                <w:rFonts w:ascii="Arial Narrow" w:hAnsi="Arial Narrow"/>
                <w:szCs w:val="20"/>
              </w:rPr>
              <w:t>Patient must have repeatedly elevated serum ALT levels while on concurrent antihepadnaviral therapy of greater than or equal to 6 months duration, in conjunction with documented chronic hepatitis B infection; OR</w:t>
            </w:r>
          </w:p>
          <w:p w:rsidR="00AD1400" w:rsidRPr="00002A62" w:rsidRDefault="00AD1400" w:rsidP="00576CF0">
            <w:pPr>
              <w:pStyle w:val="Table"/>
              <w:rPr>
                <w:rFonts w:ascii="Arial Narrow" w:hAnsi="Arial Narrow"/>
                <w:szCs w:val="20"/>
              </w:rPr>
            </w:pPr>
            <w:r w:rsidRPr="00002A62">
              <w:rPr>
                <w:rFonts w:ascii="Arial Narrow" w:hAnsi="Arial Narrow"/>
                <w:szCs w:val="20"/>
              </w:rPr>
              <w:t>Patient must have repeatedly elevated HBV DNA levels one log greater than the nadir value or failure to achieve a 1 log reduction in HBV DNA within 3 months whilst on previous antihepadnaviral therapy, except in patients with evidence of poor compliance.</w:t>
            </w:r>
          </w:p>
        </w:tc>
      </w:tr>
      <w:tr w:rsidR="00AD1400" w:rsidRPr="00002A62" w:rsidTr="00576CF0">
        <w:tc>
          <w:tcPr>
            <w:tcW w:w="1247" w:type="pct"/>
            <w:hideMark/>
          </w:tcPr>
          <w:p w:rsidR="00AD1400" w:rsidRPr="00002A62" w:rsidRDefault="00AD1400" w:rsidP="00576CF0">
            <w:pPr>
              <w:ind w:left="137"/>
              <w:rPr>
                <w:rFonts w:ascii="Arial Narrow" w:hAnsi="Arial Narrow"/>
                <w:sz w:val="20"/>
              </w:rPr>
            </w:pPr>
            <w:r w:rsidRPr="00002A62">
              <w:rPr>
                <w:rStyle w:val="SmallBold"/>
                <w:rFonts w:ascii="Arial Narrow" w:hAnsi="Arial Narrow"/>
              </w:rPr>
              <w:t>Notes:</w:t>
            </w:r>
          </w:p>
        </w:tc>
        <w:tc>
          <w:tcPr>
            <w:tcW w:w="3753" w:type="pct"/>
            <w:vAlign w:val="center"/>
          </w:tcPr>
          <w:p w:rsidR="00AD1400" w:rsidRPr="00002A62" w:rsidRDefault="00AD1400" w:rsidP="00576CF0">
            <w:pPr>
              <w:pStyle w:val="Table"/>
              <w:ind w:left="66"/>
              <w:rPr>
                <w:rFonts w:ascii="Arial Narrow" w:hAnsi="Arial Narrow"/>
                <w:szCs w:val="20"/>
              </w:rPr>
            </w:pPr>
            <w:r w:rsidRPr="00002A62">
              <w:rPr>
                <w:rFonts w:ascii="Arial Narrow" w:hAnsi="Arial Narrow"/>
                <w:szCs w:val="20"/>
              </w:rPr>
              <w:t>Patients may receive treatment in combination with lamivudine but not with other PBS-subsidised antihepadnaviral therapy.</w:t>
            </w:r>
          </w:p>
        </w:tc>
      </w:tr>
    </w:tbl>
    <w:p w:rsidR="00C93864" w:rsidRPr="00002A62" w:rsidRDefault="00C93864" w:rsidP="00C93864"/>
    <w:p w:rsidR="007F67A5" w:rsidRDefault="007F67A5" w:rsidP="007F67A5">
      <w:pPr>
        <w:pStyle w:val="PBACHeading1"/>
        <w:ind w:left="709" w:hanging="709"/>
      </w:pPr>
      <w:r w:rsidRPr="00485DD3">
        <w:t>Context for Decision</w:t>
      </w:r>
    </w:p>
    <w:p w:rsidR="007F67A5" w:rsidRDefault="007F67A5" w:rsidP="007F67A5">
      <w:pPr>
        <w:ind w:left="709"/>
      </w:pPr>
    </w:p>
    <w:p w:rsidR="007F67A5" w:rsidRDefault="007F67A5" w:rsidP="007F67A5">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F67A5" w:rsidRDefault="007F67A5" w:rsidP="007F67A5">
      <w:pPr>
        <w:ind w:left="709"/>
      </w:pPr>
    </w:p>
    <w:p w:rsidR="007F67A5" w:rsidRDefault="007F67A5" w:rsidP="007F67A5">
      <w:pPr>
        <w:ind w:left="709"/>
      </w:pPr>
    </w:p>
    <w:p w:rsidR="007F67A5" w:rsidRPr="00B0280B" w:rsidRDefault="007F67A5" w:rsidP="007F67A5">
      <w:pPr>
        <w:pStyle w:val="PBACHeading1"/>
        <w:ind w:left="709" w:hanging="709"/>
      </w:pPr>
      <w:r w:rsidRPr="00485DD3">
        <w:t>Sponsor’s Comment</w:t>
      </w:r>
    </w:p>
    <w:p w:rsidR="007F67A5" w:rsidRDefault="007F67A5" w:rsidP="007F67A5">
      <w:pPr>
        <w:ind w:left="709"/>
        <w:rPr>
          <w:bCs/>
          <w:highlight w:val="yellow"/>
          <w:lang w:val="en-GB"/>
        </w:rPr>
      </w:pPr>
    </w:p>
    <w:p w:rsidR="005C0716" w:rsidRPr="00002A62" w:rsidRDefault="007F67A5" w:rsidP="007F67A5">
      <w:pPr>
        <w:spacing w:after="120"/>
        <w:ind w:left="426" w:firstLine="283"/>
        <w:rPr>
          <w:szCs w:val="22"/>
        </w:rPr>
      </w:pPr>
      <w:r w:rsidRPr="003035CC">
        <w:rPr>
          <w:bCs/>
        </w:rPr>
        <w:t>The sponsor had no comment.</w:t>
      </w:r>
    </w:p>
    <w:sectPr w:rsidR="005C0716" w:rsidRPr="00002A62" w:rsidSect="00215F9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680276" w15:done="0"/>
  <w15:commentEx w15:paraId="339C7992" w15:paraIdParent="45680276" w15:done="0"/>
  <w15:commentEx w15:paraId="7C957284" w15:done="0"/>
  <w15:commentEx w15:paraId="011E594B" w15:done="0"/>
  <w15:commentEx w15:paraId="79E959C8" w15:paraIdParent="011E594B" w15:done="0"/>
  <w15:commentEx w15:paraId="65BBF85D" w15:done="0"/>
  <w15:commentEx w15:paraId="63CF1724" w15:done="0"/>
  <w15:commentEx w15:paraId="6D07362F" w15:done="0"/>
  <w15:commentEx w15:paraId="0E58BF0C" w15:done="0"/>
  <w15:commentEx w15:paraId="71D20A92" w15:paraIdParent="0E58BF0C" w15:done="0"/>
  <w15:commentEx w15:paraId="0E3CA354" w15:done="0"/>
  <w15:commentEx w15:paraId="38F0EE21" w15:done="0"/>
  <w15:commentEx w15:paraId="1370D738" w15:paraIdParent="38F0EE21" w15:done="0"/>
  <w15:commentEx w15:paraId="1E23A2A0" w15:paraIdParent="38F0EE21" w15:done="0"/>
  <w15:commentEx w15:paraId="18082642" w15:done="0"/>
  <w15:commentEx w15:paraId="0D53E3F5" w15:paraIdParent="18082642" w15:done="0"/>
  <w15:commentEx w15:paraId="355D2D25" w15:done="0"/>
  <w15:commentEx w15:paraId="086FABE3" w15:paraIdParent="355D2D25" w15:done="0"/>
  <w15:commentEx w15:paraId="3932747A" w15:done="0"/>
  <w15:commentEx w15:paraId="26ABEB5F" w15:paraIdParent="3932747A" w15:done="0"/>
  <w15:commentEx w15:paraId="5E7E675B" w15:done="0"/>
  <w15:commentEx w15:paraId="1A72C001" w15:paraIdParent="5E7E675B" w15:done="0"/>
  <w15:commentEx w15:paraId="4AD01D28" w15:done="0"/>
  <w15:commentEx w15:paraId="415E6356" w15:done="0"/>
  <w15:commentEx w15:paraId="25BE377D" w15:done="0"/>
  <w15:commentEx w15:paraId="466C79D8" w15:paraIdParent="25BE377D" w15:done="0"/>
  <w15:commentEx w15:paraId="03B4C3DE" w15:done="0"/>
  <w15:commentEx w15:paraId="3A31D5F4" w15:done="0"/>
  <w15:commentEx w15:paraId="24E9B9E0" w15:paraIdParent="3A31D5F4" w15:done="0"/>
  <w15:commentEx w15:paraId="3D2AE1AA" w15:done="0"/>
  <w15:commentEx w15:paraId="09B69417" w15:done="0"/>
  <w15:commentEx w15:paraId="3883B814" w15:done="0"/>
  <w15:commentEx w15:paraId="034A31F3" w15:done="0"/>
  <w15:commentEx w15:paraId="3A571CAA" w15:done="0"/>
  <w15:commentEx w15:paraId="4EDEAF8D" w15:paraIdParent="3A571CAA" w15:done="0"/>
  <w15:commentEx w15:paraId="1F9433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973" w:rsidRDefault="00507973" w:rsidP="00124A51">
      <w:r>
        <w:separator/>
      </w:r>
    </w:p>
  </w:endnote>
  <w:endnote w:type="continuationSeparator" w:id="0">
    <w:p w:rsidR="00507973" w:rsidRDefault="00507973"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973" w:rsidRDefault="005079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9E5" w:rsidRPr="00D13A3E" w:rsidRDefault="001859E5" w:rsidP="00015886">
    <w:pPr>
      <w:ind w:right="360"/>
      <w:jc w:val="center"/>
      <w:rPr>
        <w:b/>
        <w:sz w:val="20"/>
      </w:rPr>
    </w:pPr>
  </w:p>
  <w:p w:rsidR="001859E5" w:rsidRPr="00015886" w:rsidRDefault="001859E5" w:rsidP="00C93864">
    <w:pPr>
      <w:ind w:right="360"/>
      <w:jc w:val="center"/>
      <w:rPr>
        <w:b/>
        <w:sz w:val="20"/>
      </w:rPr>
    </w:pPr>
    <w:r w:rsidRPr="00651169">
      <w:rPr>
        <w:sz w:val="20"/>
      </w:rPr>
      <w:fldChar w:fldCharType="begin"/>
    </w:r>
    <w:r w:rsidRPr="00651169">
      <w:rPr>
        <w:sz w:val="20"/>
      </w:rPr>
      <w:instrText xml:space="preserve"> PAGE   \* MERGEFORMAT </w:instrText>
    </w:r>
    <w:r w:rsidRPr="00651169">
      <w:rPr>
        <w:sz w:val="20"/>
      </w:rPr>
      <w:fldChar w:fldCharType="separate"/>
    </w:r>
    <w:r w:rsidR="00507973">
      <w:rPr>
        <w:noProof/>
        <w:sz w:val="20"/>
      </w:rPr>
      <w:t>1</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973" w:rsidRDefault="00507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973" w:rsidRDefault="00507973" w:rsidP="00124A51">
      <w:r>
        <w:separator/>
      </w:r>
    </w:p>
  </w:footnote>
  <w:footnote w:type="continuationSeparator" w:id="0">
    <w:p w:rsidR="00507973" w:rsidRDefault="00507973"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973" w:rsidRDefault="005079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9E5" w:rsidRPr="00DF217D" w:rsidRDefault="001859E5" w:rsidP="007F67A5">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March 2017 </w:t>
    </w:r>
    <w:r w:rsidRPr="00DF217D">
      <w:rPr>
        <w:i/>
        <w:color w:val="808080"/>
      </w:rPr>
      <w:t>PBAC</w:t>
    </w:r>
    <w:r>
      <w:rPr>
        <w:i/>
        <w:color w:val="808080"/>
      </w:rPr>
      <w:t xml:space="preserve"> </w:t>
    </w:r>
    <w:r w:rsidRPr="00DF217D">
      <w:rPr>
        <w:i/>
        <w:color w:val="808080"/>
      </w:rPr>
      <w:t>Meeting</w:t>
    </w:r>
  </w:p>
  <w:p w:rsidR="001859E5" w:rsidRPr="008C7ECB" w:rsidRDefault="001859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973" w:rsidRDefault="005079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62B03"/>
    <w:multiLevelType w:val="hybridMultilevel"/>
    <w:tmpl w:val="BDE6B3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1A34E67"/>
    <w:multiLevelType w:val="hybridMultilevel"/>
    <w:tmpl w:val="9A206E5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2C4237A"/>
    <w:multiLevelType w:val="hybridMultilevel"/>
    <w:tmpl w:val="D3A87E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1F967AC2"/>
    <w:multiLevelType w:val="hybridMultilevel"/>
    <w:tmpl w:val="6F78EB90"/>
    <w:lvl w:ilvl="0" w:tplc="B018371A">
      <w:start w:val="1"/>
      <w:numFmt w:val="bullet"/>
      <w:lvlText w:val="-"/>
      <w:lvlJc w:val="left"/>
      <w:pPr>
        <w:ind w:left="971" w:hanging="360"/>
      </w:pPr>
      <w:rPr>
        <w:rFonts w:ascii="Arial Narrow" w:hAnsi="Arial Narrow" w:hint="default"/>
      </w:rPr>
    </w:lvl>
    <w:lvl w:ilvl="1" w:tplc="0C090003" w:tentative="1">
      <w:start w:val="1"/>
      <w:numFmt w:val="bullet"/>
      <w:lvlText w:val="o"/>
      <w:lvlJc w:val="left"/>
      <w:pPr>
        <w:ind w:left="1691" w:hanging="360"/>
      </w:pPr>
      <w:rPr>
        <w:rFonts w:ascii="Courier New" w:hAnsi="Courier New" w:cs="Courier New" w:hint="default"/>
      </w:rPr>
    </w:lvl>
    <w:lvl w:ilvl="2" w:tplc="0C090005" w:tentative="1">
      <w:start w:val="1"/>
      <w:numFmt w:val="bullet"/>
      <w:lvlText w:val=""/>
      <w:lvlJc w:val="left"/>
      <w:pPr>
        <w:ind w:left="2411" w:hanging="360"/>
      </w:pPr>
      <w:rPr>
        <w:rFonts w:ascii="Wingdings" w:hAnsi="Wingdings" w:hint="default"/>
      </w:rPr>
    </w:lvl>
    <w:lvl w:ilvl="3" w:tplc="0C090001" w:tentative="1">
      <w:start w:val="1"/>
      <w:numFmt w:val="bullet"/>
      <w:lvlText w:val=""/>
      <w:lvlJc w:val="left"/>
      <w:pPr>
        <w:ind w:left="3131" w:hanging="360"/>
      </w:pPr>
      <w:rPr>
        <w:rFonts w:ascii="Symbol" w:hAnsi="Symbol" w:hint="default"/>
      </w:rPr>
    </w:lvl>
    <w:lvl w:ilvl="4" w:tplc="0C090003" w:tentative="1">
      <w:start w:val="1"/>
      <w:numFmt w:val="bullet"/>
      <w:lvlText w:val="o"/>
      <w:lvlJc w:val="left"/>
      <w:pPr>
        <w:ind w:left="3851" w:hanging="360"/>
      </w:pPr>
      <w:rPr>
        <w:rFonts w:ascii="Courier New" w:hAnsi="Courier New" w:cs="Courier New" w:hint="default"/>
      </w:rPr>
    </w:lvl>
    <w:lvl w:ilvl="5" w:tplc="0C090005" w:tentative="1">
      <w:start w:val="1"/>
      <w:numFmt w:val="bullet"/>
      <w:lvlText w:val=""/>
      <w:lvlJc w:val="left"/>
      <w:pPr>
        <w:ind w:left="4571" w:hanging="360"/>
      </w:pPr>
      <w:rPr>
        <w:rFonts w:ascii="Wingdings" w:hAnsi="Wingdings" w:hint="default"/>
      </w:rPr>
    </w:lvl>
    <w:lvl w:ilvl="6" w:tplc="0C090001" w:tentative="1">
      <w:start w:val="1"/>
      <w:numFmt w:val="bullet"/>
      <w:lvlText w:val=""/>
      <w:lvlJc w:val="left"/>
      <w:pPr>
        <w:ind w:left="5291" w:hanging="360"/>
      </w:pPr>
      <w:rPr>
        <w:rFonts w:ascii="Symbol" w:hAnsi="Symbol" w:hint="default"/>
      </w:rPr>
    </w:lvl>
    <w:lvl w:ilvl="7" w:tplc="0C090003" w:tentative="1">
      <w:start w:val="1"/>
      <w:numFmt w:val="bullet"/>
      <w:lvlText w:val="o"/>
      <w:lvlJc w:val="left"/>
      <w:pPr>
        <w:ind w:left="6011" w:hanging="360"/>
      </w:pPr>
      <w:rPr>
        <w:rFonts w:ascii="Courier New" w:hAnsi="Courier New" w:cs="Courier New" w:hint="default"/>
      </w:rPr>
    </w:lvl>
    <w:lvl w:ilvl="8" w:tplc="0C090005" w:tentative="1">
      <w:start w:val="1"/>
      <w:numFmt w:val="bullet"/>
      <w:lvlText w:val=""/>
      <w:lvlJc w:val="left"/>
      <w:pPr>
        <w:ind w:left="6731" w:hanging="360"/>
      </w:pPr>
      <w:rPr>
        <w:rFonts w:ascii="Wingdings" w:hAnsi="Wingdings" w:hint="default"/>
      </w:rPr>
    </w:lvl>
  </w:abstractNum>
  <w:abstractNum w:abstractNumId="7">
    <w:nsid w:val="21D11091"/>
    <w:multiLevelType w:val="hybridMultilevel"/>
    <w:tmpl w:val="9DE258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47C6152"/>
    <w:multiLevelType w:val="hybridMultilevel"/>
    <w:tmpl w:val="8B7CBD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1">
    <w:nsid w:val="33EF2819"/>
    <w:multiLevelType w:val="hybridMultilevel"/>
    <w:tmpl w:val="154EC8EA"/>
    <w:lvl w:ilvl="0" w:tplc="B018371A">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4">
    <w:nsid w:val="49284645"/>
    <w:multiLevelType w:val="hybridMultilevel"/>
    <w:tmpl w:val="DCE83A2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93672CE"/>
    <w:multiLevelType w:val="hybridMultilevel"/>
    <w:tmpl w:val="F6E440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nsid w:val="546C764E"/>
    <w:multiLevelType w:val="hybridMultilevel"/>
    <w:tmpl w:val="BBC4F274"/>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01E31F7"/>
    <w:multiLevelType w:val="hybridMultilevel"/>
    <w:tmpl w:val="868637F6"/>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64015829"/>
    <w:multiLevelType w:val="hybridMultilevel"/>
    <w:tmpl w:val="BDBA3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9180B7C"/>
    <w:multiLevelType w:val="hybridMultilevel"/>
    <w:tmpl w:val="9950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40C501E"/>
    <w:multiLevelType w:val="hybridMultilevel"/>
    <w:tmpl w:val="8FAC5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84D033C"/>
    <w:multiLevelType w:val="multilevel"/>
    <w:tmpl w:val="676E3E68"/>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bCs/>
        <w:i w:val="0"/>
        <w:i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3"/>
  </w:num>
  <w:num w:numId="3">
    <w:abstractNumId w:val="10"/>
  </w:num>
  <w:num w:numId="4">
    <w:abstractNumId w:val="16"/>
  </w:num>
  <w:num w:numId="5">
    <w:abstractNumId w:val="12"/>
  </w:num>
  <w:num w:numId="6">
    <w:abstractNumId w:val="1"/>
  </w:num>
  <w:num w:numId="7">
    <w:abstractNumId w:val="25"/>
  </w:num>
  <w:num w:numId="8">
    <w:abstractNumId w:val="9"/>
  </w:num>
  <w:num w:numId="9">
    <w:abstractNumId w:val="14"/>
  </w:num>
  <w:num w:numId="10">
    <w:abstractNumId w:val="21"/>
  </w:num>
  <w:num w:numId="11">
    <w:abstractNumId w:val="20"/>
  </w:num>
  <w:num w:numId="12">
    <w:abstractNumId w:val="17"/>
  </w:num>
  <w:num w:numId="13">
    <w:abstractNumId w:val="11"/>
  </w:num>
  <w:num w:numId="14">
    <w:abstractNumId w:val="6"/>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2"/>
  </w:num>
  <w:num w:numId="18">
    <w:abstractNumId w:val="23"/>
  </w:num>
  <w:num w:numId="19">
    <w:abstractNumId w:val="4"/>
  </w:num>
  <w:num w:numId="20">
    <w:abstractNumId w:val="24"/>
  </w:num>
  <w:num w:numId="21">
    <w:abstractNumId w:val="2"/>
  </w:num>
  <w:num w:numId="22">
    <w:abstractNumId w:val="15"/>
  </w:num>
  <w:num w:numId="23">
    <w:abstractNumId w:val="25"/>
  </w:num>
  <w:num w:numId="24">
    <w:abstractNumId w:val="18"/>
  </w:num>
  <w:num w:numId="25">
    <w:abstractNumId w:val="3"/>
  </w:num>
  <w:num w:numId="26">
    <w:abstractNumId w:val="0"/>
  </w:num>
  <w:num w:numId="27">
    <w:abstractNumId w:val="8"/>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 Jing Li">
    <w15:presenceInfo w15:providerId="AD" w15:userId="S-1-5-21-948756243-734778046-674738317-10081"/>
  </w15:person>
  <w15:person w15:author="Jing Jing Li [2]">
    <w15:presenceInfo w15:providerId="Windows Live" w15:userId="9a9844947a5d3322"/>
  </w15:person>
  <w15:person w15:author="Francis Ip">
    <w15:presenceInfo w15:providerId="AD" w15:userId="S-1-5-21-948756243-734778046-674738317-2373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21A7"/>
    <w:rsid w:val="000029BB"/>
    <w:rsid w:val="00002A62"/>
    <w:rsid w:val="00002E73"/>
    <w:rsid w:val="00003152"/>
    <w:rsid w:val="0000323E"/>
    <w:rsid w:val="00003499"/>
    <w:rsid w:val="00003593"/>
    <w:rsid w:val="00011926"/>
    <w:rsid w:val="0001244D"/>
    <w:rsid w:val="0001296C"/>
    <w:rsid w:val="00013247"/>
    <w:rsid w:val="00015886"/>
    <w:rsid w:val="000162EF"/>
    <w:rsid w:val="00020F15"/>
    <w:rsid w:val="0002225F"/>
    <w:rsid w:val="000226C8"/>
    <w:rsid w:val="00023763"/>
    <w:rsid w:val="00023C73"/>
    <w:rsid w:val="000247B0"/>
    <w:rsid w:val="00025B8B"/>
    <w:rsid w:val="000304C8"/>
    <w:rsid w:val="0003285E"/>
    <w:rsid w:val="00032BC2"/>
    <w:rsid w:val="0003502E"/>
    <w:rsid w:val="0003619C"/>
    <w:rsid w:val="00036DF8"/>
    <w:rsid w:val="00040895"/>
    <w:rsid w:val="00042234"/>
    <w:rsid w:val="00043C37"/>
    <w:rsid w:val="00045AEA"/>
    <w:rsid w:val="00046486"/>
    <w:rsid w:val="0005116B"/>
    <w:rsid w:val="00051784"/>
    <w:rsid w:val="00051A54"/>
    <w:rsid w:val="00051FB0"/>
    <w:rsid w:val="00052A7D"/>
    <w:rsid w:val="00053414"/>
    <w:rsid w:val="00053781"/>
    <w:rsid w:val="00054347"/>
    <w:rsid w:val="000546D7"/>
    <w:rsid w:val="00054973"/>
    <w:rsid w:val="00055005"/>
    <w:rsid w:val="000564DF"/>
    <w:rsid w:val="00057677"/>
    <w:rsid w:val="00057E8C"/>
    <w:rsid w:val="00060023"/>
    <w:rsid w:val="00061D5B"/>
    <w:rsid w:val="000633A4"/>
    <w:rsid w:val="00064124"/>
    <w:rsid w:val="0006548A"/>
    <w:rsid w:val="00065CA8"/>
    <w:rsid w:val="00067EFE"/>
    <w:rsid w:val="00071248"/>
    <w:rsid w:val="000714A5"/>
    <w:rsid w:val="000720B9"/>
    <w:rsid w:val="0007623B"/>
    <w:rsid w:val="000812CA"/>
    <w:rsid w:val="0008131E"/>
    <w:rsid w:val="00081EB3"/>
    <w:rsid w:val="000828DC"/>
    <w:rsid w:val="000847B5"/>
    <w:rsid w:val="00085185"/>
    <w:rsid w:val="00086341"/>
    <w:rsid w:val="0008682D"/>
    <w:rsid w:val="00090A62"/>
    <w:rsid w:val="00090C7E"/>
    <w:rsid w:val="0009413B"/>
    <w:rsid w:val="0009424A"/>
    <w:rsid w:val="00096996"/>
    <w:rsid w:val="000977B1"/>
    <w:rsid w:val="000A1E25"/>
    <w:rsid w:val="000A5021"/>
    <w:rsid w:val="000A5CA3"/>
    <w:rsid w:val="000A6597"/>
    <w:rsid w:val="000A73D0"/>
    <w:rsid w:val="000B7117"/>
    <w:rsid w:val="000C0743"/>
    <w:rsid w:val="000C096A"/>
    <w:rsid w:val="000C1DCA"/>
    <w:rsid w:val="000C2524"/>
    <w:rsid w:val="000C284A"/>
    <w:rsid w:val="000C3E80"/>
    <w:rsid w:val="000D0709"/>
    <w:rsid w:val="000D12F9"/>
    <w:rsid w:val="000D1BFC"/>
    <w:rsid w:val="000D3E85"/>
    <w:rsid w:val="000E1642"/>
    <w:rsid w:val="000E17A5"/>
    <w:rsid w:val="000E4F0A"/>
    <w:rsid w:val="000E4F21"/>
    <w:rsid w:val="000F0C1C"/>
    <w:rsid w:val="000F0E7F"/>
    <w:rsid w:val="000F1C2F"/>
    <w:rsid w:val="000F4BB8"/>
    <w:rsid w:val="000F62EE"/>
    <w:rsid w:val="000F6A08"/>
    <w:rsid w:val="000F7127"/>
    <w:rsid w:val="00100F8A"/>
    <w:rsid w:val="00103950"/>
    <w:rsid w:val="0010542A"/>
    <w:rsid w:val="001062A1"/>
    <w:rsid w:val="00107687"/>
    <w:rsid w:val="00107CB7"/>
    <w:rsid w:val="0011032E"/>
    <w:rsid w:val="00110EA6"/>
    <w:rsid w:val="00110ED2"/>
    <w:rsid w:val="0011348B"/>
    <w:rsid w:val="00116535"/>
    <w:rsid w:val="00121799"/>
    <w:rsid w:val="001222FC"/>
    <w:rsid w:val="00124A51"/>
    <w:rsid w:val="00126621"/>
    <w:rsid w:val="001301E9"/>
    <w:rsid w:val="00132594"/>
    <w:rsid w:val="001335C1"/>
    <w:rsid w:val="00137645"/>
    <w:rsid w:val="00140026"/>
    <w:rsid w:val="0014015A"/>
    <w:rsid w:val="001406AA"/>
    <w:rsid w:val="00140E99"/>
    <w:rsid w:val="001413C6"/>
    <w:rsid w:val="001421EC"/>
    <w:rsid w:val="0014284B"/>
    <w:rsid w:val="00144470"/>
    <w:rsid w:val="00145540"/>
    <w:rsid w:val="001456B0"/>
    <w:rsid w:val="0015174A"/>
    <w:rsid w:val="00151B70"/>
    <w:rsid w:val="00152A3C"/>
    <w:rsid w:val="00155FB3"/>
    <w:rsid w:val="00157130"/>
    <w:rsid w:val="00157D23"/>
    <w:rsid w:val="001623F8"/>
    <w:rsid w:val="00162767"/>
    <w:rsid w:val="00162913"/>
    <w:rsid w:val="00163E01"/>
    <w:rsid w:val="00163EFF"/>
    <w:rsid w:val="001661FB"/>
    <w:rsid w:val="00166BB5"/>
    <w:rsid w:val="00166ED1"/>
    <w:rsid w:val="00170E1E"/>
    <w:rsid w:val="00171D25"/>
    <w:rsid w:val="001755CE"/>
    <w:rsid w:val="001777B0"/>
    <w:rsid w:val="001828E1"/>
    <w:rsid w:val="00184547"/>
    <w:rsid w:val="001859E5"/>
    <w:rsid w:val="00186DD4"/>
    <w:rsid w:val="00187050"/>
    <w:rsid w:val="0018752F"/>
    <w:rsid w:val="001903B5"/>
    <w:rsid w:val="00193AB5"/>
    <w:rsid w:val="00194080"/>
    <w:rsid w:val="00195222"/>
    <w:rsid w:val="00195A11"/>
    <w:rsid w:val="00196805"/>
    <w:rsid w:val="001975D8"/>
    <w:rsid w:val="001A0267"/>
    <w:rsid w:val="001A1A22"/>
    <w:rsid w:val="001A2170"/>
    <w:rsid w:val="001A219F"/>
    <w:rsid w:val="001A4926"/>
    <w:rsid w:val="001A5EC9"/>
    <w:rsid w:val="001A6B0F"/>
    <w:rsid w:val="001A7042"/>
    <w:rsid w:val="001B25D7"/>
    <w:rsid w:val="001B3443"/>
    <w:rsid w:val="001B3C20"/>
    <w:rsid w:val="001B6315"/>
    <w:rsid w:val="001B7555"/>
    <w:rsid w:val="001C0C92"/>
    <w:rsid w:val="001C3554"/>
    <w:rsid w:val="001C3C18"/>
    <w:rsid w:val="001C6E66"/>
    <w:rsid w:val="001C736F"/>
    <w:rsid w:val="001C79BD"/>
    <w:rsid w:val="001C7A59"/>
    <w:rsid w:val="001D378D"/>
    <w:rsid w:val="001E238E"/>
    <w:rsid w:val="001E2B1E"/>
    <w:rsid w:val="001E498D"/>
    <w:rsid w:val="001E52EB"/>
    <w:rsid w:val="001E5BCC"/>
    <w:rsid w:val="001E740C"/>
    <w:rsid w:val="001F1235"/>
    <w:rsid w:val="001F1CB3"/>
    <w:rsid w:val="001F3FAE"/>
    <w:rsid w:val="001F42F9"/>
    <w:rsid w:val="001F47A3"/>
    <w:rsid w:val="001F6ECC"/>
    <w:rsid w:val="001F7361"/>
    <w:rsid w:val="00200670"/>
    <w:rsid w:val="0020343C"/>
    <w:rsid w:val="0020385F"/>
    <w:rsid w:val="002058A0"/>
    <w:rsid w:val="00205960"/>
    <w:rsid w:val="00207021"/>
    <w:rsid w:val="00207AEE"/>
    <w:rsid w:val="00207D00"/>
    <w:rsid w:val="002105C1"/>
    <w:rsid w:val="00215F98"/>
    <w:rsid w:val="0021722E"/>
    <w:rsid w:val="002212AB"/>
    <w:rsid w:val="002218E1"/>
    <w:rsid w:val="00222366"/>
    <w:rsid w:val="002235B9"/>
    <w:rsid w:val="00223B49"/>
    <w:rsid w:val="00224991"/>
    <w:rsid w:val="00224DD4"/>
    <w:rsid w:val="0022585B"/>
    <w:rsid w:val="002300EA"/>
    <w:rsid w:val="002309CC"/>
    <w:rsid w:val="00234E61"/>
    <w:rsid w:val="002407B3"/>
    <w:rsid w:val="002411F4"/>
    <w:rsid w:val="002413E0"/>
    <w:rsid w:val="00241B36"/>
    <w:rsid w:val="00250A57"/>
    <w:rsid w:val="00254DCF"/>
    <w:rsid w:val="0025534B"/>
    <w:rsid w:val="00255749"/>
    <w:rsid w:val="00255BB7"/>
    <w:rsid w:val="00256D49"/>
    <w:rsid w:val="00257DAF"/>
    <w:rsid w:val="00260DB3"/>
    <w:rsid w:val="00262A87"/>
    <w:rsid w:val="002649EA"/>
    <w:rsid w:val="0027427F"/>
    <w:rsid w:val="00275C5A"/>
    <w:rsid w:val="00276A5B"/>
    <w:rsid w:val="00276C95"/>
    <w:rsid w:val="00281014"/>
    <w:rsid w:val="0028251E"/>
    <w:rsid w:val="002872D0"/>
    <w:rsid w:val="00290EC1"/>
    <w:rsid w:val="00291F2B"/>
    <w:rsid w:val="00297B2F"/>
    <w:rsid w:val="002A14AB"/>
    <w:rsid w:val="002A2E9B"/>
    <w:rsid w:val="002A7522"/>
    <w:rsid w:val="002A7608"/>
    <w:rsid w:val="002B162C"/>
    <w:rsid w:val="002B1C1F"/>
    <w:rsid w:val="002B2306"/>
    <w:rsid w:val="002B432F"/>
    <w:rsid w:val="002B56F7"/>
    <w:rsid w:val="002B6CCE"/>
    <w:rsid w:val="002C2775"/>
    <w:rsid w:val="002C27C1"/>
    <w:rsid w:val="002C3F9A"/>
    <w:rsid w:val="002C5F15"/>
    <w:rsid w:val="002C6344"/>
    <w:rsid w:val="002D4CEB"/>
    <w:rsid w:val="002D4E30"/>
    <w:rsid w:val="002E309C"/>
    <w:rsid w:val="002F0B88"/>
    <w:rsid w:val="002F549B"/>
    <w:rsid w:val="002F6060"/>
    <w:rsid w:val="002F703E"/>
    <w:rsid w:val="00301017"/>
    <w:rsid w:val="003021C1"/>
    <w:rsid w:val="00304141"/>
    <w:rsid w:val="00306086"/>
    <w:rsid w:val="00306195"/>
    <w:rsid w:val="0030786C"/>
    <w:rsid w:val="0031031A"/>
    <w:rsid w:val="00310981"/>
    <w:rsid w:val="00311D5C"/>
    <w:rsid w:val="00312E6E"/>
    <w:rsid w:val="0031431E"/>
    <w:rsid w:val="00314B08"/>
    <w:rsid w:val="00314D2E"/>
    <w:rsid w:val="00315498"/>
    <w:rsid w:val="00315A68"/>
    <w:rsid w:val="003166C3"/>
    <w:rsid w:val="00317C2F"/>
    <w:rsid w:val="0032157A"/>
    <w:rsid w:val="00321645"/>
    <w:rsid w:val="003223BE"/>
    <w:rsid w:val="0032294A"/>
    <w:rsid w:val="00325140"/>
    <w:rsid w:val="00326D7A"/>
    <w:rsid w:val="00332BC1"/>
    <w:rsid w:val="003334A1"/>
    <w:rsid w:val="00334AB3"/>
    <w:rsid w:val="00335D9A"/>
    <w:rsid w:val="00335EB5"/>
    <w:rsid w:val="0033629C"/>
    <w:rsid w:val="003363F1"/>
    <w:rsid w:val="003366C9"/>
    <w:rsid w:val="003371B0"/>
    <w:rsid w:val="00337A78"/>
    <w:rsid w:val="00337B65"/>
    <w:rsid w:val="00343CD8"/>
    <w:rsid w:val="00344ED8"/>
    <w:rsid w:val="003469F8"/>
    <w:rsid w:val="00350525"/>
    <w:rsid w:val="00354694"/>
    <w:rsid w:val="003558FA"/>
    <w:rsid w:val="00355DC6"/>
    <w:rsid w:val="0035620E"/>
    <w:rsid w:val="003566A3"/>
    <w:rsid w:val="00357E7A"/>
    <w:rsid w:val="00360C30"/>
    <w:rsid w:val="00361136"/>
    <w:rsid w:val="00363479"/>
    <w:rsid w:val="0036565D"/>
    <w:rsid w:val="00365A4E"/>
    <w:rsid w:val="00366896"/>
    <w:rsid w:val="003733A6"/>
    <w:rsid w:val="00375917"/>
    <w:rsid w:val="00376E94"/>
    <w:rsid w:val="00377B82"/>
    <w:rsid w:val="00381367"/>
    <w:rsid w:val="00382829"/>
    <w:rsid w:val="00382F79"/>
    <w:rsid w:val="0038365C"/>
    <w:rsid w:val="00383749"/>
    <w:rsid w:val="003874F9"/>
    <w:rsid w:val="00390EE8"/>
    <w:rsid w:val="00392D85"/>
    <w:rsid w:val="00393803"/>
    <w:rsid w:val="003965C3"/>
    <w:rsid w:val="00396FD0"/>
    <w:rsid w:val="003A1A7A"/>
    <w:rsid w:val="003A4F2E"/>
    <w:rsid w:val="003B1264"/>
    <w:rsid w:val="003B45D1"/>
    <w:rsid w:val="003B64CB"/>
    <w:rsid w:val="003C0305"/>
    <w:rsid w:val="003C35D1"/>
    <w:rsid w:val="003C3C6C"/>
    <w:rsid w:val="003C54EA"/>
    <w:rsid w:val="003C7500"/>
    <w:rsid w:val="003D1828"/>
    <w:rsid w:val="003D2422"/>
    <w:rsid w:val="003D2905"/>
    <w:rsid w:val="003D2DEC"/>
    <w:rsid w:val="003D515B"/>
    <w:rsid w:val="003D7CAD"/>
    <w:rsid w:val="003E086B"/>
    <w:rsid w:val="003E44B9"/>
    <w:rsid w:val="003E461E"/>
    <w:rsid w:val="003E5D95"/>
    <w:rsid w:val="003F2534"/>
    <w:rsid w:val="003F3818"/>
    <w:rsid w:val="003F3F1C"/>
    <w:rsid w:val="003F4156"/>
    <w:rsid w:val="003F5BDA"/>
    <w:rsid w:val="003F7A85"/>
    <w:rsid w:val="0040541B"/>
    <w:rsid w:val="00410708"/>
    <w:rsid w:val="00410EC7"/>
    <w:rsid w:val="004118B4"/>
    <w:rsid w:val="00412C4C"/>
    <w:rsid w:val="0041317F"/>
    <w:rsid w:val="0041367C"/>
    <w:rsid w:val="00414476"/>
    <w:rsid w:val="00417E1A"/>
    <w:rsid w:val="00420B9F"/>
    <w:rsid w:val="00424163"/>
    <w:rsid w:val="00430BA3"/>
    <w:rsid w:val="004319F8"/>
    <w:rsid w:val="00433044"/>
    <w:rsid w:val="00436500"/>
    <w:rsid w:val="00437919"/>
    <w:rsid w:val="004423E8"/>
    <w:rsid w:val="0044310D"/>
    <w:rsid w:val="004443A7"/>
    <w:rsid w:val="004458AA"/>
    <w:rsid w:val="004464EB"/>
    <w:rsid w:val="00455473"/>
    <w:rsid w:val="00455D45"/>
    <w:rsid w:val="004561B2"/>
    <w:rsid w:val="0045642A"/>
    <w:rsid w:val="00456725"/>
    <w:rsid w:val="00462437"/>
    <w:rsid w:val="00464595"/>
    <w:rsid w:val="00464821"/>
    <w:rsid w:val="00464D3E"/>
    <w:rsid w:val="00476FBA"/>
    <w:rsid w:val="00482D5C"/>
    <w:rsid w:val="00482E73"/>
    <w:rsid w:val="004867E2"/>
    <w:rsid w:val="0049112D"/>
    <w:rsid w:val="00491B3A"/>
    <w:rsid w:val="00491B52"/>
    <w:rsid w:val="00492CFD"/>
    <w:rsid w:val="00493122"/>
    <w:rsid w:val="0049559E"/>
    <w:rsid w:val="004962D2"/>
    <w:rsid w:val="0049792C"/>
    <w:rsid w:val="004A005F"/>
    <w:rsid w:val="004A02BF"/>
    <w:rsid w:val="004A0DA1"/>
    <w:rsid w:val="004A56A3"/>
    <w:rsid w:val="004A5CE5"/>
    <w:rsid w:val="004A6597"/>
    <w:rsid w:val="004A6A65"/>
    <w:rsid w:val="004A6F76"/>
    <w:rsid w:val="004A7A48"/>
    <w:rsid w:val="004A7CCD"/>
    <w:rsid w:val="004B0611"/>
    <w:rsid w:val="004B0FEF"/>
    <w:rsid w:val="004B1CB4"/>
    <w:rsid w:val="004B1D3B"/>
    <w:rsid w:val="004B2F18"/>
    <w:rsid w:val="004B2F39"/>
    <w:rsid w:val="004B3DDB"/>
    <w:rsid w:val="004B44FD"/>
    <w:rsid w:val="004B4A1D"/>
    <w:rsid w:val="004B53B9"/>
    <w:rsid w:val="004B5CFC"/>
    <w:rsid w:val="004B7124"/>
    <w:rsid w:val="004B75F9"/>
    <w:rsid w:val="004C121E"/>
    <w:rsid w:val="004C31DC"/>
    <w:rsid w:val="004C3AD1"/>
    <w:rsid w:val="004C4249"/>
    <w:rsid w:val="004C4AED"/>
    <w:rsid w:val="004C571F"/>
    <w:rsid w:val="004D1C3C"/>
    <w:rsid w:val="004D2BB6"/>
    <w:rsid w:val="004D53B4"/>
    <w:rsid w:val="004E0EB8"/>
    <w:rsid w:val="004E1845"/>
    <w:rsid w:val="004E1B4F"/>
    <w:rsid w:val="004E2ADC"/>
    <w:rsid w:val="004E43B2"/>
    <w:rsid w:val="004E6720"/>
    <w:rsid w:val="004E7841"/>
    <w:rsid w:val="004F02D9"/>
    <w:rsid w:val="004F1584"/>
    <w:rsid w:val="004F1D02"/>
    <w:rsid w:val="004F2679"/>
    <w:rsid w:val="004F4B6F"/>
    <w:rsid w:val="004F5C88"/>
    <w:rsid w:val="004F7865"/>
    <w:rsid w:val="004F7EB3"/>
    <w:rsid w:val="00504678"/>
    <w:rsid w:val="0050543B"/>
    <w:rsid w:val="00506928"/>
    <w:rsid w:val="0050694D"/>
    <w:rsid w:val="00507973"/>
    <w:rsid w:val="00512333"/>
    <w:rsid w:val="00514A69"/>
    <w:rsid w:val="005152B5"/>
    <w:rsid w:val="00515ECD"/>
    <w:rsid w:val="005202F1"/>
    <w:rsid w:val="00521253"/>
    <w:rsid w:val="00521319"/>
    <w:rsid w:val="0052193C"/>
    <w:rsid w:val="00521EFD"/>
    <w:rsid w:val="00522B5E"/>
    <w:rsid w:val="00523C28"/>
    <w:rsid w:val="005305D7"/>
    <w:rsid w:val="005322F3"/>
    <w:rsid w:val="005329D7"/>
    <w:rsid w:val="00532E8F"/>
    <w:rsid w:val="00534944"/>
    <w:rsid w:val="005353E5"/>
    <w:rsid w:val="005365A8"/>
    <w:rsid w:val="00536732"/>
    <w:rsid w:val="0053749C"/>
    <w:rsid w:val="005416FA"/>
    <w:rsid w:val="00541B55"/>
    <w:rsid w:val="00542791"/>
    <w:rsid w:val="005447E4"/>
    <w:rsid w:val="00545085"/>
    <w:rsid w:val="00545BB9"/>
    <w:rsid w:val="00550555"/>
    <w:rsid w:val="00552777"/>
    <w:rsid w:val="00552BD3"/>
    <w:rsid w:val="00552FD2"/>
    <w:rsid w:val="00553399"/>
    <w:rsid w:val="00554275"/>
    <w:rsid w:val="00555109"/>
    <w:rsid w:val="00556102"/>
    <w:rsid w:val="00557C36"/>
    <w:rsid w:val="00560EA2"/>
    <w:rsid w:val="00562DF4"/>
    <w:rsid w:val="00565699"/>
    <w:rsid w:val="0056696F"/>
    <w:rsid w:val="00566BC8"/>
    <w:rsid w:val="00566FBA"/>
    <w:rsid w:val="00571BF1"/>
    <w:rsid w:val="00571C9E"/>
    <w:rsid w:val="00572D00"/>
    <w:rsid w:val="005741FB"/>
    <w:rsid w:val="00575D8D"/>
    <w:rsid w:val="00576972"/>
    <w:rsid w:val="00576CF0"/>
    <w:rsid w:val="00580442"/>
    <w:rsid w:val="00580FFB"/>
    <w:rsid w:val="00583699"/>
    <w:rsid w:val="005852C3"/>
    <w:rsid w:val="0058665C"/>
    <w:rsid w:val="00586748"/>
    <w:rsid w:val="00592952"/>
    <w:rsid w:val="00593941"/>
    <w:rsid w:val="00594B5A"/>
    <w:rsid w:val="005A3656"/>
    <w:rsid w:val="005A4F3E"/>
    <w:rsid w:val="005A5260"/>
    <w:rsid w:val="005A52AA"/>
    <w:rsid w:val="005A6AB5"/>
    <w:rsid w:val="005A7B09"/>
    <w:rsid w:val="005B1604"/>
    <w:rsid w:val="005B29DC"/>
    <w:rsid w:val="005B478C"/>
    <w:rsid w:val="005B5857"/>
    <w:rsid w:val="005B7FFE"/>
    <w:rsid w:val="005C0716"/>
    <w:rsid w:val="005C1B83"/>
    <w:rsid w:val="005C346B"/>
    <w:rsid w:val="005C3940"/>
    <w:rsid w:val="005C40D7"/>
    <w:rsid w:val="005C4292"/>
    <w:rsid w:val="005C6116"/>
    <w:rsid w:val="005C7DCC"/>
    <w:rsid w:val="005D044D"/>
    <w:rsid w:val="005D140E"/>
    <w:rsid w:val="005D18AD"/>
    <w:rsid w:val="005D18E1"/>
    <w:rsid w:val="005D1A8C"/>
    <w:rsid w:val="005D1B20"/>
    <w:rsid w:val="005D3F2E"/>
    <w:rsid w:val="005D5318"/>
    <w:rsid w:val="005E426C"/>
    <w:rsid w:val="005E4714"/>
    <w:rsid w:val="005E4CBB"/>
    <w:rsid w:val="005E5F68"/>
    <w:rsid w:val="005E5FA8"/>
    <w:rsid w:val="005E69B5"/>
    <w:rsid w:val="005E73C0"/>
    <w:rsid w:val="005F1DCC"/>
    <w:rsid w:val="005F2706"/>
    <w:rsid w:val="005F334A"/>
    <w:rsid w:val="005F6A8F"/>
    <w:rsid w:val="005F7E98"/>
    <w:rsid w:val="0060475F"/>
    <w:rsid w:val="006048C7"/>
    <w:rsid w:val="00604A99"/>
    <w:rsid w:val="00606127"/>
    <w:rsid w:val="00607669"/>
    <w:rsid w:val="006102EE"/>
    <w:rsid w:val="006124D5"/>
    <w:rsid w:val="00612F97"/>
    <w:rsid w:val="00613D5E"/>
    <w:rsid w:val="00615491"/>
    <w:rsid w:val="006162AD"/>
    <w:rsid w:val="00616679"/>
    <w:rsid w:val="00616802"/>
    <w:rsid w:val="00617E12"/>
    <w:rsid w:val="00621477"/>
    <w:rsid w:val="00622066"/>
    <w:rsid w:val="006224B8"/>
    <w:rsid w:val="006243C4"/>
    <w:rsid w:val="00627495"/>
    <w:rsid w:val="006276A9"/>
    <w:rsid w:val="006277BB"/>
    <w:rsid w:val="00631D6B"/>
    <w:rsid w:val="00632746"/>
    <w:rsid w:val="0063479F"/>
    <w:rsid w:val="00634ED8"/>
    <w:rsid w:val="006364A1"/>
    <w:rsid w:val="0063651C"/>
    <w:rsid w:val="00637146"/>
    <w:rsid w:val="006378C5"/>
    <w:rsid w:val="00637BFD"/>
    <w:rsid w:val="00644F4E"/>
    <w:rsid w:val="0064562F"/>
    <w:rsid w:val="00646AE4"/>
    <w:rsid w:val="006471CC"/>
    <w:rsid w:val="00647F36"/>
    <w:rsid w:val="0065079F"/>
    <w:rsid w:val="00650822"/>
    <w:rsid w:val="006518C2"/>
    <w:rsid w:val="00652F57"/>
    <w:rsid w:val="00655112"/>
    <w:rsid w:val="00655977"/>
    <w:rsid w:val="006562EB"/>
    <w:rsid w:val="00657651"/>
    <w:rsid w:val="006577C8"/>
    <w:rsid w:val="006602ED"/>
    <w:rsid w:val="00663C6A"/>
    <w:rsid w:val="0066482A"/>
    <w:rsid w:val="00666766"/>
    <w:rsid w:val="00667473"/>
    <w:rsid w:val="00670F3F"/>
    <w:rsid w:val="00672FCA"/>
    <w:rsid w:val="00674658"/>
    <w:rsid w:val="00674E42"/>
    <w:rsid w:val="00681155"/>
    <w:rsid w:val="00681294"/>
    <w:rsid w:val="00682112"/>
    <w:rsid w:val="00682FF4"/>
    <w:rsid w:val="006868FF"/>
    <w:rsid w:val="00686EE9"/>
    <w:rsid w:val="006872BA"/>
    <w:rsid w:val="00687EC1"/>
    <w:rsid w:val="006917D7"/>
    <w:rsid w:val="00694F44"/>
    <w:rsid w:val="0069505D"/>
    <w:rsid w:val="00695D98"/>
    <w:rsid w:val="006A08E4"/>
    <w:rsid w:val="006A2996"/>
    <w:rsid w:val="006A2C54"/>
    <w:rsid w:val="006A3AED"/>
    <w:rsid w:val="006A3D2C"/>
    <w:rsid w:val="006A601A"/>
    <w:rsid w:val="006B328B"/>
    <w:rsid w:val="006B5A5E"/>
    <w:rsid w:val="006B62F6"/>
    <w:rsid w:val="006C0713"/>
    <w:rsid w:val="006C1F8C"/>
    <w:rsid w:val="006C2A8E"/>
    <w:rsid w:val="006C2D39"/>
    <w:rsid w:val="006C2FB2"/>
    <w:rsid w:val="006C3559"/>
    <w:rsid w:val="006C38A7"/>
    <w:rsid w:val="006C40AA"/>
    <w:rsid w:val="006C6482"/>
    <w:rsid w:val="006D3C7D"/>
    <w:rsid w:val="006D5D5F"/>
    <w:rsid w:val="006D79D3"/>
    <w:rsid w:val="006E26DE"/>
    <w:rsid w:val="006E3213"/>
    <w:rsid w:val="006E377B"/>
    <w:rsid w:val="006E6397"/>
    <w:rsid w:val="006E6D09"/>
    <w:rsid w:val="006E7C91"/>
    <w:rsid w:val="006F2570"/>
    <w:rsid w:val="006F2B38"/>
    <w:rsid w:val="006F63A5"/>
    <w:rsid w:val="006F6D5A"/>
    <w:rsid w:val="006F703D"/>
    <w:rsid w:val="006F7633"/>
    <w:rsid w:val="0070276E"/>
    <w:rsid w:val="00702F8F"/>
    <w:rsid w:val="00704638"/>
    <w:rsid w:val="0071060A"/>
    <w:rsid w:val="0071060B"/>
    <w:rsid w:val="00711398"/>
    <w:rsid w:val="00711A36"/>
    <w:rsid w:val="00712051"/>
    <w:rsid w:val="00712088"/>
    <w:rsid w:val="0071358E"/>
    <w:rsid w:val="007138CC"/>
    <w:rsid w:val="0071575A"/>
    <w:rsid w:val="00715B15"/>
    <w:rsid w:val="00716ED0"/>
    <w:rsid w:val="007172AD"/>
    <w:rsid w:val="00721B8F"/>
    <w:rsid w:val="00721FF1"/>
    <w:rsid w:val="0072416F"/>
    <w:rsid w:val="00725193"/>
    <w:rsid w:val="007321AD"/>
    <w:rsid w:val="00732CAD"/>
    <w:rsid w:val="00735328"/>
    <w:rsid w:val="00735A4A"/>
    <w:rsid w:val="0073685B"/>
    <w:rsid w:val="00737363"/>
    <w:rsid w:val="00740785"/>
    <w:rsid w:val="00741208"/>
    <w:rsid w:val="00741537"/>
    <w:rsid w:val="00742A7D"/>
    <w:rsid w:val="00743337"/>
    <w:rsid w:val="00747A68"/>
    <w:rsid w:val="0075389D"/>
    <w:rsid w:val="00755A0D"/>
    <w:rsid w:val="007632C0"/>
    <w:rsid w:val="00765FF6"/>
    <w:rsid w:val="00767BFD"/>
    <w:rsid w:val="00774E05"/>
    <w:rsid w:val="0077606E"/>
    <w:rsid w:val="00776580"/>
    <w:rsid w:val="0077761C"/>
    <w:rsid w:val="00777734"/>
    <w:rsid w:val="0078027E"/>
    <w:rsid w:val="00780C45"/>
    <w:rsid w:val="007816AB"/>
    <w:rsid w:val="0078372B"/>
    <w:rsid w:val="0078609B"/>
    <w:rsid w:val="007877E1"/>
    <w:rsid w:val="00791FAF"/>
    <w:rsid w:val="00796FCE"/>
    <w:rsid w:val="007A0A12"/>
    <w:rsid w:val="007A0D41"/>
    <w:rsid w:val="007A2C66"/>
    <w:rsid w:val="007A2EAF"/>
    <w:rsid w:val="007A3C62"/>
    <w:rsid w:val="007A7C06"/>
    <w:rsid w:val="007B251D"/>
    <w:rsid w:val="007B6594"/>
    <w:rsid w:val="007B6612"/>
    <w:rsid w:val="007B77D1"/>
    <w:rsid w:val="007B7F2F"/>
    <w:rsid w:val="007C08DE"/>
    <w:rsid w:val="007C13EC"/>
    <w:rsid w:val="007C361D"/>
    <w:rsid w:val="007C6591"/>
    <w:rsid w:val="007D0B38"/>
    <w:rsid w:val="007D12D4"/>
    <w:rsid w:val="007D1B4C"/>
    <w:rsid w:val="007D209C"/>
    <w:rsid w:val="007D27EA"/>
    <w:rsid w:val="007D3FE7"/>
    <w:rsid w:val="007D4B8C"/>
    <w:rsid w:val="007D5FB3"/>
    <w:rsid w:val="007D641D"/>
    <w:rsid w:val="007E094E"/>
    <w:rsid w:val="007E16B6"/>
    <w:rsid w:val="007E1717"/>
    <w:rsid w:val="007E7282"/>
    <w:rsid w:val="007E72D9"/>
    <w:rsid w:val="007F1017"/>
    <w:rsid w:val="007F25C1"/>
    <w:rsid w:val="007F2C23"/>
    <w:rsid w:val="007F2D83"/>
    <w:rsid w:val="007F4792"/>
    <w:rsid w:val="007F4A3F"/>
    <w:rsid w:val="007F5B99"/>
    <w:rsid w:val="007F67A5"/>
    <w:rsid w:val="007F741E"/>
    <w:rsid w:val="007F7CC2"/>
    <w:rsid w:val="00805142"/>
    <w:rsid w:val="00807A8B"/>
    <w:rsid w:val="00812149"/>
    <w:rsid w:val="00813BBF"/>
    <w:rsid w:val="00813EB5"/>
    <w:rsid w:val="008142D9"/>
    <w:rsid w:val="0081651C"/>
    <w:rsid w:val="008166EF"/>
    <w:rsid w:val="00816ABB"/>
    <w:rsid w:val="00820101"/>
    <w:rsid w:val="008264EB"/>
    <w:rsid w:val="00827262"/>
    <w:rsid w:val="008323C2"/>
    <w:rsid w:val="008334BE"/>
    <w:rsid w:val="00833B05"/>
    <w:rsid w:val="008343BB"/>
    <w:rsid w:val="00835E51"/>
    <w:rsid w:val="00836DB1"/>
    <w:rsid w:val="0084083D"/>
    <w:rsid w:val="00840CA2"/>
    <w:rsid w:val="008427D0"/>
    <w:rsid w:val="0084323A"/>
    <w:rsid w:val="00843429"/>
    <w:rsid w:val="008459BB"/>
    <w:rsid w:val="00847B94"/>
    <w:rsid w:val="00851FEF"/>
    <w:rsid w:val="008568A9"/>
    <w:rsid w:val="00856E9A"/>
    <w:rsid w:val="00857CC3"/>
    <w:rsid w:val="00861EFC"/>
    <w:rsid w:val="00862502"/>
    <w:rsid w:val="008658A2"/>
    <w:rsid w:val="00865A4C"/>
    <w:rsid w:val="00866F2A"/>
    <w:rsid w:val="00866FE8"/>
    <w:rsid w:val="00873360"/>
    <w:rsid w:val="00875356"/>
    <w:rsid w:val="00877ECC"/>
    <w:rsid w:val="008822A8"/>
    <w:rsid w:val="00882874"/>
    <w:rsid w:val="00883787"/>
    <w:rsid w:val="00883DA6"/>
    <w:rsid w:val="008859B7"/>
    <w:rsid w:val="00886BF9"/>
    <w:rsid w:val="00887CE5"/>
    <w:rsid w:val="00887F9E"/>
    <w:rsid w:val="00891B9A"/>
    <w:rsid w:val="00894489"/>
    <w:rsid w:val="008963A5"/>
    <w:rsid w:val="008A0191"/>
    <w:rsid w:val="008A0889"/>
    <w:rsid w:val="008A3C3E"/>
    <w:rsid w:val="008A5750"/>
    <w:rsid w:val="008A79DE"/>
    <w:rsid w:val="008A7EC2"/>
    <w:rsid w:val="008B2062"/>
    <w:rsid w:val="008B292F"/>
    <w:rsid w:val="008B3A9A"/>
    <w:rsid w:val="008B60D1"/>
    <w:rsid w:val="008B65BC"/>
    <w:rsid w:val="008B7D7E"/>
    <w:rsid w:val="008C4EBF"/>
    <w:rsid w:val="008C7AE3"/>
    <w:rsid w:val="008C7ECB"/>
    <w:rsid w:val="008D08BF"/>
    <w:rsid w:val="008D105A"/>
    <w:rsid w:val="008D197A"/>
    <w:rsid w:val="008D2ADA"/>
    <w:rsid w:val="008D3809"/>
    <w:rsid w:val="008D5DD6"/>
    <w:rsid w:val="008D669F"/>
    <w:rsid w:val="008D691D"/>
    <w:rsid w:val="008E1B9E"/>
    <w:rsid w:val="008E60D6"/>
    <w:rsid w:val="008E799D"/>
    <w:rsid w:val="008F02EB"/>
    <w:rsid w:val="008F1191"/>
    <w:rsid w:val="008F120A"/>
    <w:rsid w:val="008F44A5"/>
    <w:rsid w:val="008F48EB"/>
    <w:rsid w:val="008F4F0B"/>
    <w:rsid w:val="0090020E"/>
    <w:rsid w:val="00903864"/>
    <w:rsid w:val="009042F3"/>
    <w:rsid w:val="00905E44"/>
    <w:rsid w:val="009062A5"/>
    <w:rsid w:val="0090651F"/>
    <w:rsid w:val="00911272"/>
    <w:rsid w:val="00912468"/>
    <w:rsid w:val="00915541"/>
    <w:rsid w:val="00920A6C"/>
    <w:rsid w:val="00922994"/>
    <w:rsid w:val="0092312C"/>
    <w:rsid w:val="0092460B"/>
    <w:rsid w:val="00926E35"/>
    <w:rsid w:val="00936CA9"/>
    <w:rsid w:val="00936DA7"/>
    <w:rsid w:val="00943369"/>
    <w:rsid w:val="009434B4"/>
    <w:rsid w:val="009439CC"/>
    <w:rsid w:val="00944320"/>
    <w:rsid w:val="00946511"/>
    <w:rsid w:val="00951BB0"/>
    <w:rsid w:val="009533DD"/>
    <w:rsid w:val="00954029"/>
    <w:rsid w:val="00954ABE"/>
    <w:rsid w:val="00956BF7"/>
    <w:rsid w:val="00962CB9"/>
    <w:rsid w:val="00964312"/>
    <w:rsid w:val="00964BB0"/>
    <w:rsid w:val="00965A49"/>
    <w:rsid w:val="00967316"/>
    <w:rsid w:val="009728EA"/>
    <w:rsid w:val="00974BF3"/>
    <w:rsid w:val="0097582A"/>
    <w:rsid w:val="00975F46"/>
    <w:rsid w:val="00976508"/>
    <w:rsid w:val="00980AD7"/>
    <w:rsid w:val="00981E1C"/>
    <w:rsid w:val="00983E57"/>
    <w:rsid w:val="00984437"/>
    <w:rsid w:val="00990421"/>
    <w:rsid w:val="00996B1A"/>
    <w:rsid w:val="009A3A70"/>
    <w:rsid w:val="009A4F1F"/>
    <w:rsid w:val="009A54D0"/>
    <w:rsid w:val="009A70AF"/>
    <w:rsid w:val="009B08B0"/>
    <w:rsid w:val="009B2770"/>
    <w:rsid w:val="009B3224"/>
    <w:rsid w:val="009B3E26"/>
    <w:rsid w:val="009B4C26"/>
    <w:rsid w:val="009B732D"/>
    <w:rsid w:val="009B7EA9"/>
    <w:rsid w:val="009B7FDD"/>
    <w:rsid w:val="009C1455"/>
    <w:rsid w:val="009C3B50"/>
    <w:rsid w:val="009C4DE1"/>
    <w:rsid w:val="009C5E96"/>
    <w:rsid w:val="009C5F73"/>
    <w:rsid w:val="009D1B8D"/>
    <w:rsid w:val="009D5B91"/>
    <w:rsid w:val="009D7373"/>
    <w:rsid w:val="009E0A41"/>
    <w:rsid w:val="009E2FEF"/>
    <w:rsid w:val="009E35CD"/>
    <w:rsid w:val="009E4C07"/>
    <w:rsid w:val="009E655E"/>
    <w:rsid w:val="009F356A"/>
    <w:rsid w:val="009F5CED"/>
    <w:rsid w:val="00A009BB"/>
    <w:rsid w:val="00A00D7D"/>
    <w:rsid w:val="00A0373A"/>
    <w:rsid w:val="00A03D43"/>
    <w:rsid w:val="00A0400E"/>
    <w:rsid w:val="00A04380"/>
    <w:rsid w:val="00A04C19"/>
    <w:rsid w:val="00A05981"/>
    <w:rsid w:val="00A076E0"/>
    <w:rsid w:val="00A13190"/>
    <w:rsid w:val="00A13948"/>
    <w:rsid w:val="00A13F46"/>
    <w:rsid w:val="00A14FF1"/>
    <w:rsid w:val="00A15081"/>
    <w:rsid w:val="00A16726"/>
    <w:rsid w:val="00A17741"/>
    <w:rsid w:val="00A20F0C"/>
    <w:rsid w:val="00A228B9"/>
    <w:rsid w:val="00A23B55"/>
    <w:rsid w:val="00A24A57"/>
    <w:rsid w:val="00A26B4F"/>
    <w:rsid w:val="00A27AEC"/>
    <w:rsid w:val="00A316C8"/>
    <w:rsid w:val="00A31E0D"/>
    <w:rsid w:val="00A3434C"/>
    <w:rsid w:val="00A35D16"/>
    <w:rsid w:val="00A409F1"/>
    <w:rsid w:val="00A410E0"/>
    <w:rsid w:val="00A4324F"/>
    <w:rsid w:val="00A4392F"/>
    <w:rsid w:val="00A43AC8"/>
    <w:rsid w:val="00A43C59"/>
    <w:rsid w:val="00A44ED0"/>
    <w:rsid w:val="00A472BD"/>
    <w:rsid w:val="00A47920"/>
    <w:rsid w:val="00A507D5"/>
    <w:rsid w:val="00A50ECD"/>
    <w:rsid w:val="00A5214C"/>
    <w:rsid w:val="00A52729"/>
    <w:rsid w:val="00A53675"/>
    <w:rsid w:val="00A53B38"/>
    <w:rsid w:val="00A53D5B"/>
    <w:rsid w:val="00A54B66"/>
    <w:rsid w:val="00A54DEE"/>
    <w:rsid w:val="00A56A18"/>
    <w:rsid w:val="00A56B6A"/>
    <w:rsid w:val="00A578DC"/>
    <w:rsid w:val="00A60068"/>
    <w:rsid w:val="00A618E4"/>
    <w:rsid w:val="00A640C1"/>
    <w:rsid w:val="00A659D7"/>
    <w:rsid w:val="00A66F04"/>
    <w:rsid w:val="00A6725B"/>
    <w:rsid w:val="00A67DDC"/>
    <w:rsid w:val="00A706E3"/>
    <w:rsid w:val="00A708D7"/>
    <w:rsid w:val="00A71441"/>
    <w:rsid w:val="00A77A6F"/>
    <w:rsid w:val="00A807B0"/>
    <w:rsid w:val="00A8315E"/>
    <w:rsid w:val="00A853F2"/>
    <w:rsid w:val="00A868E8"/>
    <w:rsid w:val="00A86E8B"/>
    <w:rsid w:val="00A917C2"/>
    <w:rsid w:val="00A92FE1"/>
    <w:rsid w:val="00A93072"/>
    <w:rsid w:val="00A959D8"/>
    <w:rsid w:val="00AA2ACB"/>
    <w:rsid w:val="00AA51AC"/>
    <w:rsid w:val="00AB042A"/>
    <w:rsid w:val="00AB1E19"/>
    <w:rsid w:val="00AB2556"/>
    <w:rsid w:val="00AB2D34"/>
    <w:rsid w:val="00AB3430"/>
    <w:rsid w:val="00AB3D51"/>
    <w:rsid w:val="00AB3EC5"/>
    <w:rsid w:val="00AB50B0"/>
    <w:rsid w:val="00AB58BC"/>
    <w:rsid w:val="00AB64F9"/>
    <w:rsid w:val="00AB65A4"/>
    <w:rsid w:val="00AB6C3D"/>
    <w:rsid w:val="00AB7CFA"/>
    <w:rsid w:val="00AC1F1E"/>
    <w:rsid w:val="00AC2E17"/>
    <w:rsid w:val="00AC2FAA"/>
    <w:rsid w:val="00AC35DA"/>
    <w:rsid w:val="00AC6391"/>
    <w:rsid w:val="00AD123B"/>
    <w:rsid w:val="00AD1400"/>
    <w:rsid w:val="00AD3B07"/>
    <w:rsid w:val="00AD6771"/>
    <w:rsid w:val="00AE0E48"/>
    <w:rsid w:val="00AE1B63"/>
    <w:rsid w:val="00AE338D"/>
    <w:rsid w:val="00AE40F5"/>
    <w:rsid w:val="00AE6529"/>
    <w:rsid w:val="00AE736F"/>
    <w:rsid w:val="00AF4813"/>
    <w:rsid w:val="00AF7153"/>
    <w:rsid w:val="00B02CFC"/>
    <w:rsid w:val="00B03DF7"/>
    <w:rsid w:val="00B06449"/>
    <w:rsid w:val="00B07C69"/>
    <w:rsid w:val="00B1158E"/>
    <w:rsid w:val="00B1169E"/>
    <w:rsid w:val="00B15489"/>
    <w:rsid w:val="00B15E5D"/>
    <w:rsid w:val="00B162A2"/>
    <w:rsid w:val="00B200F4"/>
    <w:rsid w:val="00B2041D"/>
    <w:rsid w:val="00B22319"/>
    <w:rsid w:val="00B23F6C"/>
    <w:rsid w:val="00B27187"/>
    <w:rsid w:val="00B2775A"/>
    <w:rsid w:val="00B329A2"/>
    <w:rsid w:val="00B334C9"/>
    <w:rsid w:val="00B34485"/>
    <w:rsid w:val="00B349C2"/>
    <w:rsid w:val="00B34B37"/>
    <w:rsid w:val="00B36E88"/>
    <w:rsid w:val="00B42851"/>
    <w:rsid w:val="00B4514E"/>
    <w:rsid w:val="00B504D0"/>
    <w:rsid w:val="00B50DB8"/>
    <w:rsid w:val="00B53905"/>
    <w:rsid w:val="00B54B5B"/>
    <w:rsid w:val="00B5562E"/>
    <w:rsid w:val="00B56078"/>
    <w:rsid w:val="00B57000"/>
    <w:rsid w:val="00B607F4"/>
    <w:rsid w:val="00B60939"/>
    <w:rsid w:val="00B60AFD"/>
    <w:rsid w:val="00B61312"/>
    <w:rsid w:val="00B62715"/>
    <w:rsid w:val="00B63F28"/>
    <w:rsid w:val="00B655AB"/>
    <w:rsid w:val="00B66AED"/>
    <w:rsid w:val="00B670B4"/>
    <w:rsid w:val="00B679A1"/>
    <w:rsid w:val="00B70AB0"/>
    <w:rsid w:val="00B70FB3"/>
    <w:rsid w:val="00B7315F"/>
    <w:rsid w:val="00B7333D"/>
    <w:rsid w:val="00B74C39"/>
    <w:rsid w:val="00B77256"/>
    <w:rsid w:val="00B77415"/>
    <w:rsid w:val="00B777CC"/>
    <w:rsid w:val="00B778A8"/>
    <w:rsid w:val="00B811C0"/>
    <w:rsid w:val="00B818A4"/>
    <w:rsid w:val="00B8576D"/>
    <w:rsid w:val="00B8649C"/>
    <w:rsid w:val="00B87ACE"/>
    <w:rsid w:val="00B87F80"/>
    <w:rsid w:val="00B90472"/>
    <w:rsid w:val="00B91AD4"/>
    <w:rsid w:val="00B92D0B"/>
    <w:rsid w:val="00B94945"/>
    <w:rsid w:val="00B95EEB"/>
    <w:rsid w:val="00BA5800"/>
    <w:rsid w:val="00BB01B6"/>
    <w:rsid w:val="00BB40FA"/>
    <w:rsid w:val="00BB4960"/>
    <w:rsid w:val="00BB4E85"/>
    <w:rsid w:val="00BB6F47"/>
    <w:rsid w:val="00BB7366"/>
    <w:rsid w:val="00BB7405"/>
    <w:rsid w:val="00BC3A23"/>
    <w:rsid w:val="00BC7172"/>
    <w:rsid w:val="00BD0929"/>
    <w:rsid w:val="00BD22E3"/>
    <w:rsid w:val="00BD37DC"/>
    <w:rsid w:val="00BD4AE0"/>
    <w:rsid w:val="00BD6CF3"/>
    <w:rsid w:val="00BD6F29"/>
    <w:rsid w:val="00BE05B1"/>
    <w:rsid w:val="00BE0FAF"/>
    <w:rsid w:val="00BE16C8"/>
    <w:rsid w:val="00BE2180"/>
    <w:rsid w:val="00BE3225"/>
    <w:rsid w:val="00BE4275"/>
    <w:rsid w:val="00BE6044"/>
    <w:rsid w:val="00BF074F"/>
    <w:rsid w:val="00BF0C9A"/>
    <w:rsid w:val="00BF1F1B"/>
    <w:rsid w:val="00BF223B"/>
    <w:rsid w:val="00BF2433"/>
    <w:rsid w:val="00BF5A93"/>
    <w:rsid w:val="00BF5E44"/>
    <w:rsid w:val="00BF61C9"/>
    <w:rsid w:val="00C06BAB"/>
    <w:rsid w:val="00C10B69"/>
    <w:rsid w:val="00C11D3D"/>
    <w:rsid w:val="00C15FC0"/>
    <w:rsid w:val="00C17651"/>
    <w:rsid w:val="00C17B6A"/>
    <w:rsid w:val="00C23328"/>
    <w:rsid w:val="00C23BBB"/>
    <w:rsid w:val="00C25418"/>
    <w:rsid w:val="00C25614"/>
    <w:rsid w:val="00C25D9C"/>
    <w:rsid w:val="00C264B4"/>
    <w:rsid w:val="00C26698"/>
    <w:rsid w:val="00C30454"/>
    <w:rsid w:val="00C306CC"/>
    <w:rsid w:val="00C310EA"/>
    <w:rsid w:val="00C31649"/>
    <w:rsid w:val="00C3361F"/>
    <w:rsid w:val="00C33B61"/>
    <w:rsid w:val="00C36011"/>
    <w:rsid w:val="00C36AF0"/>
    <w:rsid w:val="00C40385"/>
    <w:rsid w:val="00C4327B"/>
    <w:rsid w:val="00C4348E"/>
    <w:rsid w:val="00C438B3"/>
    <w:rsid w:val="00C445EE"/>
    <w:rsid w:val="00C4584C"/>
    <w:rsid w:val="00C47A6E"/>
    <w:rsid w:val="00C5011C"/>
    <w:rsid w:val="00C51F27"/>
    <w:rsid w:val="00C55049"/>
    <w:rsid w:val="00C60D19"/>
    <w:rsid w:val="00C63933"/>
    <w:rsid w:val="00C6446F"/>
    <w:rsid w:val="00C65576"/>
    <w:rsid w:val="00C65949"/>
    <w:rsid w:val="00C66165"/>
    <w:rsid w:val="00C66776"/>
    <w:rsid w:val="00C667DA"/>
    <w:rsid w:val="00C67061"/>
    <w:rsid w:val="00C750C8"/>
    <w:rsid w:val="00C80137"/>
    <w:rsid w:val="00C81F64"/>
    <w:rsid w:val="00C8213F"/>
    <w:rsid w:val="00C826CB"/>
    <w:rsid w:val="00C847B9"/>
    <w:rsid w:val="00C8797A"/>
    <w:rsid w:val="00C87E83"/>
    <w:rsid w:val="00C91F7E"/>
    <w:rsid w:val="00C9250D"/>
    <w:rsid w:val="00C92C18"/>
    <w:rsid w:val="00C932B9"/>
    <w:rsid w:val="00C93864"/>
    <w:rsid w:val="00C938CF"/>
    <w:rsid w:val="00C9778B"/>
    <w:rsid w:val="00CA1855"/>
    <w:rsid w:val="00CA19CB"/>
    <w:rsid w:val="00CA3611"/>
    <w:rsid w:val="00CA5245"/>
    <w:rsid w:val="00CA7B09"/>
    <w:rsid w:val="00CB1E10"/>
    <w:rsid w:val="00CB2693"/>
    <w:rsid w:val="00CB35E4"/>
    <w:rsid w:val="00CB39DF"/>
    <w:rsid w:val="00CB48C6"/>
    <w:rsid w:val="00CB5B1A"/>
    <w:rsid w:val="00CB691C"/>
    <w:rsid w:val="00CB7F31"/>
    <w:rsid w:val="00CC354D"/>
    <w:rsid w:val="00CD13A9"/>
    <w:rsid w:val="00CD1700"/>
    <w:rsid w:val="00CD2AA4"/>
    <w:rsid w:val="00CD3DF2"/>
    <w:rsid w:val="00CD6ADC"/>
    <w:rsid w:val="00CD7401"/>
    <w:rsid w:val="00CD7E63"/>
    <w:rsid w:val="00CE0EE5"/>
    <w:rsid w:val="00CE6274"/>
    <w:rsid w:val="00CE7668"/>
    <w:rsid w:val="00CE7846"/>
    <w:rsid w:val="00CF021F"/>
    <w:rsid w:val="00CF186C"/>
    <w:rsid w:val="00CF1B21"/>
    <w:rsid w:val="00CF456B"/>
    <w:rsid w:val="00CF48E5"/>
    <w:rsid w:val="00CF57F6"/>
    <w:rsid w:val="00CF5A22"/>
    <w:rsid w:val="00D0262E"/>
    <w:rsid w:val="00D0783F"/>
    <w:rsid w:val="00D1038B"/>
    <w:rsid w:val="00D10726"/>
    <w:rsid w:val="00D110BD"/>
    <w:rsid w:val="00D16B2A"/>
    <w:rsid w:val="00D17D6C"/>
    <w:rsid w:val="00D203C4"/>
    <w:rsid w:val="00D21580"/>
    <w:rsid w:val="00D22463"/>
    <w:rsid w:val="00D227AE"/>
    <w:rsid w:val="00D253A3"/>
    <w:rsid w:val="00D269EB"/>
    <w:rsid w:val="00D278B7"/>
    <w:rsid w:val="00D30CB8"/>
    <w:rsid w:val="00D34118"/>
    <w:rsid w:val="00D357FF"/>
    <w:rsid w:val="00D35E2E"/>
    <w:rsid w:val="00D36022"/>
    <w:rsid w:val="00D42EAA"/>
    <w:rsid w:val="00D45067"/>
    <w:rsid w:val="00D46D82"/>
    <w:rsid w:val="00D47D88"/>
    <w:rsid w:val="00D50219"/>
    <w:rsid w:val="00D50AAD"/>
    <w:rsid w:val="00D531B5"/>
    <w:rsid w:val="00D60B8A"/>
    <w:rsid w:val="00D6359D"/>
    <w:rsid w:val="00D6394C"/>
    <w:rsid w:val="00D6630D"/>
    <w:rsid w:val="00D750EC"/>
    <w:rsid w:val="00D7667B"/>
    <w:rsid w:val="00D76A44"/>
    <w:rsid w:val="00D77EE9"/>
    <w:rsid w:val="00D809FC"/>
    <w:rsid w:val="00D8426F"/>
    <w:rsid w:val="00D84F3A"/>
    <w:rsid w:val="00D85EE2"/>
    <w:rsid w:val="00D8646F"/>
    <w:rsid w:val="00D91D3C"/>
    <w:rsid w:val="00D93753"/>
    <w:rsid w:val="00DA062A"/>
    <w:rsid w:val="00DA0F6C"/>
    <w:rsid w:val="00DA29DD"/>
    <w:rsid w:val="00DA316B"/>
    <w:rsid w:val="00DA4E11"/>
    <w:rsid w:val="00DA5E80"/>
    <w:rsid w:val="00DA622F"/>
    <w:rsid w:val="00DA77A5"/>
    <w:rsid w:val="00DB3329"/>
    <w:rsid w:val="00DB366F"/>
    <w:rsid w:val="00DB7AFF"/>
    <w:rsid w:val="00DC3BA8"/>
    <w:rsid w:val="00DC5501"/>
    <w:rsid w:val="00DD0214"/>
    <w:rsid w:val="00DD0762"/>
    <w:rsid w:val="00DD2FFE"/>
    <w:rsid w:val="00DD3F28"/>
    <w:rsid w:val="00DD4537"/>
    <w:rsid w:val="00DD4E15"/>
    <w:rsid w:val="00DD79B7"/>
    <w:rsid w:val="00DD7E6D"/>
    <w:rsid w:val="00DD7FDC"/>
    <w:rsid w:val="00DE2A9E"/>
    <w:rsid w:val="00DE32F5"/>
    <w:rsid w:val="00DE4E3F"/>
    <w:rsid w:val="00DE4FCB"/>
    <w:rsid w:val="00DE67D6"/>
    <w:rsid w:val="00DE6E5E"/>
    <w:rsid w:val="00DF11A9"/>
    <w:rsid w:val="00DF2D81"/>
    <w:rsid w:val="00DF5C3A"/>
    <w:rsid w:val="00DF5D2B"/>
    <w:rsid w:val="00E000DA"/>
    <w:rsid w:val="00E01819"/>
    <w:rsid w:val="00E024CA"/>
    <w:rsid w:val="00E03335"/>
    <w:rsid w:val="00E10149"/>
    <w:rsid w:val="00E11294"/>
    <w:rsid w:val="00E152E5"/>
    <w:rsid w:val="00E16372"/>
    <w:rsid w:val="00E20ED6"/>
    <w:rsid w:val="00E21358"/>
    <w:rsid w:val="00E2249B"/>
    <w:rsid w:val="00E22645"/>
    <w:rsid w:val="00E22A0D"/>
    <w:rsid w:val="00E2771E"/>
    <w:rsid w:val="00E302DB"/>
    <w:rsid w:val="00E318A0"/>
    <w:rsid w:val="00E33F74"/>
    <w:rsid w:val="00E343F9"/>
    <w:rsid w:val="00E37569"/>
    <w:rsid w:val="00E37B4A"/>
    <w:rsid w:val="00E41834"/>
    <w:rsid w:val="00E41E30"/>
    <w:rsid w:val="00E43BF1"/>
    <w:rsid w:val="00E43D70"/>
    <w:rsid w:val="00E44EE5"/>
    <w:rsid w:val="00E47B2C"/>
    <w:rsid w:val="00E51560"/>
    <w:rsid w:val="00E53DFE"/>
    <w:rsid w:val="00E55424"/>
    <w:rsid w:val="00E55BB5"/>
    <w:rsid w:val="00E5720D"/>
    <w:rsid w:val="00E57FDC"/>
    <w:rsid w:val="00E604FE"/>
    <w:rsid w:val="00E60AF9"/>
    <w:rsid w:val="00E61E29"/>
    <w:rsid w:val="00E621F6"/>
    <w:rsid w:val="00E62A22"/>
    <w:rsid w:val="00E62B8F"/>
    <w:rsid w:val="00E62EF5"/>
    <w:rsid w:val="00E641C0"/>
    <w:rsid w:val="00E65469"/>
    <w:rsid w:val="00E65E79"/>
    <w:rsid w:val="00E67416"/>
    <w:rsid w:val="00E717CE"/>
    <w:rsid w:val="00E718B6"/>
    <w:rsid w:val="00E72F85"/>
    <w:rsid w:val="00E73581"/>
    <w:rsid w:val="00E738AE"/>
    <w:rsid w:val="00E80621"/>
    <w:rsid w:val="00E837E6"/>
    <w:rsid w:val="00E83BDF"/>
    <w:rsid w:val="00E84EAF"/>
    <w:rsid w:val="00E879E2"/>
    <w:rsid w:val="00E934D9"/>
    <w:rsid w:val="00E93CB3"/>
    <w:rsid w:val="00E94497"/>
    <w:rsid w:val="00E94B29"/>
    <w:rsid w:val="00E96D3A"/>
    <w:rsid w:val="00EA27D9"/>
    <w:rsid w:val="00EA289B"/>
    <w:rsid w:val="00EA365E"/>
    <w:rsid w:val="00EA3864"/>
    <w:rsid w:val="00EB15B6"/>
    <w:rsid w:val="00EB2633"/>
    <w:rsid w:val="00EB4205"/>
    <w:rsid w:val="00EB4916"/>
    <w:rsid w:val="00EB4B0B"/>
    <w:rsid w:val="00EB6260"/>
    <w:rsid w:val="00EB753B"/>
    <w:rsid w:val="00EC00C9"/>
    <w:rsid w:val="00EC0F6E"/>
    <w:rsid w:val="00EC135D"/>
    <w:rsid w:val="00EC147D"/>
    <w:rsid w:val="00EC2AC5"/>
    <w:rsid w:val="00EC4152"/>
    <w:rsid w:val="00EC7A4A"/>
    <w:rsid w:val="00EC7C2E"/>
    <w:rsid w:val="00EC7D45"/>
    <w:rsid w:val="00ED1DE2"/>
    <w:rsid w:val="00ED54C1"/>
    <w:rsid w:val="00ED634A"/>
    <w:rsid w:val="00EE07D3"/>
    <w:rsid w:val="00EE1DEF"/>
    <w:rsid w:val="00EE2045"/>
    <w:rsid w:val="00EE24F1"/>
    <w:rsid w:val="00EE33EB"/>
    <w:rsid w:val="00EE5849"/>
    <w:rsid w:val="00EF14F5"/>
    <w:rsid w:val="00EF15A4"/>
    <w:rsid w:val="00EF669F"/>
    <w:rsid w:val="00F01B0D"/>
    <w:rsid w:val="00F05895"/>
    <w:rsid w:val="00F062EC"/>
    <w:rsid w:val="00F067A2"/>
    <w:rsid w:val="00F10098"/>
    <w:rsid w:val="00F1121E"/>
    <w:rsid w:val="00F119AC"/>
    <w:rsid w:val="00F1471A"/>
    <w:rsid w:val="00F14A18"/>
    <w:rsid w:val="00F152A9"/>
    <w:rsid w:val="00F1578A"/>
    <w:rsid w:val="00F16628"/>
    <w:rsid w:val="00F20903"/>
    <w:rsid w:val="00F2288E"/>
    <w:rsid w:val="00F24837"/>
    <w:rsid w:val="00F2557E"/>
    <w:rsid w:val="00F2575F"/>
    <w:rsid w:val="00F26D7F"/>
    <w:rsid w:val="00F3273B"/>
    <w:rsid w:val="00F33DE9"/>
    <w:rsid w:val="00F35F3D"/>
    <w:rsid w:val="00F3619A"/>
    <w:rsid w:val="00F36883"/>
    <w:rsid w:val="00F36EFC"/>
    <w:rsid w:val="00F3700D"/>
    <w:rsid w:val="00F37897"/>
    <w:rsid w:val="00F37BB7"/>
    <w:rsid w:val="00F413F3"/>
    <w:rsid w:val="00F4180E"/>
    <w:rsid w:val="00F44CD2"/>
    <w:rsid w:val="00F46CB6"/>
    <w:rsid w:val="00F47202"/>
    <w:rsid w:val="00F50AE0"/>
    <w:rsid w:val="00F50C3C"/>
    <w:rsid w:val="00F530FC"/>
    <w:rsid w:val="00F55E73"/>
    <w:rsid w:val="00F56C65"/>
    <w:rsid w:val="00F5701E"/>
    <w:rsid w:val="00F60092"/>
    <w:rsid w:val="00F60E5A"/>
    <w:rsid w:val="00F6210D"/>
    <w:rsid w:val="00F621A9"/>
    <w:rsid w:val="00F67166"/>
    <w:rsid w:val="00F71A71"/>
    <w:rsid w:val="00F72DE4"/>
    <w:rsid w:val="00F7311E"/>
    <w:rsid w:val="00F7414B"/>
    <w:rsid w:val="00F7582C"/>
    <w:rsid w:val="00F76381"/>
    <w:rsid w:val="00F769B5"/>
    <w:rsid w:val="00F807D3"/>
    <w:rsid w:val="00F80E5D"/>
    <w:rsid w:val="00F83548"/>
    <w:rsid w:val="00F851CE"/>
    <w:rsid w:val="00F85DE4"/>
    <w:rsid w:val="00F87FE1"/>
    <w:rsid w:val="00F93836"/>
    <w:rsid w:val="00F946FD"/>
    <w:rsid w:val="00F97A78"/>
    <w:rsid w:val="00FA08DA"/>
    <w:rsid w:val="00FA24E7"/>
    <w:rsid w:val="00FA3743"/>
    <w:rsid w:val="00FA3AAA"/>
    <w:rsid w:val="00FB2FCB"/>
    <w:rsid w:val="00FB5647"/>
    <w:rsid w:val="00FC01E7"/>
    <w:rsid w:val="00FC1074"/>
    <w:rsid w:val="00FC1884"/>
    <w:rsid w:val="00FC2DA7"/>
    <w:rsid w:val="00FC5D3C"/>
    <w:rsid w:val="00FC7E54"/>
    <w:rsid w:val="00FD03FA"/>
    <w:rsid w:val="00FD07CD"/>
    <w:rsid w:val="00FD0F97"/>
    <w:rsid w:val="00FD2100"/>
    <w:rsid w:val="00FD242B"/>
    <w:rsid w:val="00FD3CF9"/>
    <w:rsid w:val="00FD446D"/>
    <w:rsid w:val="00FD6954"/>
    <w:rsid w:val="00FD6E9D"/>
    <w:rsid w:val="00FE0E24"/>
    <w:rsid w:val="00FE1F79"/>
    <w:rsid w:val="00FE4271"/>
    <w:rsid w:val="00FE4583"/>
    <w:rsid w:val="00FE4B8D"/>
    <w:rsid w:val="00FE798A"/>
    <w:rsid w:val="00FF0150"/>
    <w:rsid w:val="00FF1C5D"/>
    <w:rsid w:val="00FF1D3E"/>
    <w:rsid w:val="00FF3DCF"/>
    <w:rsid w:val="00FF58BC"/>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Bayer Caption,IB Caption,Medical Caption,CSR Caption,CAPTION,Char,Caption2,Caption Char1 Char,Caption Char Char Char,Caption Char1 Char Char Char,Caption Char Char Char Char Char,Caption Char Char1 Char,Caption Char1 Char1,- H17,c,Table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CAPTION Char,Char Char,Caption2 Char,Caption Char1 Char Char,Caption Char Char Char Char,Caption Char1 Char Char Char Char,Caption Char Char Char Char Char Char,c Char"/>
    <w:link w:val="Caption"/>
    <w:uiPriority w:val="10"/>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215F98"/>
    <w:pPr>
      <w:numPr>
        <w:numId w:val="7"/>
      </w:numPr>
      <w:outlineLvl w:val="0"/>
    </w:pPr>
    <w:rPr>
      <w:rFonts w:ascii="Arial" w:hAnsi="Arial" w:cs="Arial"/>
      <w:b/>
      <w:snapToGrid w:val="0"/>
      <w:sz w:val="22"/>
      <w:szCs w:val="22"/>
      <w:lang w:eastAsia="en-US"/>
    </w:rPr>
  </w:style>
  <w:style w:type="paragraph" w:customStyle="1" w:styleId="Table">
    <w:name w:val="Table"/>
    <w:basedOn w:val="Normal"/>
    <w:link w:val="TableChar"/>
    <w:qFormat/>
    <w:rsid w:val="006277BB"/>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6277BB"/>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6277BB"/>
    <w:rPr>
      <w:rFonts w:ascii="Candara" w:hAnsi="Candara"/>
      <w:b/>
      <w:sz w:val="20"/>
      <w:lang w:val="en-AU"/>
    </w:rPr>
  </w:style>
  <w:style w:type="paragraph" w:customStyle="1" w:styleId="CaptionFootnote">
    <w:name w:val="Caption Footnote"/>
    <w:basedOn w:val="Caption"/>
    <w:uiPriority w:val="99"/>
    <w:qFormat/>
    <w:rsid w:val="006277BB"/>
    <w:pPr>
      <w:spacing w:after="0"/>
      <w:jc w:val="left"/>
    </w:pPr>
    <w:rPr>
      <w:rFonts w:ascii="Candara" w:eastAsiaTheme="majorEastAsia" w:hAnsi="Candara" w:cstheme="majorBidi"/>
      <w:b w:val="0"/>
      <w:snapToGrid/>
      <w:color w:val="auto"/>
      <w:sz w:val="16"/>
      <w:lang w:bidi="en-US"/>
    </w:rPr>
  </w:style>
  <w:style w:type="paragraph" w:customStyle="1" w:styleId="TableBullets">
    <w:name w:val="Table Bullets"/>
    <w:basedOn w:val="Table"/>
    <w:uiPriority w:val="5"/>
    <w:qFormat/>
    <w:rsid w:val="00363479"/>
    <w:pPr>
      <w:numPr>
        <w:numId w:val="11"/>
      </w:numPr>
      <w:ind w:left="357" w:hanging="357"/>
    </w:pPr>
  </w:style>
  <w:style w:type="character" w:customStyle="1" w:styleId="Small">
    <w:name w:val="Small"/>
    <w:basedOn w:val="DefaultParagraphFont"/>
    <w:uiPriority w:val="4"/>
    <w:qFormat/>
    <w:rsid w:val="00FF1C5D"/>
    <w:rPr>
      <w:rFonts w:ascii="Candara" w:hAnsi="Candara"/>
      <w:sz w:val="20"/>
    </w:rPr>
  </w:style>
  <w:style w:type="paragraph" w:customStyle="1" w:styleId="TableCentre">
    <w:name w:val="Table Centre"/>
    <w:basedOn w:val="Table"/>
    <w:uiPriority w:val="99"/>
    <w:qFormat/>
    <w:rsid w:val="00FF1C5D"/>
    <w:pPr>
      <w:jc w:val="center"/>
    </w:pPr>
  </w:style>
  <w:style w:type="character" w:customStyle="1" w:styleId="FontItalics">
    <w:name w:val="Font Italics"/>
    <w:basedOn w:val="DefaultParagraphFont"/>
    <w:uiPriority w:val="1"/>
    <w:qFormat/>
    <w:rsid w:val="000828DC"/>
    <w:rPr>
      <w:rFonts w:ascii="Candara" w:hAnsi="Candara"/>
      <w:i/>
      <w:sz w:val="24"/>
    </w:rPr>
  </w:style>
  <w:style w:type="paragraph" w:styleId="FootnoteText">
    <w:name w:val="footnote text"/>
    <w:basedOn w:val="Normal"/>
    <w:link w:val="FootnoteTextChar"/>
    <w:semiHidden/>
    <w:unhideWhenUsed/>
    <w:rsid w:val="00E343F9"/>
    <w:rPr>
      <w:sz w:val="20"/>
    </w:rPr>
  </w:style>
  <w:style w:type="character" w:customStyle="1" w:styleId="FootnoteTextChar">
    <w:name w:val="Footnote Text Char"/>
    <w:basedOn w:val="DefaultParagraphFont"/>
    <w:link w:val="FootnoteText"/>
    <w:semiHidden/>
    <w:rsid w:val="00E343F9"/>
    <w:rPr>
      <w:rFonts w:ascii="Arial" w:hAnsi="Arial" w:cs="Arial"/>
      <w:snapToGrid w:val="0"/>
      <w:lang w:eastAsia="en-US"/>
    </w:rPr>
  </w:style>
  <w:style w:type="character" w:styleId="FootnoteReference">
    <w:name w:val="footnote reference"/>
    <w:basedOn w:val="DefaultParagraphFont"/>
    <w:semiHidden/>
    <w:unhideWhenUsed/>
    <w:rsid w:val="00E343F9"/>
    <w:rPr>
      <w:vertAlign w:val="superscript"/>
    </w:rPr>
  </w:style>
  <w:style w:type="character" w:customStyle="1" w:styleId="apple-converted-space">
    <w:name w:val="apple-converted-space"/>
    <w:basedOn w:val="DefaultParagraphFont"/>
    <w:rsid w:val="004A005F"/>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F2B38"/>
    <w:pPr>
      <w:widowControl/>
      <w:spacing w:after="160" w:line="240" w:lineRule="exact"/>
      <w:jc w:val="left"/>
    </w:pPr>
    <w:rPr>
      <w:rFonts w:ascii="Verdana" w:eastAsia="MS Mincho" w:hAnsi="Verdana" w:cs="Verdana"/>
      <w:snapToGrid/>
      <w:sz w:val="20"/>
      <w:lang w:val="en-US"/>
    </w:rPr>
  </w:style>
  <w:style w:type="table" w:customStyle="1" w:styleId="TableGrid1">
    <w:name w:val="TableGrid1"/>
    <w:rsid w:val="001A5EC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ListParagraphChar">
    <w:name w:val="List Paragraph Char"/>
    <w:aliases w:val="BulletPoints Char"/>
    <w:link w:val="ListParagraph"/>
    <w:uiPriority w:val="72"/>
    <w:rsid w:val="00C93864"/>
    <w:rPr>
      <w:rFonts w:ascii="Arial" w:hAnsi="Arial" w:cs="Arial"/>
      <w:snapToGrid w:val="0"/>
      <w:sz w:val="22"/>
      <w:lang w:eastAsia="en-US"/>
    </w:rPr>
  </w:style>
  <w:style w:type="character" w:styleId="IntenseReference">
    <w:name w:val="Intense Reference"/>
    <w:basedOn w:val="DefaultParagraphFont"/>
    <w:uiPriority w:val="32"/>
    <w:rsid w:val="00C93864"/>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Bayer Caption,IB Caption,Medical Caption,CSR Caption,CAPTION,Char,Caption2,Caption Char1 Char,Caption Char Char Char,Caption Char1 Char Char Char,Caption Char Char Char Char Char,Caption Char Char1 Char,Caption Char1 Char1,- H17,c,Table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CAPTION Char,Char Char,Caption2 Char,Caption Char1 Char Char,Caption Char Char Char Char,Caption Char1 Char Char Char Char,Caption Char Char Char Char Char Char,c Char"/>
    <w:link w:val="Caption"/>
    <w:uiPriority w:val="10"/>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215F98"/>
    <w:pPr>
      <w:numPr>
        <w:numId w:val="7"/>
      </w:numPr>
      <w:outlineLvl w:val="0"/>
    </w:pPr>
    <w:rPr>
      <w:rFonts w:ascii="Arial" w:hAnsi="Arial" w:cs="Arial"/>
      <w:b/>
      <w:snapToGrid w:val="0"/>
      <w:sz w:val="22"/>
      <w:szCs w:val="22"/>
      <w:lang w:eastAsia="en-US"/>
    </w:rPr>
  </w:style>
  <w:style w:type="paragraph" w:customStyle="1" w:styleId="Table">
    <w:name w:val="Table"/>
    <w:basedOn w:val="Normal"/>
    <w:link w:val="TableChar"/>
    <w:qFormat/>
    <w:rsid w:val="006277BB"/>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6277BB"/>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6277BB"/>
    <w:rPr>
      <w:rFonts w:ascii="Candara" w:hAnsi="Candara"/>
      <w:b/>
      <w:sz w:val="20"/>
      <w:lang w:val="en-AU"/>
    </w:rPr>
  </w:style>
  <w:style w:type="paragraph" w:customStyle="1" w:styleId="CaptionFootnote">
    <w:name w:val="Caption Footnote"/>
    <w:basedOn w:val="Caption"/>
    <w:uiPriority w:val="99"/>
    <w:qFormat/>
    <w:rsid w:val="006277BB"/>
    <w:pPr>
      <w:spacing w:after="0"/>
      <w:jc w:val="left"/>
    </w:pPr>
    <w:rPr>
      <w:rFonts w:ascii="Candara" w:eastAsiaTheme="majorEastAsia" w:hAnsi="Candara" w:cstheme="majorBidi"/>
      <w:b w:val="0"/>
      <w:snapToGrid/>
      <w:color w:val="auto"/>
      <w:sz w:val="16"/>
      <w:lang w:bidi="en-US"/>
    </w:rPr>
  </w:style>
  <w:style w:type="paragraph" w:customStyle="1" w:styleId="TableBullets">
    <w:name w:val="Table Bullets"/>
    <w:basedOn w:val="Table"/>
    <w:uiPriority w:val="5"/>
    <w:qFormat/>
    <w:rsid w:val="00363479"/>
    <w:pPr>
      <w:numPr>
        <w:numId w:val="11"/>
      </w:numPr>
      <w:ind w:left="357" w:hanging="357"/>
    </w:pPr>
  </w:style>
  <w:style w:type="character" w:customStyle="1" w:styleId="Small">
    <w:name w:val="Small"/>
    <w:basedOn w:val="DefaultParagraphFont"/>
    <w:uiPriority w:val="4"/>
    <w:qFormat/>
    <w:rsid w:val="00FF1C5D"/>
    <w:rPr>
      <w:rFonts w:ascii="Candara" w:hAnsi="Candara"/>
      <w:sz w:val="20"/>
    </w:rPr>
  </w:style>
  <w:style w:type="paragraph" w:customStyle="1" w:styleId="TableCentre">
    <w:name w:val="Table Centre"/>
    <w:basedOn w:val="Table"/>
    <w:uiPriority w:val="99"/>
    <w:qFormat/>
    <w:rsid w:val="00FF1C5D"/>
    <w:pPr>
      <w:jc w:val="center"/>
    </w:pPr>
  </w:style>
  <w:style w:type="character" w:customStyle="1" w:styleId="FontItalics">
    <w:name w:val="Font Italics"/>
    <w:basedOn w:val="DefaultParagraphFont"/>
    <w:uiPriority w:val="1"/>
    <w:qFormat/>
    <w:rsid w:val="000828DC"/>
    <w:rPr>
      <w:rFonts w:ascii="Candara" w:hAnsi="Candara"/>
      <w:i/>
      <w:sz w:val="24"/>
    </w:rPr>
  </w:style>
  <w:style w:type="paragraph" w:styleId="FootnoteText">
    <w:name w:val="footnote text"/>
    <w:basedOn w:val="Normal"/>
    <w:link w:val="FootnoteTextChar"/>
    <w:semiHidden/>
    <w:unhideWhenUsed/>
    <w:rsid w:val="00E343F9"/>
    <w:rPr>
      <w:sz w:val="20"/>
    </w:rPr>
  </w:style>
  <w:style w:type="character" w:customStyle="1" w:styleId="FootnoteTextChar">
    <w:name w:val="Footnote Text Char"/>
    <w:basedOn w:val="DefaultParagraphFont"/>
    <w:link w:val="FootnoteText"/>
    <w:semiHidden/>
    <w:rsid w:val="00E343F9"/>
    <w:rPr>
      <w:rFonts w:ascii="Arial" w:hAnsi="Arial" w:cs="Arial"/>
      <w:snapToGrid w:val="0"/>
      <w:lang w:eastAsia="en-US"/>
    </w:rPr>
  </w:style>
  <w:style w:type="character" w:styleId="FootnoteReference">
    <w:name w:val="footnote reference"/>
    <w:basedOn w:val="DefaultParagraphFont"/>
    <w:semiHidden/>
    <w:unhideWhenUsed/>
    <w:rsid w:val="00E343F9"/>
    <w:rPr>
      <w:vertAlign w:val="superscript"/>
    </w:rPr>
  </w:style>
  <w:style w:type="character" w:customStyle="1" w:styleId="apple-converted-space">
    <w:name w:val="apple-converted-space"/>
    <w:basedOn w:val="DefaultParagraphFont"/>
    <w:rsid w:val="004A005F"/>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F2B38"/>
    <w:pPr>
      <w:widowControl/>
      <w:spacing w:after="160" w:line="240" w:lineRule="exact"/>
      <w:jc w:val="left"/>
    </w:pPr>
    <w:rPr>
      <w:rFonts w:ascii="Verdana" w:eastAsia="MS Mincho" w:hAnsi="Verdana" w:cs="Verdana"/>
      <w:snapToGrid/>
      <w:sz w:val="20"/>
      <w:lang w:val="en-US"/>
    </w:rPr>
  </w:style>
  <w:style w:type="table" w:customStyle="1" w:styleId="TableGrid1">
    <w:name w:val="TableGrid1"/>
    <w:rsid w:val="001A5EC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ListParagraphChar">
    <w:name w:val="List Paragraph Char"/>
    <w:aliases w:val="BulletPoints Char"/>
    <w:link w:val="ListParagraph"/>
    <w:uiPriority w:val="72"/>
    <w:rsid w:val="00C93864"/>
    <w:rPr>
      <w:rFonts w:ascii="Arial" w:hAnsi="Arial" w:cs="Arial"/>
      <w:snapToGrid w:val="0"/>
      <w:sz w:val="22"/>
      <w:lang w:eastAsia="en-US"/>
    </w:rPr>
  </w:style>
  <w:style w:type="character" w:styleId="IntenseReference">
    <w:name w:val="Intense Reference"/>
    <w:basedOn w:val="DefaultParagraphFont"/>
    <w:uiPriority w:val="32"/>
    <w:rsid w:val="00C93864"/>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2530">
      <w:bodyDiv w:val="1"/>
      <w:marLeft w:val="0"/>
      <w:marRight w:val="0"/>
      <w:marTop w:val="0"/>
      <w:marBottom w:val="0"/>
      <w:divBdr>
        <w:top w:val="none" w:sz="0" w:space="0" w:color="auto"/>
        <w:left w:val="none" w:sz="0" w:space="0" w:color="auto"/>
        <w:bottom w:val="none" w:sz="0" w:space="0" w:color="auto"/>
        <w:right w:val="none" w:sz="0" w:space="0" w:color="auto"/>
      </w:divBdr>
    </w:div>
    <w:div w:id="263415445">
      <w:bodyDiv w:val="1"/>
      <w:marLeft w:val="0"/>
      <w:marRight w:val="0"/>
      <w:marTop w:val="0"/>
      <w:marBottom w:val="0"/>
      <w:divBdr>
        <w:top w:val="none" w:sz="0" w:space="0" w:color="auto"/>
        <w:left w:val="none" w:sz="0" w:space="0" w:color="auto"/>
        <w:bottom w:val="none" w:sz="0" w:space="0" w:color="auto"/>
        <w:right w:val="none" w:sz="0" w:space="0" w:color="auto"/>
      </w:divBdr>
    </w:div>
    <w:div w:id="839808998">
      <w:bodyDiv w:val="1"/>
      <w:marLeft w:val="0"/>
      <w:marRight w:val="0"/>
      <w:marTop w:val="0"/>
      <w:marBottom w:val="0"/>
      <w:divBdr>
        <w:top w:val="none" w:sz="0" w:space="0" w:color="auto"/>
        <w:left w:val="none" w:sz="0" w:space="0" w:color="auto"/>
        <w:bottom w:val="none" w:sz="0" w:space="0" w:color="auto"/>
        <w:right w:val="none" w:sz="0" w:space="0" w:color="auto"/>
      </w:divBdr>
    </w:div>
    <w:div w:id="1429697077">
      <w:bodyDiv w:val="1"/>
      <w:marLeft w:val="0"/>
      <w:marRight w:val="0"/>
      <w:marTop w:val="0"/>
      <w:marBottom w:val="0"/>
      <w:divBdr>
        <w:top w:val="none" w:sz="0" w:space="0" w:color="auto"/>
        <w:left w:val="none" w:sz="0" w:space="0" w:color="auto"/>
        <w:bottom w:val="none" w:sz="0" w:space="0" w:color="auto"/>
        <w:right w:val="none" w:sz="0" w:space="0" w:color="auto"/>
      </w:divBdr>
    </w:div>
    <w:div w:id="1637447341">
      <w:bodyDiv w:val="1"/>
      <w:marLeft w:val="0"/>
      <w:marRight w:val="0"/>
      <w:marTop w:val="0"/>
      <w:marBottom w:val="0"/>
      <w:divBdr>
        <w:top w:val="none" w:sz="0" w:space="0" w:color="auto"/>
        <w:left w:val="none" w:sz="0" w:space="0" w:color="auto"/>
        <w:bottom w:val="none" w:sz="0" w:space="0" w:color="auto"/>
        <w:right w:val="none" w:sz="0" w:space="0" w:color="auto"/>
      </w:divBdr>
    </w:div>
    <w:div w:id="1664624066">
      <w:bodyDiv w:val="1"/>
      <w:marLeft w:val="0"/>
      <w:marRight w:val="0"/>
      <w:marTop w:val="0"/>
      <w:marBottom w:val="0"/>
      <w:divBdr>
        <w:top w:val="none" w:sz="0" w:space="0" w:color="auto"/>
        <w:left w:val="none" w:sz="0" w:space="0" w:color="auto"/>
        <w:bottom w:val="none" w:sz="0" w:space="0" w:color="auto"/>
        <w:right w:val="none" w:sz="0" w:space="0" w:color="auto"/>
      </w:divBdr>
    </w:div>
    <w:div w:id="1791122120">
      <w:bodyDiv w:val="1"/>
      <w:marLeft w:val="0"/>
      <w:marRight w:val="0"/>
      <w:marTop w:val="0"/>
      <w:marBottom w:val="0"/>
      <w:divBdr>
        <w:top w:val="none" w:sz="0" w:space="0" w:color="auto"/>
        <w:left w:val="none" w:sz="0" w:space="0" w:color="auto"/>
        <w:bottom w:val="none" w:sz="0" w:space="0" w:color="auto"/>
        <w:right w:val="none" w:sz="0" w:space="0" w:color="auto"/>
      </w:divBdr>
    </w:div>
    <w:div w:id="181582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Eur12</b:Tag>
    <b:SourceType>JournalArticle</b:SourceType>
    <b:Guid>{8D783387-42ED-4DCA-9FCD-F35EE829F627}</b:Guid>
    <b:Author>
      <b:Author>
        <b:Corporate>EASL</b:Corporate>
      </b:Author>
    </b:Author>
    <b:Title>EASL Clinical Practice Guidelines: Management of chronic hepatitis B virus infection</b:Title>
    <b:JournalName>Journal of Hepatology</b:JournalName>
    <b:Year>2012</b:Year>
    <b:Pages>167-185</b:Pages>
    <b:Volume>57</b:Volume>
    <b:RefOrder>19</b:RefOrder>
  </b:Source>
  <b:Source>
    <b:Tag>Ter16</b:Tag>
    <b:SourceType>JournalArticle</b:SourceType>
    <b:Guid>{C2F56E1E-9A9B-4A98-8D16-A26A4A817B46}</b:Guid>
    <b:Author>
      <b:Author>
        <b:NameList>
          <b:Person>
            <b:Last>Terrault</b:Last>
            <b:First>NA</b:First>
          </b:Person>
          <b:Person>
            <b:Last>Bzowej</b:Last>
            <b:First>NH</b:First>
          </b:Person>
          <b:Person>
            <b:Last>Change</b:Last>
            <b:First>K-M</b:First>
          </b:Person>
          <b:Person>
            <b:Last>Hwang</b:Last>
            <b:First>JP</b:First>
          </b:Person>
          <b:Person>
            <b:Last>Jonas</b:Last>
            <b:First>MM</b:First>
          </b:Person>
          <b:Person>
            <b:Last>Muad</b:Last>
            <b:First>MH</b:First>
          </b:Person>
        </b:NameList>
      </b:Author>
    </b:Author>
    <b:Title>AASLD Guidelines for treatment of chronic hepatitis B</b:Title>
    <b:JournalName>Hepatology</b:JournalName>
    <b:Year>2016</b:Year>
    <b:Pages>261-83</b:Pages>
    <b:Volume>63</b:Volume>
    <b:Issue>1</b:Issue>
    <b:RefOrder>10</b:RefOrder>
  </b:Source>
  <b:Source>
    <b:Tag>GES09</b:Tag>
    <b:SourceType>JournalArticle</b:SourceType>
    <b:Guid>{0F86B340-20DE-4FE0-A923-E5776C006DA9}</b:Guid>
    <b:Author>
      <b:Author>
        <b:Corporate>GESA &amp; DHF</b:Corporate>
      </b:Author>
    </b:Author>
    <b:Title>Australia and New Zealand Chronic Hepatitis B (CHB) Recommendations 2nd ed.</b:Title>
    <b:Year>2009</b:Year>
    <b:RefOrder>7</b:RefOrder>
  </b:Source>
</b:Sources>
</file>

<file path=customXml/itemProps1.xml><?xml version="1.0" encoding="utf-8"?>
<ds:datastoreItem xmlns:ds="http://schemas.openxmlformats.org/officeDocument/2006/customXml" ds:itemID="{07104271-D34B-489F-8490-D33A1A5B8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5327</Words>
  <Characters>30364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2017-06-15T04:45:00Z</dcterms:created>
  <dcterms:modified xsi:type="dcterms:W3CDTF">2017-06-15T04:46:00Z</dcterms:modified>
</cp:coreProperties>
</file>