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1E" w:rsidRPr="00C123D8" w:rsidRDefault="002C581E" w:rsidP="002C581E">
      <w:pPr>
        <w:jc w:val="both"/>
        <w:rPr>
          <w:rFonts w:ascii="Arial" w:hAnsi="Arial" w:cs="Arial"/>
          <w:sz w:val="22"/>
          <w:szCs w:val="22"/>
        </w:rPr>
      </w:pPr>
      <w:bookmarkStart w:id="0" w:name="_GoBack"/>
      <w:bookmarkEnd w:id="0"/>
    </w:p>
    <w:p w:rsidR="00CE10C4" w:rsidRPr="00AA6C96" w:rsidRDefault="00380408" w:rsidP="00AA6C96">
      <w:pPr>
        <w:pStyle w:val="Title"/>
        <w:ind w:left="720" w:hanging="720"/>
        <w:rPr>
          <w:szCs w:val="28"/>
        </w:rPr>
      </w:pPr>
      <w:r>
        <w:rPr>
          <w:szCs w:val="28"/>
        </w:rPr>
        <w:t>5</w:t>
      </w:r>
      <w:r w:rsidR="0004240E" w:rsidRPr="006D6EC7">
        <w:rPr>
          <w:szCs w:val="28"/>
        </w:rPr>
        <w:t>.</w:t>
      </w:r>
      <w:r>
        <w:rPr>
          <w:szCs w:val="28"/>
        </w:rPr>
        <w:t>15</w:t>
      </w:r>
      <w:r w:rsidR="007C0F57" w:rsidRPr="006D6EC7">
        <w:rPr>
          <w:szCs w:val="28"/>
        </w:rPr>
        <w:tab/>
      </w:r>
      <w:r>
        <w:rPr>
          <w:szCs w:val="28"/>
        </w:rPr>
        <w:t>RITUXIMAB</w:t>
      </w:r>
      <w:r w:rsidR="008A50F1">
        <w:rPr>
          <w:szCs w:val="28"/>
        </w:rPr>
        <w:br/>
      </w:r>
      <w:r w:rsidR="00D56911">
        <w:rPr>
          <w:szCs w:val="28"/>
        </w:rPr>
        <w:t>1,600</w:t>
      </w:r>
      <w:r w:rsidR="00947A5B">
        <w:rPr>
          <w:rFonts w:hint="eastAsia"/>
          <w:szCs w:val="28"/>
        </w:rPr>
        <w:t> </w:t>
      </w:r>
      <w:r w:rsidR="00D56911">
        <w:rPr>
          <w:szCs w:val="28"/>
        </w:rPr>
        <w:t>mg/13.4</w:t>
      </w:r>
      <w:r w:rsidR="00947A5B">
        <w:rPr>
          <w:rFonts w:hint="eastAsia"/>
          <w:szCs w:val="28"/>
        </w:rPr>
        <w:t> </w:t>
      </w:r>
      <w:r w:rsidR="00D56911">
        <w:rPr>
          <w:szCs w:val="28"/>
        </w:rPr>
        <w:t>mL</w:t>
      </w:r>
      <w:r w:rsidR="00D006E8">
        <w:rPr>
          <w:szCs w:val="28"/>
        </w:rPr>
        <w:t>,</w:t>
      </w:r>
      <w:r w:rsidR="00D56911">
        <w:rPr>
          <w:szCs w:val="28"/>
        </w:rPr>
        <w:t xml:space="preserve"> </w:t>
      </w:r>
      <w:r w:rsidR="00D006E8">
        <w:rPr>
          <w:szCs w:val="28"/>
        </w:rPr>
        <w:t>S</w:t>
      </w:r>
      <w:r w:rsidR="00D56911">
        <w:rPr>
          <w:szCs w:val="28"/>
        </w:rPr>
        <w:t>olution for subcutaneous injection</w:t>
      </w:r>
      <w:r w:rsidR="00D006E8">
        <w:rPr>
          <w:szCs w:val="28"/>
        </w:rPr>
        <w:t>,</w:t>
      </w:r>
      <w:r w:rsidR="008A50F1">
        <w:rPr>
          <w:szCs w:val="28"/>
        </w:rPr>
        <w:br/>
      </w:r>
      <w:r w:rsidR="00115EF4">
        <w:rPr>
          <w:szCs w:val="28"/>
        </w:rPr>
        <w:t>MabThera</w:t>
      </w:r>
      <w:r w:rsidR="00D56911" w:rsidRPr="00322707">
        <w:rPr>
          <w:szCs w:val="28"/>
          <w:vertAlign w:val="superscript"/>
        </w:rPr>
        <w:t>®</w:t>
      </w:r>
      <w:r w:rsidR="00115EF4">
        <w:rPr>
          <w:szCs w:val="28"/>
        </w:rPr>
        <w:t>SC</w:t>
      </w:r>
      <w:r w:rsidR="00EF44A0">
        <w:rPr>
          <w:szCs w:val="28"/>
        </w:rPr>
        <w:t xml:space="preserve">, </w:t>
      </w:r>
      <w:r w:rsidR="00D56911">
        <w:rPr>
          <w:szCs w:val="28"/>
        </w:rPr>
        <w:t>Roche Products Pty L</w:t>
      </w:r>
      <w:r w:rsidR="00115EF4">
        <w:rPr>
          <w:szCs w:val="28"/>
        </w:rPr>
        <w:t>td</w:t>
      </w:r>
      <w:r w:rsidR="00D56911">
        <w:rPr>
          <w:szCs w:val="28"/>
        </w:rPr>
        <w:t>.</w:t>
      </w:r>
    </w:p>
    <w:p w:rsidR="00C27B58" w:rsidRDefault="00C27B58" w:rsidP="00C27B58">
      <w:pPr>
        <w:pStyle w:val="NoSpacing"/>
      </w:pPr>
    </w:p>
    <w:p w:rsidR="00E15627" w:rsidRPr="00BC22CD" w:rsidRDefault="00CE10C4" w:rsidP="00E15627">
      <w:pPr>
        <w:pStyle w:val="PBACHeading1"/>
      </w:pPr>
      <w:r w:rsidRPr="00BC22CD">
        <w:t xml:space="preserve">Purpose of </w:t>
      </w:r>
      <w:r w:rsidR="0004240E" w:rsidRPr="00BC22CD">
        <w:t>Application</w:t>
      </w:r>
    </w:p>
    <w:p w:rsidR="008A50F1" w:rsidRPr="00BC22CD" w:rsidRDefault="008A50F1" w:rsidP="00E15627"/>
    <w:p w:rsidR="006A12A5" w:rsidRPr="00BC22CD" w:rsidRDefault="00EF44A0" w:rsidP="00E15627">
      <w:pPr>
        <w:pStyle w:val="ListParagraph"/>
        <w:numPr>
          <w:ilvl w:val="1"/>
          <w:numId w:val="5"/>
        </w:numPr>
        <w:rPr>
          <w:szCs w:val="22"/>
        </w:rPr>
      </w:pPr>
      <w:r w:rsidRPr="00BC22CD">
        <w:rPr>
          <w:szCs w:val="22"/>
        </w:rPr>
        <w:t>Th</w:t>
      </w:r>
      <w:r w:rsidR="00324221" w:rsidRPr="00BC22CD">
        <w:rPr>
          <w:szCs w:val="22"/>
        </w:rPr>
        <w:t>is</w:t>
      </w:r>
      <w:r w:rsidRPr="00BC22CD">
        <w:rPr>
          <w:szCs w:val="22"/>
        </w:rPr>
        <w:t xml:space="preserve"> mi</w:t>
      </w:r>
      <w:r w:rsidR="00FF2801" w:rsidRPr="00BC22CD">
        <w:rPr>
          <w:szCs w:val="22"/>
        </w:rPr>
        <w:t xml:space="preserve">nor submission </w:t>
      </w:r>
      <w:r w:rsidR="00D56911" w:rsidRPr="00BC22CD">
        <w:rPr>
          <w:szCs w:val="22"/>
        </w:rPr>
        <w:t>s</w:t>
      </w:r>
      <w:r w:rsidR="000438C6">
        <w:rPr>
          <w:szCs w:val="22"/>
        </w:rPr>
        <w:t>ought</w:t>
      </w:r>
      <w:r w:rsidR="00D56911" w:rsidRPr="00BC22CD">
        <w:rPr>
          <w:szCs w:val="22"/>
        </w:rPr>
        <w:t xml:space="preserve"> the PBS listing of</w:t>
      </w:r>
      <w:r w:rsidR="00C634E4" w:rsidRPr="00BC22CD">
        <w:rPr>
          <w:szCs w:val="22"/>
        </w:rPr>
        <w:t xml:space="preserve"> </w:t>
      </w:r>
      <w:r w:rsidR="009669D8" w:rsidRPr="00BC22CD">
        <w:rPr>
          <w:szCs w:val="22"/>
        </w:rPr>
        <w:t xml:space="preserve">a </w:t>
      </w:r>
      <w:r w:rsidR="00C634E4" w:rsidRPr="00BC22CD">
        <w:rPr>
          <w:szCs w:val="22"/>
        </w:rPr>
        <w:t xml:space="preserve">new </w:t>
      </w:r>
      <w:r w:rsidR="00B6088D" w:rsidRPr="00BC22CD">
        <w:rPr>
          <w:szCs w:val="22"/>
        </w:rPr>
        <w:t>presenta</w:t>
      </w:r>
      <w:r w:rsidR="00C634E4" w:rsidRPr="00BC22CD">
        <w:rPr>
          <w:szCs w:val="22"/>
        </w:rPr>
        <w:t>tion of rituximab</w:t>
      </w:r>
      <w:r w:rsidR="00324221" w:rsidRPr="00BC22CD">
        <w:rPr>
          <w:szCs w:val="22"/>
        </w:rPr>
        <w:t>, suitable</w:t>
      </w:r>
      <w:r w:rsidR="00C634E4" w:rsidRPr="00BC22CD">
        <w:rPr>
          <w:szCs w:val="22"/>
        </w:rPr>
        <w:t xml:space="preserve"> for </w:t>
      </w:r>
      <w:r w:rsidR="00D56911" w:rsidRPr="00BC22CD">
        <w:rPr>
          <w:szCs w:val="22"/>
        </w:rPr>
        <w:t>subcutaneous (SC) administration</w:t>
      </w:r>
      <w:r w:rsidR="00324221" w:rsidRPr="00BC22CD">
        <w:rPr>
          <w:szCs w:val="22"/>
        </w:rPr>
        <w:t>,</w:t>
      </w:r>
      <w:r w:rsidR="00D56911" w:rsidRPr="00BC22CD">
        <w:rPr>
          <w:szCs w:val="22"/>
        </w:rPr>
        <w:t xml:space="preserve"> for </w:t>
      </w:r>
      <w:r w:rsidR="00C634E4" w:rsidRPr="00BC22CD">
        <w:rPr>
          <w:szCs w:val="22"/>
        </w:rPr>
        <w:t>patients with chronic lymphocytic leukaemia (CLL).</w:t>
      </w:r>
    </w:p>
    <w:p w:rsidR="00EF44A0" w:rsidRDefault="00EF44A0" w:rsidP="00C27B58">
      <w:pPr>
        <w:pStyle w:val="NoSpacing"/>
      </w:pPr>
    </w:p>
    <w:p w:rsidR="008F72D1" w:rsidRPr="00BC22CD" w:rsidRDefault="008F72D1" w:rsidP="00C27B58">
      <w:pPr>
        <w:pStyle w:val="NoSpacing"/>
      </w:pPr>
    </w:p>
    <w:p w:rsidR="00962223" w:rsidRPr="00BC22CD" w:rsidRDefault="006A12A5" w:rsidP="008A50F1">
      <w:pPr>
        <w:pStyle w:val="PBACHeading1"/>
      </w:pPr>
      <w:r w:rsidRPr="00BC22CD">
        <w:t>Requested listing</w:t>
      </w:r>
    </w:p>
    <w:p w:rsidR="006A12A5" w:rsidRPr="00BC22CD" w:rsidRDefault="006A12A5" w:rsidP="00882085">
      <w:pPr>
        <w:jc w:val="both"/>
        <w:rPr>
          <w:rFonts w:ascii="Arial" w:hAnsi="Arial"/>
          <w:b/>
          <w:sz w:val="22"/>
          <w:szCs w:val="22"/>
        </w:rPr>
      </w:pPr>
    </w:p>
    <w:p w:rsidR="0044611B" w:rsidRPr="00BC22CD" w:rsidRDefault="00EF44A0" w:rsidP="008A50F1">
      <w:pPr>
        <w:pStyle w:val="ListParagraph"/>
        <w:numPr>
          <w:ilvl w:val="1"/>
          <w:numId w:val="5"/>
        </w:numPr>
        <w:rPr>
          <w:szCs w:val="22"/>
        </w:rPr>
      </w:pPr>
      <w:r w:rsidRPr="00BC22CD">
        <w:rPr>
          <w:szCs w:val="22"/>
        </w:rPr>
        <w:t xml:space="preserve">The submission </w:t>
      </w:r>
      <w:r w:rsidR="00FF2801" w:rsidRPr="00BC22CD">
        <w:rPr>
          <w:szCs w:val="22"/>
        </w:rPr>
        <w:t>request</w:t>
      </w:r>
      <w:r w:rsidR="000438C6">
        <w:rPr>
          <w:szCs w:val="22"/>
        </w:rPr>
        <w:t>ed</w:t>
      </w:r>
      <w:r w:rsidR="00324221" w:rsidRPr="00BC22CD">
        <w:rPr>
          <w:szCs w:val="22"/>
        </w:rPr>
        <w:t xml:space="preserve"> </w:t>
      </w:r>
      <w:r w:rsidR="0044611B" w:rsidRPr="00BC22CD">
        <w:rPr>
          <w:szCs w:val="22"/>
        </w:rPr>
        <w:t xml:space="preserve">the same PBS listings for rituximab </w:t>
      </w:r>
      <w:r w:rsidR="003D71D3" w:rsidRPr="00BC22CD">
        <w:rPr>
          <w:szCs w:val="22"/>
        </w:rPr>
        <w:t>1,600</w:t>
      </w:r>
      <w:r w:rsidR="00947A5B" w:rsidRPr="00BC22CD">
        <w:rPr>
          <w:szCs w:val="22"/>
        </w:rPr>
        <w:t> </w:t>
      </w:r>
      <w:r w:rsidR="003D71D3" w:rsidRPr="00BC22CD">
        <w:rPr>
          <w:szCs w:val="22"/>
        </w:rPr>
        <w:t>mg/13.4</w:t>
      </w:r>
      <w:r w:rsidR="00947A5B" w:rsidRPr="00BC22CD">
        <w:rPr>
          <w:szCs w:val="22"/>
        </w:rPr>
        <w:t> </w:t>
      </w:r>
      <w:r w:rsidR="003D71D3" w:rsidRPr="00BC22CD">
        <w:rPr>
          <w:szCs w:val="22"/>
        </w:rPr>
        <w:t xml:space="preserve">mL </w:t>
      </w:r>
      <w:r w:rsidR="0044611B" w:rsidRPr="00BC22CD">
        <w:rPr>
          <w:szCs w:val="22"/>
        </w:rPr>
        <w:t>SC inject</w:t>
      </w:r>
      <w:r w:rsidR="003D71D3" w:rsidRPr="00BC22CD">
        <w:rPr>
          <w:szCs w:val="22"/>
        </w:rPr>
        <w:t>ion</w:t>
      </w:r>
      <w:r w:rsidR="0044611B" w:rsidRPr="00BC22CD">
        <w:rPr>
          <w:szCs w:val="22"/>
        </w:rPr>
        <w:t xml:space="preserve"> as that of rituximab </w:t>
      </w:r>
      <w:r w:rsidR="001D10ED" w:rsidRPr="00BC22CD">
        <w:rPr>
          <w:szCs w:val="22"/>
        </w:rPr>
        <w:t>intravenous (</w:t>
      </w:r>
      <w:r w:rsidR="0044611B" w:rsidRPr="00BC22CD">
        <w:rPr>
          <w:szCs w:val="22"/>
        </w:rPr>
        <w:t>IV</w:t>
      </w:r>
      <w:r w:rsidR="001D10ED" w:rsidRPr="00BC22CD">
        <w:rPr>
          <w:szCs w:val="22"/>
        </w:rPr>
        <w:t>)</w:t>
      </w:r>
      <w:r w:rsidR="0044611B" w:rsidRPr="00BC22CD">
        <w:rPr>
          <w:szCs w:val="22"/>
        </w:rPr>
        <w:t xml:space="preserve"> infusion</w:t>
      </w:r>
      <w:r w:rsidR="003D71D3" w:rsidRPr="00BC22CD">
        <w:rPr>
          <w:szCs w:val="22"/>
        </w:rPr>
        <w:t xml:space="preserve"> for the treatment of CLL. </w:t>
      </w:r>
      <w:r w:rsidR="002E26A0" w:rsidRPr="00BC22CD">
        <w:rPr>
          <w:szCs w:val="22"/>
        </w:rPr>
        <w:t>The proposed listings are presented below</w:t>
      </w:r>
      <w:r w:rsidR="00463A23" w:rsidRPr="00BC22CD">
        <w:rPr>
          <w:szCs w:val="22"/>
        </w:rPr>
        <w:t>, with Secretariat suggested additions in italics</w:t>
      </w:r>
      <w:r w:rsidR="002E26A0" w:rsidRPr="00BC22CD">
        <w:rPr>
          <w:szCs w:val="22"/>
        </w:rPr>
        <w:t>:</w:t>
      </w:r>
    </w:p>
    <w:p w:rsidR="009A57BB" w:rsidRDefault="009A57BB">
      <w:pPr>
        <w:rPr>
          <w:rFonts w:ascii="Arial" w:hAnsi="Arial" w:cs="Arial"/>
          <w:snapToGrid w:val="0"/>
          <w:sz w:val="22"/>
          <w:szCs w:val="22"/>
          <w:lang w:eastAsia="en-US"/>
        </w:rPr>
      </w:pPr>
      <w:r>
        <w:rPr>
          <w:szCs w:val="22"/>
        </w:rPr>
        <w:br w:type="page"/>
      </w:r>
    </w:p>
    <w:p w:rsidR="0044611B" w:rsidRPr="00BC22CD" w:rsidRDefault="0044611B" w:rsidP="003121B6">
      <w:pPr>
        <w:pStyle w:val="ListParagraph"/>
        <w:rPr>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826F6D" w:rsidRPr="00260CE3" w:rsidRDefault="003D71D3" w:rsidP="00C27B58">
            <w:pPr>
              <w:keepNext/>
              <w:ind w:left="-108"/>
              <w:jc w:val="both"/>
              <w:rPr>
                <w:rFonts w:ascii="Arial Narrow" w:hAnsi="Arial Narrow" w:cs="Arial"/>
                <w:sz w:val="20"/>
                <w:szCs w:val="20"/>
              </w:rPr>
            </w:pPr>
            <w:r>
              <w:rPr>
                <w:rFonts w:ascii="Arial Narrow" w:hAnsi="Arial Narrow" w:cs="Arial"/>
                <w:smallCaps/>
                <w:sz w:val="20"/>
                <w:szCs w:val="20"/>
              </w:rPr>
              <w:t>rituximab</w:t>
            </w:r>
          </w:p>
          <w:p w:rsidR="00826F6D" w:rsidRDefault="003D71D3" w:rsidP="00C27B58">
            <w:pPr>
              <w:keepNext/>
              <w:ind w:left="-108"/>
              <w:jc w:val="both"/>
              <w:rPr>
                <w:rFonts w:ascii="Arial Narrow" w:hAnsi="Arial Narrow" w:cs="Arial"/>
                <w:sz w:val="20"/>
                <w:szCs w:val="20"/>
              </w:rPr>
            </w:pPr>
            <w:r>
              <w:rPr>
                <w:rFonts w:ascii="Arial Narrow" w:hAnsi="Arial Narrow" w:cs="Arial"/>
                <w:sz w:val="20"/>
                <w:szCs w:val="20"/>
              </w:rPr>
              <w:t>Solution for subcutaneous injection</w:t>
            </w:r>
          </w:p>
          <w:p w:rsidR="003D71D3" w:rsidRPr="00260CE3" w:rsidRDefault="003D71D3" w:rsidP="00C27B58">
            <w:pPr>
              <w:keepNext/>
              <w:ind w:left="-108"/>
              <w:jc w:val="both"/>
              <w:rPr>
                <w:rFonts w:ascii="Arial Narrow" w:hAnsi="Arial Narrow" w:cs="Arial"/>
                <w:sz w:val="20"/>
                <w:szCs w:val="20"/>
              </w:rPr>
            </w:pPr>
            <w:r>
              <w:rPr>
                <w:rFonts w:ascii="Arial Narrow" w:hAnsi="Arial Narrow" w:cs="Arial"/>
                <w:sz w:val="20"/>
                <w:szCs w:val="20"/>
              </w:rPr>
              <w:t>1,600</w:t>
            </w:r>
            <w:r w:rsidR="00947A5B">
              <w:rPr>
                <w:rFonts w:ascii="Arial Narrow" w:hAnsi="Arial Narrow" w:cs="Arial"/>
                <w:sz w:val="20"/>
                <w:szCs w:val="20"/>
              </w:rPr>
              <w:t> </w:t>
            </w:r>
            <w:r>
              <w:rPr>
                <w:rFonts w:ascii="Arial Narrow" w:hAnsi="Arial Narrow" w:cs="Arial"/>
                <w:sz w:val="20"/>
                <w:szCs w:val="20"/>
              </w:rPr>
              <w:t>mg/13.4</w:t>
            </w:r>
            <w:r w:rsidR="00947A5B">
              <w:rPr>
                <w:rFonts w:ascii="Arial Narrow" w:hAnsi="Arial Narrow" w:cs="Arial"/>
                <w:sz w:val="20"/>
                <w:szCs w:val="20"/>
              </w:rPr>
              <w:t> </w:t>
            </w:r>
            <w:r>
              <w:rPr>
                <w:rFonts w:ascii="Arial Narrow" w:hAnsi="Arial Narrow" w:cs="Arial"/>
                <w:sz w:val="20"/>
                <w:szCs w:val="20"/>
              </w:rPr>
              <w:t>mL</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3D71D3" w:rsidP="00C27B58">
            <w:pPr>
              <w:keepNext/>
              <w:ind w:left="-108"/>
              <w:jc w:val="both"/>
              <w:rPr>
                <w:rFonts w:ascii="Arial Narrow" w:hAnsi="Arial Narrow" w:cs="Arial"/>
                <w:sz w:val="20"/>
                <w:szCs w:val="20"/>
              </w:rPr>
            </w:pPr>
            <w:r>
              <w:rPr>
                <w:rFonts w:ascii="Arial Narrow" w:hAnsi="Arial Narrow" w:cs="Arial"/>
                <w:sz w:val="20"/>
                <w:szCs w:val="20"/>
              </w:rPr>
              <w:t>1,600</w:t>
            </w:r>
            <w:r w:rsidR="00947A5B">
              <w:rPr>
                <w:rFonts w:ascii="Arial Narrow" w:hAnsi="Arial Narrow" w:cs="Arial"/>
                <w:sz w:val="20"/>
                <w:szCs w:val="20"/>
              </w:rPr>
              <w:t> </w:t>
            </w:r>
            <w:r>
              <w:rPr>
                <w:rFonts w:ascii="Arial Narrow" w:hAnsi="Arial Narrow" w:cs="Arial"/>
                <w:sz w:val="20"/>
                <w:szCs w:val="20"/>
              </w:rPr>
              <w:t>mg</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3D71D3" w:rsidP="00C27B58">
            <w:pPr>
              <w:keepNext/>
              <w:ind w:left="-108"/>
              <w:jc w:val="both"/>
              <w:rPr>
                <w:rFonts w:ascii="Arial Narrow" w:hAnsi="Arial Narrow" w:cs="Arial"/>
                <w:sz w:val="20"/>
                <w:szCs w:val="20"/>
              </w:rPr>
            </w:pPr>
            <w:r>
              <w:rPr>
                <w:rFonts w:ascii="Arial Narrow" w:hAnsi="Arial Narrow" w:cs="Arial"/>
                <w:sz w:val="20"/>
                <w:szCs w:val="20"/>
              </w:rPr>
              <w:t>4</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Default="00826F6D" w:rsidP="003D71D3">
            <w:pPr>
              <w:keepNext/>
              <w:ind w:left="-108"/>
              <w:jc w:val="both"/>
              <w:rPr>
                <w:rFonts w:ascii="Arial Narrow" w:hAnsi="Arial Narrow" w:cs="Arial"/>
                <w:sz w:val="20"/>
                <w:szCs w:val="20"/>
              </w:rPr>
            </w:pPr>
            <w:r w:rsidRPr="00260CE3">
              <w:rPr>
                <w:rFonts w:ascii="Arial Narrow" w:hAnsi="Arial Narrow" w:cs="Arial"/>
                <w:sz w:val="20"/>
                <w:szCs w:val="20"/>
              </w:rPr>
              <w:t>$</w:t>
            </w:r>
            <w:r w:rsidR="00B004D9">
              <w:rPr>
                <w:rFonts w:ascii="Arial Narrow" w:hAnsi="Arial Narrow" w:cs="Arial"/>
                <w:noProof/>
                <w:color w:val="000000"/>
                <w:sz w:val="20"/>
                <w:szCs w:val="20"/>
                <w:highlight w:val="black"/>
              </w:rPr>
              <w:t>'''''''''''''''''''''</w:t>
            </w:r>
            <w:r w:rsidR="00C6420F">
              <w:rPr>
                <w:rFonts w:ascii="Arial Narrow" w:hAnsi="Arial Narrow" w:cs="Arial"/>
                <w:sz w:val="20"/>
                <w:szCs w:val="20"/>
              </w:rPr>
              <w:t xml:space="preserve"> (Public hospital)</w:t>
            </w:r>
          </w:p>
          <w:p w:rsidR="00C6420F" w:rsidRPr="00260CE3" w:rsidRDefault="00C6420F" w:rsidP="003D71D3">
            <w:pPr>
              <w:keepNext/>
              <w:ind w:left="-108"/>
              <w:jc w:val="both"/>
              <w:rPr>
                <w:rFonts w:ascii="Arial Narrow" w:hAnsi="Arial Narrow" w:cs="Arial"/>
                <w:sz w:val="20"/>
                <w:szCs w:val="20"/>
              </w:rPr>
            </w:pPr>
            <w:r>
              <w:rPr>
                <w:rFonts w:ascii="Arial Narrow" w:hAnsi="Arial Narrow" w:cs="Arial"/>
                <w:sz w:val="20"/>
                <w:szCs w:val="20"/>
              </w:rPr>
              <w:t>$</w:t>
            </w:r>
            <w:r w:rsidR="00B004D9">
              <w:rPr>
                <w:rFonts w:ascii="Arial Narrow" w:hAnsi="Arial Narrow" w:cs="Arial"/>
                <w:noProof/>
                <w:color w:val="000000"/>
                <w:sz w:val="20"/>
                <w:szCs w:val="20"/>
                <w:highlight w:val="black"/>
              </w:rPr>
              <w:t>''''''''''''''''''''</w:t>
            </w:r>
            <w:r>
              <w:rPr>
                <w:rFonts w:ascii="Arial Narrow" w:hAnsi="Arial Narrow" w:cs="Arial"/>
                <w:sz w:val="20"/>
                <w:szCs w:val="20"/>
              </w:rPr>
              <w:t xml:space="preserve"> (Private hospital)</w:t>
            </w:r>
          </w:p>
        </w:tc>
        <w:tc>
          <w:tcPr>
            <w:tcW w:w="1275" w:type="dxa"/>
          </w:tcPr>
          <w:p w:rsidR="00C27B58" w:rsidRDefault="00C27B58" w:rsidP="00C27B58">
            <w:pPr>
              <w:keepNext/>
              <w:jc w:val="both"/>
              <w:rPr>
                <w:rFonts w:ascii="Arial Narrow" w:hAnsi="Arial Narrow" w:cs="Arial"/>
                <w:sz w:val="20"/>
                <w:szCs w:val="20"/>
              </w:rPr>
            </w:pPr>
          </w:p>
          <w:p w:rsidR="00826F6D" w:rsidRPr="00260CE3" w:rsidRDefault="003D71D3" w:rsidP="00061D65">
            <w:pPr>
              <w:keepNext/>
              <w:jc w:val="both"/>
              <w:rPr>
                <w:rFonts w:ascii="Arial Narrow" w:hAnsi="Arial Narrow" w:cs="Arial"/>
                <w:sz w:val="20"/>
                <w:szCs w:val="20"/>
              </w:rPr>
            </w:pPr>
            <w:r>
              <w:rPr>
                <w:rFonts w:ascii="Arial Narrow" w:hAnsi="Arial Narrow" w:cs="Arial"/>
                <w:sz w:val="20"/>
                <w:szCs w:val="20"/>
              </w:rPr>
              <w:t>Mab</w:t>
            </w:r>
            <w:r w:rsidR="00061D65">
              <w:rPr>
                <w:rFonts w:ascii="Arial Narrow" w:hAnsi="Arial Narrow" w:cs="Arial"/>
                <w:sz w:val="20"/>
                <w:szCs w:val="20"/>
              </w:rPr>
              <w:t>T</w:t>
            </w:r>
            <w:r>
              <w:rPr>
                <w:rFonts w:ascii="Arial Narrow" w:hAnsi="Arial Narrow" w:cs="Arial"/>
                <w:sz w:val="20"/>
                <w:szCs w:val="20"/>
              </w:rPr>
              <w:t>hera</w:t>
            </w:r>
            <w:r w:rsidRPr="0077301F">
              <w:rPr>
                <w:rFonts w:ascii="Arial Narrow" w:hAnsi="Arial Narrow" w:cs="Arial"/>
                <w:sz w:val="20"/>
                <w:szCs w:val="20"/>
                <w:vertAlign w:val="superscript"/>
              </w:rPr>
              <w:t>®</w:t>
            </w:r>
            <w:r w:rsidR="00061D65">
              <w:rPr>
                <w:rFonts w:ascii="Arial Narrow" w:hAnsi="Arial Narrow" w:cs="Arial"/>
                <w:sz w:val="20"/>
                <w:szCs w:val="20"/>
              </w:rPr>
              <w:t xml:space="preserve"> </w:t>
            </w:r>
            <w:r>
              <w:rPr>
                <w:rFonts w:ascii="Arial Narrow" w:hAnsi="Arial Narrow" w:cs="Arial"/>
                <w:sz w:val="20"/>
                <w:szCs w:val="20"/>
              </w:rPr>
              <w:t>SC</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3D71D3" w:rsidP="00C27B58">
            <w:pPr>
              <w:keepNext/>
              <w:jc w:val="both"/>
              <w:rPr>
                <w:rFonts w:ascii="Arial Narrow" w:hAnsi="Arial Narrow" w:cs="Arial"/>
                <w:sz w:val="20"/>
                <w:szCs w:val="20"/>
              </w:rPr>
            </w:pPr>
            <w:r>
              <w:rPr>
                <w:rFonts w:ascii="Arial Narrow" w:hAnsi="Arial Narrow" w:cs="Arial"/>
                <w:sz w:val="20"/>
                <w:szCs w:val="20"/>
              </w:rPr>
              <w:t>Roche Products Pty Ltd</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477A03" w:rsidRPr="00260CE3" w:rsidRDefault="00477A03" w:rsidP="00477A03">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8D066B">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3D71D3">
              <w:rPr>
                <w:rFonts w:ascii="Arial Narrow" w:hAnsi="Arial Narrow" w:cs="Arial"/>
                <w:sz w:val="20"/>
                <w:szCs w:val="20"/>
              </w:rPr>
              <w:fldChar w:fldCharType="begin">
                <w:ffData>
                  <w:name w:val=""/>
                  <w:enabled/>
                  <w:calcOnExit w:val="0"/>
                  <w:checkBox>
                    <w:sizeAuto/>
                    <w:default w:val="1"/>
                  </w:checkBox>
                </w:ffData>
              </w:fldChar>
            </w:r>
            <w:r w:rsidR="003D71D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003D71D3">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3D71D3" w:rsidP="00C27B58">
            <w:pPr>
              <w:rPr>
                <w:rFonts w:ascii="Arial Narrow" w:hAnsi="Arial Narrow" w:cs="Arial"/>
                <w:sz w:val="20"/>
                <w:szCs w:val="20"/>
              </w:rPr>
            </w:pPr>
            <w:r>
              <w:rPr>
                <w:rFonts w:ascii="Arial Narrow" w:hAnsi="Arial Narrow" w:cs="Arial"/>
                <w:sz w:val="20"/>
                <w:szCs w:val="20"/>
              </w:rPr>
              <w:t xml:space="preserve">Chronic lymphocytic </w:t>
            </w:r>
            <w:r w:rsidR="000140E8">
              <w:rPr>
                <w:rFonts w:ascii="Arial Narrow" w:hAnsi="Arial Narrow" w:cs="Arial"/>
                <w:sz w:val="20"/>
                <w:szCs w:val="20"/>
              </w:rPr>
              <w:t>leukaemia (CLL)</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212BB5" w:rsidRPr="00284652" w:rsidRDefault="00212BB5" w:rsidP="00212BB5">
            <w:pPr>
              <w:rPr>
                <w:rFonts w:ascii="Arial Narrow" w:hAnsi="Arial Narrow"/>
                <w:sz w:val="20"/>
              </w:rPr>
            </w:pPr>
            <w:r w:rsidRPr="003A3F8D">
              <w:rPr>
                <w:rFonts w:ascii="Arial Narrow" w:hAnsi="Arial Narrow"/>
                <w:sz w:val="20"/>
              </w:rPr>
              <w:fldChar w:fldCharType="begin">
                <w:ffData>
                  <w:name w:val="Check1"/>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Restricted benefit</w:t>
            </w:r>
          </w:p>
          <w:p w:rsidR="00212BB5" w:rsidRPr="00284652" w:rsidRDefault="00212BB5" w:rsidP="00212BB5">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In Writing</w:t>
            </w:r>
          </w:p>
          <w:p w:rsidR="00212BB5" w:rsidRPr="00284652" w:rsidRDefault="00212BB5" w:rsidP="00212BB5">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Telephone</w:t>
            </w:r>
          </w:p>
          <w:p w:rsidR="00212BB5" w:rsidRPr="00284652" w:rsidRDefault="00212BB5" w:rsidP="00212BB5">
            <w:pPr>
              <w:rPr>
                <w:rFonts w:ascii="Arial Narrow" w:hAnsi="Arial Narrow"/>
                <w:sz w:val="20"/>
              </w:rPr>
            </w:pPr>
            <w:r w:rsidRPr="003A3F8D">
              <w:rPr>
                <w:rFonts w:ascii="Arial Narrow" w:hAnsi="Arial Narrow"/>
                <w:sz w:val="20"/>
              </w:rPr>
              <w:fldChar w:fldCharType="begin">
                <w:ffData>
                  <w:name w:val=""/>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Emergency</w:t>
            </w:r>
          </w:p>
          <w:p w:rsidR="00212BB5" w:rsidRPr="00284652" w:rsidRDefault="00212BB5" w:rsidP="00212BB5">
            <w:pPr>
              <w:rPr>
                <w:rFonts w:ascii="Arial Narrow" w:hAnsi="Arial Narrow"/>
                <w:sz w:val="20"/>
              </w:rPr>
            </w:pPr>
            <w:r w:rsidRPr="003A3F8D">
              <w:rPr>
                <w:rFonts w:ascii="Arial Narrow" w:hAnsi="Arial Narrow"/>
                <w:sz w:val="20"/>
              </w:rPr>
              <w:fldChar w:fldCharType="begin">
                <w:ffData>
                  <w:name w:val="Check5"/>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Electronic</w:t>
            </w:r>
          </w:p>
          <w:p w:rsidR="00826F6D" w:rsidRPr="00260CE3" w:rsidRDefault="000140E8"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C27B58">
            <w:pPr>
              <w:jc w:val="both"/>
              <w:rPr>
                <w:rFonts w:ascii="Arial Narrow" w:hAnsi="Arial Narrow" w:cs="Arial"/>
                <w:i/>
                <w:sz w:val="20"/>
                <w:szCs w:val="20"/>
              </w:rPr>
            </w:pPr>
          </w:p>
          <w:p w:rsidR="00826F6D" w:rsidRPr="00260CE3" w:rsidRDefault="00826F6D" w:rsidP="000140E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0140E8" w:rsidRDefault="000140E8" w:rsidP="000140E8">
            <w:pPr>
              <w:rPr>
                <w:rFonts w:ascii="Arial Narrow" w:hAnsi="Arial Narrow" w:cs="Arial"/>
                <w:sz w:val="20"/>
                <w:szCs w:val="20"/>
              </w:rPr>
            </w:pPr>
            <w:r w:rsidRPr="000140E8">
              <w:rPr>
                <w:rFonts w:ascii="Arial Narrow" w:hAnsi="Arial Narrow" w:cs="Arial"/>
                <w:sz w:val="20"/>
                <w:szCs w:val="20"/>
              </w:rPr>
              <w:t>The condition must be CD20 positive chronic lymphocytic leukaemia (CLL),</w:t>
            </w:r>
          </w:p>
          <w:p w:rsidR="00212BB5" w:rsidRPr="000140E8" w:rsidRDefault="00212BB5" w:rsidP="000140E8">
            <w:pPr>
              <w:rPr>
                <w:rFonts w:ascii="Arial Narrow" w:hAnsi="Arial Narrow" w:cs="Arial"/>
                <w:sz w:val="20"/>
                <w:szCs w:val="20"/>
              </w:rPr>
            </w:pPr>
          </w:p>
          <w:p w:rsidR="000140E8" w:rsidRDefault="000140E8" w:rsidP="000140E8">
            <w:pPr>
              <w:rPr>
                <w:rFonts w:ascii="Arial Narrow" w:hAnsi="Arial Narrow" w:cs="Arial"/>
                <w:sz w:val="20"/>
                <w:szCs w:val="20"/>
              </w:rPr>
            </w:pPr>
            <w:r w:rsidRPr="000140E8">
              <w:rPr>
                <w:rFonts w:ascii="Arial Narrow" w:hAnsi="Arial Narrow" w:cs="Arial"/>
                <w:sz w:val="20"/>
                <w:szCs w:val="20"/>
              </w:rPr>
              <w:t>AND</w:t>
            </w:r>
          </w:p>
          <w:p w:rsidR="00212BB5" w:rsidRPr="000140E8" w:rsidRDefault="00212BB5" w:rsidP="000140E8">
            <w:pPr>
              <w:rPr>
                <w:rFonts w:ascii="Arial Narrow" w:hAnsi="Arial Narrow" w:cs="Arial"/>
                <w:sz w:val="20"/>
                <w:szCs w:val="20"/>
              </w:rPr>
            </w:pPr>
          </w:p>
          <w:p w:rsidR="00826F6D" w:rsidRPr="00260CE3" w:rsidRDefault="000140E8" w:rsidP="00C27B58">
            <w:pPr>
              <w:jc w:val="both"/>
              <w:rPr>
                <w:rFonts w:ascii="Arial Narrow" w:hAnsi="Arial Narrow" w:cs="Arial"/>
                <w:sz w:val="20"/>
                <w:szCs w:val="20"/>
              </w:rPr>
            </w:pPr>
            <w:r w:rsidRPr="000140E8">
              <w:rPr>
                <w:rFonts w:ascii="Arial Narrow" w:hAnsi="Arial Narrow" w:cs="Arial"/>
                <w:sz w:val="20"/>
                <w:szCs w:val="20"/>
              </w:rPr>
              <w:t>The treatment must be in combination with chemotherapy.</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424BC7">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0140E8" w:rsidRDefault="000140E8" w:rsidP="000140E8">
            <w:pPr>
              <w:rPr>
                <w:rFonts w:ascii="Arial Narrow" w:hAnsi="Arial Narrow" w:cs="Arial"/>
                <w:sz w:val="20"/>
                <w:szCs w:val="20"/>
              </w:rPr>
            </w:pPr>
            <w:r w:rsidRPr="000140E8">
              <w:rPr>
                <w:rFonts w:ascii="Arial Narrow" w:hAnsi="Arial Narrow" w:cs="Arial"/>
                <w:sz w:val="20"/>
                <w:szCs w:val="20"/>
              </w:rPr>
              <w:t>No increase in the maximum number of repeats may be authorised.</w:t>
            </w:r>
          </w:p>
          <w:p w:rsidR="00212BB5" w:rsidRPr="000140E8" w:rsidRDefault="00212BB5" w:rsidP="000140E8">
            <w:pPr>
              <w:rPr>
                <w:rFonts w:ascii="Arial Narrow" w:hAnsi="Arial Narrow" w:cs="Arial"/>
                <w:sz w:val="20"/>
                <w:szCs w:val="20"/>
              </w:rPr>
            </w:pPr>
          </w:p>
          <w:p w:rsidR="000140E8" w:rsidRDefault="000140E8" w:rsidP="000140E8">
            <w:pPr>
              <w:rPr>
                <w:rFonts w:ascii="Arial Narrow" w:hAnsi="Arial Narrow" w:cs="Arial"/>
                <w:sz w:val="20"/>
                <w:szCs w:val="20"/>
              </w:rPr>
            </w:pPr>
            <w:r w:rsidRPr="000140E8">
              <w:rPr>
                <w:rFonts w:ascii="Arial Narrow" w:hAnsi="Arial Narrow" w:cs="Arial"/>
                <w:sz w:val="20"/>
                <w:szCs w:val="20"/>
              </w:rPr>
              <w:t>This drug is not PBS-subsidised for use as monotherapy.</w:t>
            </w:r>
          </w:p>
          <w:p w:rsidR="00F95606" w:rsidRPr="000140E8" w:rsidRDefault="00F95606" w:rsidP="000140E8">
            <w:pPr>
              <w:rPr>
                <w:rFonts w:ascii="Arial Narrow" w:hAnsi="Arial Narrow" w:cs="Arial"/>
                <w:sz w:val="20"/>
                <w:szCs w:val="20"/>
              </w:rPr>
            </w:pPr>
          </w:p>
          <w:p w:rsidR="00826F6D" w:rsidRPr="000215CA" w:rsidRDefault="00F95606" w:rsidP="00C27B58">
            <w:pPr>
              <w:rPr>
                <w:rFonts w:ascii="Arial Narrow" w:hAnsi="Arial Narrow" w:cs="Arial"/>
                <w:i/>
                <w:sz w:val="20"/>
                <w:szCs w:val="20"/>
              </w:rPr>
            </w:pPr>
            <w:r w:rsidRPr="00F95606">
              <w:rPr>
                <w:rFonts w:ascii="Arial Narrow" w:hAnsi="Arial Narrow" w:cs="Arial"/>
                <w:i/>
                <w:sz w:val="20"/>
                <w:szCs w:val="20"/>
              </w:rPr>
              <w:t>An initial dose of rituximab must be administered with rituximab intravenous injection. Subsequent doses may be administered with either intravenous or subcutaneous rituximab</w:t>
            </w:r>
            <w:r>
              <w:rPr>
                <w:rFonts w:ascii="Arial Narrow" w:hAnsi="Arial Narrow" w:cs="Arial"/>
                <w:i/>
                <w:sz w:val="20"/>
                <w:szCs w:val="20"/>
              </w:rPr>
              <w:t>.</w:t>
            </w:r>
          </w:p>
        </w:tc>
      </w:tr>
    </w:tbl>
    <w:p w:rsidR="009A57BB" w:rsidRDefault="009A57BB" w:rsidP="00826F6D">
      <w:pPr>
        <w:pStyle w:val="ListParagraph"/>
        <w:rPr>
          <w:szCs w:val="22"/>
        </w:rPr>
      </w:pPr>
    </w:p>
    <w:p w:rsidR="009A57BB" w:rsidRDefault="009A57BB">
      <w:pPr>
        <w:rPr>
          <w:rFonts w:ascii="Arial" w:hAnsi="Arial" w:cs="Arial"/>
          <w:snapToGrid w:val="0"/>
          <w:sz w:val="22"/>
          <w:szCs w:val="22"/>
          <w:lang w:eastAsia="en-US"/>
        </w:rPr>
      </w:pPr>
      <w:r>
        <w:rPr>
          <w:szCs w:val="22"/>
        </w:rPr>
        <w:br w:type="page"/>
      </w:r>
    </w:p>
    <w:p w:rsidR="00826F6D" w:rsidRDefault="00826F6D" w:rsidP="00826F6D">
      <w:pPr>
        <w:pStyle w:val="ListParagraph"/>
        <w:rPr>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D066B" w:rsidRPr="0039782C" w:rsidTr="00212BB5">
        <w:trPr>
          <w:cantSplit/>
          <w:trHeight w:val="471"/>
        </w:trPr>
        <w:tc>
          <w:tcPr>
            <w:tcW w:w="3119" w:type="dxa"/>
            <w:gridSpan w:val="2"/>
            <w:tcBorders>
              <w:bottom w:val="single" w:sz="4" w:space="0" w:color="auto"/>
            </w:tcBorders>
          </w:tcPr>
          <w:p w:rsidR="008D066B" w:rsidRPr="0039782C" w:rsidRDefault="008D066B" w:rsidP="00212BB5">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D066B" w:rsidRPr="0039782C" w:rsidRDefault="008D066B" w:rsidP="00212BB5">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D066B" w:rsidRPr="0039782C" w:rsidRDefault="008D066B" w:rsidP="00212BB5">
            <w:pPr>
              <w:keepNext/>
              <w:ind w:left="-108"/>
              <w:jc w:val="both"/>
              <w:rPr>
                <w:rFonts w:ascii="Arial Narrow" w:hAnsi="Arial Narrow" w:cs="Arial"/>
                <w:b/>
                <w:sz w:val="20"/>
                <w:szCs w:val="20"/>
              </w:rPr>
            </w:pPr>
            <w:r w:rsidRPr="0039782C">
              <w:rPr>
                <w:rFonts w:ascii="Arial Narrow" w:hAnsi="Arial Narrow" w:cs="Arial"/>
                <w:b/>
                <w:sz w:val="20"/>
                <w:szCs w:val="20"/>
              </w:rPr>
              <w:t>Max.</w:t>
            </w:r>
          </w:p>
          <w:p w:rsidR="008D066B" w:rsidRPr="0039782C" w:rsidRDefault="008D066B" w:rsidP="00212BB5">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D066B" w:rsidRPr="0039782C" w:rsidRDefault="008D066B" w:rsidP="00212BB5">
            <w:pPr>
              <w:keepNext/>
              <w:ind w:left="-108"/>
              <w:jc w:val="both"/>
              <w:rPr>
                <w:rFonts w:ascii="Arial Narrow" w:hAnsi="Arial Narrow" w:cs="Arial"/>
                <w:b/>
                <w:sz w:val="20"/>
                <w:szCs w:val="20"/>
              </w:rPr>
            </w:pPr>
            <w:r w:rsidRPr="0039782C">
              <w:rPr>
                <w:rFonts w:ascii="Arial Narrow" w:hAnsi="Arial Narrow" w:cs="Arial"/>
                <w:b/>
                <w:sz w:val="20"/>
                <w:szCs w:val="20"/>
              </w:rPr>
              <w:t>№.of</w:t>
            </w:r>
          </w:p>
          <w:p w:rsidR="008D066B" w:rsidRPr="0039782C" w:rsidRDefault="008D066B" w:rsidP="00212BB5">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D066B" w:rsidRPr="0039782C" w:rsidRDefault="008D066B" w:rsidP="00212BB5">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D066B" w:rsidRPr="0039782C" w:rsidRDefault="008D066B" w:rsidP="00212BB5">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D066B" w:rsidRPr="00260CE3" w:rsidTr="00212BB5">
        <w:trPr>
          <w:cantSplit/>
          <w:trHeight w:val="577"/>
        </w:trPr>
        <w:tc>
          <w:tcPr>
            <w:tcW w:w="3119" w:type="dxa"/>
            <w:gridSpan w:val="2"/>
          </w:tcPr>
          <w:p w:rsidR="008D066B" w:rsidRPr="00260CE3" w:rsidRDefault="008D066B" w:rsidP="00212BB5">
            <w:pPr>
              <w:keepNext/>
              <w:ind w:left="-108"/>
              <w:jc w:val="both"/>
              <w:rPr>
                <w:rFonts w:ascii="Arial Narrow" w:hAnsi="Arial Narrow" w:cs="Arial"/>
                <w:sz w:val="20"/>
                <w:szCs w:val="20"/>
              </w:rPr>
            </w:pPr>
            <w:r>
              <w:rPr>
                <w:rFonts w:ascii="Arial Narrow" w:hAnsi="Arial Narrow" w:cs="Arial"/>
                <w:smallCaps/>
                <w:sz w:val="20"/>
                <w:szCs w:val="20"/>
              </w:rPr>
              <w:t>rituximab</w:t>
            </w:r>
          </w:p>
          <w:p w:rsidR="008D066B" w:rsidRDefault="008D066B" w:rsidP="00212BB5">
            <w:pPr>
              <w:keepNext/>
              <w:ind w:left="-108"/>
              <w:jc w:val="both"/>
              <w:rPr>
                <w:rFonts w:ascii="Arial Narrow" w:hAnsi="Arial Narrow" w:cs="Arial"/>
                <w:sz w:val="20"/>
                <w:szCs w:val="20"/>
              </w:rPr>
            </w:pPr>
            <w:r>
              <w:rPr>
                <w:rFonts w:ascii="Arial Narrow" w:hAnsi="Arial Narrow" w:cs="Arial"/>
                <w:sz w:val="20"/>
                <w:szCs w:val="20"/>
              </w:rPr>
              <w:t>Solution for subcutaneous injection</w:t>
            </w:r>
          </w:p>
          <w:p w:rsidR="008D066B" w:rsidRPr="00260CE3" w:rsidRDefault="008D066B" w:rsidP="00212BB5">
            <w:pPr>
              <w:keepNext/>
              <w:ind w:left="-108"/>
              <w:jc w:val="both"/>
              <w:rPr>
                <w:rFonts w:ascii="Arial Narrow" w:hAnsi="Arial Narrow" w:cs="Arial"/>
                <w:sz w:val="20"/>
                <w:szCs w:val="20"/>
              </w:rPr>
            </w:pPr>
            <w:r>
              <w:rPr>
                <w:rFonts w:ascii="Arial Narrow" w:hAnsi="Arial Narrow" w:cs="Arial"/>
                <w:sz w:val="20"/>
                <w:szCs w:val="20"/>
              </w:rPr>
              <w:t>1,600</w:t>
            </w:r>
            <w:r w:rsidR="00947A5B">
              <w:rPr>
                <w:rFonts w:ascii="Arial Narrow" w:hAnsi="Arial Narrow" w:cs="Arial"/>
                <w:sz w:val="20"/>
                <w:szCs w:val="20"/>
              </w:rPr>
              <w:t> </w:t>
            </w:r>
            <w:r>
              <w:rPr>
                <w:rFonts w:ascii="Arial Narrow" w:hAnsi="Arial Narrow" w:cs="Arial"/>
                <w:sz w:val="20"/>
                <w:szCs w:val="20"/>
              </w:rPr>
              <w:t>mg/13.4</w:t>
            </w:r>
            <w:r w:rsidR="00947A5B">
              <w:rPr>
                <w:rFonts w:ascii="Arial Narrow" w:hAnsi="Arial Narrow" w:cs="Arial"/>
                <w:sz w:val="20"/>
                <w:szCs w:val="20"/>
              </w:rPr>
              <w:t> </w:t>
            </w:r>
            <w:r>
              <w:rPr>
                <w:rFonts w:ascii="Arial Narrow" w:hAnsi="Arial Narrow" w:cs="Arial"/>
                <w:sz w:val="20"/>
                <w:szCs w:val="20"/>
              </w:rPr>
              <w:t>mL</w:t>
            </w:r>
          </w:p>
        </w:tc>
        <w:tc>
          <w:tcPr>
            <w:tcW w:w="850" w:type="dxa"/>
          </w:tcPr>
          <w:p w:rsidR="008D066B" w:rsidRPr="00260CE3" w:rsidRDefault="008D066B" w:rsidP="00212BB5">
            <w:pPr>
              <w:keepNext/>
              <w:ind w:left="-108"/>
              <w:jc w:val="both"/>
              <w:rPr>
                <w:rFonts w:ascii="Arial Narrow" w:hAnsi="Arial Narrow" w:cs="Arial"/>
                <w:sz w:val="20"/>
                <w:szCs w:val="20"/>
              </w:rPr>
            </w:pPr>
          </w:p>
          <w:p w:rsidR="008D066B" w:rsidRPr="00260CE3" w:rsidRDefault="008D066B" w:rsidP="00212BB5">
            <w:pPr>
              <w:keepNext/>
              <w:ind w:left="-108"/>
              <w:jc w:val="both"/>
              <w:rPr>
                <w:rFonts w:ascii="Arial Narrow" w:hAnsi="Arial Narrow" w:cs="Arial"/>
                <w:sz w:val="20"/>
                <w:szCs w:val="20"/>
              </w:rPr>
            </w:pPr>
            <w:r>
              <w:rPr>
                <w:rFonts w:ascii="Arial Narrow" w:hAnsi="Arial Narrow" w:cs="Arial"/>
                <w:sz w:val="20"/>
                <w:szCs w:val="20"/>
              </w:rPr>
              <w:t>1,600</w:t>
            </w:r>
            <w:r w:rsidR="00947A5B">
              <w:rPr>
                <w:rFonts w:ascii="Arial Narrow" w:hAnsi="Arial Narrow" w:cs="Arial"/>
                <w:sz w:val="20"/>
                <w:szCs w:val="20"/>
              </w:rPr>
              <w:t> </w:t>
            </w:r>
            <w:r>
              <w:rPr>
                <w:rFonts w:ascii="Arial Narrow" w:hAnsi="Arial Narrow" w:cs="Arial"/>
                <w:sz w:val="20"/>
                <w:szCs w:val="20"/>
              </w:rPr>
              <w:t>mg</w:t>
            </w:r>
          </w:p>
        </w:tc>
        <w:tc>
          <w:tcPr>
            <w:tcW w:w="709" w:type="dxa"/>
          </w:tcPr>
          <w:p w:rsidR="008D066B" w:rsidRPr="00260CE3" w:rsidRDefault="008D066B" w:rsidP="00212BB5">
            <w:pPr>
              <w:keepNext/>
              <w:ind w:left="-108"/>
              <w:jc w:val="both"/>
              <w:rPr>
                <w:rFonts w:ascii="Arial Narrow" w:hAnsi="Arial Narrow" w:cs="Arial"/>
                <w:sz w:val="20"/>
                <w:szCs w:val="20"/>
              </w:rPr>
            </w:pPr>
          </w:p>
          <w:p w:rsidR="008D066B" w:rsidRPr="00260CE3" w:rsidRDefault="008D066B" w:rsidP="00212BB5">
            <w:pPr>
              <w:keepNext/>
              <w:ind w:left="-108"/>
              <w:jc w:val="both"/>
              <w:rPr>
                <w:rFonts w:ascii="Arial Narrow" w:hAnsi="Arial Narrow" w:cs="Arial"/>
                <w:sz w:val="20"/>
                <w:szCs w:val="20"/>
              </w:rPr>
            </w:pPr>
            <w:r>
              <w:rPr>
                <w:rFonts w:ascii="Arial Narrow" w:hAnsi="Arial Narrow" w:cs="Arial"/>
                <w:sz w:val="20"/>
                <w:szCs w:val="20"/>
              </w:rPr>
              <w:t>4</w:t>
            </w:r>
          </w:p>
        </w:tc>
        <w:tc>
          <w:tcPr>
            <w:tcW w:w="1276" w:type="dxa"/>
          </w:tcPr>
          <w:p w:rsidR="008D066B" w:rsidRPr="00260CE3" w:rsidRDefault="008D066B" w:rsidP="00212BB5">
            <w:pPr>
              <w:keepNext/>
              <w:ind w:left="-108"/>
              <w:jc w:val="both"/>
              <w:rPr>
                <w:rFonts w:ascii="Arial Narrow" w:hAnsi="Arial Narrow" w:cs="Arial"/>
                <w:sz w:val="20"/>
                <w:szCs w:val="20"/>
              </w:rPr>
            </w:pPr>
          </w:p>
          <w:p w:rsidR="008D066B" w:rsidRDefault="008D066B" w:rsidP="00212BB5">
            <w:pPr>
              <w:keepNext/>
              <w:ind w:left="-108"/>
              <w:jc w:val="both"/>
              <w:rPr>
                <w:rFonts w:ascii="Arial Narrow" w:hAnsi="Arial Narrow" w:cs="Arial"/>
                <w:sz w:val="20"/>
                <w:szCs w:val="20"/>
              </w:rPr>
            </w:pPr>
            <w:r w:rsidRPr="00260CE3">
              <w:rPr>
                <w:rFonts w:ascii="Arial Narrow" w:hAnsi="Arial Narrow" w:cs="Arial"/>
                <w:sz w:val="20"/>
                <w:szCs w:val="20"/>
              </w:rPr>
              <w:t>$</w:t>
            </w:r>
            <w:r w:rsidR="00B004D9">
              <w:rPr>
                <w:rFonts w:ascii="Arial Narrow" w:hAnsi="Arial Narrow" w:cs="Arial"/>
                <w:noProof/>
                <w:color w:val="000000"/>
                <w:sz w:val="20"/>
                <w:szCs w:val="20"/>
                <w:highlight w:val="black"/>
              </w:rPr>
              <w:t>'''''''''''''''''''</w:t>
            </w:r>
            <w:r>
              <w:rPr>
                <w:rFonts w:ascii="Arial Narrow" w:hAnsi="Arial Narrow" w:cs="Arial"/>
                <w:sz w:val="20"/>
                <w:szCs w:val="20"/>
              </w:rPr>
              <w:t xml:space="preserve"> (Public hospital)</w:t>
            </w:r>
          </w:p>
          <w:p w:rsidR="008D066B" w:rsidRPr="00260CE3" w:rsidRDefault="008D066B" w:rsidP="00212BB5">
            <w:pPr>
              <w:keepNext/>
              <w:ind w:left="-108"/>
              <w:jc w:val="both"/>
              <w:rPr>
                <w:rFonts w:ascii="Arial Narrow" w:hAnsi="Arial Narrow" w:cs="Arial"/>
                <w:sz w:val="20"/>
                <w:szCs w:val="20"/>
              </w:rPr>
            </w:pPr>
            <w:r>
              <w:rPr>
                <w:rFonts w:ascii="Arial Narrow" w:hAnsi="Arial Narrow" w:cs="Arial"/>
                <w:sz w:val="20"/>
                <w:szCs w:val="20"/>
              </w:rPr>
              <w:t>$</w:t>
            </w:r>
            <w:r w:rsidR="00B004D9">
              <w:rPr>
                <w:rFonts w:ascii="Arial Narrow" w:hAnsi="Arial Narrow" w:cs="Arial"/>
                <w:noProof/>
                <w:color w:val="000000"/>
                <w:sz w:val="20"/>
                <w:szCs w:val="20"/>
                <w:highlight w:val="black"/>
              </w:rPr>
              <w:t>''''''''''''''''''''''</w:t>
            </w:r>
            <w:r>
              <w:rPr>
                <w:rFonts w:ascii="Arial Narrow" w:hAnsi="Arial Narrow" w:cs="Arial"/>
                <w:sz w:val="20"/>
                <w:szCs w:val="20"/>
              </w:rPr>
              <w:t xml:space="preserve"> (Private hospital)</w:t>
            </w:r>
          </w:p>
        </w:tc>
        <w:tc>
          <w:tcPr>
            <w:tcW w:w="1275" w:type="dxa"/>
          </w:tcPr>
          <w:p w:rsidR="008D066B" w:rsidRDefault="008D066B" w:rsidP="00212BB5">
            <w:pPr>
              <w:keepNext/>
              <w:jc w:val="both"/>
              <w:rPr>
                <w:rFonts w:ascii="Arial Narrow" w:hAnsi="Arial Narrow" w:cs="Arial"/>
                <w:sz w:val="20"/>
                <w:szCs w:val="20"/>
              </w:rPr>
            </w:pPr>
          </w:p>
          <w:p w:rsidR="008D066B" w:rsidRPr="00260CE3" w:rsidRDefault="008D066B" w:rsidP="00212BB5">
            <w:pPr>
              <w:keepNext/>
              <w:jc w:val="both"/>
              <w:rPr>
                <w:rFonts w:ascii="Arial Narrow" w:hAnsi="Arial Narrow" w:cs="Arial"/>
                <w:sz w:val="20"/>
                <w:szCs w:val="20"/>
              </w:rPr>
            </w:pPr>
            <w:r>
              <w:rPr>
                <w:rFonts w:ascii="Arial Narrow" w:hAnsi="Arial Narrow" w:cs="Arial"/>
                <w:sz w:val="20"/>
                <w:szCs w:val="20"/>
              </w:rPr>
              <w:t>MabThera</w:t>
            </w:r>
            <w:r w:rsidRPr="0077301F">
              <w:rPr>
                <w:rFonts w:ascii="Arial Narrow" w:hAnsi="Arial Narrow" w:cs="Arial"/>
                <w:sz w:val="20"/>
                <w:szCs w:val="20"/>
                <w:vertAlign w:val="superscript"/>
              </w:rPr>
              <w:t>®</w:t>
            </w:r>
            <w:r>
              <w:rPr>
                <w:rFonts w:ascii="Arial Narrow" w:hAnsi="Arial Narrow" w:cs="Arial"/>
                <w:sz w:val="20"/>
                <w:szCs w:val="20"/>
              </w:rPr>
              <w:t xml:space="preserve"> SC</w:t>
            </w:r>
          </w:p>
        </w:tc>
        <w:tc>
          <w:tcPr>
            <w:tcW w:w="1134" w:type="dxa"/>
          </w:tcPr>
          <w:p w:rsidR="008D066B" w:rsidRDefault="008D066B" w:rsidP="00212BB5">
            <w:pPr>
              <w:keepNext/>
              <w:jc w:val="both"/>
              <w:rPr>
                <w:rFonts w:ascii="Arial Narrow" w:hAnsi="Arial Narrow" w:cs="Arial"/>
                <w:sz w:val="20"/>
                <w:szCs w:val="20"/>
              </w:rPr>
            </w:pPr>
          </w:p>
          <w:p w:rsidR="008D066B" w:rsidRPr="00260CE3" w:rsidRDefault="008D066B" w:rsidP="00212BB5">
            <w:pPr>
              <w:keepNext/>
              <w:jc w:val="both"/>
              <w:rPr>
                <w:rFonts w:ascii="Arial Narrow" w:hAnsi="Arial Narrow" w:cs="Arial"/>
                <w:sz w:val="20"/>
                <w:szCs w:val="20"/>
              </w:rPr>
            </w:pPr>
            <w:r>
              <w:rPr>
                <w:rFonts w:ascii="Arial Narrow" w:hAnsi="Arial Narrow" w:cs="Arial"/>
                <w:sz w:val="20"/>
                <w:szCs w:val="20"/>
              </w:rPr>
              <w:t>Roche Products Pty Ltd</w:t>
            </w:r>
          </w:p>
        </w:tc>
      </w:tr>
      <w:tr w:rsidR="008D066B" w:rsidRPr="00260CE3" w:rsidTr="00212BB5">
        <w:trPr>
          <w:cantSplit/>
          <w:trHeight w:val="360"/>
        </w:trPr>
        <w:tc>
          <w:tcPr>
            <w:tcW w:w="8363" w:type="dxa"/>
            <w:gridSpan w:val="7"/>
            <w:tcBorders>
              <w:bottom w:val="single" w:sz="4" w:space="0" w:color="auto"/>
            </w:tcBorders>
          </w:tcPr>
          <w:p w:rsidR="008D066B" w:rsidRPr="00260CE3" w:rsidRDefault="008D066B" w:rsidP="00212BB5">
            <w:pPr>
              <w:jc w:val="both"/>
              <w:rPr>
                <w:rFonts w:ascii="Arial Narrow" w:hAnsi="Arial Narrow" w:cs="Arial"/>
                <w:sz w:val="20"/>
                <w:szCs w:val="20"/>
              </w:rPr>
            </w:pPr>
          </w:p>
        </w:tc>
      </w:tr>
      <w:tr w:rsidR="008D066B" w:rsidRPr="00260CE3" w:rsidTr="00212BB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D066B" w:rsidRPr="00260CE3" w:rsidRDefault="008D066B" w:rsidP="00212BB5">
            <w:pPr>
              <w:jc w:val="both"/>
              <w:rPr>
                <w:rFonts w:ascii="Arial Narrow" w:hAnsi="Arial Narrow" w:cs="Arial"/>
                <w:b/>
                <w:sz w:val="20"/>
                <w:szCs w:val="20"/>
              </w:rPr>
            </w:pPr>
            <w:r w:rsidRPr="00260CE3">
              <w:rPr>
                <w:rFonts w:ascii="Arial Narrow" w:hAnsi="Arial Narrow" w:cs="Arial"/>
                <w:b/>
                <w:sz w:val="20"/>
                <w:szCs w:val="20"/>
              </w:rPr>
              <w:t xml:space="preserve">Category / </w:t>
            </w:r>
          </w:p>
          <w:p w:rsidR="008D066B" w:rsidRPr="00260CE3" w:rsidRDefault="008D066B" w:rsidP="00212BB5">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D066B" w:rsidRPr="00260CE3" w:rsidRDefault="008D066B" w:rsidP="00212BB5">
            <w:pPr>
              <w:rPr>
                <w:rFonts w:ascii="Arial Narrow" w:hAnsi="Arial Narrow" w:cs="Arial"/>
                <w:sz w:val="20"/>
                <w:szCs w:val="20"/>
              </w:rPr>
            </w:pPr>
            <w:r w:rsidRPr="00C33D1F">
              <w:rPr>
                <w:rFonts w:ascii="Arial Narrow" w:hAnsi="Arial Narrow" w:cs="Arial"/>
                <w:sz w:val="20"/>
                <w:szCs w:val="20"/>
              </w:rPr>
              <w:t>Section 100 – Efficient funding of C</w:t>
            </w:r>
            <w:r>
              <w:rPr>
                <w:rFonts w:ascii="Arial Narrow" w:hAnsi="Arial Narrow" w:cs="Arial"/>
                <w:sz w:val="20"/>
                <w:szCs w:val="20"/>
              </w:rPr>
              <w:t>hemotherapy</w:t>
            </w:r>
            <w:r w:rsidR="008F7F29">
              <w:rPr>
                <w:rFonts w:ascii="Arial Narrow" w:hAnsi="Arial Narrow" w:cs="Arial"/>
                <w:sz w:val="20"/>
                <w:szCs w:val="20"/>
              </w:rPr>
              <w:t xml:space="preserve"> (Schedule 2 – related pharmaceutical benefits)</w:t>
            </w:r>
          </w:p>
        </w:tc>
      </w:tr>
      <w:tr w:rsidR="008D066B" w:rsidRPr="00260CE3" w:rsidTr="00212BB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D066B" w:rsidRPr="00260CE3" w:rsidRDefault="008D066B" w:rsidP="00212BB5">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D066B" w:rsidRPr="00260CE3" w:rsidRDefault="008D066B" w:rsidP="00212BB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D066B" w:rsidRPr="00260CE3" w:rsidRDefault="008D066B" w:rsidP="00212BB5">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D066B" w:rsidRPr="00260CE3" w:rsidTr="00212BB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D066B" w:rsidRPr="00260CE3" w:rsidRDefault="008D066B" w:rsidP="00212BB5">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D066B" w:rsidRPr="00260CE3" w:rsidRDefault="008D066B" w:rsidP="00212BB5">
            <w:pPr>
              <w:rPr>
                <w:rFonts w:ascii="Arial Narrow" w:hAnsi="Arial Narrow" w:cs="Arial"/>
                <w:sz w:val="20"/>
                <w:szCs w:val="20"/>
              </w:rPr>
            </w:pPr>
            <w:r>
              <w:rPr>
                <w:rFonts w:ascii="Arial Narrow" w:hAnsi="Arial Narrow" w:cs="Arial"/>
                <w:sz w:val="20"/>
                <w:szCs w:val="20"/>
              </w:rPr>
              <w:t>Chronic lymphocytic leukaemia (CLL)</w:t>
            </w:r>
          </w:p>
        </w:tc>
      </w:tr>
      <w:tr w:rsidR="008D066B" w:rsidRPr="00260CE3" w:rsidTr="00212BB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D066B" w:rsidRPr="00260CE3" w:rsidRDefault="008D066B" w:rsidP="00212BB5">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D066B" w:rsidRPr="00260CE3" w:rsidRDefault="008D066B" w:rsidP="00212BB5">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212BB5" w:rsidRPr="00284652" w:rsidRDefault="00212BB5" w:rsidP="00212BB5">
            <w:pPr>
              <w:rPr>
                <w:rFonts w:ascii="Arial Narrow" w:hAnsi="Arial Narrow"/>
                <w:sz w:val="20"/>
              </w:rPr>
            </w:pPr>
            <w:r w:rsidRPr="003A3F8D">
              <w:rPr>
                <w:rFonts w:ascii="Arial Narrow" w:hAnsi="Arial Narrow"/>
                <w:sz w:val="20"/>
              </w:rPr>
              <w:fldChar w:fldCharType="begin">
                <w:ffData>
                  <w:name w:val="Check1"/>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Restricted benefit</w:t>
            </w:r>
          </w:p>
          <w:p w:rsidR="00212BB5" w:rsidRPr="00284652" w:rsidRDefault="00212BB5" w:rsidP="00212BB5">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In Writing</w:t>
            </w:r>
          </w:p>
          <w:p w:rsidR="00212BB5" w:rsidRPr="00284652" w:rsidRDefault="00212BB5" w:rsidP="00212BB5">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Telephone</w:t>
            </w:r>
          </w:p>
          <w:p w:rsidR="00212BB5" w:rsidRPr="00284652" w:rsidRDefault="00212BB5" w:rsidP="00212BB5">
            <w:pPr>
              <w:rPr>
                <w:rFonts w:ascii="Arial Narrow" w:hAnsi="Arial Narrow"/>
                <w:sz w:val="20"/>
              </w:rPr>
            </w:pPr>
            <w:r w:rsidRPr="003A3F8D">
              <w:rPr>
                <w:rFonts w:ascii="Arial Narrow" w:hAnsi="Arial Narrow"/>
                <w:sz w:val="20"/>
              </w:rPr>
              <w:fldChar w:fldCharType="begin">
                <w:ffData>
                  <w:name w:val=""/>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Emergency</w:t>
            </w:r>
          </w:p>
          <w:p w:rsidR="00212BB5" w:rsidRPr="00284652" w:rsidRDefault="00212BB5" w:rsidP="00212BB5">
            <w:pPr>
              <w:rPr>
                <w:rFonts w:ascii="Arial Narrow" w:hAnsi="Arial Narrow"/>
                <w:sz w:val="20"/>
              </w:rPr>
            </w:pPr>
            <w:r w:rsidRPr="003A3F8D">
              <w:rPr>
                <w:rFonts w:ascii="Arial Narrow" w:hAnsi="Arial Narrow"/>
                <w:sz w:val="20"/>
              </w:rPr>
              <w:fldChar w:fldCharType="begin">
                <w:ffData>
                  <w:name w:val="Check5"/>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Electronic</w:t>
            </w:r>
          </w:p>
          <w:p w:rsidR="008D066B" w:rsidRPr="00260CE3" w:rsidRDefault="008D066B" w:rsidP="00212BB5">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8D066B" w:rsidRPr="00260CE3" w:rsidTr="00212BB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D066B" w:rsidRPr="00260CE3" w:rsidRDefault="008D066B" w:rsidP="00212BB5">
            <w:pPr>
              <w:jc w:val="both"/>
              <w:rPr>
                <w:rFonts w:ascii="Arial Narrow" w:hAnsi="Arial Narrow" w:cs="Arial"/>
                <w:b/>
                <w:sz w:val="20"/>
                <w:szCs w:val="20"/>
              </w:rPr>
            </w:pPr>
            <w:r w:rsidRPr="00260CE3">
              <w:rPr>
                <w:rFonts w:ascii="Arial Narrow" w:hAnsi="Arial Narrow" w:cs="Arial"/>
                <w:b/>
                <w:sz w:val="20"/>
                <w:szCs w:val="20"/>
              </w:rPr>
              <w:t>Clinical criteria:</w:t>
            </w:r>
          </w:p>
          <w:p w:rsidR="008D066B" w:rsidRPr="00260CE3" w:rsidRDefault="008D066B" w:rsidP="00212BB5">
            <w:pPr>
              <w:jc w:val="both"/>
              <w:rPr>
                <w:rFonts w:ascii="Arial Narrow" w:hAnsi="Arial Narrow" w:cs="Arial"/>
                <w:i/>
                <w:sz w:val="20"/>
                <w:szCs w:val="20"/>
              </w:rPr>
            </w:pPr>
          </w:p>
          <w:p w:rsidR="008D066B" w:rsidRPr="00260CE3" w:rsidRDefault="008D066B" w:rsidP="00212BB5">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D066B" w:rsidRDefault="008D066B" w:rsidP="00212BB5">
            <w:pPr>
              <w:rPr>
                <w:rFonts w:ascii="Arial Narrow" w:hAnsi="Arial Narrow" w:cs="Arial"/>
                <w:sz w:val="20"/>
                <w:szCs w:val="20"/>
              </w:rPr>
            </w:pPr>
            <w:r w:rsidRPr="000140E8">
              <w:rPr>
                <w:rFonts w:ascii="Arial Narrow" w:hAnsi="Arial Narrow" w:cs="Arial"/>
                <w:sz w:val="20"/>
                <w:szCs w:val="20"/>
              </w:rPr>
              <w:t>The condition must be CD20 positive chronic lymphocytic leukaemia (CLL),</w:t>
            </w:r>
          </w:p>
          <w:p w:rsidR="0036087C" w:rsidRPr="000140E8" w:rsidRDefault="0036087C" w:rsidP="00212BB5">
            <w:pPr>
              <w:rPr>
                <w:rFonts w:ascii="Arial Narrow" w:hAnsi="Arial Narrow" w:cs="Arial"/>
                <w:sz w:val="20"/>
                <w:szCs w:val="20"/>
              </w:rPr>
            </w:pPr>
          </w:p>
          <w:p w:rsidR="008D066B" w:rsidRDefault="008D066B" w:rsidP="00212BB5">
            <w:pPr>
              <w:rPr>
                <w:rFonts w:ascii="Arial Narrow" w:hAnsi="Arial Narrow" w:cs="Arial"/>
                <w:sz w:val="20"/>
                <w:szCs w:val="20"/>
              </w:rPr>
            </w:pPr>
            <w:r w:rsidRPr="000140E8">
              <w:rPr>
                <w:rFonts w:ascii="Arial Narrow" w:hAnsi="Arial Narrow" w:cs="Arial"/>
                <w:sz w:val="20"/>
                <w:szCs w:val="20"/>
              </w:rPr>
              <w:t>AND</w:t>
            </w:r>
          </w:p>
          <w:p w:rsidR="0036087C" w:rsidRPr="000140E8" w:rsidRDefault="0036087C" w:rsidP="00212BB5">
            <w:pPr>
              <w:rPr>
                <w:rFonts w:ascii="Arial Narrow" w:hAnsi="Arial Narrow" w:cs="Arial"/>
                <w:sz w:val="20"/>
                <w:szCs w:val="20"/>
              </w:rPr>
            </w:pPr>
          </w:p>
          <w:p w:rsidR="008D066B" w:rsidRPr="00260CE3" w:rsidRDefault="008D066B" w:rsidP="00212BB5">
            <w:pPr>
              <w:jc w:val="both"/>
              <w:rPr>
                <w:rFonts w:ascii="Arial Narrow" w:hAnsi="Arial Narrow" w:cs="Arial"/>
                <w:sz w:val="20"/>
                <w:szCs w:val="20"/>
              </w:rPr>
            </w:pPr>
            <w:r w:rsidRPr="000140E8">
              <w:rPr>
                <w:rFonts w:ascii="Arial Narrow" w:hAnsi="Arial Narrow" w:cs="Arial"/>
                <w:sz w:val="20"/>
                <w:szCs w:val="20"/>
              </w:rPr>
              <w:t>The treatment must be in combination with chemotherapy.</w:t>
            </w:r>
          </w:p>
        </w:tc>
      </w:tr>
      <w:tr w:rsidR="008D066B" w:rsidRPr="00260CE3" w:rsidTr="00212BB5">
        <w:trPr>
          <w:cantSplit/>
          <w:trHeight w:val="360"/>
        </w:trPr>
        <w:tc>
          <w:tcPr>
            <w:tcW w:w="1985" w:type="dxa"/>
            <w:tcBorders>
              <w:top w:val="single" w:sz="4" w:space="0" w:color="auto"/>
              <w:left w:val="single" w:sz="4" w:space="0" w:color="auto"/>
              <w:bottom w:val="single" w:sz="4" w:space="0" w:color="auto"/>
              <w:right w:val="single" w:sz="4" w:space="0" w:color="auto"/>
            </w:tcBorders>
          </w:tcPr>
          <w:p w:rsidR="008D066B" w:rsidRPr="00260CE3" w:rsidRDefault="008D066B" w:rsidP="00212BB5">
            <w:pPr>
              <w:jc w:val="both"/>
              <w:rPr>
                <w:rFonts w:ascii="Arial Narrow" w:hAnsi="Arial Narrow" w:cs="Arial"/>
                <w:b/>
                <w:sz w:val="20"/>
                <w:szCs w:val="20"/>
              </w:rPr>
            </w:pPr>
            <w:r w:rsidRPr="00260CE3">
              <w:rPr>
                <w:rFonts w:ascii="Arial Narrow" w:hAnsi="Arial Narrow" w:cs="Arial"/>
                <w:b/>
                <w:sz w:val="20"/>
                <w:szCs w:val="20"/>
              </w:rPr>
              <w:t>Administrative Advice</w:t>
            </w:r>
          </w:p>
          <w:p w:rsidR="008D066B" w:rsidRPr="00260CE3" w:rsidRDefault="008D066B" w:rsidP="00424BC7">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D066B" w:rsidRDefault="008D066B" w:rsidP="00212BB5">
            <w:pPr>
              <w:rPr>
                <w:rFonts w:ascii="Arial Narrow" w:hAnsi="Arial Narrow" w:cs="Arial"/>
                <w:sz w:val="20"/>
                <w:szCs w:val="20"/>
              </w:rPr>
            </w:pPr>
            <w:r w:rsidRPr="000140E8">
              <w:rPr>
                <w:rFonts w:ascii="Arial Narrow" w:hAnsi="Arial Narrow" w:cs="Arial"/>
                <w:sz w:val="20"/>
                <w:szCs w:val="20"/>
              </w:rPr>
              <w:t>No increase in the maximum number of repeats may be authorised.</w:t>
            </w:r>
          </w:p>
          <w:p w:rsidR="0036087C" w:rsidRPr="000140E8" w:rsidRDefault="0036087C" w:rsidP="00212BB5">
            <w:pPr>
              <w:rPr>
                <w:rFonts w:ascii="Arial Narrow" w:hAnsi="Arial Narrow" w:cs="Arial"/>
                <w:sz w:val="20"/>
                <w:szCs w:val="20"/>
              </w:rPr>
            </w:pPr>
          </w:p>
          <w:p w:rsidR="008D066B" w:rsidRDefault="008D066B" w:rsidP="0036087C">
            <w:pPr>
              <w:rPr>
                <w:rFonts w:ascii="Arial Narrow" w:hAnsi="Arial Narrow" w:cs="Arial"/>
                <w:sz w:val="20"/>
                <w:szCs w:val="20"/>
              </w:rPr>
            </w:pPr>
            <w:r w:rsidRPr="000140E8">
              <w:rPr>
                <w:rFonts w:ascii="Arial Narrow" w:hAnsi="Arial Narrow" w:cs="Arial"/>
                <w:sz w:val="20"/>
                <w:szCs w:val="20"/>
              </w:rPr>
              <w:t>This drug is not PBS-subsidised for use as monotherapy.</w:t>
            </w:r>
          </w:p>
          <w:p w:rsidR="00F95606" w:rsidRDefault="00F95606" w:rsidP="0036087C">
            <w:pPr>
              <w:rPr>
                <w:rFonts w:ascii="Arial Narrow" w:hAnsi="Arial Narrow" w:cs="Arial"/>
                <w:sz w:val="20"/>
                <w:szCs w:val="20"/>
              </w:rPr>
            </w:pPr>
          </w:p>
          <w:p w:rsidR="008D066B" w:rsidRPr="00260CE3" w:rsidRDefault="00F95606" w:rsidP="00F95606">
            <w:pPr>
              <w:rPr>
                <w:rFonts w:ascii="Arial Narrow" w:hAnsi="Arial Narrow" w:cs="Arial"/>
                <w:sz w:val="20"/>
                <w:szCs w:val="20"/>
              </w:rPr>
            </w:pPr>
            <w:r w:rsidRPr="00F95606">
              <w:rPr>
                <w:rFonts w:ascii="Arial Narrow" w:hAnsi="Arial Narrow" w:cs="Arial"/>
                <w:i/>
                <w:sz w:val="20"/>
                <w:szCs w:val="20"/>
              </w:rPr>
              <w:t>An initial dose of rituximab must be administered with rituximab intravenous injection. Subsequent doses may be administered with either intravenous or subcutaneous rituximab</w:t>
            </w:r>
            <w:r>
              <w:rPr>
                <w:rFonts w:ascii="Arial Narrow" w:hAnsi="Arial Narrow" w:cs="Arial"/>
                <w:i/>
                <w:sz w:val="20"/>
                <w:szCs w:val="20"/>
              </w:rPr>
              <w:t>.</w:t>
            </w:r>
          </w:p>
        </w:tc>
      </w:tr>
    </w:tbl>
    <w:p w:rsidR="008D066B" w:rsidRDefault="008D066B" w:rsidP="00826F6D">
      <w:pPr>
        <w:pStyle w:val="ListParagraph"/>
        <w:rPr>
          <w:szCs w:val="22"/>
        </w:rPr>
      </w:pPr>
    </w:p>
    <w:p w:rsidR="00477A03" w:rsidRDefault="005C0C7A" w:rsidP="00322707">
      <w:pPr>
        <w:pStyle w:val="ListParagraph"/>
        <w:numPr>
          <w:ilvl w:val="1"/>
          <w:numId w:val="5"/>
        </w:numPr>
        <w:rPr>
          <w:szCs w:val="22"/>
        </w:rPr>
      </w:pPr>
      <w:r w:rsidRPr="00BC22CD">
        <w:rPr>
          <w:szCs w:val="22"/>
        </w:rPr>
        <w:t xml:space="preserve">The submission requested both </w:t>
      </w:r>
      <w:r w:rsidR="001E02D9" w:rsidRPr="00BC22CD">
        <w:rPr>
          <w:szCs w:val="22"/>
        </w:rPr>
        <w:t>General Schedule</w:t>
      </w:r>
      <w:r w:rsidRPr="00BC22CD">
        <w:rPr>
          <w:szCs w:val="22"/>
        </w:rPr>
        <w:t xml:space="preserve"> and Section 100 (</w:t>
      </w:r>
      <w:r w:rsidR="008F7F29" w:rsidRPr="00BC22CD">
        <w:rPr>
          <w:szCs w:val="22"/>
        </w:rPr>
        <w:t xml:space="preserve">Efficient Funding of </w:t>
      </w:r>
      <w:r w:rsidRPr="00BC22CD">
        <w:rPr>
          <w:szCs w:val="22"/>
        </w:rPr>
        <w:t>Chemotherapy</w:t>
      </w:r>
      <w:r w:rsidR="008F7F29" w:rsidRPr="00BC22CD">
        <w:rPr>
          <w:szCs w:val="22"/>
        </w:rPr>
        <w:t xml:space="preserve"> (EFC): Schedule 2</w:t>
      </w:r>
      <w:r w:rsidRPr="00BC22CD">
        <w:rPr>
          <w:szCs w:val="22"/>
        </w:rPr>
        <w:t xml:space="preserve">) listings for rituximab SC </w:t>
      </w:r>
      <w:r w:rsidR="00324221" w:rsidRPr="00BC22CD">
        <w:rPr>
          <w:szCs w:val="22"/>
        </w:rPr>
        <w:t>for the treatment of</w:t>
      </w:r>
      <w:r w:rsidRPr="00BC22CD">
        <w:rPr>
          <w:szCs w:val="22"/>
        </w:rPr>
        <w:t xml:space="preserve"> CLL. </w:t>
      </w:r>
    </w:p>
    <w:p w:rsidR="00322707" w:rsidRPr="00BC22CD" w:rsidRDefault="00322707" w:rsidP="00322707">
      <w:pPr>
        <w:pStyle w:val="ListParagraph"/>
        <w:rPr>
          <w:szCs w:val="22"/>
        </w:rPr>
      </w:pPr>
    </w:p>
    <w:p w:rsidR="00604322" w:rsidRPr="00BC22CD" w:rsidRDefault="00604322" w:rsidP="008A50F1">
      <w:pPr>
        <w:pStyle w:val="ListParagraph"/>
        <w:numPr>
          <w:ilvl w:val="1"/>
          <w:numId w:val="5"/>
        </w:numPr>
        <w:rPr>
          <w:szCs w:val="22"/>
        </w:rPr>
      </w:pPr>
      <w:r w:rsidRPr="00BC22CD">
        <w:rPr>
          <w:szCs w:val="22"/>
        </w:rPr>
        <w:t xml:space="preserve">The requested CLL indication is consistent with </w:t>
      </w:r>
      <w:r w:rsidR="00324221" w:rsidRPr="00BC22CD">
        <w:rPr>
          <w:szCs w:val="22"/>
        </w:rPr>
        <w:t xml:space="preserve">the </w:t>
      </w:r>
      <w:r w:rsidRPr="00BC22CD">
        <w:rPr>
          <w:szCs w:val="22"/>
        </w:rPr>
        <w:t>TGA registered indication.</w:t>
      </w:r>
    </w:p>
    <w:p w:rsidR="00B6088D" w:rsidRPr="005A7F57" w:rsidRDefault="00B6088D" w:rsidP="005A7F57">
      <w:pPr>
        <w:rPr>
          <w:szCs w:val="22"/>
        </w:rPr>
      </w:pPr>
    </w:p>
    <w:p w:rsidR="005C0C7A" w:rsidRDefault="004D0322" w:rsidP="008A50F1">
      <w:pPr>
        <w:pStyle w:val="ListParagraph"/>
        <w:numPr>
          <w:ilvl w:val="1"/>
          <w:numId w:val="5"/>
        </w:numPr>
        <w:rPr>
          <w:szCs w:val="22"/>
        </w:rPr>
      </w:pPr>
      <w:r w:rsidRPr="00BC22CD">
        <w:rPr>
          <w:szCs w:val="22"/>
        </w:rPr>
        <w:t>T</w:t>
      </w:r>
      <w:r w:rsidR="00477A03" w:rsidRPr="00BC22CD">
        <w:rPr>
          <w:szCs w:val="22"/>
        </w:rPr>
        <w:t>he submission</w:t>
      </w:r>
      <w:r w:rsidR="003B45DB" w:rsidRPr="00BC22CD">
        <w:rPr>
          <w:szCs w:val="22"/>
        </w:rPr>
        <w:t xml:space="preserve"> </w:t>
      </w:r>
      <w:r w:rsidR="00477A03" w:rsidRPr="00BC22CD">
        <w:rPr>
          <w:szCs w:val="22"/>
        </w:rPr>
        <w:t>proposed 4 repeats based on a CLL treatment course comprised of six, four-weekly cycles. As the first dose of rituximab must be admini</w:t>
      </w:r>
      <w:r w:rsidRPr="00BC22CD">
        <w:rPr>
          <w:szCs w:val="22"/>
        </w:rPr>
        <w:t xml:space="preserve">stered IV, a maximum of five cycles can be administered SC. </w:t>
      </w:r>
    </w:p>
    <w:p w:rsidR="00CE5C86" w:rsidRDefault="00CE5C86" w:rsidP="00322707">
      <w:pPr>
        <w:pStyle w:val="ListParagraph"/>
        <w:rPr>
          <w:szCs w:val="22"/>
        </w:rPr>
      </w:pPr>
    </w:p>
    <w:p w:rsidR="00CE5C86" w:rsidRPr="00CC3C81" w:rsidRDefault="00CE5C86" w:rsidP="00CE5C86">
      <w:pPr>
        <w:pStyle w:val="ListParagraph"/>
        <w:numPr>
          <w:ilvl w:val="1"/>
          <w:numId w:val="5"/>
        </w:numPr>
        <w:rPr>
          <w:szCs w:val="22"/>
        </w:rPr>
      </w:pPr>
      <w:r>
        <w:rPr>
          <w:szCs w:val="22"/>
        </w:rPr>
        <w:t xml:space="preserve">In the </w:t>
      </w:r>
      <w:r w:rsidR="00185867">
        <w:rPr>
          <w:szCs w:val="22"/>
        </w:rPr>
        <w:t>P</w:t>
      </w:r>
      <w:r>
        <w:rPr>
          <w:szCs w:val="22"/>
        </w:rPr>
        <w:t>re-PBAC response</w:t>
      </w:r>
      <w:r w:rsidR="00C13770">
        <w:rPr>
          <w:szCs w:val="22"/>
        </w:rPr>
        <w:t xml:space="preserve"> (p1)</w:t>
      </w:r>
      <w:r>
        <w:rPr>
          <w:szCs w:val="22"/>
        </w:rPr>
        <w:t xml:space="preserve"> the sponsor accepted the Secretariat’s suggested inclusion of the following wording in the restriction</w:t>
      </w:r>
      <w:r w:rsidR="00C13770">
        <w:rPr>
          <w:szCs w:val="22"/>
        </w:rPr>
        <w:t>;</w:t>
      </w:r>
      <w:r w:rsidR="00442F0A">
        <w:t xml:space="preserve"> </w:t>
      </w:r>
      <w:r w:rsidRPr="00BC22CD">
        <w:t>An initial dose of rituximab must be administered with rituximab intravenous injection. Subsequent doses may be administered with either intravenous or subcutaneous rituximab.</w:t>
      </w:r>
    </w:p>
    <w:p w:rsidR="00CE5C86" w:rsidRPr="00BC22CD" w:rsidRDefault="00CE5C86" w:rsidP="00322707">
      <w:pPr>
        <w:pStyle w:val="ListParagraph"/>
        <w:rPr>
          <w:szCs w:val="22"/>
        </w:rPr>
      </w:pPr>
    </w:p>
    <w:p w:rsidR="00BC22CD" w:rsidRPr="0005234D" w:rsidRDefault="00BC22CD" w:rsidP="00BC22CD">
      <w:pPr>
        <w:ind w:firstLine="720"/>
        <w:rPr>
          <w:rFonts w:ascii="Arial" w:hAnsi="Arial" w:cs="Arial"/>
          <w:bCs/>
          <w:snapToGrid w:val="0"/>
          <w:sz w:val="22"/>
          <w:szCs w:val="22"/>
        </w:rPr>
      </w:pPr>
      <w:r w:rsidRPr="00726F19">
        <w:rPr>
          <w:rFonts w:ascii="Arial" w:hAnsi="Arial" w:cs="Arial"/>
          <w:bCs/>
          <w:i/>
          <w:snapToGrid w:val="0"/>
          <w:sz w:val="22"/>
          <w:szCs w:val="22"/>
        </w:rPr>
        <w:t>For more detail on PBAC’s view, see section 7 “PBAC outcome”</w:t>
      </w:r>
    </w:p>
    <w:p w:rsidR="00F9629A" w:rsidRPr="00BC22CD" w:rsidRDefault="00F9629A" w:rsidP="004465BD">
      <w:pPr>
        <w:jc w:val="both"/>
        <w:rPr>
          <w:rFonts w:ascii="Arial" w:hAnsi="Arial"/>
          <w:sz w:val="22"/>
          <w:szCs w:val="22"/>
        </w:rPr>
      </w:pPr>
    </w:p>
    <w:p w:rsidR="00BB7EC3" w:rsidRPr="00BC22CD" w:rsidRDefault="00BB7EC3" w:rsidP="00882085">
      <w:pPr>
        <w:jc w:val="both"/>
        <w:rPr>
          <w:rFonts w:ascii="Arial" w:hAnsi="Arial"/>
          <w:b/>
          <w:sz w:val="22"/>
          <w:szCs w:val="22"/>
        </w:rPr>
      </w:pPr>
    </w:p>
    <w:p w:rsidR="00CE10C4" w:rsidRPr="00BC22CD" w:rsidRDefault="00CE10C4" w:rsidP="00B6088D">
      <w:pPr>
        <w:pStyle w:val="PBACHeading1"/>
        <w:keepNext/>
        <w:keepLines/>
      </w:pPr>
      <w:r w:rsidRPr="00BC22CD">
        <w:t>Background</w:t>
      </w:r>
    </w:p>
    <w:p w:rsidR="00C603D4" w:rsidRPr="00BC22CD" w:rsidRDefault="00C603D4" w:rsidP="00B6088D">
      <w:pPr>
        <w:pStyle w:val="ListParagraph"/>
        <w:keepNext/>
        <w:keepLines/>
        <w:rPr>
          <w:szCs w:val="22"/>
        </w:rPr>
      </w:pPr>
    </w:p>
    <w:p w:rsidR="002B1AE6" w:rsidRPr="00BC22CD" w:rsidRDefault="00115EF4" w:rsidP="00B6088D">
      <w:pPr>
        <w:pStyle w:val="ListParagraph"/>
        <w:keepNext/>
        <w:keepLines/>
        <w:numPr>
          <w:ilvl w:val="1"/>
          <w:numId w:val="5"/>
        </w:numPr>
        <w:rPr>
          <w:szCs w:val="22"/>
        </w:rPr>
      </w:pPr>
      <w:r w:rsidRPr="00BC22CD">
        <w:rPr>
          <w:szCs w:val="22"/>
        </w:rPr>
        <w:t xml:space="preserve">Rituximab </w:t>
      </w:r>
      <w:r w:rsidR="00555B70" w:rsidRPr="00BC22CD">
        <w:rPr>
          <w:szCs w:val="22"/>
        </w:rPr>
        <w:t xml:space="preserve">1,600 mg/13.4 mL </w:t>
      </w:r>
      <w:r w:rsidRPr="00BC22CD">
        <w:rPr>
          <w:szCs w:val="22"/>
        </w:rPr>
        <w:t xml:space="preserve">SC was TGA </w:t>
      </w:r>
      <w:r w:rsidR="00324221" w:rsidRPr="00BC22CD">
        <w:rPr>
          <w:szCs w:val="22"/>
        </w:rPr>
        <w:t xml:space="preserve">registered </w:t>
      </w:r>
      <w:r w:rsidRPr="00BC22CD">
        <w:rPr>
          <w:szCs w:val="22"/>
        </w:rPr>
        <w:t>on 26 November 2016</w:t>
      </w:r>
      <w:r w:rsidR="002C4957" w:rsidRPr="00BC22CD">
        <w:rPr>
          <w:szCs w:val="22"/>
        </w:rPr>
        <w:t xml:space="preserve"> </w:t>
      </w:r>
      <w:r w:rsidR="00476245" w:rsidRPr="00BC22CD">
        <w:rPr>
          <w:szCs w:val="22"/>
        </w:rPr>
        <w:t>for</w:t>
      </w:r>
      <w:r w:rsidR="002C4957" w:rsidRPr="00BC22CD">
        <w:rPr>
          <w:szCs w:val="22"/>
        </w:rPr>
        <w:t xml:space="preserve"> the treatment of patients with CD20 positive CLL in combination with chemotherapy.</w:t>
      </w:r>
      <w:r w:rsidR="002B1AE6" w:rsidRPr="00BC22CD">
        <w:rPr>
          <w:szCs w:val="22"/>
        </w:rPr>
        <w:t xml:space="preserve"> </w:t>
      </w:r>
    </w:p>
    <w:p w:rsidR="006B0D94" w:rsidRPr="00BC22CD" w:rsidRDefault="006B0D94" w:rsidP="00882085">
      <w:pPr>
        <w:pStyle w:val="ListParagraph"/>
        <w:rPr>
          <w:szCs w:val="22"/>
        </w:rPr>
      </w:pPr>
    </w:p>
    <w:p w:rsidR="0050254F" w:rsidRPr="00BC22CD" w:rsidRDefault="002C4957" w:rsidP="0050254F">
      <w:pPr>
        <w:pStyle w:val="ListParagraph"/>
        <w:numPr>
          <w:ilvl w:val="1"/>
          <w:numId w:val="5"/>
        </w:numPr>
        <w:rPr>
          <w:szCs w:val="22"/>
        </w:rPr>
      </w:pPr>
      <w:r w:rsidRPr="00BC22CD">
        <w:rPr>
          <w:szCs w:val="22"/>
        </w:rPr>
        <w:t>Rituximab SC</w:t>
      </w:r>
      <w:r w:rsidR="00555B70" w:rsidRPr="00BC22CD">
        <w:rPr>
          <w:szCs w:val="22"/>
        </w:rPr>
        <w:t xml:space="preserve"> (1,400 mg/11.7 mL)</w:t>
      </w:r>
      <w:r w:rsidRPr="00BC22CD">
        <w:rPr>
          <w:szCs w:val="22"/>
        </w:rPr>
        <w:t xml:space="preserve"> </w:t>
      </w:r>
      <w:r w:rsidR="00555B70" w:rsidRPr="00BC22CD">
        <w:rPr>
          <w:szCs w:val="22"/>
        </w:rPr>
        <w:t>was</w:t>
      </w:r>
      <w:r w:rsidRPr="00BC22CD">
        <w:rPr>
          <w:szCs w:val="22"/>
        </w:rPr>
        <w:t xml:space="preserve"> considered by PBAC in November 2014 </w:t>
      </w:r>
      <w:r w:rsidR="00555B70" w:rsidRPr="00BC22CD">
        <w:rPr>
          <w:szCs w:val="22"/>
        </w:rPr>
        <w:t xml:space="preserve"> </w:t>
      </w:r>
      <w:r w:rsidR="0050254F" w:rsidRPr="00BC22CD">
        <w:rPr>
          <w:szCs w:val="22"/>
        </w:rPr>
        <w:t>for the treatment of:</w:t>
      </w:r>
    </w:p>
    <w:p w:rsidR="0050254F" w:rsidRPr="00BC22CD" w:rsidRDefault="0050254F" w:rsidP="0050254F">
      <w:pPr>
        <w:pStyle w:val="ListParagraph"/>
        <w:widowControl/>
        <w:numPr>
          <w:ilvl w:val="0"/>
          <w:numId w:val="16"/>
        </w:numPr>
        <w:rPr>
          <w:szCs w:val="22"/>
        </w:rPr>
      </w:pPr>
      <w:r w:rsidRPr="00BC22CD">
        <w:rPr>
          <w:szCs w:val="22"/>
        </w:rPr>
        <w:t>previously untreated, CD20 positive, diffuse large B-cell non-Hodgkin’s lymphoma, in combination with chemotherapy;</w:t>
      </w:r>
    </w:p>
    <w:p w:rsidR="0050254F" w:rsidRPr="00BC22CD" w:rsidRDefault="0050254F" w:rsidP="0050254F">
      <w:pPr>
        <w:pStyle w:val="ListParagraph"/>
        <w:widowControl/>
        <w:numPr>
          <w:ilvl w:val="0"/>
          <w:numId w:val="16"/>
        </w:numPr>
        <w:rPr>
          <w:szCs w:val="22"/>
        </w:rPr>
      </w:pPr>
      <w:r w:rsidRPr="00BC22CD">
        <w:rPr>
          <w:szCs w:val="22"/>
        </w:rPr>
        <w:t>Treatment of symptomatic patients with previousl</w:t>
      </w:r>
      <w:r w:rsidR="009C5C99">
        <w:rPr>
          <w:szCs w:val="22"/>
        </w:rPr>
        <w:t>y untreated, CD20 positive, Stag</w:t>
      </w:r>
      <w:r w:rsidRPr="00BC22CD">
        <w:rPr>
          <w:szCs w:val="22"/>
        </w:rPr>
        <w:t>e III or IV, follicular, B-cell non-Hodgkin’s lymphoma, in combination with chemotherapy;</w:t>
      </w:r>
    </w:p>
    <w:p w:rsidR="0050254F" w:rsidRPr="00BC22CD" w:rsidRDefault="0050254F" w:rsidP="0050254F">
      <w:pPr>
        <w:pStyle w:val="ListParagraph"/>
        <w:widowControl/>
        <w:numPr>
          <w:ilvl w:val="0"/>
          <w:numId w:val="16"/>
        </w:numPr>
        <w:rPr>
          <w:szCs w:val="22"/>
        </w:rPr>
      </w:pPr>
      <w:r w:rsidRPr="00BC22CD">
        <w:rPr>
          <w:szCs w:val="22"/>
        </w:rPr>
        <w:t>Relapsed or refractory low-grade B-cell non-Hodgkin’s lymphoma;</w:t>
      </w:r>
    </w:p>
    <w:p w:rsidR="0050254F" w:rsidRPr="00BC22CD" w:rsidRDefault="0050254F" w:rsidP="0050254F">
      <w:pPr>
        <w:pStyle w:val="ListParagraph"/>
        <w:widowControl/>
        <w:numPr>
          <w:ilvl w:val="0"/>
          <w:numId w:val="16"/>
        </w:numPr>
        <w:rPr>
          <w:szCs w:val="22"/>
        </w:rPr>
      </w:pPr>
      <w:r w:rsidRPr="00BC22CD">
        <w:rPr>
          <w:szCs w:val="22"/>
        </w:rPr>
        <w:t>Relapsed or refractory follicular B-cell non-Hodgkin’s lymphoma.</w:t>
      </w:r>
    </w:p>
    <w:p w:rsidR="0050254F" w:rsidRPr="00BC22CD" w:rsidRDefault="0050254F" w:rsidP="0050254F">
      <w:pPr>
        <w:pStyle w:val="ListParagraph"/>
        <w:widowControl/>
        <w:ind w:left="1080"/>
        <w:rPr>
          <w:szCs w:val="22"/>
        </w:rPr>
      </w:pPr>
    </w:p>
    <w:p w:rsidR="00555B70" w:rsidRPr="00BC22CD" w:rsidRDefault="00555B70" w:rsidP="00882085">
      <w:pPr>
        <w:pStyle w:val="ListParagraph"/>
        <w:numPr>
          <w:ilvl w:val="1"/>
          <w:numId w:val="5"/>
        </w:numPr>
        <w:rPr>
          <w:szCs w:val="22"/>
        </w:rPr>
      </w:pPr>
      <w:r w:rsidRPr="00BC22CD">
        <w:rPr>
          <w:szCs w:val="22"/>
        </w:rPr>
        <w:t>Rituximab 1,600 mg/13.4 mL SC has not previously been considered by the PBAC.</w:t>
      </w:r>
    </w:p>
    <w:p w:rsidR="00555B70" w:rsidRPr="00BC22CD" w:rsidRDefault="00555B70" w:rsidP="000215CA">
      <w:pPr>
        <w:pStyle w:val="ListParagraph"/>
        <w:rPr>
          <w:szCs w:val="22"/>
        </w:rPr>
      </w:pPr>
    </w:p>
    <w:p w:rsidR="006A12A5" w:rsidRDefault="0050254F" w:rsidP="00882085">
      <w:pPr>
        <w:pStyle w:val="ListParagraph"/>
        <w:numPr>
          <w:ilvl w:val="1"/>
          <w:numId w:val="5"/>
        </w:numPr>
        <w:rPr>
          <w:szCs w:val="22"/>
        </w:rPr>
      </w:pPr>
      <w:r w:rsidRPr="00BC22CD">
        <w:rPr>
          <w:szCs w:val="22"/>
        </w:rPr>
        <w:t xml:space="preserve">Rituximab IV for the treatment of </w:t>
      </w:r>
      <w:r w:rsidR="005412C2" w:rsidRPr="00BC22CD">
        <w:rPr>
          <w:szCs w:val="22"/>
        </w:rPr>
        <w:t xml:space="preserve">CD20 positive, </w:t>
      </w:r>
      <w:r w:rsidRPr="00BC22CD">
        <w:rPr>
          <w:szCs w:val="22"/>
        </w:rPr>
        <w:t>CLL</w:t>
      </w:r>
      <w:r w:rsidR="005412C2" w:rsidRPr="00BC22CD">
        <w:rPr>
          <w:szCs w:val="22"/>
        </w:rPr>
        <w:t>, in combination with chemotherapy,</w:t>
      </w:r>
      <w:r w:rsidRPr="00BC22CD">
        <w:rPr>
          <w:szCs w:val="22"/>
        </w:rPr>
        <w:t xml:space="preserve"> w</w:t>
      </w:r>
      <w:r w:rsidR="005412C2" w:rsidRPr="00BC22CD">
        <w:rPr>
          <w:szCs w:val="22"/>
        </w:rPr>
        <w:t xml:space="preserve">as </w:t>
      </w:r>
      <w:r w:rsidRPr="00BC22CD">
        <w:rPr>
          <w:szCs w:val="22"/>
        </w:rPr>
        <w:t xml:space="preserve">considered </w:t>
      </w:r>
      <w:r w:rsidR="002C4957" w:rsidRPr="00BC22CD">
        <w:rPr>
          <w:szCs w:val="22"/>
        </w:rPr>
        <w:t xml:space="preserve">by PBAC </w:t>
      </w:r>
      <w:r w:rsidRPr="00BC22CD">
        <w:rPr>
          <w:szCs w:val="22"/>
        </w:rPr>
        <w:t>in November 2010.</w:t>
      </w:r>
    </w:p>
    <w:p w:rsidR="00BC22CD" w:rsidRPr="00BC22CD" w:rsidRDefault="00BC22CD" w:rsidP="00BC22CD">
      <w:pPr>
        <w:pStyle w:val="ListParagraph"/>
        <w:rPr>
          <w:szCs w:val="22"/>
        </w:rPr>
      </w:pPr>
    </w:p>
    <w:p w:rsidR="00BC22CD" w:rsidRPr="0005234D" w:rsidRDefault="00BC22CD" w:rsidP="00BC22CD">
      <w:pPr>
        <w:ind w:firstLine="720"/>
        <w:rPr>
          <w:rFonts w:ascii="Arial" w:hAnsi="Arial" w:cs="Arial"/>
          <w:bCs/>
          <w:snapToGrid w:val="0"/>
          <w:sz w:val="22"/>
          <w:szCs w:val="22"/>
        </w:rPr>
      </w:pPr>
      <w:r w:rsidRPr="00C7500D">
        <w:rPr>
          <w:rFonts w:ascii="Arial" w:hAnsi="Arial" w:cs="Arial"/>
          <w:bCs/>
          <w:i/>
          <w:snapToGrid w:val="0"/>
          <w:sz w:val="22"/>
          <w:szCs w:val="22"/>
        </w:rPr>
        <w:t>For more detail on PBAC’s view, see section 7 “PBAC outcome”</w:t>
      </w:r>
    </w:p>
    <w:p w:rsidR="00BB7EC3" w:rsidRPr="00BC22CD" w:rsidRDefault="00BB7EC3" w:rsidP="00882085">
      <w:pPr>
        <w:jc w:val="both"/>
        <w:rPr>
          <w:rFonts w:ascii="Arial" w:hAnsi="Arial"/>
          <w:b/>
          <w:sz w:val="22"/>
          <w:szCs w:val="22"/>
        </w:rPr>
      </w:pPr>
    </w:p>
    <w:p w:rsidR="008A1956" w:rsidRPr="00BC22CD" w:rsidRDefault="008A1956" w:rsidP="00882085">
      <w:pPr>
        <w:jc w:val="both"/>
        <w:rPr>
          <w:rFonts w:ascii="Arial" w:hAnsi="Arial"/>
          <w:b/>
          <w:sz w:val="22"/>
          <w:szCs w:val="22"/>
        </w:rPr>
      </w:pPr>
    </w:p>
    <w:p w:rsidR="00CE10C4" w:rsidRPr="00BC22CD" w:rsidRDefault="00CE10C4" w:rsidP="008A50F1">
      <w:pPr>
        <w:pStyle w:val="PBACHeading1"/>
      </w:pPr>
      <w:r w:rsidRPr="00BC22CD">
        <w:t>Clinical place for the proposed ther</w:t>
      </w:r>
      <w:r w:rsidR="006A12A5" w:rsidRPr="00BC22CD">
        <w:t>apy</w:t>
      </w:r>
    </w:p>
    <w:p w:rsidR="00CE10C4" w:rsidRPr="00BC22CD" w:rsidRDefault="00CE10C4" w:rsidP="00882085">
      <w:pPr>
        <w:jc w:val="both"/>
        <w:rPr>
          <w:rFonts w:ascii="Arial" w:hAnsi="Arial" w:cs="Arial"/>
          <w:snapToGrid w:val="0"/>
          <w:sz w:val="22"/>
          <w:szCs w:val="22"/>
          <w:lang w:eastAsia="en-US"/>
        </w:rPr>
      </w:pPr>
    </w:p>
    <w:p w:rsidR="0044611B" w:rsidRPr="00BC22CD" w:rsidRDefault="00D7103B" w:rsidP="00D7103B">
      <w:pPr>
        <w:pStyle w:val="ListParagraph"/>
        <w:numPr>
          <w:ilvl w:val="1"/>
          <w:numId w:val="5"/>
        </w:numPr>
        <w:rPr>
          <w:szCs w:val="22"/>
        </w:rPr>
      </w:pPr>
      <w:r w:rsidRPr="00BC22CD">
        <w:rPr>
          <w:szCs w:val="22"/>
        </w:rPr>
        <w:t>Rituximab exerts its anti-lymphoma activity by binding to CD20 and mediating B-cell lysis.</w:t>
      </w:r>
    </w:p>
    <w:p w:rsidR="00D7103B" w:rsidRPr="00BC22CD" w:rsidRDefault="00D7103B" w:rsidP="00D7103B">
      <w:pPr>
        <w:pStyle w:val="ListParagraph"/>
        <w:rPr>
          <w:szCs w:val="22"/>
        </w:rPr>
      </w:pPr>
    </w:p>
    <w:p w:rsidR="00D7103B" w:rsidRDefault="00D7103B" w:rsidP="00D7103B">
      <w:pPr>
        <w:pStyle w:val="ListParagraph"/>
        <w:numPr>
          <w:ilvl w:val="1"/>
          <w:numId w:val="5"/>
        </w:numPr>
        <w:rPr>
          <w:szCs w:val="22"/>
        </w:rPr>
      </w:pPr>
      <w:r w:rsidRPr="00BC22CD">
        <w:rPr>
          <w:szCs w:val="22"/>
        </w:rPr>
        <w:t xml:space="preserve">The submission </w:t>
      </w:r>
      <w:r w:rsidR="0098481B" w:rsidRPr="00BC22CD">
        <w:rPr>
          <w:szCs w:val="22"/>
        </w:rPr>
        <w:t>claimed that rituximab SC offers a convenient alternative to the IV formulation.</w:t>
      </w:r>
    </w:p>
    <w:p w:rsidR="00BC22CD" w:rsidRPr="00BC22CD" w:rsidRDefault="00BC22CD" w:rsidP="00BC22CD">
      <w:pPr>
        <w:pStyle w:val="ListParagraph"/>
        <w:rPr>
          <w:szCs w:val="22"/>
        </w:rPr>
      </w:pPr>
    </w:p>
    <w:p w:rsidR="00BC22CD" w:rsidRPr="0005234D" w:rsidRDefault="00BC22CD" w:rsidP="00BC22CD">
      <w:pPr>
        <w:ind w:firstLine="720"/>
        <w:rPr>
          <w:rFonts w:ascii="Arial" w:hAnsi="Arial" w:cs="Arial"/>
          <w:bCs/>
          <w:snapToGrid w:val="0"/>
          <w:sz w:val="22"/>
          <w:szCs w:val="22"/>
        </w:rPr>
      </w:pPr>
      <w:r w:rsidRPr="005A7F57">
        <w:rPr>
          <w:rFonts w:ascii="Arial" w:hAnsi="Arial" w:cs="Arial"/>
          <w:bCs/>
          <w:i/>
          <w:snapToGrid w:val="0"/>
          <w:sz w:val="22"/>
          <w:szCs w:val="22"/>
        </w:rPr>
        <w:t>For more detail on PBAC’s view, see section 7 “PBAC outcome”</w:t>
      </w:r>
    </w:p>
    <w:p w:rsidR="0044611B" w:rsidRPr="00BC22CD" w:rsidRDefault="0044611B" w:rsidP="003121B6">
      <w:pPr>
        <w:pStyle w:val="ListParagraph"/>
      </w:pPr>
    </w:p>
    <w:p w:rsidR="00EE3017" w:rsidRPr="00BC22CD" w:rsidRDefault="00EE3017" w:rsidP="003121B6">
      <w:pPr>
        <w:pStyle w:val="ListParagraph"/>
      </w:pPr>
    </w:p>
    <w:p w:rsidR="00D7103B" w:rsidRPr="00BC22CD" w:rsidRDefault="00D7103B" w:rsidP="00D7103B">
      <w:pPr>
        <w:pStyle w:val="PBACHeading1"/>
      </w:pPr>
      <w:r w:rsidRPr="00BC22CD">
        <w:t>Comparator</w:t>
      </w:r>
      <w:r w:rsidRPr="00BC22CD">
        <w:br/>
      </w:r>
    </w:p>
    <w:p w:rsidR="00C35996" w:rsidRDefault="007C51FB" w:rsidP="008A50F1">
      <w:pPr>
        <w:pStyle w:val="ListParagraph"/>
        <w:numPr>
          <w:ilvl w:val="1"/>
          <w:numId w:val="5"/>
        </w:numPr>
        <w:rPr>
          <w:szCs w:val="22"/>
        </w:rPr>
      </w:pPr>
      <w:r w:rsidRPr="00BC22CD">
        <w:rPr>
          <w:szCs w:val="22"/>
        </w:rPr>
        <w:t>The minor submission nominated rituximab IV 500</w:t>
      </w:r>
      <w:r w:rsidR="00947A5B" w:rsidRPr="00BC22CD">
        <w:rPr>
          <w:szCs w:val="22"/>
        </w:rPr>
        <w:t> </w:t>
      </w:r>
      <w:r w:rsidRPr="00BC22CD">
        <w:rPr>
          <w:szCs w:val="22"/>
        </w:rPr>
        <w:t>mg/m</w:t>
      </w:r>
      <w:r w:rsidRPr="00BC22CD">
        <w:rPr>
          <w:szCs w:val="22"/>
          <w:vertAlign w:val="superscript"/>
        </w:rPr>
        <w:t>2</w:t>
      </w:r>
      <w:r w:rsidRPr="00BC22CD">
        <w:rPr>
          <w:szCs w:val="22"/>
        </w:rPr>
        <w:t xml:space="preserve"> as the comparator</w:t>
      </w:r>
      <w:r w:rsidR="001E02D9" w:rsidRPr="00BC22CD">
        <w:rPr>
          <w:szCs w:val="22"/>
        </w:rPr>
        <w:t>.</w:t>
      </w:r>
    </w:p>
    <w:p w:rsidR="00BC22CD" w:rsidRDefault="00BC22CD" w:rsidP="00BC22CD">
      <w:pPr>
        <w:pStyle w:val="ListParagraph"/>
        <w:rPr>
          <w:szCs w:val="22"/>
        </w:rPr>
      </w:pPr>
    </w:p>
    <w:p w:rsidR="008A1956" w:rsidRPr="00DE0D75" w:rsidRDefault="00BC22CD" w:rsidP="00DE0D75">
      <w:pPr>
        <w:ind w:firstLine="720"/>
        <w:rPr>
          <w:rFonts w:ascii="Arial" w:hAnsi="Arial" w:cs="Arial"/>
          <w:bCs/>
          <w:snapToGrid w:val="0"/>
          <w:sz w:val="22"/>
          <w:szCs w:val="22"/>
        </w:rPr>
      </w:pPr>
      <w:r w:rsidRPr="005A7F57">
        <w:rPr>
          <w:rFonts w:ascii="Arial" w:hAnsi="Arial" w:cs="Arial"/>
          <w:bCs/>
          <w:i/>
          <w:snapToGrid w:val="0"/>
          <w:sz w:val="22"/>
          <w:szCs w:val="22"/>
        </w:rPr>
        <w:t>For more detail on PBAC’s view, see section 7 “PBAC outcome”</w:t>
      </w:r>
    </w:p>
    <w:p w:rsidR="007C51FB" w:rsidRDefault="007C51FB" w:rsidP="00476245">
      <w:pPr>
        <w:jc w:val="both"/>
        <w:rPr>
          <w:rFonts w:ascii="Arial" w:hAnsi="Arial"/>
          <w:sz w:val="22"/>
          <w:szCs w:val="22"/>
        </w:rPr>
      </w:pPr>
    </w:p>
    <w:p w:rsidR="001E416F" w:rsidRDefault="001E416F">
      <w:pPr>
        <w:rPr>
          <w:rFonts w:ascii="Arial" w:hAnsi="Arial"/>
          <w:sz w:val="22"/>
          <w:szCs w:val="22"/>
        </w:rPr>
      </w:pPr>
      <w:r>
        <w:rPr>
          <w:rFonts w:ascii="Arial" w:hAnsi="Arial"/>
          <w:sz w:val="22"/>
          <w:szCs w:val="22"/>
        </w:rPr>
        <w:br w:type="page"/>
      </w:r>
    </w:p>
    <w:p w:rsidR="001A5C40" w:rsidRDefault="008D7A41" w:rsidP="001A5C40">
      <w:pPr>
        <w:pStyle w:val="PBACHeading1"/>
        <w:keepNext/>
        <w:keepLines/>
      </w:pPr>
      <w:r w:rsidRPr="00BC22CD">
        <w:t>C</w:t>
      </w:r>
      <w:r w:rsidR="00D84934" w:rsidRPr="00BC22CD">
        <w:t>onsideration of the evidence</w:t>
      </w:r>
    </w:p>
    <w:p w:rsidR="001A5C40" w:rsidRDefault="001A5C40" w:rsidP="001A5C40"/>
    <w:p w:rsidR="007C0887" w:rsidRPr="009C5C99" w:rsidRDefault="007C0887" w:rsidP="001A5C40">
      <w:pPr>
        <w:pStyle w:val="Heading2"/>
        <w:keepLines/>
        <w:rPr>
          <w:rFonts w:cs="Arial"/>
          <w:b w:val="0"/>
          <w:bCs/>
          <w:i w:val="0"/>
          <w:snapToGrid w:val="0"/>
          <w:szCs w:val="22"/>
        </w:rPr>
      </w:pPr>
      <w:r w:rsidRPr="009C5C99">
        <w:rPr>
          <w:rFonts w:cs="Arial"/>
          <w:bCs/>
          <w:snapToGrid w:val="0"/>
          <w:szCs w:val="22"/>
        </w:rPr>
        <w:t>Sponsor hearing</w:t>
      </w:r>
    </w:p>
    <w:p w:rsidR="007C0887" w:rsidRPr="009774D0" w:rsidRDefault="007C0887" w:rsidP="007C0887">
      <w:pPr>
        <w:rPr>
          <w:rFonts w:ascii="Arial" w:hAnsi="Arial" w:cs="Arial"/>
          <w:b/>
          <w:bCs/>
          <w:snapToGrid w:val="0"/>
          <w:sz w:val="22"/>
          <w:szCs w:val="22"/>
        </w:rPr>
      </w:pPr>
    </w:p>
    <w:p w:rsidR="007C0887" w:rsidRPr="009774D0" w:rsidRDefault="007C0887" w:rsidP="007C0887">
      <w:pPr>
        <w:numPr>
          <w:ilvl w:val="1"/>
          <w:numId w:val="5"/>
        </w:numPr>
        <w:rPr>
          <w:rFonts w:ascii="Arial" w:hAnsi="Arial" w:cs="Arial"/>
          <w:bCs/>
          <w:snapToGrid w:val="0"/>
          <w:sz w:val="22"/>
          <w:szCs w:val="22"/>
        </w:rPr>
      </w:pPr>
      <w:r w:rsidRPr="009774D0">
        <w:rPr>
          <w:rFonts w:ascii="Arial" w:hAnsi="Arial" w:cs="Arial"/>
          <w:bCs/>
          <w:snapToGrid w:val="0"/>
          <w:sz w:val="22"/>
          <w:szCs w:val="22"/>
        </w:rPr>
        <w:t>There was no hearing for this ite</w:t>
      </w:r>
      <w:r w:rsidR="009774D0" w:rsidRPr="009774D0">
        <w:rPr>
          <w:rFonts w:ascii="Arial" w:hAnsi="Arial" w:cs="Arial"/>
          <w:bCs/>
          <w:snapToGrid w:val="0"/>
          <w:sz w:val="22"/>
          <w:szCs w:val="22"/>
        </w:rPr>
        <w:t>m as it was a minor submission.</w:t>
      </w:r>
    </w:p>
    <w:p w:rsidR="007C0887" w:rsidRPr="00817EFB" w:rsidRDefault="007C0887" w:rsidP="007C0887">
      <w:pPr>
        <w:rPr>
          <w:rFonts w:ascii="Arial" w:hAnsi="Arial" w:cs="Arial"/>
          <w:bCs/>
          <w:snapToGrid w:val="0"/>
          <w:sz w:val="22"/>
          <w:szCs w:val="22"/>
          <w:highlight w:val="yellow"/>
        </w:rPr>
      </w:pPr>
    </w:p>
    <w:p w:rsidR="007C0887" w:rsidRPr="009C5C99" w:rsidRDefault="007C0887" w:rsidP="001A5C40">
      <w:pPr>
        <w:pStyle w:val="Heading2"/>
        <w:keepLines/>
        <w:rPr>
          <w:rFonts w:cs="Arial"/>
          <w:b w:val="0"/>
          <w:bCs/>
          <w:i w:val="0"/>
          <w:snapToGrid w:val="0"/>
          <w:szCs w:val="22"/>
        </w:rPr>
      </w:pPr>
      <w:r w:rsidRPr="001A5C40">
        <w:t>Consumer</w:t>
      </w:r>
      <w:r w:rsidRPr="009C5C99">
        <w:rPr>
          <w:rFonts w:cs="Arial"/>
          <w:bCs/>
          <w:snapToGrid w:val="0"/>
          <w:szCs w:val="22"/>
        </w:rPr>
        <w:t xml:space="preserve"> comments</w:t>
      </w:r>
    </w:p>
    <w:p w:rsidR="007C0887" w:rsidRPr="009774D0" w:rsidRDefault="007C0887" w:rsidP="007C0887">
      <w:pPr>
        <w:rPr>
          <w:rFonts w:ascii="Arial" w:hAnsi="Arial" w:cs="Arial"/>
          <w:b/>
          <w:bCs/>
          <w:snapToGrid w:val="0"/>
          <w:sz w:val="22"/>
          <w:szCs w:val="22"/>
        </w:rPr>
      </w:pPr>
    </w:p>
    <w:p w:rsidR="007C0887" w:rsidRPr="009774D0" w:rsidRDefault="007C0887" w:rsidP="007C0887">
      <w:pPr>
        <w:numPr>
          <w:ilvl w:val="1"/>
          <w:numId w:val="5"/>
        </w:numPr>
        <w:rPr>
          <w:rFonts w:ascii="Arial" w:hAnsi="Arial" w:cs="Arial"/>
          <w:bCs/>
          <w:snapToGrid w:val="0"/>
          <w:sz w:val="22"/>
          <w:szCs w:val="22"/>
        </w:rPr>
      </w:pPr>
      <w:r w:rsidRPr="009774D0">
        <w:rPr>
          <w:rFonts w:ascii="Arial" w:hAnsi="Arial" w:cs="Arial"/>
          <w:bCs/>
          <w:snapToGrid w:val="0"/>
          <w:sz w:val="22"/>
          <w:szCs w:val="22"/>
        </w:rPr>
        <w:t>The PBAC noted that no consumer comments were received for this item.</w:t>
      </w:r>
    </w:p>
    <w:p w:rsidR="00BB7EC3" w:rsidRDefault="00BB7EC3" w:rsidP="00AA6C96">
      <w:pPr>
        <w:keepNext/>
        <w:keepLines/>
        <w:jc w:val="both"/>
        <w:rPr>
          <w:rFonts w:ascii="Arial" w:hAnsi="Arial"/>
          <w:sz w:val="22"/>
          <w:szCs w:val="22"/>
        </w:rPr>
      </w:pPr>
    </w:p>
    <w:p w:rsidR="003121B6" w:rsidRDefault="00D84934" w:rsidP="00AA6C96">
      <w:pPr>
        <w:pStyle w:val="Heading2"/>
        <w:keepLines/>
      </w:pPr>
      <w:r>
        <w:t>Clinical trials</w:t>
      </w:r>
    </w:p>
    <w:p w:rsidR="003121B6" w:rsidRPr="003121B6" w:rsidRDefault="003121B6" w:rsidP="00AA6C96">
      <w:pPr>
        <w:keepNext/>
        <w:keepLines/>
      </w:pPr>
    </w:p>
    <w:p w:rsidR="00CA7917" w:rsidRPr="00BC22CD" w:rsidRDefault="00CA7917" w:rsidP="00AA6C96">
      <w:pPr>
        <w:pStyle w:val="ListParagraph"/>
        <w:keepNext/>
        <w:keepLines/>
        <w:numPr>
          <w:ilvl w:val="1"/>
          <w:numId w:val="5"/>
        </w:numPr>
        <w:rPr>
          <w:szCs w:val="22"/>
        </w:rPr>
      </w:pPr>
      <w:r w:rsidRPr="00BC22CD">
        <w:rPr>
          <w:szCs w:val="22"/>
        </w:rPr>
        <w:t xml:space="preserve">The minor submission presented the results of one trial, </w:t>
      </w:r>
      <w:r w:rsidR="003121B6" w:rsidRPr="00BC22CD">
        <w:rPr>
          <w:szCs w:val="22"/>
        </w:rPr>
        <w:t>SAWYER</w:t>
      </w:r>
      <w:r w:rsidRPr="00BC22CD">
        <w:rPr>
          <w:szCs w:val="22"/>
        </w:rPr>
        <w:t>,</w:t>
      </w:r>
      <w:r w:rsidR="003121B6" w:rsidRPr="00BC22CD">
        <w:rPr>
          <w:szCs w:val="22"/>
        </w:rPr>
        <w:t xml:space="preserve"> </w:t>
      </w:r>
      <w:r w:rsidR="008A17C9" w:rsidRPr="00BC22CD">
        <w:rPr>
          <w:szCs w:val="22"/>
        </w:rPr>
        <w:t>compar</w:t>
      </w:r>
      <w:r w:rsidR="0098481B" w:rsidRPr="00BC22CD">
        <w:rPr>
          <w:szCs w:val="22"/>
        </w:rPr>
        <w:t>ing</w:t>
      </w:r>
      <w:r w:rsidR="008A17C9" w:rsidRPr="00BC22CD">
        <w:rPr>
          <w:szCs w:val="22"/>
        </w:rPr>
        <w:t xml:space="preserve"> the </w:t>
      </w:r>
      <w:r w:rsidR="001E02D9" w:rsidRPr="00BC22CD">
        <w:rPr>
          <w:szCs w:val="22"/>
        </w:rPr>
        <w:t>pharmacokinetics</w:t>
      </w:r>
      <w:r w:rsidR="008A17C9" w:rsidRPr="00BC22CD">
        <w:rPr>
          <w:szCs w:val="22"/>
        </w:rPr>
        <w:t xml:space="preserve">, efficacy and safety of </w:t>
      </w:r>
      <w:r w:rsidRPr="00BC22CD">
        <w:rPr>
          <w:szCs w:val="22"/>
        </w:rPr>
        <w:t xml:space="preserve">rituximab </w:t>
      </w:r>
      <w:r w:rsidR="0098481B" w:rsidRPr="00BC22CD">
        <w:rPr>
          <w:szCs w:val="22"/>
        </w:rPr>
        <w:t xml:space="preserve">(1,600 mg/13.4 mL) </w:t>
      </w:r>
      <w:r w:rsidRPr="00BC22CD">
        <w:rPr>
          <w:szCs w:val="22"/>
        </w:rPr>
        <w:t>SC to rituximab IV in patients with previously untreated CLL. This was a two-part open-label randomised trial.</w:t>
      </w:r>
    </w:p>
    <w:p w:rsidR="00CA7917" w:rsidRPr="00BC22CD" w:rsidRDefault="00CA7917" w:rsidP="004B0C2E">
      <w:pPr>
        <w:pStyle w:val="ListParagraph"/>
        <w:widowControl/>
        <w:numPr>
          <w:ilvl w:val="0"/>
          <w:numId w:val="16"/>
        </w:numPr>
        <w:rPr>
          <w:szCs w:val="22"/>
        </w:rPr>
      </w:pPr>
      <w:r w:rsidRPr="00BC22CD">
        <w:rPr>
          <w:szCs w:val="22"/>
        </w:rPr>
        <w:t>Part 1 objective: to confirm that selected SC do</w:t>
      </w:r>
      <w:r w:rsidR="00363CA2" w:rsidRPr="00BC22CD">
        <w:rPr>
          <w:szCs w:val="22"/>
        </w:rPr>
        <w:t>s</w:t>
      </w:r>
      <w:r w:rsidRPr="00BC22CD">
        <w:rPr>
          <w:szCs w:val="22"/>
        </w:rPr>
        <w:t>es of rituximab resulted in C</w:t>
      </w:r>
      <w:r w:rsidRPr="00BC22CD">
        <w:rPr>
          <w:szCs w:val="22"/>
          <w:vertAlign w:val="subscript"/>
        </w:rPr>
        <w:t>trough</w:t>
      </w:r>
      <w:r w:rsidRPr="00BC22CD">
        <w:rPr>
          <w:szCs w:val="22"/>
        </w:rPr>
        <w:t xml:space="preserve"> levels comparable to rituximab IV;</w:t>
      </w:r>
    </w:p>
    <w:p w:rsidR="003121B6" w:rsidRPr="00BC22CD" w:rsidRDefault="00CA7917" w:rsidP="004B0C2E">
      <w:pPr>
        <w:pStyle w:val="ListParagraph"/>
        <w:widowControl/>
        <w:numPr>
          <w:ilvl w:val="0"/>
          <w:numId w:val="16"/>
        </w:numPr>
        <w:rPr>
          <w:szCs w:val="22"/>
        </w:rPr>
      </w:pPr>
      <w:r w:rsidRPr="00BC22CD">
        <w:rPr>
          <w:szCs w:val="22"/>
        </w:rPr>
        <w:t>Part 2 objective:</w:t>
      </w:r>
      <w:r w:rsidR="003121B6" w:rsidRPr="00BC22CD">
        <w:rPr>
          <w:szCs w:val="22"/>
        </w:rPr>
        <w:t xml:space="preserve"> </w:t>
      </w:r>
      <w:r w:rsidRPr="00BC22CD">
        <w:rPr>
          <w:szCs w:val="22"/>
        </w:rPr>
        <w:t xml:space="preserve">to establish non-inferiority in </w:t>
      </w:r>
      <w:r w:rsidR="00947A5B" w:rsidRPr="00BC22CD">
        <w:rPr>
          <w:szCs w:val="22"/>
        </w:rPr>
        <w:t>pharmacokinetic</w:t>
      </w:r>
      <w:r w:rsidR="00363CA2" w:rsidRPr="00BC22CD">
        <w:rPr>
          <w:szCs w:val="22"/>
        </w:rPr>
        <w:t xml:space="preserve"> values, efficacy and safety</w:t>
      </w:r>
      <w:r w:rsidRPr="00BC22CD">
        <w:rPr>
          <w:szCs w:val="22"/>
        </w:rPr>
        <w:t xml:space="preserve"> between the </w:t>
      </w:r>
      <w:r w:rsidR="00363CA2" w:rsidRPr="00BC22CD">
        <w:rPr>
          <w:szCs w:val="22"/>
        </w:rPr>
        <w:t xml:space="preserve">proposed </w:t>
      </w:r>
      <w:r w:rsidRPr="00BC22CD">
        <w:rPr>
          <w:szCs w:val="22"/>
        </w:rPr>
        <w:t>rituximab SC dose (1</w:t>
      </w:r>
      <w:r w:rsidR="00947A5B" w:rsidRPr="00BC22CD">
        <w:rPr>
          <w:szCs w:val="22"/>
        </w:rPr>
        <w:t>,</w:t>
      </w:r>
      <w:r w:rsidRPr="00BC22CD">
        <w:rPr>
          <w:szCs w:val="22"/>
        </w:rPr>
        <w:t>600</w:t>
      </w:r>
      <w:r w:rsidR="00947A5B" w:rsidRPr="00BC22CD">
        <w:rPr>
          <w:szCs w:val="22"/>
        </w:rPr>
        <w:t> </w:t>
      </w:r>
      <w:r w:rsidRPr="00BC22CD">
        <w:rPr>
          <w:szCs w:val="22"/>
        </w:rPr>
        <w:t>mg) and the ref</w:t>
      </w:r>
      <w:r w:rsidR="00B6088D" w:rsidRPr="00BC22CD">
        <w:rPr>
          <w:szCs w:val="22"/>
        </w:rPr>
        <w:t>erence rituximab IV do</w:t>
      </w:r>
      <w:r w:rsidRPr="00BC22CD">
        <w:rPr>
          <w:szCs w:val="22"/>
        </w:rPr>
        <w:t>s</w:t>
      </w:r>
      <w:r w:rsidR="00B6088D" w:rsidRPr="00BC22CD">
        <w:rPr>
          <w:szCs w:val="22"/>
        </w:rPr>
        <w:t>e</w:t>
      </w:r>
      <w:r w:rsidRPr="00BC22CD">
        <w:rPr>
          <w:szCs w:val="22"/>
        </w:rPr>
        <w:t xml:space="preserve"> (500</w:t>
      </w:r>
      <w:r w:rsidR="00947A5B" w:rsidRPr="00BC22CD">
        <w:rPr>
          <w:szCs w:val="22"/>
        </w:rPr>
        <w:t> </w:t>
      </w:r>
      <w:r w:rsidRPr="00BC22CD">
        <w:rPr>
          <w:szCs w:val="22"/>
        </w:rPr>
        <w:t>mg/m</w:t>
      </w:r>
      <w:r w:rsidRPr="00BC22CD">
        <w:rPr>
          <w:szCs w:val="22"/>
          <w:vertAlign w:val="superscript"/>
        </w:rPr>
        <w:t>2</w:t>
      </w:r>
      <w:r w:rsidRPr="00BC22CD">
        <w:rPr>
          <w:szCs w:val="22"/>
        </w:rPr>
        <w:t>)</w:t>
      </w:r>
      <w:r w:rsidR="003121B6" w:rsidRPr="00BC22CD">
        <w:rPr>
          <w:szCs w:val="22"/>
        </w:rPr>
        <w:t xml:space="preserve">. </w:t>
      </w:r>
    </w:p>
    <w:p w:rsidR="003121B6" w:rsidRPr="00BC22CD" w:rsidRDefault="003121B6" w:rsidP="003121B6">
      <w:pPr>
        <w:pStyle w:val="ListParagraph"/>
        <w:rPr>
          <w:b/>
          <w:szCs w:val="22"/>
        </w:rPr>
      </w:pPr>
    </w:p>
    <w:p w:rsidR="003121B6" w:rsidRPr="00BC22CD" w:rsidRDefault="004950DA" w:rsidP="004B0C2E">
      <w:pPr>
        <w:pStyle w:val="ListParagraph"/>
        <w:numPr>
          <w:ilvl w:val="1"/>
          <w:numId w:val="5"/>
        </w:numPr>
        <w:rPr>
          <w:szCs w:val="22"/>
        </w:rPr>
      </w:pPr>
      <w:r w:rsidRPr="00BC22CD">
        <w:rPr>
          <w:szCs w:val="22"/>
        </w:rPr>
        <w:t>Details of the SAWYER trail, as provided in the submission, are presented in the table below</w:t>
      </w:r>
    </w:p>
    <w:p w:rsidR="004950DA" w:rsidRDefault="004950DA" w:rsidP="004950DA">
      <w:pPr>
        <w:pStyle w:val="ListParagraph"/>
      </w:pPr>
    </w:p>
    <w:p w:rsidR="004950DA" w:rsidRPr="00D84934" w:rsidRDefault="00E71A8A" w:rsidP="0048125B">
      <w:pPr>
        <w:pStyle w:val="NoSpacing"/>
        <w:ind w:left="360" w:firstLine="360"/>
        <w:rPr>
          <w:rFonts w:ascii="Arial Narrow" w:hAnsi="Arial Narrow"/>
          <w:b/>
          <w:sz w:val="20"/>
        </w:rPr>
      </w:pPr>
      <w:r>
        <w:rPr>
          <w:rFonts w:ascii="Arial Narrow" w:hAnsi="Arial Narrow"/>
          <w:b/>
          <w:sz w:val="20"/>
        </w:rPr>
        <w:t>Table 1.</w:t>
      </w:r>
      <w:r w:rsidR="00124950">
        <w:rPr>
          <w:rFonts w:ascii="Arial Narrow" w:hAnsi="Arial Narrow"/>
          <w:b/>
          <w:sz w:val="20"/>
        </w:rPr>
        <w:t xml:space="preserve"> </w:t>
      </w:r>
      <w:r w:rsidR="004950DA" w:rsidRPr="00D84934">
        <w:rPr>
          <w:rFonts w:ascii="Arial Narrow" w:hAnsi="Arial Narrow"/>
          <w:b/>
          <w:sz w:val="20"/>
        </w:rPr>
        <w:t>Trials and associated reports presented in the 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4950DA" w:rsidRPr="005838CB" w:rsidTr="00663523">
        <w:trPr>
          <w:cantSplit/>
          <w:tblHeader/>
        </w:trPr>
        <w:tc>
          <w:tcPr>
            <w:tcW w:w="1701" w:type="dxa"/>
          </w:tcPr>
          <w:p w:rsidR="004950DA" w:rsidRPr="005838CB" w:rsidRDefault="004950DA" w:rsidP="00663523">
            <w:pPr>
              <w:pStyle w:val="NoSpacing"/>
              <w:rPr>
                <w:rFonts w:ascii="Arial Narrow" w:hAnsi="Arial Narrow"/>
                <w:b/>
                <w:sz w:val="20"/>
              </w:rPr>
            </w:pPr>
            <w:r w:rsidRPr="005838CB">
              <w:rPr>
                <w:rFonts w:ascii="Arial Narrow" w:hAnsi="Arial Narrow"/>
                <w:b/>
                <w:sz w:val="20"/>
              </w:rPr>
              <w:t>Trial ID</w:t>
            </w:r>
          </w:p>
        </w:tc>
        <w:tc>
          <w:tcPr>
            <w:tcW w:w="4820" w:type="dxa"/>
          </w:tcPr>
          <w:p w:rsidR="004950DA" w:rsidRPr="005838CB" w:rsidRDefault="004950DA" w:rsidP="00663523">
            <w:pPr>
              <w:keepNext/>
              <w:jc w:val="center"/>
              <w:rPr>
                <w:rFonts w:ascii="Arial Narrow" w:hAnsi="Arial Narrow"/>
                <w:b/>
                <w:sz w:val="20"/>
              </w:rPr>
            </w:pPr>
            <w:r w:rsidRPr="005838CB">
              <w:rPr>
                <w:rFonts w:ascii="Arial Narrow" w:hAnsi="Arial Narrow"/>
                <w:b/>
                <w:sz w:val="20"/>
              </w:rPr>
              <w:t>Protocol title/ Publication title</w:t>
            </w:r>
          </w:p>
        </w:tc>
        <w:tc>
          <w:tcPr>
            <w:tcW w:w="1843" w:type="dxa"/>
          </w:tcPr>
          <w:p w:rsidR="004950DA" w:rsidRPr="005838CB" w:rsidRDefault="004950DA" w:rsidP="00663523">
            <w:pPr>
              <w:keepNext/>
              <w:rPr>
                <w:rFonts w:ascii="Arial Narrow" w:hAnsi="Arial Narrow"/>
                <w:b/>
                <w:sz w:val="20"/>
              </w:rPr>
            </w:pPr>
            <w:r w:rsidRPr="005838CB">
              <w:rPr>
                <w:rFonts w:ascii="Arial Narrow" w:hAnsi="Arial Narrow"/>
                <w:b/>
                <w:sz w:val="20"/>
              </w:rPr>
              <w:t>Publication citation</w:t>
            </w:r>
          </w:p>
        </w:tc>
      </w:tr>
      <w:tr w:rsidR="004950DA" w:rsidRPr="005838CB" w:rsidTr="00565382">
        <w:trPr>
          <w:cantSplit/>
        </w:trPr>
        <w:tc>
          <w:tcPr>
            <w:tcW w:w="8364" w:type="dxa"/>
            <w:gridSpan w:val="3"/>
            <w:tcBorders>
              <w:bottom w:val="single" w:sz="4" w:space="0" w:color="auto"/>
            </w:tcBorders>
          </w:tcPr>
          <w:p w:rsidR="004950DA" w:rsidRPr="005838CB" w:rsidRDefault="004950DA" w:rsidP="00663523">
            <w:pPr>
              <w:pStyle w:val="NoSpacing"/>
              <w:rPr>
                <w:rFonts w:ascii="Arial Narrow" w:hAnsi="Arial Narrow"/>
                <w:b/>
                <w:sz w:val="20"/>
              </w:rPr>
            </w:pPr>
            <w:r w:rsidRPr="005838CB">
              <w:rPr>
                <w:rFonts w:ascii="Arial Narrow" w:hAnsi="Arial Narrow"/>
                <w:b/>
                <w:sz w:val="20"/>
              </w:rPr>
              <w:t>Direct randomised trials</w:t>
            </w:r>
          </w:p>
        </w:tc>
      </w:tr>
      <w:tr w:rsidR="004950DA" w:rsidRPr="005838CB" w:rsidTr="00565382">
        <w:trPr>
          <w:cantSplit/>
        </w:trPr>
        <w:tc>
          <w:tcPr>
            <w:tcW w:w="1701" w:type="dxa"/>
            <w:tcBorders>
              <w:top w:val="single" w:sz="4" w:space="0" w:color="auto"/>
              <w:left w:val="single" w:sz="4" w:space="0" w:color="auto"/>
              <w:bottom w:val="nil"/>
              <w:right w:val="single" w:sz="4" w:space="0" w:color="auto"/>
            </w:tcBorders>
          </w:tcPr>
          <w:p w:rsidR="004950DA" w:rsidRPr="00D84934" w:rsidRDefault="004950DA" w:rsidP="00663523">
            <w:pPr>
              <w:pStyle w:val="NoSpacing"/>
              <w:rPr>
                <w:rFonts w:ascii="Arial Narrow" w:hAnsi="Arial Narrow"/>
                <w:b/>
                <w:sz w:val="20"/>
              </w:rPr>
            </w:pPr>
            <w:r>
              <w:rPr>
                <w:rFonts w:ascii="Arial Narrow" w:hAnsi="Arial Narrow"/>
                <w:b/>
                <w:sz w:val="20"/>
              </w:rPr>
              <w:t>SAWYER</w:t>
            </w:r>
          </w:p>
        </w:tc>
        <w:tc>
          <w:tcPr>
            <w:tcW w:w="4820" w:type="dxa"/>
            <w:tcBorders>
              <w:top w:val="single" w:sz="4" w:space="0" w:color="auto"/>
              <w:left w:val="single" w:sz="4" w:space="0" w:color="auto"/>
              <w:bottom w:val="nil"/>
              <w:right w:val="single" w:sz="4" w:space="0" w:color="auto"/>
            </w:tcBorders>
          </w:tcPr>
          <w:p w:rsidR="00565382" w:rsidRDefault="004950DA" w:rsidP="00565382">
            <w:pPr>
              <w:pStyle w:val="EndNoteBibliography"/>
              <w:spacing w:after="0"/>
              <w:ind w:left="34"/>
              <w:jc w:val="left"/>
              <w:rPr>
                <w:rFonts w:ascii="Arial Narrow" w:eastAsia="Times New Roman" w:hAnsi="Arial Narrow" w:cs="Times New Roman"/>
                <w:noProof w:val="0"/>
                <w:szCs w:val="24"/>
                <w:lang w:eastAsia="en-AU"/>
              </w:rPr>
            </w:pPr>
            <w:bookmarkStart w:id="2" w:name="_ENREF_1"/>
            <w:r w:rsidRPr="004950DA">
              <w:rPr>
                <w:rFonts w:ascii="Arial Narrow" w:eastAsia="Times New Roman" w:hAnsi="Arial Narrow" w:cs="Times New Roman"/>
                <w:noProof w:val="0"/>
                <w:szCs w:val="24"/>
                <w:lang w:eastAsia="en-AU"/>
              </w:rPr>
              <w:t>Assouline S, Buccheri V, Delmer A, et al. Pharmacokinetics and safety of subcutaneous rituximab plus fludarabine and cyclophosphamide for patients with chronic lymphocytic leukaemia.</w:t>
            </w:r>
          </w:p>
          <w:p w:rsidR="004950DA" w:rsidRPr="00565382" w:rsidRDefault="004950DA" w:rsidP="00565382">
            <w:pPr>
              <w:pStyle w:val="EndNoteBibliography"/>
              <w:spacing w:after="0"/>
              <w:ind w:left="34"/>
              <w:jc w:val="left"/>
              <w:rPr>
                <w:rFonts w:ascii="Arial Narrow" w:eastAsia="Times New Roman" w:hAnsi="Arial Narrow" w:cs="Times New Roman"/>
                <w:noProof w:val="0"/>
                <w:szCs w:val="24"/>
                <w:lang w:eastAsia="en-AU"/>
              </w:rPr>
            </w:pPr>
            <w:r w:rsidRPr="004950DA">
              <w:rPr>
                <w:rFonts w:ascii="Arial Narrow" w:eastAsia="Times New Roman" w:hAnsi="Arial Narrow" w:cs="Times New Roman"/>
                <w:noProof w:val="0"/>
                <w:szCs w:val="24"/>
                <w:lang w:eastAsia="en-AU"/>
              </w:rPr>
              <w:t xml:space="preserve"> </w:t>
            </w:r>
            <w:bookmarkEnd w:id="2"/>
          </w:p>
        </w:tc>
        <w:tc>
          <w:tcPr>
            <w:tcW w:w="1843" w:type="dxa"/>
            <w:tcBorders>
              <w:top w:val="single" w:sz="4" w:space="0" w:color="auto"/>
              <w:left w:val="single" w:sz="4" w:space="0" w:color="auto"/>
              <w:bottom w:val="nil"/>
              <w:right w:val="single" w:sz="4" w:space="0" w:color="auto"/>
            </w:tcBorders>
          </w:tcPr>
          <w:p w:rsidR="005301FF" w:rsidRDefault="004950DA" w:rsidP="004950DA">
            <w:pPr>
              <w:keepNext/>
              <w:rPr>
                <w:rFonts w:ascii="Arial Narrow" w:hAnsi="Arial Narrow"/>
                <w:sz w:val="20"/>
              </w:rPr>
            </w:pPr>
            <w:r w:rsidRPr="004950DA">
              <w:rPr>
                <w:rFonts w:ascii="Arial Narrow" w:hAnsi="Arial Narrow"/>
                <w:sz w:val="20"/>
              </w:rPr>
              <w:t xml:space="preserve">British journal of clinical pharmacology. 2015;80(5):1001-9. </w:t>
            </w:r>
          </w:p>
          <w:p w:rsidR="004950DA" w:rsidRPr="004950DA" w:rsidRDefault="004950DA" w:rsidP="004950DA">
            <w:pPr>
              <w:keepNext/>
              <w:rPr>
                <w:rFonts w:ascii="Arial Narrow" w:hAnsi="Arial Narrow"/>
                <w:sz w:val="20"/>
              </w:rPr>
            </w:pPr>
          </w:p>
        </w:tc>
      </w:tr>
      <w:tr w:rsidR="00565382" w:rsidRPr="005838CB" w:rsidTr="00565382">
        <w:trPr>
          <w:cantSplit/>
        </w:trPr>
        <w:tc>
          <w:tcPr>
            <w:tcW w:w="1701" w:type="dxa"/>
            <w:tcBorders>
              <w:top w:val="nil"/>
              <w:left w:val="single" w:sz="4" w:space="0" w:color="auto"/>
              <w:bottom w:val="nil"/>
              <w:right w:val="single" w:sz="4" w:space="0" w:color="auto"/>
            </w:tcBorders>
          </w:tcPr>
          <w:p w:rsidR="00565382" w:rsidRDefault="00565382" w:rsidP="00663523">
            <w:pPr>
              <w:pStyle w:val="NoSpacing"/>
              <w:rPr>
                <w:rFonts w:ascii="Arial Narrow" w:hAnsi="Arial Narrow"/>
                <w:b/>
                <w:sz w:val="20"/>
              </w:rPr>
            </w:pPr>
          </w:p>
        </w:tc>
        <w:tc>
          <w:tcPr>
            <w:tcW w:w="4820" w:type="dxa"/>
            <w:tcBorders>
              <w:top w:val="nil"/>
              <w:left w:val="single" w:sz="4" w:space="0" w:color="auto"/>
              <w:bottom w:val="nil"/>
              <w:right w:val="single" w:sz="4" w:space="0" w:color="auto"/>
            </w:tcBorders>
          </w:tcPr>
          <w:p w:rsidR="00565382" w:rsidRPr="004950DA" w:rsidRDefault="00565382" w:rsidP="00565382">
            <w:pPr>
              <w:pStyle w:val="EndNoteBibliography"/>
              <w:spacing w:after="0"/>
              <w:ind w:left="34"/>
              <w:jc w:val="left"/>
              <w:rPr>
                <w:rFonts w:ascii="Arial Narrow" w:eastAsia="Times New Roman" w:hAnsi="Arial Narrow" w:cs="Times New Roman"/>
                <w:noProof w:val="0"/>
                <w:szCs w:val="24"/>
                <w:lang w:eastAsia="en-AU"/>
              </w:rPr>
            </w:pPr>
            <w:bookmarkStart w:id="3" w:name="_ENREF_2"/>
            <w:r w:rsidRPr="004950DA">
              <w:rPr>
                <w:rFonts w:ascii="Arial Narrow" w:eastAsia="Times New Roman" w:hAnsi="Arial Narrow" w:cs="Times New Roman"/>
                <w:noProof w:val="0"/>
                <w:szCs w:val="24"/>
                <w:lang w:eastAsia="en-AU"/>
              </w:rPr>
              <w:t xml:space="preserve">Assouline S, Buccheri V, Delmer A, et al. Pharmacokinetics, safety, and efficacy of subcutaneous versus intravenous rituximab plus chemotherapy as treatment for chronic lymphocytic leukaemia (SAWYER): a phase 1b, open-label, randomised controlled non-inferiority trial. </w:t>
            </w:r>
            <w:bookmarkEnd w:id="3"/>
          </w:p>
          <w:p w:rsidR="00565382" w:rsidRPr="004950DA" w:rsidRDefault="00565382" w:rsidP="004950DA">
            <w:pPr>
              <w:pStyle w:val="EndNoteBibliography"/>
              <w:spacing w:after="0"/>
              <w:ind w:left="34"/>
              <w:jc w:val="left"/>
              <w:rPr>
                <w:rFonts w:ascii="Arial Narrow" w:eastAsia="Times New Roman" w:hAnsi="Arial Narrow" w:cs="Times New Roman"/>
                <w:noProof w:val="0"/>
                <w:szCs w:val="24"/>
                <w:lang w:eastAsia="en-AU"/>
              </w:rPr>
            </w:pPr>
          </w:p>
        </w:tc>
        <w:tc>
          <w:tcPr>
            <w:tcW w:w="1843" w:type="dxa"/>
            <w:tcBorders>
              <w:top w:val="nil"/>
              <w:left w:val="single" w:sz="4" w:space="0" w:color="auto"/>
              <w:bottom w:val="nil"/>
              <w:right w:val="single" w:sz="4" w:space="0" w:color="auto"/>
            </w:tcBorders>
          </w:tcPr>
          <w:p w:rsidR="00565382" w:rsidRPr="004950DA" w:rsidRDefault="00565382" w:rsidP="00565382">
            <w:pPr>
              <w:keepNext/>
              <w:rPr>
                <w:rFonts w:ascii="Arial Narrow" w:hAnsi="Arial Narrow"/>
                <w:sz w:val="20"/>
              </w:rPr>
            </w:pPr>
            <w:r w:rsidRPr="004950DA">
              <w:rPr>
                <w:rFonts w:ascii="Arial Narrow" w:hAnsi="Arial Narrow"/>
                <w:sz w:val="20"/>
              </w:rPr>
              <w:t>The Lancet Haematology. 2016;3(3):e128-e38.</w:t>
            </w:r>
          </w:p>
          <w:p w:rsidR="00565382" w:rsidRPr="004950DA" w:rsidRDefault="00565382" w:rsidP="00663523">
            <w:pPr>
              <w:keepNext/>
              <w:rPr>
                <w:rFonts w:ascii="Arial Narrow" w:hAnsi="Arial Narrow"/>
                <w:sz w:val="20"/>
              </w:rPr>
            </w:pPr>
          </w:p>
        </w:tc>
      </w:tr>
      <w:tr w:rsidR="00565382" w:rsidRPr="005838CB" w:rsidTr="00565382">
        <w:trPr>
          <w:cantSplit/>
        </w:trPr>
        <w:tc>
          <w:tcPr>
            <w:tcW w:w="1701" w:type="dxa"/>
            <w:tcBorders>
              <w:top w:val="nil"/>
              <w:left w:val="single" w:sz="4" w:space="0" w:color="auto"/>
              <w:bottom w:val="nil"/>
              <w:right w:val="single" w:sz="4" w:space="0" w:color="auto"/>
            </w:tcBorders>
          </w:tcPr>
          <w:p w:rsidR="00565382" w:rsidRDefault="00565382" w:rsidP="00663523">
            <w:pPr>
              <w:pStyle w:val="NoSpacing"/>
              <w:rPr>
                <w:rFonts w:ascii="Arial Narrow" w:hAnsi="Arial Narrow"/>
                <w:b/>
                <w:sz w:val="20"/>
              </w:rPr>
            </w:pPr>
          </w:p>
        </w:tc>
        <w:tc>
          <w:tcPr>
            <w:tcW w:w="4820" w:type="dxa"/>
            <w:tcBorders>
              <w:top w:val="nil"/>
              <w:left w:val="single" w:sz="4" w:space="0" w:color="auto"/>
              <w:bottom w:val="nil"/>
              <w:right w:val="single" w:sz="4" w:space="0" w:color="auto"/>
            </w:tcBorders>
          </w:tcPr>
          <w:p w:rsidR="00565382" w:rsidRDefault="00565382" w:rsidP="00565382">
            <w:pPr>
              <w:pStyle w:val="EndNoteBibliography"/>
              <w:spacing w:after="0"/>
              <w:ind w:left="34"/>
              <w:jc w:val="left"/>
              <w:rPr>
                <w:rFonts w:ascii="Arial Narrow" w:eastAsia="Times New Roman" w:hAnsi="Arial Narrow" w:cs="Times New Roman"/>
                <w:noProof w:val="0"/>
                <w:szCs w:val="24"/>
                <w:lang w:eastAsia="en-AU"/>
              </w:rPr>
            </w:pPr>
            <w:bookmarkStart w:id="4" w:name="_ENREF_6"/>
            <w:r w:rsidRPr="004950DA">
              <w:rPr>
                <w:rFonts w:ascii="Arial Narrow" w:eastAsia="Times New Roman" w:hAnsi="Arial Narrow" w:cs="Times New Roman"/>
                <w:noProof w:val="0"/>
                <w:szCs w:val="24"/>
                <w:lang w:eastAsia="en-AU"/>
              </w:rPr>
              <w:t xml:space="preserve">SAWYER CSR. Primary Clinical Study Report – BO25341 – An adaptive, comparative, randomized, parallel-group, multi-center, Phase Ib study of subcutaneous (SC) rituximab versus intravenous (IV) rituximab both in combination with chemotherapy (fludarabine and cyclophosphamide), in patients with previously untreated CLL. </w:t>
            </w:r>
            <w:bookmarkEnd w:id="4"/>
          </w:p>
          <w:p w:rsidR="00565382" w:rsidRPr="004950DA" w:rsidRDefault="00565382" w:rsidP="00565382">
            <w:pPr>
              <w:pStyle w:val="EndNoteBibliography"/>
              <w:spacing w:after="0"/>
              <w:ind w:left="34"/>
              <w:jc w:val="left"/>
              <w:rPr>
                <w:rFonts w:ascii="Arial Narrow" w:eastAsia="Times New Roman" w:hAnsi="Arial Narrow" w:cs="Times New Roman"/>
                <w:noProof w:val="0"/>
                <w:szCs w:val="24"/>
                <w:lang w:eastAsia="en-AU"/>
              </w:rPr>
            </w:pPr>
          </w:p>
        </w:tc>
        <w:tc>
          <w:tcPr>
            <w:tcW w:w="1843" w:type="dxa"/>
            <w:tcBorders>
              <w:top w:val="nil"/>
              <w:left w:val="single" w:sz="4" w:space="0" w:color="auto"/>
              <w:bottom w:val="nil"/>
              <w:right w:val="single" w:sz="4" w:space="0" w:color="auto"/>
            </w:tcBorders>
          </w:tcPr>
          <w:p w:rsidR="00565382" w:rsidRPr="004950DA" w:rsidRDefault="00565382" w:rsidP="00565382">
            <w:pPr>
              <w:keepNext/>
              <w:rPr>
                <w:rFonts w:ascii="Arial Narrow" w:hAnsi="Arial Narrow"/>
                <w:sz w:val="20"/>
              </w:rPr>
            </w:pPr>
            <w:r w:rsidRPr="004950DA">
              <w:rPr>
                <w:rFonts w:ascii="Arial Narrow" w:hAnsi="Arial Narrow"/>
                <w:sz w:val="20"/>
              </w:rPr>
              <w:t xml:space="preserve">Report No. 1047897. 2014. </w:t>
            </w:r>
          </w:p>
        </w:tc>
      </w:tr>
      <w:tr w:rsidR="00565382" w:rsidRPr="005838CB" w:rsidTr="00565382">
        <w:trPr>
          <w:cantSplit/>
        </w:trPr>
        <w:tc>
          <w:tcPr>
            <w:tcW w:w="1701" w:type="dxa"/>
            <w:tcBorders>
              <w:top w:val="nil"/>
              <w:left w:val="single" w:sz="4" w:space="0" w:color="auto"/>
              <w:bottom w:val="single" w:sz="4" w:space="0" w:color="auto"/>
              <w:right w:val="single" w:sz="4" w:space="0" w:color="auto"/>
            </w:tcBorders>
          </w:tcPr>
          <w:p w:rsidR="00565382" w:rsidRDefault="00565382" w:rsidP="00663523">
            <w:pPr>
              <w:pStyle w:val="NoSpacing"/>
              <w:rPr>
                <w:rFonts w:ascii="Arial Narrow" w:hAnsi="Arial Narrow"/>
                <w:b/>
                <w:sz w:val="20"/>
              </w:rPr>
            </w:pPr>
          </w:p>
        </w:tc>
        <w:tc>
          <w:tcPr>
            <w:tcW w:w="4820" w:type="dxa"/>
            <w:tcBorders>
              <w:top w:val="nil"/>
              <w:left w:val="single" w:sz="4" w:space="0" w:color="auto"/>
              <w:bottom w:val="single" w:sz="4" w:space="0" w:color="auto"/>
              <w:right w:val="single" w:sz="4" w:space="0" w:color="auto"/>
            </w:tcBorders>
          </w:tcPr>
          <w:p w:rsidR="00565382" w:rsidRPr="004950DA" w:rsidRDefault="00565382" w:rsidP="004950DA">
            <w:pPr>
              <w:pStyle w:val="EndNoteBibliography"/>
              <w:spacing w:after="0"/>
              <w:ind w:left="34"/>
              <w:jc w:val="left"/>
              <w:rPr>
                <w:rFonts w:ascii="Arial Narrow" w:eastAsia="Times New Roman" w:hAnsi="Arial Narrow" w:cs="Times New Roman"/>
                <w:noProof w:val="0"/>
                <w:szCs w:val="24"/>
                <w:lang w:eastAsia="en-AU"/>
              </w:rPr>
            </w:pPr>
            <w:bookmarkStart w:id="5" w:name="_ENREF_7"/>
            <w:r w:rsidRPr="004950DA">
              <w:rPr>
                <w:rFonts w:ascii="Arial Narrow" w:eastAsia="Times New Roman" w:hAnsi="Arial Narrow" w:cs="Times New Roman"/>
                <w:noProof w:val="0"/>
                <w:szCs w:val="24"/>
                <w:lang w:eastAsia="en-AU"/>
              </w:rPr>
              <w:t>SAWYER CSR. Update Clinical Study Report – BO25341 – An adaptive, comparative, randomized, parallel-group, multi-center, Phase Ib study of subcutaneous (SC) rituximab versus intravenous (IV) rituximab both in combination with chemotherapy (fludarabine and cyclophosphamide), in patients with previously untreated CLL.</w:t>
            </w:r>
            <w:bookmarkEnd w:id="5"/>
          </w:p>
        </w:tc>
        <w:tc>
          <w:tcPr>
            <w:tcW w:w="1843" w:type="dxa"/>
            <w:tcBorders>
              <w:top w:val="nil"/>
              <w:left w:val="single" w:sz="4" w:space="0" w:color="auto"/>
              <w:bottom w:val="single" w:sz="4" w:space="0" w:color="auto"/>
              <w:right w:val="single" w:sz="4" w:space="0" w:color="auto"/>
            </w:tcBorders>
          </w:tcPr>
          <w:p w:rsidR="00565382" w:rsidRPr="004950DA" w:rsidRDefault="00565382" w:rsidP="00663523">
            <w:pPr>
              <w:keepNext/>
              <w:rPr>
                <w:rFonts w:ascii="Arial Narrow" w:hAnsi="Arial Narrow"/>
                <w:sz w:val="20"/>
              </w:rPr>
            </w:pPr>
            <w:r w:rsidRPr="004950DA">
              <w:rPr>
                <w:rFonts w:ascii="Arial Narrow" w:hAnsi="Arial Narrow"/>
                <w:sz w:val="20"/>
              </w:rPr>
              <w:t>Report No. 1071497. 2016</w:t>
            </w:r>
          </w:p>
        </w:tc>
      </w:tr>
    </w:tbl>
    <w:p w:rsidR="004950DA" w:rsidRPr="0076420C" w:rsidRDefault="004950DA" w:rsidP="00A82FD0">
      <w:pPr>
        <w:pStyle w:val="tablenotes"/>
        <w:ind w:firstLine="720"/>
        <w:rPr>
          <w:rFonts w:ascii="Arial Narrow" w:hAnsi="Arial Narrow"/>
          <w:sz w:val="18"/>
          <w:szCs w:val="18"/>
        </w:rPr>
      </w:pPr>
      <w:r w:rsidRPr="005838CB">
        <w:rPr>
          <w:rFonts w:ascii="Arial Narrow" w:hAnsi="Arial Narrow"/>
          <w:sz w:val="18"/>
          <w:szCs w:val="18"/>
        </w:rPr>
        <w:t xml:space="preserve">Source: </w:t>
      </w:r>
      <w:r w:rsidR="005301FF">
        <w:rPr>
          <w:rFonts w:ascii="Arial Narrow" w:hAnsi="Arial Narrow"/>
          <w:sz w:val="18"/>
          <w:szCs w:val="18"/>
        </w:rPr>
        <w:t>page 15 of the Submission</w:t>
      </w:r>
    </w:p>
    <w:p w:rsidR="005301FF" w:rsidRPr="00463A23" w:rsidRDefault="005301FF" w:rsidP="005301FF">
      <w:pPr>
        <w:pStyle w:val="ListParagraph"/>
        <w:rPr>
          <w:b/>
          <w:szCs w:val="22"/>
        </w:rPr>
      </w:pPr>
    </w:p>
    <w:p w:rsidR="003121B6" w:rsidRPr="00BC22CD" w:rsidRDefault="005301FF" w:rsidP="0048125B">
      <w:pPr>
        <w:pStyle w:val="ListParagraph"/>
        <w:numPr>
          <w:ilvl w:val="1"/>
          <w:numId w:val="5"/>
        </w:numPr>
        <w:rPr>
          <w:szCs w:val="22"/>
        </w:rPr>
      </w:pPr>
      <w:r w:rsidRPr="00BC22CD">
        <w:rPr>
          <w:szCs w:val="22"/>
        </w:rPr>
        <w:t>Geometric ratio of trough serum concentration between rituximab IV infusion and rituximab SC inject</w:t>
      </w:r>
      <w:r w:rsidR="00182816" w:rsidRPr="00BC22CD">
        <w:rPr>
          <w:szCs w:val="22"/>
        </w:rPr>
        <w:t>ion</w:t>
      </w:r>
      <w:r w:rsidRPr="00BC22CD">
        <w:rPr>
          <w:szCs w:val="22"/>
        </w:rPr>
        <w:t xml:space="preserve"> was used for the pharmacokinetic study. </w:t>
      </w:r>
    </w:p>
    <w:p w:rsidR="003121B6" w:rsidRPr="00BC22CD" w:rsidRDefault="003121B6" w:rsidP="003121B6">
      <w:pPr>
        <w:rPr>
          <w:b/>
          <w:szCs w:val="22"/>
        </w:rPr>
      </w:pPr>
    </w:p>
    <w:p w:rsidR="005A3173" w:rsidRPr="00882085" w:rsidRDefault="005A3173" w:rsidP="00B1059E">
      <w:pPr>
        <w:pStyle w:val="Heading2"/>
      </w:pPr>
      <w:r w:rsidRPr="00882085">
        <w:t>Comparative effectiveness</w:t>
      </w:r>
    </w:p>
    <w:p w:rsidR="005A3173" w:rsidRPr="00882085" w:rsidRDefault="005A3173" w:rsidP="00882085">
      <w:pPr>
        <w:jc w:val="both"/>
        <w:rPr>
          <w:rFonts w:ascii="Arial" w:hAnsi="Arial"/>
          <w:sz w:val="22"/>
          <w:szCs w:val="22"/>
        </w:rPr>
      </w:pPr>
    </w:p>
    <w:p w:rsidR="00A82FD0" w:rsidRDefault="009E260E" w:rsidP="00947A5B">
      <w:pPr>
        <w:pStyle w:val="ListParagraph"/>
        <w:numPr>
          <w:ilvl w:val="1"/>
          <w:numId w:val="5"/>
        </w:numPr>
        <w:rPr>
          <w:szCs w:val="22"/>
        </w:rPr>
      </w:pPr>
      <w:r>
        <w:rPr>
          <w:szCs w:val="22"/>
        </w:rPr>
        <w:t xml:space="preserve">The results for the primary </w:t>
      </w:r>
      <w:r w:rsidR="00947A5B" w:rsidRPr="00947A5B">
        <w:rPr>
          <w:szCs w:val="22"/>
        </w:rPr>
        <w:t>pharmacokinetic</w:t>
      </w:r>
      <w:r>
        <w:rPr>
          <w:szCs w:val="22"/>
        </w:rPr>
        <w:t xml:space="preserve"> end point C</w:t>
      </w:r>
      <w:r w:rsidRPr="009E260E">
        <w:rPr>
          <w:szCs w:val="22"/>
          <w:vertAlign w:val="subscript"/>
        </w:rPr>
        <w:t>trough</w:t>
      </w:r>
      <w:r>
        <w:rPr>
          <w:szCs w:val="22"/>
          <w:vertAlign w:val="subscript"/>
        </w:rPr>
        <w:t xml:space="preserve"> </w:t>
      </w:r>
      <w:r w:rsidRPr="009E260E">
        <w:rPr>
          <w:szCs w:val="22"/>
        </w:rPr>
        <w:t>in Cycle 5</w:t>
      </w:r>
      <w:r>
        <w:rPr>
          <w:szCs w:val="22"/>
        </w:rPr>
        <w:t xml:space="preserve"> and the secondary </w:t>
      </w:r>
      <w:r w:rsidR="00947A5B" w:rsidRPr="00947A5B">
        <w:rPr>
          <w:szCs w:val="22"/>
        </w:rPr>
        <w:t>pharmacokinetic</w:t>
      </w:r>
      <w:r>
        <w:rPr>
          <w:szCs w:val="22"/>
        </w:rPr>
        <w:t xml:space="preserve"> endpoint area under the serum concentration-time curve (AUC</w:t>
      </w:r>
      <w:r w:rsidRPr="009E260E">
        <w:rPr>
          <w:szCs w:val="22"/>
          <w:vertAlign w:val="subscript"/>
        </w:rPr>
        <w:t>T</w:t>
      </w:r>
      <w:r>
        <w:rPr>
          <w:szCs w:val="22"/>
        </w:rPr>
        <w:t>) at Cycle 6 are shown in the table below.</w:t>
      </w:r>
    </w:p>
    <w:p w:rsidR="009E260E" w:rsidRDefault="009E260E" w:rsidP="009E260E">
      <w:pPr>
        <w:pStyle w:val="ListParagraph"/>
        <w:rPr>
          <w:szCs w:val="22"/>
        </w:rPr>
      </w:pPr>
      <w:r>
        <w:rPr>
          <w:szCs w:val="22"/>
        </w:rPr>
        <w:t xml:space="preserve"> </w:t>
      </w:r>
    </w:p>
    <w:p w:rsidR="009E260E" w:rsidRPr="009E260E" w:rsidRDefault="00E71A8A" w:rsidP="009E260E">
      <w:pPr>
        <w:pStyle w:val="NoSpacing"/>
        <w:ind w:left="360" w:firstLine="360"/>
        <w:rPr>
          <w:rFonts w:ascii="Arial Narrow" w:hAnsi="Arial Narrow"/>
          <w:b/>
          <w:sz w:val="20"/>
        </w:rPr>
      </w:pPr>
      <w:r>
        <w:rPr>
          <w:rFonts w:ascii="Arial Narrow" w:hAnsi="Arial Narrow"/>
          <w:b/>
          <w:sz w:val="20"/>
        </w:rPr>
        <w:t xml:space="preserve">Table 2. </w:t>
      </w:r>
      <w:r w:rsidR="009E260E">
        <w:rPr>
          <w:rFonts w:ascii="Arial Narrow" w:hAnsi="Arial Narrow"/>
          <w:b/>
          <w:sz w:val="20"/>
        </w:rPr>
        <w:t>Summary of p</w:t>
      </w:r>
      <w:r w:rsidR="009E260E" w:rsidRPr="009E260E">
        <w:rPr>
          <w:rFonts w:ascii="Arial Narrow" w:hAnsi="Arial Narrow"/>
          <w:b/>
          <w:sz w:val="20"/>
        </w:rPr>
        <w:t>harmacokinetic endpoints</w:t>
      </w:r>
      <w:r w:rsidR="009E260E">
        <w:rPr>
          <w:rFonts w:ascii="Arial Narrow" w:hAnsi="Arial Narrow"/>
          <w:b/>
          <w:sz w:val="20"/>
        </w:rPr>
        <w:t xml:space="preserve"> at Cycle 5 and Cycle 6 - SAWYER</w:t>
      </w:r>
    </w:p>
    <w:tbl>
      <w:tblPr>
        <w:tblW w:w="8502" w:type="dxa"/>
        <w:tblInd w:w="720"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2448"/>
        <w:gridCol w:w="1674"/>
        <w:gridCol w:w="1675"/>
        <w:gridCol w:w="2705"/>
      </w:tblGrid>
      <w:tr w:rsidR="009E260E" w:rsidRPr="00D90C4B" w:rsidTr="000215CA">
        <w:trPr>
          <w:trHeight w:val="20"/>
        </w:trPr>
        <w:tc>
          <w:tcPr>
            <w:tcW w:w="2448" w:type="dxa"/>
            <w:tcBorders>
              <w:bottom w:val="single" w:sz="4" w:space="0" w:color="auto"/>
            </w:tcBorders>
            <w:shd w:val="clear" w:color="auto" w:fill="auto"/>
            <w:vAlign w:val="center"/>
          </w:tcPr>
          <w:p w:rsidR="009E260E" w:rsidRPr="005705A7" w:rsidRDefault="009E260E" w:rsidP="00663523">
            <w:pPr>
              <w:pStyle w:val="TableText0"/>
              <w:keepNext/>
              <w:spacing w:before="0" w:after="0"/>
              <w:rPr>
                <w:rFonts w:ascii="Arial Narrow" w:hAnsi="Arial Narrow"/>
                <w:b/>
              </w:rPr>
            </w:pPr>
          </w:p>
        </w:tc>
        <w:tc>
          <w:tcPr>
            <w:tcW w:w="1674" w:type="dxa"/>
            <w:tcBorders>
              <w:bottom w:val="single" w:sz="4" w:space="0" w:color="auto"/>
            </w:tcBorders>
            <w:vAlign w:val="center"/>
          </w:tcPr>
          <w:p w:rsidR="009E260E" w:rsidRPr="005705A7" w:rsidRDefault="009E260E" w:rsidP="00663523">
            <w:pPr>
              <w:pStyle w:val="TableText0"/>
              <w:keepNext/>
              <w:spacing w:before="0" w:after="0"/>
              <w:jc w:val="center"/>
              <w:rPr>
                <w:rFonts w:ascii="Arial Narrow" w:hAnsi="Arial Narrow"/>
                <w:b/>
                <w:lang w:val="de-CH"/>
              </w:rPr>
            </w:pPr>
            <w:r w:rsidRPr="005705A7">
              <w:rPr>
                <w:rFonts w:ascii="Arial Narrow" w:hAnsi="Arial Narrow"/>
                <w:b/>
                <w:lang w:val="de-CH"/>
              </w:rPr>
              <w:t>Rituximab IV</w:t>
            </w:r>
            <w:r w:rsidRPr="005705A7">
              <w:rPr>
                <w:rFonts w:ascii="Arial Narrow" w:hAnsi="Arial Narrow"/>
                <w:b/>
                <w:lang w:val="de-CH"/>
              </w:rPr>
              <w:br/>
              <w:t>500</w:t>
            </w:r>
            <w:r w:rsidR="00947A5B" w:rsidRPr="005705A7">
              <w:rPr>
                <w:rFonts w:ascii="Arial Narrow" w:hAnsi="Arial Narrow"/>
                <w:b/>
                <w:lang w:val="de-CH"/>
              </w:rPr>
              <w:t> </w:t>
            </w:r>
            <w:r w:rsidRPr="005705A7">
              <w:rPr>
                <w:rFonts w:ascii="Arial Narrow" w:hAnsi="Arial Narrow"/>
                <w:b/>
                <w:lang w:val="de-CH"/>
              </w:rPr>
              <w:t>mg/m</w:t>
            </w:r>
            <w:r w:rsidRPr="005705A7">
              <w:rPr>
                <w:rFonts w:ascii="Arial Narrow" w:hAnsi="Arial Narrow"/>
                <w:b/>
                <w:vertAlign w:val="superscript"/>
                <w:lang w:val="de-CH"/>
              </w:rPr>
              <w:t>2</w:t>
            </w:r>
          </w:p>
        </w:tc>
        <w:tc>
          <w:tcPr>
            <w:tcW w:w="1675" w:type="dxa"/>
            <w:tcBorders>
              <w:bottom w:val="single" w:sz="4" w:space="0" w:color="auto"/>
            </w:tcBorders>
            <w:vAlign w:val="center"/>
          </w:tcPr>
          <w:p w:rsidR="009E260E" w:rsidRPr="005705A7" w:rsidRDefault="009E260E" w:rsidP="00663523">
            <w:pPr>
              <w:pStyle w:val="TableText0"/>
              <w:keepNext/>
              <w:spacing w:before="0" w:after="0"/>
              <w:jc w:val="center"/>
              <w:rPr>
                <w:rFonts w:ascii="Arial Narrow" w:hAnsi="Arial Narrow"/>
                <w:b/>
              </w:rPr>
            </w:pPr>
            <w:r w:rsidRPr="005705A7">
              <w:rPr>
                <w:rFonts w:ascii="Arial Narrow" w:hAnsi="Arial Narrow"/>
                <w:b/>
              </w:rPr>
              <w:t>Rituximab SC</w:t>
            </w:r>
            <w:r w:rsidRPr="005705A7">
              <w:rPr>
                <w:rFonts w:ascii="Arial Narrow" w:hAnsi="Arial Narrow"/>
                <w:b/>
              </w:rPr>
              <w:br/>
              <w:t>1,600</w:t>
            </w:r>
            <w:r w:rsidR="00947A5B" w:rsidRPr="005705A7">
              <w:rPr>
                <w:rFonts w:ascii="Arial Narrow" w:hAnsi="Arial Narrow"/>
                <w:b/>
              </w:rPr>
              <w:t> </w:t>
            </w:r>
            <w:r w:rsidRPr="005705A7">
              <w:rPr>
                <w:rFonts w:ascii="Arial Narrow" w:hAnsi="Arial Narrow"/>
                <w:b/>
              </w:rPr>
              <w:t>mg</w:t>
            </w:r>
          </w:p>
        </w:tc>
        <w:tc>
          <w:tcPr>
            <w:tcW w:w="2705" w:type="dxa"/>
            <w:tcBorders>
              <w:bottom w:val="single" w:sz="4" w:space="0" w:color="auto"/>
            </w:tcBorders>
            <w:shd w:val="clear" w:color="auto" w:fill="auto"/>
            <w:vAlign w:val="center"/>
          </w:tcPr>
          <w:p w:rsidR="009E260E" w:rsidRPr="005705A7" w:rsidRDefault="009E260E" w:rsidP="00663523">
            <w:pPr>
              <w:pStyle w:val="TableText0"/>
              <w:keepNext/>
              <w:spacing w:before="0" w:after="0"/>
              <w:jc w:val="center"/>
              <w:rPr>
                <w:rFonts w:ascii="Arial Narrow" w:hAnsi="Arial Narrow"/>
                <w:b/>
              </w:rPr>
            </w:pPr>
          </w:p>
        </w:tc>
      </w:tr>
      <w:tr w:rsidR="009E260E" w:rsidRPr="00D90C4B" w:rsidTr="000215CA">
        <w:trPr>
          <w:trHeight w:val="20"/>
        </w:trPr>
        <w:tc>
          <w:tcPr>
            <w:tcW w:w="2448" w:type="dxa"/>
            <w:tcBorders>
              <w:top w:val="single" w:sz="4" w:space="0" w:color="auto"/>
              <w:bottom w:val="single" w:sz="4" w:space="0" w:color="auto"/>
            </w:tcBorders>
            <w:shd w:val="clear" w:color="auto" w:fill="auto"/>
            <w:vAlign w:val="center"/>
          </w:tcPr>
          <w:p w:rsidR="009E260E" w:rsidRPr="005705A7" w:rsidRDefault="009E260E" w:rsidP="00663523">
            <w:pPr>
              <w:pStyle w:val="TableText0"/>
              <w:spacing w:before="0" w:after="0"/>
              <w:rPr>
                <w:rFonts w:ascii="Arial Narrow" w:hAnsi="Arial Narrow"/>
              </w:rPr>
            </w:pPr>
            <w:r w:rsidRPr="005705A7">
              <w:rPr>
                <w:rFonts w:ascii="Arial Narrow" w:hAnsi="Arial Narrow"/>
                <w:b/>
              </w:rPr>
              <w:t>PK parameter</w:t>
            </w:r>
          </w:p>
        </w:tc>
        <w:tc>
          <w:tcPr>
            <w:tcW w:w="3349" w:type="dxa"/>
            <w:gridSpan w:val="2"/>
            <w:tcBorders>
              <w:top w:val="single" w:sz="4" w:space="0" w:color="auto"/>
              <w:bottom w:val="single" w:sz="4" w:space="0" w:color="auto"/>
            </w:tcBorders>
            <w:vAlign w:val="center"/>
          </w:tcPr>
          <w:p w:rsidR="009E260E" w:rsidRPr="005705A7" w:rsidRDefault="009E260E" w:rsidP="00663523">
            <w:pPr>
              <w:pStyle w:val="TableText0"/>
              <w:spacing w:before="0" w:after="0"/>
              <w:jc w:val="center"/>
              <w:rPr>
                <w:rFonts w:ascii="Arial Narrow" w:hAnsi="Arial Narrow"/>
                <w:b/>
              </w:rPr>
            </w:pPr>
            <w:r w:rsidRPr="005705A7">
              <w:rPr>
                <w:rFonts w:ascii="Arial Narrow" w:hAnsi="Arial Narrow"/>
                <w:b/>
              </w:rPr>
              <w:t>Geometric Mean</w:t>
            </w:r>
            <w:r w:rsidRPr="005705A7">
              <w:rPr>
                <w:rFonts w:ascii="Arial Narrow" w:hAnsi="Arial Narrow"/>
                <w:b/>
              </w:rPr>
              <w:br/>
              <w:t>(coefficient of variation %)</w:t>
            </w:r>
          </w:p>
        </w:tc>
        <w:tc>
          <w:tcPr>
            <w:tcW w:w="2705" w:type="dxa"/>
            <w:tcBorders>
              <w:top w:val="single" w:sz="4" w:space="0" w:color="auto"/>
              <w:bottom w:val="single" w:sz="4" w:space="0" w:color="auto"/>
            </w:tcBorders>
            <w:shd w:val="clear" w:color="auto" w:fill="auto"/>
            <w:vAlign w:val="center"/>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b/>
              </w:rPr>
              <w:t>Adjusted Geometric Mean Ratio</w:t>
            </w:r>
            <w:r w:rsidRPr="005705A7">
              <w:rPr>
                <w:rFonts w:ascii="Arial Narrow" w:hAnsi="Arial Narrow"/>
                <w:b/>
              </w:rPr>
              <w:br/>
              <w:t>(90% confidence interval)</w:t>
            </w:r>
          </w:p>
        </w:tc>
      </w:tr>
      <w:tr w:rsidR="009E260E" w:rsidRPr="00D90C4B" w:rsidTr="000215CA">
        <w:trPr>
          <w:trHeight w:val="20"/>
        </w:trPr>
        <w:tc>
          <w:tcPr>
            <w:tcW w:w="2448" w:type="dxa"/>
            <w:tcBorders>
              <w:top w:val="single" w:sz="4" w:space="0" w:color="auto"/>
              <w:bottom w:val="single" w:sz="4" w:space="0" w:color="auto"/>
            </w:tcBorders>
            <w:shd w:val="clear" w:color="auto" w:fill="auto"/>
            <w:vAlign w:val="center"/>
          </w:tcPr>
          <w:p w:rsidR="009E260E" w:rsidRPr="005705A7" w:rsidRDefault="009E260E" w:rsidP="00663523">
            <w:pPr>
              <w:pStyle w:val="TableText0"/>
              <w:spacing w:before="0" w:after="0"/>
              <w:rPr>
                <w:rFonts w:ascii="Arial Narrow" w:hAnsi="Arial Narrow"/>
              </w:rPr>
            </w:pPr>
            <w:r w:rsidRPr="005705A7">
              <w:rPr>
                <w:rFonts w:ascii="Arial Narrow" w:hAnsi="Arial Narrow"/>
              </w:rPr>
              <w:t>C</w:t>
            </w:r>
            <w:r w:rsidRPr="005705A7">
              <w:rPr>
                <w:rFonts w:ascii="Arial Narrow" w:hAnsi="Arial Narrow"/>
                <w:vertAlign w:val="subscript"/>
              </w:rPr>
              <w:t>trough</w:t>
            </w:r>
            <w:r w:rsidRPr="005705A7">
              <w:rPr>
                <w:rFonts w:ascii="Arial Narrow" w:hAnsi="Arial Narrow"/>
              </w:rPr>
              <w:t xml:space="preserve"> (μg/mL) at Cycle 5</w:t>
            </w:r>
          </w:p>
        </w:tc>
        <w:tc>
          <w:tcPr>
            <w:tcW w:w="1674" w:type="dxa"/>
            <w:tcBorders>
              <w:top w:val="single" w:sz="4" w:space="0" w:color="auto"/>
              <w:bottom w:val="single" w:sz="4" w:space="0" w:color="auto"/>
            </w:tcBorders>
            <w:vAlign w:val="center"/>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61.50</w:t>
            </w:r>
            <w:r w:rsidRPr="005705A7">
              <w:rPr>
                <w:rFonts w:ascii="Arial Narrow" w:hAnsi="Arial Narrow"/>
              </w:rPr>
              <w:br/>
              <w:t>(63.9)</w:t>
            </w:r>
            <w:r w:rsidRPr="005705A7">
              <w:rPr>
                <w:rFonts w:ascii="Arial Narrow" w:hAnsi="Arial Narrow"/>
              </w:rPr>
              <w:br/>
              <w:t>(N=69)</w:t>
            </w:r>
          </w:p>
        </w:tc>
        <w:tc>
          <w:tcPr>
            <w:tcW w:w="1675" w:type="dxa"/>
            <w:tcBorders>
              <w:top w:val="single" w:sz="4" w:space="0" w:color="auto"/>
              <w:bottom w:val="single" w:sz="4" w:space="0" w:color="auto"/>
            </w:tcBorders>
            <w:vAlign w:val="center"/>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97.5</w:t>
            </w:r>
            <w:r w:rsidRPr="005705A7">
              <w:rPr>
                <w:rFonts w:ascii="Arial Narrow" w:hAnsi="Arial Narrow"/>
              </w:rPr>
              <w:br/>
              <w:t>(42.6)</w:t>
            </w:r>
            <w:r w:rsidRPr="005705A7">
              <w:rPr>
                <w:rFonts w:ascii="Arial Narrow" w:hAnsi="Arial Narrow"/>
              </w:rPr>
              <w:br/>
              <w:t>(N=65)</w:t>
            </w:r>
          </w:p>
        </w:tc>
        <w:tc>
          <w:tcPr>
            <w:tcW w:w="2705" w:type="dxa"/>
            <w:tcBorders>
              <w:top w:val="single" w:sz="4" w:space="0" w:color="auto"/>
              <w:bottom w:val="single" w:sz="4" w:space="0" w:color="auto"/>
            </w:tcBorders>
            <w:shd w:val="clear" w:color="auto" w:fill="auto"/>
            <w:vAlign w:val="center"/>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1.53</w:t>
            </w:r>
            <w:r w:rsidRPr="005705A7">
              <w:rPr>
                <w:rFonts w:ascii="Arial Narrow" w:hAnsi="Arial Narrow"/>
              </w:rPr>
              <w:br/>
              <w:t>(1.27, 1.83)</w:t>
            </w:r>
          </w:p>
        </w:tc>
      </w:tr>
      <w:tr w:rsidR="009E260E" w:rsidRPr="00D90C4B" w:rsidTr="000215CA">
        <w:trPr>
          <w:trHeight w:val="20"/>
        </w:trPr>
        <w:tc>
          <w:tcPr>
            <w:tcW w:w="2448" w:type="dxa"/>
            <w:tcBorders>
              <w:top w:val="single" w:sz="4" w:space="0" w:color="auto"/>
              <w:bottom w:val="single" w:sz="4" w:space="0" w:color="auto"/>
            </w:tcBorders>
            <w:shd w:val="clear" w:color="auto" w:fill="auto"/>
            <w:vAlign w:val="center"/>
          </w:tcPr>
          <w:p w:rsidR="009E260E" w:rsidRPr="005705A7" w:rsidRDefault="009E260E" w:rsidP="00663523">
            <w:pPr>
              <w:pStyle w:val="TableText0"/>
              <w:spacing w:before="0" w:after="0"/>
              <w:rPr>
                <w:rFonts w:ascii="Arial Narrow" w:hAnsi="Arial Narrow" w:cs="Calibri"/>
              </w:rPr>
            </w:pPr>
            <w:r w:rsidRPr="005705A7">
              <w:rPr>
                <w:rFonts w:ascii="Arial Narrow" w:hAnsi="Arial Narrow"/>
              </w:rPr>
              <w:t>AUC</w:t>
            </w:r>
            <w:r w:rsidRPr="005705A7">
              <w:rPr>
                <w:rFonts w:ascii="Arial" w:hAnsi="Arial" w:cs="Arial"/>
                <w:vertAlign w:val="subscript"/>
              </w:rPr>
              <w:t>Ʈ</w:t>
            </w:r>
            <w:r w:rsidRPr="005705A7">
              <w:rPr>
                <w:rFonts w:ascii="Arial Narrow" w:hAnsi="Arial Narrow" w:cs="Calibri"/>
              </w:rPr>
              <w:t xml:space="preserve"> (</w:t>
            </w:r>
            <w:r w:rsidRPr="005705A7">
              <w:rPr>
                <w:rFonts w:ascii="Arial Narrow" w:hAnsi="Arial Narrow"/>
              </w:rPr>
              <w:t xml:space="preserve">μg • </w:t>
            </w:r>
            <w:r w:rsidRPr="005705A7">
              <w:rPr>
                <w:rFonts w:ascii="Arial Narrow" w:hAnsi="Arial Narrow" w:cs="Calibri"/>
              </w:rPr>
              <w:t>day/mL) at Cycle 6</w:t>
            </w:r>
          </w:p>
        </w:tc>
        <w:tc>
          <w:tcPr>
            <w:tcW w:w="1674" w:type="dxa"/>
            <w:tcBorders>
              <w:top w:val="single" w:sz="4" w:space="0" w:color="auto"/>
              <w:bottom w:val="single" w:sz="4" w:space="0" w:color="auto"/>
            </w:tcBorders>
            <w:vAlign w:val="center"/>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3,630</w:t>
            </w:r>
            <w:r w:rsidRPr="005705A7">
              <w:rPr>
                <w:rFonts w:ascii="Arial Narrow" w:hAnsi="Arial Narrow"/>
              </w:rPr>
              <w:br/>
              <w:t>(32.8)</w:t>
            </w:r>
            <w:r w:rsidRPr="005705A7">
              <w:rPr>
                <w:rFonts w:ascii="Arial Narrow" w:hAnsi="Arial Narrow"/>
              </w:rPr>
              <w:br/>
              <w:t>(N=58)</w:t>
            </w:r>
          </w:p>
        </w:tc>
        <w:tc>
          <w:tcPr>
            <w:tcW w:w="1675" w:type="dxa"/>
            <w:tcBorders>
              <w:top w:val="single" w:sz="4" w:space="0" w:color="auto"/>
              <w:bottom w:val="single" w:sz="4" w:space="0" w:color="auto"/>
            </w:tcBorders>
            <w:vAlign w:val="center"/>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4,088</w:t>
            </w:r>
            <w:r w:rsidRPr="005705A7">
              <w:rPr>
                <w:rFonts w:ascii="Arial Narrow" w:hAnsi="Arial Narrow"/>
              </w:rPr>
              <w:br/>
              <w:t>(34.6)</w:t>
            </w:r>
            <w:r w:rsidRPr="005705A7">
              <w:rPr>
                <w:rFonts w:ascii="Arial Narrow" w:hAnsi="Arial Narrow"/>
              </w:rPr>
              <w:br/>
              <w:t>(N=51)</w:t>
            </w:r>
          </w:p>
        </w:tc>
        <w:tc>
          <w:tcPr>
            <w:tcW w:w="2705" w:type="dxa"/>
            <w:tcBorders>
              <w:top w:val="single" w:sz="4" w:space="0" w:color="auto"/>
              <w:bottom w:val="single" w:sz="4" w:space="0" w:color="auto"/>
            </w:tcBorders>
            <w:shd w:val="clear" w:color="auto" w:fill="auto"/>
            <w:vAlign w:val="center"/>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1.10</w:t>
            </w:r>
            <w:r w:rsidRPr="005705A7">
              <w:rPr>
                <w:rFonts w:ascii="Arial Narrow" w:hAnsi="Arial Narrow"/>
              </w:rPr>
              <w:br/>
              <w:t>(0.98, 1.24)</w:t>
            </w:r>
          </w:p>
        </w:tc>
      </w:tr>
    </w:tbl>
    <w:p w:rsidR="009E260E" w:rsidRDefault="009E260E" w:rsidP="00E71A8A">
      <w:pPr>
        <w:pStyle w:val="tablenotes"/>
        <w:ind w:firstLine="720"/>
        <w:rPr>
          <w:rFonts w:ascii="Arial Narrow" w:hAnsi="Arial Narrow"/>
          <w:sz w:val="18"/>
          <w:szCs w:val="18"/>
        </w:rPr>
      </w:pPr>
      <w:r w:rsidRPr="005838CB">
        <w:rPr>
          <w:rFonts w:ascii="Arial Narrow" w:hAnsi="Arial Narrow"/>
          <w:sz w:val="18"/>
          <w:szCs w:val="18"/>
        </w:rPr>
        <w:t xml:space="preserve">Source: </w:t>
      </w:r>
      <w:r>
        <w:rPr>
          <w:rFonts w:ascii="Arial Narrow" w:hAnsi="Arial Narrow"/>
          <w:sz w:val="18"/>
          <w:szCs w:val="18"/>
        </w:rPr>
        <w:t>page 10 of the Submission</w:t>
      </w:r>
    </w:p>
    <w:p w:rsidR="009E260E" w:rsidRDefault="009E260E" w:rsidP="001070BC">
      <w:pPr>
        <w:pStyle w:val="tablenotes"/>
        <w:ind w:firstLine="720"/>
        <w:rPr>
          <w:rFonts w:ascii="Arial Narrow" w:hAnsi="Arial Narrow"/>
          <w:sz w:val="18"/>
          <w:szCs w:val="18"/>
        </w:rPr>
      </w:pPr>
      <w:r>
        <w:rPr>
          <w:rFonts w:ascii="Arial Narrow" w:hAnsi="Arial Narrow"/>
          <w:sz w:val="18"/>
          <w:szCs w:val="18"/>
        </w:rPr>
        <w:t xml:space="preserve">PK = </w:t>
      </w:r>
      <w:r w:rsidRPr="009E260E">
        <w:rPr>
          <w:rFonts w:ascii="Arial Narrow" w:hAnsi="Arial Narrow"/>
          <w:sz w:val="18"/>
          <w:szCs w:val="18"/>
        </w:rPr>
        <w:t>pharmacokinetic</w:t>
      </w:r>
      <w:r>
        <w:rPr>
          <w:rFonts w:ascii="Arial Narrow" w:hAnsi="Arial Narrow"/>
          <w:sz w:val="18"/>
          <w:szCs w:val="18"/>
        </w:rPr>
        <w:t>; IV = intravenous; SC = subcutaneous</w:t>
      </w:r>
    </w:p>
    <w:p w:rsidR="009E260E" w:rsidRPr="0076420C" w:rsidRDefault="009E260E" w:rsidP="009E260E">
      <w:pPr>
        <w:pStyle w:val="tablenotes"/>
        <w:ind w:firstLine="720"/>
        <w:rPr>
          <w:rFonts w:ascii="Arial Narrow" w:hAnsi="Arial Narrow"/>
          <w:sz w:val="18"/>
          <w:szCs w:val="18"/>
        </w:rPr>
      </w:pPr>
    </w:p>
    <w:p w:rsidR="009E260E" w:rsidRPr="00BC22CD" w:rsidRDefault="009E260E" w:rsidP="009E260E">
      <w:pPr>
        <w:pStyle w:val="ListParagraph"/>
        <w:numPr>
          <w:ilvl w:val="1"/>
          <w:numId w:val="5"/>
        </w:numPr>
        <w:rPr>
          <w:szCs w:val="22"/>
        </w:rPr>
      </w:pPr>
      <w:r>
        <w:rPr>
          <w:szCs w:val="22"/>
        </w:rPr>
        <w:t>T</w:t>
      </w:r>
      <w:r w:rsidRPr="00BC22CD">
        <w:rPr>
          <w:szCs w:val="22"/>
        </w:rPr>
        <w:t>he submission state</w:t>
      </w:r>
      <w:r w:rsidR="00E71A8A" w:rsidRPr="00BC22CD">
        <w:rPr>
          <w:szCs w:val="22"/>
        </w:rPr>
        <w:t>d that</w:t>
      </w:r>
      <w:r w:rsidRPr="00BC22CD">
        <w:rPr>
          <w:szCs w:val="22"/>
        </w:rPr>
        <w:t xml:space="preserve"> </w:t>
      </w:r>
      <w:r w:rsidRPr="00BC22CD">
        <w:t xml:space="preserve">the clinical development program for rituximab SC </w:t>
      </w:r>
      <w:r w:rsidR="00E71A8A" w:rsidRPr="00BC22CD">
        <w:t xml:space="preserve">was </w:t>
      </w:r>
      <w:r w:rsidRPr="00BC22CD">
        <w:t xml:space="preserve">based on the rationale that </w:t>
      </w:r>
      <w:r w:rsidR="00E71A8A" w:rsidRPr="00BC22CD">
        <w:t xml:space="preserve">the </w:t>
      </w:r>
      <w:r w:rsidRPr="00BC22CD">
        <w:t>rituximab C</w:t>
      </w:r>
      <w:r w:rsidRPr="00BC22CD">
        <w:rPr>
          <w:vertAlign w:val="subscript"/>
        </w:rPr>
        <w:t>trough</w:t>
      </w:r>
      <w:r w:rsidRPr="00BC22CD">
        <w:t xml:space="preserve"> and AUC</w:t>
      </w:r>
      <w:r w:rsidRPr="00BC22CD">
        <w:rPr>
          <w:rFonts w:cs="Calibri"/>
          <w:vertAlign w:val="subscript"/>
        </w:rPr>
        <w:t>Ʈ</w:t>
      </w:r>
      <w:r w:rsidRPr="00BC22CD">
        <w:t xml:space="preserve"> </w:t>
      </w:r>
      <w:r w:rsidR="00E71A8A" w:rsidRPr="00BC22CD">
        <w:t>values</w:t>
      </w:r>
      <w:r w:rsidRPr="00BC22CD">
        <w:t xml:space="preserve"> after rituximab SC</w:t>
      </w:r>
      <w:r w:rsidR="00B6088D" w:rsidRPr="00BC22CD">
        <w:t>,</w:t>
      </w:r>
      <w:r w:rsidRPr="00BC22CD">
        <w:t xml:space="preserve"> </w:t>
      </w:r>
      <w:r w:rsidR="00E71A8A" w:rsidRPr="00BC22CD">
        <w:t>were</w:t>
      </w:r>
      <w:r w:rsidRPr="00BC22CD">
        <w:t xml:space="preserve"> at least as high as those after IV administration</w:t>
      </w:r>
      <w:r w:rsidR="00B6088D" w:rsidRPr="00BC22CD">
        <w:t>,</w:t>
      </w:r>
      <w:r w:rsidRPr="00BC22CD">
        <w:t xml:space="preserve"> result</w:t>
      </w:r>
      <w:r w:rsidR="00E71A8A" w:rsidRPr="00BC22CD">
        <w:t>ing</w:t>
      </w:r>
      <w:r w:rsidRPr="00BC22CD">
        <w:t xml:space="preserve"> in a non-inferior degree of target-site saturation</w:t>
      </w:r>
      <w:r w:rsidR="00E71A8A" w:rsidRPr="00BC22CD">
        <w:t xml:space="preserve"> which would</w:t>
      </w:r>
      <w:r w:rsidRPr="00BC22CD">
        <w:t xml:space="preserve"> result in at least the same degree of efficacy</w:t>
      </w:r>
      <w:r w:rsidR="00E71A8A" w:rsidRPr="00BC22CD">
        <w:t xml:space="preserve"> as the IV route</w:t>
      </w:r>
      <w:r w:rsidRPr="00BC22CD">
        <w:rPr>
          <w:szCs w:val="22"/>
        </w:rPr>
        <w:t>.</w:t>
      </w:r>
    </w:p>
    <w:p w:rsidR="001E416F" w:rsidRDefault="001E416F">
      <w:pPr>
        <w:rPr>
          <w:rFonts w:ascii="Arial" w:hAnsi="Arial" w:cs="Arial"/>
          <w:snapToGrid w:val="0"/>
          <w:sz w:val="22"/>
          <w:szCs w:val="22"/>
          <w:lang w:eastAsia="en-US"/>
        </w:rPr>
      </w:pPr>
      <w:r>
        <w:rPr>
          <w:szCs w:val="22"/>
        </w:rPr>
        <w:br w:type="page"/>
      </w:r>
    </w:p>
    <w:p w:rsidR="009E260E" w:rsidRPr="00BC22CD" w:rsidRDefault="009E260E" w:rsidP="009E260E">
      <w:pPr>
        <w:pStyle w:val="ListParagraph"/>
        <w:numPr>
          <w:ilvl w:val="1"/>
          <w:numId w:val="5"/>
        </w:numPr>
        <w:rPr>
          <w:szCs w:val="22"/>
        </w:rPr>
      </w:pPr>
      <w:r w:rsidRPr="00BC22CD">
        <w:rPr>
          <w:szCs w:val="22"/>
        </w:rPr>
        <w:t>Results for the efficacy study are shown in table</w:t>
      </w:r>
      <w:r w:rsidR="00663523" w:rsidRPr="00BC22CD">
        <w:rPr>
          <w:szCs w:val="22"/>
        </w:rPr>
        <w:t>s</w:t>
      </w:r>
      <w:r w:rsidR="004A1713" w:rsidRPr="00BC22CD">
        <w:rPr>
          <w:szCs w:val="22"/>
        </w:rPr>
        <w:t xml:space="preserve"> 3 and 4</w:t>
      </w:r>
      <w:r w:rsidRPr="00BC22CD">
        <w:rPr>
          <w:szCs w:val="22"/>
        </w:rPr>
        <w:t xml:space="preserve"> below.</w:t>
      </w:r>
    </w:p>
    <w:p w:rsidR="009E260E" w:rsidRPr="00BC22CD" w:rsidRDefault="009E260E" w:rsidP="009E260E">
      <w:pPr>
        <w:pStyle w:val="ListParagraph"/>
        <w:rPr>
          <w:szCs w:val="22"/>
        </w:rPr>
      </w:pPr>
    </w:p>
    <w:p w:rsidR="009E260E" w:rsidRPr="009E260E" w:rsidRDefault="00E71A8A" w:rsidP="009E260E">
      <w:pPr>
        <w:pStyle w:val="NoSpacing"/>
        <w:ind w:left="360" w:firstLine="360"/>
        <w:rPr>
          <w:rFonts w:ascii="Arial Narrow" w:hAnsi="Arial Narrow"/>
          <w:b/>
          <w:sz w:val="20"/>
        </w:rPr>
      </w:pPr>
      <w:r>
        <w:rPr>
          <w:rFonts w:ascii="Arial Narrow" w:hAnsi="Arial Narrow"/>
          <w:b/>
          <w:sz w:val="20"/>
        </w:rPr>
        <w:t xml:space="preserve">Table 3. </w:t>
      </w:r>
      <w:r w:rsidR="009E260E">
        <w:rPr>
          <w:rFonts w:ascii="Arial Narrow" w:hAnsi="Arial Narrow"/>
          <w:b/>
          <w:sz w:val="20"/>
        </w:rPr>
        <w:t xml:space="preserve">Summary of </w:t>
      </w:r>
      <w:r w:rsidR="00663523" w:rsidRPr="00663523">
        <w:rPr>
          <w:rFonts w:ascii="Arial Narrow" w:hAnsi="Arial Narrow"/>
          <w:b/>
          <w:sz w:val="20"/>
        </w:rPr>
        <w:t>tumour response at 3 months follow-up (intent-to-treat population)</w:t>
      </w:r>
      <w:r w:rsidR="009E260E">
        <w:rPr>
          <w:rFonts w:ascii="Arial Narrow" w:hAnsi="Arial Narrow"/>
          <w:b/>
          <w:sz w:val="20"/>
        </w:rPr>
        <w:t xml:space="preserve"> - SAWYER</w:t>
      </w:r>
    </w:p>
    <w:tbl>
      <w:tblPr>
        <w:tblW w:w="8402" w:type="dxa"/>
        <w:tblInd w:w="720" w:type="dxa"/>
        <w:tblLayout w:type="fixed"/>
        <w:tblLook w:val="0000" w:firstRow="0" w:lastRow="0" w:firstColumn="0" w:lastColumn="0" w:noHBand="0" w:noVBand="0"/>
      </w:tblPr>
      <w:tblGrid>
        <w:gridCol w:w="3990"/>
        <w:gridCol w:w="2273"/>
        <w:gridCol w:w="2139"/>
      </w:tblGrid>
      <w:tr w:rsidR="009E260E" w:rsidRPr="00725E62" w:rsidTr="000215CA">
        <w:trPr>
          <w:trHeight w:val="22"/>
          <w:tblHeader/>
        </w:trPr>
        <w:tc>
          <w:tcPr>
            <w:tcW w:w="3990" w:type="dxa"/>
            <w:tcBorders>
              <w:top w:val="single" w:sz="4" w:space="0" w:color="auto"/>
              <w:left w:val="single" w:sz="4" w:space="0" w:color="auto"/>
              <w:bottom w:val="single" w:sz="4" w:space="0" w:color="auto"/>
              <w:right w:val="single" w:sz="4" w:space="0" w:color="auto"/>
            </w:tcBorders>
            <w:vAlign w:val="center"/>
          </w:tcPr>
          <w:p w:rsidR="009E260E" w:rsidRPr="005705A7" w:rsidRDefault="009E260E" w:rsidP="00663523">
            <w:pPr>
              <w:pStyle w:val="TableText0"/>
              <w:spacing w:before="0" w:after="0"/>
              <w:rPr>
                <w:rFonts w:ascii="Arial Narrow" w:hAnsi="Arial Narrow"/>
                <w:b/>
              </w:rPr>
            </w:pPr>
            <w:r w:rsidRPr="005705A7">
              <w:rPr>
                <w:rFonts w:ascii="Arial Narrow" w:hAnsi="Arial Narrow"/>
                <w:b/>
              </w:rPr>
              <w:t>Efficacy parameter</w:t>
            </w:r>
          </w:p>
        </w:tc>
        <w:tc>
          <w:tcPr>
            <w:tcW w:w="2273" w:type="dxa"/>
            <w:tcBorders>
              <w:top w:val="single" w:sz="4" w:space="0" w:color="auto"/>
              <w:left w:val="nil"/>
              <w:bottom w:val="single" w:sz="4" w:space="0" w:color="auto"/>
              <w:right w:val="single" w:sz="4" w:space="0" w:color="auto"/>
            </w:tcBorders>
            <w:vAlign w:val="center"/>
          </w:tcPr>
          <w:p w:rsidR="009E260E" w:rsidRPr="005705A7" w:rsidRDefault="009E260E" w:rsidP="00663523">
            <w:pPr>
              <w:pStyle w:val="TableText0"/>
              <w:spacing w:before="0" w:after="0"/>
              <w:jc w:val="center"/>
              <w:rPr>
                <w:rFonts w:ascii="Arial Narrow" w:hAnsi="Arial Narrow"/>
                <w:b/>
                <w:lang w:val="de-CH"/>
              </w:rPr>
            </w:pPr>
            <w:r w:rsidRPr="005705A7">
              <w:rPr>
                <w:rFonts w:ascii="Arial Narrow" w:hAnsi="Arial Narrow"/>
                <w:b/>
                <w:lang w:val="de-CH"/>
              </w:rPr>
              <w:t>Rituximab IV 500</w:t>
            </w:r>
            <w:r w:rsidR="00E71A8A" w:rsidRPr="005705A7">
              <w:rPr>
                <w:rFonts w:ascii="Arial Narrow" w:hAnsi="Arial Narrow"/>
                <w:b/>
                <w:lang w:val="de-CH"/>
              </w:rPr>
              <w:t> </w:t>
            </w:r>
            <w:r w:rsidRPr="005705A7">
              <w:rPr>
                <w:rFonts w:ascii="Arial Narrow" w:hAnsi="Arial Narrow"/>
                <w:b/>
                <w:lang w:val="de-CH"/>
              </w:rPr>
              <w:t>mg/m</w:t>
            </w:r>
            <w:r w:rsidRPr="005705A7">
              <w:rPr>
                <w:rFonts w:ascii="Arial Narrow" w:hAnsi="Arial Narrow"/>
                <w:b/>
                <w:vertAlign w:val="superscript"/>
                <w:lang w:val="de-CH"/>
              </w:rPr>
              <w:t>2</w:t>
            </w:r>
          </w:p>
          <w:p w:rsidR="009E260E" w:rsidRPr="005705A7" w:rsidRDefault="009E260E" w:rsidP="00663523">
            <w:pPr>
              <w:pStyle w:val="TableText0"/>
              <w:spacing w:before="0" w:after="0"/>
              <w:jc w:val="center"/>
              <w:rPr>
                <w:rFonts w:ascii="Arial Narrow" w:hAnsi="Arial Narrow"/>
                <w:b/>
                <w:lang w:val="de-CH"/>
              </w:rPr>
            </w:pPr>
            <w:r w:rsidRPr="005705A7">
              <w:rPr>
                <w:rFonts w:ascii="Arial Narrow" w:hAnsi="Arial Narrow"/>
                <w:b/>
                <w:lang w:val="de-CH"/>
              </w:rPr>
              <w:t>(N=88)</w:t>
            </w:r>
          </w:p>
        </w:tc>
        <w:tc>
          <w:tcPr>
            <w:tcW w:w="2139" w:type="dxa"/>
            <w:tcBorders>
              <w:top w:val="single" w:sz="4" w:space="0" w:color="auto"/>
              <w:left w:val="nil"/>
              <w:bottom w:val="single" w:sz="4" w:space="0" w:color="auto"/>
              <w:right w:val="single" w:sz="4" w:space="0" w:color="auto"/>
            </w:tcBorders>
            <w:vAlign w:val="center"/>
          </w:tcPr>
          <w:p w:rsidR="009E260E" w:rsidRPr="005705A7" w:rsidRDefault="009E260E" w:rsidP="00663523">
            <w:pPr>
              <w:pStyle w:val="TableText0"/>
              <w:spacing w:before="0" w:after="0"/>
              <w:jc w:val="center"/>
              <w:rPr>
                <w:rFonts w:ascii="Arial Narrow" w:hAnsi="Arial Narrow"/>
                <w:b/>
              </w:rPr>
            </w:pPr>
            <w:r w:rsidRPr="005705A7">
              <w:rPr>
                <w:rFonts w:ascii="Arial Narrow" w:hAnsi="Arial Narrow"/>
                <w:b/>
              </w:rPr>
              <w:t>Rituximab SC 1,600</w:t>
            </w:r>
            <w:r w:rsidR="00E71A8A" w:rsidRPr="005705A7">
              <w:rPr>
                <w:rFonts w:ascii="Arial Narrow" w:hAnsi="Arial Narrow"/>
                <w:b/>
              </w:rPr>
              <w:t> </w:t>
            </w:r>
            <w:r w:rsidRPr="005705A7">
              <w:rPr>
                <w:rFonts w:ascii="Arial Narrow" w:hAnsi="Arial Narrow"/>
                <w:b/>
              </w:rPr>
              <w:t>mg</w:t>
            </w:r>
          </w:p>
          <w:p w:rsidR="009E260E" w:rsidRPr="005705A7" w:rsidRDefault="009E260E" w:rsidP="00663523">
            <w:pPr>
              <w:pStyle w:val="TableText0"/>
              <w:spacing w:before="0" w:after="0"/>
              <w:jc w:val="center"/>
              <w:rPr>
                <w:rFonts w:ascii="Arial Narrow" w:hAnsi="Arial Narrow"/>
                <w:b/>
              </w:rPr>
            </w:pPr>
            <w:r w:rsidRPr="005705A7">
              <w:rPr>
                <w:rFonts w:ascii="Arial Narrow" w:hAnsi="Arial Narrow"/>
                <w:b/>
              </w:rPr>
              <w:t>(N=88)</w:t>
            </w:r>
          </w:p>
        </w:tc>
      </w:tr>
      <w:tr w:rsidR="009E260E" w:rsidRPr="00822B83" w:rsidTr="000215CA">
        <w:tblPrEx>
          <w:tblCellMar>
            <w:left w:w="56" w:type="dxa"/>
            <w:right w:w="56" w:type="dxa"/>
          </w:tblCellMar>
        </w:tblPrEx>
        <w:trPr>
          <w:trHeight w:val="22"/>
        </w:trPr>
        <w:tc>
          <w:tcPr>
            <w:tcW w:w="3990" w:type="dxa"/>
            <w:tcBorders>
              <w:top w:val="single" w:sz="4" w:space="0" w:color="auto"/>
              <w:left w:val="single" w:sz="4" w:space="0" w:color="auto"/>
              <w:right w:val="single" w:sz="6" w:space="0" w:color="auto"/>
            </w:tcBorders>
          </w:tcPr>
          <w:p w:rsidR="009E260E" w:rsidRPr="005705A7" w:rsidRDefault="009E260E" w:rsidP="00663523">
            <w:pPr>
              <w:pStyle w:val="TableText0"/>
              <w:spacing w:before="0" w:after="0"/>
              <w:rPr>
                <w:rFonts w:ascii="Arial Narrow" w:hAnsi="Arial Narrow"/>
              </w:rPr>
            </w:pPr>
            <w:r w:rsidRPr="005705A7">
              <w:rPr>
                <w:rFonts w:ascii="Arial Narrow" w:eastAsiaTheme="minorHAnsi" w:hAnsi="Arial Narrow"/>
              </w:rPr>
              <w:t>Overall Response Rate, n (%)</w:t>
            </w:r>
          </w:p>
        </w:tc>
        <w:tc>
          <w:tcPr>
            <w:tcW w:w="2273" w:type="dxa"/>
            <w:tcBorders>
              <w:top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71 (80.7)</w:t>
            </w:r>
          </w:p>
        </w:tc>
        <w:tc>
          <w:tcPr>
            <w:tcW w:w="2139" w:type="dxa"/>
            <w:tcBorders>
              <w:top w:val="single" w:sz="4" w:space="0" w:color="auto"/>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75 (85.2)</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rPr>
                <w:rFonts w:ascii="Arial Narrow" w:hAnsi="Arial Narrow"/>
              </w:rPr>
            </w:pPr>
            <w:r w:rsidRPr="005705A7">
              <w:rPr>
                <w:rFonts w:ascii="Arial Narrow" w:eastAsiaTheme="minorHAnsi" w:hAnsi="Arial Narrow"/>
              </w:rPr>
              <w:t>Non-responders, n (%)</w:t>
            </w:r>
          </w:p>
        </w:tc>
        <w:tc>
          <w:tcPr>
            <w:tcW w:w="2273" w:type="dxa"/>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17 (19.3)</w:t>
            </w:r>
          </w:p>
        </w:tc>
        <w:tc>
          <w:tcPr>
            <w:tcW w:w="2139" w:type="dxa"/>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13 (14.8)</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95% CI for response rates</w:t>
            </w:r>
          </w:p>
        </w:tc>
        <w:tc>
          <w:tcPr>
            <w:tcW w:w="2273" w:type="dxa"/>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(70.9, 88.3)</w:t>
            </w:r>
          </w:p>
        </w:tc>
        <w:tc>
          <w:tcPr>
            <w:tcW w:w="2139" w:type="dxa"/>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(76.1, 91.9)</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Difference in response rates (95% CI)</w:t>
            </w:r>
          </w:p>
        </w:tc>
        <w:tc>
          <w:tcPr>
            <w:tcW w:w="4412" w:type="dxa"/>
            <w:gridSpan w:val="2"/>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4.55 (-7.2, 16.3)</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p-value (Chi-squared test)</w:t>
            </w:r>
          </w:p>
        </w:tc>
        <w:tc>
          <w:tcPr>
            <w:tcW w:w="4412" w:type="dxa"/>
            <w:gridSpan w:val="2"/>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0.4227</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Odds ratio (95% CI)</w:t>
            </w:r>
          </w:p>
        </w:tc>
        <w:tc>
          <w:tcPr>
            <w:tcW w:w="4412" w:type="dxa"/>
            <w:gridSpan w:val="2"/>
            <w:tcBorders>
              <w:bottom w:val="single" w:sz="4" w:space="0" w:color="auto"/>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1.38 (0.63, 3.05)</w:t>
            </w:r>
          </w:p>
        </w:tc>
      </w:tr>
      <w:tr w:rsidR="009E260E" w:rsidRPr="00822B83" w:rsidTr="000215CA">
        <w:tblPrEx>
          <w:tblCellMar>
            <w:left w:w="56" w:type="dxa"/>
            <w:right w:w="56" w:type="dxa"/>
          </w:tblCellMar>
        </w:tblPrEx>
        <w:trPr>
          <w:trHeight w:val="22"/>
        </w:trPr>
        <w:tc>
          <w:tcPr>
            <w:tcW w:w="3990" w:type="dxa"/>
            <w:tcBorders>
              <w:top w:val="single" w:sz="4" w:space="0" w:color="auto"/>
              <w:left w:val="single" w:sz="4" w:space="0" w:color="auto"/>
              <w:right w:val="single" w:sz="6" w:space="0" w:color="auto"/>
            </w:tcBorders>
          </w:tcPr>
          <w:p w:rsidR="009E260E" w:rsidRPr="005705A7" w:rsidRDefault="009E260E" w:rsidP="00663523">
            <w:pPr>
              <w:pStyle w:val="TableText0"/>
              <w:spacing w:before="0" w:after="0"/>
              <w:rPr>
                <w:rFonts w:ascii="Arial Narrow" w:hAnsi="Arial Narrow"/>
              </w:rPr>
            </w:pPr>
            <w:r w:rsidRPr="005705A7">
              <w:rPr>
                <w:rFonts w:ascii="Arial Narrow" w:eastAsiaTheme="minorHAnsi" w:hAnsi="Arial Narrow"/>
              </w:rPr>
              <w:t>Complete response (CR and CRi), n (%)</w:t>
            </w:r>
          </w:p>
        </w:tc>
        <w:tc>
          <w:tcPr>
            <w:tcW w:w="2273" w:type="dxa"/>
            <w:tcBorders>
              <w:top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29 (33.0)</w:t>
            </w:r>
          </w:p>
        </w:tc>
        <w:tc>
          <w:tcPr>
            <w:tcW w:w="2139" w:type="dxa"/>
            <w:tcBorders>
              <w:top w:val="single" w:sz="4" w:space="0" w:color="auto"/>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23 (26.1)</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95% CI for CR and CRi rates</w:t>
            </w:r>
          </w:p>
        </w:tc>
        <w:tc>
          <w:tcPr>
            <w:tcW w:w="2273" w:type="dxa"/>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(23.3, 43.8)</w:t>
            </w:r>
          </w:p>
        </w:tc>
        <w:tc>
          <w:tcPr>
            <w:tcW w:w="2139" w:type="dxa"/>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(17.3, 36.6)</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Difference in CR and CRi rates (95% CI)</w:t>
            </w:r>
          </w:p>
        </w:tc>
        <w:tc>
          <w:tcPr>
            <w:tcW w:w="4412" w:type="dxa"/>
            <w:gridSpan w:val="2"/>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-6.82 (-20.9, 7.3)</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p-value (Chi-squared test)</w:t>
            </w:r>
          </w:p>
        </w:tc>
        <w:tc>
          <w:tcPr>
            <w:tcW w:w="4412" w:type="dxa"/>
            <w:gridSpan w:val="2"/>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0.3216</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Odds ratio (95% CI)</w:t>
            </w:r>
          </w:p>
        </w:tc>
        <w:tc>
          <w:tcPr>
            <w:tcW w:w="4412" w:type="dxa"/>
            <w:gridSpan w:val="2"/>
            <w:tcBorders>
              <w:bottom w:val="single" w:sz="4" w:space="0" w:color="auto"/>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0.72 (0.38, 1.38)</w:t>
            </w:r>
          </w:p>
        </w:tc>
      </w:tr>
      <w:tr w:rsidR="009E260E" w:rsidRPr="00822B83" w:rsidTr="000215CA">
        <w:tblPrEx>
          <w:tblCellMar>
            <w:left w:w="56" w:type="dxa"/>
            <w:right w:w="56" w:type="dxa"/>
          </w:tblCellMar>
        </w:tblPrEx>
        <w:trPr>
          <w:trHeight w:val="22"/>
        </w:trPr>
        <w:tc>
          <w:tcPr>
            <w:tcW w:w="3990" w:type="dxa"/>
            <w:tcBorders>
              <w:top w:val="single" w:sz="4" w:space="0" w:color="auto"/>
              <w:left w:val="single" w:sz="4" w:space="0" w:color="auto"/>
              <w:right w:val="single" w:sz="6" w:space="0" w:color="auto"/>
            </w:tcBorders>
          </w:tcPr>
          <w:p w:rsidR="009E260E" w:rsidRPr="005705A7" w:rsidRDefault="009E260E" w:rsidP="00663523">
            <w:pPr>
              <w:pStyle w:val="TableText0"/>
              <w:spacing w:before="0" w:after="0"/>
              <w:rPr>
                <w:rFonts w:ascii="Arial Narrow" w:hAnsi="Arial Narrow"/>
              </w:rPr>
            </w:pPr>
            <w:r w:rsidRPr="005705A7">
              <w:rPr>
                <w:rFonts w:ascii="Arial Narrow" w:eastAsiaTheme="minorHAnsi" w:hAnsi="Arial Narrow"/>
              </w:rPr>
              <w:t>Partial response (PR), n (%)</w:t>
            </w:r>
          </w:p>
        </w:tc>
        <w:tc>
          <w:tcPr>
            <w:tcW w:w="2273" w:type="dxa"/>
            <w:tcBorders>
              <w:top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42 (47.7)</w:t>
            </w:r>
          </w:p>
        </w:tc>
        <w:tc>
          <w:tcPr>
            <w:tcW w:w="2139" w:type="dxa"/>
            <w:tcBorders>
              <w:top w:val="single" w:sz="4" w:space="0" w:color="auto"/>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52 (59.1)</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95% CI for PR rates</w:t>
            </w:r>
          </w:p>
        </w:tc>
        <w:tc>
          <w:tcPr>
            <w:tcW w:w="2273" w:type="dxa"/>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(37.0, 58.6)</w:t>
            </w:r>
          </w:p>
        </w:tc>
        <w:tc>
          <w:tcPr>
            <w:tcW w:w="2139" w:type="dxa"/>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(48.1, 69.5)</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Difference in PR rates (95% CI)</w:t>
            </w:r>
          </w:p>
        </w:tc>
        <w:tc>
          <w:tcPr>
            <w:tcW w:w="4412" w:type="dxa"/>
            <w:gridSpan w:val="2"/>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11.36 (-3.9, 26.7)</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p-value (Chi-squared test)</w:t>
            </w:r>
          </w:p>
        </w:tc>
        <w:tc>
          <w:tcPr>
            <w:tcW w:w="4412" w:type="dxa"/>
            <w:gridSpan w:val="2"/>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0.1308</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Odds ratio (95% CI)</w:t>
            </w:r>
          </w:p>
        </w:tc>
        <w:tc>
          <w:tcPr>
            <w:tcW w:w="4412" w:type="dxa"/>
            <w:gridSpan w:val="2"/>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eastAsiaTheme="minorHAnsi" w:hAnsi="Arial Narrow"/>
              </w:rPr>
              <w:t>1.58 (0.87, 2.87)</w:t>
            </w:r>
          </w:p>
        </w:tc>
      </w:tr>
      <w:tr w:rsidR="009E260E" w:rsidRPr="00822B83" w:rsidTr="000215CA">
        <w:tblPrEx>
          <w:tblCellMar>
            <w:left w:w="56" w:type="dxa"/>
            <w:right w:w="56" w:type="dxa"/>
          </w:tblCellMar>
        </w:tblPrEx>
        <w:trPr>
          <w:trHeight w:val="22"/>
        </w:trPr>
        <w:tc>
          <w:tcPr>
            <w:tcW w:w="3990" w:type="dxa"/>
            <w:tcBorders>
              <w:top w:val="single" w:sz="4" w:space="0" w:color="auto"/>
              <w:left w:val="single" w:sz="4" w:space="0" w:color="auto"/>
              <w:right w:val="single" w:sz="6" w:space="0" w:color="auto"/>
            </w:tcBorders>
          </w:tcPr>
          <w:p w:rsidR="009E260E" w:rsidRPr="005705A7" w:rsidRDefault="009E260E" w:rsidP="00663523">
            <w:pPr>
              <w:pStyle w:val="TableText0"/>
              <w:spacing w:before="0" w:after="0"/>
              <w:rPr>
                <w:rFonts w:ascii="Arial Narrow" w:hAnsi="Arial Narrow"/>
              </w:rPr>
            </w:pPr>
            <w:r w:rsidRPr="005705A7">
              <w:rPr>
                <w:rFonts w:ascii="Arial Narrow" w:eastAsiaTheme="minorHAnsi" w:hAnsi="Arial Narrow"/>
              </w:rPr>
              <w:t>Stable disease (SD)</w:t>
            </w:r>
          </w:p>
        </w:tc>
        <w:tc>
          <w:tcPr>
            <w:tcW w:w="2273" w:type="dxa"/>
            <w:tcBorders>
              <w:top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1 (1.1)</w:t>
            </w:r>
          </w:p>
        </w:tc>
        <w:tc>
          <w:tcPr>
            <w:tcW w:w="2139" w:type="dxa"/>
            <w:tcBorders>
              <w:top w:val="single" w:sz="4" w:space="0" w:color="auto"/>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0 (0.0)</w:t>
            </w:r>
          </w:p>
        </w:tc>
      </w:tr>
      <w:tr w:rsidR="009E260E" w:rsidRPr="00822B83" w:rsidTr="000215CA">
        <w:tblPrEx>
          <w:tblCellMar>
            <w:left w:w="56" w:type="dxa"/>
            <w:right w:w="56" w:type="dxa"/>
          </w:tblCellMar>
        </w:tblPrEx>
        <w:trPr>
          <w:trHeight w:val="22"/>
        </w:trPr>
        <w:tc>
          <w:tcPr>
            <w:tcW w:w="3990" w:type="dxa"/>
            <w:tcBorders>
              <w:left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95% CI for SD rates</w:t>
            </w:r>
          </w:p>
        </w:tc>
        <w:tc>
          <w:tcPr>
            <w:tcW w:w="2273" w:type="dxa"/>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(0.0, 6.2)</w:t>
            </w:r>
          </w:p>
        </w:tc>
        <w:tc>
          <w:tcPr>
            <w:tcW w:w="2139" w:type="dxa"/>
            <w:tcBorders>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(0.0, 4.1)</w:t>
            </w:r>
          </w:p>
        </w:tc>
      </w:tr>
      <w:tr w:rsidR="009E260E" w:rsidRPr="00822B83" w:rsidTr="000215CA">
        <w:tblPrEx>
          <w:tblCellMar>
            <w:left w:w="56" w:type="dxa"/>
            <w:right w:w="56" w:type="dxa"/>
          </w:tblCellMar>
        </w:tblPrEx>
        <w:trPr>
          <w:trHeight w:val="22"/>
        </w:trPr>
        <w:tc>
          <w:tcPr>
            <w:tcW w:w="3990" w:type="dxa"/>
            <w:tcBorders>
              <w:top w:val="single" w:sz="4" w:space="0" w:color="auto"/>
              <w:left w:val="single" w:sz="4" w:space="0" w:color="auto"/>
              <w:right w:val="single" w:sz="6" w:space="0" w:color="auto"/>
            </w:tcBorders>
          </w:tcPr>
          <w:p w:rsidR="009E260E" w:rsidRPr="005705A7" w:rsidRDefault="009E260E" w:rsidP="00663523">
            <w:pPr>
              <w:pStyle w:val="TableText0"/>
              <w:spacing w:before="0" w:after="0"/>
              <w:rPr>
                <w:rFonts w:ascii="Arial Narrow" w:hAnsi="Arial Narrow"/>
              </w:rPr>
            </w:pPr>
            <w:r w:rsidRPr="005705A7">
              <w:rPr>
                <w:rFonts w:ascii="Arial Narrow" w:eastAsiaTheme="minorHAnsi" w:hAnsi="Arial Narrow"/>
              </w:rPr>
              <w:t>Progressive disease (PD)</w:t>
            </w:r>
          </w:p>
        </w:tc>
        <w:tc>
          <w:tcPr>
            <w:tcW w:w="2273" w:type="dxa"/>
            <w:tcBorders>
              <w:top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2 (2.3)</w:t>
            </w:r>
          </w:p>
        </w:tc>
        <w:tc>
          <w:tcPr>
            <w:tcW w:w="2139" w:type="dxa"/>
            <w:tcBorders>
              <w:top w:val="single" w:sz="4" w:space="0" w:color="auto"/>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2 (2.3)</w:t>
            </w:r>
          </w:p>
        </w:tc>
      </w:tr>
      <w:tr w:rsidR="009E260E" w:rsidRPr="00822B83" w:rsidTr="000215CA">
        <w:tblPrEx>
          <w:tblCellMar>
            <w:left w:w="56" w:type="dxa"/>
            <w:right w:w="56" w:type="dxa"/>
          </w:tblCellMar>
        </w:tblPrEx>
        <w:trPr>
          <w:trHeight w:val="22"/>
        </w:trPr>
        <w:tc>
          <w:tcPr>
            <w:tcW w:w="3990" w:type="dxa"/>
            <w:tcBorders>
              <w:left w:val="single" w:sz="4" w:space="0" w:color="auto"/>
              <w:bottom w:val="single" w:sz="4" w:space="0" w:color="auto"/>
              <w:right w:val="single" w:sz="6" w:space="0" w:color="auto"/>
            </w:tcBorders>
          </w:tcPr>
          <w:p w:rsidR="009E260E" w:rsidRPr="005705A7" w:rsidRDefault="009E260E" w:rsidP="00663523">
            <w:pPr>
              <w:pStyle w:val="TableText0"/>
              <w:spacing w:before="0" w:after="0"/>
              <w:ind w:left="274"/>
              <w:rPr>
                <w:rFonts w:ascii="Arial Narrow" w:hAnsi="Arial Narrow"/>
              </w:rPr>
            </w:pPr>
            <w:r w:rsidRPr="005705A7">
              <w:rPr>
                <w:rFonts w:ascii="Arial Narrow" w:eastAsiaTheme="minorHAnsi" w:hAnsi="Arial Narrow"/>
              </w:rPr>
              <w:t>95% CI for PD rates</w:t>
            </w:r>
          </w:p>
        </w:tc>
        <w:tc>
          <w:tcPr>
            <w:tcW w:w="2273" w:type="dxa"/>
            <w:tcBorders>
              <w:bottom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(0.3, 8.0)</w:t>
            </w:r>
          </w:p>
        </w:tc>
        <w:tc>
          <w:tcPr>
            <w:tcW w:w="2139" w:type="dxa"/>
            <w:tcBorders>
              <w:bottom w:val="single" w:sz="4" w:space="0" w:color="auto"/>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(0.3, 0.8)</w:t>
            </w:r>
          </w:p>
        </w:tc>
      </w:tr>
      <w:tr w:rsidR="009E260E" w:rsidRPr="00822B83" w:rsidTr="000215CA">
        <w:tblPrEx>
          <w:tblCellMar>
            <w:left w:w="56" w:type="dxa"/>
            <w:right w:w="56" w:type="dxa"/>
          </w:tblCellMar>
        </w:tblPrEx>
        <w:trPr>
          <w:trHeight w:val="22"/>
        </w:trPr>
        <w:tc>
          <w:tcPr>
            <w:tcW w:w="3990" w:type="dxa"/>
            <w:tcBorders>
              <w:top w:val="single" w:sz="4" w:space="0" w:color="auto"/>
              <w:left w:val="single" w:sz="4" w:space="0" w:color="auto"/>
              <w:bottom w:val="single" w:sz="4" w:space="0" w:color="auto"/>
              <w:right w:val="single" w:sz="6" w:space="0" w:color="auto"/>
            </w:tcBorders>
          </w:tcPr>
          <w:p w:rsidR="009E260E" w:rsidRPr="005705A7" w:rsidRDefault="009E260E" w:rsidP="00663523">
            <w:pPr>
              <w:pStyle w:val="TableText0"/>
              <w:spacing w:before="0" w:after="0"/>
              <w:rPr>
                <w:rFonts w:ascii="Arial Narrow" w:hAnsi="Arial Narrow"/>
              </w:rPr>
            </w:pPr>
            <w:r w:rsidRPr="005705A7">
              <w:rPr>
                <w:rFonts w:ascii="Arial Narrow" w:eastAsiaTheme="minorHAnsi" w:hAnsi="Arial Narrow"/>
              </w:rPr>
              <w:t>Not evaluated/missing</w:t>
            </w:r>
          </w:p>
        </w:tc>
        <w:tc>
          <w:tcPr>
            <w:tcW w:w="2273" w:type="dxa"/>
            <w:tcBorders>
              <w:top w:val="single" w:sz="4" w:space="0" w:color="auto"/>
              <w:bottom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14 (15.9%)</w:t>
            </w:r>
          </w:p>
        </w:tc>
        <w:tc>
          <w:tcPr>
            <w:tcW w:w="2139" w:type="dxa"/>
            <w:tcBorders>
              <w:top w:val="single" w:sz="4" w:space="0" w:color="auto"/>
              <w:bottom w:val="single" w:sz="4" w:space="0" w:color="auto"/>
              <w:right w:val="single" w:sz="4" w:space="0" w:color="auto"/>
            </w:tcBorders>
          </w:tcPr>
          <w:p w:rsidR="009E260E" w:rsidRPr="005705A7" w:rsidRDefault="009E260E" w:rsidP="00663523">
            <w:pPr>
              <w:pStyle w:val="TableText0"/>
              <w:spacing w:before="0" w:after="0"/>
              <w:jc w:val="center"/>
              <w:rPr>
                <w:rFonts w:ascii="Arial Narrow" w:hAnsi="Arial Narrow"/>
              </w:rPr>
            </w:pPr>
            <w:r w:rsidRPr="005705A7">
              <w:rPr>
                <w:rFonts w:ascii="Arial Narrow" w:hAnsi="Arial Narrow"/>
              </w:rPr>
              <w:t>11 (12.5%)</w:t>
            </w:r>
          </w:p>
        </w:tc>
      </w:tr>
    </w:tbl>
    <w:p w:rsidR="009E260E" w:rsidRDefault="009E260E" w:rsidP="009E260E">
      <w:pPr>
        <w:pStyle w:val="tablenotes"/>
        <w:ind w:firstLine="720"/>
        <w:rPr>
          <w:rFonts w:ascii="Arial Narrow" w:hAnsi="Arial Narrow"/>
          <w:sz w:val="18"/>
          <w:szCs w:val="18"/>
        </w:rPr>
      </w:pPr>
      <w:r w:rsidRPr="005838CB">
        <w:rPr>
          <w:rFonts w:ascii="Arial Narrow" w:hAnsi="Arial Narrow"/>
          <w:sz w:val="18"/>
          <w:szCs w:val="18"/>
        </w:rPr>
        <w:t xml:space="preserve">Source: </w:t>
      </w:r>
      <w:r>
        <w:rPr>
          <w:rFonts w:ascii="Arial Narrow" w:hAnsi="Arial Narrow"/>
          <w:sz w:val="18"/>
          <w:szCs w:val="18"/>
        </w:rPr>
        <w:t>page 10-11 of the Submission</w:t>
      </w:r>
    </w:p>
    <w:p w:rsidR="009E260E" w:rsidRDefault="009E260E" w:rsidP="00663523">
      <w:pPr>
        <w:pStyle w:val="tablenotes"/>
        <w:ind w:left="709"/>
        <w:rPr>
          <w:rFonts w:ascii="Arial Narrow" w:hAnsi="Arial Narrow"/>
          <w:sz w:val="18"/>
          <w:szCs w:val="18"/>
        </w:rPr>
      </w:pPr>
      <w:r>
        <w:rPr>
          <w:rFonts w:ascii="Arial Narrow" w:hAnsi="Arial Narrow"/>
          <w:sz w:val="18"/>
          <w:szCs w:val="18"/>
        </w:rPr>
        <w:t xml:space="preserve">IV = intravenous; SC = subcutaneous; CI = confidence interval; CR = </w:t>
      </w:r>
      <w:r w:rsidR="00663523">
        <w:rPr>
          <w:rFonts w:ascii="Arial Narrow" w:hAnsi="Arial Narrow"/>
          <w:sz w:val="18"/>
          <w:szCs w:val="18"/>
        </w:rPr>
        <w:t>complete response; Cri = Complete Response with incomplete bone marrow recovery; PR = partial response</w:t>
      </w:r>
    </w:p>
    <w:p w:rsidR="00663523" w:rsidRPr="00663523" w:rsidRDefault="00663523" w:rsidP="00663523">
      <w:pPr>
        <w:rPr>
          <w:szCs w:val="22"/>
        </w:rPr>
      </w:pPr>
    </w:p>
    <w:p w:rsidR="00663523" w:rsidRDefault="00663523" w:rsidP="00663523">
      <w:pPr>
        <w:pStyle w:val="ListParagraph"/>
        <w:numPr>
          <w:ilvl w:val="1"/>
          <w:numId w:val="5"/>
        </w:numPr>
        <w:rPr>
          <w:szCs w:val="22"/>
        </w:rPr>
      </w:pPr>
      <w:r>
        <w:rPr>
          <w:szCs w:val="22"/>
        </w:rPr>
        <w:t>The submission state</w:t>
      </w:r>
      <w:r w:rsidR="00E71A8A">
        <w:rPr>
          <w:szCs w:val="22"/>
        </w:rPr>
        <w:t>d</w:t>
      </w:r>
      <w:r>
        <w:rPr>
          <w:szCs w:val="22"/>
        </w:rPr>
        <w:t xml:space="preserve"> that</w:t>
      </w:r>
      <w:r w:rsidR="00E71A8A">
        <w:rPr>
          <w:szCs w:val="22"/>
        </w:rPr>
        <w:t xml:space="preserve"> the</w:t>
      </w:r>
      <w:r>
        <w:rPr>
          <w:szCs w:val="22"/>
        </w:rPr>
        <w:t xml:space="preserve"> e</w:t>
      </w:r>
      <w:r>
        <w:t>fficacy results show</w:t>
      </w:r>
      <w:r w:rsidR="00E71A8A">
        <w:t>ed</w:t>
      </w:r>
      <w:r>
        <w:t xml:space="preserve"> that investigator-assessed Overall Response Rates at three months follow-up, </w:t>
      </w:r>
      <w:r w:rsidR="00E71A8A">
        <w:t xml:space="preserve">were </w:t>
      </w:r>
      <w:r>
        <w:t xml:space="preserve">similar in the rituximab SC (85.2%) and IV (80.7%) arms, thereby demonstrating comparable efficacy results for both the rituximab SC and IV formulations. </w:t>
      </w:r>
    </w:p>
    <w:p w:rsidR="00663523" w:rsidRPr="00663523" w:rsidRDefault="00663523" w:rsidP="00663523">
      <w:pPr>
        <w:pStyle w:val="ListParagraph"/>
        <w:rPr>
          <w:szCs w:val="22"/>
        </w:rPr>
      </w:pPr>
    </w:p>
    <w:p w:rsidR="00663523" w:rsidRPr="00663523" w:rsidRDefault="004A1713" w:rsidP="00663523">
      <w:pPr>
        <w:pStyle w:val="NoSpacing"/>
        <w:ind w:left="360" w:firstLine="360"/>
        <w:rPr>
          <w:rFonts w:ascii="Arial Narrow" w:hAnsi="Arial Narrow"/>
          <w:b/>
          <w:sz w:val="20"/>
        </w:rPr>
      </w:pPr>
      <w:r>
        <w:rPr>
          <w:rFonts w:ascii="Arial Narrow" w:hAnsi="Arial Narrow"/>
          <w:b/>
          <w:sz w:val="20"/>
        </w:rPr>
        <w:t xml:space="preserve">Table 4. </w:t>
      </w:r>
      <w:r w:rsidR="00663523">
        <w:rPr>
          <w:rFonts w:ascii="Arial Narrow" w:hAnsi="Arial Narrow"/>
          <w:b/>
          <w:sz w:val="20"/>
        </w:rPr>
        <w:t>Overview</w:t>
      </w:r>
      <w:r w:rsidR="00663523" w:rsidRPr="00663523">
        <w:rPr>
          <w:rFonts w:ascii="Arial Narrow" w:hAnsi="Arial Narrow"/>
          <w:b/>
          <w:sz w:val="20"/>
        </w:rPr>
        <w:t xml:space="preserve"> of</w:t>
      </w:r>
      <w:r w:rsidR="00663523">
        <w:rPr>
          <w:rFonts w:ascii="Arial Narrow" w:hAnsi="Arial Narrow"/>
          <w:b/>
          <w:sz w:val="20"/>
        </w:rPr>
        <w:t xml:space="preserve"> Time-To-Event Endpoints (intent-to-treat population)</w:t>
      </w:r>
      <w:r w:rsidR="00663523" w:rsidRPr="00663523">
        <w:rPr>
          <w:rFonts w:ascii="Arial Narrow" w:hAnsi="Arial Narrow"/>
          <w:b/>
          <w:sz w:val="20"/>
        </w:rPr>
        <w:t xml:space="preserve"> - SAWYER</w:t>
      </w:r>
    </w:p>
    <w:tbl>
      <w:tblPr>
        <w:tblW w:w="8465" w:type="dxa"/>
        <w:tblInd w:w="720" w:type="dxa"/>
        <w:tblLayout w:type="fixed"/>
        <w:tblLook w:val="0000" w:firstRow="0" w:lastRow="0" w:firstColumn="0" w:lastColumn="0" w:noHBand="0" w:noVBand="0"/>
      </w:tblPr>
      <w:tblGrid>
        <w:gridCol w:w="4020"/>
        <w:gridCol w:w="2222"/>
        <w:gridCol w:w="68"/>
        <w:gridCol w:w="2155"/>
      </w:tblGrid>
      <w:tr w:rsidR="00663523" w:rsidRPr="00725E62" w:rsidTr="000215CA">
        <w:trPr>
          <w:trHeight w:val="21"/>
          <w:tblHeader/>
        </w:trPr>
        <w:tc>
          <w:tcPr>
            <w:tcW w:w="4020" w:type="dxa"/>
            <w:tcBorders>
              <w:top w:val="single" w:sz="4" w:space="0" w:color="auto"/>
              <w:left w:val="single" w:sz="4" w:space="0" w:color="auto"/>
              <w:bottom w:val="single" w:sz="4" w:space="0" w:color="auto"/>
              <w:right w:val="single" w:sz="4" w:space="0" w:color="auto"/>
            </w:tcBorders>
            <w:vAlign w:val="center"/>
          </w:tcPr>
          <w:p w:rsidR="00663523" w:rsidRPr="005705A7" w:rsidRDefault="00663523" w:rsidP="00663523">
            <w:pPr>
              <w:pStyle w:val="TableText0"/>
              <w:spacing w:before="0" w:after="0"/>
              <w:rPr>
                <w:rFonts w:ascii="Arial Narrow" w:hAnsi="Arial Narrow"/>
                <w:b/>
              </w:rPr>
            </w:pPr>
            <w:r w:rsidRPr="005705A7">
              <w:rPr>
                <w:rFonts w:ascii="Arial Narrow" w:hAnsi="Arial Narrow"/>
                <w:b/>
              </w:rPr>
              <w:t>Efficacy parameter</w:t>
            </w:r>
          </w:p>
        </w:tc>
        <w:tc>
          <w:tcPr>
            <w:tcW w:w="2290" w:type="dxa"/>
            <w:gridSpan w:val="2"/>
            <w:tcBorders>
              <w:top w:val="single" w:sz="4" w:space="0" w:color="auto"/>
              <w:left w:val="nil"/>
              <w:bottom w:val="single" w:sz="4" w:space="0" w:color="auto"/>
              <w:right w:val="single" w:sz="4" w:space="0" w:color="auto"/>
            </w:tcBorders>
            <w:vAlign w:val="center"/>
          </w:tcPr>
          <w:p w:rsidR="00663523" w:rsidRPr="005705A7" w:rsidRDefault="00663523" w:rsidP="00663523">
            <w:pPr>
              <w:pStyle w:val="TableText0"/>
              <w:spacing w:before="0" w:after="0"/>
              <w:jc w:val="center"/>
              <w:rPr>
                <w:rFonts w:ascii="Arial Narrow" w:hAnsi="Arial Narrow"/>
                <w:b/>
                <w:lang w:val="de-CH"/>
              </w:rPr>
            </w:pPr>
            <w:r w:rsidRPr="005705A7">
              <w:rPr>
                <w:rFonts w:ascii="Arial Narrow" w:hAnsi="Arial Narrow"/>
                <w:b/>
                <w:lang w:val="de-CH"/>
              </w:rPr>
              <w:t>Rituximab IV 500</w:t>
            </w:r>
            <w:r w:rsidR="004A1713" w:rsidRPr="005705A7">
              <w:rPr>
                <w:rFonts w:ascii="Arial Narrow" w:hAnsi="Arial Narrow"/>
                <w:b/>
                <w:lang w:val="de-CH"/>
              </w:rPr>
              <w:t> </w:t>
            </w:r>
            <w:r w:rsidRPr="005705A7">
              <w:rPr>
                <w:rFonts w:ascii="Arial Narrow" w:hAnsi="Arial Narrow"/>
                <w:b/>
                <w:lang w:val="de-CH"/>
              </w:rPr>
              <w:t>mg/m</w:t>
            </w:r>
            <w:r w:rsidRPr="005705A7">
              <w:rPr>
                <w:rFonts w:ascii="Arial Narrow" w:hAnsi="Arial Narrow"/>
                <w:b/>
                <w:vertAlign w:val="superscript"/>
                <w:lang w:val="de-CH"/>
              </w:rPr>
              <w:t>2</w:t>
            </w:r>
          </w:p>
          <w:p w:rsidR="00663523" w:rsidRPr="005705A7" w:rsidRDefault="00663523" w:rsidP="00663523">
            <w:pPr>
              <w:pStyle w:val="TableText0"/>
              <w:spacing w:before="0" w:after="0"/>
              <w:jc w:val="center"/>
              <w:rPr>
                <w:rFonts w:ascii="Arial Narrow" w:hAnsi="Arial Narrow"/>
                <w:b/>
                <w:lang w:val="de-CH"/>
              </w:rPr>
            </w:pPr>
            <w:r w:rsidRPr="005705A7">
              <w:rPr>
                <w:rFonts w:ascii="Arial Narrow" w:hAnsi="Arial Narrow"/>
                <w:b/>
                <w:lang w:val="de-CH"/>
              </w:rPr>
              <w:t>(N=88)</w:t>
            </w:r>
          </w:p>
        </w:tc>
        <w:tc>
          <w:tcPr>
            <w:tcW w:w="2155" w:type="dxa"/>
            <w:tcBorders>
              <w:top w:val="single" w:sz="4" w:space="0" w:color="auto"/>
              <w:left w:val="nil"/>
              <w:bottom w:val="single" w:sz="4" w:space="0" w:color="auto"/>
              <w:right w:val="single" w:sz="4" w:space="0" w:color="auto"/>
            </w:tcBorders>
            <w:vAlign w:val="center"/>
          </w:tcPr>
          <w:p w:rsidR="00663523" w:rsidRPr="005705A7" w:rsidRDefault="00663523" w:rsidP="00663523">
            <w:pPr>
              <w:pStyle w:val="TableText0"/>
              <w:spacing w:before="0" w:after="0"/>
              <w:jc w:val="center"/>
              <w:rPr>
                <w:rFonts w:ascii="Arial Narrow" w:hAnsi="Arial Narrow"/>
                <w:b/>
              </w:rPr>
            </w:pPr>
            <w:r w:rsidRPr="005705A7">
              <w:rPr>
                <w:rFonts w:ascii="Arial Narrow" w:hAnsi="Arial Narrow"/>
                <w:b/>
              </w:rPr>
              <w:t>Rituximab SC 1,600</w:t>
            </w:r>
            <w:r w:rsidR="004A1713" w:rsidRPr="005705A7">
              <w:rPr>
                <w:rFonts w:ascii="Arial Narrow" w:hAnsi="Arial Narrow"/>
                <w:b/>
              </w:rPr>
              <w:t> </w:t>
            </w:r>
            <w:r w:rsidRPr="005705A7">
              <w:rPr>
                <w:rFonts w:ascii="Arial Narrow" w:hAnsi="Arial Narrow"/>
                <w:b/>
              </w:rPr>
              <w:t>mg</w:t>
            </w:r>
          </w:p>
          <w:p w:rsidR="00663523" w:rsidRPr="005705A7" w:rsidRDefault="00663523" w:rsidP="00663523">
            <w:pPr>
              <w:pStyle w:val="TableText0"/>
              <w:spacing w:before="0" w:after="0"/>
              <w:jc w:val="center"/>
              <w:rPr>
                <w:rFonts w:ascii="Arial Narrow" w:hAnsi="Arial Narrow"/>
                <w:b/>
              </w:rPr>
            </w:pPr>
            <w:r w:rsidRPr="005705A7">
              <w:rPr>
                <w:rFonts w:ascii="Arial Narrow" w:hAnsi="Arial Narrow"/>
                <w:b/>
              </w:rPr>
              <w:t>(N=88)</w:t>
            </w:r>
          </w:p>
        </w:tc>
      </w:tr>
      <w:tr w:rsidR="00663523" w:rsidRPr="00822B83" w:rsidTr="000215CA">
        <w:tblPrEx>
          <w:tblCellMar>
            <w:left w:w="56" w:type="dxa"/>
            <w:right w:w="56" w:type="dxa"/>
          </w:tblCellMar>
        </w:tblPrEx>
        <w:trPr>
          <w:trHeight w:val="21"/>
        </w:trPr>
        <w:tc>
          <w:tcPr>
            <w:tcW w:w="4020" w:type="dxa"/>
            <w:tcBorders>
              <w:top w:val="single" w:sz="4" w:space="0" w:color="auto"/>
              <w:left w:val="single" w:sz="4" w:space="0" w:color="auto"/>
              <w:right w:val="single" w:sz="6" w:space="0" w:color="auto"/>
            </w:tcBorders>
          </w:tcPr>
          <w:p w:rsidR="00663523" w:rsidRPr="005705A7" w:rsidRDefault="00663523" w:rsidP="00663523">
            <w:pPr>
              <w:pStyle w:val="TableText0"/>
              <w:spacing w:before="0" w:after="0"/>
              <w:rPr>
                <w:rFonts w:ascii="Arial Narrow" w:hAnsi="Arial Narrow"/>
              </w:rPr>
            </w:pPr>
            <w:r w:rsidRPr="005705A7">
              <w:rPr>
                <w:rFonts w:ascii="Arial Narrow" w:eastAsiaTheme="minorHAnsi" w:hAnsi="Arial Narrow"/>
              </w:rPr>
              <w:t>Progression-Free Survival</w:t>
            </w:r>
          </w:p>
        </w:tc>
        <w:tc>
          <w:tcPr>
            <w:tcW w:w="2290" w:type="dxa"/>
            <w:gridSpan w:val="2"/>
            <w:tcBorders>
              <w:top w:val="single" w:sz="4" w:space="0" w:color="auto"/>
            </w:tcBorders>
          </w:tcPr>
          <w:p w:rsidR="00663523" w:rsidRPr="005705A7" w:rsidRDefault="00663523" w:rsidP="00663523">
            <w:pPr>
              <w:pStyle w:val="TableText0"/>
              <w:spacing w:before="0" w:after="0"/>
              <w:jc w:val="center"/>
              <w:rPr>
                <w:rFonts w:ascii="Arial Narrow" w:hAnsi="Arial Narrow"/>
              </w:rPr>
            </w:pPr>
          </w:p>
        </w:tc>
        <w:tc>
          <w:tcPr>
            <w:tcW w:w="2155" w:type="dxa"/>
            <w:tcBorders>
              <w:top w:val="single" w:sz="4" w:space="0" w:color="auto"/>
              <w:right w:val="single" w:sz="4" w:space="0" w:color="auto"/>
            </w:tcBorders>
          </w:tcPr>
          <w:p w:rsidR="00663523" w:rsidRPr="005705A7" w:rsidRDefault="00663523" w:rsidP="00663523">
            <w:pPr>
              <w:pStyle w:val="TableText0"/>
              <w:spacing w:before="0" w:after="0"/>
              <w:jc w:val="center"/>
              <w:rPr>
                <w:rFonts w:ascii="Arial Narrow" w:hAnsi="Arial Narrow"/>
              </w:rPr>
            </w:pPr>
          </w:p>
        </w:tc>
      </w:tr>
      <w:tr w:rsidR="00663523" w:rsidRPr="00822B83" w:rsidTr="000215CA">
        <w:tblPrEx>
          <w:tblCellMar>
            <w:left w:w="56" w:type="dxa"/>
            <w:right w:w="56" w:type="dxa"/>
          </w:tblCellMar>
        </w:tblPrEx>
        <w:trPr>
          <w:trHeight w:val="21"/>
        </w:trPr>
        <w:tc>
          <w:tcPr>
            <w:tcW w:w="4020" w:type="dxa"/>
            <w:tcBorders>
              <w:left w:val="single" w:sz="4" w:space="0" w:color="auto"/>
              <w:right w:val="single" w:sz="6" w:space="0" w:color="auto"/>
            </w:tcBorders>
          </w:tcPr>
          <w:p w:rsidR="00663523" w:rsidRPr="005705A7" w:rsidRDefault="00663523" w:rsidP="00663523">
            <w:pPr>
              <w:pStyle w:val="TableText0"/>
              <w:spacing w:before="0" w:after="0"/>
              <w:rPr>
                <w:rFonts w:ascii="Arial Narrow" w:eastAsiaTheme="minorHAnsi" w:hAnsi="Arial Narrow"/>
              </w:rPr>
            </w:pPr>
            <w:r w:rsidRPr="005705A7">
              <w:rPr>
                <w:rFonts w:ascii="Arial Narrow" w:eastAsiaTheme="minorHAnsi" w:hAnsi="Arial Narrow"/>
              </w:rPr>
              <w:t>Patients with Event, n (%)</w:t>
            </w:r>
          </w:p>
        </w:tc>
        <w:tc>
          <w:tcPr>
            <w:tcW w:w="2290" w:type="dxa"/>
            <w:gridSpan w:val="2"/>
          </w:tcPr>
          <w:p w:rsidR="00663523" w:rsidRPr="005705A7" w:rsidRDefault="00663523" w:rsidP="00663523">
            <w:pPr>
              <w:pStyle w:val="TableText0"/>
              <w:spacing w:before="0" w:after="0"/>
              <w:jc w:val="center"/>
              <w:rPr>
                <w:rFonts w:ascii="Arial Narrow" w:hAnsi="Arial Narrow"/>
              </w:rPr>
            </w:pPr>
            <w:r w:rsidRPr="005705A7">
              <w:rPr>
                <w:rFonts w:ascii="Arial Narrow" w:eastAsiaTheme="minorHAnsi" w:hAnsi="Arial Narrow"/>
              </w:rPr>
              <w:t>23 (26.1%)</w:t>
            </w:r>
          </w:p>
        </w:tc>
        <w:tc>
          <w:tcPr>
            <w:tcW w:w="2155" w:type="dxa"/>
            <w:tcBorders>
              <w:right w:val="single" w:sz="4" w:space="0" w:color="auto"/>
            </w:tcBorders>
          </w:tcPr>
          <w:p w:rsidR="00663523" w:rsidRPr="005705A7" w:rsidRDefault="00663523" w:rsidP="00663523">
            <w:pPr>
              <w:pStyle w:val="TableText0"/>
              <w:spacing w:before="0" w:after="0"/>
              <w:jc w:val="center"/>
              <w:rPr>
                <w:rFonts w:ascii="Arial Narrow" w:hAnsi="Arial Narrow"/>
              </w:rPr>
            </w:pPr>
            <w:r w:rsidRPr="005705A7">
              <w:rPr>
                <w:rFonts w:ascii="Arial Narrow" w:eastAsiaTheme="minorHAnsi" w:hAnsi="Arial Narrow"/>
              </w:rPr>
              <w:t>19 (21.6%)</w:t>
            </w:r>
          </w:p>
        </w:tc>
      </w:tr>
      <w:tr w:rsidR="00663523" w:rsidRPr="00822B83" w:rsidTr="000215CA">
        <w:tblPrEx>
          <w:tblCellMar>
            <w:left w:w="56" w:type="dxa"/>
            <w:right w:w="56" w:type="dxa"/>
          </w:tblCellMar>
        </w:tblPrEx>
        <w:trPr>
          <w:trHeight w:val="21"/>
        </w:trPr>
        <w:tc>
          <w:tcPr>
            <w:tcW w:w="4020" w:type="dxa"/>
            <w:tcBorders>
              <w:left w:val="single" w:sz="4" w:space="0" w:color="auto"/>
              <w:right w:val="single" w:sz="6" w:space="0" w:color="auto"/>
            </w:tcBorders>
          </w:tcPr>
          <w:p w:rsidR="00663523" w:rsidRPr="005705A7" w:rsidRDefault="00663523" w:rsidP="00663523">
            <w:pPr>
              <w:pStyle w:val="TableText0"/>
              <w:spacing w:before="0" w:after="0"/>
              <w:ind w:left="274"/>
              <w:rPr>
                <w:rFonts w:ascii="Arial Narrow" w:hAnsi="Arial Narrow"/>
              </w:rPr>
            </w:pPr>
            <w:r w:rsidRPr="005705A7">
              <w:rPr>
                <w:rFonts w:ascii="Arial Narrow" w:eastAsiaTheme="minorHAnsi" w:hAnsi="Arial Narrow"/>
              </w:rPr>
              <w:t>p-value (Wald test)</w:t>
            </w:r>
          </w:p>
        </w:tc>
        <w:tc>
          <w:tcPr>
            <w:tcW w:w="4445" w:type="dxa"/>
            <w:gridSpan w:val="3"/>
            <w:tcBorders>
              <w:right w:val="single" w:sz="4" w:space="0" w:color="auto"/>
            </w:tcBorders>
          </w:tcPr>
          <w:p w:rsidR="00663523" w:rsidRPr="005705A7" w:rsidRDefault="00663523" w:rsidP="00663523">
            <w:pPr>
              <w:pStyle w:val="TableText0"/>
              <w:spacing w:before="0" w:after="0"/>
              <w:jc w:val="center"/>
              <w:rPr>
                <w:rFonts w:ascii="Arial Narrow" w:hAnsi="Arial Narrow"/>
              </w:rPr>
            </w:pPr>
            <w:r w:rsidRPr="005705A7">
              <w:rPr>
                <w:rFonts w:ascii="Arial Narrow" w:eastAsiaTheme="minorHAnsi" w:hAnsi="Arial Narrow"/>
              </w:rPr>
              <w:t>0.7192</w:t>
            </w:r>
          </w:p>
        </w:tc>
      </w:tr>
      <w:tr w:rsidR="00663523" w:rsidRPr="00822B83" w:rsidTr="000215CA">
        <w:tblPrEx>
          <w:tblCellMar>
            <w:left w:w="56" w:type="dxa"/>
            <w:right w:w="56" w:type="dxa"/>
          </w:tblCellMar>
        </w:tblPrEx>
        <w:trPr>
          <w:trHeight w:val="21"/>
        </w:trPr>
        <w:tc>
          <w:tcPr>
            <w:tcW w:w="4020" w:type="dxa"/>
            <w:tcBorders>
              <w:left w:val="single" w:sz="4" w:space="0" w:color="auto"/>
              <w:bottom w:val="single" w:sz="4" w:space="0" w:color="auto"/>
              <w:right w:val="single" w:sz="6" w:space="0" w:color="auto"/>
            </w:tcBorders>
          </w:tcPr>
          <w:p w:rsidR="00663523" w:rsidRPr="005705A7" w:rsidRDefault="00663523" w:rsidP="00663523">
            <w:pPr>
              <w:pStyle w:val="TableText0"/>
              <w:spacing w:before="0" w:after="0"/>
              <w:ind w:left="274"/>
              <w:rPr>
                <w:rFonts w:ascii="Arial Narrow" w:hAnsi="Arial Narrow"/>
              </w:rPr>
            </w:pPr>
            <w:r w:rsidRPr="005705A7">
              <w:rPr>
                <w:rFonts w:ascii="Arial Narrow" w:eastAsiaTheme="minorHAnsi" w:hAnsi="Arial Narrow"/>
              </w:rPr>
              <w:t>Hazard ratio (95% CI)</w:t>
            </w:r>
          </w:p>
        </w:tc>
        <w:tc>
          <w:tcPr>
            <w:tcW w:w="4445" w:type="dxa"/>
            <w:gridSpan w:val="3"/>
            <w:tcBorders>
              <w:bottom w:val="single" w:sz="4" w:space="0" w:color="auto"/>
              <w:right w:val="single" w:sz="4" w:space="0" w:color="auto"/>
            </w:tcBorders>
          </w:tcPr>
          <w:p w:rsidR="00663523" w:rsidRPr="005705A7" w:rsidRDefault="00663523" w:rsidP="00663523">
            <w:pPr>
              <w:pStyle w:val="TableText0"/>
              <w:spacing w:before="0" w:after="0"/>
              <w:jc w:val="center"/>
              <w:rPr>
                <w:rFonts w:ascii="Arial Narrow" w:hAnsi="Arial Narrow"/>
              </w:rPr>
            </w:pPr>
            <w:r w:rsidRPr="005705A7">
              <w:rPr>
                <w:rFonts w:ascii="Arial Narrow" w:eastAsiaTheme="minorHAnsi" w:hAnsi="Arial Narrow"/>
              </w:rPr>
              <w:t>0.89 (0.49, 1.64)</w:t>
            </w:r>
          </w:p>
        </w:tc>
      </w:tr>
      <w:tr w:rsidR="00663523" w:rsidRPr="00822B83" w:rsidTr="000215CA">
        <w:tblPrEx>
          <w:tblCellMar>
            <w:left w:w="56" w:type="dxa"/>
            <w:right w:w="56" w:type="dxa"/>
          </w:tblCellMar>
        </w:tblPrEx>
        <w:trPr>
          <w:trHeight w:val="21"/>
        </w:trPr>
        <w:tc>
          <w:tcPr>
            <w:tcW w:w="4020" w:type="dxa"/>
            <w:tcBorders>
              <w:top w:val="single" w:sz="4" w:space="0" w:color="auto"/>
              <w:left w:val="single" w:sz="4" w:space="0" w:color="auto"/>
              <w:right w:val="single" w:sz="6" w:space="0" w:color="auto"/>
            </w:tcBorders>
          </w:tcPr>
          <w:p w:rsidR="00663523" w:rsidRPr="005705A7" w:rsidRDefault="00663523" w:rsidP="00663523">
            <w:pPr>
              <w:pStyle w:val="TableText0"/>
              <w:spacing w:before="0" w:after="0"/>
              <w:rPr>
                <w:rFonts w:ascii="Arial Narrow" w:hAnsi="Arial Narrow"/>
              </w:rPr>
            </w:pPr>
            <w:r w:rsidRPr="005705A7">
              <w:rPr>
                <w:rFonts w:ascii="Arial Narrow" w:eastAsiaTheme="minorHAnsi" w:hAnsi="Arial Narrow"/>
              </w:rPr>
              <w:t>Event-Free Survival</w:t>
            </w:r>
          </w:p>
        </w:tc>
        <w:tc>
          <w:tcPr>
            <w:tcW w:w="4445" w:type="dxa"/>
            <w:gridSpan w:val="3"/>
            <w:tcBorders>
              <w:top w:val="single" w:sz="4" w:space="0" w:color="auto"/>
              <w:right w:val="single" w:sz="4" w:space="0" w:color="auto"/>
            </w:tcBorders>
          </w:tcPr>
          <w:p w:rsidR="00663523" w:rsidRPr="005705A7" w:rsidRDefault="00663523" w:rsidP="00663523">
            <w:pPr>
              <w:pStyle w:val="TableText0"/>
              <w:spacing w:before="0" w:after="0"/>
              <w:jc w:val="center"/>
              <w:rPr>
                <w:rFonts w:ascii="Arial Narrow" w:eastAsiaTheme="minorHAnsi" w:hAnsi="Arial Narrow"/>
              </w:rPr>
            </w:pPr>
          </w:p>
        </w:tc>
      </w:tr>
      <w:tr w:rsidR="00663523" w:rsidRPr="00822B83" w:rsidTr="000215CA">
        <w:tblPrEx>
          <w:tblCellMar>
            <w:left w:w="56" w:type="dxa"/>
            <w:right w:w="56" w:type="dxa"/>
          </w:tblCellMar>
        </w:tblPrEx>
        <w:trPr>
          <w:trHeight w:val="21"/>
        </w:trPr>
        <w:tc>
          <w:tcPr>
            <w:tcW w:w="4020" w:type="dxa"/>
            <w:tcBorders>
              <w:left w:val="single" w:sz="4" w:space="0" w:color="auto"/>
              <w:right w:val="single" w:sz="6" w:space="0" w:color="auto"/>
            </w:tcBorders>
          </w:tcPr>
          <w:p w:rsidR="00663523" w:rsidRPr="005705A7" w:rsidRDefault="00663523" w:rsidP="00663523">
            <w:pPr>
              <w:pStyle w:val="TableText0"/>
              <w:spacing w:before="0" w:after="0"/>
              <w:rPr>
                <w:rFonts w:ascii="Arial Narrow" w:eastAsiaTheme="minorHAnsi" w:hAnsi="Arial Narrow"/>
              </w:rPr>
            </w:pPr>
            <w:r w:rsidRPr="005705A7">
              <w:rPr>
                <w:rFonts w:ascii="Arial Narrow" w:eastAsiaTheme="minorHAnsi" w:hAnsi="Arial Narrow"/>
              </w:rPr>
              <w:t>Patients with Event, n (%)</w:t>
            </w:r>
          </w:p>
        </w:tc>
        <w:tc>
          <w:tcPr>
            <w:tcW w:w="2222" w:type="dxa"/>
          </w:tcPr>
          <w:p w:rsidR="00663523" w:rsidRPr="005705A7" w:rsidRDefault="00663523" w:rsidP="00663523">
            <w:pPr>
              <w:pStyle w:val="TableText0"/>
              <w:spacing w:before="0" w:after="0"/>
              <w:jc w:val="center"/>
              <w:rPr>
                <w:rFonts w:ascii="Arial Narrow" w:eastAsiaTheme="minorHAnsi" w:hAnsi="Arial Narrow"/>
              </w:rPr>
            </w:pPr>
            <w:r w:rsidRPr="005705A7">
              <w:rPr>
                <w:rFonts w:ascii="Arial Narrow" w:eastAsiaTheme="minorHAnsi" w:hAnsi="Arial Narrow"/>
              </w:rPr>
              <w:t>29 (33.0%)</w:t>
            </w:r>
          </w:p>
        </w:tc>
        <w:tc>
          <w:tcPr>
            <w:tcW w:w="2223" w:type="dxa"/>
            <w:gridSpan w:val="2"/>
            <w:tcBorders>
              <w:right w:val="single" w:sz="4" w:space="0" w:color="auto"/>
            </w:tcBorders>
          </w:tcPr>
          <w:p w:rsidR="00663523" w:rsidRPr="005705A7" w:rsidRDefault="00663523" w:rsidP="00663523">
            <w:pPr>
              <w:pStyle w:val="TableText0"/>
              <w:spacing w:before="0" w:after="0"/>
              <w:jc w:val="center"/>
              <w:rPr>
                <w:rFonts w:ascii="Arial Narrow" w:eastAsiaTheme="minorHAnsi" w:hAnsi="Arial Narrow"/>
              </w:rPr>
            </w:pPr>
            <w:r w:rsidRPr="005705A7">
              <w:rPr>
                <w:rFonts w:ascii="Arial Narrow" w:eastAsiaTheme="minorHAnsi" w:hAnsi="Arial Narrow"/>
              </w:rPr>
              <w:t>22 (25.0%)</w:t>
            </w:r>
          </w:p>
        </w:tc>
      </w:tr>
      <w:tr w:rsidR="00663523" w:rsidRPr="00822B83" w:rsidTr="000215CA">
        <w:tblPrEx>
          <w:tblCellMar>
            <w:left w:w="56" w:type="dxa"/>
            <w:right w:w="56" w:type="dxa"/>
          </w:tblCellMar>
        </w:tblPrEx>
        <w:trPr>
          <w:trHeight w:val="21"/>
        </w:trPr>
        <w:tc>
          <w:tcPr>
            <w:tcW w:w="4020" w:type="dxa"/>
            <w:tcBorders>
              <w:left w:val="single" w:sz="4" w:space="0" w:color="auto"/>
              <w:right w:val="single" w:sz="6" w:space="0" w:color="auto"/>
            </w:tcBorders>
          </w:tcPr>
          <w:p w:rsidR="00663523" w:rsidRPr="005705A7" w:rsidRDefault="00663523" w:rsidP="00663523">
            <w:pPr>
              <w:pStyle w:val="TableText0"/>
              <w:spacing w:before="0" w:after="0"/>
              <w:ind w:left="274"/>
              <w:rPr>
                <w:rFonts w:ascii="Arial Narrow" w:hAnsi="Arial Narrow"/>
              </w:rPr>
            </w:pPr>
            <w:r w:rsidRPr="005705A7">
              <w:rPr>
                <w:rFonts w:ascii="Arial Narrow" w:eastAsiaTheme="minorHAnsi" w:hAnsi="Arial Narrow"/>
              </w:rPr>
              <w:t>p-value (Wald test)</w:t>
            </w:r>
          </w:p>
        </w:tc>
        <w:tc>
          <w:tcPr>
            <w:tcW w:w="4445" w:type="dxa"/>
            <w:gridSpan w:val="3"/>
            <w:tcBorders>
              <w:right w:val="single" w:sz="4" w:space="0" w:color="auto"/>
            </w:tcBorders>
          </w:tcPr>
          <w:p w:rsidR="00663523" w:rsidRPr="005705A7" w:rsidRDefault="00663523" w:rsidP="00663523">
            <w:pPr>
              <w:pStyle w:val="TableText0"/>
              <w:spacing w:before="0" w:after="0"/>
              <w:jc w:val="center"/>
              <w:rPr>
                <w:rFonts w:ascii="Arial Narrow" w:eastAsiaTheme="minorHAnsi" w:hAnsi="Arial Narrow"/>
              </w:rPr>
            </w:pPr>
            <w:r w:rsidRPr="005705A7">
              <w:rPr>
                <w:rFonts w:ascii="Arial Narrow" w:eastAsiaTheme="minorHAnsi" w:hAnsi="Arial Narrow"/>
              </w:rPr>
              <w:t>0.3351</w:t>
            </w:r>
          </w:p>
        </w:tc>
      </w:tr>
      <w:tr w:rsidR="00663523" w:rsidRPr="00822B83" w:rsidTr="000215CA">
        <w:tblPrEx>
          <w:tblCellMar>
            <w:left w:w="56" w:type="dxa"/>
            <w:right w:w="56" w:type="dxa"/>
          </w:tblCellMar>
        </w:tblPrEx>
        <w:trPr>
          <w:trHeight w:val="21"/>
        </w:trPr>
        <w:tc>
          <w:tcPr>
            <w:tcW w:w="4020" w:type="dxa"/>
            <w:tcBorders>
              <w:left w:val="single" w:sz="4" w:space="0" w:color="auto"/>
              <w:bottom w:val="single" w:sz="4" w:space="0" w:color="auto"/>
              <w:right w:val="single" w:sz="6" w:space="0" w:color="auto"/>
            </w:tcBorders>
          </w:tcPr>
          <w:p w:rsidR="00663523" w:rsidRPr="005705A7" w:rsidRDefault="00663523" w:rsidP="00663523">
            <w:pPr>
              <w:pStyle w:val="TableText0"/>
              <w:spacing w:before="0" w:after="0"/>
              <w:ind w:left="274"/>
              <w:rPr>
                <w:rFonts w:ascii="Arial Narrow" w:hAnsi="Arial Narrow"/>
              </w:rPr>
            </w:pPr>
            <w:r w:rsidRPr="005705A7">
              <w:rPr>
                <w:rFonts w:ascii="Arial Narrow" w:eastAsiaTheme="minorHAnsi" w:hAnsi="Arial Narrow"/>
              </w:rPr>
              <w:t>Hazard ratio (95% CI)</w:t>
            </w:r>
          </w:p>
        </w:tc>
        <w:tc>
          <w:tcPr>
            <w:tcW w:w="4445" w:type="dxa"/>
            <w:gridSpan w:val="3"/>
            <w:tcBorders>
              <w:bottom w:val="single" w:sz="4" w:space="0" w:color="auto"/>
              <w:right w:val="single" w:sz="4" w:space="0" w:color="auto"/>
            </w:tcBorders>
          </w:tcPr>
          <w:p w:rsidR="00663523" w:rsidRPr="005705A7" w:rsidRDefault="00663523" w:rsidP="00663523">
            <w:pPr>
              <w:pStyle w:val="TableText0"/>
              <w:spacing w:before="0" w:after="0"/>
              <w:jc w:val="center"/>
              <w:rPr>
                <w:rFonts w:ascii="Arial Narrow" w:eastAsiaTheme="minorHAnsi" w:hAnsi="Arial Narrow"/>
              </w:rPr>
            </w:pPr>
            <w:r w:rsidRPr="005705A7">
              <w:rPr>
                <w:rFonts w:ascii="Arial Narrow" w:eastAsiaTheme="minorHAnsi" w:hAnsi="Arial Narrow"/>
              </w:rPr>
              <w:t>0.76 (0.44,1.33)</w:t>
            </w:r>
          </w:p>
        </w:tc>
      </w:tr>
      <w:tr w:rsidR="00663523" w:rsidRPr="00822B83" w:rsidTr="000215CA">
        <w:tblPrEx>
          <w:tblCellMar>
            <w:left w:w="56" w:type="dxa"/>
            <w:right w:w="56" w:type="dxa"/>
          </w:tblCellMar>
        </w:tblPrEx>
        <w:trPr>
          <w:trHeight w:val="21"/>
        </w:trPr>
        <w:tc>
          <w:tcPr>
            <w:tcW w:w="4020" w:type="dxa"/>
            <w:tcBorders>
              <w:top w:val="single" w:sz="4" w:space="0" w:color="auto"/>
              <w:left w:val="single" w:sz="4" w:space="0" w:color="auto"/>
              <w:right w:val="single" w:sz="6" w:space="0" w:color="auto"/>
            </w:tcBorders>
          </w:tcPr>
          <w:p w:rsidR="00663523" w:rsidRPr="005705A7" w:rsidRDefault="00663523" w:rsidP="00663523">
            <w:pPr>
              <w:pStyle w:val="TableText0"/>
              <w:spacing w:before="0" w:after="0"/>
              <w:rPr>
                <w:rFonts w:ascii="Arial Narrow" w:hAnsi="Arial Narrow"/>
              </w:rPr>
            </w:pPr>
            <w:r w:rsidRPr="005705A7">
              <w:rPr>
                <w:rFonts w:ascii="Arial Narrow" w:eastAsiaTheme="minorHAnsi" w:hAnsi="Arial Narrow"/>
              </w:rPr>
              <w:t>Overall Survival</w:t>
            </w:r>
          </w:p>
        </w:tc>
        <w:tc>
          <w:tcPr>
            <w:tcW w:w="4445" w:type="dxa"/>
            <w:gridSpan w:val="3"/>
            <w:tcBorders>
              <w:top w:val="single" w:sz="4" w:space="0" w:color="auto"/>
              <w:right w:val="single" w:sz="4" w:space="0" w:color="auto"/>
            </w:tcBorders>
          </w:tcPr>
          <w:p w:rsidR="00663523" w:rsidRPr="005705A7" w:rsidRDefault="00663523" w:rsidP="00663523">
            <w:pPr>
              <w:pStyle w:val="TableText0"/>
              <w:spacing w:before="0" w:after="0"/>
              <w:jc w:val="center"/>
              <w:rPr>
                <w:rFonts w:ascii="Arial Narrow" w:eastAsiaTheme="minorHAnsi" w:hAnsi="Arial Narrow"/>
              </w:rPr>
            </w:pPr>
          </w:p>
        </w:tc>
      </w:tr>
      <w:tr w:rsidR="00663523" w:rsidRPr="00822B83" w:rsidTr="000215CA">
        <w:tblPrEx>
          <w:tblCellMar>
            <w:left w:w="56" w:type="dxa"/>
            <w:right w:w="56" w:type="dxa"/>
          </w:tblCellMar>
        </w:tblPrEx>
        <w:trPr>
          <w:trHeight w:val="21"/>
        </w:trPr>
        <w:tc>
          <w:tcPr>
            <w:tcW w:w="4020" w:type="dxa"/>
            <w:tcBorders>
              <w:left w:val="single" w:sz="4" w:space="0" w:color="auto"/>
              <w:right w:val="single" w:sz="6" w:space="0" w:color="auto"/>
            </w:tcBorders>
          </w:tcPr>
          <w:p w:rsidR="00663523" w:rsidRPr="005705A7" w:rsidRDefault="00663523" w:rsidP="00663523">
            <w:pPr>
              <w:pStyle w:val="TableText0"/>
              <w:spacing w:before="0" w:after="0"/>
              <w:rPr>
                <w:rFonts w:ascii="Arial Narrow" w:eastAsiaTheme="minorHAnsi" w:hAnsi="Arial Narrow"/>
              </w:rPr>
            </w:pPr>
            <w:r w:rsidRPr="005705A7">
              <w:rPr>
                <w:rFonts w:ascii="Arial Narrow" w:eastAsiaTheme="minorHAnsi" w:hAnsi="Arial Narrow"/>
              </w:rPr>
              <w:t>Patients with Event, n (%)</w:t>
            </w:r>
          </w:p>
        </w:tc>
        <w:tc>
          <w:tcPr>
            <w:tcW w:w="2222" w:type="dxa"/>
          </w:tcPr>
          <w:p w:rsidR="00663523" w:rsidRPr="005705A7" w:rsidRDefault="00663523" w:rsidP="00663523">
            <w:pPr>
              <w:pStyle w:val="TableText0"/>
              <w:spacing w:before="0" w:after="0"/>
              <w:jc w:val="center"/>
              <w:rPr>
                <w:rFonts w:ascii="Arial Narrow" w:eastAsiaTheme="minorHAnsi" w:hAnsi="Arial Narrow"/>
              </w:rPr>
            </w:pPr>
            <w:r w:rsidRPr="005705A7">
              <w:rPr>
                <w:rFonts w:ascii="Arial Narrow" w:eastAsiaTheme="minorHAnsi" w:hAnsi="Arial Narrow"/>
              </w:rPr>
              <w:t>12 (13.6%)</w:t>
            </w:r>
          </w:p>
        </w:tc>
        <w:tc>
          <w:tcPr>
            <w:tcW w:w="2223" w:type="dxa"/>
            <w:gridSpan w:val="2"/>
            <w:tcBorders>
              <w:right w:val="single" w:sz="4" w:space="0" w:color="auto"/>
            </w:tcBorders>
          </w:tcPr>
          <w:p w:rsidR="00663523" w:rsidRPr="005705A7" w:rsidRDefault="00663523" w:rsidP="00663523">
            <w:pPr>
              <w:pStyle w:val="TableText0"/>
              <w:spacing w:before="0" w:after="0"/>
              <w:jc w:val="center"/>
              <w:rPr>
                <w:rFonts w:ascii="Arial Narrow" w:eastAsiaTheme="minorHAnsi" w:hAnsi="Arial Narrow"/>
              </w:rPr>
            </w:pPr>
            <w:r w:rsidRPr="005705A7">
              <w:rPr>
                <w:rFonts w:ascii="Arial Narrow" w:eastAsiaTheme="minorHAnsi" w:hAnsi="Arial Narrow"/>
              </w:rPr>
              <w:t>7 (8.0%)</w:t>
            </w:r>
          </w:p>
        </w:tc>
      </w:tr>
      <w:tr w:rsidR="00663523" w:rsidRPr="00822B83" w:rsidTr="000215CA">
        <w:tblPrEx>
          <w:tblCellMar>
            <w:left w:w="56" w:type="dxa"/>
            <w:right w:w="56" w:type="dxa"/>
          </w:tblCellMar>
        </w:tblPrEx>
        <w:trPr>
          <w:trHeight w:val="21"/>
        </w:trPr>
        <w:tc>
          <w:tcPr>
            <w:tcW w:w="4020" w:type="dxa"/>
            <w:tcBorders>
              <w:left w:val="single" w:sz="4" w:space="0" w:color="auto"/>
              <w:right w:val="single" w:sz="6" w:space="0" w:color="auto"/>
            </w:tcBorders>
          </w:tcPr>
          <w:p w:rsidR="00663523" w:rsidRPr="005705A7" w:rsidRDefault="00663523" w:rsidP="00663523">
            <w:pPr>
              <w:pStyle w:val="TableText0"/>
              <w:spacing w:before="0" w:after="0"/>
              <w:ind w:left="274"/>
              <w:rPr>
                <w:rFonts w:ascii="Arial Narrow" w:hAnsi="Arial Narrow"/>
              </w:rPr>
            </w:pPr>
            <w:r w:rsidRPr="005705A7">
              <w:rPr>
                <w:rFonts w:ascii="Arial Narrow" w:eastAsiaTheme="minorHAnsi" w:hAnsi="Arial Narrow"/>
              </w:rPr>
              <w:t>p-value (Wald test)</w:t>
            </w:r>
          </w:p>
        </w:tc>
        <w:tc>
          <w:tcPr>
            <w:tcW w:w="4445" w:type="dxa"/>
            <w:gridSpan w:val="3"/>
            <w:tcBorders>
              <w:right w:val="single" w:sz="4" w:space="0" w:color="auto"/>
            </w:tcBorders>
          </w:tcPr>
          <w:p w:rsidR="00663523" w:rsidRPr="005705A7" w:rsidRDefault="00663523" w:rsidP="00663523">
            <w:pPr>
              <w:pStyle w:val="TableText0"/>
              <w:spacing w:before="0" w:after="0"/>
              <w:jc w:val="center"/>
              <w:rPr>
                <w:rFonts w:ascii="Arial Narrow" w:eastAsiaTheme="minorHAnsi" w:hAnsi="Arial Narrow"/>
              </w:rPr>
            </w:pPr>
            <w:r w:rsidRPr="005705A7">
              <w:rPr>
                <w:rFonts w:ascii="Arial Narrow" w:eastAsiaTheme="minorHAnsi" w:hAnsi="Arial Narrow"/>
              </w:rPr>
              <w:t>0.2789</w:t>
            </w:r>
          </w:p>
        </w:tc>
      </w:tr>
      <w:tr w:rsidR="00663523" w:rsidRPr="00822B83" w:rsidTr="000215CA">
        <w:tblPrEx>
          <w:tblCellMar>
            <w:left w:w="56" w:type="dxa"/>
            <w:right w:w="56" w:type="dxa"/>
          </w:tblCellMar>
        </w:tblPrEx>
        <w:trPr>
          <w:trHeight w:val="21"/>
        </w:trPr>
        <w:tc>
          <w:tcPr>
            <w:tcW w:w="4020" w:type="dxa"/>
            <w:tcBorders>
              <w:left w:val="single" w:sz="4" w:space="0" w:color="auto"/>
              <w:bottom w:val="single" w:sz="4" w:space="0" w:color="auto"/>
              <w:right w:val="single" w:sz="6" w:space="0" w:color="auto"/>
            </w:tcBorders>
          </w:tcPr>
          <w:p w:rsidR="00663523" w:rsidRPr="005705A7" w:rsidRDefault="00663523" w:rsidP="00663523">
            <w:pPr>
              <w:pStyle w:val="TableText0"/>
              <w:spacing w:before="0" w:after="0"/>
              <w:ind w:left="274"/>
              <w:rPr>
                <w:rFonts w:ascii="Arial Narrow" w:hAnsi="Arial Narrow"/>
              </w:rPr>
            </w:pPr>
            <w:r w:rsidRPr="005705A7">
              <w:rPr>
                <w:rFonts w:ascii="Arial Narrow" w:eastAsiaTheme="minorHAnsi" w:hAnsi="Arial Narrow"/>
              </w:rPr>
              <w:t>Hazard ratio (95% CI)</w:t>
            </w:r>
          </w:p>
        </w:tc>
        <w:tc>
          <w:tcPr>
            <w:tcW w:w="4445" w:type="dxa"/>
            <w:gridSpan w:val="3"/>
            <w:tcBorders>
              <w:bottom w:val="single" w:sz="4" w:space="0" w:color="auto"/>
              <w:right w:val="single" w:sz="4" w:space="0" w:color="auto"/>
            </w:tcBorders>
          </w:tcPr>
          <w:p w:rsidR="00663523" w:rsidRPr="005705A7" w:rsidRDefault="00663523" w:rsidP="00663523">
            <w:pPr>
              <w:pStyle w:val="TableText0"/>
              <w:spacing w:before="0" w:after="0"/>
              <w:jc w:val="center"/>
              <w:rPr>
                <w:rFonts w:ascii="Arial Narrow" w:eastAsiaTheme="minorHAnsi" w:hAnsi="Arial Narrow"/>
              </w:rPr>
            </w:pPr>
            <w:r w:rsidRPr="005705A7">
              <w:rPr>
                <w:rFonts w:ascii="Arial Narrow" w:eastAsiaTheme="minorHAnsi" w:hAnsi="Arial Narrow"/>
              </w:rPr>
              <w:t>0.60 (0.24,1.52)</w:t>
            </w:r>
          </w:p>
        </w:tc>
      </w:tr>
    </w:tbl>
    <w:p w:rsidR="00663523" w:rsidRDefault="00663523" w:rsidP="00663523">
      <w:pPr>
        <w:pStyle w:val="tablenotes"/>
        <w:ind w:firstLine="720"/>
        <w:rPr>
          <w:rFonts w:ascii="Arial Narrow" w:hAnsi="Arial Narrow"/>
          <w:sz w:val="18"/>
          <w:szCs w:val="18"/>
        </w:rPr>
      </w:pPr>
      <w:r w:rsidRPr="005838CB">
        <w:rPr>
          <w:rFonts w:ascii="Arial Narrow" w:hAnsi="Arial Narrow"/>
          <w:sz w:val="18"/>
          <w:szCs w:val="18"/>
        </w:rPr>
        <w:t xml:space="preserve">Source: </w:t>
      </w:r>
      <w:r>
        <w:rPr>
          <w:rFonts w:ascii="Arial Narrow" w:hAnsi="Arial Narrow"/>
          <w:sz w:val="18"/>
          <w:szCs w:val="18"/>
        </w:rPr>
        <w:t>page 11 of the Submission</w:t>
      </w:r>
    </w:p>
    <w:p w:rsidR="00663523" w:rsidRDefault="00663523" w:rsidP="00663523">
      <w:pPr>
        <w:pStyle w:val="tablenotes"/>
        <w:ind w:left="709"/>
        <w:rPr>
          <w:rFonts w:ascii="Arial Narrow" w:hAnsi="Arial Narrow"/>
          <w:sz w:val="18"/>
          <w:szCs w:val="18"/>
        </w:rPr>
      </w:pPr>
      <w:r>
        <w:rPr>
          <w:rFonts w:ascii="Arial Narrow" w:hAnsi="Arial Narrow"/>
          <w:sz w:val="18"/>
          <w:szCs w:val="18"/>
        </w:rPr>
        <w:t>IV = intravenous; SC = subcutaneous; CI = confidence interval</w:t>
      </w:r>
    </w:p>
    <w:p w:rsidR="00663523" w:rsidRPr="00663523" w:rsidRDefault="00663523" w:rsidP="00663523">
      <w:pPr>
        <w:rPr>
          <w:szCs w:val="22"/>
        </w:rPr>
      </w:pPr>
    </w:p>
    <w:p w:rsidR="00663523" w:rsidRPr="00663523" w:rsidRDefault="00B6088D" w:rsidP="00663523">
      <w:pPr>
        <w:pStyle w:val="ListParagraph"/>
        <w:numPr>
          <w:ilvl w:val="1"/>
          <w:numId w:val="5"/>
        </w:numPr>
        <w:rPr>
          <w:szCs w:val="22"/>
        </w:rPr>
      </w:pPr>
      <w:r>
        <w:rPr>
          <w:szCs w:val="22"/>
        </w:rPr>
        <w:t>The submission stated</w:t>
      </w:r>
      <w:r w:rsidR="004A1713">
        <w:rPr>
          <w:szCs w:val="22"/>
        </w:rPr>
        <w:t xml:space="preserve"> that the</w:t>
      </w:r>
      <w:r>
        <w:rPr>
          <w:szCs w:val="22"/>
        </w:rPr>
        <w:t xml:space="preserve"> r</w:t>
      </w:r>
      <w:r w:rsidR="00663523" w:rsidRPr="00663523">
        <w:rPr>
          <w:szCs w:val="22"/>
        </w:rPr>
        <w:t xml:space="preserve">esults of the time-to-event analyses were comparable across </w:t>
      </w:r>
      <w:r w:rsidR="004A1713">
        <w:rPr>
          <w:szCs w:val="22"/>
        </w:rPr>
        <w:t xml:space="preserve">the </w:t>
      </w:r>
      <w:r w:rsidR="00663523" w:rsidRPr="00663523">
        <w:rPr>
          <w:szCs w:val="22"/>
        </w:rPr>
        <w:t xml:space="preserve">treatment arms </w:t>
      </w:r>
      <w:r w:rsidR="004A1713">
        <w:rPr>
          <w:szCs w:val="22"/>
        </w:rPr>
        <w:t>with</w:t>
      </w:r>
      <w:r w:rsidR="00663523" w:rsidRPr="00663523">
        <w:rPr>
          <w:szCs w:val="22"/>
        </w:rPr>
        <w:t xml:space="preserve"> a wide confidence interval crossing 1, indicating no difference in benefit and comparable efficacy results for both the rituximab SC and IV formulations. </w:t>
      </w:r>
      <w:r>
        <w:rPr>
          <w:szCs w:val="22"/>
        </w:rPr>
        <w:t>T</w:t>
      </w:r>
      <w:r w:rsidR="00663523" w:rsidRPr="00663523">
        <w:rPr>
          <w:szCs w:val="22"/>
        </w:rPr>
        <w:t>he point estimates for all three efficacy parameters</w:t>
      </w:r>
      <w:r w:rsidR="004A1713">
        <w:rPr>
          <w:szCs w:val="22"/>
        </w:rPr>
        <w:t xml:space="preserve"> appear to</w:t>
      </w:r>
      <w:r w:rsidR="00663523" w:rsidRPr="00663523">
        <w:rPr>
          <w:szCs w:val="22"/>
        </w:rPr>
        <w:t xml:space="preserve"> favour the rituximab SC formulation as more patients in the rituximab IV arm experienced a progression, relapse or death event. Median times to event were not reached for any endpoint.</w:t>
      </w:r>
    </w:p>
    <w:p w:rsidR="00663523" w:rsidRPr="00663523" w:rsidRDefault="00663523" w:rsidP="00663523">
      <w:pPr>
        <w:pStyle w:val="ListParagraph"/>
        <w:rPr>
          <w:szCs w:val="22"/>
        </w:rPr>
      </w:pPr>
    </w:p>
    <w:p w:rsidR="00663523" w:rsidRDefault="00663523" w:rsidP="00663523">
      <w:pPr>
        <w:pStyle w:val="ListParagraph"/>
        <w:numPr>
          <w:ilvl w:val="1"/>
          <w:numId w:val="5"/>
        </w:numPr>
        <w:rPr>
          <w:szCs w:val="22"/>
        </w:rPr>
      </w:pPr>
      <w:r>
        <w:t>As this was a minor submission, the results above have not been independently verified.</w:t>
      </w:r>
    </w:p>
    <w:p w:rsidR="00663523" w:rsidRDefault="00663523" w:rsidP="00663523">
      <w:pPr>
        <w:pStyle w:val="ListParagraph"/>
        <w:rPr>
          <w:szCs w:val="22"/>
        </w:rPr>
      </w:pPr>
    </w:p>
    <w:p w:rsidR="005A3173" w:rsidRPr="00882085" w:rsidRDefault="005A3173" w:rsidP="00B1059E">
      <w:pPr>
        <w:pStyle w:val="Heading2"/>
      </w:pPr>
      <w:r w:rsidRPr="00882085">
        <w:t>Comparative harms</w:t>
      </w:r>
    </w:p>
    <w:p w:rsidR="005A3173" w:rsidRDefault="005A3173" w:rsidP="00882085">
      <w:pPr>
        <w:ind w:left="720" w:hanging="720"/>
        <w:jc w:val="both"/>
        <w:rPr>
          <w:rFonts w:ascii="Arial" w:hAnsi="Arial"/>
          <w:sz w:val="22"/>
          <w:szCs w:val="22"/>
        </w:rPr>
      </w:pPr>
    </w:p>
    <w:p w:rsidR="004E3E77" w:rsidRPr="009D23F3" w:rsidRDefault="00663523" w:rsidP="0047532D">
      <w:pPr>
        <w:pStyle w:val="ListParagraph"/>
        <w:numPr>
          <w:ilvl w:val="1"/>
          <w:numId w:val="5"/>
        </w:numPr>
        <w:rPr>
          <w:szCs w:val="22"/>
        </w:rPr>
      </w:pPr>
      <w:r>
        <w:t>Comparisons of adverse events between SC rituximab and IV rituximab are show</w:t>
      </w:r>
      <w:r w:rsidR="00AC05B2">
        <w:t>n</w:t>
      </w:r>
      <w:r>
        <w:t xml:space="preserve"> in the table below.</w:t>
      </w:r>
    </w:p>
    <w:p w:rsidR="009D23F3" w:rsidRDefault="009D23F3" w:rsidP="009D23F3">
      <w:pPr>
        <w:pStyle w:val="ListParagraph"/>
        <w:rPr>
          <w:szCs w:val="22"/>
        </w:rPr>
      </w:pPr>
    </w:p>
    <w:p w:rsidR="009D23F3" w:rsidRPr="009D23F3" w:rsidRDefault="009D23F3" w:rsidP="009D23F3">
      <w:pPr>
        <w:ind w:firstLine="720"/>
        <w:rPr>
          <w:rFonts w:ascii="Arial Narrow" w:hAnsi="Arial Narrow"/>
          <w:b/>
          <w:sz w:val="20"/>
          <w:szCs w:val="20"/>
        </w:rPr>
      </w:pPr>
      <w:r w:rsidRPr="001E416F">
        <w:rPr>
          <w:rFonts w:ascii="Arial Narrow" w:hAnsi="Arial Narrow"/>
          <w:b/>
          <w:sz w:val="20"/>
          <w:szCs w:val="20"/>
        </w:rPr>
        <w:t>Table 5. Overview of adverse events (safety analysis population) - SAWYER</w:t>
      </w:r>
    </w:p>
    <w:tbl>
      <w:tblPr>
        <w:tblW w:w="7755" w:type="dxa"/>
        <w:jc w:val="center"/>
        <w:tblLayout w:type="fixed"/>
        <w:tblLook w:val="0000" w:firstRow="0" w:lastRow="0" w:firstColumn="0" w:lastColumn="0" w:noHBand="0" w:noVBand="0"/>
      </w:tblPr>
      <w:tblGrid>
        <w:gridCol w:w="4211"/>
        <w:gridCol w:w="1772"/>
        <w:gridCol w:w="1772"/>
      </w:tblGrid>
      <w:tr w:rsidR="004E3E77" w:rsidRPr="00CF7AC6" w:rsidTr="009D23F3">
        <w:trPr>
          <w:trHeight w:val="283"/>
          <w:tblHeader/>
          <w:jc w:val="center"/>
        </w:trPr>
        <w:tc>
          <w:tcPr>
            <w:tcW w:w="4211" w:type="dxa"/>
            <w:vMerge w:val="restart"/>
            <w:tcBorders>
              <w:top w:val="single" w:sz="4" w:space="0" w:color="auto"/>
              <w:left w:val="single" w:sz="4" w:space="0" w:color="auto"/>
              <w:right w:val="single" w:sz="4" w:space="0" w:color="auto"/>
            </w:tcBorders>
            <w:vAlign w:val="center"/>
          </w:tcPr>
          <w:p w:rsidR="004E3E77" w:rsidRPr="005705A7" w:rsidRDefault="004E3E77" w:rsidP="009D23F3">
            <w:pPr>
              <w:pStyle w:val="TableText0"/>
              <w:keepNext/>
              <w:keepLines/>
              <w:spacing w:before="0" w:after="0"/>
              <w:rPr>
                <w:rFonts w:ascii="Arial Narrow" w:hAnsi="Arial Narrow"/>
                <w:b/>
              </w:rPr>
            </w:pPr>
            <w:r w:rsidRPr="005705A7">
              <w:rPr>
                <w:rFonts w:ascii="Arial Narrow" w:hAnsi="Arial Narrow"/>
                <w:b/>
              </w:rPr>
              <w:t>Adverse events</w:t>
            </w:r>
          </w:p>
        </w:tc>
        <w:tc>
          <w:tcPr>
            <w:tcW w:w="3544" w:type="dxa"/>
            <w:gridSpan w:val="2"/>
            <w:tcBorders>
              <w:top w:val="single" w:sz="4" w:space="0" w:color="auto"/>
              <w:left w:val="nil"/>
              <w:bottom w:val="single" w:sz="4" w:space="0" w:color="auto"/>
              <w:right w:val="single" w:sz="4" w:space="0" w:color="auto"/>
            </w:tcBorders>
          </w:tcPr>
          <w:p w:rsidR="004E3E77" w:rsidRPr="005705A7" w:rsidRDefault="004E3E77" w:rsidP="009D23F3">
            <w:pPr>
              <w:pStyle w:val="TableText0"/>
              <w:keepNext/>
              <w:keepLines/>
              <w:spacing w:before="0" w:after="0"/>
              <w:jc w:val="center"/>
              <w:rPr>
                <w:rFonts w:ascii="Arial Narrow" w:hAnsi="Arial Narrow"/>
                <w:b/>
              </w:rPr>
            </w:pPr>
            <w:r w:rsidRPr="005705A7">
              <w:rPr>
                <w:rFonts w:ascii="Arial Narrow" w:hAnsi="Arial Narrow"/>
                <w:b/>
              </w:rPr>
              <w:t>Number of patients (%)</w:t>
            </w:r>
          </w:p>
        </w:tc>
      </w:tr>
      <w:tr w:rsidR="004E3E77" w:rsidRPr="00CF7AC6" w:rsidTr="009D23F3">
        <w:trPr>
          <w:trHeight w:val="283"/>
          <w:tblHeader/>
          <w:jc w:val="center"/>
        </w:trPr>
        <w:tc>
          <w:tcPr>
            <w:tcW w:w="4211" w:type="dxa"/>
            <w:vMerge/>
            <w:tcBorders>
              <w:left w:val="single" w:sz="4" w:space="0" w:color="auto"/>
              <w:bottom w:val="single" w:sz="4" w:space="0" w:color="auto"/>
              <w:right w:val="single" w:sz="4" w:space="0" w:color="auto"/>
            </w:tcBorders>
            <w:vAlign w:val="center"/>
          </w:tcPr>
          <w:p w:rsidR="004E3E77" w:rsidRPr="005705A7" w:rsidRDefault="004E3E77" w:rsidP="009D23F3">
            <w:pPr>
              <w:pStyle w:val="TableText0"/>
              <w:keepNext/>
              <w:keepLines/>
              <w:spacing w:before="0" w:after="0"/>
              <w:rPr>
                <w:rFonts w:ascii="Arial Narrow" w:hAnsi="Arial Narrow"/>
                <w:b/>
              </w:rPr>
            </w:pPr>
          </w:p>
        </w:tc>
        <w:tc>
          <w:tcPr>
            <w:tcW w:w="1772" w:type="dxa"/>
            <w:tcBorders>
              <w:top w:val="single" w:sz="4" w:space="0" w:color="auto"/>
              <w:left w:val="nil"/>
              <w:bottom w:val="single" w:sz="4" w:space="0" w:color="auto"/>
              <w:right w:val="single" w:sz="4" w:space="0" w:color="auto"/>
            </w:tcBorders>
          </w:tcPr>
          <w:p w:rsidR="004E3E77" w:rsidRPr="005705A7" w:rsidRDefault="004E3E77" w:rsidP="009D23F3">
            <w:pPr>
              <w:pStyle w:val="TableText0"/>
              <w:keepNext/>
              <w:keepLines/>
              <w:spacing w:before="0" w:after="0"/>
              <w:jc w:val="center"/>
              <w:rPr>
                <w:rFonts w:ascii="Arial Narrow" w:hAnsi="Arial Narrow"/>
                <w:b/>
                <w:lang w:val="de-CH"/>
              </w:rPr>
            </w:pPr>
            <w:r w:rsidRPr="005705A7">
              <w:rPr>
                <w:rFonts w:ascii="Arial Narrow" w:hAnsi="Arial Narrow"/>
                <w:b/>
                <w:lang w:val="de-CH"/>
              </w:rPr>
              <w:t xml:space="preserve">Rituximab IV </w:t>
            </w:r>
            <w:r w:rsidRPr="005705A7">
              <w:rPr>
                <w:rFonts w:ascii="Arial Narrow" w:hAnsi="Arial Narrow"/>
                <w:b/>
                <w:lang w:val="de-CH"/>
              </w:rPr>
              <w:br/>
              <w:t>500mg/m</w:t>
            </w:r>
            <w:r w:rsidRPr="005705A7">
              <w:rPr>
                <w:rFonts w:ascii="Arial Narrow" w:hAnsi="Arial Narrow"/>
                <w:b/>
                <w:vertAlign w:val="superscript"/>
                <w:lang w:val="de-CH"/>
              </w:rPr>
              <w:t>2</w:t>
            </w:r>
          </w:p>
          <w:p w:rsidR="004E3E77" w:rsidRPr="005705A7" w:rsidRDefault="004E3E77" w:rsidP="009D23F3">
            <w:pPr>
              <w:pStyle w:val="TableText0"/>
              <w:keepNext/>
              <w:keepLines/>
              <w:spacing w:before="0" w:after="0"/>
              <w:jc w:val="center"/>
              <w:rPr>
                <w:rFonts w:ascii="Arial Narrow" w:hAnsi="Arial Narrow"/>
                <w:b/>
                <w:lang w:val="de-CH"/>
              </w:rPr>
            </w:pPr>
            <w:r w:rsidRPr="005705A7">
              <w:rPr>
                <w:rFonts w:ascii="Arial Narrow" w:hAnsi="Arial Narrow"/>
                <w:b/>
                <w:lang w:val="de-CH"/>
              </w:rPr>
              <w:t>(N=89)</w:t>
            </w:r>
          </w:p>
        </w:tc>
        <w:tc>
          <w:tcPr>
            <w:tcW w:w="1772" w:type="dxa"/>
            <w:tcBorders>
              <w:top w:val="single" w:sz="4" w:space="0" w:color="auto"/>
              <w:left w:val="single" w:sz="4" w:space="0" w:color="auto"/>
              <w:bottom w:val="single" w:sz="4" w:space="0" w:color="auto"/>
              <w:right w:val="single" w:sz="4" w:space="0" w:color="auto"/>
            </w:tcBorders>
            <w:vAlign w:val="center"/>
          </w:tcPr>
          <w:p w:rsidR="004E3E77" w:rsidRPr="005705A7" w:rsidRDefault="004E3E77" w:rsidP="009D23F3">
            <w:pPr>
              <w:pStyle w:val="TableText0"/>
              <w:keepNext/>
              <w:keepLines/>
              <w:spacing w:before="0" w:after="0"/>
              <w:jc w:val="center"/>
              <w:rPr>
                <w:rFonts w:ascii="Arial Narrow" w:hAnsi="Arial Narrow"/>
                <w:b/>
              </w:rPr>
            </w:pPr>
            <w:r w:rsidRPr="005705A7">
              <w:rPr>
                <w:rFonts w:ascii="Arial Narrow" w:hAnsi="Arial Narrow"/>
                <w:b/>
              </w:rPr>
              <w:t xml:space="preserve">Rituximab SC </w:t>
            </w:r>
            <w:r w:rsidRPr="005705A7">
              <w:rPr>
                <w:rFonts w:ascii="Arial Narrow" w:hAnsi="Arial Narrow"/>
                <w:b/>
              </w:rPr>
              <w:br/>
              <w:t>1,600mg</w:t>
            </w:r>
          </w:p>
          <w:p w:rsidR="004E3E77" w:rsidRPr="005705A7" w:rsidRDefault="004E3E77" w:rsidP="009D23F3">
            <w:pPr>
              <w:pStyle w:val="TableText0"/>
              <w:keepNext/>
              <w:keepLines/>
              <w:spacing w:before="0" w:after="0"/>
              <w:jc w:val="center"/>
              <w:rPr>
                <w:rFonts w:ascii="Arial Narrow" w:hAnsi="Arial Narrow"/>
                <w:b/>
              </w:rPr>
            </w:pPr>
            <w:r w:rsidRPr="005705A7">
              <w:rPr>
                <w:rFonts w:ascii="Arial Narrow" w:hAnsi="Arial Narrow"/>
                <w:b/>
              </w:rPr>
              <w:t>(N=85)</w:t>
            </w:r>
          </w:p>
        </w:tc>
      </w:tr>
      <w:tr w:rsidR="004E3E77" w:rsidRPr="00CF7AC6" w:rsidTr="009D23F3">
        <w:tblPrEx>
          <w:tblLook w:val="04A0" w:firstRow="1" w:lastRow="0" w:firstColumn="1" w:lastColumn="0" w:noHBand="0" w:noVBand="1"/>
        </w:tblPrEx>
        <w:trPr>
          <w:trHeight w:val="283"/>
          <w:jc w:val="center"/>
        </w:trPr>
        <w:tc>
          <w:tcPr>
            <w:tcW w:w="4211" w:type="dxa"/>
            <w:tcBorders>
              <w:top w:val="single" w:sz="4" w:space="0" w:color="auto"/>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rPr>
                <w:rFonts w:ascii="Arial Narrow" w:hAnsi="Arial Narrow"/>
                <w:lang w:eastAsia="en-AU"/>
              </w:rPr>
            </w:pPr>
            <w:r w:rsidRPr="005705A7">
              <w:rPr>
                <w:rFonts w:ascii="Arial Narrow" w:hAnsi="Arial Narrow"/>
                <w:lang w:eastAsia="en-AU"/>
              </w:rPr>
              <w:t xml:space="preserve">Total patients with at least one AE </w:t>
            </w:r>
          </w:p>
        </w:tc>
        <w:tc>
          <w:tcPr>
            <w:tcW w:w="1772" w:type="dxa"/>
            <w:tcBorders>
              <w:top w:val="single" w:sz="4" w:space="0" w:color="auto"/>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81 (91</w:t>
            </w:r>
            <w:r w:rsidR="004A1713" w:rsidRPr="005705A7">
              <w:rPr>
                <w:rFonts w:ascii="Arial Narrow" w:hAnsi="Arial Narrow"/>
                <w:lang w:eastAsia="en-AU"/>
              </w:rPr>
              <w:t>%</w:t>
            </w:r>
            <w:r w:rsidRPr="005705A7">
              <w:rPr>
                <w:rFonts w:ascii="Arial Narrow" w:hAnsi="Arial Narrow"/>
                <w:lang w:eastAsia="en-AU"/>
              </w:rPr>
              <w:t>)</w:t>
            </w:r>
          </w:p>
        </w:tc>
        <w:tc>
          <w:tcPr>
            <w:tcW w:w="1772" w:type="dxa"/>
            <w:tcBorders>
              <w:top w:val="single" w:sz="4" w:space="0" w:color="auto"/>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82 (96</w:t>
            </w:r>
            <w:r w:rsidR="004A1713" w:rsidRPr="005705A7">
              <w:rPr>
                <w:rFonts w:ascii="Arial Narrow" w:hAnsi="Arial Narrow"/>
                <w:lang w:eastAsia="en-AU"/>
              </w:rPr>
              <w:t>%</w:t>
            </w:r>
            <w:r w:rsidRPr="005705A7">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bottom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rPr>
                <w:rFonts w:ascii="Arial Narrow" w:hAnsi="Arial Narrow"/>
                <w:lang w:eastAsia="en-AU"/>
              </w:rPr>
            </w:pPr>
            <w:r w:rsidRPr="005705A7">
              <w:rPr>
                <w:rFonts w:ascii="Arial Narrow" w:hAnsi="Arial Narrow"/>
                <w:lang w:eastAsia="en-AU"/>
              </w:rPr>
              <w:t>Total number of AEs</w:t>
            </w:r>
          </w:p>
        </w:tc>
        <w:tc>
          <w:tcPr>
            <w:tcW w:w="1772" w:type="dxa"/>
            <w:tcBorders>
              <w:top w:val="nil"/>
              <w:left w:val="nil"/>
              <w:bottom w:val="single" w:sz="4" w:space="0" w:color="auto"/>
              <w:right w:val="single" w:sz="4" w:space="0" w:color="auto"/>
            </w:tcBorders>
            <w:shd w:val="clear" w:color="000000" w:fill="FFFFFF"/>
            <w:noWrap/>
            <w:vAlign w:val="center"/>
            <w:hideMark/>
          </w:tcPr>
          <w:p w:rsidR="004E3E77" w:rsidRPr="00B004D9" w:rsidRDefault="00B004D9" w:rsidP="009D23F3">
            <w:pPr>
              <w:pStyle w:val="TableText0"/>
              <w:keepNext/>
              <w:keepLines/>
              <w:tabs>
                <w:tab w:val="left" w:pos="545"/>
              </w:tabs>
              <w:spacing w:before="0" w:after="0"/>
              <w:ind w:left="105"/>
              <w:jc w:val="center"/>
              <w:rPr>
                <w:rFonts w:ascii="Arial Narrow" w:hAnsi="Arial Narrow"/>
                <w:highlight w:val="black"/>
                <w:lang w:eastAsia="en-AU"/>
              </w:rPr>
            </w:pPr>
            <w:r>
              <w:rPr>
                <w:rFonts w:ascii="Arial Narrow" w:hAnsi="Arial Narrow"/>
                <w:noProof/>
                <w:color w:val="000000"/>
                <w:highlight w:val="black"/>
                <w:lang w:eastAsia="en-AU"/>
              </w:rPr>
              <w:t>'''''''''</w:t>
            </w:r>
          </w:p>
        </w:tc>
        <w:tc>
          <w:tcPr>
            <w:tcW w:w="1772" w:type="dxa"/>
            <w:tcBorders>
              <w:top w:val="nil"/>
              <w:left w:val="nil"/>
              <w:bottom w:val="single" w:sz="4" w:space="0" w:color="auto"/>
              <w:right w:val="single" w:sz="4" w:space="0" w:color="auto"/>
            </w:tcBorders>
            <w:shd w:val="clear" w:color="000000" w:fill="FFFFFF"/>
            <w:noWrap/>
            <w:vAlign w:val="center"/>
            <w:hideMark/>
          </w:tcPr>
          <w:p w:rsidR="004E3E77" w:rsidRPr="00B004D9" w:rsidRDefault="00B004D9" w:rsidP="009D23F3">
            <w:pPr>
              <w:pStyle w:val="TableText0"/>
              <w:keepNext/>
              <w:keepLines/>
              <w:tabs>
                <w:tab w:val="left" w:pos="545"/>
              </w:tabs>
              <w:spacing w:before="0" w:after="0"/>
              <w:ind w:left="105"/>
              <w:jc w:val="center"/>
              <w:rPr>
                <w:rFonts w:ascii="Arial Narrow" w:hAnsi="Arial Narrow"/>
                <w:highlight w:val="black"/>
                <w:lang w:eastAsia="en-AU"/>
              </w:rPr>
            </w:pPr>
            <w:r>
              <w:rPr>
                <w:rFonts w:ascii="Arial Narrow" w:hAnsi="Arial Narrow"/>
                <w:noProof/>
                <w:color w:val="000000"/>
                <w:highlight w:val="black"/>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single" w:sz="4" w:space="0" w:color="auto"/>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rPr>
                <w:rFonts w:ascii="Arial Narrow" w:hAnsi="Arial Narrow"/>
                <w:lang w:eastAsia="en-AU"/>
              </w:rPr>
            </w:pPr>
            <w:r w:rsidRPr="005705A7">
              <w:rPr>
                <w:rFonts w:ascii="Arial Narrow" w:hAnsi="Arial Narrow"/>
                <w:lang w:eastAsia="en-AU"/>
              </w:rPr>
              <w:t>Deaths</w:t>
            </w:r>
          </w:p>
        </w:tc>
        <w:tc>
          <w:tcPr>
            <w:tcW w:w="1772" w:type="dxa"/>
            <w:tcBorders>
              <w:top w:val="single" w:sz="4" w:space="0" w:color="auto"/>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4 (4</w:t>
            </w:r>
            <w:r w:rsidR="004A1713" w:rsidRPr="005705A7">
              <w:rPr>
                <w:rFonts w:ascii="Arial Narrow" w:hAnsi="Arial Narrow"/>
                <w:lang w:eastAsia="en-AU"/>
              </w:rPr>
              <w:t>%</w:t>
            </w:r>
            <w:r w:rsidRPr="005705A7">
              <w:rPr>
                <w:rFonts w:ascii="Arial Narrow" w:hAnsi="Arial Narrow"/>
                <w:lang w:eastAsia="en-AU"/>
              </w:rPr>
              <w:t>)</w:t>
            </w:r>
          </w:p>
        </w:tc>
        <w:tc>
          <w:tcPr>
            <w:tcW w:w="1772" w:type="dxa"/>
            <w:tcBorders>
              <w:top w:val="single" w:sz="4" w:space="0" w:color="auto"/>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5 (6</w:t>
            </w:r>
            <w:r w:rsidR="004A1713" w:rsidRPr="005705A7">
              <w:rPr>
                <w:rFonts w:ascii="Arial Narrow" w:hAnsi="Arial Narrow"/>
                <w:lang w:eastAsia="en-AU"/>
              </w:rPr>
              <w:t>%</w:t>
            </w:r>
            <w:r w:rsidRPr="005705A7">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single" w:sz="4" w:space="0" w:color="auto"/>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rPr>
                <w:rFonts w:ascii="Arial Narrow" w:hAnsi="Arial Narrow"/>
                <w:lang w:eastAsia="en-AU"/>
              </w:rPr>
            </w:pPr>
            <w:r w:rsidRPr="005705A7">
              <w:rPr>
                <w:rFonts w:ascii="Arial Narrow" w:hAnsi="Arial Narrow"/>
                <w:lang w:eastAsia="en-AU"/>
              </w:rPr>
              <w:t>Patients with at least one</w:t>
            </w:r>
          </w:p>
        </w:tc>
        <w:tc>
          <w:tcPr>
            <w:tcW w:w="1772" w:type="dxa"/>
            <w:tcBorders>
              <w:top w:val="single" w:sz="4" w:space="0" w:color="auto"/>
              <w:left w:val="nil"/>
              <w:right w:val="single" w:sz="4" w:space="0" w:color="auto"/>
            </w:tcBorders>
            <w:shd w:val="clear" w:color="000000" w:fill="FFFFFF"/>
            <w:noWrap/>
            <w:vAlign w:val="center"/>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p>
        </w:tc>
        <w:tc>
          <w:tcPr>
            <w:tcW w:w="1772" w:type="dxa"/>
            <w:tcBorders>
              <w:top w:val="single" w:sz="4" w:space="0" w:color="auto"/>
              <w:left w:val="nil"/>
              <w:right w:val="single" w:sz="4" w:space="0" w:color="auto"/>
            </w:tcBorders>
            <w:shd w:val="clear" w:color="000000" w:fill="FFFFFF"/>
            <w:noWrap/>
            <w:vAlign w:val="center"/>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right w:val="single" w:sz="4" w:space="0" w:color="auto"/>
            </w:tcBorders>
            <w:shd w:val="clear" w:color="000000" w:fill="FFFFFF"/>
            <w:noWrap/>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AE leading to death</w:t>
            </w:r>
          </w:p>
        </w:tc>
        <w:tc>
          <w:tcPr>
            <w:tcW w:w="1772" w:type="dxa"/>
            <w:tcBorders>
              <w:top w:val="nil"/>
              <w:left w:val="nil"/>
              <w:right w:val="single" w:sz="4" w:space="0" w:color="auto"/>
            </w:tcBorders>
            <w:shd w:val="clear" w:color="000000" w:fill="FFFFFF"/>
            <w:noWrap/>
            <w:vAlign w:val="center"/>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2 (2</w:t>
            </w:r>
            <w:r w:rsidR="004A1713" w:rsidRPr="005705A7">
              <w:rPr>
                <w:rFonts w:ascii="Arial Narrow" w:hAnsi="Arial Narrow"/>
                <w:lang w:eastAsia="en-AU"/>
              </w:rPr>
              <w:t>%</w:t>
            </w:r>
            <w:r w:rsidRPr="005705A7">
              <w:rPr>
                <w:rFonts w:ascii="Arial Narrow" w:hAnsi="Arial Narrow"/>
                <w:lang w:eastAsia="en-AU"/>
              </w:rPr>
              <w:t>)</w:t>
            </w:r>
          </w:p>
        </w:tc>
        <w:tc>
          <w:tcPr>
            <w:tcW w:w="1772" w:type="dxa"/>
            <w:tcBorders>
              <w:top w:val="nil"/>
              <w:left w:val="nil"/>
              <w:right w:val="single" w:sz="4" w:space="0" w:color="auto"/>
            </w:tcBorders>
            <w:shd w:val="clear" w:color="000000" w:fill="FFFFFF"/>
            <w:noWrap/>
            <w:vAlign w:val="center"/>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2 (2</w:t>
            </w:r>
            <w:r w:rsidR="004A1713" w:rsidRPr="005705A7">
              <w:rPr>
                <w:rFonts w:ascii="Arial Narrow" w:hAnsi="Arial Narrow"/>
                <w:lang w:eastAsia="en-AU"/>
              </w:rPr>
              <w:t>%</w:t>
            </w:r>
            <w:r w:rsidRPr="005705A7">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Serious AE</w:t>
            </w:r>
          </w:p>
        </w:tc>
        <w:tc>
          <w:tcPr>
            <w:tcW w:w="1772" w:type="dxa"/>
            <w:tcBorders>
              <w:top w:val="nil"/>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29 (33</w:t>
            </w:r>
            <w:r w:rsidR="004A1713" w:rsidRPr="005705A7">
              <w:rPr>
                <w:rFonts w:ascii="Arial Narrow" w:hAnsi="Arial Narrow"/>
                <w:lang w:eastAsia="en-AU"/>
              </w:rPr>
              <w:t>%</w:t>
            </w:r>
            <w:r w:rsidRPr="005705A7">
              <w:rPr>
                <w:rFonts w:ascii="Arial Narrow" w:hAnsi="Arial Narrow"/>
                <w:lang w:eastAsia="en-AU"/>
              </w:rPr>
              <w:t>)</w:t>
            </w:r>
          </w:p>
        </w:tc>
        <w:tc>
          <w:tcPr>
            <w:tcW w:w="1772" w:type="dxa"/>
            <w:tcBorders>
              <w:top w:val="nil"/>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25 (29</w:t>
            </w:r>
            <w:r w:rsidR="004A1713" w:rsidRPr="005705A7">
              <w:rPr>
                <w:rFonts w:ascii="Arial Narrow" w:hAnsi="Arial Narrow"/>
                <w:lang w:eastAsia="en-AU"/>
              </w:rPr>
              <w:t>%</w:t>
            </w:r>
            <w:r w:rsidRPr="005705A7">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Serious AE leading to withdrawal from treatment</w:t>
            </w:r>
          </w:p>
        </w:tc>
        <w:tc>
          <w:tcPr>
            <w:tcW w:w="1772" w:type="dxa"/>
            <w:tcBorders>
              <w:top w:val="nil"/>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1 (1</w:t>
            </w:r>
            <w:r w:rsidR="004A1713" w:rsidRPr="005705A7">
              <w:rPr>
                <w:rFonts w:ascii="Arial Narrow" w:hAnsi="Arial Narrow"/>
                <w:lang w:eastAsia="en-AU"/>
              </w:rPr>
              <w:t>%</w:t>
            </w:r>
            <w:r w:rsidRPr="005705A7">
              <w:rPr>
                <w:rFonts w:ascii="Arial Narrow" w:hAnsi="Arial Narrow"/>
                <w:lang w:eastAsia="en-AU"/>
              </w:rPr>
              <w:t>)</w:t>
            </w:r>
          </w:p>
        </w:tc>
        <w:tc>
          <w:tcPr>
            <w:tcW w:w="1772" w:type="dxa"/>
            <w:tcBorders>
              <w:top w:val="nil"/>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3 (4</w:t>
            </w:r>
            <w:r w:rsidR="004A1713" w:rsidRPr="005705A7">
              <w:rPr>
                <w:rFonts w:ascii="Arial Narrow" w:hAnsi="Arial Narrow"/>
                <w:lang w:eastAsia="en-AU"/>
              </w:rPr>
              <w:t>%</w:t>
            </w:r>
            <w:r w:rsidRPr="005705A7">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Serious AE leading to dose modification/interruption</w:t>
            </w:r>
          </w:p>
        </w:tc>
        <w:tc>
          <w:tcPr>
            <w:tcW w:w="1772" w:type="dxa"/>
            <w:tcBorders>
              <w:top w:val="nil"/>
              <w:left w:val="nil"/>
              <w:right w:val="single" w:sz="4" w:space="0" w:color="auto"/>
            </w:tcBorders>
            <w:shd w:val="clear" w:color="000000" w:fill="FFFFFF"/>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1 (1</w:t>
            </w:r>
            <w:r w:rsidR="004A1713" w:rsidRPr="005705A7">
              <w:rPr>
                <w:rFonts w:ascii="Arial Narrow" w:hAnsi="Arial Narrow"/>
                <w:lang w:eastAsia="en-AU"/>
              </w:rPr>
              <w:t>%</w:t>
            </w:r>
            <w:r w:rsidRPr="005705A7">
              <w:rPr>
                <w:rFonts w:ascii="Arial Narrow" w:hAnsi="Arial Narrow"/>
                <w:lang w:eastAsia="en-AU"/>
              </w:rPr>
              <w:t>)</w:t>
            </w:r>
          </w:p>
        </w:tc>
        <w:tc>
          <w:tcPr>
            <w:tcW w:w="1772" w:type="dxa"/>
            <w:tcBorders>
              <w:top w:val="nil"/>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1 (1</w:t>
            </w:r>
            <w:r w:rsidR="004A1713" w:rsidRPr="005705A7">
              <w:rPr>
                <w:rFonts w:ascii="Arial Narrow" w:hAnsi="Arial Narrow"/>
                <w:lang w:eastAsia="en-AU"/>
              </w:rPr>
              <w:t>%</w:t>
            </w:r>
            <w:r w:rsidRPr="005705A7">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Treatment-related serious AE</w:t>
            </w:r>
          </w:p>
        </w:tc>
        <w:tc>
          <w:tcPr>
            <w:tcW w:w="1772" w:type="dxa"/>
            <w:tcBorders>
              <w:top w:val="nil"/>
              <w:left w:val="nil"/>
              <w:right w:val="single" w:sz="4" w:space="0" w:color="auto"/>
            </w:tcBorders>
            <w:shd w:val="clear" w:color="000000" w:fill="FFFFFF"/>
            <w:vAlign w:val="center"/>
            <w:hideMark/>
          </w:tcPr>
          <w:p w:rsidR="004E3E77" w:rsidRPr="005705A7" w:rsidRDefault="00B004D9" w:rsidP="009D23F3">
            <w:pPr>
              <w:pStyle w:val="TableText0"/>
              <w:keepNext/>
              <w:keepLines/>
              <w:tabs>
                <w:tab w:val="left" w:pos="545"/>
              </w:tabs>
              <w:spacing w:before="0" w:after="0"/>
              <w:ind w:left="105"/>
              <w:jc w:val="center"/>
              <w:rPr>
                <w:rFonts w:ascii="Arial Narrow" w:hAnsi="Arial Narrow"/>
                <w:lang w:eastAsia="en-AU"/>
              </w:rPr>
            </w:pPr>
            <w:r>
              <w:rPr>
                <w:rFonts w:ascii="Arial Narrow" w:hAnsi="Arial Narrow"/>
                <w:noProof/>
                <w:color w:val="000000"/>
                <w:highlight w:val="black"/>
                <w:lang w:eastAsia="en-AU"/>
              </w:rPr>
              <w:t>'''''</w:t>
            </w:r>
            <w:r w:rsidR="004E3E77" w:rsidRPr="00DB3D71">
              <w:rPr>
                <w:rFonts w:ascii="Arial Narrow" w:hAnsi="Arial Narrow"/>
                <w:lang w:eastAsia="en-AU"/>
              </w:rPr>
              <w:t xml:space="preserve"> (</w:t>
            </w:r>
            <w:r>
              <w:rPr>
                <w:rFonts w:ascii="Arial Narrow" w:hAnsi="Arial Narrow"/>
                <w:noProof/>
                <w:color w:val="000000"/>
                <w:highlight w:val="black"/>
                <w:lang w:eastAsia="en-AU"/>
              </w:rPr>
              <w:t>''''''</w:t>
            </w:r>
            <w:r w:rsidR="004A1713" w:rsidRPr="00DB3D71">
              <w:rPr>
                <w:rFonts w:ascii="Arial Narrow" w:hAnsi="Arial Narrow"/>
                <w:lang w:eastAsia="en-AU"/>
              </w:rPr>
              <w:t>%</w:t>
            </w:r>
            <w:r w:rsidR="004E3E77" w:rsidRPr="00DB3D71">
              <w:rPr>
                <w:rFonts w:ascii="Arial Narrow" w:hAnsi="Arial Narrow"/>
                <w:lang w:eastAsia="en-AU"/>
              </w:rPr>
              <w:t>)</w:t>
            </w:r>
          </w:p>
        </w:tc>
        <w:tc>
          <w:tcPr>
            <w:tcW w:w="1772" w:type="dxa"/>
            <w:tcBorders>
              <w:top w:val="nil"/>
              <w:left w:val="nil"/>
              <w:right w:val="single" w:sz="4" w:space="0" w:color="auto"/>
            </w:tcBorders>
            <w:shd w:val="clear" w:color="000000" w:fill="FFFFFF"/>
            <w:noWrap/>
            <w:vAlign w:val="center"/>
            <w:hideMark/>
          </w:tcPr>
          <w:p w:rsidR="004E3E77" w:rsidRPr="005705A7" w:rsidRDefault="00B004D9" w:rsidP="009D23F3">
            <w:pPr>
              <w:pStyle w:val="TableText0"/>
              <w:keepNext/>
              <w:keepLines/>
              <w:tabs>
                <w:tab w:val="left" w:pos="545"/>
              </w:tabs>
              <w:spacing w:before="0" w:after="0"/>
              <w:ind w:left="105"/>
              <w:jc w:val="center"/>
              <w:rPr>
                <w:rFonts w:ascii="Arial Narrow" w:hAnsi="Arial Narrow"/>
                <w:lang w:eastAsia="en-AU"/>
              </w:rPr>
            </w:pPr>
            <w:r>
              <w:rPr>
                <w:rFonts w:ascii="Arial Narrow" w:hAnsi="Arial Narrow"/>
                <w:noProof/>
                <w:color w:val="000000"/>
                <w:highlight w:val="black"/>
                <w:lang w:eastAsia="en-AU"/>
              </w:rPr>
              <w:t>''''''</w:t>
            </w:r>
            <w:r w:rsidR="004E3E77" w:rsidRPr="00DB3D71">
              <w:rPr>
                <w:rFonts w:ascii="Arial Narrow" w:hAnsi="Arial Narrow"/>
                <w:lang w:eastAsia="en-AU"/>
              </w:rPr>
              <w:t xml:space="preserve"> (</w:t>
            </w:r>
            <w:r>
              <w:rPr>
                <w:rFonts w:ascii="Arial Narrow" w:hAnsi="Arial Narrow"/>
                <w:noProof/>
                <w:color w:val="000000"/>
                <w:highlight w:val="black"/>
                <w:lang w:eastAsia="en-AU"/>
              </w:rPr>
              <w:t>''''''</w:t>
            </w:r>
            <w:r w:rsidR="004A1713" w:rsidRPr="00DB3D71">
              <w:rPr>
                <w:rFonts w:ascii="Arial Narrow" w:hAnsi="Arial Narrow"/>
                <w:lang w:eastAsia="en-AU"/>
              </w:rPr>
              <w:t>%</w:t>
            </w:r>
            <w:r w:rsidR="004E3E77" w:rsidRPr="00DB3D71">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AE leading to withdrawal from treatment</w:t>
            </w:r>
          </w:p>
        </w:tc>
        <w:tc>
          <w:tcPr>
            <w:tcW w:w="1772" w:type="dxa"/>
            <w:tcBorders>
              <w:top w:val="nil"/>
              <w:left w:val="nil"/>
              <w:right w:val="single" w:sz="4" w:space="0" w:color="auto"/>
            </w:tcBorders>
            <w:shd w:val="clear" w:color="000000" w:fill="FFFFFF"/>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7 (8</w:t>
            </w:r>
            <w:r w:rsidR="004A1713" w:rsidRPr="005705A7">
              <w:rPr>
                <w:rFonts w:ascii="Arial Narrow" w:hAnsi="Arial Narrow"/>
                <w:lang w:eastAsia="en-AU"/>
              </w:rPr>
              <w:t>%</w:t>
            </w:r>
            <w:r w:rsidRPr="005705A7">
              <w:rPr>
                <w:rFonts w:ascii="Arial Narrow" w:hAnsi="Arial Narrow"/>
                <w:lang w:eastAsia="en-AU"/>
              </w:rPr>
              <w:t>)</w:t>
            </w:r>
          </w:p>
        </w:tc>
        <w:tc>
          <w:tcPr>
            <w:tcW w:w="1772" w:type="dxa"/>
            <w:tcBorders>
              <w:top w:val="nil"/>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9 (11</w:t>
            </w:r>
            <w:r w:rsidR="004A1713" w:rsidRPr="005705A7">
              <w:rPr>
                <w:rFonts w:ascii="Arial Narrow" w:hAnsi="Arial Narrow"/>
                <w:lang w:eastAsia="en-AU"/>
              </w:rPr>
              <w:t>%</w:t>
            </w:r>
            <w:r w:rsidRPr="005705A7">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AE leading to dose modification/interruption</w:t>
            </w:r>
          </w:p>
        </w:tc>
        <w:tc>
          <w:tcPr>
            <w:tcW w:w="1772" w:type="dxa"/>
            <w:tcBorders>
              <w:top w:val="nil"/>
              <w:left w:val="nil"/>
              <w:right w:val="single" w:sz="4" w:space="0" w:color="auto"/>
            </w:tcBorders>
            <w:shd w:val="clear" w:color="000000" w:fill="FFFFFF"/>
            <w:noWrap/>
            <w:vAlign w:val="center"/>
            <w:hideMark/>
          </w:tcPr>
          <w:p w:rsidR="004E3E77" w:rsidRPr="00B004D9" w:rsidRDefault="00B004D9" w:rsidP="009D23F3">
            <w:pPr>
              <w:pStyle w:val="TableText0"/>
              <w:keepNext/>
              <w:keepLines/>
              <w:tabs>
                <w:tab w:val="left" w:pos="545"/>
              </w:tabs>
              <w:spacing w:before="0" w:after="0"/>
              <w:ind w:left="105"/>
              <w:jc w:val="center"/>
              <w:rPr>
                <w:rFonts w:ascii="Arial Narrow" w:hAnsi="Arial Narrow"/>
                <w:lang w:eastAsia="en-AU"/>
              </w:rPr>
            </w:pPr>
            <w:r>
              <w:rPr>
                <w:rFonts w:ascii="Arial Narrow" w:hAnsi="Arial Narrow"/>
                <w:noProof/>
                <w:color w:val="000000"/>
                <w:highlight w:val="black"/>
                <w:lang w:eastAsia="en-AU"/>
              </w:rPr>
              <w:t>'''''</w:t>
            </w:r>
            <w:r w:rsidR="004E3E77" w:rsidRPr="00DB3D71">
              <w:rPr>
                <w:rFonts w:ascii="Arial Narrow" w:hAnsi="Arial Narrow"/>
                <w:lang w:eastAsia="en-AU"/>
              </w:rPr>
              <w:t xml:space="preserve"> (</w:t>
            </w:r>
            <w:r>
              <w:rPr>
                <w:rFonts w:ascii="Arial Narrow" w:hAnsi="Arial Narrow"/>
                <w:noProof/>
                <w:color w:val="000000"/>
                <w:highlight w:val="black"/>
                <w:lang w:eastAsia="en-AU"/>
              </w:rPr>
              <w:t>''''''</w:t>
            </w:r>
            <w:r w:rsidR="004A1713" w:rsidRPr="00DB3D71">
              <w:rPr>
                <w:rFonts w:ascii="Arial Narrow" w:hAnsi="Arial Narrow"/>
                <w:lang w:eastAsia="en-AU"/>
              </w:rPr>
              <w:t>%</w:t>
            </w:r>
            <w:r w:rsidR="004E3E77" w:rsidRPr="00DB3D71">
              <w:rPr>
                <w:rFonts w:ascii="Arial Narrow" w:hAnsi="Arial Narrow"/>
                <w:lang w:eastAsia="en-AU"/>
              </w:rPr>
              <w:t>)</w:t>
            </w:r>
          </w:p>
        </w:tc>
        <w:tc>
          <w:tcPr>
            <w:tcW w:w="1772" w:type="dxa"/>
            <w:tcBorders>
              <w:top w:val="nil"/>
              <w:left w:val="nil"/>
              <w:right w:val="single" w:sz="4" w:space="0" w:color="auto"/>
            </w:tcBorders>
            <w:shd w:val="clear" w:color="000000" w:fill="FFFFFF"/>
            <w:noWrap/>
            <w:vAlign w:val="center"/>
            <w:hideMark/>
          </w:tcPr>
          <w:p w:rsidR="004E3E77" w:rsidRPr="00B004D9" w:rsidRDefault="00B004D9" w:rsidP="009D23F3">
            <w:pPr>
              <w:pStyle w:val="TableText0"/>
              <w:keepNext/>
              <w:keepLines/>
              <w:tabs>
                <w:tab w:val="left" w:pos="545"/>
              </w:tabs>
              <w:spacing w:before="0" w:after="0"/>
              <w:ind w:left="105"/>
              <w:jc w:val="center"/>
              <w:rPr>
                <w:rFonts w:ascii="Arial Narrow" w:hAnsi="Arial Narrow"/>
                <w:lang w:eastAsia="en-AU"/>
              </w:rPr>
            </w:pPr>
            <w:r>
              <w:rPr>
                <w:rFonts w:ascii="Arial Narrow" w:hAnsi="Arial Narrow"/>
                <w:noProof/>
                <w:color w:val="000000"/>
                <w:highlight w:val="black"/>
                <w:lang w:eastAsia="en-AU"/>
              </w:rPr>
              <w:t>'''''''</w:t>
            </w:r>
            <w:r w:rsidR="004E3E77" w:rsidRPr="00DB3D71">
              <w:rPr>
                <w:rFonts w:ascii="Arial Narrow" w:hAnsi="Arial Narrow"/>
                <w:lang w:eastAsia="en-AU"/>
              </w:rPr>
              <w:t xml:space="preserve"> (</w:t>
            </w:r>
            <w:r>
              <w:rPr>
                <w:rFonts w:ascii="Arial Narrow" w:hAnsi="Arial Narrow"/>
                <w:noProof/>
                <w:color w:val="000000"/>
                <w:highlight w:val="black"/>
                <w:lang w:eastAsia="en-AU"/>
              </w:rPr>
              <w:t>''''''</w:t>
            </w:r>
            <w:r w:rsidR="004A1713" w:rsidRPr="00DB3D71">
              <w:rPr>
                <w:rFonts w:ascii="Arial Narrow" w:hAnsi="Arial Narrow"/>
                <w:lang w:eastAsia="en-AU"/>
              </w:rPr>
              <w:t>%</w:t>
            </w:r>
            <w:r w:rsidR="004E3E77" w:rsidRPr="00DB3D71">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Treatment-related AE</w:t>
            </w:r>
          </w:p>
        </w:tc>
        <w:tc>
          <w:tcPr>
            <w:tcW w:w="1772" w:type="dxa"/>
            <w:tcBorders>
              <w:top w:val="nil"/>
              <w:left w:val="nil"/>
              <w:right w:val="single" w:sz="4" w:space="0" w:color="auto"/>
            </w:tcBorders>
            <w:shd w:val="clear" w:color="000000" w:fill="FFFFFF"/>
            <w:noWrap/>
            <w:vAlign w:val="center"/>
            <w:hideMark/>
          </w:tcPr>
          <w:p w:rsidR="004E3E77" w:rsidRPr="00B004D9" w:rsidRDefault="00B004D9" w:rsidP="009D23F3">
            <w:pPr>
              <w:pStyle w:val="TableText0"/>
              <w:keepNext/>
              <w:keepLines/>
              <w:tabs>
                <w:tab w:val="left" w:pos="545"/>
              </w:tabs>
              <w:spacing w:before="0" w:after="0"/>
              <w:ind w:left="105"/>
              <w:jc w:val="center"/>
              <w:rPr>
                <w:rFonts w:ascii="Arial Narrow" w:hAnsi="Arial Narrow"/>
                <w:lang w:eastAsia="en-AU"/>
              </w:rPr>
            </w:pPr>
            <w:r>
              <w:rPr>
                <w:rFonts w:ascii="Arial Narrow" w:hAnsi="Arial Narrow"/>
                <w:noProof/>
                <w:color w:val="000000"/>
                <w:highlight w:val="black"/>
                <w:lang w:eastAsia="en-AU"/>
              </w:rPr>
              <w:t>''''''</w:t>
            </w:r>
            <w:r w:rsidR="004E3E77" w:rsidRPr="00DB3D71">
              <w:rPr>
                <w:rFonts w:ascii="Arial Narrow" w:hAnsi="Arial Narrow"/>
                <w:lang w:eastAsia="en-AU"/>
              </w:rPr>
              <w:t xml:space="preserve"> (</w:t>
            </w:r>
            <w:r>
              <w:rPr>
                <w:rFonts w:ascii="Arial Narrow" w:hAnsi="Arial Narrow"/>
                <w:noProof/>
                <w:color w:val="000000"/>
                <w:highlight w:val="black"/>
                <w:lang w:eastAsia="en-AU"/>
              </w:rPr>
              <w:t>''''''</w:t>
            </w:r>
            <w:r w:rsidR="004A1713" w:rsidRPr="00DB3D71">
              <w:rPr>
                <w:rFonts w:ascii="Arial Narrow" w:hAnsi="Arial Narrow"/>
                <w:lang w:eastAsia="en-AU"/>
              </w:rPr>
              <w:t>%</w:t>
            </w:r>
            <w:r w:rsidR="004E3E77" w:rsidRPr="00DB3D71">
              <w:rPr>
                <w:rFonts w:ascii="Arial Narrow" w:hAnsi="Arial Narrow"/>
                <w:lang w:eastAsia="en-AU"/>
              </w:rPr>
              <w:t>)</w:t>
            </w:r>
          </w:p>
        </w:tc>
        <w:tc>
          <w:tcPr>
            <w:tcW w:w="1772" w:type="dxa"/>
            <w:tcBorders>
              <w:top w:val="nil"/>
              <w:left w:val="nil"/>
              <w:right w:val="single" w:sz="4" w:space="0" w:color="auto"/>
            </w:tcBorders>
            <w:shd w:val="clear" w:color="000000" w:fill="FFFFFF"/>
            <w:noWrap/>
            <w:vAlign w:val="center"/>
            <w:hideMark/>
          </w:tcPr>
          <w:p w:rsidR="004E3E77" w:rsidRPr="00B004D9" w:rsidRDefault="00B004D9" w:rsidP="009D23F3">
            <w:pPr>
              <w:pStyle w:val="TableText0"/>
              <w:keepNext/>
              <w:keepLines/>
              <w:tabs>
                <w:tab w:val="left" w:pos="545"/>
              </w:tabs>
              <w:spacing w:before="0" w:after="0"/>
              <w:ind w:left="105"/>
              <w:jc w:val="center"/>
              <w:rPr>
                <w:rFonts w:ascii="Arial Narrow" w:hAnsi="Arial Narrow"/>
                <w:lang w:eastAsia="en-AU"/>
              </w:rPr>
            </w:pPr>
            <w:r>
              <w:rPr>
                <w:rFonts w:ascii="Arial Narrow" w:hAnsi="Arial Narrow"/>
                <w:noProof/>
                <w:color w:val="000000"/>
                <w:highlight w:val="black"/>
                <w:lang w:eastAsia="en-AU"/>
              </w:rPr>
              <w:t>''''''</w:t>
            </w:r>
            <w:r w:rsidR="004E3E77" w:rsidRPr="00DB3D71">
              <w:rPr>
                <w:rFonts w:ascii="Arial Narrow" w:hAnsi="Arial Narrow"/>
                <w:lang w:eastAsia="en-AU"/>
              </w:rPr>
              <w:t xml:space="preserve"> (</w:t>
            </w:r>
            <w:r>
              <w:rPr>
                <w:rFonts w:ascii="Arial Narrow" w:hAnsi="Arial Narrow"/>
                <w:noProof/>
                <w:color w:val="000000"/>
                <w:highlight w:val="black"/>
                <w:lang w:eastAsia="en-AU"/>
              </w:rPr>
              <w:t>'''''</w:t>
            </w:r>
            <w:r w:rsidR="004A1713" w:rsidRPr="00DB3D71">
              <w:rPr>
                <w:rFonts w:ascii="Arial Narrow" w:hAnsi="Arial Narrow"/>
                <w:lang w:eastAsia="en-AU"/>
              </w:rPr>
              <w:t>%</w:t>
            </w:r>
            <w:r w:rsidR="004E3E77" w:rsidRPr="00DB3D71">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Treatment-related AE leading to withdrawal from treatment</w:t>
            </w:r>
          </w:p>
        </w:tc>
        <w:tc>
          <w:tcPr>
            <w:tcW w:w="1772" w:type="dxa"/>
            <w:tcBorders>
              <w:top w:val="nil"/>
              <w:left w:val="nil"/>
              <w:right w:val="single" w:sz="4" w:space="0" w:color="auto"/>
            </w:tcBorders>
            <w:shd w:val="clear" w:color="000000" w:fill="FFFFFF"/>
            <w:noWrap/>
            <w:vAlign w:val="center"/>
            <w:hideMark/>
          </w:tcPr>
          <w:p w:rsidR="004E3E77" w:rsidRPr="00B004D9" w:rsidRDefault="00B004D9" w:rsidP="009D23F3">
            <w:pPr>
              <w:pStyle w:val="TableText0"/>
              <w:keepNext/>
              <w:keepLines/>
              <w:tabs>
                <w:tab w:val="left" w:pos="545"/>
              </w:tabs>
              <w:spacing w:before="0" w:after="0"/>
              <w:ind w:left="105"/>
              <w:jc w:val="center"/>
              <w:rPr>
                <w:rFonts w:ascii="Arial Narrow" w:hAnsi="Arial Narrow"/>
                <w:lang w:eastAsia="en-AU"/>
              </w:rPr>
            </w:pPr>
            <w:r>
              <w:rPr>
                <w:rFonts w:ascii="Arial Narrow" w:hAnsi="Arial Narrow"/>
                <w:noProof/>
                <w:color w:val="000000"/>
                <w:highlight w:val="black"/>
                <w:lang w:eastAsia="en-AU"/>
              </w:rPr>
              <w:t>''''</w:t>
            </w:r>
            <w:r w:rsidR="004E3E77" w:rsidRPr="00DB3D71">
              <w:rPr>
                <w:rFonts w:ascii="Arial Narrow" w:hAnsi="Arial Narrow"/>
                <w:lang w:eastAsia="en-AU"/>
              </w:rPr>
              <w:t xml:space="preserve"> (</w:t>
            </w:r>
            <w:r>
              <w:rPr>
                <w:rFonts w:ascii="Arial Narrow" w:hAnsi="Arial Narrow"/>
                <w:noProof/>
                <w:color w:val="000000"/>
                <w:highlight w:val="black"/>
                <w:lang w:eastAsia="en-AU"/>
              </w:rPr>
              <w:t>'''</w:t>
            </w:r>
            <w:r w:rsidR="004A1713" w:rsidRPr="00DB3D71">
              <w:rPr>
                <w:rFonts w:ascii="Arial Narrow" w:hAnsi="Arial Narrow"/>
                <w:lang w:eastAsia="en-AU"/>
              </w:rPr>
              <w:t>%</w:t>
            </w:r>
            <w:r w:rsidR="004E3E77" w:rsidRPr="00DB3D71">
              <w:rPr>
                <w:rFonts w:ascii="Arial Narrow" w:hAnsi="Arial Narrow"/>
                <w:lang w:eastAsia="en-AU"/>
              </w:rPr>
              <w:t>)</w:t>
            </w:r>
          </w:p>
        </w:tc>
        <w:tc>
          <w:tcPr>
            <w:tcW w:w="1772" w:type="dxa"/>
            <w:tcBorders>
              <w:top w:val="nil"/>
              <w:left w:val="nil"/>
              <w:right w:val="single" w:sz="4" w:space="0" w:color="auto"/>
            </w:tcBorders>
            <w:shd w:val="clear" w:color="000000" w:fill="FFFFFF"/>
            <w:noWrap/>
            <w:vAlign w:val="center"/>
            <w:hideMark/>
          </w:tcPr>
          <w:p w:rsidR="004E3E77" w:rsidRPr="00B004D9" w:rsidRDefault="00B004D9" w:rsidP="009D23F3">
            <w:pPr>
              <w:pStyle w:val="TableText0"/>
              <w:keepNext/>
              <w:keepLines/>
              <w:tabs>
                <w:tab w:val="left" w:pos="545"/>
              </w:tabs>
              <w:spacing w:before="0" w:after="0"/>
              <w:ind w:left="105"/>
              <w:jc w:val="center"/>
              <w:rPr>
                <w:rFonts w:ascii="Arial Narrow" w:hAnsi="Arial Narrow"/>
                <w:lang w:eastAsia="en-AU"/>
              </w:rPr>
            </w:pPr>
            <w:r>
              <w:rPr>
                <w:rFonts w:ascii="Arial Narrow" w:hAnsi="Arial Narrow"/>
                <w:noProof/>
                <w:color w:val="000000"/>
                <w:highlight w:val="black"/>
                <w:lang w:eastAsia="en-AU"/>
              </w:rPr>
              <w:t>''''</w:t>
            </w:r>
            <w:r w:rsidR="004E3E77" w:rsidRPr="00DB3D71">
              <w:rPr>
                <w:rFonts w:ascii="Arial Narrow" w:hAnsi="Arial Narrow"/>
                <w:lang w:eastAsia="en-AU"/>
              </w:rPr>
              <w:t xml:space="preserve"> (</w:t>
            </w:r>
            <w:r>
              <w:rPr>
                <w:rFonts w:ascii="Arial Narrow" w:hAnsi="Arial Narrow"/>
                <w:noProof/>
                <w:color w:val="000000"/>
                <w:highlight w:val="black"/>
                <w:lang w:eastAsia="en-AU"/>
              </w:rPr>
              <w:t>''''</w:t>
            </w:r>
            <w:r w:rsidR="004A1713" w:rsidRPr="00DB3D71">
              <w:rPr>
                <w:rFonts w:ascii="Arial Narrow" w:hAnsi="Arial Narrow"/>
                <w:lang w:eastAsia="en-AU"/>
              </w:rPr>
              <w:t>%</w:t>
            </w:r>
            <w:r w:rsidR="004E3E77" w:rsidRPr="00DB3D71">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Treatment-related AE leading to dose modification/interruption</w:t>
            </w:r>
          </w:p>
        </w:tc>
        <w:tc>
          <w:tcPr>
            <w:tcW w:w="1772" w:type="dxa"/>
            <w:tcBorders>
              <w:top w:val="nil"/>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26 (29</w:t>
            </w:r>
            <w:r w:rsidR="004A1713" w:rsidRPr="005705A7">
              <w:rPr>
                <w:rFonts w:ascii="Arial Narrow" w:hAnsi="Arial Narrow"/>
                <w:lang w:eastAsia="en-AU"/>
              </w:rPr>
              <w:t>%</w:t>
            </w:r>
            <w:r w:rsidRPr="005705A7">
              <w:rPr>
                <w:rFonts w:ascii="Arial Narrow" w:hAnsi="Arial Narrow"/>
                <w:lang w:eastAsia="en-AU"/>
              </w:rPr>
              <w:t>)</w:t>
            </w:r>
          </w:p>
        </w:tc>
        <w:tc>
          <w:tcPr>
            <w:tcW w:w="1772" w:type="dxa"/>
            <w:tcBorders>
              <w:top w:val="nil"/>
              <w:left w:val="nil"/>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21 (25</w:t>
            </w:r>
            <w:r w:rsidR="004A1713" w:rsidRPr="005705A7">
              <w:rPr>
                <w:rFonts w:ascii="Arial Narrow" w:hAnsi="Arial Narrow"/>
                <w:lang w:eastAsia="en-AU"/>
              </w:rPr>
              <w:t>%</w:t>
            </w:r>
            <w:r w:rsidRPr="005705A7">
              <w:rPr>
                <w:rFonts w:ascii="Arial Narrow" w:hAnsi="Arial Narrow"/>
                <w:lang w:eastAsia="en-AU"/>
              </w:rPr>
              <w:t>)</w:t>
            </w:r>
          </w:p>
        </w:tc>
      </w:tr>
      <w:tr w:rsidR="004E3E77" w:rsidRPr="00CF7AC6" w:rsidTr="009D23F3">
        <w:tblPrEx>
          <w:tblLook w:val="04A0" w:firstRow="1" w:lastRow="0" w:firstColumn="1" w:lastColumn="0" w:noHBand="0" w:noVBand="1"/>
        </w:tblPrEx>
        <w:trPr>
          <w:trHeight w:val="283"/>
          <w:jc w:val="center"/>
        </w:trPr>
        <w:tc>
          <w:tcPr>
            <w:tcW w:w="4211" w:type="dxa"/>
            <w:tcBorders>
              <w:top w:val="nil"/>
              <w:left w:val="single" w:sz="4" w:space="0" w:color="auto"/>
              <w:bottom w:val="single" w:sz="4" w:space="0" w:color="auto"/>
              <w:right w:val="single" w:sz="4" w:space="0" w:color="auto"/>
            </w:tcBorders>
            <w:shd w:val="clear" w:color="000000" w:fill="FFFFFF"/>
            <w:noWrap/>
            <w:hideMark/>
          </w:tcPr>
          <w:p w:rsidR="004E3E77" w:rsidRPr="005705A7" w:rsidRDefault="004E3E77" w:rsidP="009D23F3">
            <w:pPr>
              <w:pStyle w:val="TableText0"/>
              <w:keepNext/>
              <w:keepLines/>
              <w:spacing w:before="0" w:after="0"/>
              <w:ind w:left="318"/>
              <w:rPr>
                <w:rFonts w:ascii="Arial Narrow" w:hAnsi="Arial Narrow"/>
                <w:lang w:eastAsia="en-AU"/>
              </w:rPr>
            </w:pPr>
            <w:r w:rsidRPr="005705A7">
              <w:rPr>
                <w:rFonts w:ascii="Arial Narrow" w:hAnsi="Arial Narrow"/>
                <w:lang w:eastAsia="en-AU"/>
              </w:rPr>
              <w:t>Severe AE</w:t>
            </w:r>
          </w:p>
        </w:tc>
        <w:tc>
          <w:tcPr>
            <w:tcW w:w="1772" w:type="dxa"/>
            <w:tcBorders>
              <w:top w:val="nil"/>
              <w:left w:val="nil"/>
              <w:bottom w:val="single" w:sz="4" w:space="0" w:color="auto"/>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63 (71</w:t>
            </w:r>
            <w:r w:rsidR="004A1713" w:rsidRPr="005705A7">
              <w:rPr>
                <w:rFonts w:ascii="Arial Narrow" w:hAnsi="Arial Narrow"/>
                <w:lang w:eastAsia="en-AU"/>
              </w:rPr>
              <w:t>%</w:t>
            </w:r>
            <w:r w:rsidRPr="005705A7">
              <w:rPr>
                <w:rFonts w:ascii="Arial Narrow" w:hAnsi="Arial Narrow"/>
                <w:lang w:eastAsia="en-AU"/>
              </w:rPr>
              <w:t>)</w:t>
            </w:r>
          </w:p>
        </w:tc>
        <w:tc>
          <w:tcPr>
            <w:tcW w:w="1772" w:type="dxa"/>
            <w:tcBorders>
              <w:top w:val="nil"/>
              <w:left w:val="nil"/>
              <w:bottom w:val="single" w:sz="4" w:space="0" w:color="auto"/>
              <w:right w:val="single" w:sz="4" w:space="0" w:color="auto"/>
            </w:tcBorders>
            <w:shd w:val="clear" w:color="000000" w:fill="FFFFFF"/>
            <w:noWrap/>
            <w:vAlign w:val="center"/>
            <w:hideMark/>
          </w:tcPr>
          <w:p w:rsidR="004E3E77" w:rsidRPr="005705A7" w:rsidRDefault="004E3E77" w:rsidP="009D23F3">
            <w:pPr>
              <w:pStyle w:val="TableText0"/>
              <w:keepNext/>
              <w:keepLines/>
              <w:tabs>
                <w:tab w:val="left" w:pos="545"/>
              </w:tabs>
              <w:spacing w:before="0" w:after="0"/>
              <w:ind w:left="105"/>
              <w:jc w:val="center"/>
              <w:rPr>
                <w:rFonts w:ascii="Arial Narrow" w:hAnsi="Arial Narrow"/>
                <w:lang w:eastAsia="en-AU"/>
              </w:rPr>
            </w:pPr>
            <w:r w:rsidRPr="005705A7">
              <w:rPr>
                <w:rFonts w:ascii="Arial Narrow" w:hAnsi="Arial Narrow"/>
                <w:lang w:eastAsia="en-AU"/>
              </w:rPr>
              <w:t>59 (69</w:t>
            </w:r>
            <w:r w:rsidR="004A1713" w:rsidRPr="005705A7">
              <w:rPr>
                <w:rFonts w:ascii="Arial Narrow" w:hAnsi="Arial Narrow"/>
                <w:lang w:eastAsia="en-AU"/>
              </w:rPr>
              <w:t>%</w:t>
            </w:r>
            <w:r w:rsidRPr="005705A7">
              <w:rPr>
                <w:rFonts w:ascii="Arial Narrow" w:hAnsi="Arial Narrow"/>
                <w:lang w:eastAsia="en-AU"/>
              </w:rPr>
              <w:t>)</w:t>
            </w:r>
          </w:p>
        </w:tc>
      </w:tr>
    </w:tbl>
    <w:p w:rsidR="004E3E77" w:rsidRPr="001E416F" w:rsidRDefault="004E3E77" w:rsidP="001E416F">
      <w:pPr>
        <w:ind w:firstLine="720"/>
        <w:contextualSpacing/>
        <w:jc w:val="both"/>
        <w:rPr>
          <w:rFonts w:ascii="Arial Narrow" w:hAnsi="Arial Narrow"/>
          <w:sz w:val="20"/>
          <w:szCs w:val="20"/>
        </w:rPr>
      </w:pPr>
      <w:r w:rsidRPr="001E416F">
        <w:rPr>
          <w:rFonts w:ascii="Arial Narrow" w:hAnsi="Arial Narrow"/>
          <w:sz w:val="20"/>
          <w:szCs w:val="20"/>
        </w:rPr>
        <w:t>Source: page 11 of the Submission</w:t>
      </w:r>
    </w:p>
    <w:p w:rsidR="00663523" w:rsidRPr="001E416F" w:rsidRDefault="004E3E77" w:rsidP="001E416F">
      <w:pPr>
        <w:ind w:firstLine="720"/>
        <w:contextualSpacing/>
        <w:jc w:val="both"/>
        <w:rPr>
          <w:rFonts w:ascii="Arial Narrow" w:hAnsi="Arial Narrow"/>
          <w:sz w:val="20"/>
          <w:szCs w:val="20"/>
        </w:rPr>
      </w:pPr>
      <w:r w:rsidRPr="001E416F">
        <w:rPr>
          <w:rFonts w:ascii="Arial Narrow" w:hAnsi="Arial Narrow"/>
          <w:sz w:val="20"/>
          <w:szCs w:val="20"/>
        </w:rPr>
        <w:t>IV = intravenous; SC = subcutaneous; AE = adverse event</w:t>
      </w:r>
    </w:p>
    <w:p w:rsidR="00663523" w:rsidRPr="00882085" w:rsidRDefault="00663523" w:rsidP="004E3E77">
      <w:pPr>
        <w:pStyle w:val="ListParagraph"/>
        <w:rPr>
          <w:szCs w:val="22"/>
        </w:rPr>
      </w:pPr>
    </w:p>
    <w:p w:rsidR="00FA6055" w:rsidRDefault="004A1713" w:rsidP="004E3E77">
      <w:pPr>
        <w:pStyle w:val="ListParagraph"/>
        <w:numPr>
          <w:ilvl w:val="1"/>
          <w:numId w:val="5"/>
        </w:numPr>
        <w:rPr>
          <w:szCs w:val="22"/>
        </w:rPr>
      </w:pPr>
      <w:r>
        <w:rPr>
          <w:szCs w:val="22"/>
        </w:rPr>
        <w:t>The submission stated that t</w:t>
      </w:r>
      <w:r w:rsidR="00DE01C0" w:rsidRPr="004E3E77">
        <w:rPr>
          <w:szCs w:val="22"/>
        </w:rPr>
        <w:t>here were no new clinically relevant safety signals observed with rituximab SC 1,600</w:t>
      </w:r>
      <w:r>
        <w:rPr>
          <w:szCs w:val="22"/>
        </w:rPr>
        <w:t> </w:t>
      </w:r>
      <w:r w:rsidR="00DE01C0" w:rsidRPr="004E3E77">
        <w:rPr>
          <w:szCs w:val="22"/>
        </w:rPr>
        <w:t xml:space="preserve">mg and overall incidence of adverse events was similar </w:t>
      </w:r>
      <w:r>
        <w:rPr>
          <w:szCs w:val="22"/>
        </w:rPr>
        <w:t>between</w:t>
      </w:r>
      <w:r w:rsidR="00DE01C0" w:rsidRPr="004E3E77">
        <w:rPr>
          <w:szCs w:val="22"/>
        </w:rPr>
        <w:t xml:space="preserve"> the SC and IV treatment arms</w:t>
      </w:r>
      <w:r w:rsidR="00DE01C0" w:rsidRPr="00C00DA7">
        <w:rPr>
          <w:szCs w:val="22"/>
        </w:rPr>
        <w:t>.</w:t>
      </w:r>
    </w:p>
    <w:p w:rsidR="00DE01C0" w:rsidRDefault="00DE01C0" w:rsidP="00B6773F">
      <w:pPr>
        <w:jc w:val="both"/>
        <w:rPr>
          <w:rFonts w:ascii="Arial" w:hAnsi="Arial"/>
          <w:sz w:val="22"/>
          <w:szCs w:val="22"/>
        </w:rPr>
      </w:pPr>
    </w:p>
    <w:p w:rsidR="005A3173" w:rsidRPr="00882085" w:rsidRDefault="005A3173" w:rsidP="00B1059E">
      <w:pPr>
        <w:pStyle w:val="Heading2"/>
      </w:pPr>
      <w:r w:rsidRPr="00882085">
        <w:t>Clinical claim</w:t>
      </w:r>
    </w:p>
    <w:p w:rsidR="005A3173" w:rsidRPr="00882085" w:rsidRDefault="005A3173" w:rsidP="00882085">
      <w:pPr>
        <w:ind w:left="720" w:hanging="720"/>
        <w:jc w:val="both"/>
        <w:rPr>
          <w:rFonts w:ascii="Arial" w:hAnsi="Arial"/>
          <w:sz w:val="22"/>
          <w:szCs w:val="22"/>
        </w:rPr>
      </w:pPr>
    </w:p>
    <w:p w:rsidR="00BB7EC3" w:rsidRDefault="00FF2801" w:rsidP="004E3E77">
      <w:pPr>
        <w:pStyle w:val="ListParagraph"/>
        <w:numPr>
          <w:ilvl w:val="1"/>
          <w:numId w:val="5"/>
        </w:numPr>
        <w:rPr>
          <w:szCs w:val="22"/>
        </w:rPr>
      </w:pPr>
      <w:r>
        <w:rPr>
          <w:szCs w:val="22"/>
        </w:rPr>
        <w:t>The submission claimed</w:t>
      </w:r>
      <w:r w:rsidR="00BB7EC3" w:rsidRPr="009B0F67">
        <w:rPr>
          <w:szCs w:val="22"/>
        </w:rPr>
        <w:t xml:space="preserve"> non-inferior</w:t>
      </w:r>
      <w:r w:rsidR="007A1A79">
        <w:rPr>
          <w:szCs w:val="22"/>
        </w:rPr>
        <w:t xml:space="preserve"> comparative</w:t>
      </w:r>
      <w:r w:rsidR="00BB7EC3" w:rsidRPr="009B0F67">
        <w:rPr>
          <w:szCs w:val="22"/>
        </w:rPr>
        <w:t xml:space="preserve"> effectiveness and safety of </w:t>
      </w:r>
      <w:r w:rsidR="00182816">
        <w:rPr>
          <w:szCs w:val="22"/>
        </w:rPr>
        <w:t>rituximab SC 1,600</w:t>
      </w:r>
      <w:r w:rsidR="004A1713">
        <w:rPr>
          <w:szCs w:val="22"/>
        </w:rPr>
        <w:t> </w:t>
      </w:r>
      <w:r w:rsidR="00182816">
        <w:rPr>
          <w:szCs w:val="22"/>
        </w:rPr>
        <w:t xml:space="preserve">mg </w:t>
      </w:r>
      <w:r w:rsidR="00BB7EC3" w:rsidRPr="009B0F67">
        <w:rPr>
          <w:szCs w:val="22"/>
        </w:rPr>
        <w:t>compared with</w:t>
      </w:r>
      <w:r w:rsidR="007A1A79">
        <w:rPr>
          <w:szCs w:val="22"/>
        </w:rPr>
        <w:t xml:space="preserve"> rituximab</w:t>
      </w:r>
      <w:r w:rsidR="00BB7EC3" w:rsidRPr="009B0F67">
        <w:rPr>
          <w:szCs w:val="22"/>
        </w:rPr>
        <w:t xml:space="preserve"> </w:t>
      </w:r>
      <w:r w:rsidR="00DE01C0" w:rsidRPr="004E3E77">
        <w:rPr>
          <w:szCs w:val="22"/>
        </w:rPr>
        <w:t>IV 500</w:t>
      </w:r>
      <w:r w:rsidR="004A1713">
        <w:rPr>
          <w:szCs w:val="22"/>
        </w:rPr>
        <w:t> </w:t>
      </w:r>
      <w:r w:rsidR="00DE01C0" w:rsidRPr="004E3E77">
        <w:rPr>
          <w:szCs w:val="22"/>
        </w:rPr>
        <w:t>mg/m</w:t>
      </w:r>
      <w:r w:rsidR="00DE01C0" w:rsidRPr="000215CA">
        <w:rPr>
          <w:szCs w:val="22"/>
          <w:vertAlign w:val="superscript"/>
        </w:rPr>
        <w:t>2</w:t>
      </w:r>
      <w:r w:rsidR="00DE01C0" w:rsidRPr="004E3E77">
        <w:rPr>
          <w:szCs w:val="22"/>
        </w:rPr>
        <w:t xml:space="preserve"> formulation</w:t>
      </w:r>
      <w:r w:rsidR="00BB7EC3" w:rsidRPr="004E3E77">
        <w:rPr>
          <w:szCs w:val="22"/>
        </w:rPr>
        <w:t>.</w:t>
      </w:r>
    </w:p>
    <w:p w:rsidR="00DE01C0" w:rsidRDefault="00DE01C0" w:rsidP="009B0F67">
      <w:pPr>
        <w:pStyle w:val="ListParagraph"/>
        <w:ind w:left="709"/>
        <w:rPr>
          <w:szCs w:val="22"/>
        </w:rPr>
      </w:pPr>
    </w:p>
    <w:p w:rsidR="009D23F3" w:rsidRDefault="009D23F3">
      <w:pPr>
        <w:rPr>
          <w:rFonts w:ascii="Arial" w:hAnsi="Arial" w:cs="Arial"/>
          <w:snapToGrid w:val="0"/>
          <w:sz w:val="22"/>
          <w:szCs w:val="22"/>
          <w:lang w:eastAsia="en-US"/>
        </w:rPr>
      </w:pPr>
      <w:r>
        <w:rPr>
          <w:szCs w:val="22"/>
        </w:rPr>
        <w:br w:type="page"/>
      </w:r>
    </w:p>
    <w:p w:rsidR="00DE01C0" w:rsidRDefault="00DE01C0" w:rsidP="00EF6F68">
      <w:pPr>
        <w:pStyle w:val="ListParagraph"/>
        <w:numPr>
          <w:ilvl w:val="1"/>
          <w:numId w:val="5"/>
        </w:numPr>
        <w:rPr>
          <w:szCs w:val="22"/>
        </w:rPr>
      </w:pPr>
      <w:r>
        <w:rPr>
          <w:szCs w:val="22"/>
        </w:rPr>
        <w:t xml:space="preserve">The Secretariat noted that these clinical data were evaluated by TGA </w:t>
      </w:r>
      <w:r w:rsidR="007A1A79">
        <w:rPr>
          <w:szCs w:val="22"/>
        </w:rPr>
        <w:t>prior to</w:t>
      </w:r>
      <w:r>
        <w:rPr>
          <w:szCs w:val="22"/>
        </w:rPr>
        <w:t xml:space="preserve"> ARTG registration.</w:t>
      </w:r>
    </w:p>
    <w:p w:rsidR="00BC22CD" w:rsidRPr="00BC22CD" w:rsidRDefault="00BC22CD" w:rsidP="00BC22CD">
      <w:pPr>
        <w:pStyle w:val="ListParagraph"/>
        <w:rPr>
          <w:szCs w:val="22"/>
        </w:rPr>
      </w:pPr>
    </w:p>
    <w:p w:rsidR="0030422D" w:rsidRPr="0030422D" w:rsidRDefault="0030422D" w:rsidP="0030422D">
      <w:pPr>
        <w:pStyle w:val="ListParagraph"/>
        <w:widowControl/>
        <w:numPr>
          <w:ilvl w:val="1"/>
          <w:numId w:val="5"/>
        </w:numPr>
        <w:contextualSpacing w:val="0"/>
        <w:jc w:val="left"/>
        <w:rPr>
          <w:bCs/>
        </w:rPr>
      </w:pPr>
      <w:r w:rsidRPr="0030422D">
        <w:rPr>
          <w:bCs/>
          <w:szCs w:val="22"/>
        </w:rPr>
        <w:t xml:space="preserve">The PBAC considered that the claim of non-inferior comparative effectiveness </w:t>
      </w:r>
      <w:r>
        <w:rPr>
          <w:bCs/>
          <w:szCs w:val="22"/>
        </w:rPr>
        <w:t xml:space="preserve">compared to rituximab IV </w:t>
      </w:r>
      <w:r w:rsidRPr="0030422D">
        <w:rPr>
          <w:bCs/>
          <w:szCs w:val="22"/>
        </w:rPr>
        <w:t>was reasonable.</w:t>
      </w:r>
    </w:p>
    <w:p w:rsidR="0030422D" w:rsidRPr="0030422D" w:rsidRDefault="0030422D" w:rsidP="0030422D">
      <w:pPr>
        <w:pStyle w:val="ListParagraph"/>
        <w:contextualSpacing w:val="0"/>
        <w:rPr>
          <w:bCs/>
          <w:szCs w:val="22"/>
        </w:rPr>
      </w:pPr>
    </w:p>
    <w:p w:rsidR="0030422D" w:rsidRPr="0030422D" w:rsidRDefault="0030422D" w:rsidP="0030422D">
      <w:pPr>
        <w:pStyle w:val="ListParagraph"/>
        <w:widowControl/>
        <w:numPr>
          <w:ilvl w:val="1"/>
          <w:numId w:val="5"/>
        </w:numPr>
        <w:contextualSpacing w:val="0"/>
        <w:rPr>
          <w:szCs w:val="22"/>
        </w:rPr>
      </w:pPr>
      <w:r w:rsidRPr="0030422D">
        <w:rPr>
          <w:szCs w:val="22"/>
        </w:rPr>
        <w:t>The PBAC considered that the claim of non-inferior comparative safety</w:t>
      </w:r>
      <w:r>
        <w:rPr>
          <w:szCs w:val="22"/>
        </w:rPr>
        <w:t xml:space="preserve"> </w:t>
      </w:r>
      <w:r>
        <w:rPr>
          <w:bCs/>
          <w:szCs w:val="22"/>
        </w:rPr>
        <w:t>compared to rituximab IV</w:t>
      </w:r>
      <w:r w:rsidRPr="0030422D">
        <w:rPr>
          <w:szCs w:val="22"/>
        </w:rPr>
        <w:t xml:space="preserve"> was reasonable.</w:t>
      </w:r>
    </w:p>
    <w:p w:rsidR="00F57A6D" w:rsidRPr="00882085" w:rsidRDefault="00F57A6D" w:rsidP="00882085">
      <w:pPr>
        <w:ind w:left="720" w:hanging="720"/>
        <w:jc w:val="both"/>
        <w:rPr>
          <w:rFonts w:ascii="Arial" w:hAnsi="Arial"/>
          <w:sz w:val="22"/>
          <w:szCs w:val="22"/>
        </w:rPr>
      </w:pPr>
    </w:p>
    <w:p w:rsidR="005A3173" w:rsidRPr="00882085" w:rsidRDefault="005A3173" w:rsidP="00B1059E">
      <w:pPr>
        <w:pStyle w:val="Heading2"/>
      </w:pPr>
      <w:r w:rsidRPr="00882085">
        <w:t>Economic analysis</w:t>
      </w:r>
    </w:p>
    <w:p w:rsidR="005A3173" w:rsidRPr="00882085" w:rsidRDefault="005A3173" w:rsidP="00D84934">
      <w:pPr>
        <w:pStyle w:val="NoSpacing"/>
      </w:pPr>
    </w:p>
    <w:p w:rsidR="0098481B" w:rsidRPr="00BC22CD" w:rsidRDefault="0098481B" w:rsidP="008A50F1">
      <w:pPr>
        <w:pStyle w:val="ListParagraph"/>
        <w:numPr>
          <w:ilvl w:val="1"/>
          <w:numId w:val="5"/>
        </w:numPr>
        <w:rPr>
          <w:szCs w:val="22"/>
        </w:rPr>
      </w:pPr>
      <w:r w:rsidRPr="00BC22CD">
        <w:rPr>
          <w:szCs w:val="22"/>
        </w:rPr>
        <w:t>The submission proposed a cost-minimised price for the fixed-dose rituximab SC formulation (1,600</w:t>
      </w:r>
      <w:r w:rsidR="001070BC" w:rsidRPr="00BC22CD">
        <w:rPr>
          <w:szCs w:val="22"/>
        </w:rPr>
        <w:t> </w:t>
      </w:r>
      <w:r w:rsidRPr="00BC22CD">
        <w:rPr>
          <w:szCs w:val="22"/>
        </w:rPr>
        <w:t>mg) to the current rituximab IV formu</w:t>
      </w:r>
      <w:r w:rsidR="005705A7" w:rsidRPr="00BC22CD">
        <w:rPr>
          <w:szCs w:val="22"/>
        </w:rPr>
        <w:t>l</w:t>
      </w:r>
      <w:r w:rsidRPr="00BC22CD">
        <w:rPr>
          <w:szCs w:val="22"/>
        </w:rPr>
        <w:t>ation at a dose of 500</w:t>
      </w:r>
      <w:r w:rsidR="001070BC" w:rsidRPr="00BC22CD">
        <w:rPr>
          <w:szCs w:val="22"/>
        </w:rPr>
        <w:t> </w:t>
      </w:r>
      <w:r w:rsidRPr="00BC22CD">
        <w:rPr>
          <w:szCs w:val="22"/>
        </w:rPr>
        <w:t>mg/m</w:t>
      </w:r>
      <w:r w:rsidRPr="00BC22CD">
        <w:rPr>
          <w:szCs w:val="22"/>
          <w:vertAlign w:val="superscript"/>
        </w:rPr>
        <w:t>2</w:t>
      </w:r>
      <w:r w:rsidRPr="00BC22CD">
        <w:rPr>
          <w:szCs w:val="22"/>
        </w:rPr>
        <w:t xml:space="preserve"> utilising the mean body surface area (BSA) of </w:t>
      </w:r>
      <w:r w:rsidR="00B004D9">
        <w:rPr>
          <w:noProof/>
          <w:color w:val="000000"/>
          <w:szCs w:val="22"/>
          <w:highlight w:val="black"/>
        </w:rPr>
        <w:t>''''''''''</w:t>
      </w:r>
      <w:r w:rsidRPr="00BC22CD">
        <w:rPr>
          <w:szCs w:val="22"/>
        </w:rPr>
        <w:t xml:space="preserve"> m</w:t>
      </w:r>
      <w:r w:rsidRPr="00BC22CD">
        <w:rPr>
          <w:szCs w:val="22"/>
          <w:vertAlign w:val="superscript"/>
        </w:rPr>
        <w:t>2</w:t>
      </w:r>
      <w:r w:rsidRPr="00BC22CD">
        <w:rPr>
          <w:szCs w:val="22"/>
        </w:rPr>
        <w:t xml:space="preserve"> based on Australian CLL patients</w:t>
      </w:r>
      <w:r w:rsidR="001070BC" w:rsidRPr="00BC22CD">
        <w:rPr>
          <w:szCs w:val="22"/>
        </w:rPr>
        <w:t>.</w:t>
      </w:r>
    </w:p>
    <w:p w:rsidR="001070BC" w:rsidRPr="00BC22CD" w:rsidRDefault="001070BC" w:rsidP="000215CA">
      <w:pPr>
        <w:pStyle w:val="ListParagraph"/>
        <w:rPr>
          <w:szCs w:val="22"/>
        </w:rPr>
      </w:pPr>
    </w:p>
    <w:p w:rsidR="001070BC" w:rsidRPr="00BC22CD" w:rsidRDefault="001070BC" w:rsidP="001070BC">
      <w:pPr>
        <w:numPr>
          <w:ilvl w:val="1"/>
          <w:numId w:val="5"/>
        </w:numPr>
        <w:contextualSpacing/>
        <w:jc w:val="both"/>
        <w:rPr>
          <w:rFonts w:ascii="Arial" w:hAnsi="Arial"/>
          <w:sz w:val="22"/>
          <w:szCs w:val="22"/>
        </w:rPr>
      </w:pPr>
      <w:r w:rsidRPr="00BC22CD">
        <w:rPr>
          <w:rFonts w:ascii="Arial" w:hAnsi="Arial"/>
          <w:sz w:val="22"/>
          <w:szCs w:val="22"/>
        </w:rPr>
        <w:t>The minor submission presented the following cost minimisation analysis.</w:t>
      </w:r>
    </w:p>
    <w:p w:rsidR="00CF6BD9" w:rsidRPr="00C2643D" w:rsidRDefault="00CF6BD9" w:rsidP="000215CA">
      <w:pPr>
        <w:ind w:left="720"/>
        <w:contextualSpacing/>
        <w:jc w:val="both"/>
        <w:rPr>
          <w:rFonts w:ascii="Arial" w:hAnsi="Arial"/>
          <w:b/>
          <w:sz w:val="22"/>
          <w:szCs w:val="22"/>
        </w:rPr>
      </w:pPr>
    </w:p>
    <w:p w:rsidR="001070BC" w:rsidRPr="00C2643D" w:rsidRDefault="00CF6BD9" w:rsidP="00BC22CD">
      <w:pPr>
        <w:ind w:firstLine="720"/>
        <w:rPr>
          <w:rFonts w:ascii="Arial Narrow" w:hAnsi="Arial Narrow"/>
          <w:b/>
          <w:sz w:val="20"/>
          <w:szCs w:val="20"/>
        </w:rPr>
      </w:pPr>
      <w:r w:rsidRPr="00C2643D">
        <w:rPr>
          <w:rFonts w:ascii="Arial Narrow" w:hAnsi="Arial Narrow"/>
          <w:b/>
          <w:sz w:val="20"/>
          <w:szCs w:val="20"/>
        </w:rPr>
        <w:t xml:space="preserve">Table </w:t>
      </w:r>
      <w:r w:rsidR="008B0A7A" w:rsidRPr="00C2643D">
        <w:rPr>
          <w:rFonts w:ascii="Arial Narrow" w:hAnsi="Arial Narrow"/>
          <w:b/>
          <w:sz w:val="20"/>
          <w:szCs w:val="20"/>
        </w:rPr>
        <w:t>6</w:t>
      </w:r>
      <w:r w:rsidRPr="00C2643D">
        <w:rPr>
          <w:rFonts w:ascii="Arial Narrow" w:hAnsi="Arial Narrow"/>
          <w:b/>
          <w:sz w:val="20"/>
          <w:szCs w:val="20"/>
        </w:rPr>
        <w:t>. Rituximab IV and SC: Cost minimisation analysis</w:t>
      </w:r>
    </w:p>
    <w:tbl>
      <w:tblPr>
        <w:tblStyle w:val="TableGrid"/>
        <w:tblW w:w="0" w:type="auto"/>
        <w:tblInd w:w="817" w:type="dxa"/>
        <w:tblLook w:val="04A0" w:firstRow="1" w:lastRow="0" w:firstColumn="1" w:lastColumn="0" w:noHBand="0" w:noVBand="1"/>
        <w:tblCaption w:val="Table 6. Rituximab IV and SC: Cost minimisation analysis"/>
      </w:tblPr>
      <w:tblGrid>
        <w:gridCol w:w="3827"/>
        <w:gridCol w:w="2268"/>
        <w:gridCol w:w="2268"/>
      </w:tblGrid>
      <w:tr w:rsidR="001070BC" w:rsidRPr="00CF6BD9" w:rsidTr="00C2643D">
        <w:trPr>
          <w:cantSplit/>
          <w:tblHeader/>
        </w:trPr>
        <w:tc>
          <w:tcPr>
            <w:tcW w:w="8363" w:type="dxa"/>
            <w:gridSpan w:val="3"/>
            <w:shd w:val="clear" w:color="auto" w:fill="FFFFFF" w:themeFill="background1"/>
          </w:tcPr>
          <w:p w:rsidR="001070BC" w:rsidRPr="000215CA" w:rsidRDefault="001070BC" w:rsidP="000215CA">
            <w:pPr>
              <w:pStyle w:val="ListParagraph"/>
              <w:ind w:left="34"/>
              <w:rPr>
                <w:rFonts w:ascii="Arial Narrow" w:hAnsi="Arial Narrow"/>
                <w:b/>
                <w:bCs/>
                <w:sz w:val="20"/>
              </w:rPr>
            </w:pPr>
            <w:r w:rsidRPr="000215CA">
              <w:rPr>
                <w:rFonts w:ascii="Arial Narrow" w:hAnsi="Arial Narrow"/>
                <w:b/>
                <w:bCs/>
                <w:sz w:val="20"/>
              </w:rPr>
              <w:t>Rituximab ex-manufacturer price per vial (Section 100)</w:t>
            </w:r>
          </w:p>
        </w:tc>
      </w:tr>
      <w:tr w:rsidR="001070BC" w:rsidRPr="00CF6BD9" w:rsidTr="007010C6">
        <w:trPr>
          <w:cantSplit/>
        </w:trPr>
        <w:tc>
          <w:tcPr>
            <w:tcW w:w="3827" w:type="dxa"/>
          </w:tcPr>
          <w:p w:rsidR="001070BC" w:rsidRPr="000215CA" w:rsidRDefault="001070BC" w:rsidP="000215CA">
            <w:pPr>
              <w:pStyle w:val="ListParagraph"/>
              <w:ind w:left="34"/>
              <w:rPr>
                <w:rFonts w:ascii="Arial Narrow" w:hAnsi="Arial Narrow"/>
                <w:bCs/>
                <w:sz w:val="20"/>
              </w:rPr>
            </w:pPr>
            <w:r w:rsidRPr="000215CA">
              <w:rPr>
                <w:rFonts w:ascii="Arial Narrow" w:hAnsi="Arial Narrow"/>
                <w:bCs/>
                <w:sz w:val="20"/>
              </w:rPr>
              <w:t>Vial size</w:t>
            </w: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100 mg</w:t>
            </w: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500 mg</w:t>
            </w:r>
          </w:p>
        </w:tc>
      </w:tr>
      <w:tr w:rsidR="001070BC" w:rsidRPr="00CF6BD9" w:rsidTr="007010C6">
        <w:trPr>
          <w:cantSplit/>
        </w:trPr>
        <w:tc>
          <w:tcPr>
            <w:tcW w:w="3827" w:type="dxa"/>
          </w:tcPr>
          <w:p w:rsidR="001070BC" w:rsidRPr="000215CA" w:rsidRDefault="001070BC" w:rsidP="000215CA">
            <w:pPr>
              <w:pStyle w:val="ListParagraph"/>
              <w:ind w:left="34"/>
              <w:rPr>
                <w:rFonts w:ascii="Arial Narrow" w:hAnsi="Arial Narrow"/>
                <w:bCs/>
                <w:sz w:val="20"/>
              </w:rPr>
            </w:pPr>
            <w:r w:rsidRPr="000215CA">
              <w:rPr>
                <w:rFonts w:ascii="Arial Narrow" w:hAnsi="Arial Narrow"/>
                <w:bCs/>
                <w:sz w:val="20"/>
              </w:rPr>
              <w:t>Ex-manufacturer price (as of February 2017)</w:t>
            </w: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$372.85</w:t>
            </w: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$1,864.22</w:t>
            </w:r>
          </w:p>
        </w:tc>
      </w:tr>
      <w:tr w:rsidR="001070BC" w:rsidRPr="00CF6BD9" w:rsidTr="007010C6">
        <w:trPr>
          <w:cantSplit/>
        </w:trPr>
        <w:tc>
          <w:tcPr>
            <w:tcW w:w="3827" w:type="dxa"/>
          </w:tcPr>
          <w:p w:rsidR="001070BC" w:rsidRPr="000215CA" w:rsidRDefault="001070BC" w:rsidP="000215CA">
            <w:pPr>
              <w:pStyle w:val="ListParagraph"/>
              <w:ind w:left="34"/>
              <w:rPr>
                <w:rFonts w:ascii="Arial Narrow" w:hAnsi="Arial Narrow"/>
                <w:bCs/>
                <w:sz w:val="20"/>
                <w:lang w:val="de-CH"/>
              </w:rPr>
            </w:pPr>
            <w:r w:rsidRPr="000215CA">
              <w:rPr>
                <w:rFonts w:ascii="Arial Narrow" w:hAnsi="Arial Narrow"/>
                <w:bCs/>
                <w:sz w:val="20"/>
                <w:lang w:val="de-CH"/>
              </w:rPr>
              <w:t>Rituximab IV dose (500</w:t>
            </w:r>
            <w:r w:rsidR="006201D8">
              <w:rPr>
                <w:rFonts w:ascii="Arial Narrow" w:hAnsi="Arial Narrow"/>
                <w:bCs/>
                <w:sz w:val="20"/>
                <w:lang w:val="de-CH"/>
              </w:rPr>
              <w:t xml:space="preserve"> </w:t>
            </w:r>
            <w:r w:rsidRPr="000215CA">
              <w:rPr>
                <w:rFonts w:ascii="Arial Narrow" w:hAnsi="Arial Narrow"/>
                <w:bCs/>
                <w:sz w:val="20"/>
                <w:lang w:val="de-CH"/>
              </w:rPr>
              <w:t>mg/m</w:t>
            </w:r>
            <w:r w:rsidRPr="000215CA">
              <w:rPr>
                <w:rFonts w:ascii="Arial Narrow" w:hAnsi="Arial Narrow"/>
                <w:bCs/>
                <w:sz w:val="20"/>
                <w:vertAlign w:val="superscript"/>
                <w:lang w:val="de-CH"/>
              </w:rPr>
              <w:t>2</w:t>
            </w:r>
            <w:r w:rsidRPr="000215CA">
              <w:rPr>
                <w:rFonts w:ascii="Arial Narrow" w:hAnsi="Arial Narrow"/>
                <w:bCs/>
                <w:sz w:val="20"/>
                <w:lang w:val="de-CH"/>
              </w:rPr>
              <w:t xml:space="preserve"> X </w:t>
            </w:r>
            <w:r w:rsidR="00B004D9">
              <w:rPr>
                <w:rFonts w:ascii="Arial Narrow" w:hAnsi="Arial Narrow"/>
                <w:bCs/>
                <w:noProof/>
                <w:color w:val="000000"/>
                <w:sz w:val="20"/>
                <w:highlight w:val="black"/>
                <w:lang w:val="de-CH"/>
              </w:rPr>
              <w:t>''''''''''''</w:t>
            </w:r>
            <w:r w:rsidR="006201D8">
              <w:rPr>
                <w:rFonts w:ascii="Arial Narrow" w:hAnsi="Arial Narrow"/>
                <w:bCs/>
                <w:sz w:val="20"/>
                <w:lang w:val="de-CH"/>
              </w:rPr>
              <w:t xml:space="preserve"> </w:t>
            </w:r>
            <w:r w:rsidRPr="000215CA">
              <w:rPr>
                <w:rFonts w:ascii="Arial Narrow" w:hAnsi="Arial Narrow"/>
                <w:bCs/>
                <w:sz w:val="20"/>
                <w:lang w:val="de-CH"/>
              </w:rPr>
              <w:t>m</w:t>
            </w:r>
            <w:r w:rsidRPr="000215CA">
              <w:rPr>
                <w:rFonts w:ascii="Arial Narrow" w:hAnsi="Arial Narrow"/>
                <w:bCs/>
                <w:sz w:val="20"/>
                <w:vertAlign w:val="superscript"/>
                <w:lang w:val="de-CH"/>
              </w:rPr>
              <w:t>2</w:t>
            </w:r>
            <w:r w:rsidRPr="000215CA">
              <w:rPr>
                <w:rFonts w:ascii="Arial Narrow" w:hAnsi="Arial Narrow"/>
                <w:bCs/>
                <w:sz w:val="20"/>
                <w:lang w:val="de-CH"/>
              </w:rPr>
              <w:t xml:space="preserve"> BSA)</w:t>
            </w:r>
          </w:p>
        </w:tc>
        <w:tc>
          <w:tcPr>
            <w:tcW w:w="4536" w:type="dxa"/>
            <w:gridSpan w:val="2"/>
            <w:vAlign w:val="center"/>
          </w:tcPr>
          <w:p w:rsidR="001070BC" w:rsidRPr="000215CA" w:rsidRDefault="00B004D9" w:rsidP="000215CA">
            <w:pPr>
              <w:pStyle w:val="ListParagraph"/>
              <w:ind w:left="-108"/>
              <w:jc w:val="center"/>
              <w:rPr>
                <w:rFonts w:ascii="Arial Narrow" w:hAnsi="Arial Narrow"/>
                <w:bCs/>
                <w:sz w:val="20"/>
                <w:lang w:val="de-CH"/>
              </w:rPr>
            </w:pPr>
            <w:r>
              <w:rPr>
                <w:rFonts w:ascii="Arial Narrow" w:hAnsi="Arial Narrow"/>
                <w:bCs/>
                <w:noProof/>
                <w:color w:val="000000"/>
                <w:sz w:val="20"/>
                <w:highlight w:val="black"/>
                <w:lang w:val="de-CH"/>
              </w:rPr>
              <w:t>''''''''</w:t>
            </w:r>
            <w:r w:rsidR="001070BC" w:rsidRPr="000215CA">
              <w:rPr>
                <w:rFonts w:ascii="Arial Narrow" w:hAnsi="Arial Narrow"/>
                <w:bCs/>
                <w:sz w:val="20"/>
                <w:lang w:val="de-CH"/>
              </w:rPr>
              <w:t> mg</w:t>
            </w:r>
          </w:p>
          <w:p w:rsidR="001070BC" w:rsidRPr="00B004D9" w:rsidRDefault="00B004D9" w:rsidP="000215CA">
            <w:pPr>
              <w:pStyle w:val="ListParagraph"/>
              <w:ind w:left="-108"/>
              <w:jc w:val="center"/>
              <w:rPr>
                <w:rFonts w:ascii="Arial Narrow" w:hAnsi="Arial Narrow"/>
                <w:bCs/>
                <w:sz w:val="20"/>
                <w:highlight w:val="black"/>
                <w:lang w:val="de-CH"/>
              </w:rPr>
            </w:pPr>
            <w:r>
              <w:rPr>
                <w:rFonts w:ascii="Arial Narrow" w:hAnsi="Arial Narrow"/>
                <w:bCs/>
                <w:noProof/>
                <w:color w:val="000000"/>
                <w:sz w:val="20"/>
                <w:highlight w:val="black"/>
                <w:lang w:val="de-CH"/>
              </w:rPr>
              <w:t>''' '''' ''''''''''''''''' '''''' ''''''''''</w:t>
            </w:r>
          </w:p>
        </w:tc>
      </w:tr>
      <w:tr w:rsidR="001070BC" w:rsidRPr="00CF6BD9" w:rsidTr="007010C6">
        <w:trPr>
          <w:cantSplit/>
        </w:trPr>
        <w:tc>
          <w:tcPr>
            <w:tcW w:w="3827" w:type="dxa"/>
          </w:tcPr>
          <w:p w:rsidR="001070BC" w:rsidRPr="000215CA" w:rsidRDefault="001070BC" w:rsidP="000215CA">
            <w:pPr>
              <w:pStyle w:val="ListParagraph"/>
              <w:ind w:left="34"/>
              <w:rPr>
                <w:rFonts w:ascii="Arial Narrow" w:hAnsi="Arial Narrow"/>
                <w:bCs/>
                <w:sz w:val="20"/>
              </w:rPr>
            </w:pPr>
            <w:r w:rsidRPr="000215CA">
              <w:rPr>
                <w:rFonts w:ascii="Arial Narrow" w:hAnsi="Arial Narrow"/>
                <w:bCs/>
                <w:sz w:val="20"/>
              </w:rPr>
              <w:t xml:space="preserve">Ex-manufacturer price for </w:t>
            </w:r>
            <w:r w:rsidR="00B004D9">
              <w:rPr>
                <w:rFonts w:ascii="Arial Narrow" w:hAnsi="Arial Narrow"/>
                <w:bCs/>
                <w:noProof/>
                <w:color w:val="000000"/>
                <w:sz w:val="20"/>
                <w:highlight w:val="black"/>
              </w:rPr>
              <w:t>'''''''''</w:t>
            </w:r>
            <w:r w:rsidRPr="000215CA">
              <w:rPr>
                <w:rFonts w:ascii="Arial Narrow" w:hAnsi="Arial Narrow"/>
                <w:bCs/>
                <w:sz w:val="20"/>
              </w:rPr>
              <w:t xml:space="preserve">mg rituximab IV </w:t>
            </w:r>
          </w:p>
        </w:tc>
        <w:tc>
          <w:tcPr>
            <w:tcW w:w="4536" w:type="dxa"/>
            <w:gridSpan w:val="2"/>
            <w:vAlign w:val="center"/>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r w:rsidR="00B004D9">
              <w:rPr>
                <w:rFonts w:ascii="Arial Narrow" w:hAnsi="Arial Narrow"/>
                <w:bCs/>
                <w:noProof/>
                <w:color w:val="000000"/>
                <w:sz w:val="20"/>
                <w:highlight w:val="black"/>
              </w:rPr>
              <w:t>'''''''''''''''''''' '''' ''''' ''' '''''''''''''''''''''''''</w:t>
            </w:r>
          </w:p>
        </w:tc>
      </w:tr>
      <w:tr w:rsidR="001070BC" w:rsidRPr="00CF6BD9" w:rsidTr="007010C6">
        <w:trPr>
          <w:cantSplit/>
        </w:trPr>
        <w:tc>
          <w:tcPr>
            <w:tcW w:w="3827" w:type="dxa"/>
          </w:tcPr>
          <w:p w:rsidR="001070BC" w:rsidRPr="000215CA" w:rsidRDefault="001070BC" w:rsidP="000215CA">
            <w:pPr>
              <w:pStyle w:val="ListParagraph"/>
              <w:ind w:left="34"/>
              <w:rPr>
                <w:rFonts w:ascii="Arial Narrow" w:hAnsi="Arial Narrow"/>
                <w:bCs/>
                <w:sz w:val="20"/>
              </w:rPr>
            </w:pP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Public hospital use (</w:t>
            </w:r>
            <w:r w:rsidR="00B004D9">
              <w:rPr>
                <w:rFonts w:ascii="Arial Narrow" w:hAnsi="Arial Narrow"/>
                <w:bCs/>
                <w:noProof/>
                <w:color w:val="000000"/>
                <w:sz w:val="20"/>
                <w:highlight w:val="black"/>
              </w:rPr>
              <w:t>''''''''''''</w:t>
            </w:r>
            <w:r w:rsidRPr="000215CA">
              <w:rPr>
                <w:rFonts w:ascii="Arial Narrow" w:hAnsi="Arial Narrow"/>
                <w:bCs/>
                <w:sz w:val="20"/>
              </w:rPr>
              <w:t>%)</w:t>
            </w: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Private hospital use (</w:t>
            </w:r>
            <w:r w:rsidR="00B004D9">
              <w:rPr>
                <w:rFonts w:ascii="Arial Narrow" w:hAnsi="Arial Narrow"/>
                <w:bCs/>
                <w:noProof/>
                <w:color w:val="000000"/>
                <w:sz w:val="20"/>
                <w:highlight w:val="black"/>
              </w:rPr>
              <w:t>'''''''''''</w:t>
            </w:r>
            <w:r w:rsidRPr="000215CA">
              <w:rPr>
                <w:rFonts w:ascii="Arial Narrow" w:hAnsi="Arial Narrow"/>
                <w:bCs/>
                <w:sz w:val="20"/>
              </w:rPr>
              <w:t>%)</w:t>
            </w:r>
          </w:p>
        </w:tc>
      </w:tr>
      <w:tr w:rsidR="001070BC" w:rsidRPr="00CF6BD9" w:rsidTr="007010C6">
        <w:trPr>
          <w:cantSplit/>
        </w:trPr>
        <w:tc>
          <w:tcPr>
            <w:tcW w:w="3827" w:type="dxa"/>
          </w:tcPr>
          <w:p w:rsidR="001070BC" w:rsidRPr="000215CA" w:rsidRDefault="001070BC" w:rsidP="000215CA">
            <w:pPr>
              <w:pStyle w:val="ListParagraph"/>
              <w:ind w:left="34"/>
              <w:rPr>
                <w:rFonts w:ascii="Arial Narrow" w:hAnsi="Arial Narrow"/>
                <w:bCs/>
                <w:sz w:val="20"/>
              </w:rPr>
            </w:pPr>
            <w:r w:rsidRPr="000215CA">
              <w:rPr>
                <w:rFonts w:ascii="Arial Narrow" w:hAnsi="Arial Narrow"/>
                <w:bCs/>
                <w:sz w:val="20"/>
              </w:rPr>
              <w:t>Mark-ups</w:t>
            </w:r>
          </w:p>
          <w:p w:rsidR="001070BC" w:rsidRPr="000215CA" w:rsidRDefault="001070BC" w:rsidP="000215CA">
            <w:pPr>
              <w:pStyle w:val="ListParagraph"/>
              <w:ind w:left="34"/>
              <w:rPr>
                <w:rFonts w:ascii="Arial Narrow" w:hAnsi="Arial Narrow"/>
                <w:bCs/>
                <w:sz w:val="20"/>
              </w:rPr>
            </w:pPr>
            <w:r w:rsidRPr="000215CA">
              <w:rPr>
                <w:rFonts w:ascii="Arial Narrow" w:hAnsi="Arial Narrow"/>
                <w:bCs/>
                <w:sz w:val="20"/>
              </w:rPr>
              <w:t>Additional fees</w:t>
            </w: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p>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$83.22</w:t>
            </w: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1.4%</w:t>
            </w:r>
          </w:p>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$121.30</w:t>
            </w:r>
          </w:p>
        </w:tc>
      </w:tr>
      <w:tr w:rsidR="001070BC" w:rsidRPr="00CF6BD9" w:rsidTr="000215CA">
        <w:trPr>
          <w:cantSplit/>
        </w:trPr>
        <w:tc>
          <w:tcPr>
            <w:tcW w:w="3827" w:type="dxa"/>
            <w:shd w:val="clear" w:color="auto" w:fill="FFFFFF" w:themeFill="background1"/>
          </w:tcPr>
          <w:p w:rsidR="001070BC" w:rsidRPr="000215CA" w:rsidRDefault="001070BC" w:rsidP="000215CA">
            <w:pPr>
              <w:pStyle w:val="ListParagraph"/>
              <w:ind w:left="34"/>
              <w:rPr>
                <w:rFonts w:ascii="Arial Narrow" w:hAnsi="Arial Narrow"/>
                <w:bCs/>
                <w:sz w:val="20"/>
              </w:rPr>
            </w:pPr>
            <w:r w:rsidRPr="000215CA">
              <w:rPr>
                <w:rFonts w:ascii="Arial Narrow" w:hAnsi="Arial Narrow"/>
                <w:bCs/>
                <w:sz w:val="20"/>
              </w:rPr>
              <w:t>Rituximab IV price</w:t>
            </w:r>
          </w:p>
        </w:tc>
        <w:tc>
          <w:tcPr>
            <w:tcW w:w="2268" w:type="dxa"/>
            <w:shd w:val="clear" w:color="auto" w:fill="FFFFFF" w:themeFill="background1"/>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r w:rsidR="00B004D9">
              <w:rPr>
                <w:rFonts w:ascii="Arial Narrow" w:hAnsi="Arial Narrow"/>
                <w:bCs/>
                <w:noProof/>
                <w:color w:val="000000"/>
                <w:sz w:val="20"/>
                <w:highlight w:val="black"/>
              </w:rPr>
              <w:t>'''''''''''''''''''''</w:t>
            </w:r>
          </w:p>
        </w:tc>
        <w:tc>
          <w:tcPr>
            <w:tcW w:w="2268" w:type="dxa"/>
            <w:shd w:val="clear" w:color="auto" w:fill="FFFFFF" w:themeFill="background1"/>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r w:rsidR="00B004D9">
              <w:rPr>
                <w:rFonts w:ascii="Arial Narrow" w:hAnsi="Arial Narrow"/>
                <w:bCs/>
                <w:noProof/>
                <w:color w:val="000000"/>
                <w:sz w:val="20"/>
                <w:highlight w:val="black"/>
              </w:rPr>
              <w:t>''''''''''''''''''''</w:t>
            </w:r>
          </w:p>
        </w:tc>
      </w:tr>
      <w:tr w:rsidR="001070BC" w:rsidRPr="00CF6BD9" w:rsidTr="000215CA">
        <w:trPr>
          <w:cantSplit/>
        </w:trPr>
        <w:tc>
          <w:tcPr>
            <w:tcW w:w="3827" w:type="dxa"/>
            <w:shd w:val="clear" w:color="auto" w:fill="FFFFFF" w:themeFill="background1"/>
          </w:tcPr>
          <w:p w:rsidR="001070BC" w:rsidRPr="000215CA" w:rsidRDefault="001070BC" w:rsidP="000215CA">
            <w:pPr>
              <w:pStyle w:val="ListParagraph"/>
              <w:ind w:left="34"/>
              <w:rPr>
                <w:rFonts w:ascii="Arial Narrow" w:hAnsi="Arial Narrow"/>
                <w:bCs/>
                <w:sz w:val="20"/>
              </w:rPr>
            </w:pPr>
            <w:r w:rsidRPr="000215CA">
              <w:rPr>
                <w:rFonts w:ascii="Arial Narrow" w:hAnsi="Arial Narrow"/>
                <w:bCs/>
                <w:sz w:val="20"/>
              </w:rPr>
              <w:t>Weighted cost of rituximab IV for average Australian CLL patient</w:t>
            </w:r>
          </w:p>
        </w:tc>
        <w:tc>
          <w:tcPr>
            <w:tcW w:w="4536" w:type="dxa"/>
            <w:gridSpan w:val="2"/>
            <w:shd w:val="clear" w:color="auto" w:fill="FFFFFF" w:themeFill="background1"/>
          </w:tcPr>
          <w:p w:rsidR="007010C6" w:rsidRDefault="007010C6" w:rsidP="007010C6">
            <w:pPr>
              <w:pStyle w:val="ListParagraph"/>
              <w:ind w:left="-108"/>
              <w:jc w:val="center"/>
              <w:rPr>
                <w:rFonts w:ascii="Arial Narrow" w:hAnsi="Arial Narrow"/>
                <w:bCs/>
                <w:sz w:val="20"/>
              </w:rPr>
            </w:pPr>
          </w:p>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r w:rsidR="00B004D9">
              <w:rPr>
                <w:rFonts w:ascii="Arial Narrow" w:hAnsi="Arial Narrow"/>
                <w:bCs/>
                <w:noProof/>
                <w:color w:val="000000"/>
                <w:sz w:val="20"/>
                <w:highlight w:val="black"/>
              </w:rPr>
              <w:t>'''''''''''''''''''</w:t>
            </w:r>
          </w:p>
        </w:tc>
      </w:tr>
      <w:tr w:rsidR="001070BC" w:rsidRPr="00CF6BD9" w:rsidTr="000215CA">
        <w:trPr>
          <w:cantSplit/>
        </w:trPr>
        <w:tc>
          <w:tcPr>
            <w:tcW w:w="8363" w:type="dxa"/>
            <w:gridSpan w:val="3"/>
            <w:shd w:val="clear" w:color="auto" w:fill="FFFFFF" w:themeFill="background1"/>
          </w:tcPr>
          <w:p w:rsidR="001070BC" w:rsidRPr="000215CA" w:rsidRDefault="001070BC" w:rsidP="000215CA">
            <w:pPr>
              <w:pStyle w:val="ListParagraph"/>
              <w:ind w:left="0"/>
              <w:rPr>
                <w:rFonts w:ascii="Arial Narrow" w:hAnsi="Arial Narrow"/>
                <w:bCs/>
                <w:sz w:val="20"/>
              </w:rPr>
            </w:pPr>
            <w:r w:rsidRPr="000215CA">
              <w:rPr>
                <w:rFonts w:ascii="Arial Narrow" w:hAnsi="Arial Narrow"/>
                <w:bCs/>
                <w:sz w:val="20"/>
              </w:rPr>
              <w:t>Rituximab SC ex-manufacturer price per vial (Section 85)</w:t>
            </w:r>
          </w:p>
        </w:tc>
      </w:tr>
      <w:tr w:rsidR="001070BC" w:rsidRPr="00CF6BD9" w:rsidTr="000215CA">
        <w:trPr>
          <w:cantSplit/>
        </w:trPr>
        <w:tc>
          <w:tcPr>
            <w:tcW w:w="3827" w:type="dxa"/>
            <w:shd w:val="clear" w:color="auto" w:fill="FFFFFF" w:themeFill="background1"/>
          </w:tcPr>
          <w:p w:rsidR="001070BC" w:rsidRPr="000215CA" w:rsidRDefault="001070BC" w:rsidP="000215CA">
            <w:pPr>
              <w:pStyle w:val="ListParagraph"/>
              <w:ind w:left="0"/>
              <w:rPr>
                <w:rFonts w:ascii="Arial Narrow" w:hAnsi="Arial Narrow"/>
                <w:bCs/>
                <w:sz w:val="20"/>
              </w:rPr>
            </w:pPr>
            <w:r w:rsidRPr="000215CA">
              <w:rPr>
                <w:rFonts w:ascii="Arial Narrow" w:hAnsi="Arial Narrow"/>
                <w:bCs/>
                <w:sz w:val="20"/>
              </w:rPr>
              <w:t>Vial size</w:t>
            </w:r>
          </w:p>
        </w:tc>
        <w:tc>
          <w:tcPr>
            <w:tcW w:w="4536" w:type="dxa"/>
            <w:gridSpan w:val="2"/>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1,600</w:t>
            </w:r>
            <w:r w:rsidR="00CF6BD9" w:rsidRPr="000215CA">
              <w:rPr>
                <w:rFonts w:ascii="Arial Narrow" w:hAnsi="Arial Narrow"/>
                <w:bCs/>
                <w:sz w:val="20"/>
              </w:rPr>
              <w:t> </w:t>
            </w:r>
            <w:r w:rsidRPr="000215CA">
              <w:rPr>
                <w:rFonts w:ascii="Arial Narrow" w:hAnsi="Arial Narrow"/>
                <w:bCs/>
                <w:sz w:val="20"/>
              </w:rPr>
              <w:t>mg</w:t>
            </w:r>
          </w:p>
        </w:tc>
      </w:tr>
      <w:tr w:rsidR="001070BC" w:rsidRPr="00CF6BD9" w:rsidTr="000215CA">
        <w:trPr>
          <w:cantSplit/>
        </w:trPr>
        <w:tc>
          <w:tcPr>
            <w:tcW w:w="3827" w:type="dxa"/>
            <w:shd w:val="clear" w:color="auto" w:fill="FFFFFF" w:themeFill="background1"/>
          </w:tcPr>
          <w:p w:rsidR="001070BC" w:rsidRPr="000215CA" w:rsidRDefault="001070BC" w:rsidP="000215CA">
            <w:pPr>
              <w:pStyle w:val="ListParagraph"/>
              <w:ind w:left="0"/>
              <w:rPr>
                <w:rFonts w:ascii="Arial Narrow" w:hAnsi="Arial Narrow"/>
                <w:bCs/>
                <w:sz w:val="20"/>
              </w:rPr>
            </w:pPr>
            <w:r w:rsidRPr="000215CA">
              <w:rPr>
                <w:rFonts w:ascii="Arial Narrow" w:hAnsi="Arial Narrow"/>
                <w:bCs/>
                <w:sz w:val="20"/>
              </w:rPr>
              <w:t>Cost-minimised ex-manufacturer price</w:t>
            </w:r>
          </w:p>
        </w:tc>
        <w:tc>
          <w:tcPr>
            <w:tcW w:w="4536" w:type="dxa"/>
            <w:gridSpan w:val="2"/>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r w:rsidR="00B004D9">
              <w:rPr>
                <w:rFonts w:ascii="Arial Narrow" w:hAnsi="Arial Narrow"/>
                <w:bCs/>
                <w:noProof/>
                <w:color w:val="000000"/>
                <w:sz w:val="20"/>
                <w:highlight w:val="black"/>
              </w:rPr>
              <w:t>''''''''''''''''''''''</w:t>
            </w:r>
          </w:p>
        </w:tc>
      </w:tr>
      <w:tr w:rsidR="001070BC" w:rsidRPr="00CF6BD9" w:rsidTr="000215CA">
        <w:trPr>
          <w:cantSplit/>
        </w:trPr>
        <w:tc>
          <w:tcPr>
            <w:tcW w:w="3827" w:type="dxa"/>
            <w:shd w:val="clear" w:color="auto" w:fill="FFFFFF" w:themeFill="background1"/>
          </w:tcPr>
          <w:p w:rsidR="001070BC" w:rsidRPr="000215CA" w:rsidRDefault="001070BC" w:rsidP="000215CA">
            <w:pPr>
              <w:pStyle w:val="ListParagraph"/>
              <w:ind w:left="0"/>
              <w:rPr>
                <w:rFonts w:ascii="Arial Narrow" w:hAnsi="Arial Narrow"/>
                <w:bCs/>
                <w:sz w:val="20"/>
                <w:lang w:val="de-CH"/>
              </w:rPr>
            </w:pPr>
            <w:r w:rsidRPr="000215CA">
              <w:rPr>
                <w:rFonts w:ascii="Arial Narrow" w:hAnsi="Arial Narrow"/>
                <w:bCs/>
                <w:sz w:val="20"/>
                <w:lang w:val="de-CH"/>
              </w:rPr>
              <w:t>Rituximab SC dose (fixed dose)</w:t>
            </w:r>
          </w:p>
        </w:tc>
        <w:tc>
          <w:tcPr>
            <w:tcW w:w="4536" w:type="dxa"/>
            <w:gridSpan w:val="2"/>
            <w:vAlign w:val="center"/>
          </w:tcPr>
          <w:p w:rsidR="001070BC" w:rsidRPr="000215CA" w:rsidRDefault="001070BC" w:rsidP="000215CA">
            <w:pPr>
              <w:pStyle w:val="ListParagraph"/>
              <w:ind w:left="-108"/>
              <w:jc w:val="center"/>
              <w:rPr>
                <w:rFonts w:ascii="Arial Narrow" w:hAnsi="Arial Narrow"/>
                <w:bCs/>
                <w:sz w:val="20"/>
                <w:lang w:val="de-CH"/>
              </w:rPr>
            </w:pPr>
            <w:r w:rsidRPr="000215CA">
              <w:rPr>
                <w:rFonts w:ascii="Arial Narrow" w:hAnsi="Arial Narrow"/>
                <w:bCs/>
                <w:sz w:val="20"/>
                <w:lang w:val="de-CH"/>
              </w:rPr>
              <w:t>1,600</w:t>
            </w:r>
            <w:r w:rsidR="00CF6BD9" w:rsidRPr="000215CA">
              <w:rPr>
                <w:rFonts w:ascii="Arial Narrow" w:hAnsi="Arial Narrow"/>
                <w:bCs/>
                <w:sz w:val="20"/>
                <w:lang w:val="de-CH"/>
              </w:rPr>
              <w:t> </w:t>
            </w:r>
            <w:r w:rsidRPr="000215CA">
              <w:rPr>
                <w:rFonts w:ascii="Arial Narrow" w:hAnsi="Arial Narrow"/>
                <w:bCs/>
                <w:sz w:val="20"/>
                <w:lang w:val="de-CH"/>
              </w:rPr>
              <w:t>mg</w:t>
            </w:r>
          </w:p>
          <w:p w:rsidR="001070BC" w:rsidRPr="000215CA" w:rsidRDefault="001070BC" w:rsidP="000215CA">
            <w:pPr>
              <w:pStyle w:val="ListParagraph"/>
              <w:ind w:left="-108"/>
              <w:jc w:val="center"/>
              <w:rPr>
                <w:rFonts w:ascii="Arial Narrow" w:hAnsi="Arial Narrow"/>
                <w:bCs/>
                <w:sz w:val="20"/>
                <w:lang w:val="de-CH"/>
              </w:rPr>
            </w:pPr>
            <w:r w:rsidRPr="000215CA">
              <w:rPr>
                <w:rFonts w:ascii="Arial Narrow" w:hAnsi="Arial Narrow"/>
                <w:bCs/>
                <w:sz w:val="20"/>
                <w:lang w:val="de-CH"/>
              </w:rPr>
              <w:t>1 x 1,600</w:t>
            </w:r>
            <w:r w:rsidR="00CF6BD9" w:rsidRPr="000215CA">
              <w:rPr>
                <w:rFonts w:ascii="Arial Narrow" w:hAnsi="Arial Narrow"/>
                <w:bCs/>
                <w:sz w:val="20"/>
                <w:lang w:val="de-CH"/>
              </w:rPr>
              <w:t> </w:t>
            </w:r>
            <w:r w:rsidRPr="000215CA">
              <w:rPr>
                <w:rFonts w:ascii="Arial Narrow" w:hAnsi="Arial Narrow"/>
                <w:bCs/>
                <w:sz w:val="20"/>
                <w:lang w:val="de-CH"/>
              </w:rPr>
              <w:t>mg vial</w:t>
            </w:r>
          </w:p>
        </w:tc>
      </w:tr>
      <w:tr w:rsidR="001070BC" w:rsidRPr="00CF6BD9" w:rsidTr="000215CA">
        <w:trPr>
          <w:cantSplit/>
        </w:trPr>
        <w:tc>
          <w:tcPr>
            <w:tcW w:w="3827" w:type="dxa"/>
            <w:shd w:val="clear" w:color="auto" w:fill="FFFFFF" w:themeFill="background1"/>
          </w:tcPr>
          <w:p w:rsidR="001070BC" w:rsidRPr="000215CA" w:rsidRDefault="001070BC" w:rsidP="000215CA">
            <w:pPr>
              <w:pStyle w:val="ListParagraph"/>
              <w:ind w:left="0"/>
              <w:rPr>
                <w:rFonts w:ascii="Arial Narrow" w:hAnsi="Arial Narrow"/>
                <w:bCs/>
                <w:sz w:val="20"/>
              </w:rPr>
            </w:pPr>
            <w:r w:rsidRPr="000215CA">
              <w:rPr>
                <w:rFonts w:ascii="Arial Narrow" w:hAnsi="Arial Narrow"/>
                <w:bCs/>
                <w:sz w:val="20"/>
              </w:rPr>
              <w:t>Cost-minimised ex-manufacturer price</w:t>
            </w:r>
          </w:p>
        </w:tc>
        <w:tc>
          <w:tcPr>
            <w:tcW w:w="4536" w:type="dxa"/>
            <w:gridSpan w:val="2"/>
            <w:vAlign w:val="center"/>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r w:rsidR="00B004D9">
              <w:rPr>
                <w:rFonts w:ascii="Arial Narrow" w:hAnsi="Arial Narrow"/>
                <w:bCs/>
                <w:noProof/>
                <w:color w:val="000000"/>
                <w:sz w:val="20"/>
                <w:highlight w:val="black"/>
              </w:rPr>
              <w:t>'''''''''''''''''''''</w:t>
            </w:r>
          </w:p>
        </w:tc>
      </w:tr>
      <w:tr w:rsidR="001070BC" w:rsidRPr="00CF6BD9" w:rsidTr="000215CA">
        <w:trPr>
          <w:cantSplit/>
        </w:trPr>
        <w:tc>
          <w:tcPr>
            <w:tcW w:w="3827" w:type="dxa"/>
            <w:shd w:val="clear" w:color="auto" w:fill="FFFFFF" w:themeFill="background1"/>
          </w:tcPr>
          <w:p w:rsidR="001070BC" w:rsidRPr="000215CA" w:rsidRDefault="001070BC" w:rsidP="000215CA">
            <w:pPr>
              <w:pStyle w:val="ListParagraph"/>
              <w:ind w:left="0"/>
              <w:rPr>
                <w:rFonts w:ascii="Arial Narrow" w:hAnsi="Arial Narrow"/>
                <w:bCs/>
                <w:sz w:val="20"/>
              </w:rPr>
            </w:pP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Public hospital use (</w:t>
            </w:r>
            <w:r w:rsidR="00B004D9">
              <w:rPr>
                <w:rFonts w:ascii="Arial Narrow" w:hAnsi="Arial Narrow"/>
                <w:bCs/>
                <w:noProof/>
                <w:color w:val="000000"/>
                <w:sz w:val="20"/>
                <w:highlight w:val="black"/>
              </w:rPr>
              <w:t>''''''''''</w:t>
            </w:r>
            <w:r w:rsidRPr="000215CA">
              <w:rPr>
                <w:rFonts w:ascii="Arial Narrow" w:hAnsi="Arial Narrow"/>
                <w:bCs/>
                <w:sz w:val="20"/>
              </w:rPr>
              <w:t>%)</w:t>
            </w: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Private hospital use (</w:t>
            </w:r>
            <w:r w:rsidR="00B004D9">
              <w:rPr>
                <w:rFonts w:ascii="Arial Narrow" w:hAnsi="Arial Narrow"/>
                <w:bCs/>
                <w:noProof/>
                <w:color w:val="000000"/>
                <w:sz w:val="20"/>
                <w:highlight w:val="black"/>
              </w:rPr>
              <w:t>''''''''''''</w:t>
            </w:r>
            <w:r w:rsidRPr="000215CA">
              <w:rPr>
                <w:rFonts w:ascii="Arial Narrow" w:hAnsi="Arial Narrow"/>
                <w:bCs/>
                <w:sz w:val="20"/>
              </w:rPr>
              <w:t>%)</w:t>
            </w:r>
          </w:p>
        </w:tc>
      </w:tr>
      <w:tr w:rsidR="001070BC" w:rsidRPr="00CF6BD9" w:rsidTr="000215CA">
        <w:trPr>
          <w:cantSplit/>
        </w:trPr>
        <w:tc>
          <w:tcPr>
            <w:tcW w:w="3827" w:type="dxa"/>
            <w:shd w:val="clear" w:color="auto" w:fill="FFFFFF" w:themeFill="background1"/>
          </w:tcPr>
          <w:p w:rsidR="001070BC" w:rsidRPr="000215CA" w:rsidRDefault="001070BC" w:rsidP="000215CA">
            <w:pPr>
              <w:pStyle w:val="ListParagraph"/>
              <w:ind w:left="0"/>
              <w:rPr>
                <w:rFonts w:ascii="Arial Narrow" w:hAnsi="Arial Narrow"/>
                <w:bCs/>
                <w:sz w:val="20"/>
              </w:rPr>
            </w:pPr>
            <w:r w:rsidRPr="000215CA">
              <w:rPr>
                <w:rFonts w:ascii="Arial Narrow" w:hAnsi="Arial Narrow"/>
                <w:bCs/>
                <w:sz w:val="20"/>
              </w:rPr>
              <w:t>Wholesale mark-up</w:t>
            </w:r>
          </w:p>
          <w:p w:rsidR="001070BC" w:rsidRPr="000215CA" w:rsidRDefault="001070BC" w:rsidP="000215CA">
            <w:pPr>
              <w:pStyle w:val="ListParagraph"/>
              <w:ind w:left="0"/>
              <w:rPr>
                <w:rFonts w:ascii="Arial Narrow" w:hAnsi="Arial Narrow"/>
                <w:bCs/>
                <w:sz w:val="20"/>
              </w:rPr>
            </w:pPr>
            <w:r w:rsidRPr="000215CA">
              <w:rPr>
                <w:rFonts w:ascii="Arial Narrow" w:hAnsi="Arial Narrow"/>
                <w:bCs/>
                <w:sz w:val="20"/>
              </w:rPr>
              <w:t>Pharmacy mark-up</w:t>
            </w:r>
          </w:p>
          <w:p w:rsidR="001070BC" w:rsidRPr="000215CA" w:rsidRDefault="001070BC" w:rsidP="000215CA">
            <w:pPr>
              <w:pStyle w:val="ListParagraph"/>
              <w:ind w:left="0"/>
              <w:rPr>
                <w:rFonts w:ascii="Arial Narrow" w:hAnsi="Arial Narrow"/>
                <w:bCs/>
                <w:sz w:val="20"/>
              </w:rPr>
            </w:pPr>
            <w:r w:rsidRPr="000215CA">
              <w:rPr>
                <w:rFonts w:ascii="Arial Narrow" w:hAnsi="Arial Narrow"/>
                <w:bCs/>
                <w:sz w:val="20"/>
              </w:rPr>
              <w:t>Dispensing fee</w:t>
            </w: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11.1%</w:t>
            </w:r>
          </w:p>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p>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p>
        </w:tc>
        <w:tc>
          <w:tcPr>
            <w:tcW w:w="2268" w:type="dxa"/>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11.1%</w:t>
            </w:r>
          </w:p>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1.4%</w:t>
            </w:r>
          </w:p>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$7.02</w:t>
            </w:r>
          </w:p>
        </w:tc>
      </w:tr>
      <w:tr w:rsidR="001070BC" w:rsidRPr="00CF6BD9" w:rsidTr="000215CA">
        <w:trPr>
          <w:cantSplit/>
        </w:trPr>
        <w:tc>
          <w:tcPr>
            <w:tcW w:w="3827" w:type="dxa"/>
            <w:shd w:val="clear" w:color="auto" w:fill="FFFFFF" w:themeFill="background1"/>
          </w:tcPr>
          <w:p w:rsidR="001070BC" w:rsidRPr="000215CA" w:rsidRDefault="001070BC" w:rsidP="000215CA">
            <w:pPr>
              <w:pStyle w:val="ListParagraph"/>
              <w:ind w:left="0"/>
              <w:rPr>
                <w:rFonts w:ascii="Arial Narrow" w:hAnsi="Arial Narrow"/>
                <w:bCs/>
                <w:sz w:val="20"/>
              </w:rPr>
            </w:pPr>
            <w:r w:rsidRPr="000215CA">
              <w:rPr>
                <w:rFonts w:ascii="Arial Narrow" w:hAnsi="Arial Narrow"/>
                <w:bCs/>
                <w:sz w:val="20"/>
              </w:rPr>
              <w:t>Rituximab SC DPMQ</w:t>
            </w:r>
          </w:p>
        </w:tc>
        <w:tc>
          <w:tcPr>
            <w:tcW w:w="2268" w:type="dxa"/>
            <w:shd w:val="clear" w:color="auto" w:fill="FFFFFF" w:themeFill="background1"/>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r w:rsidR="00B004D9">
              <w:rPr>
                <w:rFonts w:ascii="Arial Narrow" w:hAnsi="Arial Narrow"/>
                <w:bCs/>
                <w:noProof/>
                <w:color w:val="000000"/>
                <w:sz w:val="20"/>
                <w:highlight w:val="black"/>
              </w:rPr>
              <w:t>'''''''''''''''''''</w:t>
            </w:r>
          </w:p>
        </w:tc>
        <w:tc>
          <w:tcPr>
            <w:tcW w:w="2268" w:type="dxa"/>
            <w:shd w:val="clear" w:color="auto" w:fill="FFFFFF" w:themeFill="background1"/>
          </w:tcPr>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r w:rsidR="00B004D9">
              <w:rPr>
                <w:rFonts w:ascii="Arial Narrow" w:hAnsi="Arial Narrow"/>
                <w:bCs/>
                <w:noProof/>
                <w:color w:val="000000"/>
                <w:sz w:val="20"/>
                <w:highlight w:val="black"/>
              </w:rPr>
              <w:t>''''''''''''''''''''</w:t>
            </w:r>
          </w:p>
        </w:tc>
      </w:tr>
      <w:tr w:rsidR="001070BC" w:rsidRPr="00CF6BD9" w:rsidTr="000215CA">
        <w:trPr>
          <w:cantSplit/>
        </w:trPr>
        <w:tc>
          <w:tcPr>
            <w:tcW w:w="3827" w:type="dxa"/>
            <w:shd w:val="clear" w:color="auto" w:fill="FFFFFF" w:themeFill="background1"/>
          </w:tcPr>
          <w:p w:rsidR="001070BC" w:rsidRPr="000215CA" w:rsidRDefault="001070BC" w:rsidP="000215CA">
            <w:pPr>
              <w:pStyle w:val="ListParagraph"/>
              <w:ind w:left="0"/>
              <w:rPr>
                <w:rFonts w:ascii="Arial Narrow" w:hAnsi="Arial Narrow"/>
                <w:bCs/>
                <w:sz w:val="20"/>
              </w:rPr>
            </w:pPr>
            <w:r w:rsidRPr="000215CA">
              <w:rPr>
                <w:rFonts w:ascii="Arial Narrow" w:hAnsi="Arial Narrow"/>
                <w:bCs/>
                <w:sz w:val="20"/>
              </w:rPr>
              <w:t>Weighted cost of rituximab SC for average Australian CLL patient</w:t>
            </w:r>
          </w:p>
        </w:tc>
        <w:tc>
          <w:tcPr>
            <w:tcW w:w="4536" w:type="dxa"/>
            <w:gridSpan w:val="2"/>
            <w:shd w:val="clear" w:color="auto" w:fill="FFFFFF" w:themeFill="background1"/>
          </w:tcPr>
          <w:p w:rsidR="007010C6" w:rsidRDefault="007010C6" w:rsidP="007010C6">
            <w:pPr>
              <w:pStyle w:val="ListParagraph"/>
              <w:ind w:left="-108"/>
              <w:jc w:val="center"/>
              <w:rPr>
                <w:rFonts w:ascii="Arial Narrow" w:hAnsi="Arial Narrow"/>
                <w:bCs/>
                <w:sz w:val="20"/>
              </w:rPr>
            </w:pPr>
          </w:p>
          <w:p w:rsidR="001070BC" w:rsidRPr="000215CA" w:rsidRDefault="001070BC" w:rsidP="000215CA">
            <w:pPr>
              <w:pStyle w:val="ListParagraph"/>
              <w:ind w:left="-108"/>
              <w:jc w:val="center"/>
              <w:rPr>
                <w:rFonts w:ascii="Arial Narrow" w:hAnsi="Arial Narrow"/>
                <w:bCs/>
                <w:sz w:val="20"/>
              </w:rPr>
            </w:pPr>
            <w:r w:rsidRPr="000215CA">
              <w:rPr>
                <w:rFonts w:ascii="Arial Narrow" w:hAnsi="Arial Narrow"/>
                <w:bCs/>
                <w:sz w:val="20"/>
              </w:rPr>
              <w:t>$</w:t>
            </w:r>
            <w:r w:rsidR="00B004D9">
              <w:rPr>
                <w:rFonts w:ascii="Arial Narrow" w:hAnsi="Arial Narrow"/>
                <w:bCs/>
                <w:noProof/>
                <w:color w:val="000000"/>
                <w:sz w:val="20"/>
                <w:highlight w:val="black"/>
              </w:rPr>
              <w:t>'''''''''''''''''''''</w:t>
            </w:r>
          </w:p>
        </w:tc>
      </w:tr>
    </w:tbl>
    <w:p w:rsidR="00CF6BD9" w:rsidRPr="00F942CA" w:rsidRDefault="00CF6BD9" w:rsidP="000215CA">
      <w:pPr>
        <w:ind w:firstLine="720"/>
        <w:contextualSpacing/>
        <w:jc w:val="both"/>
        <w:rPr>
          <w:rFonts w:ascii="Arial Narrow" w:hAnsi="Arial Narrow"/>
          <w:sz w:val="20"/>
          <w:szCs w:val="20"/>
        </w:rPr>
      </w:pPr>
      <w:r w:rsidRPr="00F942CA">
        <w:rPr>
          <w:rFonts w:ascii="Arial Narrow" w:hAnsi="Arial Narrow"/>
          <w:sz w:val="20"/>
          <w:szCs w:val="20"/>
        </w:rPr>
        <w:t xml:space="preserve">Note: </w:t>
      </w:r>
      <w:r w:rsidRPr="00CF6BD9">
        <w:rPr>
          <w:rFonts w:ascii="Arial Narrow" w:hAnsi="Arial Narrow"/>
          <w:sz w:val="20"/>
          <w:szCs w:val="20"/>
        </w:rPr>
        <w:t>MABTHERA SC CLL Minor PBAC.xlsx</w:t>
      </w:r>
    </w:p>
    <w:p w:rsidR="00AA6C96" w:rsidRDefault="00CF6BD9" w:rsidP="001A5C40">
      <w:pPr>
        <w:ind w:firstLine="720"/>
        <w:contextualSpacing/>
        <w:jc w:val="both"/>
        <w:rPr>
          <w:rFonts w:ascii="Arial Narrow" w:hAnsi="Arial Narrow"/>
          <w:sz w:val="20"/>
          <w:szCs w:val="20"/>
        </w:rPr>
      </w:pPr>
      <w:r w:rsidRPr="00F942CA">
        <w:rPr>
          <w:rFonts w:ascii="Arial Narrow" w:hAnsi="Arial Narrow"/>
          <w:sz w:val="20"/>
          <w:szCs w:val="20"/>
        </w:rPr>
        <w:t xml:space="preserve">Source: page </w:t>
      </w:r>
      <w:r>
        <w:rPr>
          <w:rFonts w:ascii="Arial Narrow" w:hAnsi="Arial Narrow"/>
          <w:sz w:val="20"/>
          <w:szCs w:val="20"/>
        </w:rPr>
        <w:t>6</w:t>
      </w:r>
      <w:r w:rsidRPr="00F942CA">
        <w:rPr>
          <w:rFonts w:ascii="Arial Narrow" w:hAnsi="Arial Narrow"/>
          <w:sz w:val="20"/>
          <w:szCs w:val="20"/>
        </w:rPr>
        <w:t xml:space="preserve"> of the submission</w:t>
      </w:r>
    </w:p>
    <w:p w:rsidR="001A5C40" w:rsidRPr="001A5C40" w:rsidRDefault="001A5C40" w:rsidP="001A5C40">
      <w:pPr>
        <w:ind w:firstLine="720"/>
        <w:contextualSpacing/>
        <w:jc w:val="both"/>
        <w:rPr>
          <w:rFonts w:ascii="Arial Narrow" w:hAnsi="Arial Narrow"/>
          <w:sz w:val="20"/>
          <w:szCs w:val="20"/>
        </w:rPr>
      </w:pPr>
    </w:p>
    <w:p w:rsidR="000E182A" w:rsidRDefault="000E182A" w:rsidP="00E32FED">
      <w:pPr>
        <w:numPr>
          <w:ilvl w:val="1"/>
          <w:numId w:val="5"/>
        </w:numPr>
        <w:contextualSpacing/>
        <w:jc w:val="both"/>
        <w:rPr>
          <w:rFonts w:ascii="Arial" w:hAnsi="Arial"/>
          <w:sz w:val="22"/>
          <w:szCs w:val="22"/>
        </w:rPr>
      </w:pPr>
      <w:r w:rsidRPr="00E32FED">
        <w:rPr>
          <w:rFonts w:ascii="Arial" w:hAnsi="Arial"/>
          <w:sz w:val="22"/>
          <w:szCs w:val="22"/>
        </w:rPr>
        <w:t>The November 2014 submission for ri</w:t>
      </w:r>
      <w:r w:rsidR="00AC05B2" w:rsidRPr="00E32FED">
        <w:rPr>
          <w:rFonts w:ascii="Arial" w:hAnsi="Arial"/>
          <w:sz w:val="22"/>
          <w:szCs w:val="22"/>
        </w:rPr>
        <w:t>tux</w:t>
      </w:r>
      <w:r w:rsidRPr="00E32FED">
        <w:rPr>
          <w:rFonts w:ascii="Arial" w:hAnsi="Arial"/>
          <w:sz w:val="22"/>
          <w:szCs w:val="22"/>
        </w:rPr>
        <w:t xml:space="preserve">imab </w:t>
      </w:r>
      <w:r w:rsidR="004D504D" w:rsidRPr="00E32FED">
        <w:rPr>
          <w:rFonts w:ascii="Arial" w:hAnsi="Arial"/>
          <w:sz w:val="22"/>
          <w:szCs w:val="22"/>
        </w:rPr>
        <w:t>SC</w:t>
      </w:r>
      <w:r w:rsidRPr="00E32FED">
        <w:rPr>
          <w:rFonts w:ascii="Arial" w:hAnsi="Arial"/>
          <w:sz w:val="22"/>
          <w:szCs w:val="22"/>
        </w:rPr>
        <w:t xml:space="preserve"> 1400 mg used </w:t>
      </w:r>
      <w:r w:rsidR="00335518" w:rsidRPr="00E32FED">
        <w:rPr>
          <w:rFonts w:ascii="Arial" w:hAnsi="Arial"/>
          <w:sz w:val="22"/>
          <w:szCs w:val="22"/>
        </w:rPr>
        <w:t>the following</w:t>
      </w:r>
      <w:r w:rsidRPr="00E32FED">
        <w:rPr>
          <w:rFonts w:ascii="Arial" w:hAnsi="Arial"/>
          <w:sz w:val="22"/>
          <w:szCs w:val="22"/>
        </w:rPr>
        <w:t xml:space="preserve"> methodology to calculate the cost</w:t>
      </w:r>
      <w:r w:rsidR="00596CE2" w:rsidRPr="00E32FED">
        <w:rPr>
          <w:rFonts w:ascii="Arial" w:hAnsi="Arial"/>
          <w:sz w:val="22"/>
          <w:szCs w:val="22"/>
        </w:rPr>
        <w:t>-minimised price (see Table 7).</w:t>
      </w:r>
      <w:r w:rsidRPr="00E32FED">
        <w:rPr>
          <w:rFonts w:ascii="Arial" w:hAnsi="Arial"/>
          <w:sz w:val="22"/>
          <w:szCs w:val="22"/>
        </w:rPr>
        <w:t xml:space="preserve"> </w:t>
      </w:r>
    </w:p>
    <w:p w:rsidR="00E32FED" w:rsidRPr="00E32FED" w:rsidRDefault="00E32FED" w:rsidP="00E32FED">
      <w:pPr>
        <w:ind w:left="720"/>
        <w:contextualSpacing/>
        <w:jc w:val="both"/>
        <w:rPr>
          <w:rFonts w:ascii="Arial" w:hAnsi="Arial"/>
          <w:sz w:val="22"/>
          <w:szCs w:val="22"/>
        </w:rPr>
      </w:pPr>
    </w:p>
    <w:p w:rsidR="009D23F3" w:rsidRDefault="009D23F3">
      <w:pPr>
        <w:rPr>
          <w:rFonts w:ascii="Arial Narrow" w:hAnsi="Arial Narrow"/>
          <w:b/>
          <w:sz w:val="20"/>
          <w:szCs w:val="20"/>
        </w:rPr>
      </w:pPr>
      <w:r>
        <w:rPr>
          <w:rFonts w:ascii="Arial Narrow" w:hAnsi="Arial Narrow"/>
          <w:b/>
          <w:sz w:val="20"/>
          <w:szCs w:val="20"/>
        </w:rPr>
        <w:br w:type="page"/>
      </w:r>
    </w:p>
    <w:p w:rsidR="000E182A" w:rsidRPr="000E182A" w:rsidRDefault="00B04ED5" w:rsidP="000E182A">
      <w:pPr>
        <w:ind w:left="709"/>
        <w:contextualSpacing/>
        <w:jc w:val="both"/>
        <w:rPr>
          <w:rFonts w:ascii="Arial Narrow" w:hAnsi="Arial Narrow"/>
          <w:b/>
          <w:sz w:val="20"/>
          <w:szCs w:val="20"/>
        </w:rPr>
      </w:pPr>
      <w:r>
        <w:rPr>
          <w:rFonts w:ascii="Arial Narrow" w:hAnsi="Arial Narrow"/>
          <w:b/>
          <w:sz w:val="20"/>
          <w:szCs w:val="20"/>
        </w:rPr>
        <w:t>Table 7.</w:t>
      </w:r>
      <w:r w:rsidR="00EF79A9">
        <w:rPr>
          <w:rFonts w:ascii="Arial Narrow" w:hAnsi="Arial Narrow"/>
          <w:b/>
          <w:sz w:val="20"/>
          <w:szCs w:val="20"/>
        </w:rPr>
        <w:t xml:space="preserve"> </w:t>
      </w:r>
      <w:r w:rsidR="000E182A" w:rsidRPr="000E182A">
        <w:rPr>
          <w:rFonts w:ascii="Arial Narrow" w:hAnsi="Arial Narrow"/>
          <w:b/>
          <w:sz w:val="20"/>
          <w:szCs w:val="20"/>
        </w:rPr>
        <w:t>Rituximab IV and SC: Cost minimisation analysis</w:t>
      </w:r>
    </w:p>
    <w:tbl>
      <w:tblPr>
        <w:tblStyle w:val="TableGrid1"/>
        <w:tblW w:w="0" w:type="auto"/>
        <w:tblInd w:w="817" w:type="dxa"/>
        <w:tblLook w:val="04A0" w:firstRow="1" w:lastRow="0" w:firstColumn="1" w:lastColumn="0" w:noHBand="0" w:noVBand="1"/>
        <w:tblCaption w:val="Table 7. Rituximab IV and SC: Cost minimisation analysis"/>
      </w:tblPr>
      <w:tblGrid>
        <w:gridCol w:w="3402"/>
        <w:gridCol w:w="2234"/>
        <w:gridCol w:w="2727"/>
      </w:tblGrid>
      <w:tr w:rsidR="000E182A" w:rsidRPr="000E182A" w:rsidTr="00C2643D">
        <w:trPr>
          <w:cantSplit/>
          <w:trHeight w:val="316"/>
          <w:tblHeader/>
        </w:trPr>
        <w:tc>
          <w:tcPr>
            <w:tcW w:w="8363" w:type="dxa"/>
            <w:gridSpan w:val="3"/>
          </w:tcPr>
          <w:p w:rsidR="000E182A" w:rsidRPr="000E182A" w:rsidRDefault="000E182A" w:rsidP="000E182A">
            <w:pPr>
              <w:rPr>
                <w:rFonts w:ascii="Arial Narrow" w:hAnsi="Arial Narrow" w:cs="Calibri"/>
                <w:b/>
                <w:bCs/>
                <w:sz w:val="20"/>
                <w:szCs w:val="20"/>
                <w:lang w:eastAsia="en-US"/>
              </w:rPr>
            </w:pPr>
            <w:r w:rsidRPr="000E182A">
              <w:rPr>
                <w:rFonts w:ascii="Arial Narrow" w:hAnsi="Arial Narrow" w:cs="Calibri"/>
                <w:b/>
                <w:bCs/>
                <w:sz w:val="20"/>
                <w:szCs w:val="20"/>
                <w:lang w:eastAsia="en-US"/>
              </w:rPr>
              <w:t>Rituximab ex-manufacturer price per vial</w:t>
            </w:r>
          </w:p>
        </w:tc>
      </w:tr>
      <w:tr w:rsidR="000E182A" w:rsidRPr="000E182A" w:rsidTr="00577A6F">
        <w:trPr>
          <w:cantSplit/>
          <w:trHeight w:val="331"/>
        </w:trPr>
        <w:tc>
          <w:tcPr>
            <w:tcW w:w="3402" w:type="dxa"/>
          </w:tcPr>
          <w:p w:rsidR="000E182A" w:rsidRPr="000E182A" w:rsidRDefault="000E182A" w:rsidP="000E182A">
            <w:pPr>
              <w:rPr>
                <w:rFonts w:ascii="Arial Narrow" w:hAnsi="Arial Narrow" w:cs="Calibri"/>
                <w:bCs/>
                <w:sz w:val="20"/>
                <w:szCs w:val="20"/>
                <w:lang w:eastAsia="en-US"/>
              </w:rPr>
            </w:pPr>
            <w:r w:rsidRPr="000E182A">
              <w:rPr>
                <w:rFonts w:ascii="Arial Narrow" w:hAnsi="Arial Narrow" w:cs="Calibri"/>
                <w:bCs/>
                <w:sz w:val="20"/>
                <w:szCs w:val="20"/>
                <w:lang w:eastAsia="en-US"/>
              </w:rPr>
              <w:t>Vial size</w:t>
            </w:r>
          </w:p>
        </w:tc>
        <w:tc>
          <w:tcPr>
            <w:tcW w:w="2234" w:type="dxa"/>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100 mg</w:t>
            </w:r>
          </w:p>
        </w:tc>
        <w:tc>
          <w:tcPr>
            <w:tcW w:w="2727" w:type="dxa"/>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500 mg</w:t>
            </w:r>
          </w:p>
        </w:tc>
      </w:tr>
      <w:tr w:rsidR="000E182A" w:rsidRPr="000E182A" w:rsidTr="00577A6F">
        <w:trPr>
          <w:cantSplit/>
          <w:trHeight w:val="316"/>
        </w:trPr>
        <w:tc>
          <w:tcPr>
            <w:tcW w:w="3402" w:type="dxa"/>
          </w:tcPr>
          <w:p w:rsidR="000E182A" w:rsidRPr="000E182A" w:rsidRDefault="000E182A" w:rsidP="00B731D9">
            <w:pPr>
              <w:rPr>
                <w:rFonts w:ascii="Arial Narrow" w:hAnsi="Arial Narrow" w:cs="Calibri"/>
                <w:bCs/>
                <w:sz w:val="20"/>
                <w:szCs w:val="20"/>
                <w:lang w:eastAsia="en-US"/>
              </w:rPr>
            </w:pPr>
            <w:r w:rsidRPr="000E182A">
              <w:rPr>
                <w:rFonts w:ascii="Arial Narrow" w:hAnsi="Arial Narrow" w:cs="Calibri"/>
                <w:bCs/>
                <w:sz w:val="20"/>
                <w:szCs w:val="20"/>
                <w:lang w:eastAsia="en-US"/>
              </w:rPr>
              <w:t>Current ex-manufacturer price</w:t>
            </w:r>
            <w:r w:rsidR="00B731D9">
              <w:rPr>
                <w:rFonts w:ascii="Arial Narrow" w:hAnsi="Arial Narrow" w:cs="Calibri"/>
                <w:bCs/>
                <w:sz w:val="20"/>
                <w:szCs w:val="20"/>
                <w:lang w:eastAsia="en-US"/>
              </w:rPr>
              <w:t xml:space="preserve"> </w:t>
            </w:r>
          </w:p>
        </w:tc>
        <w:tc>
          <w:tcPr>
            <w:tcW w:w="2234" w:type="dxa"/>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$452.72</w:t>
            </w:r>
          </w:p>
        </w:tc>
        <w:tc>
          <w:tcPr>
            <w:tcW w:w="2727" w:type="dxa"/>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$2,263.57</w:t>
            </w:r>
          </w:p>
        </w:tc>
      </w:tr>
      <w:tr w:rsidR="000E182A" w:rsidRPr="000E182A" w:rsidTr="00577A6F">
        <w:trPr>
          <w:cantSplit/>
          <w:trHeight w:val="601"/>
        </w:trPr>
        <w:tc>
          <w:tcPr>
            <w:tcW w:w="3402" w:type="dxa"/>
          </w:tcPr>
          <w:p w:rsidR="000E182A" w:rsidRPr="000E182A" w:rsidRDefault="000E182A" w:rsidP="000E182A">
            <w:pPr>
              <w:rPr>
                <w:rFonts w:ascii="Arial Narrow" w:hAnsi="Arial Narrow" w:cs="Calibri"/>
                <w:bCs/>
                <w:sz w:val="20"/>
                <w:szCs w:val="20"/>
                <w:lang w:eastAsia="en-US"/>
              </w:rPr>
            </w:pPr>
            <w:r w:rsidRPr="000E182A">
              <w:rPr>
                <w:rFonts w:ascii="Arial Narrow" w:hAnsi="Arial Narrow" w:cs="Calibri"/>
                <w:bCs/>
                <w:sz w:val="20"/>
                <w:szCs w:val="20"/>
                <w:lang w:eastAsia="en-US"/>
              </w:rPr>
              <w:t>Rituximab IV dose (375 mg/m</w:t>
            </w:r>
            <w:r w:rsidRPr="00D006E8">
              <w:rPr>
                <w:rFonts w:ascii="Arial Narrow" w:hAnsi="Arial Narrow" w:cs="Calibri"/>
                <w:bCs/>
                <w:sz w:val="20"/>
                <w:szCs w:val="20"/>
                <w:vertAlign w:val="superscript"/>
                <w:lang w:eastAsia="en-US"/>
              </w:rPr>
              <w:t>2</w:t>
            </w:r>
            <w:r w:rsidRPr="000E182A">
              <w:rPr>
                <w:rFonts w:ascii="Arial Narrow" w:hAnsi="Arial Narrow" w:cs="Calibri"/>
                <w:bCs/>
                <w:sz w:val="20"/>
                <w:szCs w:val="20"/>
                <w:lang w:eastAsia="en-US"/>
              </w:rPr>
              <w:t xml:space="preserve"> X </w:t>
            </w:r>
            <w:r w:rsidR="00B004D9">
              <w:rPr>
                <w:rFonts w:ascii="Arial Narrow" w:hAnsi="Arial Narrow" w:cs="Calibri"/>
                <w:bCs/>
                <w:noProof/>
                <w:color w:val="000000"/>
                <w:sz w:val="20"/>
                <w:szCs w:val="20"/>
                <w:highlight w:val="black"/>
                <w:lang w:eastAsia="en-US"/>
              </w:rPr>
              <w:t>'''''''''</w:t>
            </w:r>
            <w:r w:rsidR="00B731D9">
              <w:rPr>
                <w:rFonts w:ascii="Arial Narrow" w:hAnsi="Arial Narrow" w:cs="Calibri"/>
                <w:bCs/>
                <w:sz w:val="20"/>
                <w:szCs w:val="20"/>
                <w:lang w:eastAsia="en-US"/>
              </w:rPr>
              <w:t xml:space="preserve"> </w:t>
            </w:r>
            <w:r w:rsidRPr="000E182A">
              <w:rPr>
                <w:rFonts w:ascii="Arial Narrow" w:hAnsi="Arial Narrow" w:cs="Calibri"/>
                <w:bCs/>
                <w:sz w:val="20"/>
                <w:szCs w:val="20"/>
                <w:lang w:eastAsia="en-US"/>
              </w:rPr>
              <w:t>m</w:t>
            </w:r>
            <w:r w:rsidRPr="00D006E8">
              <w:rPr>
                <w:rFonts w:ascii="Arial Narrow" w:hAnsi="Arial Narrow" w:cs="Calibri"/>
                <w:bCs/>
                <w:sz w:val="20"/>
                <w:szCs w:val="20"/>
                <w:vertAlign w:val="superscript"/>
                <w:lang w:eastAsia="en-US"/>
              </w:rPr>
              <w:t xml:space="preserve">2 </w:t>
            </w:r>
            <w:r w:rsidRPr="000E182A">
              <w:rPr>
                <w:rFonts w:ascii="Arial Narrow" w:hAnsi="Arial Narrow" w:cs="Calibri"/>
                <w:bCs/>
                <w:sz w:val="20"/>
                <w:szCs w:val="20"/>
                <w:lang w:eastAsia="en-US"/>
              </w:rPr>
              <w:t>BSA)</w:t>
            </w:r>
          </w:p>
        </w:tc>
        <w:tc>
          <w:tcPr>
            <w:tcW w:w="4961" w:type="dxa"/>
            <w:gridSpan w:val="2"/>
            <w:vAlign w:val="center"/>
          </w:tcPr>
          <w:p w:rsidR="000E182A" w:rsidRPr="00864465" w:rsidRDefault="00B004D9" w:rsidP="00B04ED5">
            <w:pPr>
              <w:jc w:val="center"/>
              <w:rPr>
                <w:rFonts w:ascii="Arial Narrow" w:hAnsi="Arial Narrow" w:cs="Calibri"/>
                <w:bCs/>
                <w:sz w:val="20"/>
                <w:szCs w:val="20"/>
                <w:lang w:eastAsia="en-US"/>
              </w:rPr>
            </w:pPr>
            <w:r>
              <w:rPr>
                <w:rFonts w:ascii="Arial Narrow" w:hAnsi="Arial Narrow" w:cs="Calibri"/>
                <w:bCs/>
                <w:noProof/>
                <w:color w:val="000000"/>
                <w:sz w:val="20"/>
                <w:szCs w:val="20"/>
                <w:highlight w:val="black"/>
                <w:lang w:eastAsia="en-US"/>
              </w:rPr>
              <w:t>''''''''''</w:t>
            </w:r>
            <w:r w:rsidR="004C0BD5" w:rsidRPr="00864465">
              <w:rPr>
                <w:rFonts w:ascii="Arial Narrow" w:hAnsi="Arial Narrow" w:cs="Calibri"/>
                <w:bCs/>
                <w:sz w:val="20"/>
                <w:szCs w:val="20"/>
                <w:lang w:eastAsia="en-US"/>
              </w:rPr>
              <w:t xml:space="preserve"> </w:t>
            </w:r>
            <w:r w:rsidR="000E182A" w:rsidRPr="00864465">
              <w:rPr>
                <w:rFonts w:ascii="Arial Narrow" w:hAnsi="Arial Narrow" w:cs="Calibri"/>
                <w:bCs/>
                <w:sz w:val="20"/>
                <w:szCs w:val="20"/>
                <w:lang w:eastAsia="en-US"/>
              </w:rPr>
              <w:t>mg</w:t>
            </w:r>
          </w:p>
          <w:p w:rsidR="000E182A" w:rsidRPr="00B004D9" w:rsidRDefault="00B004D9" w:rsidP="00B04ED5">
            <w:pPr>
              <w:jc w:val="cente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 '''' ''''''''' '''''''' '''' '''' '''' ''''''''' '''''''' ''''' ''''''''''</w:t>
            </w:r>
          </w:p>
        </w:tc>
      </w:tr>
      <w:tr w:rsidR="000E182A" w:rsidRPr="000E182A" w:rsidTr="00577A6F">
        <w:trPr>
          <w:cantSplit/>
          <w:trHeight w:val="316"/>
        </w:trPr>
        <w:tc>
          <w:tcPr>
            <w:tcW w:w="3402" w:type="dxa"/>
          </w:tcPr>
          <w:p w:rsidR="000E182A" w:rsidRPr="000E182A" w:rsidRDefault="000E182A" w:rsidP="000E182A">
            <w:pPr>
              <w:rPr>
                <w:rFonts w:ascii="Arial Narrow" w:hAnsi="Arial Narrow" w:cs="Calibri"/>
                <w:bCs/>
                <w:sz w:val="20"/>
                <w:szCs w:val="20"/>
                <w:lang w:eastAsia="en-US"/>
              </w:rPr>
            </w:pPr>
            <w:r w:rsidRPr="000E182A">
              <w:rPr>
                <w:rFonts w:ascii="Arial Narrow" w:hAnsi="Arial Narrow" w:cs="Calibri"/>
                <w:bCs/>
                <w:sz w:val="20"/>
                <w:szCs w:val="20"/>
                <w:lang w:eastAsia="en-US"/>
              </w:rPr>
              <w:t xml:space="preserve">Ex-manufacturer price for </w:t>
            </w:r>
            <w:r w:rsidR="00B004D9">
              <w:rPr>
                <w:rFonts w:ascii="Arial Narrow" w:hAnsi="Arial Narrow" w:cs="Calibri"/>
                <w:bCs/>
                <w:noProof/>
                <w:color w:val="000000"/>
                <w:sz w:val="20"/>
                <w:szCs w:val="20"/>
                <w:highlight w:val="black"/>
                <w:lang w:eastAsia="en-US"/>
              </w:rPr>
              <w:t>''''''''''</w:t>
            </w:r>
            <w:r w:rsidRPr="000E182A">
              <w:rPr>
                <w:rFonts w:ascii="Arial Narrow" w:hAnsi="Arial Narrow" w:cs="Calibri"/>
                <w:bCs/>
                <w:sz w:val="20"/>
                <w:szCs w:val="20"/>
                <w:lang w:eastAsia="en-US"/>
              </w:rPr>
              <w:t>mg IV rituximab</w:t>
            </w:r>
          </w:p>
        </w:tc>
        <w:tc>
          <w:tcPr>
            <w:tcW w:w="4961" w:type="dxa"/>
            <w:gridSpan w:val="2"/>
            <w:vAlign w:val="center"/>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w:t>
            </w:r>
            <w:r w:rsidR="00B004D9">
              <w:rPr>
                <w:rFonts w:ascii="Arial Narrow" w:hAnsi="Arial Narrow" w:cs="Calibri"/>
                <w:bCs/>
                <w:noProof/>
                <w:color w:val="000000"/>
                <w:sz w:val="20"/>
                <w:szCs w:val="20"/>
                <w:highlight w:val="black"/>
                <w:lang w:eastAsia="en-US"/>
              </w:rPr>
              <w:t>'''''''''''''''''''' ''' ''''''''''''''''''''''' '''' '''' '''' '''''''''''''''''''</w:t>
            </w:r>
          </w:p>
        </w:tc>
      </w:tr>
      <w:tr w:rsidR="000E182A" w:rsidRPr="000E182A" w:rsidTr="00577A6F">
        <w:trPr>
          <w:cantSplit/>
          <w:trHeight w:val="331"/>
        </w:trPr>
        <w:tc>
          <w:tcPr>
            <w:tcW w:w="3402" w:type="dxa"/>
          </w:tcPr>
          <w:p w:rsidR="000E182A" w:rsidRPr="000E182A" w:rsidRDefault="000E182A" w:rsidP="000E182A">
            <w:pPr>
              <w:rPr>
                <w:rFonts w:ascii="Arial Narrow" w:hAnsi="Arial Narrow" w:cs="Calibri"/>
                <w:bCs/>
                <w:sz w:val="20"/>
                <w:szCs w:val="20"/>
                <w:lang w:eastAsia="en-US"/>
              </w:rPr>
            </w:pPr>
            <w:r w:rsidRPr="000E182A">
              <w:rPr>
                <w:rFonts w:ascii="Arial Narrow" w:hAnsi="Arial Narrow" w:cs="Calibri"/>
                <w:bCs/>
                <w:sz w:val="20"/>
                <w:szCs w:val="20"/>
                <w:lang w:eastAsia="en-US"/>
              </w:rPr>
              <w:t>Application of relevant fees and mark-ups</w:t>
            </w:r>
          </w:p>
        </w:tc>
        <w:tc>
          <w:tcPr>
            <w:tcW w:w="2234" w:type="dxa"/>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Public hospital use</w:t>
            </w:r>
          </w:p>
        </w:tc>
        <w:tc>
          <w:tcPr>
            <w:tcW w:w="2727" w:type="dxa"/>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Private hospital use</w:t>
            </w:r>
          </w:p>
        </w:tc>
      </w:tr>
      <w:tr w:rsidR="000E182A" w:rsidRPr="000E182A" w:rsidTr="00577A6F">
        <w:trPr>
          <w:cantSplit/>
          <w:trHeight w:val="812"/>
        </w:trPr>
        <w:tc>
          <w:tcPr>
            <w:tcW w:w="3402" w:type="dxa"/>
          </w:tcPr>
          <w:p w:rsidR="000E182A" w:rsidRPr="000E182A" w:rsidRDefault="000E182A" w:rsidP="000E182A">
            <w:pPr>
              <w:rPr>
                <w:rFonts w:ascii="Arial Narrow" w:hAnsi="Arial Narrow" w:cs="Calibri"/>
                <w:bCs/>
                <w:sz w:val="20"/>
                <w:szCs w:val="20"/>
                <w:lang w:eastAsia="en-US"/>
              </w:rPr>
            </w:pPr>
            <w:r w:rsidRPr="000E182A">
              <w:rPr>
                <w:rFonts w:ascii="Arial Narrow" w:hAnsi="Arial Narrow" w:cs="Calibri"/>
                <w:bCs/>
                <w:sz w:val="20"/>
                <w:szCs w:val="20"/>
                <w:lang w:eastAsia="en-US"/>
              </w:rPr>
              <w:t>IV rituximab price + fees &amp; mark-ups</w:t>
            </w:r>
          </w:p>
        </w:tc>
        <w:tc>
          <w:tcPr>
            <w:tcW w:w="2234" w:type="dxa"/>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w:t>
            </w:r>
            <w:r w:rsidR="00B004D9">
              <w:rPr>
                <w:rFonts w:ascii="Arial Narrow" w:hAnsi="Arial Narrow" w:cs="Calibri"/>
                <w:bCs/>
                <w:noProof/>
                <w:color w:val="000000"/>
                <w:sz w:val="20"/>
                <w:szCs w:val="20"/>
                <w:highlight w:val="black"/>
                <w:lang w:eastAsia="en-US"/>
              </w:rPr>
              <w:t>'''''''''''''''''''''''</w:t>
            </w:r>
            <w:r w:rsidRPr="000E182A">
              <w:rPr>
                <w:rFonts w:ascii="Arial Narrow" w:hAnsi="Arial Narrow" w:cs="Calibri"/>
                <w:bCs/>
                <w:sz w:val="20"/>
                <w:szCs w:val="20"/>
                <w:lang w:eastAsia="en-US"/>
              </w:rPr>
              <w:t xml:space="preserve"> </w:t>
            </w:r>
            <w:r w:rsidRPr="000E182A">
              <w:rPr>
                <w:rFonts w:ascii="Arial Narrow" w:hAnsi="Arial Narrow" w:cs="Calibri"/>
                <w:bCs/>
                <w:sz w:val="20"/>
                <w:szCs w:val="20"/>
                <w:lang w:eastAsia="en-US"/>
              </w:rPr>
              <w:br/>
              <w:t>= $</w:t>
            </w:r>
            <w:r w:rsidR="00B004D9">
              <w:rPr>
                <w:rFonts w:ascii="Arial Narrow" w:hAnsi="Arial Narrow" w:cs="Calibri"/>
                <w:bCs/>
                <w:noProof/>
                <w:color w:val="000000"/>
                <w:sz w:val="20"/>
                <w:szCs w:val="20"/>
                <w:highlight w:val="black"/>
                <w:lang w:eastAsia="en-US"/>
              </w:rPr>
              <w:t>'''''''''''''''''''</w:t>
            </w:r>
            <w:r w:rsidRPr="000E182A">
              <w:rPr>
                <w:rFonts w:ascii="Arial Narrow" w:hAnsi="Arial Narrow" w:cs="Calibri"/>
                <w:bCs/>
                <w:sz w:val="20"/>
                <w:szCs w:val="20"/>
                <w:lang w:eastAsia="en-US"/>
              </w:rPr>
              <w:t xml:space="preserve"> + $102.12</w:t>
            </w:r>
          </w:p>
        </w:tc>
        <w:tc>
          <w:tcPr>
            <w:tcW w:w="2727" w:type="dxa"/>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w:t>
            </w:r>
            <w:r w:rsidR="00B004D9">
              <w:rPr>
                <w:rFonts w:ascii="Arial Narrow" w:hAnsi="Arial Narrow" w:cs="Calibri"/>
                <w:bCs/>
                <w:noProof/>
                <w:color w:val="000000"/>
                <w:sz w:val="20"/>
                <w:szCs w:val="20"/>
                <w:highlight w:val="black"/>
                <w:lang w:eastAsia="en-US"/>
              </w:rPr>
              <w:t>''''''''''''''''''''''</w:t>
            </w:r>
            <w:r w:rsidRPr="000E182A">
              <w:rPr>
                <w:rFonts w:ascii="Arial Narrow" w:hAnsi="Arial Narrow" w:cs="Calibri"/>
                <w:bCs/>
                <w:sz w:val="20"/>
                <w:szCs w:val="20"/>
                <w:lang w:eastAsia="en-US"/>
              </w:rPr>
              <w:br/>
              <w:t>= $</w:t>
            </w:r>
            <w:r w:rsidR="00B004D9">
              <w:rPr>
                <w:rFonts w:ascii="Arial Narrow" w:hAnsi="Arial Narrow" w:cs="Calibri"/>
                <w:bCs/>
                <w:noProof/>
                <w:color w:val="000000"/>
                <w:sz w:val="20"/>
                <w:szCs w:val="20"/>
                <w:highlight w:val="black"/>
                <w:lang w:eastAsia="en-US"/>
              </w:rPr>
              <w:t>''''''''''''''''''''''</w:t>
            </w:r>
            <w:r w:rsidRPr="000E182A">
              <w:rPr>
                <w:rFonts w:ascii="Arial Narrow" w:hAnsi="Arial Narrow" w:cs="Calibri"/>
                <w:bCs/>
                <w:sz w:val="20"/>
                <w:szCs w:val="20"/>
                <w:lang w:eastAsia="en-US"/>
              </w:rPr>
              <w:t xml:space="preserve"> + $139.14 + </w:t>
            </w:r>
            <w:r w:rsidR="004D504D">
              <w:rPr>
                <w:rFonts w:ascii="Arial Narrow" w:hAnsi="Arial Narrow" w:cs="Calibri"/>
                <w:bCs/>
                <w:sz w:val="20"/>
                <w:szCs w:val="20"/>
                <w:lang w:eastAsia="en-US"/>
              </w:rPr>
              <w:t>$</w:t>
            </w:r>
            <w:r w:rsidRPr="000E182A">
              <w:rPr>
                <w:rFonts w:ascii="Arial Narrow" w:hAnsi="Arial Narrow" w:cs="Calibri"/>
                <w:bCs/>
                <w:sz w:val="20"/>
                <w:szCs w:val="20"/>
                <w:lang w:eastAsia="en-US"/>
              </w:rPr>
              <w:t>40.00</w:t>
            </w:r>
          </w:p>
        </w:tc>
      </w:tr>
      <w:tr w:rsidR="000E182A" w:rsidRPr="000E182A" w:rsidTr="00577A6F">
        <w:trPr>
          <w:cantSplit/>
          <w:trHeight w:val="331"/>
        </w:trPr>
        <w:tc>
          <w:tcPr>
            <w:tcW w:w="3402" w:type="dxa"/>
          </w:tcPr>
          <w:p w:rsidR="000E182A" w:rsidRPr="000E182A" w:rsidRDefault="000E182A" w:rsidP="000E182A">
            <w:pPr>
              <w:rPr>
                <w:rFonts w:ascii="Arial Narrow" w:hAnsi="Arial Narrow" w:cs="Calibri"/>
                <w:bCs/>
                <w:sz w:val="20"/>
                <w:szCs w:val="20"/>
                <w:lang w:eastAsia="en-US"/>
              </w:rPr>
            </w:pPr>
            <w:r w:rsidRPr="000E182A">
              <w:rPr>
                <w:rFonts w:ascii="Arial Narrow" w:hAnsi="Arial Narrow" w:cs="Calibri"/>
                <w:bCs/>
                <w:sz w:val="20"/>
                <w:szCs w:val="20"/>
                <w:lang w:eastAsia="en-US"/>
              </w:rPr>
              <w:t>Rituximab price for SC formulation (1400mg)</w:t>
            </w:r>
          </w:p>
        </w:tc>
        <w:tc>
          <w:tcPr>
            <w:tcW w:w="2234" w:type="dxa"/>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w:t>
            </w:r>
            <w:r w:rsidR="00B004D9">
              <w:rPr>
                <w:rFonts w:ascii="Arial Narrow" w:hAnsi="Arial Narrow" w:cs="Calibri"/>
                <w:bCs/>
                <w:noProof/>
                <w:color w:val="000000"/>
                <w:sz w:val="20"/>
                <w:szCs w:val="20"/>
                <w:highlight w:val="black"/>
                <w:lang w:eastAsia="en-US"/>
              </w:rPr>
              <w:t>'''''''''''''''''''</w:t>
            </w:r>
          </w:p>
        </w:tc>
        <w:tc>
          <w:tcPr>
            <w:tcW w:w="2727" w:type="dxa"/>
          </w:tcPr>
          <w:p w:rsidR="000E182A" w:rsidRPr="000E182A" w:rsidRDefault="000E182A" w:rsidP="00B04ED5">
            <w:pPr>
              <w:jc w:val="center"/>
              <w:rPr>
                <w:rFonts w:ascii="Arial Narrow" w:hAnsi="Arial Narrow" w:cs="Calibri"/>
                <w:bCs/>
                <w:sz w:val="20"/>
                <w:szCs w:val="20"/>
                <w:lang w:eastAsia="en-US"/>
              </w:rPr>
            </w:pPr>
            <w:r w:rsidRPr="000E182A">
              <w:rPr>
                <w:rFonts w:ascii="Arial Narrow" w:hAnsi="Arial Narrow" w:cs="Calibri"/>
                <w:bCs/>
                <w:sz w:val="20"/>
                <w:szCs w:val="20"/>
                <w:lang w:eastAsia="en-US"/>
              </w:rPr>
              <w:t>$</w:t>
            </w:r>
            <w:r w:rsidR="00B004D9">
              <w:rPr>
                <w:rFonts w:ascii="Arial Narrow" w:hAnsi="Arial Narrow" w:cs="Calibri"/>
                <w:bCs/>
                <w:noProof/>
                <w:color w:val="000000"/>
                <w:sz w:val="20"/>
                <w:szCs w:val="20"/>
                <w:highlight w:val="black"/>
                <w:lang w:eastAsia="en-US"/>
              </w:rPr>
              <w:t>''''''''''''''''''''</w:t>
            </w:r>
          </w:p>
        </w:tc>
      </w:tr>
    </w:tbl>
    <w:p w:rsidR="000E182A" w:rsidRPr="000E182A" w:rsidRDefault="000E182A" w:rsidP="000E182A">
      <w:pPr>
        <w:ind w:left="709"/>
        <w:contextualSpacing/>
        <w:jc w:val="both"/>
        <w:rPr>
          <w:rFonts w:ascii="Arial Narrow" w:hAnsi="Arial Narrow"/>
          <w:sz w:val="20"/>
          <w:szCs w:val="20"/>
        </w:rPr>
      </w:pPr>
      <w:r w:rsidRPr="000E182A">
        <w:rPr>
          <w:rFonts w:ascii="Arial Narrow" w:hAnsi="Arial Narrow"/>
          <w:sz w:val="20"/>
          <w:szCs w:val="20"/>
        </w:rPr>
        <w:t>Note: Rituximab SC CMA.xlsx</w:t>
      </w:r>
    </w:p>
    <w:p w:rsidR="000E182A" w:rsidRPr="000E182A" w:rsidRDefault="000E182A" w:rsidP="000E182A">
      <w:pPr>
        <w:ind w:left="709"/>
        <w:contextualSpacing/>
        <w:jc w:val="both"/>
        <w:rPr>
          <w:rFonts w:ascii="Arial Narrow" w:hAnsi="Arial Narrow"/>
          <w:sz w:val="20"/>
          <w:szCs w:val="20"/>
        </w:rPr>
      </w:pPr>
      <w:r w:rsidRPr="000E182A">
        <w:rPr>
          <w:rFonts w:ascii="Arial Narrow" w:hAnsi="Arial Narrow"/>
          <w:sz w:val="20"/>
          <w:szCs w:val="20"/>
        </w:rPr>
        <w:t xml:space="preserve">Source: page 12 of the </w:t>
      </w:r>
      <w:r>
        <w:rPr>
          <w:rFonts w:ascii="Arial Narrow" w:hAnsi="Arial Narrow"/>
          <w:sz w:val="20"/>
          <w:szCs w:val="20"/>
        </w:rPr>
        <w:t xml:space="preserve">November 2014 PBAC </w:t>
      </w:r>
      <w:r w:rsidRPr="000E182A">
        <w:rPr>
          <w:rFonts w:ascii="Arial Narrow" w:hAnsi="Arial Narrow"/>
          <w:sz w:val="20"/>
          <w:szCs w:val="20"/>
        </w:rPr>
        <w:t>submission</w:t>
      </w:r>
    </w:p>
    <w:p w:rsidR="000E182A" w:rsidRPr="009774D0" w:rsidRDefault="000E182A" w:rsidP="009774D0">
      <w:pPr>
        <w:rPr>
          <w:szCs w:val="22"/>
        </w:rPr>
      </w:pPr>
    </w:p>
    <w:p w:rsidR="009774D0" w:rsidRDefault="009774D0" w:rsidP="009774D0">
      <w:pPr>
        <w:pStyle w:val="ListParagraph"/>
        <w:numPr>
          <w:ilvl w:val="1"/>
          <w:numId w:val="5"/>
        </w:numPr>
        <w:rPr>
          <w:szCs w:val="22"/>
        </w:rPr>
      </w:pPr>
      <w:r w:rsidRPr="009774D0">
        <w:rPr>
          <w:szCs w:val="22"/>
        </w:rPr>
        <w:t xml:space="preserve">In the </w:t>
      </w:r>
      <w:r w:rsidR="00185867">
        <w:rPr>
          <w:szCs w:val="22"/>
        </w:rPr>
        <w:t>P</w:t>
      </w:r>
      <w:r w:rsidRPr="009774D0">
        <w:rPr>
          <w:szCs w:val="22"/>
        </w:rPr>
        <w:t>re-PBAC response,</w:t>
      </w:r>
      <w:r w:rsidR="003265DE">
        <w:rPr>
          <w:szCs w:val="22"/>
        </w:rPr>
        <w:t xml:space="preserve"> (p1)</w:t>
      </w:r>
      <w:r w:rsidRPr="009774D0">
        <w:rPr>
          <w:szCs w:val="22"/>
        </w:rPr>
        <w:t xml:space="preserve"> the </w:t>
      </w:r>
      <w:r>
        <w:rPr>
          <w:szCs w:val="22"/>
        </w:rPr>
        <w:t>sponsor stated</w:t>
      </w:r>
      <w:r w:rsidR="003265DE">
        <w:rPr>
          <w:szCs w:val="22"/>
        </w:rPr>
        <w:t>,</w:t>
      </w:r>
      <w:r>
        <w:rPr>
          <w:szCs w:val="22"/>
        </w:rPr>
        <w:t xml:space="preserve"> the November 2014 rituximab SC submission applied section 100 pricing only</w:t>
      </w:r>
      <w:r w:rsidR="005532A7">
        <w:rPr>
          <w:szCs w:val="22"/>
        </w:rPr>
        <w:t xml:space="preserve"> and that i</w:t>
      </w:r>
      <w:r w:rsidR="0030422D">
        <w:rPr>
          <w:szCs w:val="22"/>
        </w:rPr>
        <w:t>n this submission</w:t>
      </w:r>
      <w:r>
        <w:rPr>
          <w:szCs w:val="22"/>
        </w:rPr>
        <w:t xml:space="preserve"> an additional </w:t>
      </w:r>
      <w:r w:rsidR="005532A7">
        <w:rPr>
          <w:szCs w:val="22"/>
        </w:rPr>
        <w:t>General Schedule</w:t>
      </w:r>
      <w:r>
        <w:rPr>
          <w:szCs w:val="22"/>
        </w:rPr>
        <w:t xml:space="preserve"> proposed price calculation was presented</w:t>
      </w:r>
      <w:r w:rsidR="0030422D">
        <w:rPr>
          <w:szCs w:val="22"/>
        </w:rPr>
        <w:t>,</w:t>
      </w:r>
      <w:r>
        <w:rPr>
          <w:szCs w:val="22"/>
        </w:rPr>
        <w:t xml:space="preserve"> consistent with the advice received from the PBAC Secretariat following the November 2014 recommendation.</w:t>
      </w:r>
    </w:p>
    <w:p w:rsidR="00982DE5" w:rsidRDefault="00982DE5" w:rsidP="00322707">
      <w:pPr>
        <w:pStyle w:val="ListParagraph"/>
        <w:rPr>
          <w:szCs w:val="22"/>
        </w:rPr>
      </w:pPr>
    </w:p>
    <w:p w:rsidR="009774D0" w:rsidRPr="00C60F51" w:rsidRDefault="00982DE5" w:rsidP="00322707">
      <w:pPr>
        <w:pStyle w:val="ListParagraph"/>
        <w:numPr>
          <w:ilvl w:val="1"/>
          <w:numId w:val="5"/>
        </w:numPr>
      </w:pPr>
      <w:r w:rsidRPr="00C60F51">
        <w:rPr>
          <w:szCs w:val="22"/>
        </w:rPr>
        <w:t xml:space="preserve">The PBAC noted </w:t>
      </w:r>
      <w:r w:rsidR="00DB0564">
        <w:rPr>
          <w:szCs w:val="22"/>
        </w:rPr>
        <w:t xml:space="preserve">that </w:t>
      </w:r>
      <w:r w:rsidR="00C60F51" w:rsidRPr="00C60F51">
        <w:rPr>
          <w:szCs w:val="22"/>
        </w:rPr>
        <w:t>a large</w:t>
      </w:r>
      <w:r w:rsidR="0030422D">
        <w:rPr>
          <w:szCs w:val="22"/>
        </w:rPr>
        <w:t>r</w:t>
      </w:r>
      <w:r w:rsidR="00C60F51" w:rsidRPr="00C60F51">
        <w:rPr>
          <w:szCs w:val="22"/>
        </w:rPr>
        <w:t xml:space="preserve"> BSA was used to calculate the price of rituximab SC for CLL compared to the BSA used to calculate the price of rituximab SC </w:t>
      </w:r>
      <w:r w:rsidR="0030422D">
        <w:rPr>
          <w:szCs w:val="22"/>
        </w:rPr>
        <w:t xml:space="preserve">in the </w:t>
      </w:r>
      <w:r w:rsidR="00C60F51">
        <w:rPr>
          <w:szCs w:val="22"/>
        </w:rPr>
        <w:t xml:space="preserve">November 2014 </w:t>
      </w:r>
      <w:r w:rsidR="00DB0564" w:rsidRPr="00DB0564">
        <w:rPr>
          <w:szCs w:val="22"/>
        </w:rPr>
        <w:t xml:space="preserve">non-Hodgkin’s lymphoma </w:t>
      </w:r>
      <w:r w:rsidR="00C60F51">
        <w:rPr>
          <w:szCs w:val="22"/>
        </w:rPr>
        <w:t>submission</w:t>
      </w:r>
      <w:r w:rsidR="00AC05B2">
        <w:rPr>
          <w:szCs w:val="22"/>
        </w:rPr>
        <w:t>,</w:t>
      </w:r>
      <w:r w:rsidR="00DB0564">
        <w:rPr>
          <w:szCs w:val="22"/>
        </w:rPr>
        <w:t xml:space="preserve"> </w:t>
      </w:r>
      <w:r w:rsidR="005532A7">
        <w:rPr>
          <w:szCs w:val="22"/>
        </w:rPr>
        <w:t>however</w:t>
      </w:r>
      <w:r w:rsidR="00DB0564">
        <w:rPr>
          <w:szCs w:val="22"/>
        </w:rPr>
        <w:t>,</w:t>
      </w:r>
      <w:r w:rsidR="005532A7">
        <w:rPr>
          <w:szCs w:val="22"/>
        </w:rPr>
        <w:t xml:space="preserve"> it recalled that</w:t>
      </w:r>
      <w:r w:rsidR="0030422D">
        <w:rPr>
          <w:szCs w:val="22"/>
        </w:rPr>
        <w:t xml:space="preserve"> the BSA used in </w:t>
      </w:r>
      <w:r w:rsidR="005532A7">
        <w:rPr>
          <w:szCs w:val="22"/>
        </w:rPr>
        <w:t>the original recommended submission for</w:t>
      </w:r>
      <w:r w:rsidR="0030422D">
        <w:rPr>
          <w:szCs w:val="22"/>
        </w:rPr>
        <w:t xml:space="preserve"> rituximab </w:t>
      </w:r>
      <w:r w:rsidR="00442F0A">
        <w:rPr>
          <w:szCs w:val="22"/>
        </w:rPr>
        <w:t xml:space="preserve">for </w:t>
      </w:r>
      <w:r w:rsidR="0030422D">
        <w:rPr>
          <w:szCs w:val="22"/>
        </w:rPr>
        <w:t xml:space="preserve">CLL submission </w:t>
      </w:r>
      <w:r w:rsidR="00442F0A">
        <w:rPr>
          <w:szCs w:val="22"/>
        </w:rPr>
        <w:t>from</w:t>
      </w:r>
      <w:r w:rsidR="0030422D">
        <w:rPr>
          <w:szCs w:val="22"/>
        </w:rPr>
        <w:t xml:space="preserve"> November 2010</w:t>
      </w:r>
      <w:r w:rsidR="00E32FED">
        <w:rPr>
          <w:szCs w:val="22"/>
        </w:rPr>
        <w:t xml:space="preserve"> (</w:t>
      </w:r>
      <w:r w:rsidR="00B004D9">
        <w:rPr>
          <w:noProof/>
          <w:color w:val="000000"/>
          <w:szCs w:val="22"/>
          <w:highlight w:val="black"/>
        </w:rPr>
        <w:t>'''''''</w:t>
      </w:r>
      <w:r w:rsidR="00E32FED">
        <w:rPr>
          <w:szCs w:val="22"/>
        </w:rPr>
        <w:t> m</w:t>
      </w:r>
      <w:r w:rsidR="00E32FED" w:rsidRPr="00E32FED">
        <w:rPr>
          <w:szCs w:val="22"/>
          <w:vertAlign w:val="superscript"/>
        </w:rPr>
        <w:t>2</w:t>
      </w:r>
      <w:r w:rsidR="00E32FED" w:rsidRPr="00E32FED">
        <w:rPr>
          <w:szCs w:val="22"/>
        </w:rPr>
        <w:t>)</w:t>
      </w:r>
      <w:r w:rsidR="005532A7">
        <w:rPr>
          <w:szCs w:val="22"/>
        </w:rPr>
        <w:t xml:space="preserve"> was slightly larger than </w:t>
      </w:r>
      <w:r w:rsidR="00DB0564">
        <w:rPr>
          <w:szCs w:val="22"/>
        </w:rPr>
        <w:t xml:space="preserve">that used </w:t>
      </w:r>
      <w:r w:rsidR="005532A7">
        <w:rPr>
          <w:szCs w:val="22"/>
        </w:rPr>
        <w:t xml:space="preserve">in </w:t>
      </w:r>
      <w:r w:rsidR="00DB0564">
        <w:rPr>
          <w:szCs w:val="22"/>
        </w:rPr>
        <w:t>the current</w:t>
      </w:r>
      <w:r w:rsidR="005532A7">
        <w:rPr>
          <w:szCs w:val="22"/>
        </w:rPr>
        <w:t xml:space="preserve"> submission</w:t>
      </w:r>
      <w:r w:rsidR="00E32FED">
        <w:rPr>
          <w:szCs w:val="22"/>
        </w:rPr>
        <w:t xml:space="preserve"> (</w:t>
      </w:r>
      <w:r w:rsidR="00B004D9">
        <w:rPr>
          <w:noProof/>
          <w:color w:val="000000"/>
          <w:szCs w:val="22"/>
          <w:highlight w:val="black"/>
        </w:rPr>
        <w:t>'''''''''''</w:t>
      </w:r>
      <w:r w:rsidR="00A20F2E">
        <w:rPr>
          <w:szCs w:val="22"/>
        </w:rPr>
        <w:t xml:space="preserve"> </w:t>
      </w:r>
      <w:r w:rsidR="00E32FED">
        <w:rPr>
          <w:szCs w:val="22"/>
        </w:rPr>
        <w:t>m</w:t>
      </w:r>
      <w:r w:rsidR="00E32FED" w:rsidRPr="00E32FED">
        <w:rPr>
          <w:szCs w:val="22"/>
          <w:vertAlign w:val="superscript"/>
        </w:rPr>
        <w:t>2</w:t>
      </w:r>
      <w:r w:rsidR="00E32FED">
        <w:rPr>
          <w:szCs w:val="22"/>
        </w:rPr>
        <w:t>)</w:t>
      </w:r>
      <w:r w:rsidR="0030422D">
        <w:rPr>
          <w:szCs w:val="22"/>
        </w:rPr>
        <w:t>.</w:t>
      </w:r>
    </w:p>
    <w:p w:rsidR="00C60F51" w:rsidRPr="009774D0" w:rsidRDefault="00C60F51" w:rsidP="00C60F51"/>
    <w:p w:rsidR="005A3173" w:rsidRPr="00882085" w:rsidRDefault="005A3173" w:rsidP="00B1059E">
      <w:pPr>
        <w:pStyle w:val="Heading2"/>
      </w:pPr>
      <w:r w:rsidRPr="00882085">
        <w:t>Estimated PBS usage &amp; financial implications</w:t>
      </w:r>
    </w:p>
    <w:p w:rsidR="00FF360B" w:rsidRPr="00B6088D" w:rsidRDefault="00FF360B" w:rsidP="00B6088D">
      <w:pPr>
        <w:rPr>
          <w:szCs w:val="22"/>
        </w:rPr>
      </w:pPr>
    </w:p>
    <w:p w:rsidR="001070BC" w:rsidRPr="00BC22CD" w:rsidRDefault="001070BC" w:rsidP="001070BC">
      <w:pPr>
        <w:pStyle w:val="ListParagraph"/>
        <w:numPr>
          <w:ilvl w:val="1"/>
          <w:numId w:val="5"/>
        </w:numPr>
        <w:rPr>
          <w:szCs w:val="22"/>
        </w:rPr>
      </w:pPr>
      <w:r w:rsidRPr="00FF360B">
        <w:rPr>
          <w:szCs w:val="22"/>
        </w:rPr>
        <w:t>T</w:t>
      </w:r>
      <w:r w:rsidRPr="00BC22CD">
        <w:rPr>
          <w:szCs w:val="22"/>
        </w:rPr>
        <w:t>he financial analysis presented in the submission assumed no incremental growth in the rituximab market following the availability for the SC formulation and is based on moderate uptake of the SC formulation.</w:t>
      </w:r>
    </w:p>
    <w:p w:rsidR="001070BC" w:rsidRPr="00BC22CD" w:rsidRDefault="001070BC" w:rsidP="000215CA">
      <w:pPr>
        <w:pStyle w:val="ListParagraph"/>
        <w:rPr>
          <w:szCs w:val="22"/>
        </w:rPr>
      </w:pPr>
    </w:p>
    <w:p w:rsidR="00FF360B" w:rsidRPr="00BC22CD" w:rsidRDefault="00FF360B" w:rsidP="00FF360B">
      <w:pPr>
        <w:pStyle w:val="ListParagraph"/>
        <w:numPr>
          <w:ilvl w:val="1"/>
          <w:numId w:val="5"/>
        </w:numPr>
        <w:rPr>
          <w:szCs w:val="22"/>
        </w:rPr>
      </w:pPr>
      <w:r w:rsidRPr="00BC22CD">
        <w:rPr>
          <w:szCs w:val="22"/>
        </w:rPr>
        <w:t xml:space="preserve">The submission stated </w:t>
      </w:r>
      <w:r w:rsidR="00CF6BD9" w:rsidRPr="00BC22CD">
        <w:rPr>
          <w:szCs w:val="22"/>
        </w:rPr>
        <w:t xml:space="preserve">that </w:t>
      </w:r>
      <w:r w:rsidRPr="00BC22CD">
        <w:rPr>
          <w:szCs w:val="22"/>
        </w:rPr>
        <w:t xml:space="preserve">the PBS listing of rituximab </w:t>
      </w:r>
      <w:r w:rsidR="00CF6BD9" w:rsidRPr="00BC22CD">
        <w:rPr>
          <w:szCs w:val="22"/>
        </w:rPr>
        <w:t xml:space="preserve">1,600 mg </w:t>
      </w:r>
      <w:r w:rsidRPr="00BC22CD">
        <w:rPr>
          <w:szCs w:val="22"/>
        </w:rPr>
        <w:t>SC w</w:t>
      </w:r>
      <w:r w:rsidR="00CF6BD9" w:rsidRPr="00BC22CD">
        <w:rPr>
          <w:szCs w:val="22"/>
        </w:rPr>
        <w:t>ou</w:t>
      </w:r>
      <w:r w:rsidRPr="00BC22CD">
        <w:rPr>
          <w:szCs w:val="22"/>
        </w:rPr>
        <w:t>l</w:t>
      </w:r>
      <w:r w:rsidR="00CF6BD9" w:rsidRPr="00BC22CD">
        <w:rPr>
          <w:szCs w:val="22"/>
        </w:rPr>
        <w:t>d</w:t>
      </w:r>
      <w:r w:rsidRPr="00BC22CD">
        <w:rPr>
          <w:szCs w:val="22"/>
        </w:rPr>
        <w:t xml:space="preserve"> result in a small </w:t>
      </w:r>
      <w:r w:rsidR="00CF6BD9" w:rsidRPr="00BC22CD">
        <w:rPr>
          <w:szCs w:val="22"/>
        </w:rPr>
        <w:t xml:space="preserve">increase in </w:t>
      </w:r>
      <w:r w:rsidRPr="00BC22CD">
        <w:rPr>
          <w:szCs w:val="22"/>
        </w:rPr>
        <w:t xml:space="preserve">overall net cost to the PBS. This </w:t>
      </w:r>
      <w:r w:rsidR="00CF6BD9" w:rsidRPr="00BC22CD">
        <w:rPr>
          <w:szCs w:val="22"/>
        </w:rPr>
        <w:t xml:space="preserve">would be </w:t>
      </w:r>
      <w:r w:rsidRPr="00BC22CD">
        <w:rPr>
          <w:szCs w:val="22"/>
        </w:rPr>
        <w:t xml:space="preserve">driven by higher </w:t>
      </w:r>
      <w:r w:rsidR="005705A7" w:rsidRPr="00BC22CD">
        <w:rPr>
          <w:szCs w:val="22"/>
        </w:rPr>
        <w:t>mark-ups</w:t>
      </w:r>
      <w:r w:rsidRPr="00BC22CD">
        <w:rPr>
          <w:szCs w:val="22"/>
        </w:rPr>
        <w:t xml:space="preserve">, handling and dispensing fees applied to </w:t>
      </w:r>
      <w:r w:rsidR="00CF6BD9" w:rsidRPr="00BC22CD">
        <w:rPr>
          <w:szCs w:val="22"/>
        </w:rPr>
        <w:t>General Schedule</w:t>
      </w:r>
      <w:r w:rsidRPr="00BC22CD">
        <w:rPr>
          <w:szCs w:val="22"/>
        </w:rPr>
        <w:t xml:space="preserve"> listings (rituximab </w:t>
      </w:r>
      <w:r w:rsidR="00CF6BD9" w:rsidRPr="00BC22CD">
        <w:rPr>
          <w:szCs w:val="22"/>
        </w:rPr>
        <w:t xml:space="preserve">1,600 mg </w:t>
      </w:r>
      <w:r w:rsidRPr="00BC22CD">
        <w:rPr>
          <w:szCs w:val="22"/>
        </w:rPr>
        <w:t xml:space="preserve">SC), compared to Section 100 </w:t>
      </w:r>
      <w:r w:rsidR="00B04ED5" w:rsidRPr="00BC22CD">
        <w:rPr>
          <w:szCs w:val="22"/>
        </w:rPr>
        <w:t>EFC</w:t>
      </w:r>
      <w:r w:rsidRPr="00BC22CD">
        <w:rPr>
          <w:szCs w:val="22"/>
        </w:rPr>
        <w:t xml:space="preserve"> listings (rituximab IV). </w:t>
      </w:r>
    </w:p>
    <w:p w:rsidR="00FF360B" w:rsidRPr="00BC22CD" w:rsidRDefault="00FF360B" w:rsidP="00FF360B">
      <w:pPr>
        <w:pStyle w:val="ListParagraph"/>
        <w:rPr>
          <w:szCs w:val="22"/>
        </w:rPr>
      </w:pPr>
    </w:p>
    <w:p w:rsidR="00EF79A9" w:rsidRPr="00BC22CD" w:rsidRDefault="00FF360B" w:rsidP="002A3A74">
      <w:pPr>
        <w:pStyle w:val="ListParagraph"/>
        <w:numPr>
          <w:ilvl w:val="1"/>
          <w:numId w:val="5"/>
        </w:numPr>
        <w:rPr>
          <w:szCs w:val="22"/>
        </w:rPr>
      </w:pPr>
      <w:r w:rsidRPr="00BC22CD">
        <w:rPr>
          <w:szCs w:val="22"/>
        </w:rPr>
        <w:t xml:space="preserve">The minor submission estimated a net cost to the PBS of </w:t>
      </w:r>
      <w:r w:rsidR="00ED7B54">
        <w:rPr>
          <w:szCs w:val="22"/>
        </w:rPr>
        <w:t>less than $10 million</w:t>
      </w:r>
      <w:r w:rsidRPr="00BC22CD">
        <w:rPr>
          <w:szCs w:val="22"/>
        </w:rPr>
        <w:t xml:space="preserve"> in year 5 of listing, with </w:t>
      </w:r>
      <w:r w:rsidR="005705A7" w:rsidRPr="00BC22CD">
        <w:rPr>
          <w:szCs w:val="22"/>
        </w:rPr>
        <w:t xml:space="preserve">a total net cost to the PBS of </w:t>
      </w:r>
      <w:r w:rsidR="009A71C6">
        <w:rPr>
          <w:szCs w:val="22"/>
        </w:rPr>
        <w:t>less than $10 million</w:t>
      </w:r>
      <w:r w:rsidRPr="00BC22CD">
        <w:rPr>
          <w:szCs w:val="22"/>
        </w:rPr>
        <w:t xml:space="preserve"> over the first 5 years of listing.  This is summarised in the table below</w:t>
      </w:r>
      <w:r w:rsidR="00B6088D" w:rsidRPr="00BC22CD">
        <w:rPr>
          <w:szCs w:val="22"/>
        </w:rPr>
        <w:t>.</w:t>
      </w:r>
    </w:p>
    <w:p w:rsidR="002A3A74" w:rsidRPr="002A3A74" w:rsidRDefault="002A3A74" w:rsidP="002A3A74">
      <w:pPr>
        <w:rPr>
          <w:szCs w:val="22"/>
        </w:rPr>
      </w:pPr>
    </w:p>
    <w:p w:rsidR="009D23F3" w:rsidRDefault="009D23F3">
      <w:pPr>
        <w:rPr>
          <w:rFonts w:ascii="Arial Narrow" w:hAnsi="Arial Narrow"/>
          <w:b/>
          <w:sz w:val="20"/>
          <w:szCs w:val="22"/>
        </w:rPr>
      </w:pPr>
      <w:bookmarkStart w:id="6" w:name="_Toc469647885"/>
      <w:r>
        <w:rPr>
          <w:rFonts w:ascii="Arial Narrow" w:hAnsi="Arial Narrow"/>
          <w:b/>
          <w:sz w:val="20"/>
        </w:rPr>
        <w:br w:type="page"/>
      </w:r>
    </w:p>
    <w:p w:rsidR="009564AA" w:rsidRPr="002A3A74" w:rsidRDefault="008B0A7A" w:rsidP="002A3A74">
      <w:pPr>
        <w:pStyle w:val="NoSpacing"/>
        <w:ind w:left="360" w:firstLine="360"/>
        <w:rPr>
          <w:rFonts w:ascii="Arial Narrow" w:hAnsi="Arial Narrow"/>
          <w:b/>
          <w:sz w:val="20"/>
        </w:rPr>
      </w:pPr>
      <w:r>
        <w:rPr>
          <w:rFonts w:ascii="Arial Narrow" w:hAnsi="Arial Narrow"/>
          <w:b/>
          <w:sz w:val="20"/>
        </w:rPr>
        <w:t xml:space="preserve">Table </w:t>
      </w:r>
      <w:r w:rsidR="004D504D">
        <w:rPr>
          <w:rFonts w:ascii="Arial Narrow" w:hAnsi="Arial Narrow"/>
          <w:b/>
          <w:sz w:val="20"/>
        </w:rPr>
        <w:t>8</w:t>
      </w:r>
      <w:r>
        <w:rPr>
          <w:rFonts w:ascii="Arial Narrow" w:hAnsi="Arial Narrow"/>
          <w:b/>
          <w:sz w:val="20"/>
        </w:rPr>
        <w:t xml:space="preserve">. </w:t>
      </w:r>
      <w:r w:rsidR="009564AA" w:rsidRPr="002A3A74">
        <w:rPr>
          <w:rFonts w:ascii="Arial Narrow" w:hAnsi="Arial Narrow"/>
          <w:b/>
          <w:sz w:val="20"/>
        </w:rPr>
        <w:t>Overall net cost to Commonwealth Government Health budget of listing rituximab SC</w:t>
      </w:r>
      <w:bookmarkEnd w:id="6"/>
    </w:p>
    <w:tbl>
      <w:tblPr>
        <w:tblW w:w="7847" w:type="dxa"/>
        <w:tblInd w:w="822" w:type="dxa"/>
        <w:tblLayout w:type="fixed"/>
        <w:tblLook w:val="04A0" w:firstRow="1" w:lastRow="0" w:firstColumn="1" w:lastColumn="0" w:noHBand="0" w:noVBand="1"/>
      </w:tblPr>
      <w:tblGrid>
        <w:gridCol w:w="2405"/>
        <w:gridCol w:w="907"/>
        <w:gridCol w:w="907"/>
        <w:gridCol w:w="907"/>
        <w:gridCol w:w="907"/>
        <w:gridCol w:w="907"/>
        <w:gridCol w:w="907"/>
      </w:tblGrid>
      <w:tr w:rsidR="009564AA" w:rsidRPr="002026FF" w:rsidTr="00EE3017">
        <w:trPr>
          <w:trHeight w:val="482"/>
        </w:trPr>
        <w:tc>
          <w:tcPr>
            <w:tcW w:w="2405" w:type="dxa"/>
            <w:tcBorders>
              <w:top w:val="single" w:sz="4" w:space="0" w:color="3C3C3C"/>
              <w:left w:val="single" w:sz="4" w:space="0" w:color="3C3C3C"/>
              <w:bottom w:val="single" w:sz="4" w:space="0" w:color="3C3C3C"/>
              <w:right w:val="single" w:sz="4" w:space="0" w:color="3C3C3C"/>
            </w:tcBorders>
            <w:shd w:val="clear" w:color="auto" w:fill="auto"/>
            <w:noWrap/>
            <w:hideMark/>
          </w:tcPr>
          <w:p w:rsidR="009564AA" w:rsidRPr="005705A7" w:rsidRDefault="009564AA" w:rsidP="00663523">
            <w:pPr>
              <w:pStyle w:val="TableHeadingRow"/>
              <w:rPr>
                <w:rFonts w:ascii="Arial Narrow" w:hAnsi="Arial Narrow"/>
              </w:rPr>
            </w:pPr>
            <w:r w:rsidRPr="005705A7">
              <w:rPr>
                <w:rFonts w:ascii="Arial Narrow" w:hAnsi="Arial Narrow"/>
              </w:rPr>
              <w:t> </w:t>
            </w:r>
          </w:p>
        </w:tc>
        <w:tc>
          <w:tcPr>
            <w:tcW w:w="907" w:type="dxa"/>
            <w:tcBorders>
              <w:top w:val="single" w:sz="4" w:space="0" w:color="3C3C3C"/>
              <w:left w:val="nil"/>
              <w:bottom w:val="single" w:sz="4" w:space="0" w:color="3C3C3C"/>
              <w:right w:val="single" w:sz="4" w:space="0" w:color="3C3C3C"/>
            </w:tcBorders>
            <w:shd w:val="clear" w:color="auto" w:fill="auto"/>
            <w:vAlign w:val="center"/>
            <w:hideMark/>
          </w:tcPr>
          <w:p w:rsidR="009564AA" w:rsidRPr="005705A7" w:rsidRDefault="009564AA" w:rsidP="00663523">
            <w:pPr>
              <w:pStyle w:val="TableHeadingRow"/>
              <w:jc w:val="center"/>
              <w:rPr>
                <w:rFonts w:ascii="Arial Narrow" w:hAnsi="Arial Narrow"/>
              </w:rPr>
            </w:pPr>
            <w:r w:rsidRPr="005705A7">
              <w:rPr>
                <w:rFonts w:ascii="Arial Narrow" w:hAnsi="Arial Narrow"/>
              </w:rPr>
              <w:t>Year 1</w:t>
            </w:r>
          </w:p>
        </w:tc>
        <w:tc>
          <w:tcPr>
            <w:tcW w:w="907" w:type="dxa"/>
            <w:tcBorders>
              <w:top w:val="single" w:sz="4" w:space="0" w:color="3C3C3C"/>
              <w:left w:val="nil"/>
              <w:bottom w:val="single" w:sz="4" w:space="0" w:color="3C3C3C"/>
              <w:right w:val="single" w:sz="4" w:space="0" w:color="3C3C3C"/>
            </w:tcBorders>
            <w:shd w:val="clear" w:color="auto" w:fill="auto"/>
            <w:vAlign w:val="center"/>
            <w:hideMark/>
          </w:tcPr>
          <w:p w:rsidR="009564AA" w:rsidRPr="005705A7" w:rsidRDefault="009564AA" w:rsidP="00663523">
            <w:pPr>
              <w:pStyle w:val="TableHeadingRow"/>
              <w:jc w:val="center"/>
              <w:rPr>
                <w:rFonts w:ascii="Arial Narrow" w:hAnsi="Arial Narrow"/>
              </w:rPr>
            </w:pPr>
            <w:r w:rsidRPr="005705A7">
              <w:rPr>
                <w:rFonts w:ascii="Arial Narrow" w:hAnsi="Arial Narrow"/>
              </w:rPr>
              <w:t>Year 2</w:t>
            </w:r>
          </w:p>
        </w:tc>
        <w:tc>
          <w:tcPr>
            <w:tcW w:w="907" w:type="dxa"/>
            <w:tcBorders>
              <w:top w:val="single" w:sz="4" w:space="0" w:color="3C3C3C"/>
              <w:left w:val="nil"/>
              <w:bottom w:val="single" w:sz="4" w:space="0" w:color="3C3C3C"/>
              <w:right w:val="single" w:sz="4" w:space="0" w:color="3C3C3C"/>
            </w:tcBorders>
            <w:shd w:val="clear" w:color="auto" w:fill="auto"/>
            <w:vAlign w:val="center"/>
            <w:hideMark/>
          </w:tcPr>
          <w:p w:rsidR="009564AA" w:rsidRPr="005705A7" w:rsidRDefault="009564AA" w:rsidP="00663523">
            <w:pPr>
              <w:pStyle w:val="TableHeadingRow"/>
              <w:jc w:val="center"/>
              <w:rPr>
                <w:rFonts w:ascii="Arial Narrow" w:hAnsi="Arial Narrow"/>
              </w:rPr>
            </w:pPr>
            <w:r w:rsidRPr="005705A7">
              <w:rPr>
                <w:rFonts w:ascii="Arial Narrow" w:hAnsi="Arial Narrow"/>
              </w:rPr>
              <w:t>Year 3</w:t>
            </w:r>
          </w:p>
        </w:tc>
        <w:tc>
          <w:tcPr>
            <w:tcW w:w="907" w:type="dxa"/>
            <w:tcBorders>
              <w:top w:val="single" w:sz="4" w:space="0" w:color="3C3C3C"/>
              <w:left w:val="nil"/>
              <w:bottom w:val="single" w:sz="4" w:space="0" w:color="3C3C3C"/>
              <w:right w:val="single" w:sz="4" w:space="0" w:color="3C3C3C"/>
            </w:tcBorders>
            <w:shd w:val="clear" w:color="auto" w:fill="auto"/>
            <w:vAlign w:val="center"/>
            <w:hideMark/>
          </w:tcPr>
          <w:p w:rsidR="009564AA" w:rsidRPr="005705A7" w:rsidRDefault="009564AA" w:rsidP="00663523">
            <w:pPr>
              <w:pStyle w:val="TableHeadingRow"/>
              <w:jc w:val="center"/>
              <w:rPr>
                <w:rFonts w:ascii="Arial Narrow" w:hAnsi="Arial Narrow"/>
              </w:rPr>
            </w:pPr>
            <w:r w:rsidRPr="005705A7">
              <w:rPr>
                <w:rFonts w:ascii="Arial Narrow" w:hAnsi="Arial Narrow"/>
              </w:rPr>
              <w:t>Year 4</w:t>
            </w:r>
          </w:p>
        </w:tc>
        <w:tc>
          <w:tcPr>
            <w:tcW w:w="907" w:type="dxa"/>
            <w:tcBorders>
              <w:top w:val="single" w:sz="4" w:space="0" w:color="3C3C3C"/>
              <w:left w:val="nil"/>
              <w:bottom w:val="single" w:sz="4" w:space="0" w:color="3C3C3C"/>
              <w:right w:val="single" w:sz="4" w:space="0" w:color="3C3C3C"/>
            </w:tcBorders>
            <w:shd w:val="clear" w:color="auto" w:fill="auto"/>
            <w:vAlign w:val="center"/>
            <w:hideMark/>
          </w:tcPr>
          <w:p w:rsidR="009564AA" w:rsidRPr="005705A7" w:rsidRDefault="009564AA" w:rsidP="00663523">
            <w:pPr>
              <w:pStyle w:val="TableHeadingRow"/>
              <w:jc w:val="center"/>
              <w:rPr>
                <w:rFonts w:ascii="Arial Narrow" w:hAnsi="Arial Narrow"/>
              </w:rPr>
            </w:pPr>
            <w:r w:rsidRPr="005705A7">
              <w:rPr>
                <w:rFonts w:ascii="Arial Narrow" w:hAnsi="Arial Narrow"/>
              </w:rPr>
              <w:t>Year 5</w:t>
            </w:r>
          </w:p>
        </w:tc>
        <w:tc>
          <w:tcPr>
            <w:tcW w:w="907" w:type="dxa"/>
            <w:tcBorders>
              <w:top w:val="single" w:sz="4" w:space="0" w:color="3C3C3C"/>
              <w:left w:val="nil"/>
              <w:bottom w:val="single" w:sz="4" w:space="0" w:color="3C3C3C"/>
              <w:right w:val="single" w:sz="4" w:space="0" w:color="3C3C3C"/>
            </w:tcBorders>
            <w:shd w:val="clear" w:color="auto" w:fill="auto"/>
            <w:vAlign w:val="center"/>
            <w:hideMark/>
          </w:tcPr>
          <w:p w:rsidR="009564AA" w:rsidRPr="005705A7" w:rsidRDefault="009564AA" w:rsidP="00663523">
            <w:pPr>
              <w:pStyle w:val="TableHeadingRow"/>
              <w:jc w:val="center"/>
              <w:rPr>
                <w:rFonts w:ascii="Arial Narrow" w:hAnsi="Arial Narrow"/>
              </w:rPr>
            </w:pPr>
            <w:r w:rsidRPr="005705A7">
              <w:rPr>
                <w:rFonts w:ascii="Arial Narrow" w:hAnsi="Arial Narrow"/>
              </w:rPr>
              <w:t>Year 6</w:t>
            </w:r>
          </w:p>
        </w:tc>
      </w:tr>
      <w:tr w:rsidR="009564AA" w:rsidRPr="002026FF" w:rsidTr="00EE3017">
        <w:trPr>
          <w:trHeight w:val="340"/>
        </w:trPr>
        <w:tc>
          <w:tcPr>
            <w:tcW w:w="2405" w:type="dxa"/>
            <w:tcBorders>
              <w:top w:val="single" w:sz="4" w:space="0" w:color="3C3C3C"/>
              <w:left w:val="single" w:sz="4" w:space="0" w:color="3C3C3C"/>
              <w:bottom w:val="single" w:sz="4" w:space="0" w:color="3C3C3C"/>
              <w:right w:val="single" w:sz="4" w:space="0" w:color="3C3C3C"/>
            </w:tcBorders>
            <w:shd w:val="clear" w:color="E5FFFF" w:fill="FFFFFF"/>
            <w:vAlign w:val="center"/>
            <w:hideMark/>
          </w:tcPr>
          <w:p w:rsidR="009564AA" w:rsidRPr="005705A7" w:rsidRDefault="009564AA" w:rsidP="00663523">
            <w:pPr>
              <w:pStyle w:val="TableText0"/>
              <w:keepNext/>
              <w:rPr>
                <w:rFonts w:ascii="Arial Narrow" w:hAnsi="Arial Narrow"/>
              </w:rPr>
            </w:pPr>
            <w:r w:rsidRPr="005705A7">
              <w:rPr>
                <w:rFonts w:ascii="Arial Narrow" w:hAnsi="Arial Narrow"/>
              </w:rPr>
              <w:t xml:space="preserve">Overall net cost to the PBS </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r>
      <w:tr w:rsidR="009564AA" w:rsidRPr="002026FF" w:rsidTr="00EE3017">
        <w:trPr>
          <w:trHeight w:val="340"/>
        </w:trPr>
        <w:tc>
          <w:tcPr>
            <w:tcW w:w="2405" w:type="dxa"/>
            <w:tcBorders>
              <w:top w:val="single" w:sz="4" w:space="0" w:color="3C3C3C"/>
              <w:left w:val="single" w:sz="4" w:space="0" w:color="3C3C3C"/>
              <w:bottom w:val="single" w:sz="4" w:space="0" w:color="3C3C3C"/>
              <w:right w:val="single" w:sz="4" w:space="0" w:color="3C3C3C"/>
            </w:tcBorders>
            <w:shd w:val="clear" w:color="E5FFFF" w:fill="FFFFFF"/>
            <w:vAlign w:val="center"/>
            <w:hideMark/>
          </w:tcPr>
          <w:p w:rsidR="009564AA" w:rsidRPr="005705A7" w:rsidRDefault="009564AA" w:rsidP="00663523">
            <w:pPr>
              <w:pStyle w:val="TableText0"/>
              <w:keepNext/>
              <w:rPr>
                <w:rFonts w:ascii="Arial Narrow" w:hAnsi="Arial Narrow"/>
              </w:rPr>
            </w:pPr>
            <w:r w:rsidRPr="005705A7">
              <w:rPr>
                <w:rFonts w:ascii="Arial Narrow" w:hAnsi="Arial Narrow"/>
              </w:rPr>
              <w:t xml:space="preserve">Overall net cost to the RPBS </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c>
          <w:tcPr>
            <w:tcW w:w="907" w:type="dxa"/>
            <w:tcBorders>
              <w:top w:val="nil"/>
              <w:left w:val="nil"/>
              <w:bottom w:val="single" w:sz="4" w:space="0" w:color="3C3C3C"/>
              <w:right w:val="single" w:sz="4" w:space="0" w:color="3C3C3C"/>
            </w:tcBorders>
            <w:shd w:val="clear" w:color="E5FFFF" w:fill="FFFFFF"/>
            <w:noWrap/>
            <w:vAlign w:val="center"/>
            <w:hideMark/>
          </w:tcPr>
          <w:p w:rsidR="009564AA" w:rsidRPr="005705A7" w:rsidRDefault="009564AA" w:rsidP="00663523">
            <w:pPr>
              <w:jc w:val="center"/>
              <w:rPr>
                <w:rFonts w:ascii="Arial Narrow" w:hAnsi="Arial Narrow"/>
                <w:sz w:val="20"/>
                <w:szCs w:val="20"/>
              </w:rPr>
            </w:pPr>
            <w:r w:rsidRPr="005705A7">
              <w:rPr>
                <w:rFonts w:ascii="Arial Narrow" w:hAnsi="Arial Narrow"/>
                <w:sz w:val="20"/>
                <w:szCs w:val="20"/>
              </w:rPr>
              <w:t>$</w:t>
            </w:r>
            <w:r w:rsidR="00B004D9">
              <w:rPr>
                <w:rFonts w:ascii="Arial Narrow" w:hAnsi="Arial Narrow"/>
                <w:noProof/>
                <w:color w:val="000000"/>
                <w:sz w:val="20"/>
                <w:szCs w:val="20"/>
                <w:highlight w:val="black"/>
              </w:rPr>
              <w:t>'''''''''''''</w:t>
            </w:r>
          </w:p>
        </w:tc>
      </w:tr>
    </w:tbl>
    <w:p w:rsidR="009564AA" w:rsidRPr="002A3A74" w:rsidRDefault="00E61F7D" w:rsidP="002A3A74">
      <w:pPr>
        <w:pStyle w:val="tablenotes"/>
        <w:ind w:firstLine="720"/>
        <w:rPr>
          <w:rFonts w:ascii="Arial Narrow" w:hAnsi="Arial Narrow"/>
          <w:sz w:val="18"/>
          <w:szCs w:val="18"/>
        </w:rPr>
      </w:pPr>
      <w:r>
        <w:rPr>
          <w:rFonts w:ascii="Arial Narrow" w:hAnsi="Arial Narrow"/>
          <w:sz w:val="18"/>
          <w:szCs w:val="18"/>
        </w:rPr>
        <w:t xml:space="preserve">Source: </w:t>
      </w:r>
      <w:r w:rsidR="009564AA" w:rsidRPr="002A3A74">
        <w:rPr>
          <w:rFonts w:ascii="Arial Narrow" w:hAnsi="Arial Narrow"/>
          <w:sz w:val="18"/>
          <w:szCs w:val="18"/>
        </w:rPr>
        <w:t>Worksheet ‘Summary’ (MABTHERA SC CLL Minor PBAC.xlsx)</w:t>
      </w:r>
    </w:p>
    <w:p w:rsidR="00FD0722" w:rsidRDefault="00FD0722" w:rsidP="00E32FED">
      <w:pPr>
        <w:pStyle w:val="ListParagraph"/>
        <w:rPr>
          <w:szCs w:val="22"/>
        </w:rPr>
      </w:pPr>
    </w:p>
    <w:p w:rsidR="00FD0722" w:rsidRDefault="00FD0722" w:rsidP="00E32FED">
      <w:pPr>
        <w:pStyle w:val="ListParagraph"/>
        <w:numPr>
          <w:ilvl w:val="1"/>
          <w:numId w:val="5"/>
        </w:numPr>
        <w:rPr>
          <w:szCs w:val="22"/>
        </w:rPr>
      </w:pPr>
      <w:r>
        <w:rPr>
          <w:szCs w:val="22"/>
        </w:rPr>
        <w:t>The PBAC considered that the price of rituximab SC should be adjusted so that there is no net cost to Government, consistent with the submission’s cost-minimisation claim</w:t>
      </w:r>
      <w:r w:rsidR="00335518">
        <w:rPr>
          <w:szCs w:val="22"/>
        </w:rPr>
        <w:t>.</w:t>
      </w:r>
    </w:p>
    <w:p w:rsidR="00FD0722" w:rsidRDefault="00FD0722" w:rsidP="00BC22CD">
      <w:pPr>
        <w:rPr>
          <w:rFonts w:ascii="Arial" w:hAnsi="Arial"/>
          <w:sz w:val="22"/>
          <w:szCs w:val="22"/>
        </w:rPr>
      </w:pPr>
    </w:p>
    <w:p w:rsidR="00BC22CD" w:rsidRPr="0005234D" w:rsidRDefault="00BC22CD" w:rsidP="00BC22CD">
      <w:pPr>
        <w:ind w:firstLine="720"/>
        <w:rPr>
          <w:rFonts w:ascii="Arial" w:hAnsi="Arial" w:cs="Arial"/>
          <w:bCs/>
          <w:snapToGrid w:val="0"/>
          <w:sz w:val="22"/>
          <w:szCs w:val="22"/>
        </w:rPr>
      </w:pPr>
      <w:r w:rsidRPr="00156337">
        <w:rPr>
          <w:rFonts w:ascii="Arial" w:hAnsi="Arial" w:cs="Arial"/>
          <w:bCs/>
          <w:i/>
          <w:snapToGrid w:val="0"/>
          <w:sz w:val="22"/>
          <w:szCs w:val="22"/>
        </w:rPr>
        <w:t>For more detail on PBAC’s view, see section 7 “PBAC outcome”</w:t>
      </w:r>
    </w:p>
    <w:p w:rsidR="00BC22CD" w:rsidRDefault="00BC22CD" w:rsidP="00BC22CD">
      <w:pPr>
        <w:rPr>
          <w:rFonts w:ascii="Arial" w:hAnsi="Arial"/>
          <w:sz w:val="22"/>
          <w:szCs w:val="22"/>
        </w:rPr>
      </w:pPr>
    </w:p>
    <w:p w:rsidR="001F3F16" w:rsidRDefault="001F3F16" w:rsidP="00BC22CD">
      <w:pPr>
        <w:rPr>
          <w:rFonts w:ascii="Arial" w:hAnsi="Arial"/>
          <w:sz w:val="22"/>
          <w:szCs w:val="22"/>
        </w:rPr>
      </w:pPr>
    </w:p>
    <w:p w:rsidR="00BC22CD" w:rsidRPr="00156337" w:rsidRDefault="00BC22CD" w:rsidP="001A5C40">
      <w:pPr>
        <w:pStyle w:val="PBACHeading1"/>
      </w:pPr>
      <w:r w:rsidRPr="001A5C40">
        <w:t>PBAC</w:t>
      </w:r>
      <w:r w:rsidRPr="00156337">
        <w:t xml:space="preserve"> Outcome</w:t>
      </w:r>
    </w:p>
    <w:p w:rsidR="00BC22CD" w:rsidRPr="00156337" w:rsidRDefault="00BC22CD" w:rsidP="00BC22CD">
      <w:pPr>
        <w:widowControl w:val="0"/>
        <w:jc w:val="both"/>
        <w:rPr>
          <w:rFonts w:ascii="Arial" w:hAnsi="Arial" w:cs="Arial"/>
          <w:b/>
          <w:bCs/>
          <w:snapToGrid w:val="0"/>
          <w:sz w:val="22"/>
          <w:szCs w:val="20"/>
          <w:lang w:val="en-GB"/>
        </w:rPr>
      </w:pPr>
    </w:p>
    <w:p w:rsidR="00442F0A" w:rsidRDefault="00BC22CD" w:rsidP="00442F0A">
      <w:pPr>
        <w:widowControl w:val="0"/>
        <w:numPr>
          <w:ilvl w:val="1"/>
          <w:numId w:val="5"/>
        </w:numPr>
        <w:jc w:val="both"/>
        <w:rPr>
          <w:rFonts w:ascii="Arial" w:hAnsi="Arial" w:cs="Arial"/>
          <w:bCs/>
          <w:snapToGrid w:val="0"/>
          <w:sz w:val="22"/>
          <w:szCs w:val="20"/>
          <w:lang w:val="en-GB"/>
        </w:rPr>
      </w:pPr>
      <w:r w:rsidRPr="00156337">
        <w:rPr>
          <w:rFonts w:ascii="Arial" w:hAnsi="Arial" w:cs="Arial"/>
          <w:bCs/>
          <w:snapToGrid w:val="0"/>
          <w:sz w:val="22"/>
          <w:szCs w:val="20"/>
          <w:lang w:val="en-GB"/>
        </w:rPr>
        <w:t xml:space="preserve">The PBAC recommended the listing of </w:t>
      </w:r>
      <w:r w:rsidR="00D10033" w:rsidRPr="00156337">
        <w:rPr>
          <w:rFonts w:ascii="Arial" w:hAnsi="Arial" w:cs="Arial"/>
          <w:bCs/>
          <w:snapToGrid w:val="0"/>
          <w:sz w:val="22"/>
          <w:szCs w:val="20"/>
          <w:lang w:val="en-GB"/>
        </w:rPr>
        <w:t xml:space="preserve">rituximab </w:t>
      </w:r>
      <w:r w:rsidR="00D10033" w:rsidRPr="00442F0A">
        <w:rPr>
          <w:rFonts w:ascii="Arial" w:hAnsi="Arial" w:cs="Arial"/>
          <w:bCs/>
          <w:snapToGrid w:val="0"/>
          <w:sz w:val="22"/>
          <w:szCs w:val="20"/>
          <w:lang w:val="en-GB"/>
        </w:rPr>
        <w:t>solution for subcutaneous injection</w:t>
      </w:r>
      <w:r w:rsidRPr="00156337">
        <w:rPr>
          <w:rFonts w:ascii="Arial" w:hAnsi="Arial" w:cs="Arial"/>
          <w:bCs/>
          <w:snapToGrid w:val="0"/>
          <w:sz w:val="22"/>
          <w:szCs w:val="20"/>
          <w:lang w:val="en-GB"/>
        </w:rPr>
        <w:t xml:space="preserve">, on the basis that it should be available </w:t>
      </w:r>
      <w:r w:rsidR="00D10033" w:rsidRPr="00156337">
        <w:rPr>
          <w:rFonts w:ascii="Arial" w:hAnsi="Arial" w:cs="Arial"/>
          <w:bCs/>
          <w:snapToGrid w:val="0"/>
          <w:sz w:val="22"/>
          <w:szCs w:val="20"/>
          <w:lang w:val="en-GB"/>
        </w:rPr>
        <w:t xml:space="preserve">as a General Schedule listing and </w:t>
      </w:r>
      <w:r w:rsidRPr="00156337">
        <w:rPr>
          <w:rFonts w:ascii="Arial" w:hAnsi="Arial" w:cs="Arial"/>
          <w:bCs/>
          <w:snapToGrid w:val="0"/>
          <w:sz w:val="22"/>
          <w:szCs w:val="20"/>
          <w:lang w:val="en-GB"/>
        </w:rPr>
        <w:t>under special</w:t>
      </w:r>
      <w:r w:rsidR="00D10033" w:rsidRPr="00156337">
        <w:rPr>
          <w:rFonts w:ascii="Arial" w:hAnsi="Arial" w:cs="Arial"/>
          <w:bCs/>
          <w:snapToGrid w:val="0"/>
          <w:sz w:val="22"/>
          <w:szCs w:val="20"/>
          <w:lang w:val="en-GB"/>
        </w:rPr>
        <w:t xml:space="preserve"> arrangements under Section 100</w:t>
      </w:r>
      <w:r w:rsidR="00442F0A" w:rsidRPr="00442F0A">
        <w:rPr>
          <w:rFonts w:ascii="Arial" w:hAnsi="Arial" w:cs="Arial"/>
          <w:bCs/>
          <w:snapToGrid w:val="0"/>
          <w:sz w:val="22"/>
          <w:szCs w:val="20"/>
          <w:lang w:val="en-GB"/>
        </w:rPr>
        <w:t xml:space="preserve"> – Efficient Funding of Chemotherapy (Schedule 2 – related pharmaceutical benefits).</w:t>
      </w:r>
    </w:p>
    <w:p w:rsidR="00442F0A" w:rsidRPr="00442F0A" w:rsidRDefault="00442F0A" w:rsidP="00442F0A">
      <w:pPr>
        <w:widowControl w:val="0"/>
        <w:ind w:left="720"/>
        <w:jc w:val="both"/>
        <w:rPr>
          <w:rFonts w:ascii="Arial" w:hAnsi="Arial" w:cs="Arial"/>
          <w:bCs/>
          <w:snapToGrid w:val="0"/>
          <w:sz w:val="22"/>
          <w:szCs w:val="20"/>
          <w:lang w:val="en-GB"/>
        </w:rPr>
      </w:pPr>
    </w:p>
    <w:p w:rsidR="00442F0A" w:rsidRPr="00442F0A" w:rsidRDefault="00442F0A" w:rsidP="00442F0A">
      <w:pPr>
        <w:widowControl w:val="0"/>
        <w:numPr>
          <w:ilvl w:val="1"/>
          <w:numId w:val="5"/>
        </w:numPr>
        <w:jc w:val="both"/>
        <w:rPr>
          <w:rFonts w:ascii="Arial" w:hAnsi="Arial" w:cs="Arial"/>
          <w:bCs/>
          <w:snapToGrid w:val="0"/>
          <w:sz w:val="22"/>
          <w:szCs w:val="20"/>
          <w:lang w:val="en-GB"/>
        </w:rPr>
      </w:pPr>
      <w:r>
        <w:rPr>
          <w:rFonts w:ascii="Arial" w:hAnsi="Arial" w:cs="Arial"/>
          <w:bCs/>
          <w:snapToGrid w:val="0"/>
          <w:sz w:val="22"/>
          <w:szCs w:val="20"/>
          <w:lang w:val="en-GB"/>
        </w:rPr>
        <w:t>The PBAC’s recommendation for listing was based on, among other matters, its assessment, as described above, that the cost-effectiveness of rituximab SC would be acceptable if it were cost-minimised against rituximab IV.</w:t>
      </w:r>
    </w:p>
    <w:p w:rsidR="00BC22CD" w:rsidRPr="00156337" w:rsidRDefault="00BC22CD" w:rsidP="00BC22CD">
      <w:pPr>
        <w:widowControl w:val="0"/>
        <w:jc w:val="both"/>
        <w:rPr>
          <w:rFonts w:ascii="Arial" w:hAnsi="Arial" w:cs="Arial"/>
          <w:bCs/>
          <w:snapToGrid w:val="0"/>
          <w:sz w:val="22"/>
          <w:szCs w:val="20"/>
          <w:lang w:val="en-GB"/>
        </w:rPr>
      </w:pPr>
    </w:p>
    <w:p w:rsidR="00BC22CD" w:rsidRPr="00156337" w:rsidRDefault="00BC22CD" w:rsidP="00BC22CD">
      <w:pPr>
        <w:widowControl w:val="0"/>
        <w:numPr>
          <w:ilvl w:val="1"/>
          <w:numId w:val="5"/>
        </w:numPr>
        <w:jc w:val="both"/>
        <w:rPr>
          <w:rFonts w:ascii="Arial" w:hAnsi="Arial" w:cs="Arial"/>
          <w:bCs/>
          <w:snapToGrid w:val="0"/>
          <w:sz w:val="22"/>
          <w:szCs w:val="20"/>
          <w:lang w:val="en-GB"/>
        </w:rPr>
      </w:pPr>
      <w:r w:rsidRPr="00156337">
        <w:rPr>
          <w:rFonts w:ascii="Arial" w:hAnsi="Arial" w:cs="Arial"/>
          <w:bCs/>
          <w:snapToGrid w:val="0"/>
          <w:sz w:val="22"/>
          <w:szCs w:val="20"/>
          <w:lang w:val="en-GB"/>
        </w:rPr>
        <w:t xml:space="preserve">The PBAC </w:t>
      </w:r>
      <w:r w:rsidR="00BA09D2">
        <w:rPr>
          <w:rFonts w:ascii="Arial" w:hAnsi="Arial" w:cs="Arial"/>
          <w:bCs/>
          <w:snapToGrid w:val="0"/>
          <w:sz w:val="22"/>
          <w:szCs w:val="20"/>
          <w:lang w:val="en-GB"/>
        </w:rPr>
        <w:t>wa</w:t>
      </w:r>
      <w:r w:rsidRPr="00156337">
        <w:rPr>
          <w:rFonts w:ascii="Arial" w:hAnsi="Arial" w:cs="Arial"/>
          <w:bCs/>
          <w:snapToGrid w:val="0"/>
          <w:sz w:val="22"/>
          <w:szCs w:val="20"/>
          <w:lang w:val="en-GB"/>
        </w:rPr>
        <w:t xml:space="preserve">s satisfied that </w:t>
      </w:r>
      <w:r w:rsidR="00D10033" w:rsidRPr="00156337">
        <w:rPr>
          <w:rFonts w:ascii="Arial" w:hAnsi="Arial" w:cs="Arial"/>
          <w:bCs/>
          <w:snapToGrid w:val="0"/>
          <w:sz w:val="22"/>
          <w:szCs w:val="20"/>
          <w:lang w:val="en-GB"/>
        </w:rPr>
        <w:t>rituximab SC (1,600 mg) is non-inferior in terms of safety and efficacy compared with rituximab IV formulation at a dose of 500 mg/m</w:t>
      </w:r>
      <w:r w:rsidR="00D10033" w:rsidRPr="00156337">
        <w:rPr>
          <w:rFonts w:ascii="Arial" w:hAnsi="Arial" w:cs="Arial"/>
          <w:bCs/>
          <w:snapToGrid w:val="0"/>
          <w:sz w:val="22"/>
          <w:szCs w:val="20"/>
          <w:vertAlign w:val="superscript"/>
          <w:lang w:val="en-GB"/>
        </w:rPr>
        <w:t>2</w:t>
      </w:r>
      <w:r w:rsidR="00D10033" w:rsidRPr="00156337">
        <w:rPr>
          <w:rFonts w:ascii="Arial" w:hAnsi="Arial" w:cs="Arial"/>
          <w:bCs/>
          <w:snapToGrid w:val="0"/>
          <w:sz w:val="22"/>
          <w:szCs w:val="20"/>
          <w:lang w:val="en-GB"/>
        </w:rPr>
        <w:t>.</w:t>
      </w:r>
    </w:p>
    <w:p w:rsidR="00D10033" w:rsidRDefault="00D10033" w:rsidP="00D10033">
      <w:pPr>
        <w:pStyle w:val="ListParagraph"/>
        <w:rPr>
          <w:bCs/>
          <w:highlight w:val="yellow"/>
          <w:lang w:val="en-GB"/>
        </w:rPr>
      </w:pPr>
    </w:p>
    <w:p w:rsidR="00C7500D" w:rsidRDefault="00C7500D" w:rsidP="00C7500D">
      <w:pPr>
        <w:widowControl w:val="0"/>
        <w:numPr>
          <w:ilvl w:val="1"/>
          <w:numId w:val="5"/>
        </w:numPr>
        <w:jc w:val="both"/>
        <w:rPr>
          <w:rFonts w:ascii="Arial" w:hAnsi="Arial" w:cs="Arial"/>
          <w:bCs/>
          <w:snapToGrid w:val="0"/>
          <w:sz w:val="22"/>
          <w:szCs w:val="20"/>
          <w:lang w:val="en-GB"/>
        </w:rPr>
      </w:pPr>
      <w:r w:rsidRPr="00156337">
        <w:rPr>
          <w:rFonts w:ascii="Arial" w:hAnsi="Arial" w:cs="Arial"/>
          <w:bCs/>
          <w:snapToGrid w:val="0"/>
          <w:sz w:val="22"/>
          <w:szCs w:val="20"/>
          <w:lang w:val="en-GB"/>
        </w:rPr>
        <w:t xml:space="preserve">The PBAC </w:t>
      </w:r>
      <w:r w:rsidR="00BA09D2">
        <w:rPr>
          <w:rFonts w:ascii="Arial" w:hAnsi="Arial" w:cs="Arial"/>
          <w:bCs/>
          <w:snapToGrid w:val="0"/>
          <w:sz w:val="22"/>
          <w:szCs w:val="20"/>
          <w:lang w:val="en-GB"/>
        </w:rPr>
        <w:t>considered</w:t>
      </w:r>
      <w:r w:rsidR="00BA09D2" w:rsidRPr="00156337">
        <w:rPr>
          <w:rFonts w:ascii="Arial" w:hAnsi="Arial" w:cs="Arial"/>
          <w:bCs/>
          <w:snapToGrid w:val="0"/>
          <w:sz w:val="22"/>
          <w:szCs w:val="20"/>
          <w:lang w:val="en-GB"/>
        </w:rPr>
        <w:t xml:space="preserve"> </w:t>
      </w:r>
      <w:r w:rsidR="00BA09D2">
        <w:rPr>
          <w:rFonts w:ascii="Arial" w:hAnsi="Arial" w:cs="Arial"/>
          <w:bCs/>
          <w:snapToGrid w:val="0"/>
          <w:sz w:val="22"/>
          <w:szCs w:val="20"/>
          <w:lang w:val="en-GB"/>
        </w:rPr>
        <w:t xml:space="preserve">that </w:t>
      </w:r>
      <w:r w:rsidRPr="00156337">
        <w:rPr>
          <w:rFonts w:ascii="Arial" w:hAnsi="Arial" w:cs="Arial"/>
          <w:bCs/>
          <w:snapToGrid w:val="0"/>
          <w:sz w:val="22"/>
          <w:szCs w:val="20"/>
          <w:lang w:val="en-GB"/>
        </w:rPr>
        <w:t xml:space="preserve">the </w:t>
      </w:r>
      <w:r w:rsidR="00BA09D2">
        <w:rPr>
          <w:rFonts w:ascii="Arial" w:hAnsi="Arial" w:cs="Arial"/>
          <w:bCs/>
          <w:snapToGrid w:val="0"/>
          <w:sz w:val="22"/>
          <w:szCs w:val="20"/>
          <w:lang w:val="en-GB"/>
        </w:rPr>
        <w:t>inclusion in</w:t>
      </w:r>
      <w:r w:rsidRPr="00156337">
        <w:rPr>
          <w:rFonts w:ascii="Arial" w:hAnsi="Arial" w:cs="Arial"/>
          <w:bCs/>
          <w:snapToGrid w:val="0"/>
          <w:sz w:val="22"/>
          <w:szCs w:val="20"/>
          <w:lang w:val="en-GB"/>
        </w:rPr>
        <w:t xml:space="preserve"> the restriction </w:t>
      </w:r>
      <w:r w:rsidR="00BA09D2">
        <w:rPr>
          <w:rFonts w:ascii="Arial" w:hAnsi="Arial" w:cs="Arial"/>
          <w:bCs/>
          <w:snapToGrid w:val="0"/>
          <w:sz w:val="22"/>
          <w:szCs w:val="20"/>
          <w:lang w:val="en-GB"/>
        </w:rPr>
        <w:t>of</w:t>
      </w:r>
      <w:r w:rsidRPr="00156337">
        <w:rPr>
          <w:rFonts w:ascii="Arial" w:hAnsi="Arial" w:cs="Arial"/>
          <w:bCs/>
          <w:snapToGrid w:val="0"/>
          <w:sz w:val="22"/>
          <w:szCs w:val="20"/>
          <w:lang w:val="en-GB"/>
        </w:rPr>
        <w:t xml:space="preserve"> the following wording: An initial dose of rituximab must be administered with rituximab intravenous injection. Subsequent doses may be administered with either intravenous or subcutaneous rituximab</w:t>
      </w:r>
      <w:r w:rsidR="00BA09D2">
        <w:rPr>
          <w:rFonts w:ascii="Arial" w:hAnsi="Arial" w:cs="Arial"/>
          <w:bCs/>
          <w:snapToGrid w:val="0"/>
          <w:sz w:val="22"/>
          <w:szCs w:val="20"/>
          <w:lang w:val="en-GB"/>
        </w:rPr>
        <w:t>, was appropriate</w:t>
      </w:r>
      <w:r w:rsidRPr="00156337">
        <w:rPr>
          <w:rFonts w:ascii="Arial" w:hAnsi="Arial" w:cs="Arial"/>
          <w:bCs/>
          <w:snapToGrid w:val="0"/>
          <w:sz w:val="22"/>
          <w:szCs w:val="20"/>
          <w:lang w:val="en-GB"/>
        </w:rPr>
        <w:t>.</w:t>
      </w:r>
    </w:p>
    <w:p w:rsidR="000A2776" w:rsidRDefault="000A2776" w:rsidP="00B4108B">
      <w:pPr>
        <w:pStyle w:val="ListParagraph"/>
        <w:rPr>
          <w:bCs/>
          <w:lang w:val="en-GB"/>
        </w:rPr>
      </w:pPr>
    </w:p>
    <w:p w:rsidR="000A2776" w:rsidRPr="00E32FED" w:rsidRDefault="005849D2" w:rsidP="00C7500D">
      <w:pPr>
        <w:widowControl w:val="0"/>
        <w:numPr>
          <w:ilvl w:val="1"/>
          <w:numId w:val="5"/>
        </w:numPr>
        <w:jc w:val="both"/>
        <w:rPr>
          <w:rFonts w:ascii="Arial" w:hAnsi="Arial" w:cs="Arial"/>
          <w:bCs/>
          <w:snapToGrid w:val="0"/>
          <w:sz w:val="22"/>
          <w:szCs w:val="20"/>
          <w:lang w:val="en-GB"/>
        </w:rPr>
      </w:pPr>
      <w:r>
        <w:rPr>
          <w:rFonts w:ascii="Arial" w:hAnsi="Arial" w:cs="Arial"/>
          <w:bCs/>
          <w:snapToGrid w:val="0"/>
          <w:sz w:val="22"/>
          <w:szCs w:val="20"/>
          <w:lang w:val="en-GB"/>
        </w:rPr>
        <w:t>The PBAC noted the flow-on restriction changes to rituximab IV for the treatment of CLL (4615X and 7259C).</w:t>
      </w:r>
    </w:p>
    <w:p w:rsidR="00C7500D" w:rsidRDefault="00C7500D" w:rsidP="00C7500D">
      <w:pPr>
        <w:pStyle w:val="ListParagraph"/>
        <w:rPr>
          <w:bCs/>
          <w:highlight w:val="yellow"/>
          <w:lang w:val="en-GB"/>
        </w:rPr>
      </w:pPr>
    </w:p>
    <w:p w:rsidR="00C7500D" w:rsidRPr="00156337" w:rsidRDefault="00C7500D" w:rsidP="00BC22CD">
      <w:pPr>
        <w:widowControl w:val="0"/>
        <w:numPr>
          <w:ilvl w:val="1"/>
          <w:numId w:val="5"/>
        </w:numPr>
        <w:jc w:val="both"/>
        <w:rPr>
          <w:rFonts w:ascii="Arial" w:hAnsi="Arial" w:cs="Arial"/>
          <w:bCs/>
          <w:snapToGrid w:val="0"/>
          <w:sz w:val="22"/>
          <w:szCs w:val="20"/>
          <w:lang w:val="en-GB"/>
        </w:rPr>
      </w:pPr>
      <w:r w:rsidRPr="00156337">
        <w:rPr>
          <w:rFonts w:ascii="Arial" w:hAnsi="Arial" w:cs="Arial"/>
          <w:bCs/>
          <w:snapToGrid w:val="0"/>
          <w:sz w:val="22"/>
          <w:szCs w:val="20"/>
          <w:lang w:val="en-GB"/>
        </w:rPr>
        <w:t>The PBAC accepted rituximab IV 500</w:t>
      </w:r>
      <w:r w:rsidR="006F307C" w:rsidRPr="00156337">
        <w:rPr>
          <w:rFonts w:ascii="Arial" w:hAnsi="Arial" w:cs="Arial"/>
          <w:bCs/>
          <w:snapToGrid w:val="0"/>
          <w:sz w:val="22"/>
          <w:szCs w:val="20"/>
          <w:lang w:val="en-GB"/>
        </w:rPr>
        <w:t> </w:t>
      </w:r>
      <w:r w:rsidRPr="00156337">
        <w:rPr>
          <w:rFonts w:ascii="Arial" w:hAnsi="Arial" w:cs="Arial"/>
          <w:bCs/>
          <w:snapToGrid w:val="0"/>
          <w:sz w:val="22"/>
          <w:szCs w:val="20"/>
          <w:lang w:val="en-GB"/>
        </w:rPr>
        <w:t>mg/m</w:t>
      </w:r>
      <w:r w:rsidRPr="00156337">
        <w:rPr>
          <w:rFonts w:ascii="Arial" w:hAnsi="Arial" w:cs="Arial"/>
          <w:bCs/>
          <w:snapToGrid w:val="0"/>
          <w:sz w:val="22"/>
          <w:szCs w:val="20"/>
          <w:vertAlign w:val="superscript"/>
          <w:lang w:val="en-GB"/>
        </w:rPr>
        <w:t>2</w:t>
      </w:r>
      <w:r w:rsidRPr="00156337">
        <w:rPr>
          <w:rFonts w:ascii="Arial" w:hAnsi="Arial" w:cs="Arial"/>
          <w:bCs/>
          <w:snapToGrid w:val="0"/>
          <w:sz w:val="22"/>
          <w:szCs w:val="20"/>
          <w:lang w:val="en-GB"/>
        </w:rPr>
        <w:t xml:space="preserve"> as the appropriate comparator.</w:t>
      </w:r>
    </w:p>
    <w:p w:rsidR="00C7500D" w:rsidRPr="00156337" w:rsidRDefault="00C7500D" w:rsidP="00C7500D">
      <w:pPr>
        <w:pStyle w:val="ListParagraph"/>
        <w:rPr>
          <w:bCs/>
          <w:lang w:val="en-GB"/>
        </w:rPr>
      </w:pPr>
    </w:p>
    <w:p w:rsidR="00D10033" w:rsidRPr="00156337" w:rsidRDefault="00C7500D" w:rsidP="00156337">
      <w:pPr>
        <w:widowControl w:val="0"/>
        <w:numPr>
          <w:ilvl w:val="1"/>
          <w:numId w:val="5"/>
        </w:numPr>
        <w:jc w:val="both"/>
        <w:rPr>
          <w:rFonts w:ascii="Arial" w:hAnsi="Arial" w:cs="Arial"/>
          <w:bCs/>
          <w:snapToGrid w:val="0"/>
          <w:sz w:val="22"/>
          <w:szCs w:val="20"/>
          <w:lang w:val="en-GB"/>
        </w:rPr>
      </w:pPr>
      <w:r w:rsidRPr="00156337">
        <w:rPr>
          <w:rFonts w:ascii="Arial" w:hAnsi="Arial" w:cs="Arial"/>
          <w:bCs/>
          <w:snapToGrid w:val="0"/>
          <w:sz w:val="22"/>
          <w:szCs w:val="20"/>
          <w:lang w:val="en-GB"/>
        </w:rPr>
        <w:t xml:space="preserve">The PBAC considered the requested listings of rituximab SC for the treatment of CLL </w:t>
      </w:r>
      <w:r w:rsidR="00BA09D2">
        <w:rPr>
          <w:rFonts w:ascii="Arial" w:hAnsi="Arial" w:cs="Arial"/>
          <w:bCs/>
          <w:snapToGrid w:val="0"/>
          <w:sz w:val="22"/>
          <w:szCs w:val="20"/>
          <w:lang w:val="en-GB"/>
        </w:rPr>
        <w:t>wa</w:t>
      </w:r>
      <w:r w:rsidRPr="00156337">
        <w:rPr>
          <w:rFonts w:ascii="Arial" w:hAnsi="Arial" w:cs="Arial"/>
          <w:bCs/>
          <w:snapToGrid w:val="0"/>
          <w:sz w:val="22"/>
          <w:szCs w:val="20"/>
          <w:lang w:val="en-GB"/>
        </w:rPr>
        <w:t>s supported by the trials presented in the submission.</w:t>
      </w:r>
    </w:p>
    <w:p w:rsidR="00BC22CD" w:rsidRPr="00156337" w:rsidRDefault="00BC22CD" w:rsidP="00BC22CD">
      <w:pPr>
        <w:widowControl w:val="0"/>
        <w:jc w:val="both"/>
        <w:rPr>
          <w:rFonts w:ascii="Arial" w:hAnsi="Arial" w:cs="Arial"/>
          <w:bCs/>
          <w:snapToGrid w:val="0"/>
          <w:sz w:val="22"/>
          <w:szCs w:val="20"/>
          <w:lang w:val="en-GB"/>
        </w:rPr>
      </w:pPr>
    </w:p>
    <w:p w:rsidR="00BC22CD" w:rsidRPr="00156337" w:rsidRDefault="00C7500D" w:rsidP="00BC22CD">
      <w:pPr>
        <w:widowControl w:val="0"/>
        <w:numPr>
          <w:ilvl w:val="1"/>
          <w:numId w:val="5"/>
        </w:numPr>
        <w:jc w:val="both"/>
        <w:rPr>
          <w:rFonts w:ascii="Arial" w:hAnsi="Arial" w:cs="Arial"/>
          <w:bCs/>
          <w:snapToGrid w:val="0"/>
          <w:sz w:val="22"/>
          <w:szCs w:val="20"/>
          <w:lang w:val="en-GB"/>
        </w:rPr>
      </w:pPr>
      <w:r w:rsidRPr="00156337">
        <w:rPr>
          <w:rFonts w:ascii="Arial" w:hAnsi="Arial" w:cs="Arial"/>
          <w:bCs/>
          <w:snapToGrid w:val="0"/>
          <w:sz w:val="22"/>
          <w:szCs w:val="20"/>
          <w:lang w:val="en-GB"/>
        </w:rPr>
        <w:t xml:space="preserve">The </w:t>
      </w:r>
      <w:r w:rsidR="00BC22CD" w:rsidRPr="00156337">
        <w:rPr>
          <w:rFonts w:ascii="Arial" w:hAnsi="Arial" w:cs="Arial"/>
          <w:bCs/>
          <w:snapToGrid w:val="0"/>
          <w:sz w:val="22"/>
          <w:szCs w:val="20"/>
          <w:lang w:val="en-GB"/>
        </w:rPr>
        <w:t>PBAC</w:t>
      </w:r>
      <w:r w:rsidRPr="00156337">
        <w:rPr>
          <w:rFonts w:ascii="Arial" w:hAnsi="Arial" w:cs="Arial"/>
          <w:bCs/>
          <w:snapToGrid w:val="0"/>
          <w:sz w:val="22"/>
          <w:szCs w:val="20"/>
          <w:lang w:val="en-GB"/>
        </w:rPr>
        <w:t xml:space="preserve"> accepted the SAWYER trial demonstrated </w:t>
      </w:r>
      <w:r w:rsidR="006F307C" w:rsidRPr="00156337">
        <w:rPr>
          <w:rFonts w:ascii="Arial" w:hAnsi="Arial" w:cs="Arial"/>
          <w:bCs/>
          <w:snapToGrid w:val="0"/>
          <w:sz w:val="22"/>
          <w:szCs w:val="20"/>
          <w:lang w:val="en-GB"/>
        </w:rPr>
        <w:t>comparable efficacy between rituximab SC and rituximab IV.</w:t>
      </w:r>
      <w:r w:rsidR="00BC22CD" w:rsidRPr="00156337">
        <w:rPr>
          <w:rFonts w:ascii="Arial" w:hAnsi="Arial" w:cs="Arial"/>
          <w:bCs/>
          <w:snapToGrid w:val="0"/>
          <w:sz w:val="22"/>
          <w:szCs w:val="20"/>
          <w:lang w:val="en-GB"/>
        </w:rPr>
        <w:t xml:space="preserve"> </w:t>
      </w:r>
    </w:p>
    <w:p w:rsidR="00BC22CD" w:rsidRPr="00156337" w:rsidRDefault="00BC22CD" w:rsidP="00BC22CD">
      <w:pPr>
        <w:widowControl w:val="0"/>
        <w:jc w:val="both"/>
        <w:rPr>
          <w:rFonts w:ascii="Arial" w:hAnsi="Arial" w:cs="Arial"/>
          <w:bCs/>
          <w:snapToGrid w:val="0"/>
          <w:sz w:val="22"/>
          <w:szCs w:val="20"/>
          <w:lang w:val="en-GB"/>
        </w:rPr>
      </w:pPr>
    </w:p>
    <w:p w:rsidR="00BC22CD" w:rsidRPr="00156337" w:rsidRDefault="006F307C" w:rsidP="00BC22CD">
      <w:pPr>
        <w:widowControl w:val="0"/>
        <w:numPr>
          <w:ilvl w:val="1"/>
          <w:numId w:val="5"/>
        </w:numPr>
        <w:jc w:val="both"/>
        <w:rPr>
          <w:rFonts w:ascii="Arial" w:hAnsi="Arial" w:cs="Arial"/>
          <w:bCs/>
          <w:snapToGrid w:val="0"/>
          <w:sz w:val="22"/>
          <w:szCs w:val="20"/>
          <w:lang w:val="en-GB"/>
        </w:rPr>
      </w:pPr>
      <w:r w:rsidRPr="00156337">
        <w:rPr>
          <w:rFonts w:ascii="Arial" w:hAnsi="Arial" w:cs="Arial"/>
          <w:bCs/>
          <w:snapToGrid w:val="0"/>
          <w:sz w:val="22"/>
          <w:szCs w:val="20"/>
          <w:lang w:val="en-GB"/>
        </w:rPr>
        <w:t>The PBAC accepted the SAWYER trial demonstrated comparable safety between rituximab SC and rituximab IV.</w:t>
      </w:r>
    </w:p>
    <w:p w:rsidR="00BC22CD" w:rsidRPr="0069654D" w:rsidRDefault="00BC22CD" w:rsidP="00BC22CD">
      <w:pPr>
        <w:widowControl w:val="0"/>
        <w:jc w:val="both"/>
        <w:rPr>
          <w:rFonts w:ascii="Arial" w:hAnsi="Arial" w:cs="Arial"/>
          <w:bCs/>
          <w:snapToGrid w:val="0"/>
          <w:sz w:val="22"/>
          <w:szCs w:val="20"/>
          <w:highlight w:val="yellow"/>
          <w:lang w:val="en-GB"/>
        </w:rPr>
      </w:pPr>
    </w:p>
    <w:p w:rsidR="00BC22CD" w:rsidRPr="00DA663C" w:rsidRDefault="006F307C" w:rsidP="00E32FED">
      <w:pPr>
        <w:widowControl w:val="0"/>
        <w:numPr>
          <w:ilvl w:val="1"/>
          <w:numId w:val="5"/>
        </w:numPr>
        <w:jc w:val="both"/>
        <w:rPr>
          <w:rFonts w:ascii="Arial" w:hAnsi="Arial" w:cs="Arial"/>
          <w:bCs/>
          <w:snapToGrid w:val="0"/>
          <w:sz w:val="22"/>
          <w:szCs w:val="20"/>
          <w:lang w:val="en-GB"/>
        </w:rPr>
      </w:pPr>
      <w:r w:rsidRPr="00DA663C">
        <w:rPr>
          <w:rFonts w:ascii="Arial" w:hAnsi="Arial" w:cs="Arial"/>
          <w:bCs/>
          <w:snapToGrid w:val="0"/>
          <w:sz w:val="22"/>
          <w:szCs w:val="20"/>
          <w:lang w:val="en-GB"/>
        </w:rPr>
        <w:t xml:space="preserve">The PBAC noted the estimated net cost to the PBS of listing rituximab SC for CLL and considered that, consistent with the submission’s cost-minimisation claim, the price of rituximab SC should be adjusted so that there is no net cost to Government. </w:t>
      </w:r>
    </w:p>
    <w:p w:rsidR="00BC22CD" w:rsidRPr="0069654D" w:rsidRDefault="00BC22CD" w:rsidP="00BC22CD">
      <w:pPr>
        <w:widowControl w:val="0"/>
        <w:jc w:val="both"/>
        <w:rPr>
          <w:rFonts w:ascii="Arial" w:hAnsi="Arial" w:cs="Arial"/>
          <w:bCs/>
          <w:snapToGrid w:val="0"/>
          <w:sz w:val="22"/>
          <w:szCs w:val="20"/>
          <w:highlight w:val="yellow"/>
          <w:lang w:val="en-GB"/>
        </w:rPr>
      </w:pPr>
    </w:p>
    <w:p w:rsidR="00BC22CD" w:rsidRPr="00376854" w:rsidRDefault="00BC22CD" w:rsidP="00BC22CD">
      <w:pPr>
        <w:widowControl w:val="0"/>
        <w:numPr>
          <w:ilvl w:val="1"/>
          <w:numId w:val="5"/>
        </w:numPr>
        <w:jc w:val="both"/>
        <w:rPr>
          <w:rFonts w:ascii="Arial" w:hAnsi="Arial" w:cs="Arial"/>
          <w:bCs/>
          <w:snapToGrid w:val="0"/>
          <w:sz w:val="22"/>
          <w:szCs w:val="20"/>
          <w:lang w:val="en-GB"/>
        </w:rPr>
      </w:pPr>
      <w:r w:rsidRPr="00376854">
        <w:rPr>
          <w:rFonts w:ascii="Arial" w:hAnsi="Arial" w:cs="Arial"/>
          <w:bCs/>
          <w:snapToGrid w:val="0"/>
          <w:sz w:val="22"/>
          <w:szCs w:val="20"/>
          <w:lang w:val="en-GB"/>
        </w:rPr>
        <w:t xml:space="preserve">The PBAC advised that </w:t>
      </w:r>
      <w:r w:rsidR="00A20400" w:rsidRPr="00376854">
        <w:rPr>
          <w:rFonts w:ascii="Arial" w:hAnsi="Arial" w:cs="Arial"/>
          <w:bCs/>
          <w:snapToGrid w:val="0"/>
          <w:sz w:val="22"/>
          <w:szCs w:val="20"/>
          <w:lang w:val="en-GB"/>
        </w:rPr>
        <w:t xml:space="preserve">rituximab is </w:t>
      </w:r>
      <w:r w:rsidRPr="00376854">
        <w:rPr>
          <w:rFonts w:ascii="Arial" w:hAnsi="Arial" w:cs="Arial"/>
          <w:bCs/>
          <w:snapToGrid w:val="0"/>
          <w:sz w:val="22"/>
          <w:szCs w:val="20"/>
          <w:lang w:val="en-GB"/>
        </w:rPr>
        <w:t>not suitable for prescribing by nurse practitioners.</w:t>
      </w:r>
    </w:p>
    <w:p w:rsidR="00BC22CD" w:rsidRPr="0069654D" w:rsidRDefault="00BC22CD" w:rsidP="00BC22CD">
      <w:pPr>
        <w:widowControl w:val="0"/>
        <w:jc w:val="both"/>
        <w:rPr>
          <w:rFonts w:ascii="Arial" w:hAnsi="Arial" w:cs="Arial"/>
          <w:bCs/>
          <w:snapToGrid w:val="0"/>
          <w:sz w:val="22"/>
          <w:szCs w:val="20"/>
          <w:highlight w:val="yellow"/>
          <w:lang w:val="en-GB"/>
        </w:rPr>
      </w:pPr>
    </w:p>
    <w:p w:rsidR="00BC22CD" w:rsidRPr="00376854" w:rsidRDefault="00BC22CD" w:rsidP="00BC22CD">
      <w:pPr>
        <w:widowControl w:val="0"/>
        <w:numPr>
          <w:ilvl w:val="1"/>
          <w:numId w:val="5"/>
        </w:numPr>
        <w:jc w:val="both"/>
        <w:rPr>
          <w:rFonts w:ascii="Arial" w:hAnsi="Arial" w:cs="Arial"/>
          <w:bCs/>
          <w:snapToGrid w:val="0"/>
          <w:sz w:val="22"/>
          <w:szCs w:val="20"/>
          <w:lang w:val="en-GB"/>
        </w:rPr>
      </w:pPr>
      <w:r w:rsidRPr="00376854">
        <w:rPr>
          <w:rFonts w:ascii="Arial" w:hAnsi="Arial" w:cs="Arial"/>
          <w:bCs/>
          <w:snapToGrid w:val="0"/>
          <w:sz w:val="22"/>
          <w:szCs w:val="20"/>
          <w:lang w:val="en-GB"/>
        </w:rPr>
        <w:t xml:space="preserve">The PBAC recommended that the Early Supply Rule should not apply. </w:t>
      </w:r>
    </w:p>
    <w:p w:rsidR="00BC22CD" w:rsidRPr="0069654D" w:rsidRDefault="00BC22CD" w:rsidP="00BC22CD">
      <w:pPr>
        <w:widowControl w:val="0"/>
        <w:jc w:val="both"/>
        <w:rPr>
          <w:rFonts w:ascii="Arial" w:hAnsi="Arial" w:cs="Arial"/>
          <w:bCs/>
          <w:snapToGrid w:val="0"/>
          <w:sz w:val="22"/>
          <w:szCs w:val="20"/>
          <w:highlight w:val="yellow"/>
          <w:lang w:val="en-GB"/>
        </w:rPr>
      </w:pPr>
    </w:p>
    <w:p w:rsidR="00BC22CD" w:rsidRPr="009A57BB" w:rsidRDefault="00BC22CD" w:rsidP="009A57BB">
      <w:pPr>
        <w:rPr>
          <w:rFonts w:ascii="Arial" w:hAnsi="Arial" w:cs="Arial"/>
          <w:b/>
          <w:i/>
          <w:snapToGrid w:val="0"/>
          <w:lang w:val="en-GB"/>
        </w:rPr>
      </w:pPr>
      <w:r w:rsidRPr="009A57BB">
        <w:rPr>
          <w:rFonts w:ascii="Arial" w:hAnsi="Arial" w:cs="Arial"/>
          <w:b/>
          <w:i/>
          <w:snapToGrid w:val="0"/>
          <w:lang w:val="en-GB"/>
        </w:rPr>
        <w:t>Outcome:</w:t>
      </w:r>
    </w:p>
    <w:p w:rsidR="00BC22CD" w:rsidRDefault="00376854" w:rsidP="00BC22CD">
      <w:pPr>
        <w:widowControl w:val="0"/>
        <w:jc w:val="both"/>
        <w:rPr>
          <w:rFonts w:ascii="Arial" w:hAnsi="Arial" w:cs="Arial"/>
          <w:bCs/>
          <w:snapToGrid w:val="0"/>
          <w:sz w:val="22"/>
          <w:szCs w:val="20"/>
          <w:lang w:val="en-GB"/>
        </w:rPr>
      </w:pPr>
      <w:r w:rsidRPr="00376854">
        <w:rPr>
          <w:rFonts w:ascii="Arial" w:hAnsi="Arial" w:cs="Arial"/>
          <w:bCs/>
          <w:snapToGrid w:val="0"/>
          <w:sz w:val="22"/>
          <w:szCs w:val="20"/>
          <w:lang w:val="en-GB"/>
        </w:rPr>
        <w:t>Recommended</w:t>
      </w:r>
    </w:p>
    <w:p w:rsidR="001A5C40" w:rsidRPr="001A5C40" w:rsidRDefault="001A5C40" w:rsidP="00BC22CD">
      <w:pPr>
        <w:widowControl w:val="0"/>
        <w:jc w:val="both"/>
        <w:rPr>
          <w:rFonts w:ascii="Arial" w:hAnsi="Arial" w:cs="Arial"/>
          <w:bCs/>
          <w:snapToGrid w:val="0"/>
          <w:sz w:val="22"/>
          <w:szCs w:val="20"/>
          <w:lang w:val="en-GB"/>
        </w:rPr>
      </w:pPr>
    </w:p>
    <w:p w:rsidR="00376854" w:rsidRPr="0069654D" w:rsidRDefault="00376854" w:rsidP="00BC22CD">
      <w:pPr>
        <w:widowControl w:val="0"/>
        <w:jc w:val="both"/>
        <w:rPr>
          <w:rFonts w:ascii="Arial" w:hAnsi="Arial" w:cs="Arial"/>
          <w:bCs/>
          <w:snapToGrid w:val="0"/>
          <w:sz w:val="22"/>
          <w:szCs w:val="20"/>
          <w:highlight w:val="yellow"/>
        </w:rPr>
      </w:pPr>
    </w:p>
    <w:p w:rsidR="00BC22CD" w:rsidRPr="00376854" w:rsidRDefault="00BC22CD" w:rsidP="001A5C40">
      <w:pPr>
        <w:pStyle w:val="PBACHeading1"/>
        <w:rPr>
          <w:i/>
          <w:lang w:val="en-GB"/>
        </w:rPr>
      </w:pPr>
      <w:r w:rsidRPr="00376854">
        <w:rPr>
          <w:lang w:val="en-GB"/>
        </w:rPr>
        <w:t>Recommended listing</w:t>
      </w:r>
    </w:p>
    <w:p w:rsidR="00BC22CD" w:rsidRPr="00376854" w:rsidRDefault="00BC22CD" w:rsidP="00BC22CD">
      <w:pPr>
        <w:widowControl w:val="0"/>
        <w:jc w:val="both"/>
        <w:rPr>
          <w:rFonts w:ascii="Arial" w:hAnsi="Arial" w:cs="Arial"/>
          <w:b/>
          <w:bCs/>
          <w:i/>
          <w:snapToGrid w:val="0"/>
          <w:sz w:val="22"/>
          <w:szCs w:val="20"/>
          <w:lang w:val="en-GB"/>
        </w:rPr>
      </w:pPr>
    </w:p>
    <w:p w:rsidR="00BC22CD" w:rsidRPr="00376854" w:rsidRDefault="007E2274" w:rsidP="007E2274">
      <w:pPr>
        <w:widowControl w:val="0"/>
        <w:numPr>
          <w:ilvl w:val="1"/>
          <w:numId w:val="5"/>
        </w:numPr>
        <w:jc w:val="both"/>
        <w:rPr>
          <w:rFonts w:ascii="Arial" w:hAnsi="Arial" w:cs="Arial"/>
          <w:bCs/>
          <w:snapToGrid w:val="0"/>
          <w:sz w:val="22"/>
          <w:szCs w:val="20"/>
        </w:rPr>
      </w:pPr>
      <w:r w:rsidRPr="00376854">
        <w:rPr>
          <w:rFonts w:ascii="Arial" w:hAnsi="Arial" w:cs="Arial"/>
          <w:bCs/>
          <w:snapToGrid w:val="0"/>
          <w:sz w:val="22"/>
          <w:szCs w:val="20"/>
        </w:rPr>
        <w:t>A</w:t>
      </w:r>
      <w:r w:rsidR="00FD5134">
        <w:rPr>
          <w:rFonts w:ascii="Arial" w:hAnsi="Arial" w:cs="Arial"/>
          <w:bCs/>
          <w:snapToGrid w:val="0"/>
          <w:sz w:val="22"/>
          <w:szCs w:val="20"/>
        </w:rPr>
        <w:t>d</w:t>
      </w:r>
      <w:r w:rsidRPr="00376854">
        <w:rPr>
          <w:rFonts w:ascii="Arial" w:hAnsi="Arial" w:cs="Arial"/>
          <w:bCs/>
          <w:snapToGrid w:val="0"/>
          <w:sz w:val="22"/>
          <w:szCs w:val="20"/>
        </w:rPr>
        <w:t>d</w:t>
      </w:r>
      <w:r w:rsidR="001B35C5">
        <w:rPr>
          <w:rFonts w:ascii="Arial" w:hAnsi="Arial" w:cs="Arial"/>
          <w:bCs/>
          <w:snapToGrid w:val="0"/>
          <w:sz w:val="22"/>
          <w:szCs w:val="20"/>
        </w:rPr>
        <w:t xml:space="preserve"> </w:t>
      </w:r>
      <w:r w:rsidR="00F662DB">
        <w:rPr>
          <w:rFonts w:ascii="Arial" w:hAnsi="Arial" w:cs="Arial"/>
          <w:bCs/>
          <w:snapToGrid w:val="0"/>
          <w:sz w:val="22"/>
          <w:szCs w:val="20"/>
        </w:rPr>
        <w:t xml:space="preserve">new </w:t>
      </w:r>
      <w:r w:rsidR="001B35C5">
        <w:rPr>
          <w:rFonts w:ascii="Arial" w:hAnsi="Arial" w:cs="Arial"/>
          <w:bCs/>
          <w:snapToGrid w:val="0"/>
          <w:sz w:val="22"/>
          <w:szCs w:val="20"/>
        </w:rPr>
        <w:t>item</w:t>
      </w:r>
      <w:r w:rsidRPr="00376854">
        <w:rPr>
          <w:rFonts w:ascii="Arial" w:hAnsi="Arial" w:cs="Arial"/>
          <w:bCs/>
          <w:snapToGrid w:val="0"/>
          <w:sz w:val="22"/>
          <w:szCs w:val="20"/>
        </w:rPr>
        <w:t>:</w:t>
      </w:r>
    </w:p>
    <w:p w:rsidR="00BC22CD" w:rsidRDefault="00BC22CD" w:rsidP="00BC22CD">
      <w:pPr>
        <w:widowControl w:val="0"/>
        <w:jc w:val="both"/>
        <w:rPr>
          <w:rFonts w:ascii="Arial" w:hAnsi="Arial" w:cs="Arial"/>
          <w:b/>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9D23F3" w:rsidRPr="0039782C" w:rsidTr="005A7F57">
        <w:trPr>
          <w:gridAfter w:val="1"/>
          <w:wAfter w:w="1276" w:type="dxa"/>
          <w:cantSplit/>
          <w:trHeight w:val="471"/>
        </w:trPr>
        <w:tc>
          <w:tcPr>
            <w:tcW w:w="3119" w:type="dxa"/>
            <w:gridSpan w:val="2"/>
            <w:tcBorders>
              <w:bottom w:val="single" w:sz="4" w:space="0" w:color="auto"/>
            </w:tcBorders>
          </w:tcPr>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Max.</w:t>
            </w:r>
          </w:p>
          <w:p w:rsidR="009D23F3" w:rsidRPr="0039782C" w:rsidRDefault="009D23F3" w:rsidP="00A776E2">
            <w:pPr>
              <w:keepNext/>
              <w:ind w:left="-108"/>
              <w:jc w:val="both"/>
              <w:rPr>
                <w:rFonts w:ascii="Arial Narrow" w:hAnsi="Arial Narrow" w:cs="Arial"/>
                <w:b/>
                <w:sz w:val="20"/>
                <w:szCs w:val="20"/>
              </w:rPr>
            </w:pPr>
            <w:r w:rsidRPr="0039782C">
              <w:rPr>
                <w:rFonts w:ascii="Arial Narrow" w:hAnsi="Arial Narrow" w:cs="Arial"/>
                <w:b/>
                <w:sz w:val="20"/>
                <w:szCs w:val="20"/>
              </w:rPr>
              <w:t>Qty</w:t>
            </w:r>
            <w:r>
              <w:rPr>
                <w:rFonts w:ascii="Arial Narrow" w:hAnsi="Arial Narrow" w:cs="Arial"/>
                <w:b/>
                <w:sz w:val="20"/>
                <w:szCs w:val="20"/>
              </w:rPr>
              <w:t xml:space="preserve"> (units)</w:t>
            </w:r>
          </w:p>
        </w:tc>
        <w:tc>
          <w:tcPr>
            <w:tcW w:w="709" w:type="dxa"/>
            <w:tcBorders>
              <w:bottom w:val="single" w:sz="4" w:space="0" w:color="auto"/>
            </w:tcBorders>
          </w:tcPr>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№.of</w:t>
            </w:r>
          </w:p>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409" w:type="dxa"/>
            <w:gridSpan w:val="2"/>
            <w:tcBorders>
              <w:bottom w:val="single" w:sz="4" w:space="0" w:color="auto"/>
            </w:tcBorders>
          </w:tcPr>
          <w:p w:rsidR="009D23F3" w:rsidRPr="0039782C" w:rsidRDefault="009D23F3" w:rsidP="005A7F57">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D23F3" w:rsidRPr="00260CE3" w:rsidTr="005A7F57">
        <w:trPr>
          <w:gridAfter w:val="1"/>
          <w:wAfter w:w="1276" w:type="dxa"/>
          <w:cantSplit/>
          <w:trHeight w:val="577"/>
        </w:trPr>
        <w:tc>
          <w:tcPr>
            <w:tcW w:w="3119" w:type="dxa"/>
            <w:gridSpan w:val="2"/>
          </w:tcPr>
          <w:p w:rsidR="009D23F3" w:rsidRPr="00260CE3" w:rsidRDefault="009D23F3" w:rsidP="005A7F57">
            <w:pPr>
              <w:keepNext/>
              <w:ind w:left="-108"/>
              <w:jc w:val="both"/>
              <w:rPr>
                <w:rFonts w:ascii="Arial Narrow" w:hAnsi="Arial Narrow" w:cs="Arial"/>
                <w:sz w:val="20"/>
                <w:szCs w:val="20"/>
              </w:rPr>
            </w:pPr>
            <w:r>
              <w:rPr>
                <w:rFonts w:ascii="Arial Narrow" w:hAnsi="Arial Narrow" w:cs="Arial"/>
                <w:smallCaps/>
                <w:sz w:val="20"/>
                <w:szCs w:val="20"/>
              </w:rPr>
              <w:t>rituximab</w:t>
            </w:r>
          </w:p>
          <w:p w:rsidR="009D23F3" w:rsidRDefault="009D23F3" w:rsidP="005A7F57">
            <w:pPr>
              <w:keepNext/>
              <w:ind w:left="-108"/>
              <w:jc w:val="both"/>
              <w:rPr>
                <w:rFonts w:ascii="Arial Narrow" w:hAnsi="Arial Narrow" w:cs="Arial"/>
                <w:sz w:val="20"/>
                <w:szCs w:val="20"/>
              </w:rPr>
            </w:pPr>
            <w:r>
              <w:rPr>
                <w:rFonts w:ascii="Arial Narrow" w:hAnsi="Arial Narrow" w:cs="Arial"/>
                <w:sz w:val="20"/>
                <w:szCs w:val="20"/>
              </w:rPr>
              <w:t>Solution for subcutaneous injection</w:t>
            </w:r>
          </w:p>
          <w:p w:rsidR="009D23F3" w:rsidRPr="00260CE3" w:rsidRDefault="009D23F3" w:rsidP="005A7F57">
            <w:pPr>
              <w:keepNext/>
              <w:ind w:left="-108"/>
              <w:jc w:val="both"/>
              <w:rPr>
                <w:rFonts w:ascii="Arial Narrow" w:hAnsi="Arial Narrow" w:cs="Arial"/>
                <w:sz w:val="20"/>
                <w:szCs w:val="20"/>
              </w:rPr>
            </w:pPr>
            <w:r>
              <w:rPr>
                <w:rFonts w:ascii="Arial Narrow" w:hAnsi="Arial Narrow" w:cs="Arial"/>
                <w:sz w:val="20"/>
                <w:szCs w:val="20"/>
              </w:rPr>
              <w:t>1,600 mg/13.4 mL</w:t>
            </w:r>
          </w:p>
        </w:tc>
        <w:tc>
          <w:tcPr>
            <w:tcW w:w="850" w:type="dxa"/>
          </w:tcPr>
          <w:p w:rsidR="009D23F3" w:rsidRPr="00260CE3" w:rsidRDefault="009D23F3" w:rsidP="005A7F57">
            <w:pPr>
              <w:keepNext/>
              <w:ind w:left="-108"/>
              <w:jc w:val="both"/>
              <w:rPr>
                <w:rFonts w:ascii="Arial Narrow" w:hAnsi="Arial Narrow" w:cs="Arial"/>
                <w:sz w:val="20"/>
                <w:szCs w:val="20"/>
              </w:rPr>
            </w:pPr>
          </w:p>
          <w:p w:rsidR="009D23F3" w:rsidRPr="00260CE3" w:rsidRDefault="009D23F3" w:rsidP="005A7F57">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9D23F3" w:rsidRPr="00260CE3" w:rsidRDefault="009D23F3" w:rsidP="005A7F57">
            <w:pPr>
              <w:keepNext/>
              <w:ind w:left="-108"/>
              <w:jc w:val="both"/>
              <w:rPr>
                <w:rFonts w:ascii="Arial Narrow" w:hAnsi="Arial Narrow" w:cs="Arial"/>
                <w:sz w:val="20"/>
                <w:szCs w:val="20"/>
              </w:rPr>
            </w:pPr>
          </w:p>
          <w:p w:rsidR="009D23F3" w:rsidRPr="00260CE3" w:rsidRDefault="009D23F3" w:rsidP="005A7F57">
            <w:pPr>
              <w:keepNext/>
              <w:ind w:left="-108"/>
              <w:jc w:val="both"/>
              <w:rPr>
                <w:rFonts w:ascii="Arial Narrow" w:hAnsi="Arial Narrow" w:cs="Arial"/>
                <w:sz w:val="20"/>
                <w:szCs w:val="20"/>
              </w:rPr>
            </w:pPr>
            <w:r>
              <w:rPr>
                <w:rFonts w:ascii="Arial Narrow" w:hAnsi="Arial Narrow" w:cs="Arial"/>
                <w:sz w:val="20"/>
                <w:szCs w:val="20"/>
              </w:rPr>
              <w:t>4</w:t>
            </w:r>
          </w:p>
        </w:tc>
        <w:tc>
          <w:tcPr>
            <w:tcW w:w="1275" w:type="dxa"/>
          </w:tcPr>
          <w:p w:rsidR="009D23F3" w:rsidRDefault="009D23F3" w:rsidP="005A7F57">
            <w:pPr>
              <w:keepNext/>
              <w:jc w:val="both"/>
              <w:rPr>
                <w:rFonts w:ascii="Arial Narrow" w:hAnsi="Arial Narrow" w:cs="Arial"/>
                <w:sz w:val="20"/>
                <w:szCs w:val="20"/>
              </w:rPr>
            </w:pPr>
          </w:p>
          <w:p w:rsidR="009D23F3" w:rsidRPr="00260CE3" w:rsidRDefault="009D23F3" w:rsidP="005A7F57">
            <w:pPr>
              <w:keepNext/>
              <w:jc w:val="both"/>
              <w:rPr>
                <w:rFonts w:ascii="Arial Narrow" w:hAnsi="Arial Narrow" w:cs="Arial"/>
                <w:sz w:val="20"/>
                <w:szCs w:val="20"/>
              </w:rPr>
            </w:pPr>
            <w:r>
              <w:rPr>
                <w:rFonts w:ascii="Arial Narrow" w:hAnsi="Arial Narrow" w:cs="Arial"/>
                <w:sz w:val="20"/>
                <w:szCs w:val="20"/>
              </w:rPr>
              <w:t>MabThera® SC</w:t>
            </w:r>
          </w:p>
        </w:tc>
        <w:tc>
          <w:tcPr>
            <w:tcW w:w="1134" w:type="dxa"/>
          </w:tcPr>
          <w:p w:rsidR="009D23F3" w:rsidRDefault="009D23F3" w:rsidP="005A7F57">
            <w:pPr>
              <w:keepNext/>
              <w:jc w:val="both"/>
              <w:rPr>
                <w:rFonts w:ascii="Arial Narrow" w:hAnsi="Arial Narrow" w:cs="Arial"/>
                <w:sz w:val="20"/>
                <w:szCs w:val="20"/>
              </w:rPr>
            </w:pPr>
          </w:p>
          <w:p w:rsidR="009D23F3" w:rsidRPr="00260CE3" w:rsidRDefault="009D23F3" w:rsidP="005A7F57">
            <w:pPr>
              <w:keepNext/>
              <w:jc w:val="both"/>
              <w:rPr>
                <w:rFonts w:ascii="Arial Narrow" w:hAnsi="Arial Narrow" w:cs="Arial"/>
                <w:sz w:val="20"/>
                <w:szCs w:val="20"/>
              </w:rPr>
            </w:pPr>
            <w:r>
              <w:rPr>
                <w:rFonts w:ascii="Arial Narrow" w:hAnsi="Arial Narrow" w:cs="Arial"/>
                <w:sz w:val="20"/>
                <w:szCs w:val="20"/>
              </w:rPr>
              <w:t>Roche Products Pty Ltd</w:t>
            </w:r>
          </w:p>
        </w:tc>
      </w:tr>
      <w:tr w:rsidR="00A20400" w:rsidRPr="00260CE3" w:rsidTr="005A7F57">
        <w:trPr>
          <w:cantSplit/>
          <w:trHeight w:val="360"/>
        </w:trPr>
        <w:tc>
          <w:tcPr>
            <w:tcW w:w="8363" w:type="dxa"/>
            <w:gridSpan w:val="7"/>
            <w:tcBorders>
              <w:bottom w:val="single" w:sz="4" w:space="0" w:color="auto"/>
            </w:tcBorders>
          </w:tcPr>
          <w:p w:rsidR="00A20400" w:rsidRPr="00260CE3" w:rsidRDefault="00A20400" w:rsidP="005A7F57">
            <w:pPr>
              <w:jc w:val="both"/>
              <w:rPr>
                <w:rFonts w:ascii="Arial Narrow" w:hAnsi="Arial Narrow" w:cs="Arial"/>
                <w:sz w:val="20"/>
                <w:szCs w:val="20"/>
              </w:rPr>
            </w:pPr>
          </w:p>
        </w:tc>
      </w:tr>
      <w:tr w:rsidR="00A20400" w:rsidRPr="00260CE3" w:rsidTr="009D23F3">
        <w:trPr>
          <w:cantSplit/>
          <w:trHeight w:val="283"/>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 xml:space="preserve">Category / </w:t>
            </w:r>
          </w:p>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A20400" w:rsidRPr="00260CE3" w:rsidRDefault="00A20400" w:rsidP="005A7F57">
            <w:pPr>
              <w:rPr>
                <w:rFonts w:ascii="Arial Narrow" w:hAnsi="Arial Narrow" w:cs="Arial"/>
                <w:sz w:val="20"/>
                <w:szCs w:val="20"/>
              </w:rPr>
            </w:pPr>
            <w:r w:rsidRPr="00260CE3">
              <w:rPr>
                <w:rFonts w:ascii="Arial Narrow" w:hAnsi="Arial Narrow" w:cs="Arial"/>
                <w:sz w:val="20"/>
                <w:szCs w:val="20"/>
              </w:rPr>
              <w:t>GENERAL – General Schedule (Code GE)</w:t>
            </w:r>
          </w:p>
          <w:p w:rsidR="00A20400" w:rsidRPr="00260CE3" w:rsidRDefault="00A20400" w:rsidP="005A7F57">
            <w:pPr>
              <w:rPr>
                <w:rFonts w:ascii="Arial Narrow" w:hAnsi="Arial Narrow" w:cs="Arial"/>
                <w:sz w:val="20"/>
                <w:szCs w:val="20"/>
              </w:rPr>
            </w:pPr>
          </w:p>
        </w:tc>
      </w:tr>
      <w:tr w:rsidR="00A20400" w:rsidRPr="00260CE3" w:rsidTr="009D23F3">
        <w:trPr>
          <w:cantSplit/>
          <w:trHeight w:val="283"/>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A20400" w:rsidRPr="00260CE3" w:rsidRDefault="00A20400" w:rsidP="005A7F57">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20400" w:rsidRPr="00260CE3" w:rsidRDefault="00A20400" w:rsidP="005A7F57">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20400" w:rsidRPr="00260CE3" w:rsidTr="009D23F3">
        <w:trPr>
          <w:cantSplit/>
          <w:trHeight w:val="283"/>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A20400" w:rsidRPr="00260CE3" w:rsidRDefault="00A20400" w:rsidP="005A7F57">
            <w:pPr>
              <w:rPr>
                <w:rFonts w:ascii="Arial Narrow" w:hAnsi="Arial Narrow" w:cs="Arial"/>
                <w:sz w:val="20"/>
                <w:szCs w:val="20"/>
              </w:rPr>
            </w:pPr>
            <w:r>
              <w:rPr>
                <w:rFonts w:ascii="Arial Narrow" w:hAnsi="Arial Narrow" w:cs="Arial"/>
                <w:sz w:val="20"/>
                <w:szCs w:val="20"/>
              </w:rPr>
              <w:t>Chronic lymphocytic leukaemia (CLL)</w:t>
            </w:r>
          </w:p>
        </w:tc>
      </w:tr>
      <w:tr w:rsidR="00A20400" w:rsidRPr="00260CE3" w:rsidTr="009D23F3">
        <w:trPr>
          <w:cantSplit/>
          <w:trHeight w:val="283"/>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20400" w:rsidRPr="00260CE3" w:rsidRDefault="00A20400" w:rsidP="005A7F57">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20400" w:rsidRPr="00284652" w:rsidRDefault="00A20400" w:rsidP="005A7F57">
            <w:pPr>
              <w:rPr>
                <w:rFonts w:ascii="Arial Narrow" w:hAnsi="Arial Narrow"/>
                <w:sz w:val="20"/>
              </w:rPr>
            </w:pPr>
            <w:r w:rsidRPr="003A3F8D">
              <w:rPr>
                <w:rFonts w:ascii="Arial Narrow" w:hAnsi="Arial Narrow"/>
                <w:sz w:val="20"/>
              </w:rPr>
              <w:fldChar w:fldCharType="begin">
                <w:ffData>
                  <w:name w:val="Check1"/>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Restricted benefit</w:t>
            </w:r>
          </w:p>
          <w:p w:rsidR="00A20400" w:rsidRPr="00284652" w:rsidRDefault="00A20400" w:rsidP="005A7F57">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In Writing</w:t>
            </w:r>
          </w:p>
          <w:p w:rsidR="00A20400" w:rsidRPr="00284652" w:rsidRDefault="00A20400" w:rsidP="005A7F57">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Telephone</w:t>
            </w:r>
          </w:p>
          <w:p w:rsidR="00A20400" w:rsidRPr="00284652" w:rsidRDefault="00A20400" w:rsidP="005A7F57">
            <w:pPr>
              <w:rPr>
                <w:rFonts w:ascii="Arial Narrow" w:hAnsi="Arial Narrow"/>
                <w:sz w:val="20"/>
              </w:rPr>
            </w:pPr>
            <w:r w:rsidRPr="003A3F8D">
              <w:rPr>
                <w:rFonts w:ascii="Arial Narrow" w:hAnsi="Arial Narrow"/>
                <w:sz w:val="20"/>
              </w:rPr>
              <w:fldChar w:fldCharType="begin">
                <w:ffData>
                  <w:name w:val=""/>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Emergency</w:t>
            </w:r>
          </w:p>
          <w:p w:rsidR="00A20400" w:rsidRPr="00284652" w:rsidRDefault="00A20400" w:rsidP="005A7F57">
            <w:pPr>
              <w:rPr>
                <w:rFonts w:ascii="Arial Narrow" w:hAnsi="Arial Narrow"/>
                <w:sz w:val="20"/>
              </w:rPr>
            </w:pPr>
            <w:r w:rsidRPr="003A3F8D">
              <w:rPr>
                <w:rFonts w:ascii="Arial Narrow" w:hAnsi="Arial Narrow"/>
                <w:sz w:val="20"/>
              </w:rPr>
              <w:fldChar w:fldCharType="begin">
                <w:ffData>
                  <w:name w:val="Check5"/>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Electronic</w:t>
            </w:r>
          </w:p>
          <w:p w:rsidR="00A20400" w:rsidRPr="00260CE3" w:rsidRDefault="00A20400" w:rsidP="005A7F5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A20400" w:rsidRPr="00260CE3" w:rsidTr="009D23F3">
        <w:trPr>
          <w:cantSplit/>
          <w:trHeight w:val="283"/>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Clinical criteria:</w:t>
            </w:r>
          </w:p>
          <w:p w:rsidR="00A20400" w:rsidRPr="00260CE3" w:rsidRDefault="00A20400" w:rsidP="005A7F57">
            <w:pPr>
              <w:jc w:val="both"/>
              <w:rPr>
                <w:rFonts w:ascii="Arial Narrow" w:hAnsi="Arial Narrow" w:cs="Arial"/>
                <w:i/>
                <w:sz w:val="20"/>
                <w:szCs w:val="20"/>
              </w:rPr>
            </w:pPr>
          </w:p>
          <w:p w:rsidR="00A20400" w:rsidRPr="00260CE3" w:rsidRDefault="00A20400" w:rsidP="005A7F57">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20400" w:rsidRDefault="00A20400" w:rsidP="005A7F57">
            <w:pPr>
              <w:rPr>
                <w:rFonts w:ascii="Arial Narrow" w:hAnsi="Arial Narrow" w:cs="Arial"/>
                <w:sz w:val="20"/>
                <w:szCs w:val="20"/>
              </w:rPr>
            </w:pPr>
            <w:r w:rsidRPr="000140E8">
              <w:rPr>
                <w:rFonts w:ascii="Arial Narrow" w:hAnsi="Arial Narrow" w:cs="Arial"/>
                <w:sz w:val="20"/>
                <w:szCs w:val="20"/>
              </w:rPr>
              <w:t>The condition must be CD20 positive chronic lymphocytic leukaemia (CLL),</w:t>
            </w:r>
          </w:p>
          <w:p w:rsidR="00A20400" w:rsidRPr="000140E8" w:rsidRDefault="00A20400" w:rsidP="005A7F57">
            <w:pPr>
              <w:rPr>
                <w:rFonts w:ascii="Arial Narrow" w:hAnsi="Arial Narrow" w:cs="Arial"/>
                <w:sz w:val="20"/>
                <w:szCs w:val="20"/>
              </w:rPr>
            </w:pPr>
          </w:p>
          <w:p w:rsidR="00A20400" w:rsidRDefault="00A20400" w:rsidP="005A7F57">
            <w:pPr>
              <w:rPr>
                <w:rFonts w:ascii="Arial Narrow" w:hAnsi="Arial Narrow" w:cs="Arial"/>
                <w:sz w:val="20"/>
                <w:szCs w:val="20"/>
              </w:rPr>
            </w:pPr>
            <w:r w:rsidRPr="000140E8">
              <w:rPr>
                <w:rFonts w:ascii="Arial Narrow" w:hAnsi="Arial Narrow" w:cs="Arial"/>
                <w:sz w:val="20"/>
                <w:szCs w:val="20"/>
              </w:rPr>
              <w:t>AND</w:t>
            </w:r>
          </w:p>
          <w:p w:rsidR="00A20400" w:rsidRPr="000140E8" w:rsidRDefault="00A20400" w:rsidP="005A7F57">
            <w:pPr>
              <w:rPr>
                <w:rFonts w:ascii="Arial Narrow" w:hAnsi="Arial Narrow" w:cs="Arial"/>
                <w:sz w:val="20"/>
                <w:szCs w:val="20"/>
              </w:rPr>
            </w:pPr>
          </w:p>
          <w:p w:rsidR="00A20400" w:rsidRPr="00260CE3" w:rsidRDefault="00A20400" w:rsidP="005A7F57">
            <w:pPr>
              <w:jc w:val="both"/>
              <w:rPr>
                <w:rFonts w:ascii="Arial Narrow" w:hAnsi="Arial Narrow" w:cs="Arial"/>
                <w:sz w:val="20"/>
                <w:szCs w:val="20"/>
              </w:rPr>
            </w:pPr>
            <w:r w:rsidRPr="000140E8">
              <w:rPr>
                <w:rFonts w:ascii="Arial Narrow" w:hAnsi="Arial Narrow" w:cs="Arial"/>
                <w:sz w:val="20"/>
                <w:szCs w:val="20"/>
              </w:rPr>
              <w:t>The treatment must be in combination with chemotherapy.</w:t>
            </w:r>
          </w:p>
        </w:tc>
      </w:tr>
      <w:tr w:rsidR="002A476E" w:rsidRPr="00260CE3" w:rsidTr="009D23F3">
        <w:trPr>
          <w:cantSplit/>
          <w:trHeight w:val="283"/>
        </w:trPr>
        <w:tc>
          <w:tcPr>
            <w:tcW w:w="1985" w:type="dxa"/>
            <w:tcBorders>
              <w:top w:val="single" w:sz="4" w:space="0" w:color="auto"/>
              <w:left w:val="single" w:sz="4" w:space="0" w:color="auto"/>
              <w:bottom w:val="single" w:sz="4" w:space="0" w:color="auto"/>
              <w:right w:val="single" w:sz="4" w:space="0" w:color="auto"/>
            </w:tcBorders>
          </w:tcPr>
          <w:p w:rsidR="002A476E" w:rsidRPr="00260CE3" w:rsidRDefault="002A476E" w:rsidP="009D044B">
            <w:pPr>
              <w:jc w:val="both"/>
              <w:rPr>
                <w:rFonts w:ascii="Arial Narrow" w:hAnsi="Arial Narrow" w:cs="Arial"/>
                <w:b/>
                <w:sz w:val="20"/>
                <w:szCs w:val="20"/>
              </w:rPr>
            </w:pPr>
            <w:r>
              <w:rPr>
                <w:rFonts w:ascii="Arial Narrow" w:hAnsi="Arial Narrow" w:cs="Arial"/>
                <w:b/>
                <w:sz w:val="20"/>
                <w:szCs w:val="20"/>
              </w:rPr>
              <w:t>Prescrib</w:t>
            </w:r>
            <w:r w:rsidR="009D044B">
              <w:rPr>
                <w:rFonts w:ascii="Arial Narrow" w:hAnsi="Arial Narrow" w:cs="Arial"/>
                <w:b/>
                <w:sz w:val="20"/>
                <w:szCs w:val="20"/>
              </w:rPr>
              <w:t>er</w:t>
            </w:r>
            <w:r>
              <w:rPr>
                <w:rFonts w:ascii="Arial Narrow" w:hAnsi="Arial Narrow" w:cs="Arial"/>
                <w:b/>
                <w:sz w:val="20"/>
                <w:szCs w:val="20"/>
              </w:rPr>
              <w:t xml:space="preserve"> Instruction</w:t>
            </w:r>
            <w:r w:rsidR="009D044B">
              <w:rPr>
                <w:rFonts w:ascii="Arial Narrow" w:hAnsi="Arial Narrow" w:cs="Arial"/>
                <w:b/>
                <w:sz w:val="20"/>
                <w:szCs w:val="20"/>
              </w:rPr>
              <w:t>s</w:t>
            </w:r>
          </w:p>
        </w:tc>
        <w:tc>
          <w:tcPr>
            <w:tcW w:w="6378" w:type="dxa"/>
            <w:gridSpan w:val="6"/>
            <w:tcBorders>
              <w:top w:val="single" w:sz="4" w:space="0" w:color="auto"/>
              <w:left w:val="single" w:sz="4" w:space="0" w:color="auto"/>
              <w:bottom w:val="single" w:sz="4" w:space="0" w:color="auto"/>
              <w:right w:val="single" w:sz="4" w:space="0" w:color="auto"/>
            </w:tcBorders>
          </w:tcPr>
          <w:p w:rsidR="002A476E" w:rsidRPr="000140E8" w:rsidRDefault="002A476E" w:rsidP="005A7F57">
            <w:pPr>
              <w:rPr>
                <w:rFonts w:ascii="Arial Narrow" w:hAnsi="Arial Narrow" w:cs="Arial"/>
                <w:sz w:val="20"/>
                <w:szCs w:val="20"/>
              </w:rPr>
            </w:pPr>
            <w:r w:rsidRPr="00322707">
              <w:rPr>
                <w:rFonts w:ascii="Arial Narrow" w:hAnsi="Arial Narrow" w:cs="Arial"/>
                <w:sz w:val="20"/>
                <w:szCs w:val="20"/>
              </w:rPr>
              <w:t>An initial dose of rituximab must be administered with rituximab intravenous injection. Subsequent doses may be administered with either intravenous or subcutaneous rituximab.</w:t>
            </w:r>
          </w:p>
        </w:tc>
      </w:tr>
      <w:tr w:rsidR="00A20400" w:rsidRPr="00260CE3" w:rsidTr="009D23F3">
        <w:trPr>
          <w:cantSplit/>
          <w:trHeight w:val="283"/>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Administrative Advice</w:t>
            </w:r>
          </w:p>
          <w:p w:rsidR="00A20400" w:rsidRPr="00260CE3" w:rsidRDefault="00A20400" w:rsidP="005A7F57">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20400" w:rsidRDefault="00A20400" w:rsidP="005A7F57">
            <w:pPr>
              <w:rPr>
                <w:rFonts w:ascii="Arial Narrow" w:hAnsi="Arial Narrow" w:cs="Arial"/>
                <w:sz w:val="20"/>
                <w:szCs w:val="20"/>
              </w:rPr>
            </w:pPr>
            <w:r w:rsidRPr="000140E8">
              <w:rPr>
                <w:rFonts w:ascii="Arial Narrow" w:hAnsi="Arial Narrow" w:cs="Arial"/>
                <w:sz w:val="20"/>
                <w:szCs w:val="20"/>
              </w:rPr>
              <w:t>No increase in the maximum number of repeats may be authorised.</w:t>
            </w:r>
          </w:p>
          <w:p w:rsidR="00A20400" w:rsidRPr="000140E8" w:rsidRDefault="00A20400" w:rsidP="005A7F57">
            <w:pPr>
              <w:rPr>
                <w:rFonts w:ascii="Arial Narrow" w:hAnsi="Arial Narrow" w:cs="Arial"/>
                <w:sz w:val="20"/>
                <w:szCs w:val="20"/>
              </w:rPr>
            </w:pPr>
          </w:p>
          <w:p w:rsidR="00A20400" w:rsidRPr="00322707" w:rsidRDefault="00A20400" w:rsidP="009D23F3">
            <w:pPr>
              <w:rPr>
                <w:rFonts w:ascii="Arial Narrow" w:hAnsi="Arial Narrow" w:cs="Arial"/>
                <w:sz w:val="20"/>
                <w:szCs w:val="20"/>
              </w:rPr>
            </w:pPr>
            <w:r w:rsidRPr="000140E8">
              <w:rPr>
                <w:rFonts w:ascii="Arial Narrow" w:hAnsi="Arial Narrow" w:cs="Arial"/>
                <w:sz w:val="20"/>
                <w:szCs w:val="20"/>
              </w:rPr>
              <w:t>This drug is not PBS-subsidised for use as monotherapy.</w:t>
            </w:r>
          </w:p>
        </w:tc>
      </w:tr>
    </w:tbl>
    <w:p w:rsidR="00A20400" w:rsidRDefault="00A20400" w:rsidP="00BC22CD">
      <w:pPr>
        <w:widowControl w:val="0"/>
        <w:jc w:val="both"/>
        <w:rPr>
          <w:rFonts w:ascii="Arial" w:hAnsi="Arial" w:cs="Arial"/>
          <w:b/>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9D23F3" w:rsidRPr="0039782C" w:rsidTr="005A7F57">
        <w:trPr>
          <w:gridAfter w:val="1"/>
          <w:wAfter w:w="1276" w:type="dxa"/>
          <w:cantSplit/>
          <w:trHeight w:val="471"/>
        </w:trPr>
        <w:tc>
          <w:tcPr>
            <w:tcW w:w="3119" w:type="dxa"/>
            <w:gridSpan w:val="2"/>
            <w:tcBorders>
              <w:bottom w:val="single" w:sz="4" w:space="0" w:color="auto"/>
            </w:tcBorders>
          </w:tcPr>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Max.</w:t>
            </w:r>
          </w:p>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Qty</w:t>
            </w:r>
            <w:r>
              <w:rPr>
                <w:rFonts w:ascii="Arial Narrow" w:hAnsi="Arial Narrow" w:cs="Arial"/>
                <w:b/>
                <w:sz w:val="20"/>
                <w:szCs w:val="20"/>
              </w:rPr>
              <w:t xml:space="preserve"> (units)</w:t>
            </w:r>
          </w:p>
        </w:tc>
        <w:tc>
          <w:tcPr>
            <w:tcW w:w="709" w:type="dxa"/>
            <w:tcBorders>
              <w:bottom w:val="single" w:sz="4" w:space="0" w:color="auto"/>
            </w:tcBorders>
          </w:tcPr>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№.of</w:t>
            </w:r>
          </w:p>
          <w:p w:rsidR="009D23F3" w:rsidRPr="0039782C" w:rsidRDefault="009D23F3" w:rsidP="005A7F57">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409" w:type="dxa"/>
            <w:gridSpan w:val="2"/>
            <w:tcBorders>
              <w:bottom w:val="single" w:sz="4" w:space="0" w:color="auto"/>
            </w:tcBorders>
          </w:tcPr>
          <w:p w:rsidR="009D23F3" w:rsidRPr="0039782C" w:rsidRDefault="009D23F3" w:rsidP="005A7F57">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D23F3" w:rsidRPr="00260CE3" w:rsidTr="00A20400">
        <w:trPr>
          <w:gridAfter w:val="1"/>
          <w:wAfter w:w="1276" w:type="dxa"/>
          <w:cantSplit/>
          <w:trHeight w:val="1032"/>
        </w:trPr>
        <w:tc>
          <w:tcPr>
            <w:tcW w:w="3119" w:type="dxa"/>
            <w:gridSpan w:val="2"/>
          </w:tcPr>
          <w:p w:rsidR="009D23F3" w:rsidRPr="00260CE3" w:rsidRDefault="009D23F3" w:rsidP="005A7F57">
            <w:pPr>
              <w:keepNext/>
              <w:ind w:left="-108"/>
              <w:jc w:val="both"/>
              <w:rPr>
                <w:rFonts w:ascii="Arial Narrow" w:hAnsi="Arial Narrow" w:cs="Arial"/>
                <w:sz w:val="20"/>
                <w:szCs w:val="20"/>
              </w:rPr>
            </w:pPr>
            <w:r>
              <w:rPr>
                <w:rFonts w:ascii="Arial Narrow" w:hAnsi="Arial Narrow" w:cs="Arial"/>
                <w:smallCaps/>
                <w:sz w:val="20"/>
                <w:szCs w:val="20"/>
              </w:rPr>
              <w:t>rituximab</w:t>
            </w:r>
          </w:p>
          <w:p w:rsidR="009D23F3" w:rsidRDefault="009D23F3" w:rsidP="005A7F57">
            <w:pPr>
              <w:keepNext/>
              <w:ind w:left="-108"/>
              <w:jc w:val="both"/>
              <w:rPr>
                <w:rFonts w:ascii="Arial Narrow" w:hAnsi="Arial Narrow" w:cs="Arial"/>
                <w:sz w:val="20"/>
                <w:szCs w:val="20"/>
              </w:rPr>
            </w:pPr>
            <w:r>
              <w:rPr>
                <w:rFonts w:ascii="Arial Narrow" w:hAnsi="Arial Narrow" w:cs="Arial"/>
                <w:sz w:val="20"/>
                <w:szCs w:val="20"/>
              </w:rPr>
              <w:t>Solution for subcutaneous injection</w:t>
            </w:r>
          </w:p>
          <w:p w:rsidR="009D23F3" w:rsidRPr="00260CE3" w:rsidRDefault="009D23F3" w:rsidP="005A7F57">
            <w:pPr>
              <w:keepNext/>
              <w:ind w:left="-108"/>
              <w:jc w:val="both"/>
              <w:rPr>
                <w:rFonts w:ascii="Arial Narrow" w:hAnsi="Arial Narrow" w:cs="Arial"/>
                <w:sz w:val="20"/>
                <w:szCs w:val="20"/>
              </w:rPr>
            </w:pPr>
            <w:r>
              <w:rPr>
                <w:rFonts w:ascii="Arial Narrow" w:hAnsi="Arial Narrow" w:cs="Arial"/>
                <w:sz w:val="20"/>
                <w:szCs w:val="20"/>
              </w:rPr>
              <w:t>1,600 mg/13.4 mL</w:t>
            </w:r>
          </w:p>
        </w:tc>
        <w:tc>
          <w:tcPr>
            <w:tcW w:w="850" w:type="dxa"/>
          </w:tcPr>
          <w:p w:rsidR="009D23F3" w:rsidRPr="00260CE3" w:rsidRDefault="009D23F3" w:rsidP="005A7F57">
            <w:pPr>
              <w:keepNext/>
              <w:ind w:left="-108"/>
              <w:jc w:val="both"/>
              <w:rPr>
                <w:rFonts w:ascii="Arial Narrow" w:hAnsi="Arial Narrow" w:cs="Arial"/>
                <w:sz w:val="20"/>
                <w:szCs w:val="20"/>
              </w:rPr>
            </w:pPr>
          </w:p>
          <w:p w:rsidR="009D23F3" w:rsidRPr="00260CE3" w:rsidRDefault="009D23F3" w:rsidP="005A7F57">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9D23F3" w:rsidRPr="00260CE3" w:rsidRDefault="009D23F3" w:rsidP="005A7F57">
            <w:pPr>
              <w:keepNext/>
              <w:ind w:left="-108"/>
              <w:jc w:val="both"/>
              <w:rPr>
                <w:rFonts w:ascii="Arial Narrow" w:hAnsi="Arial Narrow" w:cs="Arial"/>
                <w:sz w:val="20"/>
                <w:szCs w:val="20"/>
              </w:rPr>
            </w:pPr>
          </w:p>
          <w:p w:rsidR="009D23F3" w:rsidRPr="00260CE3" w:rsidRDefault="009D23F3" w:rsidP="005A7F57">
            <w:pPr>
              <w:keepNext/>
              <w:ind w:left="-108"/>
              <w:jc w:val="both"/>
              <w:rPr>
                <w:rFonts w:ascii="Arial Narrow" w:hAnsi="Arial Narrow" w:cs="Arial"/>
                <w:sz w:val="20"/>
                <w:szCs w:val="20"/>
              </w:rPr>
            </w:pPr>
            <w:r>
              <w:rPr>
                <w:rFonts w:ascii="Arial Narrow" w:hAnsi="Arial Narrow" w:cs="Arial"/>
                <w:sz w:val="20"/>
                <w:szCs w:val="20"/>
              </w:rPr>
              <w:t>4</w:t>
            </w:r>
          </w:p>
        </w:tc>
        <w:tc>
          <w:tcPr>
            <w:tcW w:w="1275" w:type="dxa"/>
          </w:tcPr>
          <w:p w:rsidR="009D23F3" w:rsidRDefault="009D23F3" w:rsidP="005A7F57">
            <w:pPr>
              <w:keepNext/>
              <w:jc w:val="both"/>
              <w:rPr>
                <w:rFonts w:ascii="Arial Narrow" w:hAnsi="Arial Narrow" w:cs="Arial"/>
                <w:sz w:val="20"/>
                <w:szCs w:val="20"/>
              </w:rPr>
            </w:pPr>
          </w:p>
          <w:p w:rsidR="009D23F3" w:rsidRPr="00260CE3" w:rsidRDefault="009D23F3" w:rsidP="005A7F57">
            <w:pPr>
              <w:keepNext/>
              <w:jc w:val="both"/>
              <w:rPr>
                <w:rFonts w:ascii="Arial Narrow" w:hAnsi="Arial Narrow" w:cs="Arial"/>
                <w:sz w:val="20"/>
                <w:szCs w:val="20"/>
              </w:rPr>
            </w:pPr>
            <w:r>
              <w:rPr>
                <w:rFonts w:ascii="Arial Narrow" w:hAnsi="Arial Narrow" w:cs="Arial"/>
                <w:sz w:val="20"/>
                <w:szCs w:val="20"/>
              </w:rPr>
              <w:t>MabThera® SC</w:t>
            </w:r>
          </w:p>
        </w:tc>
        <w:tc>
          <w:tcPr>
            <w:tcW w:w="1134" w:type="dxa"/>
          </w:tcPr>
          <w:p w:rsidR="009D23F3" w:rsidRDefault="009D23F3" w:rsidP="005A7F57">
            <w:pPr>
              <w:keepNext/>
              <w:jc w:val="both"/>
              <w:rPr>
                <w:rFonts w:ascii="Arial Narrow" w:hAnsi="Arial Narrow" w:cs="Arial"/>
                <w:sz w:val="20"/>
                <w:szCs w:val="20"/>
              </w:rPr>
            </w:pPr>
          </w:p>
          <w:p w:rsidR="009D23F3" w:rsidRPr="00260CE3" w:rsidRDefault="009D23F3" w:rsidP="005A7F57">
            <w:pPr>
              <w:keepNext/>
              <w:jc w:val="both"/>
              <w:rPr>
                <w:rFonts w:ascii="Arial Narrow" w:hAnsi="Arial Narrow" w:cs="Arial"/>
                <w:sz w:val="20"/>
                <w:szCs w:val="20"/>
              </w:rPr>
            </w:pPr>
            <w:r>
              <w:rPr>
                <w:rFonts w:ascii="Arial Narrow" w:hAnsi="Arial Narrow" w:cs="Arial"/>
                <w:sz w:val="20"/>
                <w:szCs w:val="20"/>
              </w:rPr>
              <w:t>Roche Products Pty Ltd</w:t>
            </w:r>
          </w:p>
        </w:tc>
      </w:tr>
      <w:tr w:rsidR="00A20400" w:rsidRPr="00260CE3" w:rsidTr="005A7F57">
        <w:trPr>
          <w:cantSplit/>
          <w:trHeight w:val="360"/>
        </w:trPr>
        <w:tc>
          <w:tcPr>
            <w:tcW w:w="8363" w:type="dxa"/>
            <w:gridSpan w:val="7"/>
            <w:tcBorders>
              <w:bottom w:val="single" w:sz="4" w:space="0" w:color="auto"/>
            </w:tcBorders>
          </w:tcPr>
          <w:p w:rsidR="00A20400" w:rsidRPr="00260CE3" w:rsidRDefault="00A20400" w:rsidP="005A7F57">
            <w:pPr>
              <w:jc w:val="both"/>
              <w:rPr>
                <w:rFonts w:ascii="Arial Narrow" w:hAnsi="Arial Narrow" w:cs="Arial"/>
                <w:sz w:val="20"/>
                <w:szCs w:val="20"/>
              </w:rPr>
            </w:pPr>
          </w:p>
        </w:tc>
      </w:tr>
      <w:tr w:rsidR="00A20400" w:rsidRPr="00260CE3" w:rsidTr="005A7F57">
        <w:trPr>
          <w:cantSplit/>
          <w:trHeight w:val="360"/>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 xml:space="preserve">Category / </w:t>
            </w:r>
          </w:p>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A20400" w:rsidRPr="00260CE3" w:rsidRDefault="00A20400" w:rsidP="005A7F57">
            <w:pPr>
              <w:rPr>
                <w:rFonts w:ascii="Arial Narrow" w:hAnsi="Arial Narrow" w:cs="Arial"/>
                <w:sz w:val="20"/>
                <w:szCs w:val="20"/>
              </w:rPr>
            </w:pPr>
            <w:r w:rsidRPr="00C33D1F">
              <w:rPr>
                <w:rFonts w:ascii="Arial Narrow" w:hAnsi="Arial Narrow" w:cs="Arial"/>
                <w:sz w:val="20"/>
                <w:szCs w:val="20"/>
              </w:rPr>
              <w:t>Section 100 – Efficient funding of C</w:t>
            </w:r>
            <w:r>
              <w:rPr>
                <w:rFonts w:ascii="Arial Narrow" w:hAnsi="Arial Narrow" w:cs="Arial"/>
                <w:sz w:val="20"/>
                <w:szCs w:val="20"/>
              </w:rPr>
              <w:t>hemotherapy (Schedule 2 – related pharmaceutical benefits)</w:t>
            </w:r>
          </w:p>
        </w:tc>
      </w:tr>
      <w:tr w:rsidR="00A20400" w:rsidRPr="00260CE3" w:rsidTr="005A7F57">
        <w:trPr>
          <w:cantSplit/>
          <w:trHeight w:val="360"/>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A20400" w:rsidRPr="00260CE3" w:rsidRDefault="00A20400" w:rsidP="005A7F57">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20400" w:rsidRPr="00260CE3" w:rsidRDefault="00A20400" w:rsidP="005A7F57">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20400" w:rsidRPr="00260CE3" w:rsidTr="005A7F57">
        <w:trPr>
          <w:cantSplit/>
          <w:trHeight w:val="360"/>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A20400" w:rsidRPr="00260CE3" w:rsidRDefault="00A20400" w:rsidP="005A7F57">
            <w:pPr>
              <w:rPr>
                <w:rFonts w:ascii="Arial Narrow" w:hAnsi="Arial Narrow" w:cs="Arial"/>
                <w:sz w:val="20"/>
                <w:szCs w:val="20"/>
              </w:rPr>
            </w:pPr>
            <w:r>
              <w:rPr>
                <w:rFonts w:ascii="Arial Narrow" w:hAnsi="Arial Narrow" w:cs="Arial"/>
                <w:sz w:val="20"/>
                <w:szCs w:val="20"/>
              </w:rPr>
              <w:t>Chronic lymphocytic leukaemia (CLL)</w:t>
            </w:r>
          </w:p>
        </w:tc>
      </w:tr>
      <w:tr w:rsidR="00A20400" w:rsidRPr="00260CE3" w:rsidTr="005A7F57">
        <w:trPr>
          <w:cantSplit/>
          <w:trHeight w:val="360"/>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20400" w:rsidRPr="00260CE3" w:rsidRDefault="00A20400" w:rsidP="005A7F57">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20400" w:rsidRPr="00284652" w:rsidRDefault="00A20400" w:rsidP="005A7F57">
            <w:pPr>
              <w:rPr>
                <w:rFonts w:ascii="Arial Narrow" w:hAnsi="Arial Narrow"/>
                <w:sz w:val="20"/>
              </w:rPr>
            </w:pPr>
            <w:r w:rsidRPr="003A3F8D">
              <w:rPr>
                <w:rFonts w:ascii="Arial Narrow" w:hAnsi="Arial Narrow"/>
                <w:sz w:val="20"/>
              </w:rPr>
              <w:fldChar w:fldCharType="begin">
                <w:ffData>
                  <w:name w:val="Check1"/>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Restricted benefit</w:t>
            </w:r>
          </w:p>
          <w:p w:rsidR="00A20400" w:rsidRPr="00284652" w:rsidRDefault="00A20400" w:rsidP="005A7F57">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In Writing</w:t>
            </w:r>
          </w:p>
          <w:p w:rsidR="00A20400" w:rsidRPr="00284652" w:rsidRDefault="00A20400" w:rsidP="005A7F57">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Telephone</w:t>
            </w:r>
          </w:p>
          <w:p w:rsidR="00A20400" w:rsidRPr="00284652" w:rsidRDefault="00A20400" w:rsidP="005A7F57">
            <w:pPr>
              <w:rPr>
                <w:rFonts w:ascii="Arial Narrow" w:hAnsi="Arial Narrow"/>
                <w:sz w:val="20"/>
              </w:rPr>
            </w:pPr>
            <w:r w:rsidRPr="003A3F8D">
              <w:rPr>
                <w:rFonts w:ascii="Arial Narrow" w:hAnsi="Arial Narrow"/>
                <w:sz w:val="20"/>
              </w:rPr>
              <w:fldChar w:fldCharType="begin">
                <w:ffData>
                  <w:name w:val=""/>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Emergency</w:t>
            </w:r>
          </w:p>
          <w:p w:rsidR="00A20400" w:rsidRPr="00284652" w:rsidRDefault="00A20400" w:rsidP="005A7F57">
            <w:pPr>
              <w:rPr>
                <w:rFonts w:ascii="Arial Narrow" w:hAnsi="Arial Narrow"/>
                <w:sz w:val="20"/>
              </w:rPr>
            </w:pPr>
            <w:r w:rsidRPr="003A3F8D">
              <w:rPr>
                <w:rFonts w:ascii="Arial Narrow" w:hAnsi="Arial Narrow"/>
                <w:sz w:val="20"/>
              </w:rPr>
              <w:fldChar w:fldCharType="begin">
                <w:ffData>
                  <w:name w:val="Check5"/>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Electronic</w:t>
            </w:r>
          </w:p>
          <w:p w:rsidR="00A20400" w:rsidRPr="00260CE3" w:rsidRDefault="00A20400" w:rsidP="005A7F5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A20400" w:rsidRPr="00260CE3" w:rsidTr="005A7F57">
        <w:trPr>
          <w:cantSplit/>
          <w:trHeight w:val="360"/>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Clinical criteria:</w:t>
            </w:r>
          </w:p>
          <w:p w:rsidR="00A20400" w:rsidRPr="00260CE3" w:rsidRDefault="00A20400" w:rsidP="005A7F57">
            <w:pPr>
              <w:jc w:val="both"/>
              <w:rPr>
                <w:rFonts w:ascii="Arial Narrow" w:hAnsi="Arial Narrow" w:cs="Arial"/>
                <w:i/>
                <w:sz w:val="20"/>
                <w:szCs w:val="20"/>
              </w:rPr>
            </w:pPr>
          </w:p>
          <w:p w:rsidR="00A20400" w:rsidRPr="00260CE3" w:rsidRDefault="00A20400" w:rsidP="005A7F57">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20400" w:rsidRDefault="00A20400" w:rsidP="005A7F57">
            <w:pPr>
              <w:rPr>
                <w:rFonts w:ascii="Arial Narrow" w:hAnsi="Arial Narrow" w:cs="Arial"/>
                <w:sz w:val="20"/>
                <w:szCs w:val="20"/>
              </w:rPr>
            </w:pPr>
            <w:r w:rsidRPr="000140E8">
              <w:rPr>
                <w:rFonts w:ascii="Arial Narrow" w:hAnsi="Arial Narrow" w:cs="Arial"/>
                <w:sz w:val="20"/>
                <w:szCs w:val="20"/>
              </w:rPr>
              <w:t>The condition must be CD20 positive chronic lymphocytic leukaemia (CLL),</w:t>
            </w:r>
          </w:p>
          <w:p w:rsidR="00A20400" w:rsidRPr="000140E8" w:rsidRDefault="00A20400" w:rsidP="005A7F57">
            <w:pPr>
              <w:rPr>
                <w:rFonts w:ascii="Arial Narrow" w:hAnsi="Arial Narrow" w:cs="Arial"/>
                <w:sz w:val="20"/>
                <w:szCs w:val="20"/>
              </w:rPr>
            </w:pPr>
          </w:p>
          <w:p w:rsidR="00A20400" w:rsidRDefault="00A20400" w:rsidP="005A7F57">
            <w:pPr>
              <w:rPr>
                <w:rFonts w:ascii="Arial Narrow" w:hAnsi="Arial Narrow" w:cs="Arial"/>
                <w:sz w:val="20"/>
                <w:szCs w:val="20"/>
              </w:rPr>
            </w:pPr>
            <w:r w:rsidRPr="000140E8">
              <w:rPr>
                <w:rFonts w:ascii="Arial Narrow" w:hAnsi="Arial Narrow" w:cs="Arial"/>
                <w:sz w:val="20"/>
                <w:szCs w:val="20"/>
              </w:rPr>
              <w:t>AND</w:t>
            </w:r>
          </w:p>
          <w:p w:rsidR="00A20400" w:rsidRPr="000140E8" w:rsidRDefault="00A20400" w:rsidP="005A7F57">
            <w:pPr>
              <w:rPr>
                <w:rFonts w:ascii="Arial Narrow" w:hAnsi="Arial Narrow" w:cs="Arial"/>
                <w:sz w:val="20"/>
                <w:szCs w:val="20"/>
              </w:rPr>
            </w:pPr>
          </w:p>
          <w:p w:rsidR="00A20400" w:rsidRPr="00260CE3" w:rsidRDefault="00A20400" w:rsidP="005A7F57">
            <w:pPr>
              <w:jc w:val="both"/>
              <w:rPr>
                <w:rFonts w:ascii="Arial Narrow" w:hAnsi="Arial Narrow" w:cs="Arial"/>
                <w:sz w:val="20"/>
                <w:szCs w:val="20"/>
              </w:rPr>
            </w:pPr>
            <w:r w:rsidRPr="000140E8">
              <w:rPr>
                <w:rFonts w:ascii="Arial Narrow" w:hAnsi="Arial Narrow" w:cs="Arial"/>
                <w:sz w:val="20"/>
                <w:szCs w:val="20"/>
              </w:rPr>
              <w:t>The treatment must be in combination with chemotherapy.</w:t>
            </w:r>
          </w:p>
        </w:tc>
      </w:tr>
      <w:tr w:rsidR="000B67A7" w:rsidRPr="00260CE3" w:rsidTr="005A7F57">
        <w:trPr>
          <w:cantSplit/>
          <w:trHeight w:val="360"/>
        </w:trPr>
        <w:tc>
          <w:tcPr>
            <w:tcW w:w="1985" w:type="dxa"/>
            <w:tcBorders>
              <w:top w:val="single" w:sz="4" w:space="0" w:color="auto"/>
              <w:left w:val="single" w:sz="4" w:space="0" w:color="auto"/>
              <w:bottom w:val="single" w:sz="4" w:space="0" w:color="auto"/>
              <w:right w:val="single" w:sz="4" w:space="0" w:color="auto"/>
            </w:tcBorders>
          </w:tcPr>
          <w:p w:rsidR="000B67A7" w:rsidRPr="00260CE3" w:rsidRDefault="009D044B" w:rsidP="005A7F57">
            <w:pPr>
              <w:jc w:val="both"/>
              <w:rPr>
                <w:rFonts w:ascii="Arial Narrow" w:hAnsi="Arial Narrow" w:cs="Arial"/>
                <w:b/>
                <w:sz w:val="20"/>
                <w:szCs w:val="20"/>
              </w:rPr>
            </w:pPr>
            <w:r>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0B67A7" w:rsidRPr="000140E8" w:rsidRDefault="000B67A7" w:rsidP="005A7F57">
            <w:pPr>
              <w:rPr>
                <w:rFonts w:ascii="Arial Narrow" w:hAnsi="Arial Narrow" w:cs="Arial"/>
                <w:sz w:val="20"/>
                <w:szCs w:val="20"/>
              </w:rPr>
            </w:pPr>
            <w:r w:rsidRPr="00322707">
              <w:rPr>
                <w:rFonts w:ascii="Arial Narrow" w:hAnsi="Arial Narrow" w:cs="Arial"/>
                <w:sz w:val="20"/>
                <w:szCs w:val="20"/>
              </w:rPr>
              <w:t>An initial dose of rituximab must be administered with rituximab intravenous injection. Subsequent doses may be administered with either intravenous or subcutaneous rituximab.</w:t>
            </w:r>
          </w:p>
        </w:tc>
      </w:tr>
      <w:tr w:rsidR="00A20400" w:rsidRPr="00260CE3" w:rsidTr="005A7F57">
        <w:trPr>
          <w:cantSplit/>
          <w:trHeight w:val="360"/>
        </w:trPr>
        <w:tc>
          <w:tcPr>
            <w:tcW w:w="1985" w:type="dxa"/>
            <w:tcBorders>
              <w:top w:val="single" w:sz="4" w:space="0" w:color="auto"/>
              <w:left w:val="single" w:sz="4" w:space="0" w:color="auto"/>
              <w:bottom w:val="single" w:sz="4" w:space="0" w:color="auto"/>
              <w:right w:val="single" w:sz="4" w:space="0" w:color="auto"/>
            </w:tcBorders>
          </w:tcPr>
          <w:p w:rsidR="00A20400" w:rsidRPr="00260CE3" w:rsidRDefault="00A20400" w:rsidP="005A7F57">
            <w:pPr>
              <w:jc w:val="both"/>
              <w:rPr>
                <w:rFonts w:ascii="Arial Narrow" w:hAnsi="Arial Narrow" w:cs="Arial"/>
                <w:b/>
                <w:sz w:val="20"/>
                <w:szCs w:val="20"/>
              </w:rPr>
            </w:pPr>
            <w:r w:rsidRPr="00260CE3">
              <w:rPr>
                <w:rFonts w:ascii="Arial Narrow" w:hAnsi="Arial Narrow" w:cs="Arial"/>
                <w:b/>
                <w:sz w:val="20"/>
                <w:szCs w:val="20"/>
              </w:rPr>
              <w:t>Administrative Advice</w:t>
            </w:r>
          </w:p>
          <w:p w:rsidR="00A20400" w:rsidRPr="00260CE3" w:rsidRDefault="00A20400" w:rsidP="005A7F57">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20400" w:rsidRDefault="00A20400" w:rsidP="005A7F57">
            <w:pPr>
              <w:rPr>
                <w:rFonts w:ascii="Arial Narrow" w:hAnsi="Arial Narrow" w:cs="Arial"/>
                <w:sz w:val="20"/>
                <w:szCs w:val="20"/>
              </w:rPr>
            </w:pPr>
            <w:r w:rsidRPr="000140E8">
              <w:rPr>
                <w:rFonts w:ascii="Arial Narrow" w:hAnsi="Arial Narrow" w:cs="Arial"/>
                <w:sz w:val="20"/>
                <w:szCs w:val="20"/>
              </w:rPr>
              <w:t>No increase in the maximum number of repeats may be authorised.</w:t>
            </w:r>
          </w:p>
          <w:p w:rsidR="00A20400" w:rsidRPr="000140E8" w:rsidRDefault="00A20400" w:rsidP="005A7F57">
            <w:pPr>
              <w:rPr>
                <w:rFonts w:ascii="Arial Narrow" w:hAnsi="Arial Narrow" w:cs="Arial"/>
                <w:sz w:val="20"/>
                <w:szCs w:val="20"/>
              </w:rPr>
            </w:pPr>
          </w:p>
          <w:p w:rsidR="00A20400" w:rsidRPr="00BE284E" w:rsidRDefault="00A20400" w:rsidP="009D23F3">
            <w:pPr>
              <w:rPr>
                <w:rFonts w:ascii="Arial Narrow" w:hAnsi="Arial Narrow" w:cs="Arial"/>
                <w:sz w:val="20"/>
                <w:szCs w:val="20"/>
              </w:rPr>
            </w:pPr>
            <w:r w:rsidRPr="000140E8">
              <w:rPr>
                <w:rFonts w:ascii="Arial Narrow" w:hAnsi="Arial Narrow" w:cs="Arial"/>
                <w:sz w:val="20"/>
                <w:szCs w:val="20"/>
              </w:rPr>
              <w:t>This drug is not PBS-subsidised for use as monotherapy.</w:t>
            </w:r>
          </w:p>
        </w:tc>
      </w:tr>
    </w:tbl>
    <w:p w:rsidR="00A20400" w:rsidRPr="0069654D" w:rsidRDefault="00A20400" w:rsidP="00BC22CD">
      <w:pPr>
        <w:widowControl w:val="0"/>
        <w:jc w:val="both"/>
        <w:rPr>
          <w:rFonts w:ascii="Arial" w:hAnsi="Arial" w:cs="Arial"/>
          <w:b/>
          <w:bCs/>
          <w:snapToGrid w:val="0"/>
          <w:sz w:val="22"/>
          <w:szCs w:val="20"/>
          <w:highlight w:val="yellow"/>
        </w:rPr>
      </w:pPr>
    </w:p>
    <w:p w:rsidR="009D23F3" w:rsidRDefault="009D23F3">
      <w:pPr>
        <w:rPr>
          <w:rFonts w:ascii="Arial" w:hAnsi="Arial" w:cs="Arial"/>
          <w:bCs/>
          <w:snapToGrid w:val="0"/>
          <w:sz w:val="22"/>
          <w:szCs w:val="22"/>
        </w:rPr>
      </w:pPr>
      <w:r>
        <w:rPr>
          <w:rFonts w:ascii="Arial" w:hAnsi="Arial" w:cs="Arial"/>
          <w:bCs/>
          <w:snapToGrid w:val="0"/>
          <w:sz w:val="22"/>
          <w:szCs w:val="22"/>
        </w:rPr>
        <w:br w:type="page"/>
      </w:r>
    </w:p>
    <w:p w:rsidR="005849D2" w:rsidRPr="00B4108B" w:rsidRDefault="005849D2" w:rsidP="005849D2">
      <w:pPr>
        <w:widowControl w:val="0"/>
        <w:ind w:firstLine="720"/>
        <w:jc w:val="both"/>
        <w:rPr>
          <w:rFonts w:ascii="Arial" w:hAnsi="Arial" w:cs="Arial"/>
          <w:bCs/>
          <w:snapToGrid w:val="0"/>
          <w:sz w:val="22"/>
          <w:szCs w:val="22"/>
        </w:rPr>
      </w:pPr>
      <w:r w:rsidRPr="00B4108B">
        <w:rPr>
          <w:rFonts w:ascii="Arial" w:hAnsi="Arial" w:cs="Arial"/>
          <w:bCs/>
          <w:snapToGrid w:val="0"/>
          <w:sz w:val="22"/>
          <w:szCs w:val="22"/>
        </w:rPr>
        <w:t>Amend existing listing as follows:</w:t>
      </w:r>
    </w:p>
    <w:p w:rsidR="005849D2" w:rsidRDefault="005849D2" w:rsidP="00BC22CD">
      <w:pPr>
        <w:widowControl w:val="0"/>
        <w:jc w:val="both"/>
        <w:rPr>
          <w:rFonts w:ascii="Arial" w:hAnsi="Arial" w:cs="Arial"/>
          <w:snapToGrid w:val="0"/>
          <w:sz w:val="22"/>
          <w:szCs w:val="20"/>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9D23F3" w:rsidRPr="0039782C" w:rsidTr="00D006E8">
        <w:trPr>
          <w:gridAfter w:val="1"/>
          <w:wAfter w:w="1276" w:type="dxa"/>
          <w:cantSplit/>
          <w:trHeight w:val="471"/>
        </w:trPr>
        <w:tc>
          <w:tcPr>
            <w:tcW w:w="3119" w:type="dxa"/>
            <w:gridSpan w:val="2"/>
            <w:tcBorders>
              <w:bottom w:val="single" w:sz="4" w:space="0" w:color="auto"/>
            </w:tcBorders>
          </w:tcPr>
          <w:p w:rsidR="009D23F3" w:rsidRPr="0039782C" w:rsidRDefault="009D23F3" w:rsidP="00D006E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D23F3" w:rsidRPr="0039782C" w:rsidRDefault="009D23F3" w:rsidP="00D006E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9D23F3" w:rsidRPr="0039782C" w:rsidRDefault="009D23F3" w:rsidP="00D006E8">
            <w:pPr>
              <w:keepNext/>
              <w:ind w:left="-108"/>
              <w:jc w:val="both"/>
              <w:rPr>
                <w:rFonts w:ascii="Arial Narrow" w:hAnsi="Arial Narrow" w:cs="Arial"/>
                <w:b/>
                <w:sz w:val="20"/>
                <w:szCs w:val="20"/>
              </w:rPr>
            </w:pPr>
            <w:r w:rsidRPr="0039782C">
              <w:rPr>
                <w:rFonts w:ascii="Arial Narrow" w:hAnsi="Arial Narrow" w:cs="Arial"/>
                <w:b/>
                <w:sz w:val="20"/>
                <w:szCs w:val="20"/>
              </w:rPr>
              <w:t>Max.</w:t>
            </w:r>
          </w:p>
          <w:p w:rsidR="009D23F3" w:rsidRPr="0039782C" w:rsidRDefault="009D23F3" w:rsidP="00D006E8">
            <w:pPr>
              <w:keepNext/>
              <w:ind w:left="-108"/>
              <w:jc w:val="both"/>
              <w:rPr>
                <w:rFonts w:ascii="Arial Narrow" w:hAnsi="Arial Narrow" w:cs="Arial"/>
                <w:b/>
                <w:sz w:val="20"/>
                <w:szCs w:val="20"/>
              </w:rPr>
            </w:pPr>
            <w:r>
              <w:rPr>
                <w:rFonts w:ascii="Arial Narrow" w:hAnsi="Arial Narrow" w:cs="Arial"/>
                <w:b/>
                <w:sz w:val="20"/>
                <w:szCs w:val="20"/>
              </w:rPr>
              <w:t>Amt.</w:t>
            </w:r>
          </w:p>
        </w:tc>
        <w:tc>
          <w:tcPr>
            <w:tcW w:w="709" w:type="dxa"/>
            <w:tcBorders>
              <w:bottom w:val="single" w:sz="4" w:space="0" w:color="auto"/>
            </w:tcBorders>
          </w:tcPr>
          <w:p w:rsidR="009D23F3" w:rsidRPr="0039782C" w:rsidRDefault="009D23F3" w:rsidP="00D006E8">
            <w:pPr>
              <w:keepNext/>
              <w:ind w:left="-108"/>
              <w:jc w:val="both"/>
              <w:rPr>
                <w:rFonts w:ascii="Arial Narrow" w:hAnsi="Arial Narrow" w:cs="Arial"/>
                <w:b/>
                <w:sz w:val="20"/>
                <w:szCs w:val="20"/>
              </w:rPr>
            </w:pPr>
            <w:r w:rsidRPr="0039782C">
              <w:rPr>
                <w:rFonts w:ascii="Arial Narrow" w:hAnsi="Arial Narrow" w:cs="Arial"/>
                <w:b/>
                <w:sz w:val="20"/>
                <w:szCs w:val="20"/>
              </w:rPr>
              <w:t>№.of</w:t>
            </w:r>
          </w:p>
          <w:p w:rsidR="009D23F3" w:rsidRPr="0039782C" w:rsidRDefault="009D23F3" w:rsidP="00D006E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409" w:type="dxa"/>
            <w:gridSpan w:val="2"/>
            <w:tcBorders>
              <w:bottom w:val="single" w:sz="4" w:space="0" w:color="auto"/>
            </w:tcBorders>
          </w:tcPr>
          <w:p w:rsidR="009D23F3" w:rsidRPr="0039782C" w:rsidRDefault="009D23F3" w:rsidP="00D006E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D23F3" w:rsidRPr="00260CE3" w:rsidTr="00D006E8">
        <w:trPr>
          <w:gridAfter w:val="1"/>
          <w:wAfter w:w="1276" w:type="dxa"/>
          <w:cantSplit/>
          <w:trHeight w:val="577"/>
        </w:trPr>
        <w:tc>
          <w:tcPr>
            <w:tcW w:w="3119" w:type="dxa"/>
            <w:gridSpan w:val="2"/>
          </w:tcPr>
          <w:p w:rsidR="009D23F3" w:rsidRPr="00260CE3" w:rsidRDefault="009D23F3" w:rsidP="00D006E8">
            <w:pPr>
              <w:keepNext/>
              <w:ind w:left="-108"/>
              <w:jc w:val="both"/>
              <w:rPr>
                <w:rFonts w:ascii="Arial Narrow" w:hAnsi="Arial Narrow" w:cs="Arial"/>
                <w:sz w:val="20"/>
                <w:szCs w:val="20"/>
              </w:rPr>
            </w:pPr>
            <w:r>
              <w:rPr>
                <w:rFonts w:ascii="Arial Narrow" w:hAnsi="Arial Narrow" w:cs="Arial"/>
                <w:smallCaps/>
                <w:sz w:val="20"/>
                <w:szCs w:val="20"/>
              </w:rPr>
              <w:t>rituximab</w:t>
            </w:r>
          </w:p>
          <w:p w:rsidR="009D23F3" w:rsidRDefault="009D23F3" w:rsidP="00D006E8">
            <w:pPr>
              <w:keepNext/>
              <w:ind w:left="-108"/>
              <w:jc w:val="both"/>
              <w:rPr>
                <w:rFonts w:ascii="Arial Narrow" w:hAnsi="Arial Narrow" w:cs="Arial"/>
                <w:sz w:val="20"/>
                <w:szCs w:val="20"/>
              </w:rPr>
            </w:pPr>
            <w:r>
              <w:rPr>
                <w:rFonts w:ascii="Arial Narrow" w:hAnsi="Arial Narrow" w:cs="Arial"/>
                <w:sz w:val="20"/>
                <w:szCs w:val="20"/>
              </w:rPr>
              <w:t>Injection</w:t>
            </w:r>
          </w:p>
          <w:p w:rsidR="009D23F3" w:rsidRDefault="009D23F3" w:rsidP="005849D2">
            <w:pPr>
              <w:keepNext/>
              <w:ind w:left="-108"/>
              <w:jc w:val="both"/>
              <w:rPr>
                <w:rFonts w:ascii="Arial Narrow" w:hAnsi="Arial Narrow" w:cs="Arial"/>
                <w:sz w:val="20"/>
                <w:szCs w:val="20"/>
              </w:rPr>
            </w:pPr>
            <w:r>
              <w:rPr>
                <w:rFonts w:ascii="Arial Narrow" w:hAnsi="Arial Narrow" w:cs="Arial"/>
                <w:sz w:val="20"/>
                <w:szCs w:val="20"/>
              </w:rPr>
              <w:t>100 mg/10 mL injection, 2 x 10 mL vials</w:t>
            </w:r>
          </w:p>
          <w:p w:rsidR="009D23F3" w:rsidRPr="00260CE3" w:rsidRDefault="009D23F3" w:rsidP="005849D2">
            <w:pPr>
              <w:keepNext/>
              <w:ind w:left="-108"/>
              <w:jc w:val="both"/>
              <w:rPr>
                <w:rFonts w:ascii="Arial Narrow" w:hAnsi="Arial Narrow" w:cs="Arial"/>
                <w:sz w:val="20"/>
                <w:szCs w:val="20"/>
              </w:rPr>
            </w:pPr>
            <w:r>
              <w:rPr>
                <w:rFonts w:ascii="Arial Narrow" w:hAnsi="Arial Narrow" w:cs="Arial"/>
                <w:sz w:val="20"/>
                <w:szCs w:val="20"/>
              </w:rPr>
              <w:t>500 mg/50 mL injection, 50 mL vial</w:t>
            </w:r>
          </w:p>
        </w:tc>
        <w:tc>
          <w:tcPr>
            <w:tcW w:w="850" w:type="dxa"/>
          </w:tcPr>
          <w:p w:rsidR="009D23F3" w:rsidRPr="00260CE3" w:rsidRDefault="009D23F3" w:rsidP="00D006E8">
            <w:pPr>
              <w:keepNext/>
              <w:ind w:left="-108"/>
              <w:jc w:val="both"/>
              <w:rPr>
                <w:rFonts w:ascii="Arial Narrow" w:hAnsi="Arial Narrow" w:cs="Arial"/>
                <w:sz w:val="20"/>
                <w:szCs w:val="20"/>
              </w:rPr>
            </w:pPr>
          </w:p>
          <w:p w:rsidR="009D23F3" w:rsidRPr="00260CE3" w:rsidRDefault="009D23F3" w:rsidP="005849D2">
            <w:pPr>
              <w:keepNext/>
              <w:ind w:left="-108"/>
              <w:jc w:val="both"/>
              <w:rPr>
                <w:rFonts w:ascii="Arial Narrow" w:hAnsi="Arial Narrow" w:cs="Arial"/>
                <w:sz w:val="20"/>
                <w:szCs w:val="20"/>
              </w:rPr>
            </w:pPr>
            <w:r>
              <w:rPr>
                <w:rFonts w:ascii="Arial Narrow" w:hAnsi="Arial Narrow" w:cs="Arial"/>
                <w:sz w:val="20"/>
                <w:szCs w:val="20"/>
              </w:rPr>
              <w:t>1,100 mg</w:t>
            </w:r>
          </w:p>
        </w:tc>
        <w:tc>
          <w:tcPr>
            <w:tcW w:w="709" w:type="dxa"/>
          </w:tcPr>
          <w:p w:rsidR="009D23F3" w:rsidRDefault="009D23F3" w:rsidP="00D006E8">
            <w:pPr>
              <w:keepNext/>
              <w:ind w:left="-108"/>
              <w:jc w:val="both"/>
              <w:rPr>
                <w:rFonts w:ascii="Arial Narrow" w:hAnsi="Arial Narrow" w:cs="Arial"/>
                <w:sz w:val="20"/>
                <w:szCs w:val="20"/>
              </w:rPr>
            </w:pPr>
          </w:p>
          <w:p w:rsidR="009D23F3" w:rsidRPr="00260CE3" w:rsidRDefault="009D23F3" w:rsidP="00D006E8">
            <w:pPr>
              <w:keepNext/>
              <w:ind w:left="-108"/>
              <w:jc w:val="both"/>
              <w:rPr>
                <w:rFonts w:ascii="Arial Narrow" w:hAnsi="Arial Narrow" w:cs="Arial"/>
                <w:sz w:val="20"/>
                <w:szCs w:val="20"/>
              </w:rPr>
            </w:pPr>
            <w:r>
              <w:rPr>
                <w:rFonts w:ascii="Arial Narrow" w:hAnsi="Arial Narrow" w:cs="Arial"/>
                <w:sz w:val="20"/>
                <w:szCs w:val="20"/>
              </w:rPr>
              <w:t>5</w:t>
            </w:r>
          </w:p>
        </w:tc>
        <w:tc>
          <w:tcPr>
            <w:tcW w:w="1275" w:type="dxa"/>
          </w:tcPr>
          <w:p w:rsidR="009D23F3" w:rsidRDefault="009D23F3" w:rsidP="00D006E8">
            <w:pPr>
              <w:keepNext/>
              <w:jc w:val="both"/>
              <w:rPr>
                <w:rFonts w:ascii="Arial Narrow" w:hAnsi="Arial Narrow" w:cs="Arial"/>
                <w:sz w:val="20"/>
                <w:szCs w:val="20"/>
              </w:rPr>
            </w:pPr>
          </w:p>
          <w:p w:rsidR="009D23F3" w:rsidRPr="00260CE3" w:rsidRDefault="009D23F3" w:rsidP="00D006E8">
            <w:pPr>
              <w:keepNext/>
              <w:jc w:val="both"/>
              <w:rPr>
                <w:rFonts w:ascii="Arial Narrow" w:hAnsi="Arial Narrow" w:cs="Arial"/>
                <w:sz w:val="20"/>
                <w:szCs w:val="20"/>
              </w:rPr>
            </w:pPr>
            <w:r>
              <w:rPr>
                <w:rFonts w:ascii="Arial Narrow" w:hAnsi="Arial Narrow" w:cs="Arial"/>
                <w:sz w:val="20"/>
                <w:szCs w:val="20"/>
              </w:rPr>
              <w:t xml:space="preserve">MabThera® </w:t>
            </w:r>
          </w:p>
        </w:tc>
        <w:tc>
          <w:tcPr>
            <w:tcW w:w="1134" w:type="dxa"/>
          </w:tcPr>
          <w:p w:rsidR="009D23F3" w:rsidRDefault="009D23F3" w:rsidP="00D006E8">
            <w:pPr>
              <w:keepNext/>
              <w:jc w:val="both"/>
              <w:rPr>
                <w:rFonts w:ascii="Arial Narrow" w:hAnsi="Arial Narrow" w:cs="Arial"/>
                <w:sz w:val="20"/>
                <w:szCs w:val="20"/>
              </w:rPr>
            </w:pPr>
          </w:p>
          <w:p w:rsidR="009D23F3" w:rsidRPr="00260CE3" w:rsidRDefault="009D23F3" w:rsidP="00D006E8">
            <w:pPr>
              <w:keepNext/>
              <w:jc w:val="both"/>
              <w:rPr>
                <w:rFonts w:ascii="Arial Narrow" w:hAnsi="Arial Narrow" w:cs="Arial"/>
                <w:sz w:val="20"/>
                <w:szCs w:val="20"/>
              </w:rPr>
            </w:pPr>
            <w:r>
              <w:rPr>
                <w:rFonts w:ascii="Arial Narrow" w:hAnsi="Arial Narrow" w:cs="Arial"/>
                <w:sz w:val="20"/>
                <w:szCs w:val="20"/>
              </w:rPr>
              <w:t>Roche Products Pty Ltd</w:t>
            </w:r>
          </w:p>
        </w:tc>
      </w:tr>
      <w:tr w:rsidR="005849D2" w:rsidRPr="00260CE3" w:rsidTr="00D006E8">
        <w:trPr>
          <w:cantSplit/>
          <w:trHeight w:val="360"/>
        </w:trPr>
        <w:tc>
          <w:tcPr>
            <w:tcW w:w="8363" w:type="dxa"/>
            <w:gridSpan w:val="7"/>
            <w:tcBorders>
              <w:bottom w:val="single" w:sz="4" w:space="0" w:color="auto"/>
            </w:tcBorders>
          </w:tcPr>
          <w:p w:rsidR="005849D2" w:rsidRPr="00260CE3" w:rsidRDefault="005849D2" w:rsidP="00D006E8">
            <w:pPr>
              <w:jc w:val="both"/>
              <w:rPr>
                <w:rFonts w:ascii="Arial Narrow" w:hAnsi="Arial Narrow" w:cs="Arial"/>
                <w:sz w:val="20"/>
                <w:szCs w:val="20"/>
              </w:rPr>
            </w:pP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 xml:space="preserve">Category / </w:t>
            </w:r>
          </w:p>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5849D2" w:rsidRPr="00260CE3" w:rsidRDefault="005849D2" w:rsidP="005849D2">
            <w:pPr>
              <w:rPr>
                <w:rFonts w:ascii="Arial Narrow" w:hAnsi="Arial Narrow" w:cs="Arial"/>
                <w:sz w:val="20"/>
                <w:szCs w:val="20"/>
              </w:rPr>
            </w:pPr>
            <w:r w:rsidRPr="00C33D1F">
              <w:rPr>
                <w:rFonts w:ascii="Arial Narrow" w:hAnsi="Arial Narrow" w:cs="Arial"/>
                <w:sz w:val="20"/>
                <w:szCs w:val="20"/>
              </w:rPr>
              <w:t>Section 100 – Efficient funding of C</w:t>
            </w:r>
            <w:r>
              <w:rPr>
                <w:rFonts w:ascii="Arial Narrow" w:hAnsi="Arial Narrow" w:cs="Arial"/>
                <w:sz w:val="20"/>
                <w:szCs w:val="20"/>
              </w:rPr>
              <w:t>hemotherapy – Public Hospital Use</w:t>
            </w: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5849D2" w:rsidRPr="00260CE3" w:rsidRDefault="005849D2" w:rsidP="00D006E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5849D2" w:rsidRPr="00260CE3" w:rsidRDefault="005849D2" w:rsidP="00D006E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5849D2" w:rsidRPr="00260CE3" w:rsidRDefault="005849D2" w:rsidP="00D006E8">
            <w:pPr>
              <w:rPr>
                <w:rFonts w:ascii="Arial Narrow" w:hAnsi="Arial Narrow" w:cs="Arial"/>
                <w:sz w:val="20"/>
                <w:szCs w:val="20"/>
              </w:rPr>
            </w:pPr>
            <w:r>
              <w:rPr>
                <w:rFonts w:ascii="Arial Narrow" w:hAnsi="Arial Narrow" w:cs="Arial"/>
                <w:sz w:val="20"/>
                <w:szCs w:val="20"/>
              </w:rPr>
              <w:t>Chronic lymphocytic leukaemia (CLL)</w:t>
            </w: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5849D2" w:rsidRPr="00260CE3" w:rsidRDefault="005849D2" w:rsidP="00D006E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849D2" w:rsidRPr="00284652" w:rsidRDefault="005849D2" w:rsidP="00D006E8">
            <w:pPr>
              <w:rPr>
                <w:rFonts w:ascii="Arial Narrow" w:hAnsi="Arial Narrow"/>
                <w:sz w:val="20"/>
              </w:rPr>
            </w:pPr>
            <w:r w:rsidRPr="003A3F8D">
              <w:rPr>
                <w:rFonts w:ascii="Arial Narrow" w:hAnsi="Arial Narrow"/>
                <w:sz w:val="20"/>
              </w:rPr>
              <w:fldChar w:fldCharType="begin">
                <w:ffData>
                  <w:name w:val="Check1"/>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Restricted benefit</w:t>
            </w:r>
          </w:p>
          <w:p w:rsidR="005849D2" w:rsidRPr="00284652" w:rsidRDefault="005849D2" w:rsidP="00D006E8">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In Writing</w:t>
            </w:r>
          </w:p>
          <w:p w:rsidR="005849D2" w:rsidRPr="00284652" w:rsidRDefault="005849D2" w:rsidP="00D006E8">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Telephone</w:t>
            </w:r>
          </w:p>
          <w:p w:rsidR="005849D2" w:rsidRPr="00284652" w:rsidRDefault="005849D2" w:rsidP="00D006E8">
            <w:pPr>
              <w:rPr>
                <w:rFonts w:ascii="Arial Narrow" w:hAnsi="Arial Narrow"/>
                <w:sz w:val="20"/>
              </w:rPr>
            </w:pPr>
            <w:r w:rsidRPr="003A3F8D">
              <w:rPr>
                <w:rFonts w:ascii="Arial Narrow" w:hAnsi="Arial Narrow"/>
                <w:sz w:val="20"/>
              </w:rPr>
              <w:fldChar w:fldCharType="begin">
                <w:ffData>
                  <w:name w:val=""/>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Emergency</w:t>
            </w:r>
          </w:p>
          <w:p w:rsidR="005849D2" w:rsidRPr="00284652" w:rsidRDefault="005849D2" w:rsidP="00D006E8">
            <w:pPr>
              <w:rPr>
                <w:rFonts w:ascii="Arial Narrow" w:hAnsi="Arial Narrow"/>
                <w:sz w:val="20"/>
              </w:rPr>
            </w:pPr>
            <w:r w:rsidRPr="003A3F8D">
              <w:rPr>
                <w:rFonts w:ascii="Arial Narrow" w:hAnsi="Arial Narrow"/>
                <w:sz w:val="20"/>
              </w:rPr>
              <w:fldChar w:fldCharType="begin">
                <w:ffData>
                  <w:name w:val="Check5"/>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Electronic</w:t>
            </w:r>
          </w:p>
          <w:p w:rsidR="005849D2" w:rsidRPr="00260CE3" w:rsidRDefault="005849D2" w:rsidP="00D006E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Clinical criteria:</w:t>
            </w:r>
          </w:p>
          <w:p w:rsidR="005849D2" w:rsidRPr="00260CE3" w:rsidRDefault="005849D2" w:rsidP="00D006E8">
            <w:pPr>
              <w:jc w:val="both"/>
              <w:rPr>
                <w:rFonts w:ascii="Arial Narrow" w:hAnsi="Arial Narrow" w:cs="Arial"/>
                <w:i/>
                <w:sz w:val="20"/>
                <w:szCs w:val="20"/>
              </w:rPr>
            </w:pPr>
          </w:p>
          <w:p w:rsidR="005849D2" w:rsidRPr="00260CE3" w:rsidRDefault="005849D2" w:rsidP="00D006E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849D2" w:rsidRDefault="005849D2" w:rsidP="00D006E8">
            <w:pPr>
              <w:rPr>
                <w:rFonts w:ascii="Arial Narrow" w:hAnsi="Arial Narrow" w:cs="Arial"/>
                <w:sz w:val="20"/>
                <w:szCs w:val="20"/>
              </w:rPr>
            </w:pPr>
            <w:r w:rsidRPr="000140E8">
              <w:rPr>
                <w:rFonts w:ascii="Arial Narrow" w:hAnsi="Arial Narrow" w:cs="Arial"/>
                <w:sz w:val="20"/>
                <w:szCs w:val="20"/>
              </w:rPr>
              <w:t>The condition must be CD20 positive chronic lymphocytic leukaemia (CLL),</w:t>
            </w:r>
          </w:p>
          <w:p w:rsidR="005849D2" w:rsidRPr="000140E8" w:rsidRDefault="005849D2" w:rsidP="00D006E8">
            <w:pPr>
              <w:rPr>
                <w:rFonts w:ascii="Arial Narrow" w:hAnsi="Arial Narrow" w:cs="Arial"/>
                <w:sz w:val="20"/>
                <w:szCs w:val="20"/>
              </w:rPr>
            </w:pPr>
          </w:p>
          <w:p w:rsidR="005849D2" w:rsidRDefault="005849D2" w:rsidP="00D006E8">
            <w:pPr>
              <w:rPr>
                <w:rFonts w:ascii="Arial Narrow" w:hAnsi="Arial Narrow" w:cs="Arial"/>
                <w:sz w:val="20"/>
                <w:szCs w:val="20"/>
              </w:rPr>
            </w:pPr>
            <w:r w:rsidRPr="000140E8">
              <w:rPr>
                <w:rFonts w:ascii="Arial Narrow" w:hAnsi="Arial Narrow" w:cs="Arial"/>
                <w:sz w:val="20"/>
                <w:szCs w:val="20"/>
              </w:rPr>
              <w:t>AND</w:t>
            </w:r>
          </w:p>
          <w:p w:rsidR="005849D2" w:rsidRPr="000140E8" w:rsidRDefault="005849D2" w:rsidP="00D006E8">
            <w:pPr>
              <w:rPr>
                <w:rFonts w:ascii="Arial Narrow" w:hAnsi="Arial Narrow" w:cs="Arial"/>
                <w:sz w:val="20"/>
                <w:szCs w:val="20"/>
              </w:rPr>
            </w:pPr>
          </w:p>
          <w:p w:rsidR="005849D2" w:rsidRPr="00260CE3" w:rsidRDefault="005849D2" w:rsidP="00D006E8">
            <w:pPr>
              <w:jc w:val="both"/>
              <w:rPr>
                <w:rFonts w:ascii="Arial Narrow" w:hAnsi="Arial Narrow" w:cs="Arial"/>
                <w:sz w:val="20"/>
                <w:szCs w:val="20"/>
              </w:rPr>
            </w:pPr>
            <w:r w:rsidRPr="000140E8">
              <w:rPr>
                <w:rFonts w:ascii="Arial Narrow" w:hAnsi="Arial Narrow" w:cs="Arial"/>
                <w:sz w:val="20"/>
                <w:szCs w:val="20"/>
              </w:rPr>
              <w:t>The treatment must be in combination with chemotherapy.</w:t>
            </w:r>
          </w:p>
        </w:tc>
      </w:tr>
      <w:tr w:rsidR="00643796"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3796" w:rsidRPr="00260CE3" w:rsidRDefault="009D044B" w:rsidP="00D006E8">
            <w:pPr>
              <w:jc w:val="both"/>
              <w:rPr>
                <w:rFonts w:ascii="Arial Narrow" w:hAnsi="Arial Narrow" w:cs="Arial"/>
                <w:b/>
                <w:sz w:val="20"/>
                <w:szCs w:val="20"/>
              </w:rPr>
            </w:pPr>
            <w:r w:rsidRPr="009D044B">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643796" w:rsidRPr="00B979DB" w:rsidRDefault="00643796" w:rsidP="00D006E8">
            <w:pPr>
              <w:rPr>
                <w:rFonts w:ascii="Arial Narrow" w:hAnsi="Arial Narrow" w:cs="Arial"/>
                <w:sz w:val="20"/>
                <w:szCs w:val="20"/>
              </w:rPr>
            </w:pPr>
            <w:r w:rsidRPr="00B979DB">
              <w:rPr>
                <w:rFonts w:ascii="Arial Narrow" w:hAnsi="Arial Narrow" w:cs="Arial"/>
                <w:sz w:val="20"/>
                <w:szCs w:val="20"/>
              </w:rPr>
              <w:t>An initial dose of rituximab must be administered with rituximab intravenous injection. Subsequent doses may be administered with either intravenous or subcutaneous rituximab.</w:t>
            </w: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Administrative Advice</w:t>
            </w:r>
          </w:p>
          <w:p w:rsidR="005849D2" w:rsidRPr="00260CE3" w:rsidRDefault="005849D2" w:rsidP="00D006E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849D2" w:rsidRDefault="005849D2" w:rsidP="00D006E8">
            <w:pPr>
              <w:rPr>
                <w:rFonts w:ascii="Arial Narrow" w:hAnsi="Arial Narrow" w:cs="Arial"/>
                <w:sz w:val="20"/>
                <w:szCs w:val="20"/>
              </w:rPr>
            </w:pPr>
            <w:r w:rsidRPr="000140E8">
              <w:rPr>
                <w:rFonts w:ascii="Arial Narrow" w:hAnsi="Arial Narrow" w:cs="Arial"/>
                <w:sz w:val="20"/>
                <w:szCs w:val="20"/>
              </w:rPr>
              <w:t>No increase in the maximum number of repeats may be authorised.</w:t>
            </w:r>
          </w:p>
          <w:p w:rsidR="005849D2" w:rsidRPr="000140E8" w:rsidRDefault="005849D2" w:rsidP="00D006E8">
            <w:pPr>
              <w:rPr>
                <w:rFonts w:ascii="Arial Narrow" w:hAnsi="Arial Narrow" w:cs="Arial"/>
                <w:sz w:val="20"/>
                <w:szCs w:val="20"/>
              </w:rPr>
            </w:pPr>
          </w:p>
          <w:p w:rsidR="005849D2" w:rsidRPr="00115B90" w:rsidRDefault="005849D2" w:rsidP="009D23F3">
            <w:pPr>
              <w:rPr>
                <w:rFonts w:ascii="Arial Narrow" w:hAnsi="Arial Narrow" w:cs="Arial"/>
                <w:i/>
                <w:sz w:val="20"/>
                <w:szCs w:val="20"/>
              </w:rPr>
            </w:pPr>
            <w:r w:rsidRPr="000140E8">
              <w:rPr>
                <w:rFonts w:ascii="Arial Narrow" w:hAnsi="Arial Narrow" w:cs="Arial"/>
                <w:sz w:val="20"/>
                <w:szCs w:val="20"/>
              </w:rPr>
              <w:t>This drug is not PBS-subsidised for use as monotherapy.</w:t>
            </w:r>
          </w:p>
        </w:tc>
      </w:tr>
    </w:tbl>
    <w:p w:rsidR="009A57BB" w:rsidRDefault="009A57BB" w:rsidP="00BC22CD">
      <w:pPr>
        <w:widowControl w:val="0"/>
        <w:jc w:val="both"/>
        <w:rPr>
          <w:rFonts w:ascii="Arial" w:hAnsi="Arial" w:cs="Arial"/>
          <w:snapToGrid w:val="0"/>
          <w:sz w:val="22"/>
          <w:szCs w:val="20"/>
        </w:rPr>
      </w:pPr>
    </w:p>
    <w:p w:rsidR="009A57BB" w:rsidRDefault="009A57BB">
      <w:pPr>
        <w:rPr>
          <w:rFonts w:ascii="Arial" w:hAnsi="Arial" w:cs="Arial"/>
          <w:snapToGrid w:val="0"/>
          <w:sz w:val="22"/>
          <w:szCs w:val="20"/>
        </w:rPr>
      </w:pPr>
      <w:r>
        <w:rPr>
          <w:rFonts w:ascii="Arial" w:hAnsi="Arial" w:cs="Arial"/>
          <w:snapToGrid w:val="0"/>
          <w:sz w:val="22"/>
          <w:szCs w:val="20"/>
        </w:rPr>
        <w:br w:type="page"/>
      </w:r>
    </w:p>
    <w:p w:rsidR="005849D2" w:rsidRDefault="005849D2" w:rsidP="00BC22CD">
      <w:pPr>
        <w:widowControl w:val="0"/>
        <w:jc w:val="both"/>
        <w:rPr>
          <w:rFonts w:ascii="Arial" w:hAnsi="Arial" w:cs="Arial"/>
          <w:snapToGrid w:val="0"/>
          <w:sz w:val="22"/>
          <w:szCs w:val="20"/>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9D23F3" w:rsidRPr="0039782C" w:rsidTr="00D006E8">
        <w:trPr>
          <w:gridAfter w:val="1"/>
          <w:wAfter w:w="1276" w:type="dxa"/>
          <w:cantSplit/>
          <w:trHeight w:val="471"/>
        </w:trPr>
        <w:tc>
          <w:tcPr>
            <w:tcW w:w="3119" w:type="dxa"/>
            <w:gridSpan w:val="2"/>
            <w:tcBorders>
              <w:bottom w:val="single" w:sz="4" w:space="0" w:color="auto"/>
            </w:tcBorders>
          </w:tcPr>
          <w:p w:rsidR="009D23F3" w:rsidRPr="0039782C" w:rsidRDefault="009D23F3" w:rsidP="00D006E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D23F3" w:rsidRPr="0039782C" w:rsidRDefault="009D23F3" w:rsidP="00D006E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9D23F3" w:rsidRPr="0039782C" w:rsidRDefault="009D23F3" w:rsidP="00D006E8">
            <w:pPr>
              <w:keepNext/>
              <w:ind w:left="-108"/>
              <w:jc w:val="both"/>
              <w:rPr>
                <w:rFonts w:ascii="Arial Narrow" w:hAnsi="Arial Narrow" w:cs="Arial"/>
                <w:b/>
                <w:sz w:val="20"/>
                <w:szCs w:val="20"/>
              </w:rPr>
            </w:pPr>
            <w:r w:rsidRPr="0039782C">
              <w:rPr>
                <w:rFonts w:ascii="Arial Narrow" w:hAnsi="Arial Narrow" w:cs="Arial"/>
                <w:b/>
                <w:sz w:val="20"/>
                <w:szCs w:val="20"/>
              </w:rPr>
              <w:t>Max.</w:t>
            </w:r>
          </w:p>
          <w:p w:rsidR="009D23F3" w:rsidRPr="0039782C" w:rsidRDefault="009D23F3" w:rsidP="00D006E8">
            <w:pPr>
              <w:keepNext/>
              <w:ind w:left="-108"/>
              <w:jc w:val="both"/>
              <w:rPr>
                <w:rFonts w:ascii="Arial Narrow" w:hAnsi="Arial Narrow" w:cs="Arial"/>
                <w:b/>
                <w:sz w:val="20"/>
                <w:szCs w:val="20"/>
              </w:rPr>
            </w:pPr>
            <w:r>
              <w:rPr>
                <w:rFonts w:ascii="Arial Narrow" w:hAnsi="Arial Narrow" w:cs="Arial"/>
                <w:b/>
                <w:sz w:val="20"/>
                <w:szCs w:val="20"/>
              </w:rPr>
              <w:t>Amt.</w:t>
            </w:r>
          </w:p>
        </w:tc>
        <w:tc>
          <w:tcPr>
            <w:tcW w:w="709" w:type="dxa"/>
            <w:tcBorders>
              <w:bottom w:val="single" w:sz="4" w:space="0" w:color="auto"/>
            </w:tcBorders>
          </w:tcPr>
          <w:p w:rsidR="009D23F3" w:rsidRPr="0039782C" w:rsidRDefault="009D23F3" w:rsidP="00D006E8">
            <w:pPr>
              <w:keepNext/>
              <w:ind w:left="-108"/>
              <w:jc w:val="both"/>
              <w:rPr>
                <w:rFonts w:ascii="Arial Narrow" w:hAnsi="Arial Narrow" w:cs="Arial"/>
                <w:b/>
                <w:sz w:val="20"/>
                <w:szCs w:val="20"/>
              </w:rPr>
            </w:pPr>
            <w:r w:rsidRPr="0039782C">
              <w:rPr>
                <w:rFonts w:ascii="Arial Narrow" w:hAnsi="Arial Narrow" w:cs="Arial"/>
                <w:b/>
                <w:sz w:val="20"/>
                <w:szCs w:val="20"/>
              </w:rPr>
              <w:t>№.of</w:t>
            </w:r>
          </w:p>
          <w:p w:rsidR="009D23F3" w:rsidRPr="0039782C" w:rsidRDefault="009D23F3" w:rsidP="00D006E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409" w:type="dxa"/>
            <w:gridSpan w:val="2"/>
            <w:tcBorders>
              <w:bottom w:val="single" w:sz="4" w:space="0" w:color="auto"/>
            </w:tcBorders>
          </w:tcPr>
          <w:p w:rsidR="009D23F3" w:rsidRPr="0039782C" w:rsidRDefault="009D23F3" w:rsidP="00D006E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D23F3" w:rsidRPr="00260CE3" w:rsidTr="00D006E8">
        <w:trPr>
          <w:gridAfter w:val="1"/>
          <w:wAfter w:w="1276" w:type="dxa"/>
          <w:cantSplit/>
          <w:trHeight w:val="577"/>
        </w:trPr>
        <w:tc>
          <w:tcPr>
            <w:tcW w:w="3119" w:type="dxa"/>
            <w:gridSpan w:val="2"/>
          </w:tcPr>
          <w:p w:rsidR="009D23F3" w:rsidRPr="00260CE3" w:rsidRDefault="009D23F3" w:rsidP="00D006E8">
            <w:pPr>
              <w:keepNext/>
              <w:ind w:left="-108"/>
              <w:jc w:val="both"/>
              <w:rPr>
                <w:rFonts w:ascii="Arial Narrow" w:hAnsi="Arial Narrow" w:cs="Arial"/>
                <w:sz w:val="20"/>
                <w:szCs w:val="20"/>
              </w:rPr>
            </w:pPr>
            <w:r>
              <w:rPr>
                <w:rFonts w:ascii="Arial Narrow" w:hAnsi="Arial Narrow" w:cs="Arial"/>
                <w:smallCaps/>
                <w:sz w:val="20"/>
                <w:szCs w:val="20"/>
              </w:rPr>
              <w:t>rituximab</w:t>
            </w:r>
          </w:p>
          <w:p w:rsidR="009D23F3" w:rsidRDefault="009D23F3" w:rsidP="00D006E8">
            <w:pPr>
              <w:keepNext/>
              <w:ind w:left="-108"/>
              <w:jc w:val="both"/>
              <w:rPr>
                <w:rFonts w:ascii="Arial Narrow" w:hAnsi="Arial Narrow" w:cs="Arial"/>
                <w:sz w:val="20"/>
                <w:szCs w:val="20"/>
              </w:rPr>
            </w:pPr>
            <w:r>
              <w:rPr>
                <w:rFonts w:ascii="Arial Narrow" w:hAnsi="Arial Narrow" w:cs="Arial"/>
                <w:sz w:val="20"/>
                <w:szCs w:val="20"/>
              </w:rPr>
              <w:t>Injection</w:t>
            </w:r>
          </w:p>
          <w:p w:rsidR="009D23F3" w:rsidRDefault="009D23F3" w:rsidP="00D006E8">
            <w:pPr>
              <w:keepNext/>
              <w:ind w:left="-108"/>
              <w:jc w:val="both"/>
              <w:rPr>
                <w:rFonts w:ascii="Arial Narrow" w:hAnsi="Arial Narrow" w:cs="Arial"/>
                <w:sz w:val="20"/>
                <w:szCs w:val="20"/>
              </w:rPr>
            </w:pPr>
            <w:r>
              <w:rPr>
                <w:rFonts w:ascii="Arial Narrow" w:hAnsi="Arial Narrow" w:cs="Arial"/>
                <w:sz w:val="20"/>
                <w:szCs w:val="20"/>
              </w:rPr>
              <w:t>100 mg/10 mL injection, 2 x 10 mL vials</w:t>
            </w:r>
          </w:p>
          <w:p w:rsidR="009D23F3" w:rsidRPr="00260CE3" w:rsidRDefault="009D23F3" w:rsidP="00D006E8">
            <w:pPr>
              <w:keepNext/>
              <w:ind w:left="-108"/>
              <w:jc w:val="both"/>
              <w:rPr>
                <w:rFonts w:ascii="Arial Narrow" w:hAnsi="Arial Narrow" w:cs="Arial"/>
                <w:sz w:val="20"/>
                <w:szCs w:val="20"/>
              </w:rPr>
            </w:pPr>
            <w:r>
              <w:rPr>
                <w:rFonts w:ascii="Arial Narrow" w:hAnsi="Arial Narrow" w:cs="Arial"/>
                <w:sz w:val="20"/>
                <w:szCs w:val="20"/>
              </w:rPr>
              <w:t>500 mg/50 mL injection, 50 mL vial</w:t>
            </w:r>
          </w:p>
        </w:tc>
        <w:tc>
          <w:tcPr>
            <w:tcW w:w="850" w:type="dxa"/>
          </w:tcPr>
          <w:p w:rsidR="009D23F3" w:rsidRPr="00260CE3" w:rsidRDefault="009D23F3" w:rsidP="00D006E8">
            <w:pPr>
              <w:keepNext/>
              <w:ind w:left="-108"/>
              <w:jc w:val="both"/>
              <w:rPr>
                <w:rFonts w:ascii="Arial Narrow" w:hAnsi="Arial Narrow" w:cs="Arial"/>
                <w:sz w:val="20"/>
                <w:szCs w:val="20"/>
              </w:rPr>
            </w:pPr>
          </w:p>
          <w:p w:rsidR="009D23F3" w:rsidRPr="00260CE3" w:rsidRDefault="009D23F3" w:rsidP="00D006E8">
            <w:pPr>
              <w:keepNext/>
              <w:ind w:left="-108"/>
              <w:jc w:val="both"/>
              <w:rPr>
                <w:rFonts w:ascii="Arial Narrow" w:hAnsi="Arial Narrow" w:cs="Arial"/>
                <w:sz w:val="20"/>
                <w:szCs w:val="20"/>
              </w:rPr>
            </w:pPr>
            <w:r>
              <w:rPr>
                <w:rFonts w:ascii="Arial Narrow" w:hAnsi="Arial Narrow" w:cs="Arial"/>
                <w:sz w:val="20"/>
                <w:szCs w:val="20"/>
              </w:rPr>
              <w:t>1,100 mg</w:t>
            </w:r>
          </w:p>
        </w:tc>
        <w:tc>
          <w:tcPr>
            <w:tcW w:w="709" w:type="dxa"/>
          </w:tcPr>
          <w:p w:rsidR="009D23F3" w:rsidRDefault="009D23F3" w:rsidP="00D006E8">
            <w:pPr>
              <w:keepNext/>
              <w:ind w:left="-108"/>
              <w:jc w:val="both"/>
              <w:rPr>
                <w:rFonts w:ascii="Arial Narrow" w:hAnsi="Arial Narrow" w:cs="Arial"/>
                <w:sz w:val="20"/>
                <w:szCs w:val="20"/>
              </w:rPr>
            </w:pPr>
          </w:p>
          <w:p w:rsidR="009D23F3" w:rsidRPr="00260CE3" w:rsidRDefault="009D23F3" w:rsidP="00D006E8">
            <w:pPr>
              <w:keepNext/>
              <w:ind w:left="-108"/>
              <w:jc w:val="both"/>
              <w:rPr>
                <w:rFonts w:ascii="Arial Narrow" w:hAnsi="Arial Narrow" w:cs="Arial"/>
                <w:sz w:val="20"/>
                <w:szCs w:val="20"/>
              </w:rPr>
            </w:pPr>
            <w:r>
              <w:rPr>
                <w:rFonts w:ascii="Arial Narrow" w:hAnsi="Arial Narrow" w:cs="Arial"/>
                <w:sz w:val="20"/>
                <w:szCs w:val="20"/>
              </w:rPr>
              <w:t>5</w:t>
            </w:r>
          </w:p>
        </w:tc>
        <w:tc>
          <w:tcPr>
            <w:tcW w:w="1275" w:type="dxa"/>
          </w:tcPr>
          <w:p w:rsidR="009D23F3" w:rsidRDefault="009D23F3" w:rsidP="00D006E8">
            <w:pPr>
              <w:keepNext/>
              <w:jc w:val="both"/>
              <w:rPr>
                <w:rFonts w:ascii="Arial Narrow" w:hAnsi="Arial Narrow" w:cs="Arial"/>
                <w:sz w:val="20"/>
                <w:szCs w:val="20"/>
              </w:rPr>
            </w:pPr>
          </w:p>
          <w:p w:rsidR="009D23F3" w:rsidRPr="00260CE3" w:rsidRDefault="009D23F3" w:rsidP="00D006E8">
            <w:pPr>
              <w:keepNext/>
              <w:jc w:val="both"/>
              <w:rPr>
                <w:rFonts w:ascii="Arial Narrow" w:hAnsi="Arial Narrow" w:cs="Arial"/>
                <w:sz w:val="20"/>
                <w:szCs w:val="20"/>
              </w:rPr>
            </w:pPr>
            <w:r>
              <w:rPr>
                <w:rFonts w:ascii="Arial Narrow" w:hAnsi="Arial Narrow" w:cs="Arial"/>
                <w:sz w:val="20"/>
                <w:szCs w:val="20"/>
              </w:rPr>
              <w:t xml:space="preserve">MabThera® </w:t>
            </w:r>
          </w:p>
        </w:tc>
        <w:tc>
          <w:tcPr>
            <w:tcW w:w="1134" w:type="dxa"/>
          </w:tcPr>
          <w:p w:rsidR="009D23F3" w:rsidRDefault="009D23F3" w:rsidP="00D006E8">
            <w:pPr>
              <w:keepNext/>
              <w:jc w:val="both"/>
              <w:rPr>
                <w:rFonts w:ascii="Arial Narrow" w:hAnsi="Arial Narrow" w:cs="Arial"/>
                <w:sz w:val="20"/>
                <w:szCs w:val="20"/>
              </w:rPr>
            </w:pPr>
          </w:p>
          <w:p w:rsidR="009D23F3" w:rsidRPr="00260CE3" w:rsidRDefault="009D23F3" w:rsidP="00D006E8">
            <w:pPr>
              <w:keepNext/>
              <w:jc w:val="both"/>
              <w:rPr>
                <w:rFonts w:ascii="Arial Narrow" w:hAnsi="Arial Narrow" w:cs="Arial"/>
                <w:sz w:val="20"/>
                <w:szCs w:val="20"/>
              </w:rPr>
            </w:pPr>
            <w:r>
              <w:rPr>
                <w:rFonts w:ascii="Arial Narrow" w:hAnsi="Arial Narrow" w:cs="Arial"/>
                <w:sz w:val="20"/>
                <w:szCs w:val="20"/>
              </w:rPr>
              <w:t>Roche Products Pty Ltd</w:t>
            </w:r>
          </w:p>
        </w:tc>
      </w:tr>
      <w:tr w:rsidR="005849D2" w:rsidRPr="00260CE3" w:rsidTr="00D006E8">
        <w:trPr>
          <w:cantSplit/>
          <w:trHeight w:val="360"/>
        </w:trPr>
        <w:tc>
          <w:tcPr>
            <w:tcW w:w="8363" w:type="dxa"/>
            <w:gridSpan w:val="7"/>
            <w:tcBorders>
              <w:bottom w:val="single" w:sz="4" w:space="0" w:color="auto"/>
            </w:tcBorders>
          </w:tcPr>
          <w:p w:rsidR="005849D2" w:rsidRPr="00260CE3" w:rsidRDefault="005849D2" w:rsidP="00D006E8">
            <w:pPr>
              <w:jc w:val="both"/>
              <w:rPr>
                <w:rFonts w:ascii="Arial Narrow" w:hAnsi="Arial Narrow" w:cs="Arial"/>
                <w:sz w:val="20"/>
                <w:szCs w:val="20"/>
              </w:rPr>
            </w:pP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 xml:space="preserve">Category / </w:t>
            </w:r>
          </w:p>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5849D2" w:rsidRPr="00260CE3" w:rsidRDefault="005849D2" w:rsidP="005849D2">
            <w:pPr>
              <w:rPr>
                <w:rFonts w:ascii="Arial Narrow" w:hAnsi="Arial Narrow" w:cs="Arial"/>
                <w:sz w:val="20"/>
                <w:szCs w:val="20"/>
              </w:rPr>
            </w:pPr>
            <w:r w:rsidRPr="00C33D1F">
              <w:rPr>
                <w:rFonts w:ascii="Arial Narrow" w:hAnsi="Arial Narrow" w:cs="Arial"/>
                <w:sz w:val="20"/>
                <w:szCs w:val="20"/>
              </w:rPr>
              <w:t>Section 100 – Efficient funding of C</w:t>
            </w:r>
            <w:r>
              <w:rPr>
                <w:rFonts w:ascii="Arial Narrow" w:hAnsi="Arial Narrow" w:cs="Arial"/>
                <w:sz w:val="20"/>
                <w:szCs w:val="20"/>
              </w:rPr>
              <w:t>hemotherapy – Private Hospital Use</w:t>
            </w: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5849D2" w:rsidRPr="00260CE3" w:rsidRDefault="005849D2" w:rsidP="00D006E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5849D2" w:rsidRPr="00260CE3" w:rsidRDefault="005849D2" w:rsidP="00D006E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5849D2" w:rsidRPr="00260CE3" w:rsidRDefault="005849D2" w:rsidP="00D006E8">
            <w:pPr>
              <w:rPr>
                <w:rFonts w:ascii="Arial Narrow" w:hAnsi="Arial Narrow" w:cs="Arial"/>
                <w:sz w:val="20"/>
                <w:szCs w:val="20"/>
              </w:rPr>
            </w:pPr>
            <w:r>
              <w:rPr>
                <w:rFonts w:ascii="Arial Narrow" w:hAnsi="Arial Narrow" w:cs="Arial"/>
                <w:sz w:val="20"/>
                <w:szCs w:val="20"/>
              </w:rPr>
              <w:t>Chronic lymphocytic leukaemia (CLL)</w:t>
            </w: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5849D2" w:rsidRPr="00260CE3" w:rsidRDefault="005849D2" w:rsidP="00D006E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849D2" w:rsidRPr="00284652" w:rsidRDefault="005849D2" w:rsidP="00D006E8">
            <w:pPr>
              <w:rPr>
                <w:rFonts w:ascii="Arial Narrow" w:hAnsi="Arial Narrow"/>
                <w:sz w:val="20"/>
              </w:rPr>
            </w:pPr>
            <w:r w:rsidRPr="003A3F8D">
              <w:rPr>
                <w:rFonts w:ascii="Arial Narrow" w:hAnsi="Arial Narrow"/>
                <w:sz w:val="20"/>
              </w:rPr>
              <w:fldChar w:fldCharType="begin">
                <w:ffData>
                  <w:name w:val="Check1"/>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Restricted benefit</w:t>
            </w:r>
          </w:p>
          <w:p w:rsidR="005849D2" w:rsidRPr="00284652" w:rsidRDefault="005849D2" w:rsidP="00D006E8">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In Writing</w:t>
            </w:r>
          </w:p>
          <w:p w:rsidR="005849D2" w:rsidRPr="00284652" w:rsidRDefault="005849D2" w:rsidP="00D006E8">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Pr>
                <w:rFonts w:ascii="Arial Narrow" w:hAnsi="Arial Narrow"/>
                <w:sz w:val="20"/>
              </w:rPr>
              <w:fldChar w:fldCharType="end"/>
            </w:r>
            <w:r w:rsidRPr="00284652">
              <w:rPr>
                <w:rFonts w:ascii="Arial Narrow" w:hAnsi="Arial Narrow"/>
                <w:sz w:val="20"/>
              </w:rPr>
              <w:t>Authority Required - Telephone</w:t>
            </w:r>
          </w:p>
          <w:p w:rsidR="005849D2" w:rsidRPr="00284652" w:rsidRDefault="005849D2" w:rsidP="00D006E8">
            <w:pPr>
              <w:rPr>
                <w:rFonts w:ascii="Arial Narrow" w:hAnsi="Arial Narrow"/>
                <w:sz w:val="20"/>
              </w:rPr>
            </w:pPr>
            <w:r w:rsidRPr="003A3F8D">
              <w:rPr>
                <w:rFonts w:ascii="Arial Narrow" w:hAnsi="Arial Narrow"/>
                <w:sz w:val="20"/>
              </w:rPr>
              <w:fldChar w:fldCharType="begin">
                <w:ffData>
                  <w:name w:val=""/>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Emergency</w:t>
            </w:r>
          </w:p>
          <w:p w:rsidR="005849D2" w:rsidRPr="00284652" w:rsidRDefault="005849D2" w:rsidP="00D006E8">
            <w:pPr>
              <w:rPr>
                <w:rFonts w:ascii="Arial Narrow" w:hAnsi="Arial Narrow"/>
                <w:sz w:val="20"/>
              </w:rPr>
            </w:pPr>
            <w:r w:rsidRPr="003A3F8D">
              <w:rPr>
                <w:rFonts w:ascii="Arial Narrow" w:hAnsi="Arial Narrow"/>
                <w:sz w:val="20"/>
              </w:rPr>
              <w:fldChar w:fldCharType="begin">
                <w:ffData>
                  <w:name w:val="Check5"/>
                  <w:enabled/>
                  <w:calcOnExit w:val="0"/>
                  <w:checkBox>
                    <w:sizeAuto/>
                    <w:default w:val="0"/>
                  </w:checkBox>
                </w:ffData>
              </w:fldChar>
            </w:r>
            <w:r w:rsidRPr="00284652">
              <w:rPr>
                <w:rFonts w:ascii="Arial Narrow" w:hAnsi="Arial Narrow"/>
                <w:sz w:val="20"/>
              </w:rPr>
              <w:instrText xml:space="preserve"> FORMCHECKBOX </w:instrText>
            </w:r>
            <w:r w:rsidR="00B004D9">
              <w:rPr>
                <w:rFonts w:ascii="Arial Narrow" w:hAnsi="Arial Narrow"/>
                <w:sz w:val="20"/>
              </w:rPr>
            </w:r>
            <w:r w:rsidR="00B004D9">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Electronic</w:t>
            </w:r>
          </w:p>
          <w:p w:rsidR="005849D2" w:rsidRPr="00260CE3" w:rsidRDefault="005849D2" w:rsidP="00D006E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B004D9">
              <w:rPr>
                <w:rFonts w:ascii="Arial Narrow" w:hAnsi="Arial Narrow" w:cs="Arial"/>
                <w:sz w:val="20"/>
                <w:szCs w:val="20"/>
              </w:rPr>
            </w:r>
            <w:r w:rsidR="00B004D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Clinical criteria:</w:t>
            </w:r>
          </w:p>
          <w:p w:rsidR="005849D2" w:rsidRPr="00260CE3" w:rsidRDefault="005849D2" w:rsidP="00D006E8">
            <w:pPr>
              <w:jc w:val="both"/>
              <w:rPr>
                <w:rFonts w:ascii="Arial Narrow" w:hAnsi="Arial Narrow" w:cs="Arial"/>
                <w:i/>
                <w:sz w:val="20"/>
                <w:szCs w:val="20"/>
              </w:rPr>
            </w:pPr>
          </w:p>
          <w:p w:rsidR="005849D2" w:rsidRPr="00260CE3" w:rsidRDefault="005849D2" w:rsidP="00D006E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849D2" w:rsidRDefault="005849D2" w:rsidP="00D006E8">
            <w:pPr>
              <w:rPr>
                <w:rFonts w:ascii="Arial Narrow" w:hAnsi="Arial Narrow" w:cs="Arial"/>
                <w:sz w:val="20"/>
                <w:szCs w:val="20"/>
              </w:rPr>
            </w:pPr>
            <w:r w:rsidRPr="000140E8">
              <w:rPr>
                <w:rFonts w:ascii="Arial Narrow" w:hAnsi="Arial Narrow" w:cs="Arial"/>
                <w:sz w:val="20"/>
                <w:szCs w:val="20"/>
              </w:rPr>
              <w:t>The condition must be CD20 positive chronic lymphocytic leukaemia (CLL),</w:t>
            </w:r>
          </w:p>
          <w:p w:rsidR="005849D2" w:rsidRPr="000140E8" w:rsidRDefault="005849D2" w:rsidP="00D006E8">
            <w:pPr>
              <w:rPr>
                <w:rFonts w:ascii="Arial Narrow" w:hAnsi="Arial Narrow" w:cs="Arial"/>
                <w:sz w:val="20"/>
                <w:szCs w:val="20"/>
              </w:rPr>
            </w:pPr>
          </w:p>
          <w:p w:rsidR="005849D2" w:rsidRDefault="005849D2" w:rsidP="00D006E8">
            <w:pPr>
              <w:rPr>
                <w:rFonts w:ascii="Arial Narrow" w:hAnsi="Arial Narrow" w:cs="Arial"/>
                <w:sz w:val="20"/>
                <w:szCs w:val="20"/>
              </w:rPr>
            </w:pPr>
            <w:r w:rsidRPr="000140E8">
              <w:rPr>
                <w:rFonts w:ascii="Arial Narrow" w:hAnsi="Arial Narrow" w:cs="Arial"/>
                <w:sz w:val="20"/>
                <w:szCs w:val="20"/>
              </w:rPr>
              <w:t>AND</w:t>
            </w:r>
          </w:p>
          <w:p w:rsidR="005849D2" w:rsidRPr="000140E8" w:rsidRDefault="005849D2" w:rsidP="00D006E8">
            <w:pPr>
              <w:rPr>
                <w:rFonts w:ascii="Arial Narrow" w:hAnsi="Arial Narrow" w:cs="Arial"/>
                <w:sz w:val="20"/>
                <w:szCs w:val="20"/>
              </w:rPr>
            </w:pPr>
          </w:p>
          <w:p w:rsidR="005849D2" w:rsidRPr="00260CE3" w:rsidRDefault="005849D2" w:rsidP="00D006E8">
            <w:pPr>
              <w:jc w:val="both"/>
              <w:rPr>
                <w:rFonts w:ascii="Arial Narrow" w:hAnsi="Arial Narrow" w:cs="Arial"/>
                <w:sz w:val="20"/>
                <w:szCs w:val="20"/>
              </w:rPr>
            </w:pPr>
            <w:r w:rsidRPr="000140E8">
              <w:rPr>
                <w:rFonts w:ascii="Arial Narrow" w:hAnsi="Arial Narrow" w:cs="Arial"/>
                <w:sz w:val="20"/>
                <w:szCs w:val="20"/>
              </w:rPr>
              <w:t>The treatment must be in combination with chemotherapy.</w:t>
            </w:r>
          </w:p>
        </w:tc>
      </w:tr>
      <w:tr w:rsidR="00685306"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685306" w:rsidRPr="00260CE3" w:rsidRDefault="009D044B" w:rsidP="00D006E8">
            <w:pPr>
              <w:jc w:val="both"/>
              <w:rPr>
                <w:rFonts w:ascii="Arial Narrow" w:hAnsi="Arial Narrow" w:cs="Arial"/>
                <w:b/>
                <w:sz w:val="20"/>
                <w:szCs w:val="20"/>
              </w:rPr>
            </w:pPr>
            <w:r w:rsidRPr="009D044B">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685306" w:rsidRPr="00B979DB" w:rsidRDefault="00AF3641" w:rsidP="00D006E8">
            <w:pPr>
              <w:rPr>
                <w:rFonts w:ascii="Arial Narrow" w:hAnsi="Arial Narrow" w:cs="Arial"/>
                <w:sz w:val="20"/>
                <w:szCs w:val="20"/>
              </w:rPr>
            </w:pPr>
            <w:r w:rsidRPr="00B979DB">
              <w:rPr>
                <w:rFonts w:ascii="Arial Narrow" w:hAnsi="Arial Narrow" w:cs="Arial"/>
                <w:sz w:val="20"/>
                <w:szCs w:val="20"/>
              </w:rPr>
              <w:t>An initial dose of rituximab must be administered with rituximab intravenous injection. Subsequent doses may be administered with either intravenous or subcutaneous rituximab.</w:t>
            </w:r>
          </w:p>
        </w:tc>
      </w:tr>
      <w:tr w:rsidR="005849D2" w:rsidRPr="00260CE3" w:rsidTr="00D006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849D2" w:rsidRPr="00260CE3" w:rsidRDefault="005849D2" w:rsidP="00D006E8">
            <w:pPr>
              <w:jc w:val="both"/>
              <w:rPr>
                <w:rFonts w:ascii="Arial Narrow" w:hAnsi="Arial Narrow" w:cs="Arial"/>
                <w:b/>
                <w:sz w:val="20"/>
                <w:szCs w:val="20"/>
              </w:rPr>
            </w:pPr>
            <w:r w:rsidRPr="00260CE3">
              <w:rPr>
                <w:rFonts w:ascii="Arial Narrow" w:hAnsi="Arial Narrow" w:cs="Arial"/>
                <w:b/>
                <w:sz w:val="20"/>
                <w:szCs w:val="20"/>
              </w:rPr>
              <w:t>Administrative Advice</w:t>
            </w:r>
          </w:p>
          <w:p w:rsidR="005849D2" w:rsidRPr="00260CE3" w:rsidRDefault="005849D2" w:rsidP="00D006E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849D2" w:rsidRDefault="005849D2" w:rsidP="00D006E8">
            <w:pPr>
              <w:rPr>
                <w:rFonts w:ascii="Arial Narrow" w:hAnsi="Arial Narrow" w:cs="Arial"/>
                <w:sz w:val="20"/>
                <w:szCs w:val="20"/>
              </w:rPr>
            </w:pPr>
            <w:r w:rsidRPr="000140E8">
              <w:rPr>
                <w:rFonts w:ascii="Arial Narrow" w:hAnsi="Arial Narrow" w:cs="Arial"/>
                <w:sz w:val="20"/>
                <w:szCs w:val="20"/>
              </w:rPr>
              <w:t>No increase in the maximum number of repeats may be authorised.</w:t>
            </w:r>
          </w:p>
          <w:p w:rsidR="005849D2" w:rsidRPr="000140E8" w:rsidRDefault="005849D2" w:rsidP="00D006E8">
            <w:pPr>
              <w:rPr>
                <w:rFonts w:ascii="Arial Narrow" w:hAnsi="Arial Narrow" w:cs="Arial"/>
                <w:sz w:val="20"/>
                <w:szCs w:val="20"/>
              </w:rPr>
            </w:pPr>
          </w:p>
          <w:p w:rsidR="005849D2" w:rsidRPr="00BD469E" w:rsidRDefault="005849D2" w:rsidP="009D23F3">
            <w:pPr>
              <w:rPr>
                <w:rFonts w:ascii="Arial Narrow" w:hAnsi="Arial Narrow" w:cs="Arial"/>
                <w:i/>
                <w:sz w:val="20"/>
                <w:szCs w:val="20"/>
              </w:rPr>
            </w:pPr>
            <w:r w:rsidRPr="000140E8">
              <w:rPr>
                <w:rFonts w:ascii="Arial Narrow" w:hAnsi="Arial Narrow" w:cs="Arial"/>
                <w:sz w:val="20"/>
                <w:szCs w:val="20"/>
              </w:rPr>
              <w:t>This drug is not PBS-subsidised for use as monotherapy.</w:t>
            </w:r>
          </w:p>
        </w:tc>
      </w:tr>
    </w:tbl>
    <w:p w:rsidR="000A2776" w:rsidRDefault="000A2776" w:rsidP="00BC22CD">
      <w:pPr>
        <w:widowControl w:val="0"/>
        <w:jc w:val="both"/>
        <w:rPr>
          <w:rFonts w:ascii="Arial" w:hAnsi="Arial" w:cs="Arial"/>
          <w:snapToGrid w:val="0"/>
          <w:sz w:val="22"/>
          <w:szCs w:val="20"/>
        </w:rPr>
      </w:pPr>
    </w:p>
    <w:p w:rsidR="009D23F3" w:rsidRPr="0069654D" w:rsidRDefault="009D23F3" w:rsidP="00BC22CD">
      <w:pPr>
        <w:widowControl w:val="0"/>
        <w:jc w:val="both"/>
        <w:rPr>
          <w:rFonts w:ascii="Arial" w:hAnsi="Arial" w:cs="Arial"/>
          <w:snapToGrid w:val="0"/>
          <w:sz w:val="22"/>
          <w:szCs w:val="20"/>
        </w:rPr>
      </w:pPr>
    </w:p>
    <w:p w:rsidR="001442D7" w:rsidRPr="001442D7" w:rsidRDefault="001442D7" w:rsidP="001442D7">
      <w:pPr>
        <w:widowControl w:val="0"/>
        <w:numPr>
          <w:ilvl w:val="0"/>
          <w:numId w:val="5"/>
        </w:numPr>
        <w:ind w:left="709" w:hanging="709"/>
        <w:jc w:val="both"/>
        <w:outlineLvl w:val="0"/>
        <w:rPr>
          <w:rFonts w:ascii="Arial" w:hAnsi="Arial" w:cs="Arial"/>
          <w:b/>
          <w:snapToGrid w:val="0"/>
          <w:sz w:val="22"/>
          <w:szCs w:val="22"/>
          <w:lang w:eastAsia="en-US"/>
        </w:rPr>
      </w:pPr>
      <w:r w:rsidRPr="001442D7">
        <w:rPr>
          <w:rFonts w:ascii="Arial" w:hAnsi="Arial" w:cs="Arial"/>
          <w:b/>
          <w:snapToGrid w:val="0"/>
          <w:sz w:val="22"/>
          <w:szCs w:val="22"/>
          <w:lang w:eastAsia="en-US"/>
        </w:rPr>
        <w:t>Context for Decision</w:t>
      </w:r>
    </w:p>
    <w:p w:rsidR="001442D7" w:rsidRPr="001442D7" w:rsidRDefault="001442D7" w:rsidP="001442D7">
      <w:pPr>
        <w:widowControl w:val="0"/>
        <w:ind w:left="709"/>
        <w:jc w:val="both"/>
        <w:rPr>
          <w:rFonts w:ascii="Arial" w:hAnsi="Arial" w:cs="Arial"/>
          <w:snapToGrid w:val="0"/>
          <w:sz w:val="22"/>
          <w:szCs w:val="20"/>
          <w:lang w:eastAsia="en-US"/>
        </w:rPr>
      </w:pPr>
    </w:p>
    <w:p w:rsidR="001442D7" w:rsidRPr="001442D7" w:rsidRDefault="001442D7" w:rsidP="001442D7">
      <w:pPr>
        <w:widowControl w:val="0"/>
        <w:ind w:left="709"/>
        <w:jc w:val="both"/>
        <w:rPr>
          <w:rFonts w:ascii="Arial" w:hAnsi="Arial" w:cs="Arial"/>
          <w:snapToGrid w:val="0"/>
          <w:sz w:val="22"/>
          <w:szCs w:val="20"/>
          <w:lang w:eastAsia="en-US"/>
        </w:rPr>
      </w:pPr>
      <w:r w:rsidRPr="001442D7">
        <w:rPr>
          <w:rFonts w:ascii="Arial"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442D7" w:rsidRPr="001442D7" w:rsidRDefault="001442D7" w:rsidP="001442D7">
      <w:pPr>
        <w:widowControl w:val="0"/>
        <w:ind w:left="709"/>
        <w:jc w:val="both"/>
        <w:rPr>
          <w:rFonts w:ascii="Arial" w:hAnsi="Arial" w:cs="Arial"/>
          <w:snapToGrid w:val="0"/>
          <w:sz w:val="22"/>
          <w:szCs w:val="20"/>
          <w:lang w:eastAsia="en-US"/>
        </w:rPr>
      </w:pPr>
    </w:p>
    <w:p w:rsidR="001442D7" w:rsidRPr="001442D7" w:rsidRDefault="001442D7" w:rsidP="001442D7">
      <w:pPr>
        <w:widowControl w:val="0"/>
        <w:ind w:left="709"/>
        <w:jc w:val="both"/>
        <w:rPr>
          <w:rFonts w:ascii="Arial" w:hAnsi="Arial" w:cs="Arial"/>
          <w:snapToGrid w:val="0"/>
          <w:sz w:val="22"/>
          <w:szCs w:val="20"/>
          <w:lang w:eastAsia="en-US"/>
        </w:rPr>
      </w:pPr>
    </w:p>
    <w:p w:rsidR="001442D7" w:rsidRPr="001442D7" w:rsidRDefault="001442D7" w:rsidP="001442D7">
      <w:pPr>
        <w:widowControl w:val="0"/>
        <w:numPr>
          <w:ilvl w:val="0"/>
          <w:numId w:val="5"/>
        </w:numPr>
        <w:ind w:left="709" w:hanging="709"/>
        <w:jc w:val="both"/>
        <w:outlineLvl w:val="0"/>
        <w:rPr>
          <w:rFonts w:ascii="Arial" w:hAnsi="Arial" w:cs="Arial"/>
          <w:b/>
          <w:snapToGrid w:val="0"/>
          <w:sz w:val="22"/>
          <w:szCs w:val="22"/>
          <w:lang w:eastAsia="en-US"/>
        </w:rPr>
      </w:pPr>
      <w:r w:rsidRPr="001442D7">
        <w:rPr>
          <w:rFonts w:ascii="Arial" w:hAnsi="Arial" w:cs="Arial"/>
          <w:b/>
          <w:snapToGrid w:val="0"/>
          <w:sz w:val="22"/>
          <w:szCs w:val="22"/>
          <w:lang w:eastAsia="en-US"/>
        </w:rPr>
        <w:t>Sponsor’s Comment</w:t>
      </w:r>
    </w:p>
    <w:p w:rsidR="001442D7" w:rsidRPr="001442D7" w:rsidRDefault="001442D7" w:rsidP="001442D7">
      <w:pPr>
        <w:widowControl w:val="0"/>
        <w:ind w:left="709"/>
        <w:jc w:val="both"/>
        <w:rPr>
          <w:rFonts w:ascii="Arial" w:hAnsi="Arial" w:cs="Arial"/>
          <w:bCs/>
          <w:snapToGrid w:val="0"/>
          <w:sz w:val="22"/>
          <w:szCs w:val="20"/>
          <w:highlight w:val="yellow"/>
          <w:lang w:val="en-GB" w:eastAsia="en-US"/>
        </w:rPr>
      </w:pPr>
    </w:p>
    <w:p w:rsidR="001442D7" w:rsidRPr="001442D7" w:rsidRDefault="001442D7" w:rsidP="001442D7">
      <w:pPr>
        <w:widowControl w:val="0"/>
        <w:spacing w:after="120"/>
        <w:ind w:left="426" w:firstLine="283"/>
        <w:jc w:val="both"/>
        <w:rPr>
          <w:rFonts w:ascii="Arial" w:hAnsi="Arial" w:cs="Arial"/>
          <w:bCs/>
          <w:snapToGrid w:val="0"/>
          <w:color w:val="C0504D" w:themeColor="accent2"/>
          <w:spacing w:val="5"/>
          <w:sz w:val="22"/>
          <w:szCs w:val="20"/>
          <w:u w:val="single"/>
          <w:lang w:val="en-GB" w:eastAsia="en-US"/>
        </w:rPr>
      </w:pPr>
      <w:r w:rsidRPr="001442D7">
        <w:rPr>
          <w:rFonts w:ascii="Arial" w:hAnsi="Arial" w:cs="Arial"/>
          <w:bCs/>
          <w:snapToGrid w:val="0"/>
          <w:sz w:val="22"/>
          <w:szCs w:val="20"/>
          <w:lang w:eastAsia="en-US"/>
        </w:rPr>
        <w:t>The sponsor had no comment.</w:t>
      </w:r>
    </w:p>
    <w:p w:rsidR="00BC22CD" w:rsidRPr="00D84934" w:rsidRDefault="00BC22CD" w:rsidP="00BC22CD">
      <w:pPr>
        <w:rPr>
          <w:rFonts w:ascii="Arial" w:hAnsi="Arial"/>
          <w:sz w:val="22"/>
          <w:szCs w:val="22"/>
        </w:rPr>
      </w:pPr>
    </w:p>
    <w:sectPr w:rsidR="00BC22CD" w:rsidRPr="00D8493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D9" w:rsidRDefault="00B004D9">
      <w:r>
        <w:separator/>
      </w:r>
    </w:p>
    <w:p w:rsidR="00B004D9" w:rsidRDefault="00B004D9"/>
  </w:endnote>
  <w:endnote w:type="continuationSeparator" w:id="0">
    <w:p w:rsidR="00B004D9" w:rsidRDefault="00B004D9">
      <w:r>
        <w:continuationSeparator/>
      </w:r>
    </w:p>
    <w:p w:rsidR="00B004D9" w:rsidRDefault="00B00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F5F42" w:rsidTr="005A3173">
      <w:trPr>
        <w:trHeight w:val="151"/>
      </w:trPr>
      <w:tc>
        <w:tcPr>
          <w:tcW w:w="2250" w:type="pct"/>
          <w:tcBorders>
            <w:top w:val="nil"/>
            <w:left w:val="nil"/>
            <w:bottom w:val="single" w:sz="4" w:space="0" w:color="4F81BD"/>
            <w:right w:val="nil"/>
          </w:tcBorders>
        </w:tcPr>
        <w:p w:rsidR="00EF5F42" w:rsidRPr="005A3173" w:rsidRDefault="00EF5F4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F5F42" w:rsidRPr="005A3173" w:rsidRDefault="00EF5F4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F5F42" w:rsidRPr="005A3173" w:rsidRDefault="00EF5F42" w:rsidP="005A3173">
          <w:pPr>
            <w:pStyle w:val="Header"/>
            <w:spacing w:line="276" w:lineRule="auto"/>
            <w:rPr>
              <w:rFonts w:ascii="Calibri" w:eastAsia="MS Gothic" w:hAnsi="Calibri"/>
              <w:b/>
              <w:bCs/>
              <w:color w:val="4F81BD"/>
            </w:rPr>
          </w:pPr>
        </w:p>
      </w:tc>
    </w:tr>
    <w:tr w:rsidR="00EF5F42" w:rsidTr="005A3173">
      <w:trPr>
        <w:trHeight w:val="150"/>
      </w:trPr>
      <w:tc>
        <w:tcPr>
          <w:tcW w:w="2250" w:type="pct"/>
          <w:tcBorders>
            <w:top w:val="single" w:sz="4" w:space="0" w:color="4F81BD"/>
            <w:left w:val="nil"/>
            <w:bottom w:val="nil"/>
            <w:right w:val="nil"/>
          </w:tcBorders>
        </w:tcPr>
        <w:p w:rsidR="00EF5F42" w:rsidRPr="005A3173" w:rsidRDefault="00EF5F42" w:rsidP="005A3173">
          <w:pPr>
            <w:pStyle w:val="Header"/>
            <w:spacing w:line="276" w:lineRule="auto"/>
            <w:rPr>
              <w:rFonts w:ascii="Calibri" w:eastAsia="MS Gothic" w:hAnsi="Calibri"/>
              <w:b/>
              <w:bCs/>
              <w:color w:val="4F81BD"/>
            </w:rPr>
          </w:pPr>
        </w:p>
      </w:tc>
      <w:tc>
        <w:tcPr>
          <w:tcW w:w="0" w:type="auto"/>
          <w:vMerge/>
          <w:vAlign w:val="center"/>
          <w:hideMark/>
        </w:tcPr>
        <w:p w:rsidR="00EF5F42" w:rsidRPr="005A3173" w:rsidRDefault="00EF5F42" w:rsidP="005A3173">
          <w:pPr>
            <w:rPr>
              <w:rFonts w:ascii="Calibri" w:hAnsi="Calibri"/>
              <w:color w:val="365F91"/>
              <w:sz w:val="22"/>
              <w:szCs w:val="22"/>
            </w:rPr>
          </w:pPr>
        </w:p>
      </w:tc>
      <w:tc>
        <w:tcPr>
          <w:tcW w:w="2250" w:type="pct"/>
          <w:tcBorders>
            <w:top w:val="single" w:sz="4" w:space="0" w:color="4F81BD"/>
            <w:left w:val="nil"/>
            <w:bottom w:val="nil"/>
            <w:right w:val="nil"/>
          </w:tcBorders>
        </w:tcPr>
        <w:p w:rsidR="00EF5F42" w:rsidRPr="005A3173" w:rsidRDefault="00EF5F42" w:rsidP="005A3173">
          <w:pPr>
            <w:pStyle w:val="Header"/>
            <w:spacing w:line="276" w:lineRule="auto"/>
            <w:rPr>
              <w:rFonts w:ascii="Calibri" w:eastAsia="MS Gothic" w:hAnsi="Calibri"/>
              <w:b/>
              <w:bCs/>
              <w:color w:val="4F81BD"/>
            </w:rPr>
          </w:pPr>
        </w:p>
      </w:tc>
    </w:tr>
  </w:tbl>
  <w:p w:rsidR="00EF5F42" w:rsidRDefault="00EF5F4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5F42" w:rsidRDefault="00EF5F42">
    <w:pPr>
      <w:pStyle w:val="Footer"/>
    </w:pPr>
  </w:p>
  <w:p w:rsidR="00EF5F42" w:rsidRDefault="00EF5F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F42" w:rsidRDefault="00EF5F42" w:rsidP="00EF44A0">
    <w:pPr>
      <w:pStyle w:val="Footer"/>
      <w:jc w:val="center"/>
      <w:rPr>
        <w:rFonts w:ascii="Arial" w:hAnsi="Arial" w:cs="Arial"/>
        <w:b/>
        <w:sz w:val="20"/>
        <w:szCs w:val="20"/>
      </w:rPr>
    </w:pPr>
  </w:p>
  <w:p w:rsidR="00EF5F42" w:rsidRDefault="00EF5F42" w:rsidP="00BC22CD">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B004D9">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F5F42" w:rsidTr="005A3173">
      <w:trPr>
        <w:trHeight w:val="151"/>
      </w:trPr>
      <w:tc>
        <w:tcPr>
          <w:tcW w:w="2250" w:type="pct"/>
          <w:tcBorders>
            <w:top w:val="nil"/>
            <w:left w:val="nil"/>
            <w:bottom w:val="single" w:sz="4" w:space="0" w:color="4F81BD"/>
            <w:right w:val="nil"/>
          </w:tcBorders>
        </w:tcPr>
        <w:p w:rsidR="00EF5F42" w:rsidRPr="005A3173" w:rsidRDefault="00EF5F4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F5F42" w:rsidRPr="005A3173" w:rsidRDefault="00EF5F4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F5F42" w:rsidRPr="005A3173" w:rsidRDefault="00EF5F42" w:rsidP="005A3173">
          <w:pPr>
            <w:pStyle w:val="Header"/>
            <w:spacing w:line="276" w:lineRule="auto"/>
            <w:rPr>
              <w:rFonts w:ascii="Calibri" w:eastAsia="MS Gothic" w:hAnsi="Calibri"/>
              <w:b/>
              <w:bCs/>
              <w:color w:val="4F81BD"/>
            </w:rPr>
          </w:pPr>
        </w:p>
      </w:tc>
    </w:tr>
    <w:tr w:rsidR="00EF5F42" w:rsidTr="005A3173">
      <w:trPr>
        <w:trHeight w:val="150"/>
      </w:trPr>
      <w:tc>
        <w:tcPr>
          <w:tcW w:w="2250" w:type="pct"/>
          <w:tcBorders>
            <w:top w:val="single" w:sz="4" w:space="0" w:color="4F81BD"/>
            <w:left w:val="nil"/>
            <w:bottom w:val="nil"/>
            <w:right w:val="nil"/>
          </w:tcBorders>
        </w:tcPr>
        <w:p w:rsidR="00EF5F42" w:rsidRPr="005A3173" w:rsidRDefault="00EF5F42" w:rsidP="005A3173">
          <w:pPr>
            <w:pStyle w:val="Header"/>
            <w:spacing w:line="276" w:lineRule="auto"/>
            <w:rPr>
              <w:rFonts w:ascii="Calibri" w:eastAsia="MS Gothic" w:hAnsi="Calibri"/>
              <w:b/>
              <w:bCs/>
              <w:color w:val="4F81BD"/>
            </w:rPr>
          </w:pPr>
        </w:p>
      </w:tc>
      <w:tc>
        <w:tcPr>
          <w:tcW w:w="0" w:type="auto"/>
          <w:vMerge/>
          <w:vAlign w:val="center"/>
          <w:hideMark/>
        </w:tcPr>
        <w:p w:rsidR="00EF5F42" w:rsidRPr="005A3173" w:rsidRDefault="00EF5F42" w:rsidP="005A3173">
          <w:pPr>
            <w:rPr>
              <w:rFonts w:ascii="Calibri" w:hAnsi="Calibri"/>
              <w:color w:val="365F91"/>
              <w:sz w:val="22"/>
              <w:szCs w:val="22"/>
            </w:rPr>
          </w:pPr>
        </w:p>
      </w:tc>
      <w:tc>
        <w:tcPr>
          <w:tcW w:w="2250" w:type="pct"/>
          <w:tcBorders>
            <w:top w:val="single" w:sz="4" w:space="0" w:color="4F81BD"/>
            <w:left w:val="nil"/>
            <w:bottom w:val="nil"/>
            <w:right w:val="nil"/>
          </w:tcBorders>
        </w:tcPr>
        <w:p w:rsidR="00EF5F42" w:rsidRPr="005A3173" w:rsidRDefault="00EF5F4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F5F42" w:rsidTr="005A3173">
      <w:trPr>
        <w:trHeight w:val="151"/>
      </w:trPr>
      <w:tc>
        <w:tcPr>
          <w:tcW w:w="2250" w:type="pct"/>
          <w:tcBorders>
            <w:top w:val="nil"/>
            <w:left w:val="nil"/>
            <w:bottom w:val="single" w:sz="4" w:space="0" w:color="4F81BD"/>
            <w:right w:val="nil"/>
          </w:tcBorders>
        </w:tcPr>
        <w:p w:rsidR="00EF5F42" w:rsidRPr="005A3173" w:rsidRDefault="00EF5F4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F5F42" w:rsidRPr="005A3173" w:rsidRDefault="00EF5F4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F5F42" w:rsidRPr="005A3173" w:rsidRDefault="00EF5F42" w:rsidP="005A3173">
          <w:pPr>
            <w:pStyle w:val="Header"/>
            <w:spacing w:line="276" w:lineRule="auto"/>
            <w:rPr>
              <w:rFonts w:ascii="Calibri" w:eastAsia="MS Gothic" w:hAnsi="Calibri"/>
              <w:b/>
              <w:bCs/>
              <w:color w:val="4F81BD"/>
            </w:rPr>
          </w:pPr>
        </w:p>
      </w:tc>
    </w:tr>
    <w:tr w:rsidR="00EF5F42" w:rsidTr="005A3173">
      <w:trPr>
        <w:trHeight w:val="150"/>
      </w:trPr>
      <w:tc>
        <w:tcPr>
          <w:tcW w:w="2250" w:type="pct"/>
          <w:tcBorders>
            <w:top w:val="single" w:sz="4" w:space="0" w:color="4F81BD"/>
            <w:left w:val="nil"/>
            <w:bottom w:val="nil"/>
            <w:right w:val="nil"/>
          </w:tcBorders>
        </w:tcPr>
        <w:p w:rsidR="00EF5F42" w:rsidRPr="005A3173" w:rsidRDefault="00EF5F42" w:rsidP="005A3173">
          <w:pPr>
            <w:pStyle w:val="Header"/>
            <w:spacing w:line="276" w:lineRule="auto"/>
            <w:rPr>
              <w:rFonts w:ascii="Calibri" w:eastAsia="MS Gothic" w:hAnsi="Calibri"/>
              <w:b/>
              <w:bCs/>
              <w:color w:val="4F81BD"/>
            </w:rPr>
          </w:pPr>
        </w:p>
      </w:tc>
      <w:tc>
        <w:tcPr>
          <w:tcW w:w="0" w:type="auto"/>
          <w:vMerge/>
          <w:vAlign w:val="center"/>
          <w:hideMark/>
        </w:tcPr>
        <w:p w:rsidR="00EF5F42" w:rsidRPr="005A3173" w:rsidRDefault="00EF5F42" w:rsidP="005A3173">
          <w:pPr>
            <w:rPr>
              <w:rFonts w:ascii="Calibri" w:hAnsi="Calibri"/>
              <w:color w:val="365F91"/>
              <w:sz w:val="22"/>
              <w:szCs w:val="22"/>
            </w:rPr>
          </w:pPr>
        </w:p>
      </w:tc>
      <w:tc>
        <w:tcPr>
          <w:tcW w:w="2250" w:type="pct"/>
          <w:tcBorders>
            <w:top w:val="single" w:sz="4" w:space="0" w:color="4F81BD"/>
            <w:left w:val="nil"/>
            <w:bottom w:val="nil"/>
            <w:right w:val="nil"/>
          </w:tcBorders>
        </w:tcPr>
        <w:p w:rsidR="00EF5F42" w:rsidRPr="005A3173" w:rsidRDefault="00EF5F42" w:rsidP="005A3173">
          <w:pPr>
            <w:pStyle w:val="Header"/>
            <w:spacing w:line="276" w:lineRule="auto"/>
            <w:rPr>
              <w:rFonts w:ascii="Calibri" w:eastAsia="MS Gothic" w:hAnsi="Calibri"/>
              <w:b/>
              <w:bCs/>
              <w:color w:val="4F81BD"/>
            </w:rPr>
          </w:pPr>
        </w:p>
      </w:tc>
    </w:tr>
  </w:tbl>
  <w:p w:rsidR="00EF5F42" w:rsidRPr="007C0F57" w:rsidRDefault="00EF5F4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F5F42" w:rsidRPr="007C0F57" w:rsidRDefault="00EF5F42" w:rsidP="007C0F57">
    <w:pPr>
      <w:pStyle w:val="Footer"/>
      <w:jc w:val="center"/>
      <w:rPr>
        <w:b/>
        <w:i/>
        <w:sz w:val="20"/>
        <w:szCs w:val="20"/>
      </w:rPr>
    </w:pPr>
    <w:r w:rsidRPr="007C0F57">
      <w:rPr>
        <w:b/>
        <w:i/>
        <w:sz w:val="20"/>
        <w:szCs w:val="20"/>
      </w:rPr>
      <w:t>Commercial-in-Confidence</w:t>
    </w:r>
  </w:p>
  <w:p w:rsidR="00EF5F42" w:rsidRDefault="00EF5F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D9" w:rsidRDefault="00B004D9">
      <w:r>
        <w:separator/>
      </w:r>
    </w:p>
    <w:p w:rsidR="00B004D9" w:rsidRDefault="00B004D9"/>
  </w:footnote>
  <w:footnote w:type="continuationSeparator" w:id="0">
    <w:p w:rsidR="00B004D9" w:rsidRDefault="00B004D9">
      <w:r>
        <w:continuationSeparator/>
      </w:r>
    </w:p>
    <w:p w:rsidR="00B004D9" w:rsidRDefault="00B004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F5F42" w:rsidRPr="008E0D90" w:rsidTr="00A06225">
      <w:trPr>
        <w:trHeight w:val="151"/>
      </w:trPr>
      <w:tc>
        <w:tcPr>
          <w:tcW w:w="2389" w:type="pct"/>
          <w:tcBorders>
            <w:top w:val="nil"/>
            <w:left w:val="nil"/>
            <w:bottom w:val="single" w:sz="4" w:space="0" w:color="4F81BD"/>
            <w:right w:val="nil"/>
          </w:tcBorders>
        </w:tcPr>
        <w:p w:rsidR="00EF5F42" w:rsidRPr="00A06225" w:rsidRDefault="00EF5F42">
          <w:pPr>
            <w:pStyle w:val="Header"/>
            <w:spacing w:line="276" w:lineRule="auto"/>
            <w:rPr>
              <w:rFonts w:ascii="Cambria" w:eastAsia="MS Gothic" w:hAnsi="Cambria"/>
              <w:b/>
              <w:bCs/>
              <w:color w:val="4F81BD"/>
            </w:rPr>
          </w:pPr>
        </w:p>
      </w:tc>
      <w:tc>
        <w:tcPr>
          <w:tcW w:w="333" w:type="pct"/>
          <w:vMerge w:val="restart"/>
          <w:noWrap/>
          <w:vAlign w:val="center"/>
          <w:hideMark/>
        </w:tcPr>
        <w:p w:rsidR="00EF5F42" w:rsidRPr="00A06225" w:rsidRDefault="00EF5F4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F5F42" w:rsidRPr="00A06225" w:rsidRDefault="00EF5F42">
          <w:pPr>
            <w:pStyle w:val="Header"/>
            <w:spacing w:line="276" w:lineRule="auto"/>
            <w:rPr>
              <w:rFonts w:ascii="Cambria" w:eastAsia="MS Gothic" w:hAnsi="Cambria"/>
              <w:b/>
              <w:bCs/>
              <w:color w:val="4F81BD"/>
            </w:rPr>
          </w:pPr>
        </w:p>
      </w:tc>
    </w:tr>
    <w:tr w:rsidR="00EF5F42" w:rsidRPr="008E0D90" w:rsidTr="00A06225">
      <w:trPr>
        <w:trHeight w:val="150"/>
      </w:trPr>
      <w:tc>
        <w:tcPr>
          <w:tcW w:w="2389" w:type="pct"/>
          <w:tcBorders>
            <w:top w:val="single" w:sz="4" w:space="0" w:color="4F81BD"/>
            <w:left w:val="nil"/>
            <w:bottom w:val="nil"/>
            <w:right w:val="nil"/>
          </w:tcBorders>
        </w:tcPr>
        <w:p w:rsidR="00EF5F42" w:rsidRPr="00A06225" w:rsidRDefault="00EF5F42">
          <w:pPr>
            <w:pStyle w:val="Header"/>
            <w:spacing w:line="276" w:lineRule="auto"/>
            <w:rPr>
              <w:rFonts w:ascii="Cambria" w:eastAsia="MS Gothic" w:hAnsi="Cambria"/>
              <w:b/>
              <w:bCs/>
              <w:color w:val="4F81BD"/>
            </w:rPr>
          </w:pPr>
        </w:p>
      </w:tc>
      <w:tc>
        <w:tcPr>
          <w:tcW w:w="0" w:type="auto"/>
          <w:vMerge/>
          <w:vAlign w:val="center"/>
          <w:hideMark/>
        </w:tcPr>
        <w:p w:rsidR="00EF5F42" w:rsidRPr="00A06225" w:rsidRDefault="00EF5F42">
          <w:pPr>
            <w:rPr>
              <w:rFonts w:ascii="Cambria" w:hAnsi="Cambria"/>
              <w:color w:val="4F81BD"/>
              <w:sz w:val="22"/>
              <w:szCs w:val="22"/>
            </w:rPr>
          </w:pPr>
        </w:p>
      </w:tc>
      <w:tc>
        <w:tcPr>
          <w:tcW w:w="2278" w:type="pct"/>
          <w:tcBorders>
            <w:top w:val="single" w:sz="4" w:space="0" w:color="4F81BD"/>
            <w:left w:val="nil"/>
            <w:bottom w:val="nil"/>
            <w:right w:val="nil"/>
          </w:tcBorders>
        </w:tcPr>
        <w:p w:rsidR="00EF5F42" w:rsidRPr="00A06225" w:rsidRDefault="00EF5F42">
          <w:pPr>
            <w:pStyle w:val="Header"/>
            <w:spacing w:line="276" w:lineRule="auto"/>
            <w:rPr>
              <w:rFonts w:ascii="Cambria" w:eastAsia="MS Gothic" w:hAnsi="Cambria"/>
              <w:b/>
              <w:bCs/>
              <w:color w:val="4F81BD"/>
            </w:rPr>
          </w:pPr>
        </w:p>
      </w:tc>
    </w:tr>
  </w:tbl>
  <w:p w:rsidR="00EF5F42" w:rsidRDefault="00EF5F42">
    <w:pPr>
      <w:pStyle w:val="Header"/>
    </w:pPr>
  </w:p>
  <w:p w:rsidR="00EF5F42" w:rsidRDefault="00EF5F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F42" w:rsidRPr="00DF217D" w:rsidRDefault="00EF5F42" w:rsidP="00BC22CD">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EF5F42" w:rsidRDefault="00EF5F42"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E4" w:rsidRDefault="00E11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9955381"/>
    <w:multiLevelType w:val="hybridMultilevel"/>
    <w:tmpl w:val="B528622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B7B59AB"/>
    <w:multiLevelType w:val="multilevel"/>
    <w:tmpl w:val="D58A9ED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7B524F2"/>
    <w:multiLevelType w:val="hybridMultilevel"/>
    <w:tmpl w:val="0E680364"/>
    <w:lvl w:ilvl="0" w:tplc="0C090001">
      <w:start w:val="1"/>
      <w:numFmt w:val="bullet"/>
      <w:lvlText w:val=""/>
      <w:lvlJc w:val="left"/>
      <w:pPr>
        <w:ind w:left="1080" w:hanging="360"/>
      </w:pPr>
      <w:rPr>
        <w:rFonts w:ascii="Symbol" w:hAnsi="Symbol" w:hint="default"/>
      </w:rPr>
    </w:lvl>
    <w:lvl w:ilvl="1" w:tplc="4B92B79E">
      <w:numFmt w:val="bullet"/>
      <w:lvlText w:val="•"/>
      <w:lvlJc w:val="left"/>
      <w:pPr>
        <w:ind w:left="1800" w:hanging="360"/>
      </w:pPr>
      <w:rPr>
        <w:rFonts w:ascii="Arial" w:eastAsia="Times New Roman" w:hAnsi="Arial" w:cs="Arial" w:hint="default"/>
        <w:i/>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784D033C"/>
    <w:multiLevelType w:val="multilevel"/>
    <w:tmpl w:val="8D4E51A0"/>
    <w:lvl w:ilvl="0">
      <w:start w:val="1"/>
      <w:numFmt w:val="decimal"/>
      <w:pStyle w:val="PBACHeading1"/>
      <w:lvlText w:val="%1"/>
      <w:lvlJc w:val="left"/>
      <w:pPr>
        <w:ind w:left="3272" w:hanging="720"/>
      </w:pPr>
      <w:rPr>
        <w:rFonts w:hint="default"/>
        <w:b/>
        <w:i w:val="0"/>
      </w:rPr>
    </w:lvl>
    <w:lvl w:ilvl="1">
      <w:start w:val="1"/>
      <w:numFmt w:val="decimal"/>
      <w:lvlText w:val="%1.%2"/>
      <w:lvlJc w:val="left"/>
      <w:pPr>
        <w:ind w:left="720" w:hanging="720"/>
      </w:pPr>
      <w:rPr>
        <w:rFonts w:ascii="Arial" w:hAnsi="Arial" w:cs="Arial"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5"/>
  </w:num>
  <w:num w:numId="5">
    <w:abstractNumId w:val="19"/>
  </w:num>
  <w:num w:numId="6">
    <w:abstractNumId w:val="8"/>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9"/>
  </w:num>
  <w:num w:numId="15">
    <w:abstractNumId w:val="5"/>
  </w:num>
  <w:num w:numId="16">
    <w:abstractNumId w:val="18"/>
  </w:num>
  <w:num w:numId="17">
    <w:abstractNumId w:val="17"/>
  </w:num>
  <w:num w:numId="18">
    <w:abstractNumId w:val="16"/>
  </w:num>
  <w:num w:numId="19">
    <w:abstractNumId w:val="6"/>
  </w:num>
  <w:num w:numId="20">
    <w:abstractNumId w:val="2"/>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40E8"/>
    <w:rsid w:val="00017009"/>
    <w:rsid w:val="000215CA"/>
    <w:rsid w:val="0002464A"/>
    <w:rsid w:val="0003106B"/>
    <w:rsid w:val="000369EE"/>
    <w:rsid w:val="000421A1"/>
    <w:rsid w:val="0004240E"/>
    <w:rsid w:val="000438C6"/>
    <w:rsid w:val="00045E26"/>
    <w:rsid w:val="000514B5"/>
    <w:rsid w:val="00060E64"/>
    <w:rsid w:val="00061D65"/>
    <w:rsid w:val="00066755"/>
    <w:rsid w:val="00077143"/>
    <w:rsid w:val="000969AD"/>
    <w:rsid w:val="000A2776"/>
    <w:rsid w:val="000A2C4B"/>
    <w:rsid w:val="000B558D"/>
    <w:rsid w:val="000B67A7"/>
    <w:rsid w:val="000C6996"/>
    <w:rsid w:val="000D23BA"/>
    <w:rsid w:val="000E182A"/>
    <w:rsid w:val="000E681E"/>
    <w:rsid w:val="000F4E6A"/>
    <w:rsid w:val="001033D9"/>
    <w:rsid w:val="001070BC"/>
    <w:rsid w:val="001107BF"/>
    <w:rsid w:val="00115B90"/>
    <w:rsid w:val="00115EF4"/>
    <w:rsid w:val="0012417C"/>
    <w:rsid w:val="0012479C"/>
    <w:rsid w:val="00124950"/>
    <w:rsid w:val="00142395"/>
    <w:rsid w:val="00142714"/>
    <w:rsid w:val="001442D7"/>
    <w:rsid w:val="001450F3"/>
    <w:rsid w:val="001452ED"/>
    <w:rsid w:val="00156337"/>
    <w:rsid w:val="00180565"/>
    <w:rsid w:val="00182816"/>
    <w:rsid w:val="001830CE"/>
    <w:rsid w:val="00185867"/>
    <w:rsid w:val="0018643B"/>
    <w:rsid w:val="00196307"/>
    <w:rsid w:val="001A33EA"/>
    <w:rsid w:val="001A5C40"/>
    <w:rsid w:val="001B017F"/>
    <w:rsid w:val="001B35C5"/>
    <w:rsid w:val="001B5129"/>
    <w:rsid w:val="001C1195"/>
    <w:rsid w:val="001C414B"/>
    <w:rsid w:val="001D10ED"/>
    <w:rsid w:val="001D11B2"/>
    <w:rsid w:val="001E02D9"/>
    <w:rsid w:val="001E2EE5"/>
    <w:rsid w:val="001E416F"/>
    <w:rsid w:val="001F38D8"/>
    <w:rsid w:val="001F3F16"/>
    <w:rsid w:val="00212BB5"/>
    <w:rsid w:val="00213CFB"/>
    <w:rsid w:val="0025732D"/>
    <w:rsid w:val="00271BA1"/>
    <w:rsid w:val="00277505"/>
    <w:rsid w:val="0029458F"/>
    <w:rsid w:val="002A104C"/>
    <w:rsid w:val="002A3A74"/>
    <w:rsid w:val="002A476E"/>
    <w:rsid w:val="002A4960"/>
    <w:rsid w:val="002B1AE6"/>
    <w:rsid w:val="002B30F8"/>
    <w:rsid w:val="002C1713"/>
    <w:rsid w:val="002C212F"/>
    <w:rsid w:val="002C4957"/>
    <w:rsid w:val="002C581E"/>
    <w:rsid w:val="002E26A0"/>
    <w:rsid w:val="002E3153"/>
    <w:rsid w:val="002E72CA"/>
    <w:rsid w:val="002F293E"/>
    <w:rsid w:val="00300AD6"/>
    <w:rsid w:val="003035C6"/>
    <w:rsid w:val="0030422D"/>
    <w:rsid w:val="003121B6"/>
    <w:rsid w:val="00322707"/>
    <w:rsid w:val="00324221"/>
    <w:rsid w:val="0032430C"/>
    <w:rsid w:val="003265DE"/>
    <w:rsid w:val="00326E79"/>
    <w:rsid w:val="00333F20"/>
    <w:rsid w:val="00335518"/>
    <w:rsid w:val="003367EF"/>
    <w:rsid w:val="00341AE4"/>
    <w:rsid w:val="0036087C"/>
    <w:rsid w:val="00363CA2"/>
    <w:rsid w:val="00376854"/>
    <w:rsid w:val="00380408"/>
    <w:rsid w:val="003872CF"/>
    <w:rsid w:val="0039782C"/>
    <w:rsid w:val="003A5B4A"/>
    <w:rsid w:val="003B23C5"/>
    <w:rsid w:val="003B2A75"/>
    <w:rsid w:val="003B45DB"/>
    <w:rsid w:val="003B4BF0"/>
    <w:rsid w:val="003D4AC4"/>
    <w:rsid w:val="003D63B7"/>
    <w:rsid w:val="003D71D3"/>
    <w:rsid w:val="003E468B"/>
    <w:rsid w:val="003F5C8C"/>
    <w:rsid w:val="003F61F7"/>
    <w:rsid w:val="00424BC7"/>
    <w:rsid w:val="0042771C"/>
    <w:rsid w:val="00442F0A"/>
    <w:rsid w:val="0044611B"/>
    <w:rsid w:val="004465BD"/>
    <w:rsid w:val="00463A23"/>
    <w:rsid w:val="00466ADA"/>
    <w:rsid w:val="0047532D"/>
    <w:rsid w:val="00476245"/>
    <w:rsid w:val="00477A03"/>
    <w:rsid w:val="0048125B"/>
    <w:rsid w:val="00485940"/>
    <w:rsid w:val="004950DA"/>
    <w:rsid w:val="0049567F"/>
    <w:rsid w:val="004A1713"/>
    <w:rsid w:val="004A2484"/>
    <w:rsid w:val="004A5A85"/>
    <w:rsid w:val="004B0C2E"/>
    <w:rsid w:val="004B5640"/>
    <w:rsid w:val="004C0BD5"/>
    <w:rsid w:val="004C1BD7"/>
    <w:rsid w:val="004C691D"/>
    <w:rsid w:val="004D0322"/>
    <w:rsid w:val="004D42AC"/>
    <w:rsid w:val="004D504D"/>
    <w:rsid w:val="004D5909"/>
    <w:rsid w:val="004D6FC5"/>
    <w:rsid w:val="004E3E77"/>
    <w:rsid w:val="004E692D"/>
    <w:rsid w:val="00501554"/>
    <w:rsid w:val="0050254F"/>
    <w:rsid w:val="00505374"/>
    <w:rsid w:val="00514CD7"/>
    <w:rsid w:val="005301FF"/>
    <w:rsid w:val="0053108F"/>
    <w:rsid w:val="005319B2"/>
    <w:rsid w:val="00532C74"/>
    <w:rsid w:val="005337E0"/>
    <w:rsid w:val="00534E2E"/>
    <w:rsid w:val="005412C2"/>
    <w:rsid w:val="00544552"/>
    <w:rsid w:val="005532A7"/>
    <w:rsid w:val="00555B70"/>
    <w:rsid w:val="00560E93"/>
    <w:rsid w:val="00565382"/>
    <w:rsid w:val="005705A7"/>
    <w:rsid w:val="00574064"/>
    <w:rsid w:val="00577A6F"/>
    <w:rsid w:val="00581932"/>
    <w:rsid w:val="005849D2"/>
    <w:rsid w:val="005963BB"/>
    <w:rsid w:val="00596CE2"/>
    <w:rsid w:val="00597D67"/>
    <w:rsid w:val="005A3173"/>
    <w:rsid w:val="005A3223"/>
    <w:rsid w:val="005A3DA3"/>
    <w:rsid w:val="005A52C4"/>
    <w:rsid w:val="005A7F57"/>
    <w:rsid w:val="005C0C7A"/>
    <w:rsid w:val="005D03AB"/>
    <w:rsid w:val="005D4023"/>
    <w:rsid w:val="005D5017"/>
    <w:rsid w:val="00601A91"/>
    <w:rsid w:val="00602BA3"/>
    <w:rsid w:val="00604322"/>
    <w:rsid w:val="00614159"/>
    <w:rsid w:val="00615567"/>
    <w:rsid w:val="006167BD"/>
    <w:rsid w:val="00617C00"/>
    <w:rsid w:val="006201D8"/>
    <w:rsid w:val="00624303"/>
    <w:rsid w:val="006263BF"/>
    <w:rsid w:val="0062748A"/>
    <w:rsid w:val="00630A2C"/>
    <w:rsid w:val="00643796"/>
    <w:rsid w:val="00651169"/>
    <w:rsid w:val="00653D69"/>
    <w:rsid w:val="00663523"/>
    <w:rsid w:val="00670A76"/>
    <w:rsid w:val="006711AA"/>
    <w:rsid w:val="00672B57"/>
    <w:rsid w:val="00675622"/>
    <w:rsid w:val="00685306"/>
    <w:rsid w:val="00687E85"/>
    <w:rsid w:val="006906DB"/>
    <w:rsid w:val="006910B5"/>
    <w:rsid w:val="006A12A5"/>
    <w:rsid w:val="006B0D94"/>
    <w:rsid w:val="006B485D"/>
    <w:rsid w:val="006C31F6"/>
    <w:rsid w:val="006C708E"/>
    <w:rsid w:val="006D6EC7"/>
    <w:rsid w:val="006F307C"/>
    <w:rsid w:val="006F5125"/>
    <w:rsid w:val="007010C6"/>
    <w:rsid w:val="007174BB"/>
    <w:rsid w:val="00722A19"/>
    <w:rsid w:val="00726F19"/>
    <w:rsid w:val="00733434"/>
    <w:rsid w:val="0076420C"/>
    <w:rsid w:val="00764611"/>
    <w:rsid w:val="0077301F"/>
    <w:rsid w:val="0077502E"/>
    <w:rsid w:val="007753C2"/>
    <w:rsid w:val="007838B8"/>
    <w:rsid w:val="007A1A79"/>
    <w:rsid w:val="007C0887"/>
    <w:rsid w:val="007C0F57"/>
    <w:rsid w:val="007C40B6"/>
    <w:rsid w:val="007C51FB"/>
    <w:rsid w:val="007C5AB9"/>
    <w:rsid w:val="007C729F"/>
    <w:rsid w:val="007D7C16"/>
    <w:rsid w:val="007E1D28"/>
    <w:rsid w:val="007E2274"/>
    <w:rsid w:val="007F2641"/>
    <w:rsid w:val="007F7C36"/>
    <w:rsid w:val="008024F5"/>
    <w:rsid w:val="00806796"/>
    <w:rsid w:val="00807309"/>
    <w:rsid w:val="008151D6"/>
    <w:rsid w:val="008204D7"/>
    <w:rsid w:val="00826F6D"/>
    <w:rsid w:val="0084090B"/>
    <w:rsid w:val="00856DDD"/>
    <w:rsid w:val="00863E68"/>
    <w:rsid w:val="00864465"/>
    <w:rsid w:val="00882085"/>
    <w:rsid w:val="00883188"/>
    <w:rsid w:val="00890A93"/>
    <w:rsid w:val="0089794C"/>
    <w:rsid w:val="00897D58"/>
    <w:rsid w:val="008A17C9"/>
    <w:rsid w:val="008A1956"/>
    <w:rsid w:val="008A284D"/>
    <w:rsid w:val="008A4937"/>
    <w:rsid w:val="008A50F1"/>
    <w:rsid w:val="008A5F6C"/>
    <w:rsid w:val="008B0A7A"/>
    <w:rsid w:val="008B2103"/>
    <w:rsid w:val="008B792A"/>
    <w:rsid w:val="008D066B"/>
    <w:rsid w:val="008D1B5C"/>
    <w:rsid w:val="008D3C82"/>
    <w:rsid w:val="008D447E"/>
    <w:rsid w:val="008D7A41"/>
    <w:rsid w:val="008E3680"/>
    <w:rsid w:val="008E5870"/>
    <w:rsid w:val="008E7E27"/>
    <w:rsid w:val="008F1434"/>
    <w:rsid w:val="008F72D1"/>
    <w:rsid w:val="008F7355"/>
    <w:rsid w:val="008F7F29"/>
    <w:rsid w:val="00900526"/>
    <w:rsid w:val="00900EE3"/>
    <w:rsid w:val="009067B7"/>
    <w:rsid w:val="0090703A"/>
    <w:rsid w:val="00930937"/>
    <w:rsid w:val="00933E6C"/>
    <w:rsid w:val="00942160"/>
    <w:rsid w:val="00942AF8"/>
    <w:rsid w:val="00947A5B"/>
    <w:rsid w:val="0095146F"/>
    <w:rsid w:val="009564AA"/>
    <w:rsid w:val="009602C5"/>
    <w:rsid w:val="00962223"/>
    <w:rsid w:val="009669D8"/>
    <w:rsid w:val="00974C21"/>
    <w:rsid w:val="009774D0"/>
    <w:rsid w:val="00982B08"/>
    <w:rsid w:val="00982DE5"/>
    <w:rsid w:val="0098481B"/>
    <w:rsid w:val="0099375C"/>
    <w:rsid w:val="009A252C"/>
    <w:rsid w:val="009A57BB"/>
    <w:rsid w:val="009A71C6"/>
    <w:rsid w:val="009B0F67"/>
    <w:rsid w:val="009B15EE"/>
    <w:rsid w:val="009C5C99"/>
    <w:rsid w:val="009C703C"/>
    <w:rsid w:val="009D044B"/>
    <w:rsid w:val="009D23F3"/>
    <w:rsid w:val="009D35B0"/>
    <w:rsid w:val="009D3CAA"/>
    <w:rsid w:val="009E260E"/>
    <w:rsid w:val="009F49A6"/>
    <w:rsid w:val="009F4E46"/>
    <w:rsid w:val="009F5B65"/>
    <w:rsid w:val="009F5F2E"/>
    <w:rsid w:val="00A06225"/>
    <w:rsid w:val="00A076FC"/>
    <w:rsid w:val="00A112F3"/>
    <w:rsid w:val="00A128E6"/>
    <w:rsid w:val="00A20400"/>
    <w:rsid w:val="00A20F2E"/>
    <w:rsid w:val="00A37C8D"/>
    <w:rsid w:val="00A5204D"/>
    <w:rsid w:val="00A5273B"/>
    <w:rsid w:val="00A53A9D"/>
    <w:rsid w:val="00A55FEE"/>
    <w:rsid w:val="00A62C1A"/>
    <w:rsid w:val="00A6426D"/>
    <w:rsid w:val="00A70622"/>
    <w:rsid w:val="00A70977"/>
    <w:rsid w:val="00A74E64"/>
    <w:rsid w:val="00A77613"/>
    <w:rsid w:val="00A776E2"/>
    <w:rsid w:val="00A82FD0"/>
    <w:rsid w:val="00A8390C"/>
    <w:rsid w:val="00A928BD"/>
    <w:rsid w:val="00A95F3F"/>
    <w:rsid w:val="00AA4D1C"/>
    <w:rsid w:val="00AA6C96"/>
    <w:rsid w:val="00AB1F1D"/>
    <w:rsid w:val="00AC05B2"/>
    <w:rsid w:val="00AC193C"/>
    <w:rsid w:val="00AC5206"/>
    <w:rsid w:val="00AE09E9"/>
    <w:rsid w:val="00AE11A5"/>
    <w:rsid w:val="00AE13E2"/>
    <w:rsid w:val="00AF3641"/>
    <w:rsid w:val="00AF68CC"/>
    <w:rsid w:val="00B004D9"/>
    <w:rsid w:val="00B04ED5"/>
    <w:rsid w:val="00B1059E"/>
    <w:rsid w:val="00B205AA"/>
    <w:rsid w:val="00B22E84"/>
    <w:rsid w:val="00B25F75"/>
    <w:rsid w:val="00B4108B"/>
    <w:rsid w:val="00B43E90"/>
    <w:rsid w:val="00B467DC"/>
    <w:rsid w:val="00B46FF6"/>
    <w:rsid w:val="00B56118"/>
    <w:rsid w:val="00B6088D"/>
    <w:rsid w:val="00B6773F"/>
    <w:rsid w:val="00B711F2"/>
    <w:rsid w:val="00B731D9"/>
    <w:rsid w:val="00B801BA"/>
    <w:rsid w:val="00B91013"/>
    <w:rsid w:val="00B979DB"/>
    <w:rsid w:val="00BA09D2"/>
    <w:rsid w:val="00BA7CAB"/>
    <w:rsid w:val="00BB03E2"/>
    <w:rsid w:val="00BB69F5"/>
    <w:rsid w:val="00BB7EC3"/>
    <w:rsid w:val="00BC22CD"/>
    <w:rsid w:val="00BC4B9A"/>
    <w:rsid w:val="00BD469E"/>
    <w:rsid w:val="00BD784C"/>
    <w:rsid w:val="00BE284E"/>
    <w:rsid w:val="00BF4CB6"/>
    <w:rsid w:val="00C00DA7"/>
    <w:rsid w:val="00C100B7"/>
    <w:rsid w:val="00C12768"/>
    <w:rsid w:val="00C13770"/>
    <w:rsid w:val="00C22A5A"/>
    <w:rsid w:val="00C2643D"/>
    <w:rsid w:val="00C27B58"/>
    <w:rsid w:val="00C3427F"/>
    <w:rsid w:val="00C35996"/>
    <w:rsid w:val="00C5342C"/>
    <w:rsid w:val="00C603D4"/>
    <w:rsid w:val="00C60DD1"/>
    <w:rsid w:val="00C60F51"/>
    <w:rsid w:val="00C6256A"/>
    <w:rsid w:val="00C634E4"/>
    <w:rsid w:val="00C6420F"/>
    <w:rsid w:val="00C65C11"/>
    <w:rsid w:val="00C7500D"/>
    <w:rsid w:val="00C76927"/>
    <w:rsid w:val="00C91449"/>
    <w:rsid w:val="00C92D10"/>
    <w:rsid w:val="00CA7917"/>
    <w:rsid w:val="00CC3C81"/>
    <w:rsid w:val="00CC4D35"/>
    <w:rsid w:val="00CE10C4"/>
    <w:rsid w:val="00CE27B5"/>
    <w:rsid w:val="00CE5C86"/>
    <w:rsid w:val="00CF6BD9"/>
    <w:rsid w:val="00D006E8"/>
    <w:rsid w:val="00D0321E"/>
    <w:rsid w:val="00D0478C"/>
    <w:rsid w:val="00D10033"/>
    <w:rsid w:val="00D1455A"/>
    <w:rsid w:val="00D3138B"/>
    <w:rsid w:val="00D3280C"/>
    <w:rsid w:val="00D3406A"/>
    <w:rsid w:val="00D469B2"/>
    <w:rsid w:val="00D54693"/>
    <w:rsid w:val="00D56911"/>
    <w:rsid w:val="00D7103B"/>
    <w:rsid w:val="00D741EB"/>
    <w:rsid w:val="00D7637E"/>
    <w:rsid w:val="00D84934"/>
    <w:rsid w:val="00D91271"/>
    <w:rsid w:val="00DA2CB5"/>
    <w:rsid w:val="00DA4BAC"/>
    <w:rsid w:val="00DA663C"/>
    <w:rsid w:val="00DB0564"/>
    <w:rsid w:val="00DB3D71"/>
    <w:rsid w:val="00DD7AD0"/>
    <w:rsid w:val="00DE01C0"/>
    <w:rsid w:val="00DE0D75"/>
    <w:rsid w:val="00DE6D27"/>
    <w:rsid w:val="00DF217D"/>
    <w:rsid w:val="00DF26A7"/>
    <w:rsid w:val="00E04EB7"/>
    <w:rsid w:val="00E107F4"/>
    <w:rsid w:val="00E113E4"/>
    <w:rsid w:val="00E15627"/>
    <w:rsid w:val="00E164B3"/>
    <w:rsid w:val="00E16910"/>
    <w:rsid w:val="00E26358"/>
    <w:rsid w:val="00E32FED"/>
    <w:rsid w:val="00E45BA9"/>
    <w:rsid w:val="00E61F7D"/>
    <w:rsid w:val="00E65E54"/>
    <w:rsid w:val="00E6690F"/>
    <w:rsid w:val="00E71A8A"/>
    <w:rsid w:val="00E80155"/>
    <w:rsid w:val="00E848C0"/>
    <w:rsid w:val="00E91B96"/>
    <w:rsid w:val="00E941A1"/>
    <w:rsid w:val="00E95CE3"/>
    <w:rsid w:val="00EA2825"/>
    <w:rsid w:val="00EB1444"/>
    <w:rsid w:val="00EB5088"/>
    <w:rsid w:val="00ED1644"/>
    <w:rsid w:val="00ED2593"/>
    <w:rsid w:val="00ED7B54"/>
    <w:rsid w:val="00EE3017"/>
    <w:rsid w:val="00EF44A0"/>
    <w:rsid w:val="00EF4FED"/>
    <w:rsid w:val="00EF5F42"/>
    <w:rsid w:val="00EF6F68"/>
    <w:rsid w:val="00EF79A9"/>
    <w:rsid w:val="00F050BD"/>
    <w:rsid w:val="00F05657"/>
    <w:rsid w:val="00F25578"/>
    <w:rsid w:val="00F258E5"/>
    <w:rsid w:val="00F300BC"/>
    <w:rsid w:val="00F3334E"/>
    <w:rsid w:val="00F50EC4"/>
    <w:rsid w:val="00F57A6D"/>
    <w:rsid w:val="00F638CC"/>
    <w:rsid w:val="00F64CC1"/>
    <w:rsid w:val="00F662DB"/>
    <w:rsid w:val="00F7044B"/>
    <w:rsid w:val="00F72969"/>
    <w:rsid w:val="00F8247A"/>
    <w:rsid w:val="00F95606"/>
    <w:rsid w:val="00F9629A"/>
    <w:rsid w:val="00FA5883"/>
    <w:rsid w:val="00FA6055"/>
    <w:rsid w:val="00FA7A46"/>
    <w:rsid w:val="00FB1F1C"/>
    <w:rsid w:val="00FB322F"/>
    <w:rsid w:val="00FB442F"/>
    <w:rsid w:val="00FC1929"/>
    <w:rsid w:val="00FC5B46"/>
    <w:rsid w:val="00FD0722"/>
    <w:rsid w:val="00FD5134"/>
    <w:rsid w:val="00FE0E94"/>
    <w:rsid w:val="00FF00BD"/>
    <w:rsid w:val="00FF1ED4"/>
    <w:rsid w:val="00FF2801"/>
    <w:rsid w:val="00FF36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2"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ind w:left="720"/>
      <w:outlineLvl w:val="0"/>
    </w:pPr>
    <w:rPr>
      <w:rFonts w:ascii="Arial" w:hAnsi="Arial" w:cs="Arial"/>
      <w:b/>
      <w:snapToGrid w:val="0"/>
      <w:sz w:val="22"/>
      <w:szCs w:val="22"/>
      <w:lang w:eastAsia="en-US"/>
    </w:rPr>
  </w:style>
  <w:style w:type="paragraph" w:styleId="NormalWeb">
    <w:name w:val="Normal (Web)"/>
    <w:basedOn w:val="Normal"/>
    <w:uiPriority w:val="99"/>
    <w:unhideWhenUsed/>
    <w:rsid w:val="000140E8"/>
    <w:pPr>
      <w:spacing w:before="100" w:beforeAutospacing="1" w:after="100" w:afterAutospacing="1"/>
    </w:pPr>
  </w:style>
  <w:style w:type="character" w:customStyle="1" w:styleId="label-">
    <w:name w:val="label-"/>
    <w:basedOn w:val="DefaultParagraphFont"/>
    <w:rsid w:val="000140E8"/>
  </w:style>
  <w:style w:type="paragraph" w:customStyle="1" w:styleId="TableText0">
    <w:name w:val="TableText"/>
    <w:basedOn w:val="Normal"/>
    <w:link w:val="TableTextChar"/>
    <w:uiPriority w:val="97"/>
    <w:qFormat/>
    <w:rsid w:val="000140E8"/>
    <w:pPr>
      <w:spacing w:before="40" w:after="40"/>
    </w:pPr>
    <w:rPr>
      <w:rFonts w:ascii="Calibri" w:hAnsi="Calibri" w:cstheme="minorHAnsi"/>
      <w:bCs/>
      <w:sz w:val="20"/>
      <w:szCs w:val="20"/>
      <w:lang w:eastAsia="en-US"/>
    </w:rPr>
  </w:style>
  <w:style w:type="character" w:customStyle="1" w:styleId="TableTextChar">
    <w:name w:val="TableText Char"/>
    <w:basedOn w:val="DefaultParagraphFont"/>
    <w:link w:val="TableText0"/>
    <w:uiPriority w:val="3"/>
    <w:rsid w:val="000140E8"/>
    <w:rPr>
      <w:rFonts w:ascii="Calibri" w:hAnsi="Calibri" w:cstheme="minorHAnsi"/>
      <w:bCs/>
      <w:lang w:eastAsia="en-US"/>
    </w:rPr>
  </w:style>
  <w:style w:type="paragraph" w:customStyle="1" w:styleId="EndNoteBibliography">
    <w:name w:val="EndNote Bibliography"/>
    <w:basedOn w:val="Normal"/>
    <w:link w:val="EndNoteBibliographyChar"/>
    <w:rsid w:val="004950DA"/>
    <w:pPr>
      <w:spacing w:after="240"/>
      <w:jc w:val="both"/>
    </w:pPr>
    <w:rPr>
      <w:rFonts w:ascii="Calibri" w:eastAsiaTheme="minorEastAsia" w:hAnsi="Calibri" w:cs="Calibri"/>
      <w:noProof/>
      <w:sz w:val="20"/>
      <w:szCs w:val="22"/>
      <w:lang w:eastAsia="zh-CN"/>
    </w:rPr>
  </w:style>
  <w:style w:type="character" w:customStyle="1" w:styleId="EndNoteBibliographyChar">
    <w:name w:val="EndNote Bibliography Char"/>
    <w:basedOn w:val="DefaultParagraphFont"/>
    <w:link w:val="EndNoteBibliography"/>
    <w:rsid w:val="004950DA"/>
    <w:rPr>
      <w:rFonts w:ascii="Calibri" w:eastAsiaTheme="minorEastAsia" w:hAnsi="Calibri" w:cs="Calibri"/>
      <w:noProof/>
      <w:szCs w:val="22"/>
      <w:lang w:eastAsia="zh-CN"/>
    </w:rPr>
  </w:style>
  <w:style w:type="paragraph" w:styleId="Caption">
    <w:name w:val="caption"/>
    <w:basedOn w:val="Normal"/>
    <w:next w:val="Normal"/>
    <w:uiPriority w:val="2"/>
    <w:qFormat/>
    <w:rsid w:val="009564AA"/>
    <w:pPr>
      <w:keepNext/>
      <w:spacing w:before="240" w:after="40"/>
      <w:ind w:left="1134" w:hanging="1134"/>
    </w:pPr>
    <w:rPr>
      <w:rFonts w:ascii="Calibri" w:eastAsiaTheme="minorEastAsia" w:hAnsi="Calibri" w:cstheme="minorBidi"/>
      <w:b/>
      <w:bCs/>
      <w:sz w:val="22"/>
      <w:szCs w:val="22"/>
      <w:lang w:eastAsia="zh-CN"/>
    </w:rPr>
  </w:style>
  <w:style w:type="paragraph" w:customStyle="1" w:styleId="TableHeadingRow">
    <w:name w:val="TableHeadingRow"/>
    <w:basedOn w:val="Normal"/>
    <w:uiPriority w:val="96"/>
    <w:qFormat/>
    <w:rsid w:val="009564AA"/>
    <w:pPr>
      <w:keepNext/>
      <w:spacing w:before="20" w:after="20"/>
    </w:pPr>
    <w:rPr>
      <w:rFonts w:ascii="Calibri" w:hAnsi="Calibri" w:cstheme="minorHAnsi"/>
      <w:b/>
      <w:sz w:val="20"/>
      <w:szCs w:val="20"/>
      <w:lang w:eastAsia="en-US"/>
    </w:rPr>
  </w:style>
  <w:style w:type="table" w:customStyle="1" w:styleId="TableGrid1">
    <w:name w:val="Table Grid1"/>
    <w:basedOn w:val="TableNormal"/>
    <w:next w:val="TableGrid"/>
    <w:uiPriority w:val="59"/>
    <w:rsid w:val="000E182A"/>
    <w:rPr>
      <w:rFonts w:ascii="Calibri" w:eastAsia="SimSun" w:hAnsi="Calibri"/>
      <w:sz w:val="22"/>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ACheading10">
    <w:name w:val="PBAC heading 1"/>
    <w:qFormat/>
    <w:rsid w:val="001442D7"/>
    <w:pPr>
      <w:ind w:left="720" w:hanging="720"/>
      <w:outlineLvl w:val="0"/>
    </w:pPr>
    <w:rPr>
      <w:rFonts w:ascii="Arial" w:hAnsi="Arial" w:cs="Arial"/>
      <w:snapToGrid w:val="0"/>
      <w:sz w:val="22"/>
      <w:szCs w:val="22"/>
      <w:lang w:eastAsia="en-US"/>
    </w:rPr>
  </w:style>
  <w:style w:type="character" w:styleId="FollowedHyperlink">
    <w:name w:val="FollowedHyperlink"/>
    <w:basedOn w:val="DefaultParagraphFont"/>
    <w:rsid w:val="00C342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2"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ind w:left="720"/>
      <w:outlineLvl w:val="0"/>
    </w:pPr>
    <w:rPr>
      <w:rFonts w:ascii="Arial" w:hAnsi="Arial" w:cs="Arial"/>
      <w:b/>
      <w:snapToGrid w:val="0"/>
      <w:sz w:val="22"/>
      <w:szCs w:val="22"/>
      <w:lang w:eastAsia="en-US"/>
    </w:rPr>
  </w:style>
  <w:style w:type="paragraph" w:styleId="NormalWeb">
    <w:name w:val="Normal (Web)"/>
    <w:basedOn w:val="Normal"/>
    <w:uiPriority w:val="99"/>
    <w:unhideWhenUsed/>
    <w:rsid w:val="000140E8"/>
    <w:pPr>
      <w:spacing w:before="100" w:beforeAutospacing="1" w:after="100" w:afterAutospacing="1"/>
    </w:pPr>
  </w:style>
  <w:style w:type="character" w:customStyle="1" w:styleId="label-">
    <w:name w:val="label-"/>
    <w:basedOn w:val="DefaultParagraphFont"/>
    <w:rsid w:val="000140E8"/>
  </w:style>
  <w:style w:type="paragraph" w:customStyle="1" w:styleId="TableText0">
    <w:name w:val="TableText"/>
    <w:basedOn w:val="Normal"/>
    <w:link w:val="TableTextChar"/>
    <w:uiPriority w:val="97"/>
    <w:qFormat/>
    <w:rsid w:val="000140E8"/>
    <w:pPr>
      <w:spacing w:before="40" w:after="40"/>
    </w:pPr>
    <w:rPr>
      <w:rFonts w:ascii="Calibri" w:hAnsi="Calibri" w:cstheme="minorHAnsi"/>
      <w:bCs/>
      <w:sz w:val="20"/>
      <w:szCs w:val="20"/>
      <w:lang w:eastAsia="en-US"/>
    </w:rPr>
  </w:style>
  <w:style w:type="character" w:customStyle="1" w:styleId="TableTextChar">
    <w:name w:val="TableText Char"/>
    <w:basedOn w:val="DefaultParagraphFont"/>
    <w:link w:val="TableText0"/>
    <w:uiPriority w:val="3"/>
    <w:rsid w:val="000140E8"/>
    <w:rPr>
      <w:rFonts w:ascii="Calibri" w:hAnsi="Calibri" w:cstheme="minorHAnsi"/>
      <w:bCs/>
      <w:lang w:eastAsia="en-US"/>
    </w:rPr>
  </w:style>
  <w:style w:type="paragraph" w:customStyle="1" w:styleId="EndNoteBibliography">
    <w:name w:val="EndNote Bibliography"/>
    <w:basedOn w:val="Normal"/>
    <w:link w:val="EndNoteBibliographyChar"/>
    <w:rsid w:val="004950DA"/>
    <w:pPr>
      <w:spacing w:after="240"/>
      <w:jc w:val="both"/>
    </w:pPr>
    <w:rPr>
      <w:rFonts w:ascii="Calibri" w:eastAsiaTheme="minorEastAsia" w:hAnsi="Calibri" w:cs="Calibri"/>
      <w:noProof/>
      <w:sz w:val="20"/>
      <w:szCs w:val="22"/>
      <w:lang w:eastAsia="zh-CN"/>
    </w:rPr>
  </w:style>
  <w:style w:type="character" w:customStyle="1" w:styleId="EndNoteBibliographyChar">
    <w:name w:val="EndNote Bibliography Char"/>
    <w:basedOn w:val="DefaultParagraphFont"/>
    <w:link w:val="EndNoteBibliography"/>
    <w:rsid w:val="004950DA"/>
    <w:rPr>
      <w:rFonts w:ascii="Calibri" w:eastAsiaTheme="minorEastAsia" w:hAnsi="Calibri" w:cs="Calibri"/>
      <w:noProof/>
      <w:szCs w:val="22"/>
      <w:lang w:eastAsia="zh-CN"/>
    </w:rPr>
  </w:style>
  <w:style w:type="paragraph" w:styleId="Caption">
    <w:name w:val="caption"/>
    <w:basedOn w:val="Normal"/>
    <w:next w:val="Normal"/>
    <w:uiPriority w:val="2"/>
    <w:qFormat/>
    <w:rsid w:val="009564AA"/>
    <w:pPr>
      <w:keepNext/>
      <w:spacing w:before="240" w:after="40"/>
      <w:ind w:left="1134" w:hanging="1134"/>
    </w:pPr>
    <w:rPr>
      <w:rFonts w:ascii="Calibri" w:eastAsiaTheme="minorEastAsia" w:hAnsi="Calibri" w:cstheme="minorBidi"/>
      <w:b/>
      <w:bCs/>
      <w:sz w:val="22"/>
      <w:szCs w:val="22"/>
      <w:lang w:eastAsia="zh-CN"/>
    </w:rPr>
  </w:style>
  <w:style w:type="paragraph" w:customStyle="1" w:styleId="TableHeadingRow">
    <w:name w:val="TableHeadingRow"/>
    <w:basedOn w:val="Normal"/>
    <w:uiPriority w:val="96"/>
    <w:qFormat/>
    <w:rsid w:val="009564AA"/>
    <w:pPr>
      <w:keepNext/>
      <w:spacing w:before="20" w:after="20"/>
    </w:pPr>
    <w:rPr>
      <w:rFonts w:ascii="Calibri" w:hAnsi="Calibri" w:cstheme="minorHAnsi"/>
      <w:b/>
      <w:sz w:val="20"/>
      <w:szCs w:val="20"/>
      <w:lang w:eastAsia="en-US"/>
    </w:rPr>
  </w:style>
  <w:style w:type="table" w:customStyle="1" w:styleId="TableGrid1">
    <w:name w:val="Table Grid1"/>
    <w:basedOn w:val="TableNormal"/>
    <w:next w:val="TableGrid"/>
    <w:uiPriority w:val="59"/>
    <w:rsid w:val="000E182A"/>
    <w:rPr>
      <w:rFonts w:ascii="Calibri" w:eastAsia="SimSun" w:hAnsi="Calibri"/>
      <w:sz w:val="22"/>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ACheading10">
    <w:name w:val="PBAC heading 1"/>
    <w:qFormat/>
    <w:rsid w:val="001442D7"/>
    <w:pPr>
      <w:ind w:left="720" w:hanging="720"/>
      <w:outlineLvl w:val="0"/>
    </w:pPr>
    <w:rPr>
      <w:rFonts w:ascii="Arial" w:hAnsi="Arial" w:cs="Arial"/>
      <w:snapToGrid w:val="0"/>
      <w:sz w:val="22"/>
      <w:szCs w:val="22"/>
      <w:lang w:eastAsia="en-US"/>
    </w:rPr>
  </w:style>
  <w:style w:type="character" w:styleId="FollowedHyperlink">
    <w:name w:val="FollowedHyperlink"/>
    <w:basedOn w:val="DefaultParagraphFont"/>
    <w:rsid w:val="00C34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5026496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6513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F63E1-B407-4408-BBFC-23267D23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2017-06-15T04:57:00Z</dcterms:created>
  <dcterms:modified xsi:type="dcterms:W3CDTF">2017-06-15T04:57:00Z</dcterms:modified>
</cp:coreProperties>
</file>