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02E" w:rsidRDefault="006C302E" w:rsidP="005939DA">
      <w:pPr>
        <w:rPr>
          <w:rFonts w:ascii="Arial" w:hAnsi="Arial" w:cs="Arial"/>
          <w:b/>
          <w:szCs w:val="20"/>
          <w:u w:val="single"/>
          <w:lang w:eastAsia="en-US"/>
        </w:rPr>
      </w:pPr>
      <w:bookmarkStart w:id="0" w:name="_GoBack"/>
      <w:bookmarkEnd w:id="0"/>
    </w:p>
    <w:p w:rsidR="00D3280C" w:rsidRPr="00A84A0B" w:rsidRDefault="0010090F" w:rsidP="005939DA">
      <w:pPr>
        <w:pStyle w:val="Title"/>
        <w:ind w:left="720" w:hanging="720"/>
        <w:rPr>
          <w:szCs w:val="28"/>
        </w:rPr>
      </w:pPr>
      <w:r w:rsidRPr="00A84A0B">
        <w:rPr>
          <w:szCs w:val="28"/>
        </w:rPr>
        <w:t>4</w:t>
      </w:r>
      <w:r w:rsidR="0004240E" w:rsidRPr="00A84A0B">
        <w:rPr>
          <w:szCs w:val="28"/>
        </w:rPr>
        <w:t>.</w:t>
      </w:r>
      <w:r w:rsidRPr="00A84A0B">
        <w:t>02</w:t>
      </w:r>
      <w:r w:rsidR="007C0F57" w:rsidRPr="00A84A0B">
        <w:tab/>
      </w:r>
      <w:r w:rsidR="0089263C" w:rsidRPr="00A84A0B">
        <w:t>NIVOLUMAB</w:t>
      </w:r>
      <w:r w:rsidR="008A50F1" w:rsidRPr="00A84A0B">
        <w:t xml:space="preserve"> </w:t>
      </w:r>
      <w:r w:rsidR="008A50F1" w:rsidRPr="00A84A0B">
        <w:br/>
      </w:r>
      <w:r w:rsidR="00402941" w:rsidRPr="00A84A0B">
        <w:t>Injection concentrate for I.V. infusion 40 mg in 4 mL,</w:t>
      </w:r>
      <w:r w:rsidR="00402941" w:rsidRPr="00A84A0B">
        <w:br/>
        <w:t>Injection concentrate for I.V. infusion 100 mg in 10 mL,</w:t>
      </w:r>
      <w:r w:rsidR="00402941" w:rsidRPr="00A84A0B">
        <w:br/>
        <w:t>OPDIVO</w:t>
      </w:r>
      <w:r w:rsidR="00402941" w:rsidRPr="00A84A0B">
        <w:rPr>
          <w:vertAlign w:val="superscript"/>
        </w:rPr>
        <w:t>®</w:t>
      </w:r>
      <w:r w:rsidR="00402941" w:rsidRPr="00A84A0B">
        <w:t xml:space="preserve">, </w:t>
      </w:r>
      <w:r w:rsidR="00402941" w:rsidRPr="00A84A0B">
        <w:br/>
        <w:t>Bristol-Myers Squibb Australia Pty Ltd.</w:t>
      </w:r>
    </w:p>
    <w:p w:rsidR="00C27B58" w:rsidRPr="00A84A0B" w:rsidRDefault="00C27B58" w:rsidP="005939DA">
      <w:pPr>
        <w:pStyle w:val="NoSpacing"/>
      </w:pPr>
    </w:p>
    <w:p w:rsidR="00E15627" w:rsidRPr="00A84A0B" w:rsidRDefault="00CE10C4" w:rsidP="005939DA">
      <w:pPr>
        <w:pStyle w:val="PBACHeading1"/>
        <w:ind w:left="709" w:hanging="709"/>
      </w:pPr>
      <w:r w:rsidRPr="00A84A0B">
        <w:t xml:space="preserve">Purpose of </w:t>
      </w:r>
      <w:r w:rsidR="0004240E" w:rsidRPr="00A84A0B">
        <w:t>Application</w:t>
      </w:r>
    </w:p>
    <w:p w:rsidR="008A50F1" w:rsidRPr="00A84A0B" w:rsidRDefault="008A50F1" w:rsidP="005939DA">
      <w:pPr>
        <w:rPr>
          <w:rFonts w:ascii="Arial" w:hAnsi="Arial" w:cs="Arial"/>
          <w:sz w:val="22"/>
          <w:szCs w:val="22"/>
        </w:rPr>
      </w:pPr>
    </w:p>
    <w:p w:rsidR="00E313F7" w:rsidRPr="00A84A0B" w:rsidRDefault="00EF44A0" w:rsidP="005939DA">
      <w:pPr>
        <w:pStyle w:val="ListParagraph"/>
        <w:widowControl/>
        <w:numPr>
          <w:ilvl w:val="1"/>
          <w:numId w:val="1"/>
        </w:numPr>
      </w:pPr>
      <w:r w:rsidRPr="00A84A0B">
        <w:rPr>
          <w:szCs w:val="22"/>
        </w:rPr>
        <w:t>The mi</w:t>
      </w:r>
      <w:r w:rsidR="00FF2801" w:rsidRPr="00A84A0B">
        <w:rPr>
          <w:szCs w:val="22"/>
        </w:rPr>
        <w:t xml:space="preserve">nor </w:t>
      </w:r>
      <w:r w:rsidR="009D1982" w:rsidRPr="00A84A0B">
        <w:rPr>
          <w:szCs w:val="22"/>
        </w:rPr>
        <w:t>re-</w:t>
      </w:r>
      <w:r w:rsidR="00FF2801" w:rsidRPr="00A84A0B">
        <w:rPr>
          <w:szCs w:val="22"/>
        </w:rPr>
        <w:t xml:space="preserve">submission sought </w:t>
      </w:r>
      <w:r w:rsidR="0089263C" w:rsidRPr="00A84A0B">
        <w:rPr>
          <w:szCs w:val="22"/>
        </w:rPr>
        <w:t>PBS listing of nivo</w:t>
      </w:r>
      <w:r w:rsidR="003C068E" w:rsidRPr="00A84A0B">
        <w:rPr>
          <w:szCs w:val="22"/>
        </w:rPr>
        <w:t>lumab for non-squamous cell non</w:t>
      </w:r>
      <w:r w:rsidR="003C068E" w:rsidRPr="00A84A0B">
        <w:rPr>
          <w:szCs w:val="22"/>
        </w:rPr>
        <w:noBreakHyphen/>
      </w:r>
      <w:r w:rsidR="0089263C" w:rsidRPr="00A84A0B">
        <w:rPr>
          <w:szCs w:val="22"/>
        </w:rPr>
        <w:t>small cell lung cancer (NSCLC) and squamous cell NSCLC</w:t>
      </w:r>
      <w:r w:rsidR="0051282A" w:rsidRPr="00A84A0B">
        <w:rPr>
          <w:szCs w:val="22"/>
        </w:rPr>
        <w:t xml:space="preserve"> by addressing the issues raised by the PBAC in </w:t>
      </w:r>
      <w:r w:rsidR="00E42EFC" w:rsidRPr="00A84A0B">
        <w:rPr>
          <w:szCs w:val="22"/>
        </w:rPr>
        <w:t xml:space="preserve">its November 2016 </w:t>
      </w:r>
      <w:r w:rsidR="0051282A" w:rsidRPr="00A84A0B">
        <w:rPr>
          <w:szCs w:val="22"/>
        </w:rPr>
        <w:t>deferral of nivolumab for NSCLC</w:t>
      </w:r>
      <w:r w:rsidR="00934104" w:rsidRPr="00A84A0B">
        <w:rPr>
          <w:szCs w:val="22"/>
        </w:rPr>
        <w:t>.</w:t>
      </w:r>
    </w:p>
    <w:p w:rsidR="00861F03" w:rsidRPr="00A84A0B" w:rsidRDefault="00861F03" w:rsidP="005939DA">
      <w:pPr>
        <w:rPr>
          <w:rFonts w:ascii="Arial" w:hAnsi="Arial" w:cs="Arial"/>
          <w:sz w:val="22"/>
          <w:szCs w:val="22"/>
        </w:rPr>
      </w:pPr>
    </w:p>
    <w:p w:rsidR="005B347A" w:rsidRPr="00A84A0B" w:rsidRDefault="0089263C" w:rsidP="005939DA">
      <w:pPr>
        <w:pStyle w:val="ListParagraph"/>
        <w:widowControl/>
        <w:numPr>
          <w:ilvl w:val="1"/>
          <w:numId w:val="1"/>
        </w:numPr>
      </w:pPr>
      <w:r w:rsidRPr="00A84A0B">
        <w:rPr>
          <w:szCs w:val="22"/>
        </w:rPr>
        <w:t>To support the listing, th</w:t>
      </w:r>
      <w:r w:rsidR="001152B6" w:rsidRPr="00A84A0B">
        <w:rPr>
          <w:szCs w:val="22"/>
        </w:rPr>
        <w:t>e</w:t>
      </w:r>
      <w:r w:rsidRPr="00A84A0B">
        <w:rPr>
          <w:szCs w:val="22"/>
        </w:rPr>
        <w:t xml:space="preserve"> minor </w:t>
      </w:r>
      <w:r w:rsidR="009D1982" w:rsidRPr="00A84A0B">
        <w:rPr>
          <w:szCs w:val="22"/>
        </w:rPr>
        <w:t>re-</w:t>
      </w:r>
      <w:r w:rsidRPr="00A84A0B">
        <w:rPr>
          <w:szCs w:val="22"/>
        </w:rPr>
        <w:t>submission presented</w:t>
      </w:r>
      <w:r w:rsidR="005B347A" w:rsidRPr="00A84A0B">
        <w:rPr>
          <w:szCs w:val="22"/>
        </w:rPr>
        <w:t>:</w:t>
      </w:r>
    </w:p>
    <w:p w:rsidR="0051282A" w:rsidRPr="00A84A0B" w:rsidRDefault="0051282A" w:rsidP="005939DA">
      <w:pPr>
        <w:pStyle w:val="ListParagraph"/>
        <w:widowControl/>
        <w:numPr>
          <w:ilvl w:val="0"/>
          <w:numId w:val="19"/>
        </w:numPr>
        <w:ind w:left="993" w:hanging="284"/>
      </w:pPr>
      <w:r w:rsidRPr="00A84A0B">
        <w:rPr>
          <w:szCs w:val="22"/>
        </w:rPr>
        <w:t>analyses assessing potential treatment effect modification of nivolumab ba</w:t>
      </w:r>
      <w:r w:rsidR="00934104" w:rsidRPr="00A84A0B">
        <w:rPr>
          <w:szCs w:val="22"/>
        </w:rPr>
        <w:t>sed on PD-L1 expression status;</w:t>
      </w:r>
    </w:p>
    <w:p w:rsidR="0051282A" w:rsidRPr="00A84A0B" w:rsidRDefault="0051282A" w:rsidP="005939DA">
      <w:pPr>
        <w:pStyle w:val="ListParagraph"/>
        <w:widowControl/>
        <w:numPr>
          <w:ilvl w:val="0"/>
          <w:numId w:val="19"/>
        </w:numPr>
        <w:ind w:left="993" w:hanging="284"/>
      </w:pPr>
      <w:r w:rsidRPr="00A84A0B">
        <w:rPr>
          <w:szCs w:val="22"/>
        </w:rPr>
        <w:t>a proposal for a ME</w:t>
      </w:r>
      <w:r w:rsidR="00934104" w:rsidRPr="00A84A0B">
        <w:rPr>
          <w:szCs w:val="22"/>
        </w:rPr>
        <w:t>S relating to PD-L1 expression;</w:t>
      </w:r>
    </w:p>
    <w:p w:rsidR="005B347A" w:rsidRPr="00A84A0B" w:rsidRDefault="005B347A" w:rsidP="005939DA">
      <w:pPr>
        <w:pStyle w:val="ListParagraph"/>
        <w:widowControl/>
        <w:numPr>
          <w:ilvl w:val="0"/>
          <w:numId w:val="19"/>
        </w:numPr>
        <w:ind w:left="993" w:hanging="284"/>
      </w:pPr>
      <w:r w:rsidRPr="00A84A0B">
        <w:rPr>
          <w:szCs w:val="22"/>
        </w:rPr>
        <w:t xml:space="preserve">analyses </w:t>
      </w:r>
      <w:r w:rsidR="008C7E0A" w:rsidRPr="00A84A0B">
        <w:rPr>
          <w:szCs w:val="22"/>
        </w:rPr>
        <w:t>assessing potential treatment effect modification of nivolumab based on age</w:t>
      </w:r>
      <w:r w:rsidRPr="00A84A0B">
        <w:rPr>
          <w:szCs w:val="22"/>
        </w:rPr>
        <w:t xml:space="preserve"> (in those aged 75 years or more);</w:t>
      </w:r>
    </w:p>
    <w:p w:rsidR="005B347A" w:rsidRPr="00A84A0B" w:rsidRDefault="0089263C" w:rsidP="005939DA">
      <w:pPr>
        <w:pStyle w:val="ListParagraph"/>
        <w:widowControl/>
        <w:numPr>
          <w:ilvl w:val="0"/>
          <w:numId w:val="19"/>
        </w:numPr>
        <w:ind w:left="993" w:hanging="284"/>
      </w:pPr>
      <w:r w:rsidRPr="00A84A0B">
        <w:rPr>
          <w:szCs w:val="22"/>
        </w:rPr>
        <w:t xml:space="preserve">a proposal for a </w:t>
      </w:r>
      <w:r w:rsidR="008A12B2" w:rsidRPr="00A84A0B">
        <w:rPr>
          <w:szCs w:val="22"/>
        </w:rPr>
        <w:t>managed entry scheme (</w:t>
      </w:r>
      <w:r w:rsidRPr="00A84A0B">
        <w:rPr>
          <w:szCs w:val="22"/>
        </w:rPr>
        <w:t>MES</w:t>
      </w:r>
      <w:r w:rsidR="008A12B2" w:rsidRPr="00A84A0B">
        <w:rPr>
          <w:szCs w:val="22"/>
        </w:rPr>
        <w:t>)</w:t>
      </w:r>
      <w:r w:rsidRPr="00A84A0B">
        <w:rPr>
          <w:szCs w:val="22"/>
        </w:rPr>
        <w:t xml:space="preserve"> for nivolumab for patients aged 75 years or more</w:t>
      </w:r>
      <w:r w:rsidR="00934104" w:rsidRPr="00A84A0B">
        <w:rPr>
          <w:szCs w:val="22"/>
        </w:rPr>
        <w:t>;</w:t>
      </w:r>
    </w:p>
    <w:p w:rsidR="005B347A" w:rsidRPr="00A84A0B" w:rsidRDefault="0051282A" w:rsidP="005939DA">
      <w:pPr>
        <w:pStyle w:val="ListParagraph"/>
        <w:widowControl/>
        <w:numPr>
          <w:ilvl w:val="0"/>
          <w:numId w:val="19"/>
        </w:numPr>
        <w:ind w:left="993" w:hanging="284"/>
      </w:pPr>
      <w:r w:rsidRPr="00A84A0B">
        <w:rPr>
          <w:szCs w:val="22"/>
        </w:rPr>
        <w:t>an age-based risk shar</w:t>
      </w:r>
      <w:r w:rsidR="00934104" w:rsidRPr="00A84A0B">
        <w:rPr>
          <w:szCs w:val="22"/>
        </w:rPr>
        <w:t>ing</w:t>
      </w:r>
      <w:r w:rsidRPr="00A84A0B">
        <w:rPr>
          <w:szCs w:val="22"/>
        </w:rPr>
        <w:t xml:space="preserve"> arrangement </w:t>
      </w:r>
      <w:r w:rsidR="00DE4242" w:rsidRPr="00A84A0B">
        <w:rPr>
          <w:szCs w:val="22"/>
        </w:rPr>
        <w:t xml:space="preserve">(RSA) </w:t>
      </w:r>
      <w:r w:rsidRPr="00A84A0B">
        <w:rPr>
          <w:szCs w:val="22"/>
        </w:rPr>
        <w:t xml:space="preserve">as an alternative to the MES for </w:t>
      </w:r>
      <w:r w:rsidR="00861F03" w:rsidRPr="00A84A0B">
        <w:rPr>
          <w:szCs w:val="22"/>
        </w:rPr>
        <w:t>age;</w:t>
      </w:r>
      <w:r w:rsidR="00861F03" w:rsidRPr="00A84A0B">
        <w:t xml:space="preserve"> and</w:t>
      </w:r>
    </w:p>
    <w:p w:rsidR="00F9629A" w:rsidRPr="00A84A0B" w:rsidRDefault="00934104" w:rsidP="005939DA">
      <w:pPr>
        <w:pStyle w:val="ListParagraph"/>
        <w:widowControl/>
        <w:numPr>
          <w:ilvl w:val="0"/>
          <w:numId w:val="19"/>
        </w:numPr>
        <w:ind w:left="993" w:hanging="284"/>
      </w:pPr>
      <w:r w:rsidRPr="00A84A0B">
        <w:rPr>
          <w:szCs w:val="22"/>
        </w:rPr>
        <w:t>a revised overal</w:t>
      </w:r>
      <w:r w:rsidR="00DE4242" w:rsidRPr="00A84A0B">
        <w:rPr>
          <w:szCs w:val="22"/>
        </w:rPr>
        <w:t>l RSA</w:t>
      </w:r>
      <w:r w:rsidRPr="00A84A0B">
        <w:rPr>
          <w:szCs w:val="22"/>
        </w:rPr>
        <w:t>.</w:t>
      </w:r>
    </w:p>
    <w:p w:rsidR="00130525" w:rsidRDefault="00130525" w:rsidP="005939DA">
      <w:pPr>
        <w:pStyle w:val="NoSpacing"/>
      </w:pPr>
    </w:p>
    <w:p w:rsidR="0050015D" w:rsidRPr="00A84A0B" w:rsidRDefault="0050015D" w:rsidP="005939DA">
      <w:pPr>
        <w:pStyle w:val="NoSpacing"/>
      </w:pPr>
    </w:p>
    <w:p w:rsidR="00962223" w:rsidRPr="00A84A0B" w:rsidRDefault="006A12A5" w:rsidP="005939DA">
      <w:pPr>
        <w:pStyle w:val="PBACHeading1"/>
        <w:ind w:left="709" w:hanging="709"/>
      </w:pPr>
      <w:r w:rsidRPr="00A84A0B">
        <w:t>Requested listing</w:t>
      </w:r>
    </w:p>
    <w:p w:rsidR="006A12A5" w:rsidRPr="00A84A0B" w:rsidRDefault="006A12A5" w:rsidP="005939DA">
      <w:pPr>
        <w:jc w:val="both"/>
        <w:rPr>
          <w:rFonts w:ascii="Arial" w:hAnsi="Arial"/>
          <w:sz w:val="22"/>
          <w:szCs w:val="22"/>
        </w:rPr>
      </w:pPr>
    </w:p>
    <w:p w:rsidR="00826F6D" w:rsidRPr="00A84A0B" w:rsidRDefault="0089263C" w:rsidP="005939DA">
      <w:pPr>
        <w:pStyle w:val="ListParagraph"/>
        <w:widowControl/>
        <w:numPr>
          <w:ilvl w:val="1"/>
          <w:numId w:val="1"/>
        </w:numPr>
        <w:rPr>
          <w:szCs w:val="22"/>
        </w:rPr>
      </w:pPr>
      <w:r w:rsidRPr="00A84A0B">
        <w:rPr>
          <w:szCs w:val="22"/>
        </w:rPr>
        <w:t>As t</w:t>
      </w:r>
      <w:r w:rsidR="00EF44A0" w:rsidRPr="00A84A0B">
        <w:rPr>
          <w:szCs w:val="22"/>
        </w:rPr>
        <w:t xml:space="preserve">he </w:t>
      </w:r>
      <w:r w:rsidRPr="00A84A0B">
        <w:rPr>
          <w:szCs w:val="22"/>
        </w:rPr>
        <w:t xml:space="preserve">minor </w:t>
      </w:r>
      <w:r w:rsidR="009D1982" w:rsidRPr="00A84A0B">
        <w:rPr>
          <w:szCs w:val="22"/>
        </w:rPr>
        <w:t>re-</w:t>
      </w:r>
      <w:r w:rsidR="00EF44A0" w:rsidRPr="00A84A0B">
        <w:rPr>
          <w:szCs w:val="22"/>
        </w:rPr>
        <w:t xml:space="preserve">submission </w:t>
      </w:r>
      <w:r w:rsidRPr="00A84A0B">
        <w:rPr>
          <w:szCs w:val="22"/>
        </w:rPr>
        <w:t>did not present a</w:t>
      </w:r>
      <w:r w:rsidR="006304FD" w:rsidRPr="00A84A0B">
        <w:rPr>
          <w:szCs w:val="22"/>
        </w:rPr>
        <w:t>n amended</w:t>
      </w:r>
      <w:r w:rsidRPr="00A84A0B">
        <w:rPr>
          <w:szCs w:val="22"/>
        </w:rPr>
        <w:t xml:space="preserve"> requested listing, the listing </w:t>
      </w:r>
      <w:r w:rsidR="00C11DF5" w:rsidRPr="00A84A0B">
        <w:rPr>
          <w:szCs w:val="22"/>
        </w:rPr>
        <w:t xml:space="preserve">and the requested dispensed price </w:t>
      </w:r>
      <w:r w:rsidR="002A5BEB" w:rsidRPr="00A84A0B">
        <w:rPr>
          <w:szCs w:val="22"/>
        </w:rPr>
        <w:t>wa</w:t>
      </w:r>
      <w:r w:rsidR="00C04F8D" w:rsidRPr="00A84A0B">
        <w:rPr>
          <w:szCs w:val="22"/>
        </w:rPr>
        <w:t>s assumed to be the same as that requested at</w:t>
      </w:r>
      <w:r w:rsidRPr="00A84A0B">
        <w:rPr>
          <w:szCs w:val="22"/>
        </w:rPr>
        <w:t xml:space="preserve"> the November </w:t>
      </w:r>
      <w:r w:rsidR="008C08C6" w:rsidRPr="00A84A0B">
        <w:rPr>
          <w:szCs w:val="22"/>
        </w:rPr>
        <w:t xml:space="preserve">2016 </w:t>
      </w:r>
      <w:r w:rsidRPr="00A84A0B">
        <w:rPr>
          <w:szCs w:val="22"/>
        </w:rPr>
        <w:t>PBAC meeting</w:t>
      </w:r>
      <w:r w:rsidR="0065625A" w:rsidRPr="00A84A0B">
        <w:rPr>
          <w:szCs w:val="22"/>
        </w:rPr>
        <w:t>, including any amendments recommended by the PBAC at that meeting</w:t>
      </w:r>
      <w:r w:rsidR="00934104" w:rsidRPr="00A84A0B">
        <w:rPr>
          <w:szCs w:val="22"/>
        </w:rPr>
        <w:t>.</w:t>
      </w:r>
    </w:p>
    <w:p w:rsidR="000D507C" w:rsidRPr="00A84A0B" w:rsidRDefault="000D507C" w:rsidP="005939DA">
      <w:pPr>
        <w:rPr>
          <w:rFonts w:ascii="Arial" w:hAnsi="Arial" w:cs="Arial"/>
          <w:sz w:val="22"/>
          <w:szCs w:val="22"/>
        </w:rPr>
      </w:pPr>
    </w:p>
    <w:p w:rsidR="000D507C" w:rsidRPr="00A84A0B" w:rsidRDefault="000D507C" w:rsidP="005939DA">
      <w:pPr>
        <w:ind w:firstLine="720"/>
        <w:rPr>
          <w:rFonts w:ascii="Arial" w:hAnsi="Arial" w:cs="Arial"/>
          <w:bCs/>
          <w:snapToGrid w:val="0"/>
          <w:sz w:val="22"/>
          <w:szCs w:val="22"/>
        </w:rPr>
      </w:pPr>
      <w:r w:rsidRPr="00A84A0B">
        <w:rPr>
          <w:rFonts w:ascii="Arial" w:hAnsi="Arial" w:cs="Arial"/>
          <w:bCs/>
          <w:i/>
          <w:snapToGrid w:val="0"/>
          <w:sz w:val="22"/>
          <w:szCs w:val="22"/>
        </w:rPr>
        <w:t>For more detail on PBAC’s view, see section 7 “PBAC outcome”</w:t>
      </w:r>
      <w:r w:rsidR="00934104" w:rsidRPr="00A84A0B">
        <w:rPr>
          <w:rFonts w:ascii="Arial" w:hAnsi="Arial" w:cs="Arial"/>
          <w:bCs/>
          <w:i/>
          <w:snapToGrid w:val="0"/>
          <w:sz w:val="22"/>
          <w:szCs w:val="22"/>
        </w:rPr>
        <w:t>.</w:t>
      </w:r>
    </w:p>
    <w:p w:rsidR="00843C4C" w:rsidRDefault="00843C4C" w:rsidP="005939DA">
      <w:pPr>
        <w:rPr>
          <w:rFonts w:ascii="Arial" w:hAnsi="Arial" w:cs="Arial"/>
          <w:sz w:val="22"/>
          <w:szCs w:val="22"/>
        </w:rPr>
      </w:pPr>
    </w:p>
    <w:p w:rsidR="0050015D" w:rsidRPr="00A84A0B" w:rsidRDefault="0050015D" w:rsidP="005939DA">
      <w:pPr>
        <w:rPr>
          <w:rFonts w:ascii="Arial" w:hAnsi="Arial" w:cs="Arial"/>
          <w:sz w:val="22"/>
          <w:szCs w:val="22"/>
        </w:rPr>
      </w:pPr>
    </w:p>
    <w:p w:rsidR="00CE10C4" w:rsidRPr="00A84A0B" w:rsidRDefault="00CE10C4" w:rsidP="005939DA">
      <w:pPr>
        <w:pStyle w:val="PBACHeading1"/>
        <w:ind w:left="709" w:hanging="709"/>
      </w:pPr>
      <w:r w:rsidRPr="00A84A0B">
        <w:t>Background</w:t>
      </w:r>
    </w:p>
    <w:p w:rsidR="00C603D4" w:rsidRPr="00A84A0B" w:rsidRDefault="00C603D4" w:rsidP="005939DA">
      <w:pPr>
        <w:rPr>
          <w:rFonts w:ascii="Arial" w:hAnsi="Arial" w:cs="Arial"/>
          <w:sz w:val="22"/>
          <w:szCs w:val="22"/>
        </w:rPr>
      </w:pPr>
    </w:p>
    <w:p w:rsidR="005B3889" w:rsidRPr="00A84A0B" w:rsidRDefault="004F6736" w:rsidP="005939DA">
      <w:pPr>
        <w:pStyle w:val="ListParagraph"/>
        <w:widowControl/>
        <w:numPr>
          <w:ilvl w:val="1"/>
          <w:numId w:val="1"/>
        </w:numPr>
        <w:rPr>
          <w:szCs w:val="22"/>
        </w:rPr>
      </w:pPr>
      <w:r w:rsidRPr="00A84A0B">
        <w:rPr>
          <w:szCs w:val="22"/>
        </w:rPr>
        <w:t>The</w:t>
      </w:r>
      <w:r w:rsidR="00614159" w:rsidRPr="00A84A0B">
        <w:rPr>
          <w:szCs w:val="22"/>
        </w:rPr>
        <w:t xml:space="preserve"> PBAC consider</w:t>
      </w:r>
      <w:r w:rsidRPr="00A84A0B">
        <w:rPr>
          <w:szCs w:val="22"/>
        </w:rPr>
        <w:t>ed nivolumab for the treatment of squamous NSCLC and non</w:t>
      </w:r>
      <w:r w:rsidR="002F0882" w:rsidRPr="00A84A0B">
        <w:rPr>
          <w:szCs w:val="22"/>
        </w:rPr>
        <w:t>-</w:t>
      </w:r>
      <w:r w:rsidRPr="00A84A0B">
        <w:rPr>
          <w:szCs w:val="22"/>
        </w:rPr>
        <w:t xml:space="preserve">squamous NSCLC at the March and November 2016 PBAC meetings. </w:t>
      </w:r>
      <w:r w:rsidR="00026EAE" w:rsidRPr="00A84A0B">
        <w:rPr>
          <w:szCs w:val="22"/>
        </w:rPr>
        <w:t xml:space="preserve">At the November 2016 PBAC meeting, the PBAC deferred its decision pending proposals for </w:t>
      </w:r>
      <w:r w:rsidR="00934104" w:rsidRPr="00A84A0B">
        <w:rPr>
          <w:szCs w:val="22"/>
        </w:rPr>
        <w:t xml:space="preserve">an </w:t>
      </w:r>
      <w:r w:rsidR="00F72195" w:rsidRPr="00A84A0B">
        <w:rPr>
          <w:szCs w:val="22"/>
        </w:rPr>
        <w:t xml:space="preserve">MES </w:t>
      </w:r>
      <w:r w:rsidR="00BE6FF6" w:rsidRPr="00A84A0B">
        <w:rPr>
          <w:szCs w:val="22"/>
        </w:rPr>
        <w:t>relating to patient</w:t>
      </w:r>
      <w:r w:rsidR="00BE505D" w:rsidRPr="00A84A0B">
        <w:rPr>
          <w:szCs w:val="22"/>
        </w:rPr>
        <w:t>s</w:t>
      </w:r>
      <w:r w:rsidR="00BE6FF6" w:rsidRPr="00A84A0B">
        <w:rPr>
          <w:szCs w:val="22"/>
        </w:rPr>
        <w:t xml:space="preserve"> age</w:t>
      </w:r>
      <w:r w:rsidR="00BE505D" w:rsidRPr="00A84A0B">
        <w:rPr>
          <w:szCs w:val="22"/>
        </w:rPr>
        <w:t xml:space="preserve">d </w:t>
      </w:r>
      <w:r w:rsidR="00DC05D1" w:rsidRPr="00A84A0B">
        <w:rPr>
          <w:szCs w:val="22"/>
        </w:rPr>
        <w:t>75 years or older</w:t>
      </w:r>
      <w:r w:rsidR="00BE505D" w:rsidRPr="00A84A0B">
        <w:rPr>
          <w:szCs w:val="22"/>
        </w:rPr>
        <w:t xml:space="preserve"> years</w:t>
      </w:r>
      <w:r w:rsidR="00BE6FF6" w:rsidRPr="00A84A0B">
        <w:rPr>
          <w:szCs w:val="22"/>
        </w:rPr>
        <w:t xml:space="preserve"> and biomarker status, </w:t>
      </w:r>
      <w:r w:rsidR="00BE505D" w:rsidRPr="00A84A0B">
        <w:rPr>
          <w:szCs w:val="22"/>
        </w:rPr>
        <w:t xml:space="preserve">as well as </w:t>
      </w:r>
      <w:r w:rsidR="00E42EFC" w:rsidRPr="00A84A0B">
        <w:rPr>
          <w:szCs w:val="22"/>
        </w:rPr>
        <w:t>for</w:t>
      </w:r>
      <w:r w:rsidR="00BE505D" w:rsidRPr="00A84A0B">
        <w:rPr>
          <w:szCs w:val="22"/>
        </w:rPr>
        <w:t xml:space="preserve"> </w:t>
      </w:r>
      <w:r w:rsidR="00026EAE" w:rsidRPr="00A84A0B">
        <w:rPr>
          <w:szCs w:val="22"/>
        </w:rPr>
        <w:t>a</w:t>
      </w:r>
      <w:r w:rsidR="00934104" w:rsidRPr="00A84A0B">
        <w:rPr>
          <w:szCs w:val="22"/>
        </w:rPr>
        <w:t>n</w:t>
      </w:r>
      <w:r w:rsidR="00026EAE" w:rsidRPr="00A84A0B">
        <w:rPr>
          <w:szCs w:val="22"/>
        </w:rPr>
        <w:t xml:space="preserve"> </w:t>
      </w:r>
      <w:r w:rsidR="0088746A" w:rsidRPr="00A84A0B">
        <w:rPr>
          <w:szCs w:val="22"/>
        </w:rPr>
        <w:t>RSA</w:t>
      </w:r>
      <w:r w:rsidR="00026EAE" w:rsidRPr="00A84A0B">
        <w:rPr>
          <w:szCs w:val="22"/>
        </w:rPr>
        <w:t>.</w:t>
      </w:r>
      <w:r w:rsidR="00132AED" w:rsidRPr="00A84A0B">
        <w:rPr>
          <w:szCs w:val="22"/>
        </w:rPr>
        <w:t xml:space="preserve"> A summary of the</w:t>
      </w:r>
      <w:r w:rsidR="00362D1D" w:rsidRPr="00A84A0B">
        <w:rPr>
          <w:szCs w:val="22"/>
        </w:rPr>
        <w:t xml:space="preserve"> November 2016</w:t>
      </w:r>
      <w:r w:rsidR="00132AED" w:rsidRPr="00A84A0B">
        <w:rPr>
          <w:szCs w:val="22"/>
        </w:rPr>
        <w:t xml:space="preserve"> PBAC’s </w:t>
      </w:r>
      <w:r w:rsidR="00934104" w:rsidRPr="00A84A0B">
        <w:rPr>
          <w:szCs w:val="22"/>
        </w:rPr>
        <w:t xml:space="preserve">considerations in relation to the </w:t>
      </w:r>
      <w:r w:rsidR="00362D1D" w:rsidRPr="00A84A0B">
        <w:rPr>
          <w:szCs w:val="22"/>
        </w:rPr>
        <w:t>MES and RSA for</w:t>
      </w:r>
      <w:r w:rsidR="00A26A26" w:rsidRPr="00A84A0B">
        <w:rPr>
          <w:szCs w:val="22"/>
        </w:rPr>
        <w:t xml:space="preserve"> nivolumab</w:t>
      </w:r>
      <w:r w:rsidR="00934104" w:rsidRPr="00A84A0B">
        <w:rPr>
          <w:szCs w:val="22"/>
        </w:rPr>
        <w:t>,</w:t>
      </w:r>
      <w:r w:rsidR="00A26A26" w:rsidRPr="00A84A0B">
        <w:rPr>
          <w:szCs w:val="22"/>
        </w:rPr>
        <w:t xml:space="preserve"> </w:t>
      </w:r>
      <w:r w:rsidR="00132AED" w:rsidRPr="00A84A0B">
        <w:rPr>
          <w:szCs w:val="22"/>
        </w:rPr>
        <w:t xml:space="preserve">and the information provided </w:t>
      </w:r>
      <w:r w:rsidR="00362D1D" w:rsidRPr="00A84A0B">
        <w:rPr>
          <w:szCs w:val="22"/>
        </w:rPr>
        <w:t xml:space="preserve">in response </w:t>
      </w:r>
      <w:r w:rsidR="00934104" w:rsidRPr="00A84A0B">
        <w:rPr>
          <w:szCs w:val="22"/>
        </w:rPr>
        <w:t>by the sponsor</w:t>
      </w:r>
      <w:r w:rsidR="00CA7345" w:rsidRPr="00A84A0B">
        <w:rPr>
          <w:szCs w:val="22"/>
        </w:rPr>
        <w:t>, are</w:t>
      </w:r>
      <w:r w:rsidR="00132AED" w:rsidRPr="00A84A0B">
        <w:rPr>
          <w:szCs w:val="22"/>
        </w:rPr>
        <w:t xml:space="preserve"> </w:t>
      </w:r>
      <w:r w:rsidR="00A26A26" w:rsidRPr="00A84A0B">
        <w:rPr>
          <w:szCs w:val="22"/>
        </w:rPr>
        <w:t xml:space="preserve">presented </w:t>
      </w:r>
      <w:r w:rsidR="00132AED" w:rsidRPr="00A84A0B">
        <w:rPr>
          <w:szCs w:val="22"/>
        </w:rPr>
        <w:t>in the table below.</w:t>
      </w:r>
    </w:p>
    <w:p w:rsidR="0074420F" w:rsidRDefault="0074420F" w:rsidP="005939DA">
      <w:pPr>
        <w:rPr>
          <w:rFonts w:ascii="Arial" w:hAnsi="Arial" w:cs="Arial"/>
          <w:sz w:val="22"/>
          <w:szCs w:val="22"/>
        </w:rPr>
      </w:pPr>
      <w:r>
        <w:rPr>
          <w:rFonts w:ascii="Arial" w:hAnsi="Arial" w:cs="Arial"/>
          <w:sz w:val="22"/>
          <w:szCs w:val="22"/>
        </w:rPr>
        <w:br w:type="page"/>
      </w:r>
    </w:p>
    <w:p w:rsidR="003C068E" w:rsidRPr="00A84A0B" w:rsidRDefault="003C068E" w:rsidP="005939DA">
      <w:pPr>
        <w:rPr>
          <w:rFonts w:ascii="Arial" w:hAnsi="Arial" w:cs="Arial"/>
          <w:sz w:val="22"/>
          <w:szCs w:val="22"/>
        </w:rPr>
      </w:pPr>
    </w:p>
    <w:tbl>
      <w:tblPr>
        <w:tblStyle w:val="TableGrid"/>
        <w:tblW w:w="0" w:type="auto"/>
        <w:tblLook w:val="04A0" w:firstRow="1" w:lastRow="0" w:firstColumn="1" w:lastColumn="0" w:noHBand="0" w:noVBand="1"/>
        <w:tblCaption w:val="Comparison of November 2016 submission and March 2017 minor re-submission"/>
      </w:tblPr>
      <w:tblGrid>
        <w:gridCol w:w="4621"/>
        <w:gridCol w:w="4621"/>
      </w:tblGrid>
      <w:tr w:rsidR="00132AED" w:rsidRPr="0074420F" w:rsidTr="00DF57B4">
        <w:trPr>
          <w:cantSplit/>
          <w:tblHeader/>
        </w:trPr>
        <w:tc>
          <w:tcPr>
            <w:tcW w:w="4621" w:type="dxa"/>
          </w:tcPr>
          <w:p w:rsidR="00132AED" w:rsidRPr="0074420F" w:rsidRDefault="00132AED" w:rsidP="005939DA">
            <w:pPr>
              <w:pStyle w:val="PBACHeading1"/>
              <w:numPr>
                <w:ilvl w:val="0"/>
                <w:numId w:val="0"/>
              </w:numPr>
              <w:rPr>
                <w:rFonts w:ascii="Arial Narrow" w:hAnsi="Arial Narrow"/>
                <w:szCs w:val="20"/>
              </w:rPr>
            </w:pPr>
            <w:r w:rsidRPr="0074420F">
              <w:rPr>
                <w:rFonts w:ascii="Arial Narrow" w:hAnsi="Arial Narrow"/>
                <w:szCs w:val="20"/>
              </w:rPr>
              <w:t>November 2016 PBAC meeting consideration</w:t>
            </w:r>
          </w:p>
        </w:tc>
        <w:tc>
          <w:tcPr>
            <w:tcW w:w="4621" w:type="dxa"/>
          </w:tcPr>
          <w:p w:rsidR="00132AED" w:rsidRPr="0074420F" w:rsidRDefault="00362D1D" w:rsidP="005939DA">
            <w:pPr>
              <w:pStyle w:val="PBACHeading1"/>
              <w:numPr>
                <w:ilvl w:val="0"/>
                <w:numId w:val="0"/>
              </w:numPr>
              <w:rPr>
                <w:rFonts w:ascii="Arial Narrow" w:hAnsi="Arial Narrow"/>
                <w:szCs w:val="20"/>
              </w:rPr>
            </w:pPr>
            <w:r w:rsidRPr="0074420F">
              <w:rPr>
                <w:rFonts w:ascii="Arial Narrow" w:hAnsi="Arial Narrow"/>
                <w:szCs w:val="20"/>
              </w:rPr>
              <w:t>March 2017</w:t>
            </w:r>
            <w:r w:rsidR="007F65E5" w:rsidRPr="0074420F">
              <w:rPr>
                <w:rFonts w:ascii="Arial Narrow" w:hAnsi="Arial Narrow"/>
                <w:szCs w:val="20"/>
              </w:rPr>
              <w:t xml:space="preserve"> minor</w:t>
            </w:r>
            <w:r w:rsidRPr="0074420F">
              <w:rPr>
                <w:rFonts w:ascii="Arial Narrow" w:hAnsi="Arial Narrow"/>
                <w:szCs w:val="20"/>
              </w:rPr>
              <w:t xml:space="preserve"> re-submission</w:t>
            </w:r>
            <w:r w:rsidR="0065625A" w:rsidRPr="0074420F">
              <w:rPr>
                <w:rFonts w:ascii="Arial Narrow" w:hAnsi="Arial Narrow"/>
                <w:szCs w:val="20"/>
              </w:rPr>
              <w:t xml:space="preserve"> (current)</w:t>
            </w:r>
          </w:p>
        </w:tc>
      </w:tr>
      <w:tr w:rsidR="00132AED" w:rsidRPr="0074420F" w:rsidTr="00DF57B4">
        <w:trPr>
          <w:cantSplit/>
        </w:trPr>
        <w:tc>
          <w:tcPr>
            <w:tcW w:w="4621" w:type="dxa"/>
          </w:tcPr>
          <w:p w:rsidR="006102C5" w:rsidRPr="0074420F" w:rsidRDefault="00132AED" w:rsidP="005939DA">
            <w:pPr>
              <w:pStyle w:val="PBACHeading1"/>
              <w:numPr>
                <w:ilvl w:val="0"/>
                <w:numId w:val="0"/>
              </w:numPr>
              <w:rPr>
                <w:rFonts w:ascii="Arial Narrow" w:hAnsi="Arial Narrow"/>
                <w:b w:val="0"/>
                <w:szCs w:val="20"/>
              </w:rPr>
            </w:pPr>
            <w:r w:rsidRPr="0074420F">
              <w:rPr>
                <w:rFonts w:ascii="Arial Narrow" w:hAnsi="Arial Narrow"/>
                <w:b w:val="0"/>
                <w:szCs w:val="20"/>
              </w:rPr>
              <w:t xml:space="preserve">The PBAC </w:t>
            </w:r>
            <w:r w:rsidR="00E42EFC" w:rsidRPr="0074420F">
              <w:rPr>
                <w:rFonts w:ascii="Arial Narrow" w:hAnsi="Arial Narrow"/>
                <w:b w:val="0"/>
                <w:szCs w:val="20"/>
              </w:rPr>
              <w:t>[</w:t>
            </w:r>
            <w:r w:rsidRPr="0074420F">
              <w:rPr>
                <w:rFonts w:ascii="Arial Narrow" w:hAnsi="Arial Narrow"/>
                <w:b w:val="0"/>
                <w:szCs w:val="20"/>
              </w:rPr>
              <w:t>also</w:t>
            </w:r>
            <w:r w:rsidR="00E42EFC" w:rsidRPr="0074420F">
              <w:rPr>
                <w:rFonts w:ascii="Arial Narrow" w:hAnsi="Arial Narrow"/>
                <w:b w:val="0"/>
                <w:szCs w:val="20"/>
              </w:rPr>
              <w:t>]</w:t>
            </w:r>
            <w:r w:rsidRPr="0074420F">
              <w:rPr>
                <w:rFonts w:ascii="Arial Narrow" w:hAnsi="Arial Narrow"/>
                <w:b w:val="0"/>
                <w:szCs w:val="20"/>
              </w:rPr>
              <w:t xml:space="preserve"> maintained that there was no clear predictive effect of PD-L1 expression on the comparative effectiveness of nivolumab in </w:t>
            </w:r>
            <w:r w:rsidR="00E42EFC" w:rsidRPr="0074420F">
              <w:rPr>
                <w:rFonts w:ascii="Arial Narrow" w:hAnsi="Arial Narrow"/>
                <w:b w:val="0"/>
                <w:szCs w:val="20"/>
              </w:rPr>
              <w:t>t</w:t>
            </w:r>
            <w:r w:rsidRPr="0074420F">
              <w:rPr>
                <w:rFonts w:ascii="Arial Narrow" w:hAnsi="Arial Narrow"/>
                <w:b w:val="0"/>
                <w:szCs w:val="20"/>
              </w:rPr>
              <w:t xml:space="preserve">rial CA209-017 (paragraph 7.7, 7.06 nivolumab </w:t>
            </w:r>
            <w:r w:rsidR="00576B8D">
              <w:rPr>
                <w:rFonts w:ascii="Arial Narrow" w:hAnsi="Arial Narrow"/>
                <w:b w:val="0"/>
                <w:szCs w:val="20"/>
              </w:rPr>
              <w:t>PSD</w:t>
            </w:r>
            <w:r w:rsidRPr="0074420F">
              <w:rPr>
                <w:rFonts w:ascii="Arial Narrow" w:hAnsi="Arial Narrow"/>
                <w:b w:val="0"/>
                <w:szCs w:val="20"/>
              </w:rPr>
              <w:t>, November 2016) and concluded that there was a qualitative difference in clinical benefit which constituted a signal suggesting important treatment effect variation according to PD-L1 expression testing as conducted in the trial [CA209-057] (paragraph 7.8, 7.07 niv</w:t>
            </w:r>
            <w:r w:rsidR="00CA7345" w:rsidRPr="0074420F">
              <w:rPr>
                <w:rFonts w:ascii="Arial Narrow" w:hAnsi="Arial Narrow"/>
                <w:b w:val="0"/>
                <w:szCs w:val="20"/>
              </w:rPr>
              <w:t xml:space="preserve">olumab </w:t>
            </w:r>
            <w:r w:rsidR="00576B8D">
              <w:rPr>
                <w:rFonts w:ascii="Arial Narrow" w:hAnsi="Arial Narrow"/>
                <w:b w:val="0"/>
                <w:szCs w:val="20"/>
              </w:rPr>
              <w:t>PSD</w:t>
            </w:r>
            <w:r w:rsidR="00CA7345" w:rsidRPr="0074420F">
              <w:rPr>
                <w:rFonts w:ascii="Arial Narrow" w:hAnsi="Arial Narrow"/>
                <w:b w:val="0"/>
                <w:szCs w:val="20"/>
              </w:rPr>
              <w:t>, November 2016).</w:t>
            </w:r>
          </w:p>
          <w:p w:rsidR="006102C5" w:rsidRPr="0074420F" w:rsidRDefault="006102C5" w:rsidP="005939DA">
            <w:pPr>
              <w:pStyle w:val="PBACHeading1"/>
              <w:numPr>
                <w:ilvl w:val="0"/>
                <w:numId w:val="0"/>
              </w:numPr>
              <w:rPr>
                <w:rFonts w:ascii="Arial Narrow" w:hAnsi="Arial Narrow"/>
                <w:b w:val="0"/>
                <w:szCs w:val="20"/>
              </w:rPr>
            </w:pPr>
          </w:p>
          <w:p w:rsidR="00132AED" w:rsidRPr="0074420F" w:rsidRDefault="00132AED" w:rsidP="005939DA">
            <w:pPr>
              <w:pStyle w:val="PBACHeading1"/>
              <w:numPr>
                <w:ilvl w:val="0"/>
                <w:numId w:val="0"/>
              </w:numPr>
              <w:rPr>
                <w:rFonts w:ascii="Arial Narrow" w:hAnsi="Arial Narrow"/>
                <w:b w:val="0"/>
                <w:szCs w:val="20"/>
              </w:rPr>
            </w:pPr>
            <w:r w:rsidRPr="0074420F">
              <w:rPr>
                <w:rFonts w:ascii="Arial Narrow" w:hAnsi="Arial Narrow"/>
                <w:b w:val="0"/>
                <w:szCs w:val="20"/>
              </w:rPr>
              <w:t xml:space="preserve">The PBAC noted that a range of predictive biomarkers were currently under development and encouraged the sponsor to submit data on these biomarkers should they subsequently prove useful for determining patient selection for treatment with immunotherapy (paragraph 7.7, 7.06 nivolumab </w:t>
            </w:r>
            <w:r w:rsidR="00576B8D">
              <w:rPr>
                <w:rFonts w:ascii="Arial Narrow" w:hAnsi="Arial Narrow"/>
                <w:b w:val="0"/>
                <w:szCs w:val="20"/>
              </w:rPr>
              <w:t xml:space="preserve"> PSD</w:t>
            </w:r>
            <w:r w:rsidRPr="0074420F">
              <w:rPr>
                <w:rFonts w:ascii="Arial Narrow" w:hAnsi="Arial Narrow"/>
                <w:b w:val="0"/>
                <w:szCs w:val="20"/>
              </w:rPr>
              <w:t xml:space="preserve"> and paragraph 7.8, 7.07 nivolumab </w:t>
            </w:r>
            <w:r w:rsidR="00576B8D">
              <w:rPr>
                <w:rFonts w:ascii="Arial Narrow" w:hAnsi="Arial Narrow"/>
                <w:b w:val="0"/>
                <w:szCs w:val="20"/>
              </w:rPr>
              <w:t>PSD</w:t>
            </w:r>
            <w:r w:rsidRPr="0074420F">
              <w:rPr>
                <w:rFonts w:ascii="Arial Narrow" w:hAnsi="Arial Narrow"/>
                <w:b w:val="0"/>
                <w:szCs w:val="20"/>
              </w:rPr>
              <w:t>, November 2016).</w:t>
            </w:r>
          </w:p>
          <w:p w:rsidR="006102C5" w:rsidRPr="0074420F" w:rsidRDefault="006102C5" w:rsidP="005939DA">
            <w:pPr>
              <w:pStyle w:val="PBACHeading1"/>
              <w:numPr>
                <w:ilvl w:val="0"/>
                <w:numId w:val="0"/>
              </w:numPr>
              <w:rPr>
                <w:rFonts w:ascii="Arial Narrow" w:hAnsi="Arial Narrow"/>
                <w:b w:val="0"/>
                <w:szCs w:val="20"/>
              </w:rPr>
            </w:pPr>
          </w:p>
          <w:p w:rsidR="001E55E0" w:rsidRPr="0074420F" w:rsidRDefault="001E55E0" w:rsidP="005939DA">
            <w:pPr>
              <w:pStyle w:val="PBACHeading1"/>
              <w:numPr>
                <w:ilvl w:val="0"/>
                <w:numId w:val="0"/>
              </w:numPr>
              <w:rPr>
                <w:rFonts w:ascii="Arial Narrow" w:hAnsi="Arial Narrow"/>
                <w:b w:val="0"/>
                <w:szCs w:val="20"/>
              </w:rPr>
            </w:pPr>
            <w:r w:rsidRPr="0074420F">
              <w:rPr>
                <w:rFonts w:ascii="Arial Narrow" w:hAnsi="Arial Narrow"/>
                <w:b w:val="0"/>
                <w:szCs w:val="20"/>
              </w:rPr>
              <w:t>The PBAC requested a proposal for a MES for nivolumab for both squamous and non-squamous cell NSCLC address this concern</w:t>
            </w:r>
            <w:r w:rsidR="001A14D4" w:rsidRPr="0074420F">
              <w:rPr>
                <w:rFonts w:ascii="Arial Narrow" w:hAnsi="Arial Narrow"/>
                <w:b w:val="0"/>
                <w:szCs w:val="20"/>
              </w:rPr>
              <w:t>.</w:t>
            </w:r>
          </w:p>
        </w:tc>
        <w:tc>
          <w:tcPr>
            <w:tcW w:w="4621" w:type="dxa"/>
          </w:tcPr>
          <w:p w:rsidR="001914AA" w:rsidRPr="0074420F" w:rsidRDefault="001914AA" w:rsidP="005939DA">
            <w:pPr>
              <w:pStyle w:val="PBACHeading1"/>
              <w:numPr>
                <w:ilvl w:val="0"/>
                <w:numId w:val="19"/>
              </w:numPr>
              <w:ind w:left="624" w:hanging="425"/>
              <w:rPr>
                <w:rFonts w:ascii="Arial Narrow" w:hAnsi="Arial Narrow"/>
                <w:b w:val="0"/>
                <w:szCs w:val="20"/>
              </w:rPr>
            </w:pPr>
            <w:r w:rsidRPr="0074420F">
              <w:rPr>
                <w:rFonts w:ascii="Arial Narrow" w:hAnsi="Arial Narrow"/>
                <w:b w:val="0"/>
                <w:szCs w:val="20"/>
              </w:rPr>
              <w:t>Sub-group analys</w:t>
            </w:r>
            <w:r w:rsidR="00CA7345" w:rsidRPr="0074420F">
              <w:rPr>
                <w:rFonts w:ascii="Arial Narrow" w:hAnsi="Arial Narrow"/>
                <w:b w:val="0"/>
                <w:szCs w:val="20"/>
              </w:rPr>
              <w:t>e</w:t>
            </w:r>
            <w:r w:rsidRPr="0074420F">
              <w:rPr>
                <w:rFonts w:ascii="Arial Narrow" w:hAnsi="Arial Narrow"/>
                <w:b w:val="0"/>
                <w:szCs w:val="20"/>
              </w:rPr>
              <w:t>s to examine the treatment effect of PD-L1 status in a range of meta-analyses for nivolumab in NSCLC, melanoma, cancer, and all PD pathway drugs in melanoma or cancer.</w:t>
            </w:r>
            <w:r w:rsidR="001E55E0" w:rsidRPr="0074420F">
              <w:rPr>
                <w:rFonts w:ascii="Arial Narrow" w:hAnsi="Arial Narrow"/>
                <w:b w:val="0"/>
                <w:szCs w:val="20"/>
              </w:rPr>
              <w:t xml:space="preserve"> The </w:t>
            </w:r>
            <w:r w:rsidR="006102C5" w:rsidRPr="0074420F">
              <w:rPr>
                <w:rFonts w:ascii="Arial Narrow" w:hAnsi="Arial Narrow"/>
                <w:b w:val="0"/>
                <w:szCs w:val="20"/>
              </w:rPr>
              <w:t>minor re-</w:t>
            </w:r>
            <w:r w:rsidR="001E55E0" w:rsidRPr="0074420F">
              <w:rPr>
                <w:rFonts w:ascii="Arial Narrow" w:hAnsi="Arial Narrow"/>
                <w:b w:val="0"/>
                <w:szCs w:val="20"/>
              </w:rPr>
              <w:t>submission contend</w:t>
            </w:r>
            <w:r w:rsidR="006102C5" w:rsidRPr="0074420F">
              <w:rPr>
                <w:rFonts w:ascii="Arial Narrow" w:hAnsi="Arial Narrow"/>
                <w:b w:val="0"/>
                <w:szCs w:val="20"/>
              </w:rPr>
              <w:t>ed</w:t>
            </w:r>
            <w:r w:rsidR="001E55E0" w:rsidRPr="0074420F">
              <w:rPr>
                <w:rFonts w:ascii="Arial Narrow" w:hAnsi="Arial Narrow"/>
                <w:b w:val="0"/>
                <w:szCs w:val="20"/>
              </w:rPr>
              <w:t xml:space="preserve"> that patients in general derive benefit from nivolumab</w:t>
            </w:r>
            <w:r w:rsidR="006102C5" w:rsidRPr="0074420F">
              <w:rPr>
                <w:rFonts w:ascii="Arial Narrow" w:hAnsi="Arial Narrow"/>
                <w:b w:val="0"/>
                <w:szCs w:val="20"/>
              </w:rPr>
              <w:t xml:space="preserve"> irrespective of PD-L1 status</w:t>
            </w:r>
            <w:r w:rsidR="001E55E0" w:rsidRPr="0074420F">
              <w:rPr>
                <w:rFonts w:ascii="Arial Narrow" w:hAnsi="Arial Narrow"/>
                <w:b w:val="0"/>
                <w:szCs w:val="20"/>
              </w:rPr>
              <w:t>.</w:t>
            </w:r>
            <w:r w:rsidR="009A6676" w:rsidRPr="0074420F">
              <w:rPr>
                <w:rFonts w:ascii="Arial Narrow" w:hAnsi="Arial Narrow"/>
                <w:b w:val="0"/>
                <w:szCs w:val="20"/>
              </w:rPr>
              <w:t xml:space="preserve"> </w:t>
            </w:r>
            <w:r w:rsidR="007A79BF" w:rsidRPr="0074420F">
              <w:rPr>
                <w:rFonts w:ascii="Arial Narrow" w:hAnsi="Arial Narrow"/>
                <w:szCs w:val="20"/>
              </w:rPr>
              <w:t xml:space="preserve">Paragraphs </w:t>
            </w:r>
            <w:r w:rsidR="009A6676" w:rsidRPr="0074420F">
              <w:rPr>
                <w:rFonts w:ascii="Arial Narrow" w:hAnsi="Arial Narrow"/>
                <w:szCs w:val="20"/>
              </w:rPr>
              <w:t>6</w:t>
            </w:r>
            <w:r w:rsidR="007A79BF" w:rsidRPr="0074420F">
              <w:rPr>
                <w:rFonts w:ascii="Arial Narrow" w:hAnsi="Arial Narrow"/>
                <w:szCs w:val="20"/>
              </w:rPr>
              <w:t>.</w:t>
            </w:r>
            <w:r w:rsidR="00771EE8" w:rsidRPr="0074420F">
              <w:rPr>
                <w:rFonts w:ascii="Arial Narrow" w:hAnsi="Arial Narrow"/>
                <w:szCs w:val="20"/>
              </w:rPr>
              <w:t>{7}</w:t>
            </w:r>
            <w:r w:rsidR="007A79BF" w:rsidRPr="0074420F">
              <w:rPr>
                <w:rFonts w:ascii="Arial Narrow" w:hAnsi="Arial Narrow"/>
                <w:szCs w:val="20"/>
              </w:rPr>
              <w:t xml:space="preserve"> to 6.</w:t>
            </w:r>
            <w:r w:rsidR="00771EE8" w:rsidRPr="0074420F">
              <w:rPr>
                <w:rFonts w:ascii="Arial Narrow" w:hAnsi="Arial Narrow"/>
                <w:szCs w:val="20"/>
              </w:rPr>
              <w:t>{19}</w:t>
            </w:r>
            <w:r w:rsidR="009A6676" w:rsidRPr="0074420F">
              <w:rPr>
                <w:rFonts w:ascii="Arial Narrow" w:hAnsi="Arial Narrow"/>
                <w:szCs w:val="20"/>
              </w:rPr>
              <w:t xml:space="preserve"> refer.</w:t>
            </w:r>
          </w:p>
          <w:p w:rsidR="00132AED" w:rsidRPr="0074420F" w:rsidRDefault="002F0882" w:rsidP="005939DA">
            <w:pPr>
              <w:pStyle w:val="PBACHeading1"/>
              <w:numPr>
                <w:ilvl w:val="0"/>
                <w:numId w:val="19"/>
              </w:numPr>
              <w:ind w:left="624" w:hanging="425"/>
              <w:rPr>
                <w:rFonts w:ascii="Arial Narrow" w:hAnsi="Arial Narrow"/>
                <w:b w:val="0"/>
                <w:szCs w:val="20"/>
              </w:rPr>
            </w:pPr>
            <w:r w:rsidRPr="0074420F">
              <w:rPr>
                <w:rFonts w:ascii="Arial Narrow" w:hAnsi="Arial Narrow"/>
                <w:b w:val="0"/>
                <w:szCs w:val="20"/>
              </w:rPr>
              <w:t xml:space="preserve">An </w:t>
            </w:r>
            <w:r w:rsidR="00CA7345" w:rsidRPr="0074420F">
              <w:rPr>
                <w:rFonts w:ascii="Arial Narrow" w:hAnsi="Arial Narrow"/>
                <w:b w:val="0"/>
                <w:szCs w:val="20"/>
              </w:rPr>
              <w:t xml:space="preserve">MES </w:t>
            </w:r>
            <w:r w:rsidRPr="0074420F">
              <w:rPr>
                <w:rFonts w:ascii="Arial Narrow" w:hAnsi="Arial Narrow"/>
                <w:b w:val="0"/>
                <w:szCs w:val="20"/>
              </w:rPr>
              <w:t xml:space="preserve">was </w:t>
            </w:r>
            <w:r w:rsidR="00CA7345" w:rsidRPr="0074420F">
              <w:rPr>
                <w:rFonts w:ascii="Arial Narrow" w:hAnsi="Arial Narrow"/>
                <w:b w:val="0"/>
                <w:szCs w:val="20"/>
              </w:rPr>
              <w:t>p</w:t>
            </w:r>
            <w:r w:rsidR="001914AA" w:rsidRPr="0074420F">
              <w:rPr>
                <w:rFonts w:ascii="Arial Narrow" w:hAnsi="Arial Narrow"/>
                <w:b w:val="0"/>
                <w:szCs w:val="20"/>
              </w:rPr>
              <w:t>roposed.</w:t>
            </w:r>
            <w:r w:rsidR="009A6676" w:rsidRPr="0074420F">
              <w:rPr>
                <w:rFonts w:ascii="Arial Narrow" w:hAnsi="Arial Narrow"/>
                <w:b w:val="0"/>
                <w:szCs w:val="20"/>
              </w:rPr>
              <w:t xml:space="preserve"> </w:t>
            </w:r>
            <w:r w:rsidR="00771EE8" w:rsidRPr="0074420F">
              <w:rPr>
                <w:rFonts w:ascii="Arial Narrow" w:hAnsi="Arial Narrow"/>
                <w:szCs w:val="20"/>
              </w:rPr>
              <w:t>Paragraphs 6.{20} to 6.{25} refer.</w:t>
            </w:r>
          </w:p>
        </w:tc>
      </w:tr>
      <w:tr w:rsidR="009A6676" w:rsidRPr="0074420F" w:rsidTr="00DF57B4">
        <w:trPr>
          <w:cantSplit/>
        </w:trPr>
        <w:tc>
          <w:tcPr>
            <w:tcW w:w="4621" w:type="dxa"/>
          </w:tcPr>
          <w:p w:rsidR="009A6676" w:rsidRPr="0074420F" w:rsidRDefault="009A6676" w:rsidP="005939DA">
            <w:pPr>
              <w:pStyle w:val="PBACHeading1"/>
              <w:numPr>
                <w:ilvl w:val="0"/>
                <w:numId w:val="0"/>
              </w:numPr>
              <w:rPr>
                <w:rFonts w:ascii="Arial Narrow" w:hAnsi="Arial Narrow"/>
                <w:b w:val="0"/>
                <w:szCs w:val="20"/>
              </w:rPr>
            </w:pPr>
            <w:r w:rsidRPr="0074420F">
              <w:rPr>
                <w:rFonts w:ascii="Arial Narrow" w:hAnsi="Arial Narrow"/>
                <w:b w:val="0"/>
                <w:szCs w:val="20"/>
              </w:rPr>
              <w:t xml:space="preserve">The PBAC queried the effectiveness of nivolumab in patients aged </w:t>
            </w:r>
            <w:r w:rsidR="00DC05D1" w:rsidRPr="0074420F">
              <w:rPr>
                <w:rFonts w:ascii="Arial Narrow" w:hAnsi="Arial Narrow"/>
                <w:b w:val="0"/>
                <w:szCs w:val="20"/>
              </w:rPr>
              <w:t>75 years or older</w:t>
            </w:r>
            <w:r w:rsidRPr="0074420F">
              <w:rPr>
                <w:rFonts w:ascii="Arial Narrow" w:hAnsi="Arial Narrow"/>
                <w:b w:val="0"/>
                <w:szCs w:val="20"/>
              </w:rPr>
              <w:t xml:space="preserve">, in both squamous and non-squamous cell NSCLC (paragraphs 7.1, 7.06 and 7.07 nivolumab </w:t>
            </w:r>
            <w:r w:rsidR="00576B8D">
              <w:rPr>
                <w:rFonts w:ascii="Arial Narrow" w:hAnsi="Arial Narrow"/>
                <w:b w:val="0"/>
                <w:szCs w:val="20"/>
              </w:rPr>
              <w:t>PSD</w:t>
            </w:r>
            <w:r w:rsidRPr="0074420F">
              <w:rPr>
                <w:rFonts w:ascii="Arial Narrow" w:hAnsi="Arial Narrow"/>
                <w:b w:val="0"/>
                <w:szCs w:val="20"/>
              </w:rPr>
              <w:t>, November 2016 meeting).</w:t>
            </w:r>
          </w:p>
          <w:p w:rsidR="009A6676" w:rsidRPr="0074420F" w:rsidRDefault="009A6676" w:rsidP="005939DA">
            <w:pPr>
              <w:pStyle w:val="PBACHeading1"/>
              <w:numPr>
                <w:ilvl w:val="0"/>
                <w:numId w:val="0"/>
              </w:numPr>
              <w:rPr>
                <w:rFonts w:ascii="Arial Narrow" w:hAnsi="Arial Narrow"/>
                <w:b w:val="0"/>
                <w:szCs w:val="20"/>
              </w:rPr>
            </w:pPr>
          </w:p>
          <w:p w:rsidR="009A6676" w:rsidRPr="0074420F" w:rsidRDefault="009A6676" w:rsidP="005939DA">
            <w:pPr>
              <w:pStyle w:val="PBACHeading1"/>
              <w:numPr>
                <w:ilvl w:val="0"/>
                <w:numId w:val="0"/>
              </w:numPr>
              <w:rPr>
                <w:rFonts w:ascii="Arial Narrow" w:hAnsi="Arial Narrow"/>
                <w:b w:val="0"/>
                <w:szCs w:val="20"/>
              </w:rPr>
            </w:pPr>
            <w:r w:rsidRPr="0074420F">
              <w:rPr>
                <w:rFonts w:ascii="Arial Narrow" w:hAnsi="Arial Narrow"/>
                <w:b w:val="0"/>
                <w:szCs w:val="20"/>
              </w:rPr>
              <w:t>The PBAC requested a proposal for a MES for nivolumab for both squamous and non-squamous cell NSCLC to address this concern.</w:t>
            </w:r>
          </w:p>
        </w:tc>
        <w:tc>
          <w:tcPr>
            <w:tcW w:w="4621" w:type="dxa"/>
          </w:tcPr>
          <w:p w:rsidR="009A6676" w:rsidRPr="0074420F" w:rsidRDefault="009A6676" w:rsidP="005939DA">
            <w:pPr>
              <w:pStyle w:val="PBACHeading1"/>
              <w:numPr>
                <w:ilvl w:val="0"/>
                <w:numId w:val="19"/>
              </w:numPr>
              <w:ind w:left="624" w:hanging="425"/>
              <w:rPr>
                <w:rFonts w:ascii="Arial Narrow" w:hAnsi="Arial Narrow"/>
                <w:b w:val="0"/>
                <w:szCs w:val="20"/>
              </w:rPr>
            </w:pPr>
            <w:r w:rsidRPr="0074420F">
              <w:rPr>
                <w:rFonts w:ascii="Arial Narrow" w:hAnsi="Arial Narrow"/>
                <w:b w:val="0"/>
                <w:szCs w:val="20"/>
              </w:rPr>
              <w:t>Sub-group analys</w:t>
            </w:r>
            <w:r w:rsidR="00CA7345" w:rsidRPr="0074420F">
              <w:rPr>
                <w:rFonts w:ascii="Arial Narrow" w:hAnsi="Arial Narrow"/>
                <w:b w:val="0"/>
                <w:szCs w:val="20"/>
              </w:rPr>
              <w:t>e</w:t>
            </w:r>
            <w:r w:rsidRPr="0074420F">
              <w:rPr>
                <w:rFonts w:ascii="Arial Narrow" w:hAnsi="Arial Narrow"/>
                <w:b w:val="0"/>
                <w:szCs w:val="20"/>
              </w:rPr>
              <w:t>s to examine the treatment effect of age in a range of meta-analyses for nivolumab in NSCLS, melanoma and cancer, and PD pathway treatments in NSCLS, mela</w:t>
            </w:r>
            <w:r w:rsidR="00CA7345" w:rsidRPr="0074420F">
              <w:rPr>
                <w:rFonts w:ascii="Arial Narrow" w:hAnsi="Arial Narrow"/>
                <w:b w:val="0"/>
                <w:szCs w:val="20"/>
              </w:rPr>
              <w:t>noma, and cancer. The minor re-</w:t>
            </w:r>
            <w:r w:rsidRPr="0074420F">
              <w:rPr>
                <w:rFonts w:ascii="Arial Narrow" w:hAnsi="Arial Narrow"/>
                <w:b w:val="0"/>
                <w:szCs w:val="20"/>
              </w:rPr>
              <w:t xml:space="preserve">submission contended that there is sufficient data to show that age is not a treatment effect modifier. </w:t>
            </w:r>
            <w:r w:rsidR="00771EE8" w:rsidRPr="0074420F">
              <w:rPr>
                <w:rFonts w:ascii="Arial Narrow" w:hAnsi="Arial Narrow"/>
                <w:szCs w:val="20"/>
              </w:rPr>
              <w:t>Paragraphs 6.{26} to 6.{48} refer.</w:t>
            </w:r>
          </w:p>
          <w:p w:rsidR="009A6676" w:rsidRPr="0074420F" w:rsidRDefault="002F0882" w:rsidP="005939DA">
            <w:pPr>
              <w:pStyle w:val="PBACHeading1"/>
              <w:numPr>
                <w:ilvl w:val="0"/>
                <w:numId w:val="19"/>
              </w:numPr>
              <w:ind w:left="624" w:hanging="425"/>
              <w:rPr>
                <w:rFonts w:ascii="Arial Narrow" w:hAnsi="Arial Narrow"/>
                <w:b w:val="0"/>
                <w:szCs w:val="20"/>
              </w:rPr>
            </w:pPr>
            <w:r w:rsidRPr="0074420F">
              <w:rPr>
                <w:rFonts w:ascii="Arial Narrow" w:hAnsi="Arial Narrow"/>
                <w:b w:val="0"/>
                <w:szCs w:val="20"/>
              </w:rPr>
              <w:t xml:space="preserve">An </w:t>
            </w:r>
            <w:r w:rsidR="009A6676" w:rsidRPr="0074420F">
              <w:rPr>
                <w:rFonts w:ascii="Arial Narrow" w:hAnsi="Arial Narrow"/>
                <w:b w:val="0"/>
                <w:szCs w:val="20"/>
              </w:rPr>
              <w:t>MES</w:t>
            </w:r>
            <w:r w:rsidR="00CA7345" w:rsidRPr="0074420F">
              <w:rPr>
                <w:rFonts w:ascii="Arial Narrow" w:hAnsi="Arial Narrow"/>
                <w:b w:val="0"/>
                <w:szCs w:val="20"/>
              </w:rPr>
              <w:t xml:space="preserve"> </w:t>
            </w:r>
            <w:r w:rsidRPr="0074420F">
              <w:rPr>
                <w:rFonts w:ascii="Arial Narrow" w:hAnsi="Arial Narrow"/>
                <w:b w:val="0"/>
                <w:szCs w:val="20"/>
              </w:rPr>
              <w:t xml:space="preserve">was </w:t>
            </w:r>
            <w:r w:rsidR="00CA7345" w:rsidRPr="0074420F">
              <w:rPr>
                <w:rFonts w:ascii="Arial Narrow" w:hAnsi="Arial Narrow"/>
                <w:b w:val="0"/>
                <w:szCs w:val="20"/>
              </w:rPr>
              <w:t>proposed</w:t>
            </w:r>
            <w:r w:rsidR="009A6676" w:rsidRPr="0074420F">
              <w:rPr>
                <w:rFonts w:ascii="Arial Narrow" w:hAnsi="Arial Narrow"/>
                <w:b w:val="0"/>
                <w:szCs w:val="20"/>
              </w:rPr>
              <w:t xml:space="preserve">. The </w:t>
            </w:r>
            <w:r w:rsidR="00CA7345" w:rsidRPr="0074420F">
              <w:rPr>
                <w:rFonts w:ascii="Arial Narrow" w:hAnsi="Arial Narrow"/>
                <w:b w:val="0"/>
                <w:szCs w:val="20"/>
              </w:rPr>
              <w:t>minor re-</w:t>
            </w:r>
            <w:r w:rsidR="009A6676" w:rsidRPr="0074420F">
              <w:rPr>
                <w:rFonts w:ascii="Arial Narrow" w:hAnsi="Arial Narrow"/>
                <w:b w:val="0"/>
                <w:szCs w:val="20"/>
              </w:rPr>
              <w:t>submission contend</w:t>
            </w:r>
            <w:r w:rsidR="00CA7345" w:rsidRPr="0074420F">
              <w:rPr>
                <w:rFonts w:ascii="Arial Narrow" w:hAnsi="Arial Narrow"/>
                <w:b w:val="0"/>
                <w:szCs w:val="20"/>
              </w:rPr>
              <w:t>ed</w:t>
            </w:r>
            <w:r w:rsidR="009A6676" w:rsidRPr="0074420F">
              <w:rPr>
                <w:rFonts w:ascii="Arial Narrow" w:hAnsi="Arial Narrow"/>
                <w:b w:val="0"/>
                <w:szCs w:val="20"/>
              </w:rPr>
              <w:t xml:space="preserve"> that an MES is not practical or informative, and</w:t>
            </w:r>
            <w:r w:rsidR="00E42EFC" w:rsidRPr="0074420F">
              <w:rPr>
                <w:rFonts w:ascii="Arial Narrow" w:hAnsi="Arial Narrow"/>
                <w:b w:val="0"/>
                <w:szCs w:val="20"/>
              </w:rPr>
              <w:t xml:space="preserve"> in the event that PBAC does not accept its contention that age is not a treatment modifier,</w:t>
            </w:r>
            <w:r w:rsidR="009A6676" w:rsidRPr="0074420F">
              <w:rPr>
                <w:rFonts w:ascii="Arial Narrow" w:hAnsi="Arial Narrow"/>
                <w:b w:val="0"/>
                <w:szCs w:val="20"/>
              </w:rPr>
              <w:t xml:space="preserve"> propose</w:t>
            </w:r>
            <w:r w:rsidR="00CA7345" w:rsidRPr="0074420F">
              <w:rPr>
                <w:rFonts w:ascii="Arial Narrow" w:hAnsi="Arial Narrow"/>
                <w:b w:val="0"/>
                <w:szCs w:val="20"/>
              </w:rPr>
              <w:t>d</w:t>
            </w:r>
            <w:r w:rsidR="009A6676" w:rsidRPr="0074420F">
              <w:rPr>
                <w:rFonts w:ascii="Arial Narrow" w:hAnsi="Arial Narrow"/>
                <w:b w:val="0"/>
                <w:szCs w:val="20"/>
              </w:rPr>
              <w:t xml:space="preserve"> a </w:t>
            </w:r>
            <w:r w:rsidR="00CA7345" w:rsidRPr="0074420F">
              <w:rPr>
                <w:rFonts w:ascii="Arial Narrow" w:hAnsi="Arial Narrow"/>
                <w:b w:val="0"/>
                <w:szCs w:val="20"/>
              </w:rPr>
              <w:t xml:space="preserve">modified </w:t>
            </w:r>
            <w:r w:rsidR="009A6676" w:rsidRPr="0074420F">
              <w:rPr>
                <w:rFonts w:ascii="Arial Narrow" w:hAnsi="Arial Narrow"/>
                <w:b w:val="0"/>
                <w:szCs w:val="20"/>
              </w:rPr>
              <w:t>R</w:t>
            </w:r>
            <w:r w:rsidR="00CA7345" w:rsidRPr="0074420F">
              <w:rPr>
                <w:rFonts w:ascii="Arial Narrow" w:hAnsi="Arial Narrow"/>
                <w:b w:val="0"/>
                <w:szCs w:val="20"/>
              </w:rPr>
              <w:t>SA</w:t>
            </w:r>
            <w:r w:rsidR="009A6676" w:rsidRPr="0074420F">
              <w:rPr>
                <w:rFonts w:ascii="Arial Narrow" w:hAnsi="Arial Narrow"/>
                <w:b w:val="0"/>
                <w:szCs w:val="20"/>
              </w:rPr>
              <w:t xml:space="preserve"> to address any remaining uncertainty. </w:t>
            </w:r>
            <w:r w:rsidR="00771EE8" w:rsidRPr="0074420F">
              <w:rPr>
                <w:rFonts w:ascii="Arial Narrow" w:hAnsi="Arial Narrow"/>
                <w:szCs w:val="20"/>
              </w:rPr>
              <w:t>Paragraphs 6.{49} to 6.{56} refer.</w:t>
            </w:r>
          </w:p>
        </w:tc>
      </w:tr>
      <w:tr w:rsidR="00132AED" w:rsidRPr="0074420F" w:rsidTr="00DF57B4">
        <w:trPr>
          <w:cantSplit/>
        </w:trPr>
        <w:tc>
          <w:tcPr>
            <w:tcW w:w="4621" w:type="dxa"/>
          </w:tcPr>
          <w:p w:rsidR="00132AED" w:rsidRPr="0074420F" w:rsidRDefault="00132AED" w:rsidP="005939DA">
            <w:pPr>
              <w:pStyle w:val="ListParagraph"/>
              <w:widowControl/>
              <w:ind w:left="0"/>
              <w:rPr>
                <w:rFonts w:ascii="Arial Narrow" w:hAnsi="Arial Narrow"/>
              </w:rPr>
            </w:pPr>
            <w:r w:rsidRPr="0074420F">
              <w:rPr>
                <w:rFonts w:ascii="Arial Narrow" w:hAnsi="Arial Narrow"/>
              </w:rPr>
              <w:t xml:space="preserve">The PBAC requested the Department and the sponsor to also discuss a RSA, and noted that this should be derived using a cost per patient multiplied by the number of eligible patients, and that potential patient uptake and dosage lags be factored into the proposed expenditure caps (paragraph 7.9, 7.06 nivolumab </w:t>
            </w:r>
            <w:r w:rsidR="00576B8D">
              <w:rPr>
                <w:rFonts w:ascii="Arial Narrow" w:hAnsi="Arial Narrow"/>
              </w:rPr>
              <w:t xml:space="preserve"> PSD</w:t>
            </w:r>
            <w:r w:rsidRPr="0074420F">
              <w:rPr>
                <w:rFonts w:ascii="Arial Narrow" w:hAnsi="Arial Narrow"/>
              </w:rPr>
              <w:t xml:space="preserve"> and paragraph 7.11, 7.07 nivolumab </w:t>
            </w:r>
            <w:r w:rsidR="00576B8D">
              <w:rPr>
                <w:rFonts w:ascii="Arial Narrow" w:hAnsi="Arial Narrow"/>
              </w:rPr>
              <w:t>PSD</w:t>
            </w:r>
            <w:r w:rsidRPr="0074420F">
              <w:rPr>
                <w:rFonts w:ascii="Arial Narrow" w:hAnsi="Arial Narrow"/>
              </w:rPr>
              <w:t>, November 2016).</w:t>
            </w:r>
          </w:p>
        </w:tc>
        <w:tc>
          <w:tcPr>
            <w:tcW w:w="4621" w:type="dxa"/>
          </w:tcPr>
          <w:p w:rsidR="00132AED" w:rsidRPr="0074420F" w:rsidRDefault="001A14D4" w:rsidP="005939DA">
            <w:pPr>
              <w:pStyle w:val="PBACHeading1"/>
              <w:numPr>
                <w:ilvl w:val="0"/>
                <w:numId w:val="0"/>
              </w:numPr>
              <w:rPr>
                <w:rFonts w:ascii="Arial Narrow" w:hAnsi="Arial Narrow"/>
                <w:szCs w:val="20"/>
              </w:rPr>
            </w:pPr>
            <w:r w:rsidRPr="0074420F">
              <w:rPr>
                <w:rFonts w:ascii="Arial Narrow" w:hAnsi="Arial Narrow"/>
                <w:b w:val="0"/>
                <w:szCs w:val="20"/>
              </w:rPr>
              <w:t>The minor re-submission presented an</w:t>
            </w:r>
            <w:r w:rsidR="00D345FD" w:rsidRPr="0074420F">
              <w:rPr>
                <w:rFonts w:ascii="Arial Narrow" w:hAnsi="Arial Narrow"/>
                <w:b w:val="0"/>
                <w:szCs w:val="20"/>
              </w:rPr>
              <w:t xml:space="preserve"> RSA which </w:t>
            </w:r>
            <w:r w:rsidRPr="0074420F">
              <w:rPr>
                <w:rFonts w:ascii="Arial Narrow" w:hAnsi="Arial Narrow"/>
                <w:b w:val="0"/>
                <w:szCs w:val="20"/>
              </w:rPr>
              <w:t>o</w:t>
            </w:r>
            <w:r w:rsidR="001914AA" w:rsidRPr="0074420F">
              <w:rPr>
                <w:rFonts w:ascii="Arial Narrow" w:hAnsi="Arial Narrow"/>
                <w:b w:val="0"/>
                <w:szCs w:val="20"/>
              </w:rPr>
              <w:t>utline</w:t>
            </w:r>
            <w:r w:rsidR="00D345FD" w:rsidRPr="0074420F">
              <w:rPr>
                <w:rFonts w:ascii="Arial Narrow" w:hAnsi="Arial Narrow"/>
                <w:b w:val="0"/>
                <w:szCs w:val="20"/>
              </w:rPr>
              <w:t xml:space="preserve">s the </w:t>
            </w:r>
            <w:r w:rsidR="001914AA" w:rsidRPr="0074420F">
              <w:rPr>
                <w:rFonts w:ascii="Arial Narrow" w:hAnsi="Arial Narrow"/>
                <w:b w:val="0"/>
                <w:szCs w:val="20"/>
              </w:rPr>
              <w:t>patient number and total patient cost.</w:t>
            </w:r>
            <w:r w:rsidR="009A6676" w:rsidRPr="0074420F">
              <w:rPr>
                <w:rFonts w:ascii="Arial Narrow" w:hAnsi="Arial Narrow"/>
                <w:b w:val="0"/>
                <w:szCs w:val="20"/>
              </w:rPr>
              <w:t xml:space="preserve"> </w:t>
            </w:r>
            <w:r w:rsidR="00771EE8" w:rsidRPr="0074420F">
              <w:rPr>
                <w:rFonts w:ascii="Arial Narrow" w:hAnsi="Arial Narrow"/>
                <w:szCs w:val="20"/>
              </w:rPr>
              <w:t>Paragraphs 6.{59} to 6.{66} refer.</w:t>
            </w:r>
          </w:p>
        </w:tc>
      </w:tr>
    </w:tbl>
    <w:p w:rsidR="00F579C0" w:rsidRPr="00A84A0B" w:rsidRDefault="00F579C0" w:rsidP="005939DA">
      <w:pPr>
        <w:rPr>
          <w:rFonts w:ascii="Arial" w:hAnsi="Arial" w:cs="Arial"/>
          <w:sz w:val="22"/>
          <w:szCs w:val="22"/>
        </w:rPr>
      </w:pPr>
    </w:p>
    <w:p w:rsidR="00A84A0B" w:rsidRDefault="00132AED" w:rsidP="005939DA">
      <w:pPr>
        <w:pStyle w:val="ListParagraph"/>
        <w:widowControl/>
        <w:numPr>
          <w:ilvl w:val="1"/>
          <w:numId w:val="1"/>
        </w:numPr>
        <w:rPr>
          <w:szCs w:val="22"/>
        </w:rPr>
      </w:pPr>
      <w:r w:rsidRPr="00A84A0B">
        <w:rPr>
          <w:szCs w:val="22"/>
        </w:rPr>
        <w:lastRenderedPageBreak/>
        <w:t xml:space="preserve">In requesting </w:t>
      </w:r>
      <w:r w:rsidR="009D5154" w:rsidRPr="00A84A0B">
        <w:rPr>
          <w:szCs w:val="22"/>
        </w:rPr>
        <w:t>proposal</w:t>
      </w:r>
      <w:r w:rsidR="00CA7345" w:rsidRPr="00A84A0B">
        <w:rPr>
          <w:szCs w:val="22"/>
        </w:rPr>
        <w:t>s</w:t>
      </w:r>
      <w:r w:rsidR="009D5154" w:rsidRPr="00A84A0B">
        <w:rPr>
          <w:szCs w:val="22"/>
        </w:rPr>
        <w:t xml:space="preserve"> for </w:t>
      </w:r>
      <w:r w:rsidR="0066304F" w:rsidRPr="00A84A0B">
        <w:rPr>
          <w:szCs w:val="22"/>
        </w:rPr>
        <w:t>MES</w:t>
      </w:r>
      <w:r w:rsidR="00CA7345" w:rsidRPr="00A84A0B">
        <w:rPr>
          <w:szCs w:val="22"/>
        </w:rPr>
        <w:t>s</w:t>
      </w:r>
      <w:r w:rsidR="0066304F" w:rsidRPr="00A84A0B">
        <w:rPr>
          <w:szCs w:val="22"/>
        </w:rPr>
        <w:t xml:space="preserve"> </w:t>
      </w:r>
      <w:r w:rsidR="009D5154" w:rsidRPr="00A84A0B">
        <w:rPr>
          <w:szCs w:val="22"/>
        </w:rPr>
        <w:t xml:space="preserve">for </w:t>
      </w:r>
      <w:r w:rsidRPr="00A84A0B">
        <w:rPr>
          <w:szCs w:val="22"/>
        </w:rPr>
        <w:t xml:space="preserve">age and PD-L1 status, the PBAC advised that </w:t>
      </w:r>
      <w:r w:rsidR="0066304F" w:rsidRPr="00A84A0B">
        <w:rPr>
          <w:szCs w:val="22"/>
        </w:rPr>
        <w:t xml:space="preserve">the MES structure should be </w:t>
      </w:r>
      <w:r w:rsidR="00A26A26" w:rsidRPr="00A84A0B">
        <w:rPr>
          <w:szCs w:val="22"/>
        </w:rPr>
        <w:t xml:space="preserve">based </w:t>
      </w:r>
      <w:r w:rsidR="0066304F" w:rsidRPr="00A84A0B">
        <w:rPr>
          <w:szCs w:val="22"/>
        </w:rPr>
        <w:t xml:space="preserve">on a meta-analysis </w:t>
      </w:r>
      <w:r w:rsidR="008720C2" w:rsidRPr="00A84A0B">
        <w:rPr>
          <w:szCs w:val="22"/>
        </w:rPr>
        <w:t>across comparative trials of nivolumab in NSCLC</w:t>
      </w:r>
      <w:r w:rsidR="00A84A0B">
        <w:rPr>
          <w:szCs w:val="22"/>
        </w:rPr>
        <w:t>. C</w:t>
      </w:r>
      <w:r w:rsidR="00A84A0B" w:rsidRPr="00A84A0B">
        <w:rPr>
          <w:szCs w:val="22"/>
        </w:rPr>
        <w:t xml:space="preserve">onsideration </w:t>
      </w:r>
      <w:r w:rsidR="00A84A0B">
        <w:rPr>
          <w:szCs w:val="22"/>
        </w:rPr>
        <w:t xml:space="preserve">should </w:t>
      </w:r>
      <w:r w:rsidR="008720C2" w:rsidRPr="00A84A0B">
        <w:rPr>
          <w:szCs w:val="22"/>
        </w:rPr>
        <w:t>also be given to</w:t>
      </w:r>
      <w:r w:rsidR="00A84A0B">
        <w:rPr>
          <w:szCs w:val="22"/>
        </w:rPr>
        <w:t>:</w:t>
      </w:r>
    </w:p>
    <w:p w:rsidR="00A84A0B" w:rsidRDefault="008720C2" w:rsidP="005939DA">
      <w:pPr>
        <w:pStyle w:val="ListParagraph"/>
        <w:widowControl/>
        <w:numPr>
          <w:ilvl w:val="0"/>
          <w:numId w:val="23"/>
        </w:numPr>
        <w:rPr>
          <w:szCs w:val="22"/>
        </w:rPr>
      </w:pPr>
      <w:r w:rsidRPr="00A84A0B">
        <w:rPr>
          <w:szCs w:val="22"/>
        </w:rPr>
        <w:t>a meta-analysis based on individual patient data</w:t>
      </w:r>
      <w:r w:rsidR="00A84A0B">
        <w:rPr>
          <w:szCs w:val="22"/>
        </w:rPr>
        <w:t>;</w:t>
      </w:r>
    </w:p>
    <w:p w:rsidR="00A84A0B" w:rsidRDefault="008720C2" w:rsidP="005939DA">
      <w:pPr>
        <w:pStyle w:val="ListParagraph"/>
        <w:widowControl/>
        <w:numPr>
          <w:ilvl w:val="0"/>
          <w:numId w:val="23"/>
        </w:numPr>
        <w:rPr>
          <w:szCs w:val="22"/>
        </w:rPr>
      </w:pPr>
      <w:r w:rsidRPr="00A84A0B">
        <w:rPr>
          <w:szCs w:val="22"/>
        </w:rPr>
        <w:t>an expanded meta-analysis including comparative trials of other existing and emerging immunotherapies with the same or similar mechanism of action on the programmed cell death pathway, and</w:t>
      </w:r>
      <w:r w:rsidR="00A84A0B">
        <w:rPr>
          <w:szCs w:val="22"/>
        </w:rPr>
        <w:t>;</w:t>
      </w:r>
    </w:p>
    <w:p w:rsidR="00BE6FF6" w:rsidRPr="00A84A0B" w:rsidRDefault="008720C2" w:rsidP="005939DA">
      <w:pPr>
        <w:pStyle w:val="ListParagraph"/>
        <w:widowControl/>
        <w:numPr>
          <w:ilvl w:val="0"/>
          <w:numId w:val="23"/>
        </w:numPr>
        <w:rPr>
          <w:szCs w:val="22"/>
        </w:rPr>
      </w:pPr>
      <w:r w:rsidRPr="00A84A0B">
        <w:rPr>
          <w:szCs w:val="22"/>
        </w:rPr>
        <w:t>a further expansion to include comparative trials across other cancer types (</w:t>
      </w:r>
      <w:r w:rsidR="00857EE9" w:rsidRPr="00A84A0B">
        <w:rPr>
          <w:szCs w:val="22"/>
        </w:rPr>
        <w:t xml:space="preserve">paragraph 7.13, </w:t>
      </w:r>
      <w:r w:rsidRPr="00A84A0B">
        <w:rPr>
          <w:szCs w:val="22"/>
        </w:rPr>
        <w:t>7.06</w:t>
      </w:r>
      <w:r w:rsidR="00857EE9" w:rsidRPr="00A84A0B">
        <w:rPr>
          <w:szCs w:val="22"/>
        </w:rPr>
        <w:t xml:space="preserve"> nivolumab </w:t>
      </w:r>
      <w:r w:rsidR="00576B8D">
        <w:rPr>
          <w:szCs w:val="22"/>
        </w:rPr>
        <w:t>PSD</w:t>
      </w:r>
      <w:r w:rsidR="00857EE9" w:rsidRPr="00A84A0B">
        <w:rPr>
          <w:szCs w:val="22"/>
        </w:rPr>
        <w:t xml:space="preserve"> and paragraph 7.15, 7.07 nivolumab </w:t>
      </w:r>
      <w:r w:rsidR="00576B8D">
        <w:rPr>
          <w:szCs w:val="22"/>
        </w:rPr>
        <w:t>PSD</w:t>
      </w:r>
      <w:r w:rsidR="00857EE9" w:rsidRPr="00A84A0B">
        <w:rPr>
          <w:szCs w:val="22"/>
        </w:rPr>
        <w:t>, November 2016)</w:t>
      </w:r>
      <w:r w:rsidR="009D5154" w:rsidRPr="00A84A0B">
        <w:rPr>
          <w:szCs w:val="22"/>
        </w:rPr>
        <w:t>.</w:t>
      </w:r>
    </w:p>
    <w:p w:rsidR="00BF5E28" w:rsidRPr="00A84A0B" w:rsidRDefault="00BF5E28" w:rsidP="005939DA">
      <w:pPr>
        <w:rPr>
          <w:rFonts w:ascii="Arial" w:hAnsi="Arial" w:cs="Arial"/>
          <w:sz w:val="22"/>
          <w:szCs w:val="22"/>
        </w:rPr>
      </w:pPr>
    </w:p>
    <w:p w:rsidR="00EF4009" w:rsidRPr="00A84A0B" w:rsidRDefault="00BF5E28" w:rsidP="005939DA">
      <w:pPr>
        <w:pStyle w:val="ListParagraph"/>
        <w:widowControl/>
        <w:numPr>
          <w:ilvl w:val="1"/>
          <w:numId w:val="1"/>
        </w:numPr>
        <w:rPr>
          <w:szCs w:val="22"/>
        </w:rPr>
      </w:pPr>
      <w:r w:rsidRPr="00A84A0B">
        <w:rPr>
          <w:szCs w:val="22"/>
        </w:rPr>
        <w:t xml:space="preserve">The </w:t>
      </w:r>
      <w:r w:rsidR="003C068E" w:rsidRPr="00A84A0B">
        <w:rPr>
          <w:szCs w:val="22"/>
        </w:rPr>
        <w:t>PBAC noted</w:t>
      </w:r>
      <w:r w:rsidRPr="00A84A0B">
        <w:rPr>
          <w:szCs w:val="22"/>
        </w:rPr>
        <w:t xml:space="preserve"> that the sponsor provided squamous and non-squamous NSCLC patients with nivolumab through a Named Patient Program (BMSA NPP) and a Patient Access Program. The BMSA NPP commenced in March 2015 (for squamous NSCLC patients)</w:t>
      </w:r>
      <w:r w:rsidR="00EF4009" w:rsidRPr="00A84A0B">
        <w:rPr>
          <w:szCs w:val="22"/>
        </w:rPr>
        <w:t xml:space="preserve"> and June </w:t>
      </w:r>
      <w:r w:rsidR="005B38B1" w:rsidRPr="00A84A0B">
        <w:rPr>
          <w:szCs w:val="22"/>
        </w:rPr>
        <w:t xml:space="preserve">2015 (for non-squamous NSCLC patients) and enrolled patients up until TGA registration in March 2016. A total of </w:t>
      </w:r>
      <w:r w:rsidR="00653F4E">
        <w:rPr>
          <w:noProof/>
          <w:color w:val="000000"/>
          <w:szCs w:val="22"/>
          <w:highlight w:val="black"/>
        </w:rPr>
        <w:t>''''''''''</w:t>
      </w:r>
      <w:r w:rsidR="005B38B1" w:rsidRPr="00A84A0B">
        <w:rPr>
          <w:szCs w:val="22"/>
        </w:rPr>
        <w:t xml:space="preserve"> non-squamous and </w:t>
      </w:r>
      <w:r w:rsidR="00653F4E">
        <w:rPr>
          <w:noProof/>
          <w:color w:val="000000"/>
          <w:szCs w:val="22"/>
          <w:highlight w:val="black"/>
        </w:rPr>
        <w:t>'''''''''</w:t>
      </w:r>
      <w:r w:rsidR="005B38B1" w:rsidRPr="00A84A0B">
        <w:rPr>
          <w:szCs w:val="22"/>
        </w:rPr>
        <w:t xml:space="preserve"> squamous NSCLC patients were enrolled in the BMSA NPP. The Patient Access Program commenced in March 2016 after TGA registration with a total of </w:t>
      </w:r>
      <w:r w:rsidR="00653F4E">
        <w:rPr>
          <w:noProof/>
          <w:color w:val="000000"/>
          <w:szCs w:val="22"/>
          <w:highlight w:val="black"/>
        </w:rPr>
        <w:t>'''''''''''''</w:t>
      </w:r>
      <w:r w:rsidR="005B38B1" w:rsidRPr="00A84A0B">
        <w:rPr>
          <w:szCs w:val="22"/>
        </w:rPr>
        <w:t xml:space="preserve"> patients having been treated since </w:t>
      </w:r>
      <w:r w:rsidR="00EF4009" w:rsidRPr="00A84A0B">
        <w:rPr>
          <w:szCs w:val="22"/>
        </w:rPr>
        <w:t>commencement. It is unclear which of the two programs are being used as the dat</w:t>
      </w:r>
      <w:r w:rsidR="00771EE8" w:rsidRPr="00A84A0B">
        <w:rPr>
          <w:szCs w:val="22"/>
        </w:rPr>
        <w:t>a source within the submission.</w:t>
      </w:r>
    </w:p>
    <w:p w:rsidR="000D507C" w:rsidRPr="00A84A0B" w:rsidRDefault="000D507C" w:rsidP="005939DA">
      <w:pPr>
        <w:rPr>
          <w:rFonts w:ascii="Arial" w:hAnsi="Arial" w:cs="Arial"/>
          <w:sz w:val="22"/>
          <w:szCs w:val="22"/>
        </w:rPr>
      </w:pPr>
    </w:p>
    <w:p w:rsidR="000D507C" w:rsidRPr="00A84A0B" w:rsidRDefault="000D507C" w:rsidP="005939DA">
      <w:pPr>
        <w:ind w:firstLine="720"/>
        <w:rPr>
          <w:rFonts w:ascii="Arial" w:hAnsi="Arial" w:cs="Arial"/>
          <w:bCs/>
          <w:snapToGrid w:val="0"/>
          <w:sz w:val="22"/>
          <w:szCs w:val="22"/>
        </w:rPr>
      </w:pPr>
      <w:r w:rsidRPr="00A84A0B">
        <w:rPr>
          <w:rFonts w:ascii="Arial" w:hAnsi="Arial" w:cs="Arial"/>
          <w:bCs/>
          <w:i/>
          <w:snapToGrid w:val="0"/>
          <w:sz w:val="22"/>
          <w:szCs w:val="22"/>
        </w:rPr>
        <w:t>For more detail on PBAC’s view, see section 7 “PBAC outcome”</w:t>
      </w:r>
      <w:r w:rsidR="00CA7345" w:rsidRPr="00A84A0B">
        <w:rPr>
          <w:rFonts w:ascii="Arial" w:hAnsi="Arial" w:cs="Arial"/>
          <w:bCs/>
          <w:i/>
          <w:snapToGrid w:val="0"/>
          <w:sz w:val="22"/>
          <w:szCs w:val="22"/>
        </w:rPr>
        <w:t>.</w:t>
      </w:r>
    </w:p>
    <w:p w:rsidR="00BB7EC3" w:rsidRPr="00A84A0B" w:rsidRDefault="00BB7EC3" w:rsidP="005939DA">
      <w:pPr>
        <w:jc w:val="both"/>
        <w:rPr>
          <w:rFonts w:ascii="Arial" w:hAnsi="Arial"/>
          <w:sz w:val="22"/>
          <w:szCs w:val="22"/>
        </w:rPr>
      </w:pPr>
    </w:p>
    <w:p w:rsidR="008A1956" w:rsidRPr="00A84A0B" w:rsidRDefault="008A1956" w:rsidP="005939DA">
      <w:pPr>
        <w:jc w:val="both"/>
        <w:rPr>
          <w:rFonts w:ascii="Arial" w:hAnsi="Arial"/>
          <w:sz w:val="22"/>
          <w:szCs w:val="22"/>
        </w:rPr>
      </w:pPr>
    </w:p>
    <w:p w:rsidR="00CE10C4" w:rsidRPr="00A84A0B" w:rsidRDefault="00CE10C4" w:rsidP="005939DA">
      <w:pPr>
        <w:pStyle w:val="PBACHeading1"/>
        <w:keepNext/>
        <w:ind w:left="709" w:hanging="709"/>
      </w:pPr>
      <w:r w:rsidRPr="00A84A0B">
        <w:t>Clinical place for the proposed ther</w:t>
      </w:r>
      <w:r w:rsidR="006A12A5" w:rsidRPr="00A84A0B">
        <w:t>apy</w:t>
      </w:r>
    </w:p>
    <w:p w:rsidR="00CE10C4" w:rsidRPr="00A84A0B" w:rsidRDefault="00CE10C4" w:rsidP="005939DA">
      <w:pPr>
        <w:keepNext/>
        <w:jc w:val="both"/>
        <w:rPr>
          <w:rFonts w:ascii="Arial" w:hAnsi="Arial"/>
          <w:sz w:val="22"/>
          <w:szCs w:val="22"/>
        </w:rPr>
      </w:pPr>
    </w:p>
    <w:p w:rsidR="00125C21" w:rsidRPr="00A84A0B" w:rsidRDefault="00FA7302" w:rsidP="005939DA">
      <w:pPr>
        <w:pStyle w:val="ListParagraph"/>
        <w:keepNext/>
        <w:widowControl/>
        <w:numPr>
          <w:ilvl w:val="1"/>
          <w:numId w:val="1"/>
        </w:numPr>
        <w:rPr>
          <w:szCs w:val="22"/>
        </w:rPr>
      </w:pPr>
      <w:r w:rsidRPr="00A84A0B">
        <w:t>Unch</w:t>
      </w:r>
      <w:r w:rsidR="00CA7345" w:rsidRPr="00A84A0B">
        <w:t>anged from previous submission.</w:t>
      </w:r>
    </w:p>
    <w:p w:rsidR="008A1956" w:rsidRDefault="008A1956" w:rsidP="005939DA">
      <w:pPr>
        <w:pStyle w:val="Header"/>
        <w:keepNext/>
        <w:tabs>
          <w:tab w:val="clear" w:pos="4153"/>
          <w:tab w:val="clear" w:pos="8306"/>
        </w:tabs>
        <w:jc w:val="both"/>
        <w:rPr>
          <w:rFonts w:ascii="Arial" w:hAnsi="Arial"/>
          <w:sz w:val="22"/>
          <w:szCs w:val="22"/>
        </w:rPr>
      </w:pPr>
    </w:p>
    <w:p w:rsidR="0050015D" w:rsidRPr="00A84A0B" w:rsidRDefault="0050015D" w:rsidP="005939DA">
      <w:pPr>
        <w:pStyle w:val="Header"/>
        <w:keepNext/>
        <w:tabs>
          <w:tab w:val="clear" w:pos="4153"/>
          <w:tab w:val="clear" w:pos="8306"/>
        </w:tabs>
        <w:jc w:val="both"/>
        <w:rPr>
          <w:rFonts w:ascii="Arial" w:hAnsi="Arial"/>
          <w:sz w:val="22"/>
          <w:szCs w:val="22"/>
        </w:rPr>
      </w:pPr>
    </w:p>
    <w:p w:rsidR="005A3173" w:rsidRPr="00A84A0B" w:rsidRDefault="005A3173" w:rsidP="005939DA">
      <w:pPr>
        <w:pStyle w:val="PBACHeading1"/>
        <w:ind w:left="709" w:hanging="709"/>
      </w:pPr>
      <w:r w:rsidRPr="00A84A0B">
        <w:t>Comparator</w:t>
      </w:r>
    </w:p>
    <w:p w:rsidR="005A3173" w:rsidRPr="00A84A0B" w:rsidRDefault="005A3173" w:rsidP="005939DA">
      <w:pPr>
        <w:pStyle w:val="Header"/>
        <w:tabs>
          <w:tab w:val="clear" w:pos="4153"/>
          <w:tab w:val="clear" w:pos="8306"/>
        </w:tabs>
        <w:jc w:val="both"/>
        <w:rPr>
          <w:rFonts w:ascii="Arial" w:hAnsi="Arial"/>
          <w:sz w:val="22"/>
          <w:szCs w:val="22"/>
        </w:rPr>
      </w:pPr>
    </w:p>
    <w:p w:rsidR="00125C21" w:rsidRPr="00A84A0B" w:rsidRDefault="00A95389" w:rsidP="005939DA">
      <w:pPr>
        <w:pStyle w:val="ListParagraph"/>
        <w:widowControl/>
        <w:numPr>
          <w:ilvl w:val="1"/>
          <w:numId w:val="1"/>
        </w:numPr>
        <w:rPr>
          <w:szCs w:val="22"/>
        </w:rPr>
      </w:pPr>
      <w:r w:rsidRPr="00A84A0B">
        <w:rPr>
          <w:szCs w:val="22"/>
        </w:rPr>
        <w:t>Unchanged from previous submission.</w:t>
      </w:r>
    </w:p>
    <w:p w:rsidR="008A1956" w:rsidRDefault="008A1956" w:rsidP="005939DA">
      <w:pPr>
        <w:jc w:val="both"/>
        <w:rPr>
          <w:rFonts w:ascii="Arial" w:hAnsi="Arial"/>
          <w:sz w:val="22"/>
          <w:szCs w:val="22"/>
        </w:rPr>
      </w:pPr>
    </w:p>
    <w:p w:rsidR="0050015D" w:rsidRPr="00A84A0B" w:rsidRDefault="0050015D" w:rsidP="005939DA">
      <w:pPr>
        <w:jc w:val="both"/>
        <w:rPr>
          <w:rFonts w:ascii="Arial" w:hAnsi="Arial"/>
          <w:sz w:val="22"/>
          <w:szCs w:val="22"/>
        </w:rPr>
      </w:pPr>
    </w:p>
    <w:p w:rsidR="000B558D" w:rsidRPr="00A84A0B" w:rsidRDefault="008D7A41" w:rsidP="005939DA">
      <w:pPr>
        <w:pStyle w:val="PBACHeading1"/>
        <w:ind w:left="709" w:hanging="709"/>
      </w:pPr>
      <w:r w:rsidRPr="00A84A0B">
        <w:t>C</w:t>
      </w:r>
      <w:r w:rsidR="00D84934" w:rsidRPr="00A84A0B">
        <w:t>onsideration of the evidence</w:t>
      </w:r>
    </w:p>
    <w:p w:rsidR="00E91CDF" w:rsidRPr="00A84A0B" w:rsidRDefault="00E91CDF" w:rsidP="005939DA">
      <w:pPr>
        <w:rPr>
          <w:rFonts w:ascii="Arial" w:hAnsi="Arial" w:cs="Arial"/>
          <w:sz w:val="22"/>
          <w:szCs w:val="22"/>
        </w:rPr>
      </w:pPr>
    </w:p>
    <w:p w:rsidR="00E91CDF" w:rsidRPr="00B0280B" w:rsidRDefault="00E91CDF" w:rsidP="005939DA">
      <w:pPr>
        <w:pStyle w:val="Heading2"/>
      </w:pPr>
      <w:r w:rsidRPr="00B0280B">
        <w:t>Sponsor hearing</w:t>
      </w:r>
    </w:p>
    <w:p w:rsidR="00E91CDF" w:rsidRPr="00A84A0B" w:rsidRDefault="00E91CDF" w:rsidP="005939DA">
      <w:pPr>
        <w:rPr>
          <w:rFonts w:ascii="Arial" w:hAnsi="Arial" w:cs="Arial"/>
          <w:bCs/>
          <w:snapToGrid w:val="0"/>
          <w:sz w:val="22"/>
          <w:szCs w:val="22"/>
        </w:rPr>
      </w:pPr>
    </w:p>
    <w:p w:rsidR="00E91CDF" w:rsidRPr="00A84A0B" w:rsidRDefault="00E91CDF" w:rsidP="005939DA">
      <w:pPr>
        <w:numPr>
          <w:ilvl w:val="1"/>
          <w:numId w:val="1"/>
        </w:numPr>
        <w:rPr>
          <w:rFonts w:ascii="Arial" w:hAnsi="Arial" w:cs="Arial"/>
          <w:bCs/>
          <w:snapToGrid w:val="0"/>
          <w:sz w:val="22"/>
          <w:szCs w:val="22"/>
        </w:rPr>
      </w:pPr>
      <w:r w:rsidRPr="00A84A0B">
        <w:rPr>
          <w:rFonts w:ascii="Arial" w:hAnsi="Arial" w:cs="Arial"/>
          <w:bCs/>
          <w:snapToGrid w:val="0"/>
          <w:sz w:val="22"/>
          <w:szCs w:val="22"/>
        </w:rPr>
        <w:t>There was no hearing for this item as it was a minor submission.</w:t>
      </w:r>
    </w:p>
    <w:p w:rsidR="00E91CDF" w:rsidRPr="00A84A0B" w:rsidRDefault="00E91CDF" w:rsidP="005939DA">
      <w:pPr>
        <w:rPr>
          <w:rFonts w:ascii="Arial" w:hAnsi="Arial" w:cs="Arial"/>
          <w:bCs/>
          <w:snapToGrid w:val="0"/>
          <w:sz w:val="22"/>
          <w:szCs w:val="22"/>
          <w:highlight w:val="yellow"/>
        </w:rPr>
      </w:pPr>
    </w:p>
    <w:p w:rsidR="00E91CDF" w:rsidRPr="00B0280B" w:rsidRDefault="00E91CDF" w:rsidP="005939DA">
      <w:pPr>
        <w:pStyle w:val="Heading2"/>
      </w:pPr>
      <w:r w:rsidRPr="00B0280B">
        <w:t>Consumer comments</w:t>
      </w:r>
    </w:p>
    <w:p w:rsidR="00575093" w:rsidRPr="00A84A0B" w:rsidRDefault="00575093" w:rsidP="005939DA">
      <w:pPr>
        <w:rPr>
          <w:rFonts w:ascii="Arial" w:hAnsi="Arial" w:cs="Arial"/>
          <w:bCs/>
          <w:sz w:val="22"/>
          <w:szCs w:val="22"/>
          <w:highlight w:val="yellow"/>
        </w:rPr>
      </w:pPr>
    </w:p>
    <w:p w:rsidR="00575093" w:rsidRPr="00A84A0B" w:rsidRDefault="00575093" w:rsidP="005939DA">
      <w:pPr>
        <w:numPr>
          <w:ilvl w:val="1"/>
          <w:numId w:val="1"/>
        </w:numPr>
        <w:rPr>
          <w:rFonts w:ascii="Arial" w:hAnsi="Arial" w:cs="Arial"/>
          <w:bCs/>
          <w:snapToGrid w:val="0"/>
          <w:sz w:val="22"/>
          <w:szCs w:val="22"/>
        </w:rPr>
      </w:pPr>
      <w:r w:rsidRPr="00A84A0B">
        <w:rPr>
          <w:rFonts w:ascii="Arial" w:hAnsi="Arial" w:cs="Arial"/>
          <w:bCs/>
          <w:snapToGrid w:val="0"/>
          <w:sz w:val="22"/>
          <w:szCs w:val="22"/>
        </w:rPr>
        <w:t>The PBAC noted that no consumer comments were received for this item</w:t>
      </w:r>
      <w:r w:rsidR="00FA74B6" w:rsidRPr="00A84A0B">
        <w:rPr>
          <w:rFonts w:ascii="Arial" w:hAnsi="Arial" w:cs="Arial"/>
          <w:bCs/>
          <w:snapToGrid w:val="0"/>
          <w:sz w:val="22"/>
          <w:szCs w:val="22"/>
        </w:rPr>
        <w:t>.</w:t>
      </w:r>
    </w:p>
    <w:p w:rsidR="00BB7EC3" w:rsidRPr="00A84A0B" w:rsidRDefault="00BB7EC3" w:rsidP="005939DA">
      <w:pPr>
        <w:jc w:val="both"/>
        <w:rPr>
          <w:rFonts w:ascii="Arial" w:hAnsi="Arial"/>
          <w:sz w:val="22"/>
          <w:szCs w:val="22"/>
        </w:rPr>
      </w:pPr>
    </w:p>
    <w:p w:rsidR="00D84934" w:rsidRPr="00A84A0B" w:rsidRDefault="00D84934" w:rsidP="005939DA">
      <w:pPr>
        <w:pStyle w:val="Heading2"/>
      </w:pPr>
      <w:r w:rsidRPr="00A84A0B">
        <w:t>Clinical trials</w:t>
      </w:r>
    </w:p>
    <w:p w:rsidR="00D84934" w:rsidRPr="00A84A0B" w:rsidRDefault="00D84934" w:rsidP="005939DA">
      <w:pPr>
        <w:jc w:val="both"/>
        <w:rPr>
          <w:rFonts w:ascii="Arial" w:hAnsi="Arial"/>
          <w:sz w:val="22"/>
          <w:szCs w:val="22"/>
        </w:rPr>
      </w:pPr>
    </w:p>
    <w:p w:rsidR="009F4E46" w:rsidRPr="00A84A0B" w:rsidRDefault="00FA7302" w:rsidP="005939DA">
      <w:pPr>
        <w:pStyle w:val="ListParagraph"/>
        <w:widowControl/>
        <w:numPr>
          <w:ilvl w:val="1"/>
          <w:numId w:val="1"/>
        </w:numPr>
        <w:ind w:left="709"/>
        <w:rPr>
          <w:szCs w:val="22"/>
        </w:rPr>
      </w:pPr>
      <w:r w:rsidRPr="00A84A0B">
        <w:rPr>
          <w:szCs w:val="22"/>
        </w:rPr>
        <w:t>The minor re-submission referenced a number of trials already considered by the PBAC</w:t>
      </w:r>
      <w:r w:rsidR="00A84A0B">
        <w:rPr>
          <w:szCs w:val="22"/>
        </w:rPr>
        <w:t>.</w:t>
      </w:r>
      <w:r w:rsidRPr="00A84A0B">
        <w:rPr>
          <w:szCs w:val="22"/>
        </w:rPr>
        <w:t xml:space="preserve"> </w:t>
      </w:r>
      <w:r w:rsidR="00A84A0B">
        <w:rPr>
          <w:szCs w:val="22"/>
        </w:rPr>
        <w:t>N</w:t>
      </w:r>
      <w:r w:rsidR="00A84A0B" w:rsidRPr="00A84A0B">
        <w:rPr>
          <w:szCs w:val="22"/>
        </w:rPr>
        <w:t xml:space="preserve">ew </w:t>
      </w:r>
      <w:r w:rsidR="0076420C" w:rsidRPr="00A84A0B">
        <w:rPr>
          <w:szCs w:val="22"/>
        </w:rPr>
        <w:t xml:space="preserve">clinical trials </w:t>
      </w:r>
      <w:r w:rsidR="00A84A0B">
        <w:rPr>
          <w:szCs w:val="22"/>
        </w:rPr>
        <w:t xml:space="preserve">were also presented </w:t>
      </w:r>
      <w:r w:rsidR="0079293E" w:rsidRPr="00A84A0B">
        <w:rPr>
          <w:szCs w:val="22"/>
        </w:rPr>
        <w:t>in the minor re</w:t>
      </w:r>
      <w:r w:rsidR="003C068E" w:rsidRPr="00A84A0B">
        <w:rPr>
          <w:szCs w:val="22"/>
        </w:rPr>
        <w:noBreakHyphen/>
      </w:r>
      <w:r w:rsidR="0076420C" w:rsidRPr="00A84A0B">
        <w:rPr>
          <w:szCs w:val="22"/>
        </w:rPr>
        <w:t>submission</w:t>
      </w:r>
      <w:r w:rsidR="00044DC8" w:rsidRPr="00A84A0B">
        <w:rPr>
          <w:szCs w:val="22"/>
        </w:rPr>
        <w:t xml:space="preserve">, in-line with the PBAC’s suggestion that an expanded meta-analysis including comparative trials of other existing and emerging immunotherapies with the same or similar mechanism </w:t>
      </w:r>
      <w:r w:rsidR="00044DC8" w:rsidRPr="00A84A0B">
        <w:rPr>
          <w:szCs w:val="22"/>
        </w:rPr>
        <w:lastRenderedPageBreak/>
        <w:t>of action on the programmed cell death pathway, and a further expansion to include comparative trials across other cancer types could be included</w:t>
      </w:r>
      <w:r w:rsidR="0076420C" w:rsidRPr="00A84A0B">
        <w:rPr>
          <w:szCs w:val="22"/>
        </w:rPr>
        <w:t>.</w:t>
      </w:r>
      <w:r w:rsidR="0079293E" w:rsidRPr="00A84A0B">
        <w:rPr>
          <w:szCs w:val="22"/>
        </w:rPr>
        <w:t xml:space="preserve"> </w:t>
      </w:r>
      <w:r w:rsidR="009D1982" w:rsidRPr="00A84A0B">
        <w:rPr>
          <w:szCs w:val="22"/>
        </w:rPr>
        <w:t xml:space="preserve">Table 1 </w:t>
      </w:r>
      <w:r w:rsidR="00044DC8" w:rsidRPr="00A84A0B">
        <w:rPr>
          <w:szCs w:val="22"/>
        </w:rPr>
        <w:t>summarises the trials presented in t</w:t>
      </w:r>
      <w:r w:rsidR="009F4E46" w:rsidRPr="00A84A0B">
        <w:rPr>
          <w:szCs w:val="22"/>
        </w:rPr>
        <w:t xml:space="preserve">he minor </w:t>
      </w:r>
      <w:r w:rsidR="0079293E" w:rsidRPr="00A84A0B">
        <w:rPr>
          <w:szCs w:val="22"/>
        </w:rPr>
        <w:t>re-</w:t>
      </w:r>
      <w:r w:rsidR="009F4E46" w:rsidRPr="00A84A0B">
        <w:rPr>
          <w:szCs w:val="22"/>
        </w:rPr>
        <w:t>submission</w:t>
      </w:r>
      <w:r w:rsidR="00044DC8" w:rsidRPr="00A84A0B">
        <w:rPr>
          <w:szCs w:val="22"/>
        </w:rPr>
        <w:t>.</w:t>
      </w:r>
    </w:p>
    <w:p w:rsidR="0076420C" w:rsidRPr="00A84A0B" w:rsidRDefault="0076420C" w:rsidP="005939DA">
      <w:pPr>
        <w:ind w:left="-11"/>
        <w:jc w:val="both"/>
        <w:rPr>
          <w:rFonts w:ascii="Arial" w:hAnsi="Arial"/>
          <w:sz w:val="22"/>
          <w:szCs w:val="22"/>
        </w:rPr>
      </w:pPr>
    </w:p>
    <w:p w:rsidR="0076420C" w:rsidRPr="00A84A0B" w:rsidRDefault="00044DC8" w:rsidP="005939DA">
      <w:pPr>
        <w:pStyle w:val="NoSpacing"/>
        <w:keepNext/>
        <w:ind w:left="709"/>
        <w:rPr>
          <w:rFonts w:ascii="Arial Narrow" w:hAnsi="Arial Narrow"/>
          <w:b/>
          <w:sz w:val="20"/>
        </w:rPr>
      </w:pPr>
      <w:r w:rsidRPr="00A84A0B">
        <w:rPr>
          <w:rFonts w:ascii="Arial Narrow" w:hAnsi="Arial Narrow"/>
          <w:b/>
          <w:sz w:val="20"/>
        </w:rPr>
        <w:t xml:space="preserve">Table 1: </w:t>
      </w:r>
      <w:r w:rsidR="0076420C" w:rsidRPr="00A84A0B">
        <w:rPr>
          <w:rFonts w:ascii="Arial Narrow" w:hAnsi="Arial Narrow"/>
          <w:b/>
          <w:sz w:val="20"/>
        </w:rPr>
        <w:t>Trials and associated reports presented in the re-submission</w:t>
      </w: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701"/>
        <w:gridCol w:w="2693"/>
        <w:gridCol w:w="2410"/>
        <w:gridCol w:w="1559"/>
      </w:tblGrid>
      <w:tr w:rsidR="00940492" w:rsidRPr="00A84A0B" w:rsidTr="000B622A">
        <w:trPr>
          <w:cantSplit/>
          <w:tblHeader/>
        </w:trPr>
        <w:tc>
          <w:tcPr>
            <w:tcW w:w="1701" w:type="dxa"/>
            <w:vAlign w:val="center"/>
          </w:tcPr>
          <w:p w:rsidR="00940492" w:rsidRPr="00A84A0B" w:rsidRDefault="00940492" w:rsidP="005939DA">
            <w:pPr>
              <w:pStyle w:val="NoSpacing"/>
              <w:jc w:val="left"/>
              <w:rPr>
                <w:rFonts w:ascii="Arial Narrow" w:hAnsi="Arial Narrow"/>
                <w:b/>
                <w:sz w:val="20"/>
              </w:rPr>
            </w:pPr>
            <w:r w:rsidRPr="00A84A0B">
              <w:rPr>
                <w:rFonts w:ascii="Arial Narrow" w:hAnsi="Arial Narrow"/>
                <w:b/>
                <w:sz w:val="20"/>
              </w:rPr>
              <w:t>Trial ID</w:t>
            </w:r>
          </w:p>
        </w:tc>
        <w:tc>
          <w:tcPr>
            <w:tcW w:w="2693" w:type="dxa"/>
            <w:vAlign w:val="center"/>
          </w:tcPr>
          <w:p w:rsidR="00940492" w:rsidRPr="00A84A0B" w:rsidRDefault="00940492" w:rsidP="005939DA">
            <w:pPr>
              <w:keepNext/>
              <w:jc w:val="center"/>
              <w:rPr>
                <w:rFonts w:ascii="Arial Narrow" w:hAnsi="Arial Narrow"/>
                <w:b/>
                <w:sz w:val="20"/>
              </w:rPr>
            </w:pPr>
            <w:r w:rsidRPr="00A84A0B">
              <w:rPr>
                <w:rFonts w:ascii="Arial Narrow" w:hAnsi="Arial Narrow"/>
                <w:b/>
                <w:sz w:val="20"/>
              </w:rPr>
              <w:t>Protocol title/ Publication title</w:t>
            </w:r>
          </w:p>
        </w:tc>
        <w:tc>
          <w:tcPr>
            <w:tcW w:w="2410" w:type="dxa"/>
            <w:vAlign w:val="center"/>
          </w:tcPr>
          <w:p w:rsidR="00940492" w:rsidRPr="00A84A0B" w:rsidRDefault="00940492" w:rsidP="005939DA">
            <w:pPr>
              <w:keepNext/>
              <w:jc w:val="center"/>
              <w:rPr>
                <w:rFonts w:ascii="Arial Narrow" w:hAnsi="Arial Narrow"/>
                <w:b/>
                <w:sz w:val="20"/>
              </w:rPr>
            </w:pPr>
            <w:r w:rsidRPr="00A84A0B">
              <w:rPr>
                <w:rFonts w:ascii="Arial Narrow" w:hAnsi="Arial Narrow"/>
                <w:b/>
                <w:sz w:val="20"/>
              </w:rPr>
              <w:t>Publication citation</w:t>
            </w:r>
          </w:p>
        </w:tc>
        <w:tc>
          <w:tcPr>
            <w:tcW w:w="1559" w:type="dxa"/>
            <w:vAlign w:val="center"/>
          </w:tcPr>
          <w:p w:rsidR="00940492" w:rsidRPr="00A84A0B" w:rsidRDefault="00F63240" w:rsidP="005939DA">
            <w:pPr>
              <w:keepNext/>
              <w:jc w:val="center"/>
              <w:rPr>
                <w:rFonts w:ascii="Arial Narrow" w:hAnsi="Arial Narrow"/>
                <w:b/>
                <w:sz w:val="20"/>
              </w:rPr>
            </w:pPr>
            <w:r w:rsidRPr="00A84A0B">
              <w:rPr>
                <w:rFonts w:ascii="Arial Narrow" w:hAnsi="Arial Narrow"/>
                <w:b/>
                <w:sz w:val="20"/>
              </w:rPr>
              <w:t>Previously considered*</w:t>
            </w:r>
          </w:p>
        </w:tc>
      </w:tr>
      <w:tr w:rsidR="00940492" w:rsidRPr="00A84A0B" w:rsidTr="0050015D">
        <w:trPr>
          <w:cantSplit/>
          <w:trHeight w:val="340"/>
        </w:trPr>
        <w:tc>
          <w:tcPr>
            <w:tcW w:w="8363" w:type="dxa"/>
            <w:gridSpan w:val="4"/>
            <w:vAlign w:val="center"/>
          </w:tcPr>
          <w:p w:rsidR="00940492" w:rsidRPr="00A84A0B" w:rsidRDefault="00940492" w:rsidP="005939DA">
            <w:pPr>
              <w:pStyle w:val="NoSpacing"/>
              <w:jc w:val="left"/>
              <w:rPr>
                <w:rFonts w:ascii="Arial Narrow" w:hAnsi="Arial Narrow"/>
                <w:sz w:val="20"/>
              </w:rPr>
            </w:pPr>
            <w:r w:rsidRPr="00A84A0B">
              <w:rPr>
                <w:rFonts w:ascii="Arial Narrow" w:hAnsi="Arial Narrow"/>
                <w:b/>
                <w:sz w:val="20"/>
              </w:rPr>
              <w:t>Direct randomised trials – nivolumab for second-line treatment of NSCLC</w:t>
            </w:r>
          </w:p>
        </w:tc>
      </w:tr>
      <w:tr w:rsidR="00F63240" w:rsidRPr="00A84A0B" w:rsidTr="0050015D">
        <w:trPr>
          <w:cantSplit/>
          <w:trHeight w:val="151"/>
        </w:trPr>
        <w:tc>
          <w:tcPr>
            <w:tcW w:w="1701" w:type="dxa"/>
            <w:vMerge w:val="restart"/>
            <w:vAlign w:val="center"/>
          </w:tcPr>
          <w:p w:rsidR="00F63240" w:rsidRPr="00A84A0B" w:rsidRDefault="00F63240" w:rsidP="005939DA">
            <w:pPr>
              <w:pStyle w:val="NoSpacing"/>
              <w:jc w:val="left"/>
              <w:rPr>
                <w:rFonts w:ascii="Arial Narrow" w:hAnsi="Arial Narrow"/>
                <w:sz w:val="20"/>
                <w:szCs w:val="20"/>
              </w:rPr>
            </w:pPr>
            <w:r w:rsidRPr="00A84A0B">
              <w:rPr>
                <w:rFonts w:ascii="Arial Narrow" w:hAnsi="Arial Narrow"/>
                <w:sz w:val="20"/>
                <w:szCs w:val="20"/>
              </w:rPr>
              <w:t>CA209-017 (017)</w:t>
            </w:r>
          </w:p>
        </w:tc>
        <w:tc>
          <w:tcPr>
            <w:tcW w:w="2693" w:type="dxa"/>
            <w:tcBorders>
              <w:bottom w:val="nil"/>
            </w:tcBorders>
          </w:tcPr>
          <w:p w:rsidR="00F63240" w:rsidRPr="00A84A0B" w:rsidRDefault="00F63240" w:rsidP="005939DA">
            <w:pPr>
              <w:keepNext/>
              <w:spacing w:after="60"/>
              <w:rPr>
                <w:rFonts w:ascii="Arial Narrow" w:hAnsi="Arial Narrow"/>
                <w:sz w:val="20"/>
              </w:rPr>
            </w:pPr>
            <w:r w:rsidRPr="00A84A0B">
              <w:rPr>
                <w:rFonts w:ascii="Arial Narrow" w:hAnsi="Arial Narrow"/>
                <w:sz w:val="20"/>
              </w:rPr>
              <w:t>Clinical Study Report for Study CA209-017</w:t>
            </w:r>
          </w:p>
        </w:tc>
        <w:tc>
          <w:tcPr>
            <w:tcW w:w="2410" w:type="dxa"/>
            <w:tcBorders>
              <w:bottom w:val="nil"/>
            </w:tcBorders>
          </w:tcPr>
          <w:p w:rsidR="00F63240" w:rsidRPr="00A84A0B" w:rsidRDefault="00F63240" w:rsidP="005939DA">
            <w:pPr>
              <w:keepNext/>
              <w:rPr>
                <w:rFonts w:ascii="Arial Narrow" w:hAnsi="Arial Narrow"/>
                <w:sz w:val="20"/>
              </w:rPr>
            </w:pPr>
          </w:p>
        </w:tc>
        <w:tc>
          <w:tcPr>
            <w:tcW w:w="1559" w:type="dxa"/>
            <w:vMerge w:val="restart"/>
            <w:vAlign w:val="center"/>
          </w:tcPr>
          <w:p w:rsidR="0079293E" w:rsidRPr="00A84A0B" w:rsidRDefault="00E26DB9" w:rsidP="005939DA">
            <w:pPr>
              <w:keepNext/>
              <w:jc w:val="center"/>
              <w:rPr>
                <w:rFonts w:ascii="Arial Narrow" w:hAnsi="Arial Narrow"/>
                <w:sz w:val="20"/>
              </w:rPr>
            </w:pPr>
            <w:r w:rsidRPr="00A84A0B">
              <w:rPr>
                <w:rFonts w:ascii="Arial Narrow" w:hAnsi="Arial Narrow"/>
                <w:sz w:val="20"/>
              </w:rPr>
              <w:t>Nivolumab</w:t>
            </w:r>
            <w:r w:rsidR="00F63240" w:rsidRPr="00A84A0B">
              <w:rPr>
                <w:rFonts w:ascii="Arial Narrow" w:hAnsi="Arial Narrow"/>
                <w:sz w:val="20"/>
              </w:rPr>
              <w:t xml:space="preserve"> </w:t>
            </w:r>
          </w:p>
          <w:p w:rsidR="00F63240" w:rsidRPr="00A84A0B" w:rsidRDefault="0079293E" w:rsidP="005939DA">
            <w:pPr>
              <w:keepNext/>
              <w:jc w:val="center"/>
              <w:rPr>
                <w:rFonts w:ascii="Arial Narrow" w:hAnsi="Arial Narrow"/>
                <w:sz w:val="20"/>
              </w:rPr>
            </w:pPr>
            <w:r w:rsidRPr="00A84A0B">
              <w:rPr>
                <w:rFonts w:ascii="Arial Narrow" w:hAnsi="Arial Narrow"/>
                <w:sz w:val="20"/>
              </w:rPr>
              <w:t>(</w:t>
            </w:r>
            <w:r w:rsidR="00F63240" w:rsidRPr="00A84A0B">
              <w:rPr>
                <w:rFonts w:ascii="Arial Narrow" w:hAnsi="Arial Narrow"/>
                <w:sz w:val="20"/>
              </w:rPr>
              <w:t>March &amp; November 2016</w:t>
            </w:r>
            <w:r w:rsidRPr="00A84A0B">
              <w:rPr>
                <w:rFonts w:ascii="Arial Narrow" w:hAnsi="Arial Narrow"/>
                <w:sz w:val="20"/>
              </w:rPr>
              <w:t>)</w:t>
            </w:r>
          </w:p>
        </w:tc>
      </w:tr>
      <w:tr w:rsidR="00F63240" w:rsidRPr="00A84A0B" w:rsidTr="00563452">
        <w:trPr>
          <w:cantSplit/>
          <w:trHeight w:val="696"/>
        </w:trPr>
        <w:tc>
          <w:tcPr>
            <w:tcW w:w="1701" w:type="dxa"/>
            <w:vMerge/>
            <w:vAlign w:val="center"/>
          </w:tcPr>
          <w:p w:rsidR="00F63240" w:rsidRPr="00A84A0B" w:rsidRDefault="00F63240" w:rsidP="005939DA">
            <w:pPr>
              <w:pStyle w:val="NoSpacing"/>
              <w:jc w:val="left"/>
              <w:rPr>
                <w:rFonts w:ascii="Arial Narrow" w:hAnsi="Arial Narrow"/>
                <w:sz w:val="20"/>
              </w:rPr>
            </w:pPr>
          </w:p>
        </w:tc>
        <w:tc>
          <w:tcPr>
            <w:tcW w:w="2693" w:type="dxa"/>
            <w:tcBorders>
              <w:top w:val="nil"/>
            </w:tcBorders>
          </w:tcPr>
          <w:p w:rsidR="00F63240" w:rsidRDefault="00F63240" w:rsidP="005939DA">
            <w:pPr>
              <w:keepNext/>
              <w:rPr>
                <w:rFonts w:ascii="Arial Narrow" w:hAnsi="Arial Narrow"/>
                <w:sz w:val="20"/>
              </w:rPr>
            </w:pPr>
            <w:r w:rsidRPr="00A84A0B">
              <w:rPr>
                <w:rFonts w:ascii="Arial Narrow" w:hAnsi="Arial Narrow"/>
                <w:sz w:val="20"/>
              </w:rPr>
              <w:t xml:space="preserve">Nivolumab versus Docetaxel in Advanced Squamous-Cell Non–Small-Cell Lung Cancer. </w:t>
            </w:r>
          </w:p>
          <w:p w:rsidR="0050015D" w:rsidRPr="00A84A0B" w:rsidRDefault="0050015D" w:rsidP="005939DA">
            <w:pPr>
              <w:keepNext/>
              <w:rPr>
                <w:rFonts w:ascii="Arial Narrow" w:hAnsi="Arial Narrow"/>
                <w:sz w:val="20"/>
              </w:rPr>
            </w:pPr>
          </w:p>
        </w:tc>
        <w:tc>
          <w:tcPr>
            <w:tcW w:w="2410" w:type="dxa"/>
            <w:tcBorders>
              <w:top w:val="nil"/>
            </w:tcBorders>
          </w:tcPr>
          <w:p w:rsidR="00F63240" w:rsidRPr="00A84A0B" w:rsidRDefault="00F63240" w:rsidP="005939DA">
            <w:pPr>
              <w:keepNext/>
              <w:rPr>
                <w:rFonts w:ascii="Arial Narrow" w:hAnsi="Arial Narrow"/>
                <w:sz w:val="20"/>
              </w:rPr>
            </w:pPr>
            <w:r w:rsidRPr="00A84A0B">
              <w:rPr>
                <w:rFonts w:ascii="Arial Narrow" w:hAnsi="Arial Narrow"/>
                <w:sz w:val="20"/>
              </w:rPr>
              <w:t>Brahmer J, Reckamp K, Crino L et al. N Engl J Med 2015;373:123-35.</w:t>
            </w:r>
          </w:p>
        </w:tc>
        <w:tc>
          <w:tcPr>
            <w:tcW w:w="1559" w:type="dxa"/>
            <w:vMerge/>
            <w:vAlign w:val="center"/>
          </w:tcPr>
          <w:p w:rsidR="00F63240" w:rsidRPr="00A84A0B" w:rsidRDefault="00F63240" w:rsidP="005939DA">
            <w:pPr>
              <w:keepNext/>
              <w:jc w:val="center"/>
              <w:rPr>
                <w:rFonts w:ascii="Arial Narrow" w:hAnsi="Arial Narrow"/>
                <w:sz w:val="20"/>
              </w:rPr>
            </w:pPr>
          </w:p>
        </w:tc>
      </w:tr>
      <w:tr w:rsidR="00F63240" w:rsidRPr="00A84A0B" w:rsidTr="00F63240">
        <w:trPr>
          <w:cantSplit/>
        </w:trPr>
        <w:tc>
          <w:tcPr>
            <w:tcW w:w="1701" w:type="dxa"/>
            <w:vAlign w:val="center"/>
          </w:tcPr>
          <w:p w:rsidR="00F63240" w:rsidRPr="00A84A0B" w:rsidRDefault="00F63240" w:rsidP="005939DA">
            <w:pPr>
              <w:pStyle w:val="NoSpacing"/>
              <w:jc w:val="left"/>
              <w:rPr>
                <w:rFonts w:ascii="Arial Narrow" w:hAnsi="Arial Narrow"/>
                <w:sz w:val="20"/>
                <w:szCs w:val="20"/>
              </w:rPr>
            </w:pPr>
            <w:r w:rsidRPr="00A84A0B">
              <w:rPr>
                <w:rFonts w:ascii="Arial Narrow" w:hAnsi="Arial Narrow"/>
                <w:sz w:val="20"/>
                <w:szCs w:val="20"/>
              </w:rPr>
              <w:t>CA209-057 (057)</w:t>
            </w:r>
          </w:p>
        </w:tc>
        <w:tc>
          <w:tcPr>
            <w:tcW w:w="2693" w:type="dxa"/>
          </w:tcPr>
          <w:p w:rsidR="00F63240" w:rsidRPr="00A84A0B" w:rsidRDefault="00F63240" w:rsidP="005939DA">
            <w:pPr>
              <w:keepNext/>
              <w:rPr>
                <w:rFonts w:ascii="Arial Narrow" w:hAnsi="Arial Narrow"/>
                <w:sz w:val="20"/>
              </w:rPr>
            </w:pPr>
            <w:r w:rsidRPr="00A84A0B">
              <w:rPr>
                <w:rFonts w:ascii="Arial Narrow" w:hAnsi="Arial Narrow"/>
                <w:sz w:val="20"/>
              </w:rPr>
              <w:t>Clinical Study Report for Study CA209-057</w:t>
            </w:r>
          </w:p>
          <w:p w:rsidR="00C05B1A" w:rsidRPr="00A84A0B" w:rsidRDefault="00C05B1A" w:rsidP="005939DA">
            <w:pPr>
              <w:keepNext/>
              <w:rPr>
                <w:rFonts w:ascii="Arial Narrow" w:hAnsi="Arial Narrow"/>
                <w:sz w:val="20"/>
              </w:rPr>
            </w:pPr>
            <w:r w:rsidRPr="00A84A0B">
              <w:rPr>
                <w:rFonts w:ascii="Arial Narrow" w:hAnsi="Arial Narrow"/>
                <w:sz w:val="20"/>
              </w:rPr>
              <w:t>Nivolumab versus</w:t>
            </w:r>
          </w:p>
          <w:p w:rsidR="00C05B1A" w:rsidRPr="00A84A0B" w:rsidRDefault="00C05B1A" w:rsidP="005939DA">
            <w:pPr>
              <w:keepNext/>
              <w:rPr>
                <w:rFonts w:ascii="Arial Narrow" w:hAnsi="Arial Narrow"/>
                <w:sz w:val="20"/>
              </w:rPr>
            </w:pPr>
            <w:r w:rsidRPr="00A84A0B">
              <w:rPr>
                <w:rFonts w:ascii="Arial Narrow" w:hAnsi="Arial Narrow"/>
                <w:sz w:val="20"/>
              </w:rPr>
              <w:t>Docetaxel in Advanced Nonsquamous Non–Small-Cell</w:t>
            </w:r>
          </w:p>
          <w:p w:rsidR="00C05B1A" w:rsidRDefault="00C05B1A" w:rsidP="005939DA">
            <w:pPr>
              <w:keepNext/>
              <w:rPr>
                <w:rFonts w:ascii="Arial Narrow" w:hAnsi="Arial Narrow"/>
                <w:sz w:val="20"/>
              </w:rPr>
            </w:pPr>
            <w:r w:rsidRPr="00A84A0B">
              <w:rPr>
                <w:rFonts w:ascii="Arial Narrow" w:hAnsi="Arial Narrow"/>
                <w:sz w:val="20"/>
              </w:rPr>
              <w:t>Lung Cancer.</w:t>
            </w:r>
          </w:p>
          <w:p w:rsidR="0050015D" w:rsidRPr="00A84A0B" w:rsidRDefault="0050015D" w:rsidP="005939DA">
            <w:pPr>
              <w:keepNext/>
              <w:rPr>
                <w:rFonts w:ascii="Arial Narrow" w:hAnsi="Arial Narrow"/>
                <w:sz w:val="20"/>
              </w:rPr>
            </w:pPr>
          </w:p>
        </w:tc>
        <w:tc>
          <w:tcPr>
            <w:tcW w:w="2410" w:type="dxa"/>
          </w:tcPr>
          <w:p w:rsidR="00C05B1A" w:rsidRPr="00A84A0B" w:rsidRDefault="00C05B1A" w:rsidP="005939DA">
            <w:pPr>
              <w:keepNext/>
              <w:rPr>
                <w:rFonts w:ascii="Arial Narrow" w:hAnsi="Arial Narrow"/>
                <w:sz w:val="20"/>
              </w:rPr>
            </w:pPr>
          </w:p>
          <w:p w:rsidR="00C05B1A" w:rsidRPr="00A84A0B" w:rsidRDefault="00C05B1A" w:rsidP="005939DA">
            <w:pPr>
              <w:keepNext/>
              <w:rPr>
                <w:rFonts w:ascii="Arial Narrow" w:hAnsi="Arial Narrow"/>
                <w:sz w:val="20"/>
              </w:rPr>
            </w:pPr>
          </w:p>
          <w:p w:rsidR="00F63240" w:rsidRPr="00A84A0B" w:rsidRDefault="00C05B1A" w:rsidP="005939DA">
            <w:pPr>
              <w:keepNext/>
              <w:rPr>
                <w:rFonts w:ascii="Arial Narrow" w:hAnsi="Arial Narrow"/>
                <w:sz w:val="20"/>
              </w:rPr>
            </w:pPr>
            <w:r w:rsidRPr="00A84A0B">
              <w:rPr>
                <w:rFonts w:ascii="Arial Narrow" w:hAnsi="Arial Narrow"/>
                <w:sz w:val="20"/>
              </w:rPr>
              <w:t>Borghaei H, Paz</w:t>
            </w:r>
            <w:r w:rsidRPr="00A84A0B">
              <w:rPr>
                <w:rFonts w:ascii="MS Gothic" w:eastAsia="MS Gothic" w:hAnsi="MS Gothic" w:cs="MS Gothic"/>
                <w:sz w:val="20"/>
              </w:rPr>
              <w:t>‑</w:t>
            </w:r>
            <w:r w:rsidRPr="00A84A0B">
              <w:rPr>
                <w:rFonts w:ascii="Arial Narrow" w:hAnsi="Arial Narrow"/>
                <w:sz w:val="20"/>
              </w:rPr>
              <w:t xml:space="preserve">Ares, L. Horn L, et al. </w:t>
            </w:r>
            <w:r w:rsidR="007848C1" w:rsidRPr="00A84A0B">
              <w:rPr>
                <w:rFonts w:ascii="Arial Narrow" w:hAnsi="Arial Narrow"/>
                <w:sz w:val="20"/>
              </w:rPr>
              <w:t>N Engl J Med 2015; 373:1627-39</w:t>
            </w:r>
          </w:p>
        </w:tc>
        <w:tc>
          <w:tcPr>
            <w:tcW w:w="1559" w:type="dxa"/>
            <w:vMerge/>
            <w:vAlign w:val="center"/>
          </w:tcPr>
          <w:p w:rsidR="00F63240" w:rsidRPr="00A84A0B" w:rsidRDefault="00F63240" w:rsidP="005939DA">
            <w:pPr>
              <w:keepNext/>
              <w:jc w:val="center"/>
              <w:rPr>
                <w:rFonts w:ascii="Arial Narrow" w:hAnsi="Arial Narrow"/>
                <w:sz w:val="20"/>
              </w:rPr>
            </w:pPr>
          </w:p>
        </w:tc>
      </w:tr>
      <w:tr w:rsidR="00940492" w:rsidRPr="00A84A0B" w:rsidTr="0050015D">
        <w:trPr>
          <w:cantSplit/>
          <w:trHeight w:val="340"/>
        </w:trPr>
        <w:tc>
          <w:tcPr>
            <w:tcW w:w="8363" w:type="dxa"/>
            <w:gridSpan w:val="4"/>
            <w:vAlign w:val="center"/>
          </w:tcPr>
          <w:p w:rsidR="00940492" w:rsidRPr="00A84A0B" w:rsidRDefault="00E068FF" w:rsidP="005939DA">
            <w:pPr>
              <w:keepNext/>
              <w:rPr>
                <w:rFonts w:ascii="Arial Narrow" w:hAnsi="Arial Narrow"/>
                <w:sz w:val="20"/>
              </w:rPr>
            </w:pPr>
            <w:r>
              <w:rPr>
                <w:rFonts w:ascii="Arial Narrow" w:hAnsi="Arial Narrow"/>
                <w:b/>
                <w:sz w:val="20"/>
              </w:rPr>
              <w:t xml:space="preserve">Single-arm study </w:t>
            </w:r>
            <w:r w:rsidR="00940492" w:rsidRPr="00A84A0B">
              <w:rPr>
                <w:rFonts w:ascii="Arial Narrow" w:hAnsi="Arial Narrow"/>
                <w:b/>
                <w:sz w:val="20"/>
              </w:rPr>
              <w:t>data – nivolumab for second-line treatment of NSCLC</w:t>
            </w:r>
          </w:p>
        </w:tc>
      </w:tr>
      <w:tr w:rsidR="00940492" w:rsidRPr="00A84A0B" w:rsidTr="00F63240">
        <w:trPr>
          <w:cantSplit/>
        </w:trPr>
        <w:tc>
          <w:tcPr>
            <w:tcW w:w="1701" w:type="dxa"/>
            <w:vAlign w:val="center"/>
          </w:tcPr>
          <w:p w:rsidR="00940492" w:rsidRPr="00A84A0B" w:rsidRDefault="00E65FEC" w:rsidP="005939DA">
            <w:pPr>
              <w:pStyle w:val="NoSpacing"/>
              <w:jc w:val="left"/>
              <w:rPr>
                <w:rFonts w:ascii="Arial Narrow" w:hAnsi="Arial Narrow"/>
                <w:sz w:val="20"/>
              </w:rPr>
            </w:pPr>
            <w:r w:rsidRPr="00A84A0B">
              <w:rPr>
                <w:rFonts w:ascii="Arial Narrow" w:hAnsi="Arial Narrow"/>
                <w:sz w:val="20"/>
              </w:rPr>
              <w:t>CHECKMATE-153</w:t>
            </w:r>
          </w:p>
        </w:tc>
        <w:tc>
          <w:tcPr>
            <w:tcW w:w="2693" w:type="dxa"/>
            <w:vAlign w:val="center"/>
          </w:tcPr>
          <w:p w:rsidR="00940492" w:rsidRPr="00A84A0B" w:rsidRDefault="00940492" w:rsidP="005939DA">
            <w:pPr>
              <w:keepNext/>
              <w:rPr>
                <w:rFonts w:ascii="Arial Narrow" w:hAnsi="Arial Narrow"/>
                <w:sz w:val="20"/>
              </w:rPr>
            </w:pPr>
            <w:r w:rsidRPr="00A84A0B">
              <w:rPr>
                <w:rFonts w:ascii="Arial Narrow" w:hAnsi="Arial Narrow"/>
                <w:sz w:val="20"/>
              </w:rPr>
              <w:t xml:space="preserve">Is Nivolumab Safe and Effective in Elderly and ECOG PS 2 Patients With NSCLC? Results of CheckMate 153. </w:t>
            </w:r>
          </w:p>
        </w:tc>
        <w:tc>
          <w:tcPr>
            <w:tcW w:w="2410" w:type="dxa"/>
          </w:tcPr>
          <w:p w:rsidR="00940492" w:rsidRDefault="00940492" w:rsidP="005939DA">
            <w:pPr>
              <w:keepNext/>
              <w:rPr>
                <w:rFonts w:ascii="Arial Narrow" w:hAnsi="Arial Narrow"/>
                <w:sz w:val="20"/>
              </w:rPr>
            </w:pPr>
            <w:r w:rsidRPr="00A84A0B">
              <w:rPr>
                <w:rFonts w:ascii="Arial Narrow" w:hAnsi="Arial Narrow"/>
                <w:sz w:val="20"/>
              </w:rPr>
              <w:t>Spigel D, Schwartzberg L, Waterhouse D. et al. Poster presented at the International Association for the Study of Lung Cancer 17th World Conference on Lung Cancer; December 4–7, 2016; Vienna, Austria</w:t>
            </w:r>
          </w:p>
          <w:p w:rsidR="0050015D" w:rsidRPr="00A84A0B" w:rsidRDefault="0050015D" w:rsidP="005939DA">
            <w:pPr>
              <w:keepNext/>
              <w:rPr>
                <w:rFonts w:ascii="Arial Narrow" w:hAnsi="Arial Narrow"/>
                <w:sz w:val="20"/>
              </w:rPr>
            </w:pPr>
          </w:p>
        </w:tc>
        <w:tc>
          <w:tcPr>
            <w:tcW w:w="1559" w:type="dxa"/>
            <w:vAlign w:val="center"/>
          </w:tcPr>
          <w:p w:rsidR="00940492" w:rsidRPr="00A84A0B" w:rsidRDefault="00F63240" w:rsidP="005939DA">
            <w:pPr>
              <w:keepNext/>
              <w:jc w:val="center"/>
              <w:rPr>
                <w:rFonts w:ascii="Arial Narrow" w:hAnsi="Arial Narrow"/>
                <w:sz w:val="20"/>
              </w:rPr>
            </w:pPr>
            <w:r w:rsidRPr="00A84A0B">
              <w:rPr>
                <w:rFonts w:ascii="Arial Narrow" w:hAnsi="Arial Narrow"/>
                <w:sz w:val="20"/>
              </w:rPr>
              <w:t xml:space="preserve">No </w:t>
            </w:r>
          </w:p>
        </w:tc>
      </w:tr>
      <w:tr w:rsidR="00940492" w:rsidRPr="00A84A0B" w:rsidTr="00F63240">
        <w:trPr>
          <w:cantSplit/>
        </w:trPr>
        <w:tc>
          <w:tcPr>
            <w:tcW w:w="1701" w:type="dxa"/>
            <w:vAlign w:val="center"/>
          </w:tcPr>
          <w:p w:rsidR="00940492" w:rsidRPr="00A84A0B" w:rsidRDefault="00940492" w:rsidP="005939DA">
            <w:pPr>
              <w:pStyle w:val="NoSpacing"/>
              <w:jc w:val="left"/>
              <w:rPr>
                <w:rFonts w:ascii="Arial Narrow" w:hAnsi="Arial Narrow"/>
                <w:sz w:val="20"/>
              </w:rPr>
            </w:pPr>
            <w:r w:rsidRPr="00A84A0B">
              <w:rPr>
                <w:rFonts w:ascii="Arial Narrow" w:hAnsi="Arial Narrow"/>
                <w:sz w:val="20"/>
              </w:rPr>
              <w:t xml:space="preserve">Italian Expanded Access Program </w:t>
            </w:r>
          </w:p>
        </w:tc>
        <w:tc>
          <w:tcPr>
            <w:tcW w:w="2693" w:type="dxa"/>
            <w:vAlign w:val="center"/>
          </w:tcPr>
          <w:p w:rsidR="00940492" w:rsidRPr="00A84A0B" w:rsidRDefault="00940492" w:rsidP="005939DA">
            <w:pPr>
              <w:keepNext/>
              <w:rPr>
                <w:rFonts w:ascii="Arial Narrow" w:hAnsi="Arial Narrow"/>
                <w:sz w:val="20"/>
              </w:rPr>
            </w:pPr>
            <w:r w:rsidRPr="00A84A0B">
              <w:rPr>
                <w:rFonts w:ascii="Arial Narrow" w:hAnsi="Arial Narrow"/>
                <w:sz w:val="20"/>
              </w:rPr>
              <w:t xml:space="preserve">Efficacy and Safety of Nivolumab in Elderly Patients With Advanced Squamous NSCLC Participating in the Expanded Access Program in Italy. </w:t>
            </w:r>
          </w:p>
        </w:tc>
        <w:tc>
          <w:tcPr>
            <w:tcW w:w="2410" w:type="dxa"/>
          </w:tcPr>
          <w:p w:rsidR="00940492" w:rsidRDefault="00940492" w:rsidP="005939DA">
            <w:pPr>
              <w:keepNext/>
              <w:rPr>
                <w:rFonts w:ascii="Arial Narrow" w:hAnsi="Arial Narrow"/>
                <w:sz w:val="20"/>
              </w:rPr>
            </w:pPr>
            <w:r w:rsidRPr="00A84A0B">
              <w:rPr>
                <w:rFonts w:ascii="Arial Narrow" w:hAnsi="Arial Narrow"/>
                <w:sz w:val="20"/>
              </w:rPr>
              <w:t>Grossi F, Crinò L, Misino A. et al. Poster presented at the European Society for Medical Oncology 41st Congress; October 7–11, 2016; Copenhagen, Denmark.</w:t>
            </w:r>
          </w:p>
          <w:p w:rsidR="0050015D" w:rsidRPr="00A84A0B" w:rsidRDefault="0050015D" w:rsidP="005939DA">
            <w:pPr>
              <w:keepNext/>
              <w:rPr>
                <w:rFonts w:ascii="Arial Narrow" w:hAnsi="Arial Narrow"/>
                <w:sz w:val="20"/>
              </w:rPr>
            </w:pPr>
          </w:p>
        </w:tc>
        <w:tc>
          <w:tcPr>
            <w:tcW w:w="1559" w:type="dxa"/>
            <w:vAlign w:val="center"/>
          </w:tcPr>
          <w:p w:rsidR="00940492" w:rsidRPr="00A84A0B" w:rsidRDefault="00F63240" w:rsidP="005939DA">
            <w:pPr>
              <w:keepNext/>
              <w:jc w:val="center"/>
              <w:rPr>
                <w:rFonts w:ascii="Arial Narrow" w:hAnsi="Arial Narrow"/>
                <w:sz w:val="20"/>
              </w:rPr>
            </w:pPr>
            <w:r w:rsidRPr="00A84A0B">
              <w:rPr>
                <w:rFonts w:ascii="Arial Narrow" w:hAnsi="Arial Narrow"/>
                <w:sz w:val="20"/>
              </w:rPr>
              <w:t xml:space="preserve">No </w:t>
            </w:r>
          </w:p>
        </w:tc>
      </w:tr>
      <w:tr w:rsidR="00940492" w:rsidRPr="00A84A0B" w:rsidTr="0050015D">
        <w:trPr>
          <w:cantSplit/>
          <w:trHeight w:val="340"/>
        </w:trPr>
        <w:tc>
          <w:tcPr>
            <w:tcW w:w="8363" w:type="dxa"/>
            <w:gridSpan w:val="4"/>
            <w:vAlign w:val="center"/>
          </w:tcPr>
          <w:p w:rsidR="00940492" w:rsidRPr="00A84A0B" w:rsidRDefault="00940492" w:rsidP="005939DA">
            <w:pPr>
              <w:pStyle w:val="NoSpacing"/>
              <w:jc w:val="left"/>
              <w:rPr>
                <w:rFonts w:ascii="Arial Narrow" w:hAnsi="Arial Narrow"/>
                <w:sz w:val="20"/>
              </w:rPr>
            </w:pPr>
            <w:r w:rsidRPr="00A84A0B">
              <w:rPr>
                <w:rFonts w:ascii="Arial Narrow" w:hAnsi="Arial Narrow"/>
                <w:b/>
                <w:sz w:val="20"/>
              </w:rPr>
              <w:t>Direct randomised trials – PD pathway treatments for NSCLC</w:t>
            </w:r>
          </w:p>
        </w:tc>
      </w:tr>
      <w:tr w:rsidR="00940492" w:rsidRPr="00A84A0B" w:rsidTr="00F63240">
        <w:trPr>
          <w:cantSplit/>
        </w:trPr>
        <w:tc>
          <w:tcPr>
            <w:tcW w:w="1701" w:type="dxa"/>
            <w:vAlign w:val="center"/>
          </w:tcPr>
          <w:p w:rsidR="00940492" w:rsidRPr="00A84A0B" w:rsidRDefault="00940492" w:rsidP="005939DA">
            <w:pPr>
              <w:pStyle w:val="NoSpacing"/>
              <w:jc w:val="left"/>
              <w:rPr>
                <w:rFonts w:ascii="Arial Narrow" w:hAnsi="Arial Narrow"/>
                <w:sz w:val="20"/>
              </w:rPr>
            </w:pPr>
            <w:r w:rsidRPr="00A84A0B">
              <w:rPr>
                <w:rFonts w:ascii="Arial Narrow" w:hAnsi="Arial Narrow"/>
                <w:sz w:val="20"/>
              </w:rPr>
              <w:t>Keynote-010 (KN-010)</w:t>
            </w:r>
          </w:p>
        </w:tc>
        <w:tc>
          <w:tcPr>
            <w:tcW w:w="2693" w:type="dxa"/>
          </w:tcPr>
          <w:p w:rsidR="0050015D" w:rsidRDefault="00940492" w:rsidP="005939DA">
            <w:pPr>
              <w:keepNext/>
              <w:rPr>
                <w:rFonts w:ascii="Arial Narrow" w:hAnsi="Arial Narrow"/>
                <w:sz w:val="20"/>
              </w:rPr>
            </w:pPr>
            <w:r w:rsidRPr="00A84A0B">
              <w:rPr>
                <w:rFonts w:ascii="Arial Narrow" w:hAnsi="Arial Narrow"/>
                <w:sz w:val="20"/>
              </w:rPr>
              <w:t xml:space="preserve">Pembrolizumab versus docetaxel for previously treated PD-L1-positive, advanced non-small-cell lung cancer (KEYNOTE-010): a randomised controlled trial. </w:t>
            </w:r>
          </w:p>
          <w:p w:rsidR="0050015D" w:rsidRPr="00A84A0B" w:rsidRDefault="0050015D" w:rsidP="005939DA">
            <w:pPr>
              <w:keepNext/>
              <w:rPr>
                <w:rFonts w:ascii="Arial Narrow" w:hAnsi="Arial Narrow"/>
                <w:sz w:val="20"/>
              </w:rPr>
            </w:pPr>
          </w:p>
        </w:tc>
        <w:tc>
          <w:tcPr>
            <w:tcW w:w="2410" w:type="dxa"/>
          </w:tcPr>
          <w:p w:rsidR="00940492" w:rsidRPr="00A84A0B" w:rsidRDefault="00940492" w:rsidP="005939DA">
            <w:pPr>
              <w:keepNext/>
              <w:rPr>
                <w:rFonts w:ascii="Arial Narrow" w:hAnsi="Arial Narrow"/>
                <w:sz w:val="20"/>
              </w:rPr>
            </w:pPr>
            <w:r w:rsidRPr="00A84A0B">
              <w:rPr>
                <w:rFonts w:ascii="Arial Narrow" w:hAnsi="Arial Narrow"/>
                <w:sz w:val="20"/>
              </w:rPr>
              <w:t>Herbst R, Baas P, Kim D-W et al. Lancet 2016; 387: 1540–50</w:t>
            </w:r>
          </w:p>
        </w:tc>
        <w:tc>
          <w:tcPr>
            <w:tcW w:w="1559" w:type="dxa"/>
            <w:vAlign w:val="center"/>
          </w:tcPr>
          <w:p w:rsidR="00940492" w:rsidRPr="00A84A0B" w:rsidRDefault="00F63240" w:rsidP="005939DA">
            <w:pPr>
              <w:keepNext/>
              <w:jc w:val="center"/>
              <w:rPr>
                <w:rFonts w:ascii="Arial Narrow" w:hAnsi="Arial Narrow"/>
                <w:sz w:val="20"/>
              </w:rPr>
            </w:pPr>
            <w:r w:rsidRPr="00A84A0B">
              <w:rPr>
                <w:rFonts w:ascii="Arial Narrow" w:hAnsi="Arial Narrow"/>
                <w:sz w:val="20"/>
              </w:rPr>
              <w:t>No</w:t>
            </w:r>
          </w:p>
        </w:tc>
      </w:tr>
      <w:tr w:rsidR="00940492" w:rsidRPr="00A84A0B" w:rsidTr="00F63240">
        <w:trPr>
          <w:cantSplit/>
        </w:trPr>
        <w:tc>
          <w:tcPr>
            <w:tcW w:w="1701" w:type="dxa"/>
            <w:vAlign w:val="center"/>
          </w:tcPr>
          <w:p w:rsidR="00940492" w:rsidRPr="00A84A0B" w:rsidRDefault="00940492" w:rsidP="005939DA">
            <w:pPr>
              <w:pStyle w:val="NoSpacing"/>
              <w:jc w:val="left"/>
              <w:rPr>
                <w:rFonts w:ascii="Arial Narrow" w:hAnsi="Arial Narrow"/>
                <w:sz w:val="20"/>
              </w:rPr>
            </w:pPr>
            <w:r w:rsidRPr="00A84A0B">
              <w:rPr>
                <w:rFonts w:ascii="Arial Narrow" w:hAnsi="Arial Narrow"/>
                <w:sz w:val="20"/>
              </w:rPr>
              <w:t>Keynote-024 (KN-024)</w:t>
            </w:r>
          </w:p>
        </w:tc>
        <w:tc>
          <w:tcPr>
            <w:tcW w:w="2693" w:type="dxa"/>
          </w:tcPr>
          <w:p w:rsidR="0050015D" w:rsidRDefault="00940492" w:rsidP="005939DA">
            <w:pPr>
              <w:keepNext/>
              <w:rPr>
                <w:rFonts w:ascii="Arial Narrow" w:hAnsi="Arial Narrow"/>
                <w:sz w:val="20"/>
              </w:rPr>
            </w:pPr>
            <w:r w:rsidRPr="00A84A0B">
              <w:rPr>
                <w:rFonts w:ascii="Arial Narrow" w:hAnsi="Arial Narrow"/>
                <w:sz w:val="20"/>
              </w:rPr>
              <w:t xml:space="preserve">Pembrolizumab versus Chemotherapy for PD-L1–Positive Non–Small-Cell Lung Cancer (KEYNOTE-024). </w:t>
            </w:r>
          </w:p>
          <w:p w:rsidR="0050015D" w:rsidRPr="00A84A0B" w:rsidRDefault="0050015D" w:rsidP="005939DA">
            <w:pPr>
              <w:keepNext/>
              <w:rPr>
                <w:rFonts w:ascii="Arial Narrow" w:hAnsi="Arial Narrow"/>
                <w:sz w:val="20"/>
              </w:rPr>
            </w:pPr>
          </w:p>
        </w:tc>
        <w:tc>
          <w:tcPr>
            <w:tcW w:w="2410" w:type="dxa"/>
          </w:tcPr>
          <w:p w:rsidR="00940492" w:rsidRPr="00A84A0B" w:rsidRDefault="00940492" w:rsidP="005939DA">
            <w:pPr>
              <w:keepNext/>
              <w:rPr>
                <w:rFonts w:ascii="Arial Narrow" w:hAnsi="Arial Narrow"/>
                <w:sz w:val="20"/>
              </w:rPr>
            </w:pPr>
            <w:r w:rsidRPr="00A84A0B">
              <w:rPr>
                <w:rFonts w:ascii="Arial Narrow" w:hAnsi="Arial Narrow"/>
                <w:sz w:val="20"/>
              </w:rPr>
              <w:t>Reck M, Rodríguez-Abreu D, Robinson A. N Engl J Med 2016;375:1823-33.</w:t>
            </w:r>
          </w:p>
        </w:tc>
        <w:tc>
          <w:tcPr>
            <w:tcW w:w="1559" w:type="dxa"/>
            <w:vAlign w:val="center"/>
          </w:tcPr>
          <w:p w:rsidR="00940492" w:rsidRPr="00A84A0B" w:rsidRDefault="00F63240" w:rsidP="005939DA">
            <w:pPr>
              <w:keepNext/>
              <w:jc w:val="center"/>
              <w:rPr>
                <w:rFonts w:ascii="Arial Narrow" w:hAnsi="Arial Narrow"/>
                <w:sz w:val="20"/>
              </w:rPr>
            </w:pPr>
            <w:r w:rsidRPr="00A84A0B">
              <w:rPr>
                <w:rFonts w:ascii="Arial Narrow" w:hAnsi="Arial Narrow"/>
                <w:sz w:val="20"/>
              </w:rPr>
              <w:t xml:space="preserve">No </w:t>
            </w:r>
          </w:p>
        </w:tc>
      </w:tr>
      <w:tr w:rsidR="00940492" w:rsidRPr="00A84A0B" w:rsidTr="00F63240">
        <w:trPr>
          <w:cantSplit/>
        </w:trPr>
        <w:tc>
          <w:tcPr>
            <w:tcW w:w="1701" w:type="dxa"/>
            <w:vAlign w:val="center"/>
          </w:tcPr>
          <w:p w:rsidR="00940492" w:rsidRPr="00A84A0B" w:rsidRDefault="00940492" w:rsidP="005939DA">
            <w:pPr>
              <w:pStyle w:val="NoSpacing"/>
              <w:jc w:val="left"/>
              <w:rPr>
                <w:rFonts w:ascii="Arial Narrow" w:hAnsi="Arial Narrow"/>
                <w:sz w:val="20"/>
              </w:rPr>
            </w:pPr>
            <w:r w:rsidRPr="00A84A0B">
              <w:rPr>
                <w:rFonts w:ascii="Arial Narrow" w:hAnsi="Arial Narrow"/>
                <w:sz w:val="20"/>
              </w:rPr>
              <w:lastRenderedPageBreak/>
              <w:t>OAK</w:t>
            </w:r>
          </w:p>
        </w:tc>
        <w:tc>
          <w:tcPr>
            <w:tcW w:w="2693" w:type="dxa"/>
            <w:vAlign w:val="center"/>
          </w:tcPr>
          <w:p w:rsidR="0050015D" w:rsidRPr="00A84A0B" w:rsidRDefault="00940492" w:rsidP="005939DA">
            <w:pPr>
              <w:keepNext/>
              <w:rPr>
                <w:rFonts w:ascii="Arial Narrow" w:hAnsi="Arial Narrow"/>
                <w:sz w:val="20"/>
              </w:rPr>
            </w:pPr>
            <w:r w:rsidRPr="00A84A0B">
              <w:rPr>
                <w:rFonts w:ascii="Arial Narrow" w:hAnsi="Arial Narrow"/>
                <w:sz w:val="20"/>
              </w:rPr>
              <w:t xml:space="preserve">Atezolizumab versus docetaxel in patients with previously treated non-small-cell lung cancer (OAK): a phase 3, open-label, multicentre randomised controlled trial. </w:t>
            </w:r>
          </w:p>
        </w:tc>
        <w:tc>
          <w:tcPr>
            <w:tcW w:w="2410" w:type="dxa"/>
          </w:tcPr>
          <w:p w:rsidR="00940492" w:rsidRPr="00A84A0B" w:rsidRDefault="00940492" w:rsidP="005939DA">
            <w:pPr>
              <w:keepNext/>
              <w:rPr>
                <w:rFonts w:ascii="Arial Narrow" w:hAnsi="Arial Narrow"/>
                <w:sz w:val="20"/>
              </w:rPr>
            </w:pPr>
            <w:r w:rsidRPr="00A84A0B">
              <w:rPr>
                <w:rFonts w:ascii="Arial Narrow" w:hAnsi="Arial Narrow"/>
                <w:sz w:val="20"/>
              </w:rPr>
              <w:t>Rittmeyer A, Barlesi F, Waterkamp D et al. Lancet 2016. http://dx.doi.org/10.1016/S0140-6736(16)32517-X</w:t>
            </w:r>
          </w:p>
        </w:tc>
        <w:tc>
          <w:tcPr>
            <w:tcW w:w="1559" w:type="dxa"/>
            <w:vAlign w:val="center"/>
          </w:tcPr>
          <w:p w:rsidR="00940492" w:rsidRPr="00A84A0B" w:rsidRDefault="00F63240" w:rsidP="005939DA">
            <w:pPr>
              <w:keepNext/>
              <w:jc w:val="center"/>
              <w:rPr>
                <w:rFonts w:ascii="Arial Narrow" w:hAnsi="Arial Narrow"/>
                <w:sz w:val="20"/>
              </w:rPr>
            </w:pPr>
            <w:r w:rsidRPr="00A84A0B">
              <w:rPr>
                <w:rFonts w:ascii="Arial Narrow" w:hAnsi="Arial Narrow"/>
                <w:sz w:val="20"/>
              </w:rPr>
              <w:t xml:space="preserve">No </w:t>
            </w:r>
          </w:p>
        </w:tc>
      </w:tr>
      <w:tr w:rsidR="00940492" w:rsidRPr="00A84A0B" w:rsidTr="0050015D">
        <w:trPr>
          <w:cantSplit/>
          <w:trHeight w:val="340"/>
        </w:trPr>
        <w:tc>
          <w:tcPr>
            <w:tcW w:w="8363" w:type="dxa"/>
            <w:gridSpan w:val="4"/>
            <w:vAlign w:val="center"/>
          </w:tcPr>
          <w:p w:rsidR="00940492" w:rsidRPr="00A84A0B" w:rsidRDefault="00E65FEC" w:rsidP="005939DA">
            <w:pPr>
              <w:pStyle w:val="NoSpacing"/>
              <w:jc w:val="left"/>
              <w:rPr>
                <w:rFonts w:ascii="Arial Narrow" w:hAnsi="Arial Narrow"/>
                <w:sz w:val="20"/>
              </w:rPr>
            </w:pPr>
            <w:r w:rsidRPr="00A84A0B">
              <w:rPr>
                <w:rFonts w:ascii="Arial Narrow" w:hAnsi="Arial Narrow"/>
                <w:b/>
                <w:sz w:val="20"/>
              </w:rPr>
              <w:t>Direct rand</w:t>
            </w:r>
            <w:r w:rsidR="00940492" w:rsidRPr="00A84A0B">
              <w:rPr>
                <w:rFonts w:ascii="Arial Narrow" w:hAnsi="Arial Narrow"/>
                <w:b/>
                <w:sz w:val="20"/>
              </w:rPr>
              <w:t xml:space="preserve">omised trials – </w:t>
            </w:r>
            <w:r w:rsidRPr="00A84A0B">
              <w:rPr>
                <w:rFonts w:ascii="Arial Narrow" w:hAnsi="Arial Narrow"/>
                <w:b/>
                <w:sz w:val="20"/>
              </w:rPr>
              <w:t>nivolumab for treatment of</w:t>
            </w:r>
            <w:r w:rsidR="00940492" w:rsidRPr="00A84A0B">
              <w:rPr>
                <w:rFonts w:ascii="Arial Narrow" w:hAnsi="Arial Narrow"/>
                <w:b/>
                <w:sz w:val="20"/>
              </w:rPr>
              <w:t xml:space="preserve"> other cancer types</w:t>
            </w:r>
          </w:p>
        </w:tc>
      </w:tr>
      <w:tr w:rsidR="00940492" w:rsidRPr="00A84A0B" w:rsidTr="00F63240">
        <w:trPr>
          <w:cantSplit/>
        </w:trPr>
        <w:tc>
          <w:tcPr>
            <w:tcW w:w="1701" w:type="dxa"/>
            <w:vAlign w:val="center"/>
          </w:tcPr>
          <w:p w:rsidR="00940492" w:rsidRPr="00A84A0B" w:rsidRDefault="00940492" w:rsidP="005939DA">
            <w:pPr>
              <w:pStyle w:val="NoSpacing"/>
              <w:jc w:val="left"/>
              <w:rPr>
                <w:rFonts w:ascii="Arial Narrow" w:hAnsi="Arial Narrow"/>
                <w:sz w:val="18"/>
              </w:rPr>
            </w:pPr>
            <w:r w:rsidRPr="00A84A0B">
              <w:rPr>
                <w:rFonts w:ascii="Arial Narrow" w:hAnsi="Arial Narrow"/>
                <w:sz w:val="20"/>
              </w:rPr>
              <w:t>CA209-037 (037)</w:t>
            </w:r>
          </w:p>
        </w:tc>
        <w:tc>
          <w:tcPr>
            <w:tcW w:w="2693" w:type="dxa"/>
            <w:vAlign w:val="center"/>
          </w:tcPr>
          <w:p w:rsidR="00940492" w:rsidRPr="00A84A0B" w:rsidRDefault="00940492" w:rsidP="005939DA">
            <w:pPr>
              <w:keepNext/>
              <w:rPr>
                <w:rFonts w:ascii="Arial Narrow" w:hAnsi="Arial Narrow"/>
                <w:sz w:val="20"/>
              </w:rPr>
            </w:pPr>
            <w:r w:rsidRPr="00A84A0B">
              <w:rPr>
                <w:rFonts w:ascii="Arial Narrow" w:hAnsi="Arial Narrow"/>
                <w:sz w:val="20"/>
              </w:rPr>
              <w:t>Clinical Study Report for Study CA209-037</w:t>
            </w:r>
          </w:p>
          <w:p w:rsidR="00311AC7" w:rsidRPr="00A84A0B" w:rsidRDefault="00311AC7" w:rsidP="005939DA">
            <w:pPr>
              <w:keepNext/>
              <w:rPr>
                <w:rFonts w:ascii="Arial Narrow" w:hAnsi="Arial Narrow"/>
                <w:sz w:val="20"/>
              </w:rPr>
            </w:pPr>
            <w:r w:rsidRPr="00A84A0B">
              <w:rPr>
                <w:rFonts w:ascii="Arial Narrow" w:hAnsi="Arial Narrow"/>
                <w:sz w:val="20"/>
              </w:rPr>
              <w:t>Nivolumab versus chemotherapy in patients with advanced melanoma who progressed after anti-CTLA-4 treatment (CheckMate 037): a randomised, controlled, open-label, phase 3 trial</w:t>
            </w:r>
          </w:p>
        </w:tc>
        <w:tc>
          <w:tcPr>
            <w:tcW w:w="2410" w:type="dxa"/>
          </w:tcPr>
          <w:p w:rsidR="00311AC7" w:rsidRPr="00A84A0B" w:rsidRDefault="00311AC7" w:rsidP="005939DA">
            <w:pPr>
              <w:keepNext/>
              <w:rPr>
                <w:rFonts w:ascii="Arial Narrow" w:hAnsi="Arial Narrow"/>
                <w:sz w:val="20"/>
              </w:rPr>
            </w:pPr>
          </w:p>
          <w:p w:rsidR="00311AC7" w:rsidRPr="00A84A0B" w:rsidRDefault="00311AC7" w:rsidP="005939DA">
            <w:pPr>
              <w:keepNext/>
              <w:rPr>
                <w:rFonts w:ascii="Arial Narrow" w:hAnsi="Arial Narrow"/>
                <w:sz w:val="20"/>
              </w:rPr>
            </w:pPr>
          </w:p>
          <w:p w:rsidR="00940492" w:rsidRPr="00A84A0B" w:rsidRDefault="00311AC7" w:rsidP="005939DA">
            <w:pPr>
              <w:keepNext/>
              <w:rPr>
                <w:rFonts w:ascii="Arial Narrow" w:hAnsi="Arial Narrow"/>
                <w:sz w:val="20"/>
              </w:rPr>
            </w:pPr>
            <w:r w:rsidRPr="00A84A0B">
              <w:rPr>
                <w:rFonts w:ascii="Arial Narrow" w:hAnsi="Arial Narrow"/>
                <w:sz w:val="20"/>
              </w:rPr>
              <w:t>Weber J, D'Angelo S, Minor D, Hodi F et a</w:t>
            </w:r>
            <w:r w:rsidR="00403F09" w:rsidRPr="00A84A0B">
              <w:rPr>
                <w:rFonts w:ascii="Arial Narrow" w:hAnsi="Arial Narrow"/>
                <w:sz w:val="20"/>
              </w:rPr>
              <w:t>l. Lancet Oncol. 2015;16(4):375-</w:t>
            </w:r>
            <w:r w:rsidRPr="00A84A0B">
              <w:rPr>
                <w:rFonts w:ascii="Arial Narrow" w:hAnsi="Arial Narrow"/>
                <w:sz w:val="20"/>
              </w:rPr>
              <w:t>84</w:t>
            </w:r>
            <w:r w:rsidR="00403F09" w:rsidRPr="00A84A0B">
              <w:rPr>
                <w:rFonts w:ascii="Arial Narrow" w:hAnsi="Arial Narrow"/>
                <w:sz w:val="20"/>
              </w:rPr>
              <w:t>.</w:t>
            </w:r>
          </w:p>
        </w:tc>
        <w:tc>
          <w:tcPr>
            <w:tcW w:w="1559" w:type="dxa"/>
            <w:vAlign w:val="center"/>
          </w:tcPr>
          <w:p w:rsidR="00940492" w:rsidRPr="00A84A0B" w:rsidRDefault="0079293E" w:rsidP="005939DA">
            <w:pPr>
              <w:keepNext/>
              <w:jc w:val="center"/>
              <w:rPr>
                <w:rFonts w:ascii="Arial Narrow" w:hAnsi="Arial Narrow"/>
                <w:sz w:val="20"/>
              </w:rPr>
            </w:pPr>
            <w:r w:rsidRPr="00A84A0B">
              <w:rPr>
                <w:rFonts w:ascii="Arial Narrow" w:hAnsi="Arial Narrow"/>
                <w:sz w:val="20"/>
              </w:rPr>
              <w:t xml:space="preserve">No </w:t>
            </w:r>
          </w:p>
        </w:tc>
      </w:tr>
      <w:tr w:rsidR="00940492" w:rsidRPr="00A84A0B" w:rsidTr="00F13FD2">
        <w:trPr>
          <w:cantSplit/>
        </w:trPr>
        <w:tc>
          <w:tcPr>
            <w:tcW w:w="1701" w:type="dxa"/>
            <w:vAlign w:val="center"/>
          </w:tcPr>
          <w:p w:rsidR="00940492" w:rsidRPr="00A84A0B" w:rsidRDefault="00940492" w:rsidP="005939DA">
            <w:pPr>
              <w:pStyle w:val="NoSpacing"/>
              <w:jc w:val="left"/>
              <w:rPr>
                <w:rFonts w:ascii="Arial Narrow" w:hAnsi="Arial Narrow"/>
                <w:sz w:val="20"/>
              </w:rPr>
            </w:pPr>
            <w:r w:rsidRPr="00A84A0B">
              <w:rPr>
                <w:rFonts w:ascii="Arial Narrow" w:hAnsi="Arial Narrow"/>
                <w:sz w:val="20"/>
              </w:rPr>
              <w:t>CA209-066 (066)</w:t>
            </w:r>
          </w:p>
        </w:tc>
        <w:tc>
          <w:tcPr>
            <w:tcW w:w="2693" w:type="dxa"/>
          </w:tcPr>
          <w:p w:rsidR="00940492" w:rsidRPr="00A84A0B" w:rsidRDefault="00940492" w:rsidP="005939DA">
            <w:pPr>
              <w:keepNext/>
              <w:rPr>
                <w:rFonts w:ascii="Arial Narrow" w:hAnsi="Arial Narrow"/>
                <w:sz w:val="20"/>
              </w:rPr>
            </w:pPr>
            <w:r w:rsidRPr="00A84A0B">
              <w:rPr>
                <w:rFonts w:ascii="Arial Narrow" w:hAnsi="Arial Narrow"/>
                <w:sz w:val="20"/>
              </w:rPr>
              <w:t>Clinical Study Report for Study CA209-066</w:t>
            </w:r>
          </w:p>
          <w:p w:rsidR="002D07F8" w:rsidRPr="00A84A0B" w:rsidRDefault="002D07F8" w:rsidP="005939DA">
            <w:pPr>
              <w:keepNext/>
              <w:rPr>
                <w:rFonts w:ascii="Arial Narrow" w:hAnsi="Arial Narrow"/>
                <w:sz w:val="20"/>
              </w:rPr>
            </w:pPr>
            <w:r w:rsidRPr="00A84A0B">
              <w:rPr>
                <w:rFonts w:ascii="Arial Narrow" w:hAnsi="Arial Narrow"/>
                <w:sz w:val="20"/>
              </w:rPr>
              <w:t>Nivolumab in previously untreated melanoma without BRAF mutation</w:t>
            </w:r>
          </w:p>
        </w:tc>
        <w:tc>
          <w:tcPr>
            <w:tcW w:w="2410" w:type="dxa"/>
          </w:tcPr>
          <w:p w:rsidR="002D07F8" w:rsidRPr="00A84A0B" w:rsidRDefault="002D07F8" w:rsidP="005939DA">
            <w:pPr>
              <w:keepNext/>
              <w:rPr>
                <w:rFonts w:ascii="Arial Narrow" w:hAnsi="Arial Narrow"/>
                <w:sz w:val="20"/>
              </w:rPr>
            </w:pPr>
          </w:p>
          <w:p w:rsidR="002D07F8" w:rsidRPr="00A84A0B" w:rsidRDefault="002D07F8" w:rsidP="005939DA">
            <w:pPr>
              <w:keepNext/>
              <w:rPr>
                <w:rFonts w:ascii="Arial Narrow" w:hAnsi="Arial Narrow"/>
                <w:sz w:val="20"/>
              </w:rPr>
            </w:pPr>
          </w:p>
          <w:p w:rsidR="00940492" w:rsidRPr="00A84A0B" w:rsidRDefault="002D07F8" w:rsidP="005939DA">
            <w:pPr>
              <w:keepNext/>
              <w:rPr>
                <w:rFonts w:ascii="Arial Narrow" w:hAnsi="Arial Narrow"/>
                <w:sz w:val="20"/>
              </w:rPr>
            </w:pPr>
            <w:r w:rsidRPr="00A84A0B">
              <w:rPr>
                <w:rFonts w:ascii="Arial Narrow" w:hAnsi="Arial Narrow"/>
                <w:sz w:val="20"/>
              </w:rPr>
              <w:t>Robert C, Long GV, Brady B, et al.. N Engl J Med 2015; 372(4):311-9.</w:t>
            </w:r>
          </w:p>
        </w:tc>
        <w:tc>
          <w:tcPr>
            <w:tcW w:w="1559" w:type="dxa"/>
            <w:vAlign w:val="center"/>
          </w:tcPr>
          <w:p w:rsidR="0079293E" w:rsidRPr="00A84A0B" w:rsidRDefault="00F63240" w:rsidP="005939DA">
            <w:pPr>
              <w:keepNext/>
              <w:jc w:val="center"/>
              <w:rPr>
                <w:rFonts w:ascii="Arial Narrow" w:hAnsi="Arial Narrow"/>
                <w:sz w:val="20"/>
              </w:rPr>
            </w:pPr>
            <w:r w:rsidRPr="00A84A0B">
              <w:rPr>
                <w:rFonts w:ascii="Arial Narrow" w:hAnsi="Arial Narrow"/>
                <w:sz w:val="20"/>
              </w:rPr>
              <w:t xml:space="preserve">Nivolumab </w:t>
            </w:r>
          </w:p>
          <w:p w:rsidR="00940492" w:rsidRPr="00A84A0B" w:rsidRDefault="0079293E" w:rsidP="005939DA">
            <w:pPr>
              <w:keepNext/>
              <w:jc w:val="center"/>
              <w:rPr>
                <w:rFonts w:ascii="Arial Narrow" w:hAnsi="Arial Narrow"/>
                <w:sz w:val="20"/>
              </w:rPr>
            </w:pPr>
            <w:r w:rsidRPr="00A84A0B">
              <w:rPr>
                <w:rFonts w:ascii="Arial Narrow" w:hAnsi="Arial Narrow"/>
                <w:sz w:val="20"/>
              </w:rPr>
              <w:t>(J</w:t>
            </w:r>
            <w:r w:rsidR="00F63240" w:rsidRPr="00A84A0B">
              <w:rPr>
                <w:rFonts w:ascii="Arial Narrow" w:hAnsi="Arial Narrow"/>
                <w:sz w:val="20"/>
              </w:rPr>
              <w:t>uly 2015</w:t>
            </w:r>
            <w:r w:rsidRPr="00A84A0B">
              <w:rPr>
                <w:rFonts w:ascii="Arial Narrow" w:hAnsi="Arial Narrow"/>
                <w:sz w:val="20"/>
              </w:rPr>
              <w:t>)</w:t>
            </w:r>
          </w:p>
        </w:tc>
      </w:tr>
      <w:tr w:rsidR="00F63240" w:rsidRPr="00A84A0B" w:rsidTr="00F13FD2">
        <w:trPr>
          <w:cantSplit/>
        </w:trPr>
        <w:tc>
          <w:tcPr>
            <w:tcW w:w="1701" w:type="dxa"/>
            <w:vAlign w:val="center"/>
          </w:tcPr>
          <w:p w:rsidR="00F63240" w:rsidRPr="00A84A0B" w:rsidRDefault="00F63240" w:rsidP="005939DA">
            <w:pPr>
              <w:pStyle w:val="NoSpacing"/>
              <w:jc w:val="left"/>
              <w:rPr>
                <w:rFonts w:ascii="Arial Narrow" w:hAnsi="Arial Narrow"/>
                <w:sz w:val="20"/>
              </w:rPr>
            </w:pPr>
            <w:r w:rsidRPr="00A84A0B">
              <w:rPr>
                <w:rFonts w:ascii="Arial Narrow" w:hAnsi="Arial Narrow"/>
                <w:sz w:val="20"/>
              </w:rPr>
              <w:t>CA209-025 (025)</w:t>
            </w:r>
          </w:p>
        </w:tc>
        <w:tc>
          <w:tcPr>
            <w:tcW w:w="2693" w:type="dxa"/>
          </w:tcPr>
          <w:p w:rsidR="00F63240" w:rsidRPr="00A84A0B" w:rsidRDefault="00F63240" w:rsidP="005939DA">
            <w:pPr>
              <w:keepNext/>
              <w:rPr>
                <w:rFonts w:ascii="Arial Narrow" w:hAnsi="Arial Narrow"/>
                <w:sz w:val="20"/>
              </w:rPr>
            </w:pPr>
            <w:r w:rsidRPr="00A84A0B">
              <w:rPr>
                <w:rFonts w:ascii="Arial Narrow" w:hAnsi="Arial Narrow"/>
                <w:sz w:val="20"/>
              </w:rPr>
              <w:t>Clinical Study Report for Study CA209-025</w:t>
            </w:r>
          </w:p>
          <w:p w:rsidR="00C51FC8" w:rsidRPr="00A84A0B" w:rsidRDefault="00C51FC8" w:rsidP="005939DA">
            <w:pPr>
              <w:keepNext/>
              <w:rPr>
                <w:rFonts w:ascii="Arial Narrow" w:hAnsi="Arial Narrow"/>
                <w:sz w:val="20"/>
              </w:rPr>
            </w:pPr>
            <w:r w:rsidRPr="00A84A0B">
              <w:rPr>
                <w:rFonts w:ascii="Arial Narrow" w:hAnsi="Arial Narrow"/>
                <w:sz w:val="20"/>
              </w:rPr>
              <w:t>Nivolumab versus everolimus in advanced renal-cell carcinoma</w:t>
            </w:r>
          </w:p>
        </w:tc>
        <w:tc>
          <w:tcPr>
            <w:tcW w:w="2410" w:type="dxa"/>
          </w:tcPr>
          <w:p w:rsidR="00C51FC8" w:rsidRPr="00A84A0B" w:rsidRDefault="00C51FC8" w:rsidP="005939DA">
            <w:pPr>
              <w:keepNext/>
              <w:rPr>
                <w:rFonts w:ascii="Arial Narrow" w:hAnsi="Arial Narrow"/>
                <w:sz w:val="20"/>
              </w:rPr>
            </w:pPr>
          </w:p>
          <w:p w:rsidR="00C51FC8" w:rsidRPr="00A84A0B" w:rsidRDefault="00C51FC8" w:rsidP="005939DA">
            <w:pPr>
              <w:keepNext/>
              <w:rPr>
                <w:rFonts w:ascii="Arial Narrow" w:hAnsi="Arial Narrow"/>
                <w:sz w:val="20"/>
              </w:rPr>
            </w:pPr>
          </w:p>
          <w:p w:rsidR="00F63240" w:rsidRPr="00A84A0B" w:rsidRDefault="00C51FC8" w:rsidP="005939DA">
            <w:pPr>
              <w:keepNext/>
              <w:rPr>
                <w:rFonts w:ascii="Arial Narrow" w:hAnsi="Arial Narrow"/>
                <w:sz w:val="20"/>
              </w:rPr>
            </w:pPr>
            <w:r w:rsidRPr="00A84A0B">
              <w:rPr>
                <w:rFonts w:ascii="Arial Narrow" w:hAnsi="Arial Narrow"/>
                <w:sz w:val="20"/>
              </w:rPr>
              <w:t>Motzer RJ, Escudier B, McDermott DF, et al. N Engl J Med 2015; 373 (191):1803-13.</w:t>
            </w:r>
          </w:p>
        </w:tc>
        <w:tc>
          <w:tcPr>
            <w:tcW w:w="1559" w:type="dxa"/>
            <w:vAlign w:val="center"/>
          </w:tcPr>
          <w:p w:rsidR="0079293E" w:rsidRPr="00A84A0B" w:rsidRDefault="00F63240" w:rsidP="005939DA">
            <w:pPr>
              <w:keepNext/>
              <w:jc w:val="center"/>
              <w:rPr>
                <w:rFonts w:ascii="Arial Narrow" w:hAnsi="Arial Narrow"/>
                <w:sz w:val="20"/>
              </w:rPr>
            </w:pPr>
            <w:r w:rsidRPr="00A84A0B">
              <w:rPr>
                <w:rFonts w:ascii="Arial Narrow" w:hAnsi="Arial Narrow"/>
                <w:sz w:val="20"/>
              </w:rPr>
              <w:t xml:space="preserve">Nivolumab </w:t>
            </w:r>
          </w:p>
          <w:p w:rsidR="00F63240" w:rsidRPr="00A84A0B" w:rsidRDefault="0079293E" w:rsidP="005939DA">
            <w:pPr>
              <w:keepNext/>
              <w:jc w:val="center"/>
              <w:rPr>
                <w:rFonts w:ascii="Arial Narrow" w:hAnsi="Arial Narrow"/>
                <w:sz w:val="20"/>
              </w:rPr>
            </w:pPr>
            <w:r w:rsidRPr="00A84A0B">
              <w:rPr>
                <w:rFonts w:ascii="Arial Narrow" w:hAnsi="Arial Narrow"/>
                <w:sz w:val="20"/>
              </w:rPr>
              <w:t>(</w:t>
            </w:r>
            <w:r w:rsidR="00F63240" w:rsidRPr="00A84A0B">
              <w:rPr>
                <w:rFonts w:ascii="Arial Narrow" w:hAnsi="Arial Narrow"/>
                <w:sz w:val="20"/>
              </w:rPr>
              <w:t>July 2016</w:t>
            </w:r>
            <w:r w:rsidRPr="00A84A0B">
              <w:rPr>
                <w:rFonts w:ascii="Arial Narrow" w:hAnsi="Arial Narrow"/>
                <w:sz w:val="20"/>
              </w:rPr>
              <w:t>)</w:t>
            </w:r>
          </w:p>
        </w:tc>
      </w:tr>
      <w:tr w:rsidR="00F63240" w:rsidRPr="00A84A0B" w:rsidTr="00F63240">
        <w:trPr>
          <w:cantSplit/>
        </w:trPr>
        <w:tc>
          <w:tcPr>
            <w:tcW w:w="1701" w:type="dxa"/>
            <w:vAlign w:val="center"/>
          </w:tcPr>
          <w:p w:rsidR="00F63240" w:rsidRPr="00A84A0B" w:rsidRDefault="00F63240" w:rsidP="005939DA">
            <w:pPr>
              <w:pStyle w:val="NoSpacing"/>
              <w:jc w:val="left"/>
              <w:rPr>
                <w:rFonts w:ascii="Arial Narrow" w:hAnsi="Arial Narrow"/>
                <w:sz w:val="20"/>
              </w:rPr>
            </w:pPr>
            <w:r w:rsidRPr="00A84A0B">
              <w:rPr>
                <w:rFonts w:ascii="Arial Narrow" w:hAnsi="Arial Narrow"/>
                <w:sz w:val="20"/>
              </w:rPr>
              <w:t>CA209-141 (141)</w:t>
            </w:r>
          </w:p>
        </w:tc>
        <w:tc>
          <w:tcPr>
            <w:tcW w:w="2693" w:type="dxa"/>
            <w:vAlign w:val="center"/>
          </w:tcPr>
          <w:p w:rsidR="00F63240" w:rsidRPr="00A84A0B" w:rsidRDefault="00F63240" w:rsidP="005939DA">
            <w:pPr>
              <w:keepNext/>
              <w:rPr>
                <w:rFonts w:ascii="Arial Narrow" w:hAnsi="Arial Narrow"/>
                <w:sz w:val="20"/>
              </w:rPr>
            </w:pPr>
            <w:r w:rsidRPr="00A84A0B">
              <w:rPr>
                <w:rFonts w:ascii="Arial Narrow" w:hAnsi="Arial Narrow"/>
                <w:sz w:val="20"/>
              </w:rPr>
              <w:t>Clinical Study Report for Study CA209-141</w:t>
            </w:r>
          </w:p>
        </w:tc>
        <w:tc>
          <w:tcPr>
            <w:tcW w:w="2410" w:type="dxa"/>
          </w:tcPr>
          <w:p w:rsidR="00F63240" w:rsidRPr="00A84A0B" w:rsidRDefault="00F63240" w:rsidP="005939DA">
            <w:pPr>
              <w:keepNext/>
              <w:rPr>
                <w:rFonts w:ascii="Arial Narrow" w:hAnsi="Arial Narrow"/>
                <w:sz w:val="20"/>
              </w:rPr>
            </w:pPr>
          </w:p>
        </w:tc>
        <w:tc>
          <w:tcPr>
            <w:tcW w:w="1559" w:type="dxa"/>
            <w:vAlign w:val="center"/>
          </w:tcPr>
          <w:p w:rsidR="00F63240" w:rsidRPr="00A84A0B" w:rsidRDefault="0079293E" w:rsidP="005939DA">
            <w:pPr>
              <w:keepNext/>
              <w:jc w:val="center"/>
              <w:rPr>
                <w:rFonts w:ascii="Arial Narrow" w:hAnsi="Arial Narrow"/>
                <w:sz w:val="20"/>
              </w:rPr>
            </w:pPr>
            <w:r w:rsidRPr="00A84A0B">
              <w:rPr>
                <w:rFonts w:ascii="Arial Narrow" w:hAnsi="Arial Narrow"/>
                <w:sz w:val="20"/>
              </w:rPr>
              <w:t xml:space="preserve">No </w:t>
            </w:r>
          </w:p>
        </w:tc>
      </w:tr>
      <w:tr w:rsidR="00E65FEC" w:rsidRPr="00A84A0B" w:rsidTr="0050015D">
        <w:trPr>
          <w:cantSplit/>
          <w:trHeight w:val="340"/>
        </w:trPr>
        <w:tc>
          <w:tcPr>
            <w:tcW w:w="8363" w:type="dxa"/>
            <w:gridSpan w:val="4"/>
            <w:vAlign w:val="center"/>
          </w:tcPr>
          <w:p w:rsidR="00E65FEC" w:rsidRPr="00A84A0B" w:rsidRDefault="00E65FEC" w:rsidP="005939DA">
            <w:pPr>
              <w:keepNext/>
              <w:rPr>
                <w:rFonts w:ascii="Arial Narrow" w:hAnsi="Arial Narrow"/>
                <w:sz w:val="20"/>
              </w:rPr>
            </w:pPr>
            <w:r w:rsidRPr="00A84A0B">
              <w:rPr>
                <w:rFonts w:ascii="Arial Narrow" w:hAnsi="Arial Narrow"/>
                <w:b/>
                <w:sz w:val="20"/>
              </w:rPr>
              <w:t>Direct randomised trials – PD pathway treatments for other cancer types</w:t>
            </w:r>
          </w:p>
        </w:tc>
      </w:tr>
      <w:tr w:rsidR="00E65FEC" w:rsidRPr="00A84A0B" w:rsidTr="00E65FEC">
        <w:trPr>
          <w:cantSplit/>
        </w:trPr>
        <w:tc>
          <w:tcPr>
            <w:tcW w:w="1701" w:type="dxa"/>
            <w:vAlign w:val="center"/>
          </w:tcPr>
          <w:p w:rsidR="00E65FEC" w:rsidRPr="00A84A0B" w:rsidRDefault="00E65FEC" w:rsidP="005939DA">
            <w:pPr>
              <w:pStyle w:val="NoSpacing"/>
              <w:jc w:val="left"/>
              <w:rPr>
                <w:rFonts w:ascii="Arial Narrow" w:hAnsi="Arial Narrow"/>
                <w:sz w:val="20"/>
              </w:rPr>
            </w:pPr>
            <w:r w:rsidRPr="00A84A0B">
              <w:rPr>
                <w:rFonts w:ascii="Arial Narrow" w:hAnsi="Arial Narrow"/>
                <w:sz w:val="20"/>
              </w:rPr>
              <w:t>Keynote-0</w:t>
            </w:r>
            <w:r w:rsidR="006D0290" w:rsidRPr="00A84A0B">
              <w:rPr>
                <w:rFonts w:ascii="Arial Narrow" w:hAnsi="Arial Narrow"/>
                <w:sz w:val="20"/>
              </w:rPr>
              <w:t>0</w:t>
            </w:r>
            <w:r w:rsidRPr="00A84A0B">
              <w:rPr>
                <w:rFonts w:ascii="Arial Narrow" w:hAnsi="Arial Narrow"/>
                <w:sz w:val="20"/>
              </w:rPr>
              <w:t>6 (KN-0</w:t>
            </w:r>
            <w:r w:rsidR="006D0290" w:rsidRPr="00A84A0B">
              <w:rPr>
                <w:rFonts w:ascii="Arial Narrow" w:hAnsi="Arial Narrow"/>
                <w:sz w:val="20"/>
              </w:rPr>
              <w:t>0</w:t>
            </w:r>
            <w:r w:rsidRPr="00A84A0B">
              <w:rPr>
                <w:rFonts w:ascii="Arial Narrow" w:hAnsi="Arial Narrow"/>
                <w:sz w:val="20"/>
              </w:rPr>
              <w:t>6)</w:t>
            </w:r>
          </w:p>
        </w:tc>
        <w:tc>
          <w:tcPr>
            <w:tcW w:w="2693" w:type="dxa"/>
            <w:vAlign w:val="center"/>
          </w:tcPr>
          <w:p w:rsidR="00E65FEC" w:rsidRPr="00A84A0B" w:rsidRDefault="00E65FEC" w:rsidP="005939DA">
            <w:pPr>
              <w:keepNext/>
              <w:rPr>
                <w:rFonts w:ascii="Arial Narrow" w:hAnsi="Arial Narrow"/>
                <w:sz w:val="20"/>
              </w:rPr>
            </w:pPr>
            <w:r w:rsidRPr="00A84A0B">
              <w:rPr>
                <w:rFonts w:ascii="Arial Narrow" w:hAnsi="Arial Narrow"/>
                <w:sz w:val="20"/>
              </w:rPr>
              <w:t xml:space="preserve">Pembrolizumab versus </w:t>
            </w:r>
            <w:r w:rsidR="006D0290" w:rsidRPr="00A84A0B">
              <w:rPr>
                <w:rFonts w:ascii="Arial Narrow" w:hAnsi="Arial Narrow"/>
                <w:sz w:val="20"/>
              </w:rPr>
              <w:t>i</w:t>
            </w:r>
            <w:r w:rsidRPr="00A84A0B">
              <w:rPr>
                <w:rFonts w:ascii="Arial Narrow" w:hAnsi="Arial Narrow"/>
                <w:sz w:val="20"/>
              </w:rPr>
              <w:t xml:space="preserve">pilimumab in </w:t>
            </w:r>
            <w:r w:rsidR="006D0290" w:rsidRPr="00A84A0B">
              <w:rPr>
                <w:rFonts w:ascii="Arial Narrow" w:hAnsi="Arial Narrow"/>
                <w:sz w:val="20"/>
              </w:rPr>
              <w:t>a</w:t>
            </w:r>
            <w:r w:rsidRPr="00A84A0B">
              <w:rPr>
                <w:rFonts w:ascii="Arial Narrow" w:hAnsi="Arial Narrow"/>
                <w:sz w:val="20"/>
              </w:rPr>
              <w:t xml:space="preserve">dvanced </w:t>
            </w:r>
            <w:r w:rsidR="006D0290" w:rsidRPr="00A84A0B">
              <w:rPr>
                <w:rFonts w:ascii="Arial Narrow" w:hAnsi="Arial Narrow"/>
                <w:sz w:val="20"/>
              </w:rPr>
              <w:t>m</w:t>
            </w:r>
            <w:r w:rsidRPr="00A84A0B">
              <w:rPr>
                <w:rFonts w:ascii="Arial Narrow" w:hAnsi="Arial Narrow"/>
                <w:sz w:val="20"/>
              </w:rPr>
              <w:t xml:space="preserve">elanoma. </w:t>
            </w:r>
          </w:p>
        </w:tc>
        <w:tc>
          <w:tcPr>
            <w:tcW w:w="2410" w:type="dxa"/>
            <w:vAlign w:val="center"/>
          </w:tcPr>
          <w:p w:rsidR="00E65FEC" w:rsidRPr="00A84A0B" w:rsidRDefault="00E65FEC" w:rsidP="005939DA">
            <w:pPr>
              <w:keepNext/>
              <w:rPr>
                <w:rFonts w:ascii="Arial Narrow" w:hAnsi="Arial Narrow"/>
                <w:sz w:val="20"/>
              </w:rPr>
            </w:pPr>
            <w:r w:rsidRPr="00A84A0B">
              <w:rPr>
                <w:rFonts w:ascii="Arial Narrow" w:hAnsi="Arial Narrow"/>
                <w:sz w:val="20"/>
              </w:rPr>
              <w:t>Robert C, Schachter J, Long G et al. N Engl J Med 2015;372:2521-32</w:t>
            </w:r>
          </w:p>
        </w:tc>
        <w:tc>
          <w:tcPr>
            <w:tcW w:w="1559" w:type="dxa"/>
            <w:vAlign w:val="center"/>
          </w:tcPr>
          <w:p w:rsidR="00E65FEC" w:rsidRPr="00A84A0B" w:rsidRDefault="00E65FEC" w:rsidP="005939DA">
            <w:pPr>
              <w:keepNext/>
              <w:jc w:val="center"/>
              <w:rPr>
                <w:rFonts w:ascii="Arial Narrow" w:hAnsi="Arial Narrow"/>
                <w:sz w:val="20"/>
              </w:rPr>
            </w:pPr>
            <w:r w:rsidRPr="00A84A0B">
              <w:rPr>
                <w:rFonts w:ascii="Arial Narrow" w:hAnsi="Arial Narrow"/>
                <w:sz w:val="20"/>
              </w:rPr>
              <w:t>Pembrolizumab (March 2016) &amp; Nivolumab (November 2015)</w:t>
            </w:r>
          </w:p>
        </w:tc>
      </w:tr>
    </w:tbl>
    <w:p w:rsidR="00F63240" w:rsidRPr="00A84A0B" w:rsidRDefault="00F63240" w:rsidP="005939DA">
      <w:pPr>
        <w:pStyle w:val="tablenotes"/>
        <w:widowControl/>
        <w:tabs>
          <w:tab w:val="left" w:pos="993"/>
        </w:tabs>
        <w:ind w:left="709"/>
        <w:rPr>
          <w:rFonts w:ascii="Arial Narrow" w:hAnsi="Arial Narrow"/>
          <w:sz w:val="18"/>
          <w:szCs w:val="18"/>
        </w:rPr>
      </w:pPr>
      <w:r w:rsidRPr="00A84A0B">
        <w:rPr>
          <w:rFonts w:ascii="Arial Narrow" w:hAnsi="Arial Narrow"/>
          <w:sz w:val="18"/>
          <w:szCs w:val="18"/>
        </w:rPr>
        <w:t>*</w:t>
      </w:r>
      <w:r w:rsidRPr="00A84A0B">
        <w:rPr>
          <w:rFonts w:ascii="Arial Narrow" w:hAnsi="Arial Narrow"/>
          <w:sz w:val="18"/>
          <w:szCs w:val="18"/>
        </w:rPr>
        <w:tab/>
        <w:t>Previously considered by the PBAC</w:t>
      </w:r>
    </w:p>
    <w:p w:rsidR="0076420C" w:rsidRPr="00A84A0B" w:rsidRDefault="0076420C" w:rsidP="005939DA">
      <w:pPr>
        <w:pStyle w:val="tablenotes"/>
        <w:widowControl/>
        <w:ind w:firstLine="709"/>
        <w:rPr>
          <w:rFonts w:ascii="Arial Narrow" w:hAnsi="Arial Narrow"/>
          <w:sz w:val="18"/>
          <w:szCs w:val="18"/>
        </w:rPr>
      </w:pPr>
      <w:r w:rsidRPr="00A84A0B">
        <w:rPr>
          <w:rFonts w:ascii="Arial Narrow" w:hAnsi="Arial Narrow"/>
          <w:sz w:val="18"/>
          <w:szCs w:val="18"/>
        </w:rPr>
        <w:t xml:space="preserve">Source: </w:t>
      </w:r>
      <w:r w:rsidR="00044DC8" w:rsidRPr="00A84A0B">
        <w:rPr>
          <w:rFonts w:ascii="Arial Narrow" w:hAnsi="Arial Narrow"/>
          <w:sz w:val="18"/>
          <w:szCs w:val="18"/>
        </w:rPr>
        <w:t>the minor re-submission</w:t>
      </w:r>
    </w:p>
    <w:p w:rsidR="0076420C" w:rsidRPr="00A84A0B" w:rsidRDefault="0076420C" w:rsidP="005939DA">
      <w:pPr>
        <w:rPr>
          <w:rFonts w:ascii="Arial" w:hAnsi="Arial" w:cs="Arial"/>
          <w:sz w:val="22"/>
          <w:szCs w:val="22"/>
        </w:rPr>
      </w:pPr>
    </w:p>
    <w:p w:rsidR="00150559" w:rsidRPr="00A84A0B" w:rsidRDefault="00F13FD2" w:rsidP="005939DA">
      <w:pPr>
        <w:pStyle w:val="ListParagraph"/>
        <w:widowControl/>
        <w:numPr>
          <w:ilvl w:val="1"/>
          <w:numId w:val="1"/>
        </w:numPr>
        <w:rPr>
          <w:szCs w:val="22"/>
        </w:rPr>
      </w:pPr>
      <w:r w:rsidRPr="00A84A0B">
        <w:rPr>
          <w:szCs w:val="22"/>
        </w:rPr>
        <w:t>The literature search conducted for the minor re-submission appeared to be reasonable</w:t>
      </w:r>
      <w:r w:rsidR="007C018D" w:rsidRPr="00A84A0B">
        <w:rPr>
          <w:szCs w:val="22"/>
        </w:rPr>
        <w:t xml:space="preserve"> (an independent search did not identify any further potentially relevant trials/studies)</w:t>
      </w:r>
      <w:r w:rsidRPr="00A84A0B">
        <w:rPr>
          <w:szCs w:val="22"/>
        </w:rPr>
        <w:t>, however it was not clear that all relevant trials</w:t>
      </w:r>
      <w:r w:rsidR="007C018D" w:rsidRPr="00A84A0B">
        <w:rPr>
          <w:szCs w:val="22"/>
        </w:rPr>
        <w:t>/studies</w:t>
      </w:r>
      <w:r w:rsidRPr="00A84A0B">
        <w:rPr>
          <w:szCs w:val="22"/>
        </w:rPr>
        <w:t xml:space="preserve"> were included</w:t>
      </w:r>
      <w:r w:rsidR="00150559" w:rsidRPr="00A84A0B">
        <w:rPr>
          <w:szCs w:val="22"/>
        </w:rPr>
        <w:t xml:space="preserve"> as inclusion of trials was restricted to phase III monotherapy trials that presented </w:t>
      </w:r>
      <w:r w:rsidR="00B403D5" w:rsidRPr="00A84A0B">
        <w:rPr>
          <w:szCs w:val="22"/>
        </w:rPr>
        <w:t>overall survival (</w:t>
      </w:r>
      <w:r w:rsidR="00150559" w:rsidRPr="00A84A0B">
        <w:rPr>
          <w:szCs w:val="22"/>
        </w:rPr>
        <w:t>OS</w:t>
      </w:r>
      <w:r w:rsidR="00B403D5" w:rsidRPr="00A84A0B">
        <w:rPr>
          <w:szCs w:val="22"/>
        </w:rPr>
        <w:t>)</w:t>
      </w:r>
      <w:r w:rsidR="00150559" w:rsidRPr="00A84A0B">
        <w:rPr>
          <w:szCs w:val="22"/>
        </w:rPr>
        <w:t>, where data was available to the sponsor</w:t>
      </w:r>
      <w:r w:rsidR="00403F09" w:rsidRPr="00A84A0B">
        <w:rPr>
          <w:szCs w:val="22"/>
        </w:rPr>
        <w:t>.</w:t>
      </w:r>
    </w:p>
    <w:p w:rsidR="000B622A" w:rsidRPr="00A84A0B" w:rsidRDefault="000B622A" w:rsidP="005939DA">
      <w:pPr>
        <w:ind w:left="-11"/>
        <w:rPr>
          <w:rFonts w:ascii="Arial" w:hAnsi="Arial" w:cs="Arial"/>
          <w:sz w:val="22"/>
          <w:szCs w:val="22"/>
        </w:rPr>
      </w:pPr>
    </w:p>
    <w:p w:rsidR="0076420C" w:rsidRPr="00A84A0B" w:rsidRDefault="00044DC8" w:rsidP="005939DA">
      <w:pPr>
        <w:pStyle w:val="ListParagraph"/>
        <w:widowControl/>
        <w:numPr>
          <w:ilvl w:val="1"/>
          <w:numId w:val="1"/>
        </w:numPr>
        <w:ind w:left="709"/>
        <w:rPr>
          <w:szCs w:val="22"/>
        </w:rPr>
      </w:pPr>
      <w:r w:rsidRPr="00A84A0B">
        <w:rPr>
          <w:szCs w:val="22"/>
        </w:rPr>
        <w:t>The key features of the comparative and non-comparative studies of nivolumab and other existing and emerging immunotherapies with the same or similar mechanism of action on the programmed cell death pathway</w:t>
      </w:r>
      <w:r w:rsidR="00D20BA3" w:rsidRPr="00A84A0B">
        <w:rPr>
          <w:szCs w:val="22"/>
        </w:rPr>
        <w:t xml:space="preserve">, in addition to the outcomes reported and presented </w:t>
      </w:r>
      <w:r w:rsidRPr="00A84A0B">
        <w:rPr>
          <w:szCs w:val="22"/>
        </w:rPr>
        <w:t>in the minor re-submission</w:t>
      </w:r>
      <w:r w:rsidR="00403F09" w:rsidRPr="00A84A0B">
        <w:rPr>
          <w:szCs w:val="22"/>
        </w:rPr>
        <w:t>,</w:t>
      </w:r>
      <w:r w:rsidRPr="00A84A0B">
        <w:rPr>
          <w:szCs w:val="22"/>
        </w:rPr>
        <w:t xml:space="preserve"> are summarised in Table </w:t>
      </w:r>
      <w:r w:rsidR="00C72E4F" w:rsidRPr="00A84A0B">
        <w:rPr>
          <w:szCs w:val="22"/>
        </w:rPr>
        <w:t>2</w:t>
      </w:r>
      <w:r w:rsidRPr="00A84A0B">
        <w:rPr>
          <w:szCs w:val="22"/>
        </w:rPr>
        <w:t>.</w:t>
      </w:r>
    </w:p>
    <w:p w:rsidR="00044DC8" w:rsidRPr="00A84A0B" w:rsidRDefault="00044DC8" w:rsidP="005939DA">
      <w:pPr>
        <w:ind w:left="-11"/>
        <w:rPr>
          <w:rFonts w:ascii="Arial" w:hAnsi="Arial" w:cs="Arial"/>
          <w:sz w:val="22"/>
          <w:szCs w:val="22"/>
        </w:rPr>
      </w:pPr>
    </w:p>
    <w:p w:rsidR="005939DA" w:rsidRDefault="005939DA" w:rsidP="005939DA">
      <w:pPr>
        <w:rPr>
          <w:rFonts w:ascii="Arial Narrow" w:hAnsi="Arial Narrow"/>
          <w:b/>
          <w:sz w:val="20"/>
        </w:rPr>
      </w:pPr>
      <w:r>
        <w:rPr>
          <w:rFonts w:ascii="Arial Narrow" w:hAnsi="Arial Narrow"/>
          <w:b/>
          <w:sz w:val="20"/>
        </w:rPr>
        <w:br w:type="page"/>
      </w:r>
    </w:p>
    <w:p w:rsidR="00044DC8" w:rsidRPr="00A84A0B" w:rsidRDefault="00044DC8" w:rsidP="005939DA">
      <w:pPr>
        <w:ind w:firstLine="720"/>
        <w:rPr>
          <w:rFonts w:ascii="Arial Narrow" w:hAnsi="Arial Narrow"/>
          <w:b/>
          <w:sz w:val="20"/>
        </w:rPr>
      </w:pPr>
      <w:r w:rsidRPr="00A84A0B">
        <w:rPr>
          <w:rFonts w:ascii="Arial Narrow" w:hAnsi="Arial Narrow"/>
          <w:b/>
          <w:sz w:val="20"/>
        </w:rPr>
        <w:lastRenderedPageBreak/>
        <w:t xml:space="preserve">Table </w:t>
      </w:r>
      <w:r w:rsidR="00C72E4F" w:rsidRPr="00A84A0B">
        <w:rPr>
          <w:rFonts w:ascii="Arial Narrow" w:hAnsi="Arial Narrow"/>
          <w:b/>
          <w:sz w:val="20"/>
        </w:rPr>
        <w:t>2</w:t>
      </w:r>
      <w:r w:rsidRPr="00A84A0B">
        <w:rPr>
          <w:rFonts w:ascii="Arial Narrow" w:hAnsi="Arial Narrow"/>
          <w:b/>
          <w:sz w:val="20"/>
        </w:rPr>
        <w:t>: Key fe</w:t>
      </w:r>
      <w:r w:rsidR="00403F09" w:rsidRPr="00A84A0B">
        <w:rPr>
          <w:rFonts w:ascii="Arial Narrow" w:hAnsi="Arial Narrow"/>
          <w:b/>
          <w:sz w:val="20"/>
        </w:rPr>
        <w:t>atures of the included evidence</w:t>
      </w:r>
    </w:p>
    <w:tbl>
      <w:tblPr>
        <w:tblW w:w="4620"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52"/>
        <w:gridCol w:w="428"/>
        <w:gridCol w:w="1964"/>
        <w:gridCol w:w="755"/>
        <w:gridCol w:w="1811"/>
        <w:gridCol w:w="2182"/>
      </w:tblGrid>
      <w:tr w:rsidR="00DC3061" w:rsidRPr="00A84A0B" w:rsidTr="001B0279">
        <w:trPr>
          <w:cantSplit/>
          <w:tblHeader/>
        </w:trPr>
        <w:tc>
          <w:tcPr>
            <w:tcW w:w="746" w:type="pct"/>
            <w:shd w:val="clear" w:color="auto" w:fill="auto"/>
            <w:vAlign w:val="center"/>
          </w:tcPr>
          <w:p w:rsidR="005F0900" w:rsidRPr="00A84A0B" w:rsidRDefault="005F0900" w:rsidP="005939DA">
            <w:pPr>
              <w:rPr>
                <w:rFonts w:ascii="Arial Narrow" w:hAnsi="Arial Narrow"/>
                <w:b/>
                <w:sz w:val="20"/>
                <w:szCs w:val="20"/>
              </w:rPr>
            </w:pPr>
            <w:r w:rsidRPr="00A84A0B">
              <w:rPr>
                <w:rFonts w:ascii="Arial Narrow" w:hAnsi="Arial Narrow"/>
                <w:b/>
                <w:sz w:val="20"/>
                <w:szCs w:val="20"/>
              </w:rPr>
              <w:t>Trial</w:t>
            </w:r>
          </w:p>
        </w:tc>
        <w:tc>
          <w:tcPr>
            <w:tcW w:w="255" w:type="pct"/>
            <w:vAlign w:val="center"/>
          </w:tcPr>
          <w:p w:rsidR="005F0900" w:rsidRPr="00A84A0B" w:rsidRDefault="005F0900" w:rsidP="005939DA">
            <w:pPr>
              <w:jc w:val="center"/>
              <w:rPr>
                <w:rFonts w:ascii="Arial Narrow" w:hAnsi="Arial Narrow"/>
                <w:b/>
                <w:sz w:val="20"/>
                <w:szCs w:val="20"/>
              </w:rPr>
            </w:pPr>
            <w:r w:rsidRPr="00A84A0B">
              <w:rPr>
                <w:rFonts w:ascii="Arial Narrow" w:hAnsi="Arial Narrow"/>
                <w:b/>
                <w:sz w:val="20"/>
                <w:szCs w:val="20"/>
              </w:rPr>
              <w:t>N</w:t>
            </w:r>
          </w:p>
        </w:tc>
        <w:tc>
          <w:tcPr>
            <w:tcW w:w="1170" w:type="pct"/>
            <w:shd w:val="clear" w:color="auto" w:fill="auto"/>
            <w:vAlign w:val="center"/>
          </w:tcPr>
          <w:p w:rsidR="005F0900" w:rsidRPr="00A84A0B" w:rsidRDefault="005F0900" w:rsidP="005939DA">
            <w:pPr>
              <w:jc w:val="center"/>
              <w:rPr>
                <w:rFonts w:ascii="Arial Narrow" w:hAnsi="Arial Narrow"/>
                <w:b/>
                <w:sz w:val="20"/>
                <w:szCs w:val="20"/>
              </w:rPr>
            </w:pPr>
            <w:r w:rsidRPr="00A84A0B">
              <w:rPr>
                <w:rFonts w:ascii="Arial Narrow" w:hAnsi="Arial Narrow"/>
                <w:b/>
                <w:sz w:val="20"/>
                <w:szCs w:val="20"/>
              </w:rPr>
              <w:t>Design/ duration</w:t>
            </w:r>
          </w:p>
        </w:tc>
        <w:tc>
          <w:tcPr>
            <w:tcW w:w="450" w:type="pct"/>
            <w:shd w:val="clear" w:color="auto" w:fill="auto"/>
            <w:vAlign w:val="center"/>
          </w:tcPr>
          <w:p w:rsidR="005F0900" w:rsidRPr="00A84A0B" w:rsidRDefault="005F0900" w:rsidP="005939DA">
            <w:pPr>
              <w:jc w:val="center"/>
              <w:rPr>
                <w:rFonts w:ascii="Arial Narrow" w:hAnsi="Arial Narrow"/>
                <w:b/>
                <w:sz w:val="20"/>
                <w:szCs w:val="20"/>
              </w:rPr>
            </w:pPr>
            <w:r w:rsidRPr="00A84A0B">
              <w:rPr>
                <w:rFonts w:ascii="Arial Narrow" w:hAnsi="Arial Narrow"/>
                <w:b/>
                <w:sz w:val="20"/>
                <w:szCs w:val="20"/>
              </w:rPr>
              <w:t>Risk of bias</w:t>
            </w:r>
          </w:p>
        </w:tc>
        <w:tc>
          <w:tcPr>
            <w:tcW w:w="1079" w:type="pct"/>
            <w:shd w:val="clear" w:color="auto" w:fill="auto"/>
            <w:vAlign w:val="center"/>
          </w:tcPr>
          <w:p w:rsidR="005F0900" w:rsidRPr="00A84A0B" w:rsidRDefault="005F0900" w:rsidP="005939DA">
            <w:pPr>
              <w:jc w:val="center"/>
              <w:rPr>
                <w:rFonts w:ascii="Arial Narrow" w:hAnsi="Arial Narrow"/>
                <w:b/>
                <w:sz w:val="20"/>
                <w:szCs w:val="20"/>
              </w:rPr>
            </w:pPr>
            <w:r w:rsidRPr="00A84A0B">
              <w:rPr>
                <w:rFonts w:ascii="Arial Narrow" w:hAnsi="Arial Narrow"/>
                <w:b/>
                <w:sz w:val="20"/>
                <w:szCs w:val="20"/>
              </w:rPr>
              <w:t>Patient population</w:t>
            </w:r>
          </w:p>
        </w:tc>
        <w:tc>
          <w:tcPr>
            <w:tcW w:w="1300" w:type="pct"/>
            <w:shd w:val="clear" w:color="auto" w:fill="auto"/>
            <w:vAlign w:val="center"/>
          </w:tcPr>
          <w:p w:rsidR="005F0900" w:rsidRPr="00A84A0B" w:rsidRDefault="005F0900" w:rsidP="005939DA">
            <w:pPr>
              <w:jc w:val="center"/>
              <w:rPr>
                <w:rFonts w:ascii="Arial Narrow" w:hAnsi="Arial Narrow"/>
                <w:b/>
                <w:sz w:val="20"/>
                <w:szCs w:val="20"/>
              </w:rPr>
            </w:pPr>
            <w:r w:rsidRPr="00A84A0B">
              <w:rPr>
                <w:rFonts w:ascii="Arial Narrow" w:hAnsi="Arial Narrow"/>
                <w:b/>
                <w:sz w:val="20"/>
                <w:szCs w:val="20"/>
              </w:rPr>
              <w:t xml:space="preserve">Outcomes reported </w:t>
            </w:r>
          </w:p>
        </w:tc>
      </w:tr>
      <w:tr w:rsidR="00E65FEC" w:rsidRPr="00A84A0B" w:rsidTr="001B0279">
        <w:trPr>
          <w:cantSplit/>
        </w:trPr>
        <w:tc>
          <w:tcPr>
            <w:tcW w:w="5000" w:type="pct"/>
            <w:gridSpan w:val="6"/>
            <w:shd w:val="clear" w:color="auto" w:fill="auto"/>
            <w:vAlign w:val="center"/>
          </w:tcPr>
          <w:p w:rsidR="00E65FEC" w:rsidRPr="00A84A0B" w:rsidRDefault="00E65FEC" w:rsidP="005939DA">
            <w:pPr>
              <w:rPr>
                <w:rFonts w:ascii="Arial Narrow" w:hAnsi="Arial Narrow"/>
                <w:sz w:val="20"/>
                <w:szCs w:val="20"/>
              </w:rPr>
            </w:pPr>
            <w:r w:rsidRPr="00A84A0B">
              <w:rPr>
                <w:rFonts w:ascii="Arial Narrow" w:hAnsi="Arial Narrow"/>
                <w:b/>
                <w:sz w:val="20"/>
                <w:szCs w:val="20"/>
              </w:rPr>
              <w:t>Direct randomised trials – nivolumab for second-line treatment of NSCLC</w:t>
            </w:r>
          </w:p>
        </w:tc>
      </w:tr>
      <w:tr w:rsidR="00DC3061" w:rsidRPr="00A84A0B" w:rsidTr="001B0279">
        <w:trPr>
          <w:cantSplit/>
        </w:trPr>
        <w:tc>
          <w:tcPr>
            <w:tcW w:w="746" w:type="pct"/>
            <w:shd w:val="clear" w:color="auto" w:fill="auto"/>
            <w:vAlign w:val="center"/>
          </w:tcPr>
          <w:p w:rsidR="005F0900" w:rsidRPr="00A84A0B" w:rsidRDefault="005F0900" w:rsidP="005939DA">
            <w:pPr>
              <w:rPr>
                <w:rFonts w:ascii="Arial Narrow" w:hAnsi="Arial Narrow"/>
                <w:sz w:val="20"/>
                <w:szCs w:val="20"/>
              </w:rPr>
            </w:pPr>
            <w:r w:rsidRPr="00A84A0B">
              <w:rPr>
                <w:rFonts w:ascii="Arial Narrow" w:hAnsi="Arial Narrow"/>
                <w:sz w:val="20"/>
                <w:szCs w:val="20"/>
              </w:rPr>
              <w:t>CA209-017 (017)</w:t>
            </w:r>
          </w:p>
        </w:tc>
        <w:tc>
          <w:tcPr>
            <w:tcW w:w="255" w:type="pct"/>
            <w:vAlign w:val="center"/>
          </w:tcPr>
          <w:p w:rsidR="005F0900" w:rsidRPr="00A84A0B" w:rsidRDefault="00C86917" w:rsidP="005939DA">
            <w:pPr>
              <w:jc w:val="center"/>
              <w:rPr>
                <w:rFonts w:ascii="Arial Narrow" w:hAnsi="Arial Narrow"/>
                <w:sz w:val="20"/>
                <w:szCs w:val="20"/>
              </w:rPr>
            </w:pPr>
            <w:r w:rsidRPr="00A84A0B">
              <w:rPr>
                <w:rFonts w:ascii="Arial Narrow" w:hAnsi="Arial Narrow"/>
                <w:sz w:val="20"/>
                <w:szCs w:val="20"/>
              </w:rPr>
              <w:t>272</w:t>
            </w:r>
          </w:p>
        </w:tc>
        <w:tc>
          <w:tcPr>
            <w:tcW w:w="1170" w:type="pct"/>
            <w:shd w:val="clear" w:color="auto" w:fill="auto"/>
            <w:vAlign w:val="center"/>
          </w:tcPr>
          <w:p w:rsidR="005F0900" w:rsidRPr="00A84A0B" w:rsidRDefault="005F0900" w:rsidP="005939DA">
            <w:pPr>
              <w:jc w:val="center"/>
              <w:rPr>
                <w:rFonts w:ascii="Arial Narrow" w:hAnsi="Arial Narrow"/>
                <w:sz w:val="20"/>
                <w:szCs w:val="20"/>
              </w:rPr>
            </w:pPr>
            <w:r w:rsidRPr="00A84A0B">
              <w:rPr>
                <w:rFonts w:ascii="Arial Narrow" w:hAnsi="Arial Narrow"/>
                <w:sz w:val="20"/>
                <w:szCs w:val="20"/>
              </w:rPr>
              <w:t>R, OL</w:t>
            </w:r>
          </w:p>
          <w:p w:rsidR="005F0900" w:rsidRPr="00A84A0B" w:rsidRDefault="005F0900" w:rsidP="005939DA">
            <w:pPr>
              <w:jc w:val="center"/>
              <w:rPr>
                <w:rFonts w:ascii="Arial Narrow" w:hAnsi="Arial Narrow"/>
                <w:sz w:val="20"/>
                <w:szCs w:val="20"/>
              </w:rPr>
            </w:pPr>
            <w:r w:rsidRPr="00A84A0B">
              <w:rPr>
                <w:rFonts w:ascii="Arial Narrow" w:hAnsi="Arial Narrow"/>
                <w:sz w:val="20"/>
                <w:szCs w:val="20"/>
              </w:rPr>
              <w:t>Database lock December 2014 (follow-up 10.6 months) and database lock August 2015 (most updated: follow-up 18 months)</w:t>
            </w:r>
          </w:p>
        </w:tc>
        <w:tc>
          <w:tcPr>
            <w:tcW w:w="450" w:type="pct"/>
            <w:shd w:val="clear" w:color="auto" w:fill="auto"/>
            <w:vAlign w:val="center"/>
          </w:tcPr>
          <w:p w:rsidR="005F0900" w:rsidRPr="00A84A0B" w:rsidRDefault="005F0900" w:rsidP="005939DA">
            <w:pPr>
              <w:jc w:val="center"/>
              <w:rPr>
                <w:rFonts w:ascii="Arial Narrow" w:hAnsi="Arial Narrow"/>
                <w:sz w:val="20"/>
                <w:szCs w:val="20"/>
              </w:rPr>
            </w:pPr>
            <w:r w:rsidRPr="00A84A0B">
              <w:rPr>
                <w:rFonts w:ascii="Arial Narrow" w:hAnsi="Arial Narrow"/>
                <w:sz w:val="20"/>
                <w:szCs w:val="20"/>
              </w:rPr>
              <w:t>Low for OS</w:t>
            </w:r>
          </w:p>
          <w:p w:rsidR="005F0900" w:rsidRPr="00A84A0B" w:rsidRDefault="005F0900" w:rsidP="005939DA">
            <w:pPr>
              <w:jc w:val="center"/>
              <w:rPr>
                <w:rFonts w:ascii="Arial Narrow" w:hAnsi="Arial Narrow"/>
                <w:sz w:val="20"/>
                <w:szCs w:val="20"/>
                <w:vertAlign w:val="superscript"/>
              </w:rPr>
            </w:pPr>
            <w:r w:rsidRPr="00A84A0B">
              <w:rPr>
                <w:rFonts w:ascii="Arial Narrow" w:hAnsi="Arial Narrow"/>
                <w:sz w:val="20"/>
                <w:szCs w:val="20"/>
              </w:rPr>
              <w:t>High for AEs and QoL</w:t>
            </w:r>
            <w:r w:rsidR="005303C5" w:rsidRPr="00A84A0B">
              <w:rPr>
                <w:rFonts w:ascii="Arial Narrow" w:hAnsi="Arial Narrow"/>
                <w:sz w:val="20"/>
                <w:szCs w:val="20"/>
                <w:vertAlign w:val="superscript"/>
              </w:rPr>
              <w:t>a</w:t>
            </w:r>
          </w:p>
        </w:tc>
        <w:tc>
          <w:tcPr>
            <w:tcW w:w="1079" w:type="pct"/>
            <w:shd w:val="clear" w:color="auto" w:fill="auto"/>
            <w:vAlign w:val="center"/>
          </w:tcPr>
          <w:p w:rsidR="005F0900" w:rsidRPr="00A84A0B" w:rsidRDefault="005F0900" w:rsidP="005939DA">
            <w:pPr>
              <w:jc w:val="center"/>
              <w:rPr>
                <w:rFonts w:ascii="Arial Narrow" w:hAnsi="Arial Narrow"/>
                <w:sz w:val="20"/>
                <w:szCs w:val="20"/>
              </w:rPr>
            </w:pPr>
            <w:r w:rsidRPr="00A84A0B">
              <w:rPr>
                <w:rFonts w:ascii="Arial Narrow" w:hAnsi="Arial Narrow"/>
                <w:sz w:val="20"/>
                <w:szCs w:val="20"/>
              </w:rPr>
              <w:t xml:space="preserve">Patients with </w:t>
            </w:r>
            <w:r w:rsidRPr="00A84A0B">
              <w:rPr>
                <w:rFonts w:ascii="Arial Narrow" w:hAnsi="Arial Narrow"/>
                <w:sz w:val="20"/>
                <w:szCs w:val="20"/>
                <w:u w:val="single"/>
              </w:rPr>
              <w:t xml:space="preserve">squamous </w:t>
            </w:r>
            <w:r w:rsidR="005303C5" w:rsidRPr="00A84A0B">
              <w:rPr>
                <w:rFonts w:ascii="Arial Narrow" w:hAnsi="Arial Narrow"/>
                <w:sz w:val="20"/>
                <w:szCs w:val="20"/>
                <w:u w:val="single"/>
              </w:rPr>
              <w:t xml:space="preserve">cell </w:t>
            </w:r>
            <w:r w:rsidRPr="00A84A0B">
              <w:rPr>
                <w:rFonts w:ascii="Arial Narrow" w:hAnsi="Arial Narrow"/>
                <w:sz w:val="20"/>
                <w:szCs w:val="20"/>
                <w:u w:val="single"/>
              </w:rPr>
              <w:t>NSCLC</w:t>
            </w:r>
            <w:r w:rsidRPr="00A84A0B">
              <w:rPr>
                <w:rFonts w:ascii="Arial Narrow" w:hAnsi="Arial Narrow"/>
                <w:sz w:val="20"/>
                <w:szCs w:val="20"/>
              </w:rPr>
              <w:t xml:space="preserve"> (unselected for PD-L1 status) who had failed platinum-based chemotherapy</w:t>
            </w:r>
          </w:p>
        </w:tc>
        <w:tc>
          <w:tcPr>
            <w:tcW w:w="1300" w:type="pct"/>
            <w:shd w:val="clear" w:color="auto" w:fill="auto"/>
            <w:vAlign w:val="center"/>
          </w:tcPr>
          <w:p w:rsidR="005F0900" w:rsidRPr="00A84A0B" w:rsidRDefault="005F0900" w:rsidP="005939DA">
            <w:pPr>
              <w:rPr>
                <w:rFonts w:ascii="Arial Narrow" w:hAnsi="Arial Narrow"/>
                <w:sz w:val="20"/>
                <w:szCs w:val="20"/>
              </w:rPr>
            </w:pPr>
            <w:r w:rsidRPr="00A84A0B">
              <w:rPr>
                <w:rFonts w:ascii="Arial Narrow" w:hAnsi="Arial Narrow"/>
                <w:sz w:val="20"/>
                <w:szCs w:val="20"/>
              </w:rPr>
              <w:t>Overall survival (HR [95% CI]) in the following pre-defined sub-groups:</w:t>
            </w:r>
          </w:p>
          <w:p w:rsidR="005F0900" w:rsidRPr="00A84A0B" w:rsidRDefault="005F0900" w:rsidP="005939DA">
            <w:pPr>
              <w:pStyle w:val="ListParagraph"/>
              <w:widowControl/>
              <w:numPr>
                <w:ilvl w:val="0"/>
                <w:numId w:val="5"/>
              </w:numPr>
              <w:ind w:left="255" w:hanging="255"/>
              <w:rPr>
                <w:rFonts w:ascii="Arial Narrow" w:hAnsi="Arial Narrow"/>
                <w:sz w:val="20"/>
              </w:rPr>
            </w:pPr>
            <w:r w:rsidRPr="00A84A0B">
              <w:rPr>
                <w:rFonts w:ascii="Arial Narrow" w:hAnsi="Arial Narrow"/>
                <w:sz w:val="20"/>
              </w:rPr>
              <w:t>&lt;65 and ≥65 years</w:t>
            </w:r>
          </w:p>
          <w:p w:rsidR="005F0900" w:rsidRPr="00A84A0B" w:rsidRDefault="005F0900" w:rsidP="005939DA">
            <w:pPr>
              <w:pStyle w:val="ListParagraph"/>
              <w:widowControl/>
              <w:numPr>
                <w:ilvl w:val="0"/>
                <w:numId w:val="5"/>
              </w:numPr>
              <w:ind w:left="255" w:hanging="255"/>
              <w:rPr>
                <w:rFonts w:ascii="Arial Narrow" w:hAnsi="Arial Narrow"/>
                <w:sz w:val="20"/>
              </w:rPr>
            </w:pPr>
            <w:r w:rsidRPr="00A84A0B">
              <w:rPr>
                <w:rFonts w:ascii="Arial Narrow" w:hAnsi="Arial Narrow"/>
                <w:sz w:val="20"/>
              </w:rPr>
              <w:t>&lt;75 and ≥75 years</w:t>
            </w:r>
          </w:p>
          <w:p w:rsidR="005F0900" w:rsidRPr="00A84A0B" w:rsidRDefault="007B592A" w:rsidP="005939DA">
            <w:pPr>
              <w:pStyle w:val="ListParagraph"/>
              <w:widowControl/>
              <w:numPr>
                <w:ilvl w:val="0"/>
                <w:numId w:val="5"/>
              </w:numPr>
              <w:ind w:left="255" w:hanging="255"/>
              <w:jc w:val="left"/>
              <w:rPr>
                <w:rFonts w:ascii="Arial Narrow" w:hAnsi="Arial Narrow"/>
                <w:sz w:val="20"/>
              </w:rPr>
            </w:pPr>
            <w:r w:rsidRPr="00A84A0B">
              <w:rPr>
                <w:rFonts w:ascii="Arial Narrow" w:hAnsi="Arial Narrow"/>
                <w:sz w:val="20"/>
              </w:rPr>
              <w:t xml:space="preserve">&lt;65, 65-&lt;75 and </w:t>
            </w:r>
            <w:r w:rsidR="005F0900" w:rsidRPr="00A84A0B">
              <w:rPr>
                <w:rFonts w:ascii="Arial Narrow" w:hAnsi="Arial Narrow"/>
                <w:sz w:val="20"/>
              </w:rPr>
              <w:t>≥75 years</w:t>
            </w:r>
          </w:p>
          <w:p w:rsidR="005303C5" w:rsidRPr="00A84A0B" w:rsidRDefault="005303C5" w:rsidP="005939DA">
            <w:pPr>
              <w:pStyle w:val="ListParagraph"/>
              <w:widowControl/>
              <w:numPr>
                <w:ilvl w:val="0"/>
                <w:numId w:val="5"/>
              </w:numPr>
              <w:ind w:left="255" w:hanging="255"/>
              <w:jc w:val="left"/>
              <w:rPr>
                <w:rFonts w:ascii="Arial Narrow" w:hAnsi="Arial Narrow"/>
                <w:sz w:val="20"/>
              </w:rPr>
            </w:pPr>
            <w:r w:rsidRPr="00A84A0B">
              <w:rPr>
                <w:rFonts w:ascii="Arial Narrow" w:hAnsi="Arial Narrow"/>
                <w:sz w:val="20"/>
              </w:rPr>
              <w:t>PD-L1 expression cut-off of 1% (ie, &lt;1% and ≥1%)</w:t>
            </w:r>
          </w:p>
        </w:tc>
      </w:tr>
      <w:tr w:rsidR="00FA5A2B" w:rsidRPr="00A84A0B" w:rsidTr="001B0279">
        <w:trPr>
          <w:cantSplit/>
        </w:trPr>
        <w:tc>
          <w:tcPr>
            <w:tcW w:w="746" w:type="pct"/>
            <w:shd w:val="clear" w:color="auto" w:fill="auto"/>
            <w:vAlign w:val="center"/>
          </w:tcPr>
          <w:p w:rsidR="00C86917" w:rsidRPr="00A84A0B" w:rsidRDefault="00C86917" w:rsidP="005939DA">
            <w:pPr>
              <w:rPr>
                <w:rFonts w:ascii="Arial Narrow" w:hAnsi="Arial Narrow"/>
                <w:sz w:val="20"/>
                <w:szCs w:val="20"/>
              </w:rPr>
            </w:pPr>
            <w:r w:rsidRPr="00A84A0B">
              <w:rPr>
                <w:rFonts w:ascii="Arial Narrow" w:hAnsi="Arial Narrow"/>
                <w:sz w:val="20"/>
                <w:szCs w:val="20"/>
              </w:rPr>
              <w:t>CA209-057 (057)</w:t>
            </w:r>
          </w:p>
        </w:tc>
        <w:tc>
          <w:tcPr>
            <w:tcW w:w="255" w:type="pct"/>
            <w:vAlign w:val="center"/>
          </w:tcPr>
          <w:p w:rsidR="00C86917" w:rsidRPr="00A84A0B" w:rsidRDefault="00C86917" w:rsidP="005939DA">
            <w:pPr>
              <w:jc w:val="center"/>
              <w:rPr>
                <w:rFonts w:ascii="Arial Narrow" w:hAnsi="Arial Narrow"/>
                <w:sz w:val="20"/>
                <w:szCs w:val="20"/>
              </w:rPr>
            </w:pPr>
            <w:r w:rsidRPr="00A84A0B">
              <w:rPr>
                <w:rFonts w:ascii="Arial Narrow" w:hAnsi="Arial Narrow"/>
                <w:sz w:val="20"/>
                <w:szCs w:val="20"/>
              </w:rPr>
              <w:t>582</w:t>
            </w:r>
          </w:p>
        </w:tc>
        <w:tc>
          <w:tcPr>
            <w:tcW w:w="1170" w:type="pct"/>
            <w:shd w:val="clear" w:color="auto" w:fill="auto"/>
            <w:vAlign w:val="center"/>
          </w:tcPr>
          <w:p w:rsidR="00C86917" w:rsidRPr="00A84A0B" w:rsidRDefault="00C86917" w:rsidP="005939DA">
            <w:pPr>
              <w:jc w:val="center"/>
              <w:rPr>
                <w:rFonts w:ascii="Arial Narrow" w:hAnsi="Arial Narrow"/>
                <w:sz w:val="20"/>
                <w:szCs w:val="20"/>
              </w:rPr>
            </w:pPr>
            <w:r w:rsidRPr="00A84A0B">
              <w:rPr>
                <w:rFonts w:ascii="Arial Narrow" w:hAnsi="Arial Narrow"/>
                <w:sz w:val="20"/>
                <w:szCs w:val="20"/>
              </w:rPr>
              <w:t>R, OL</w:t>
            </w:r>
          </w:p>
          <w:p w:rsidR="00C86917" w:rsidRPr="00A84A0B" w:rsidRDefault="00C86917" w:rsidP="005939DA">
            <w:pPr>
              <w:jc w:val="center"/>
              <w:rPr>
                <w:rFonts w:ascii="Arial Narrow" w:hAnsi="Arial Narrow"/>
                <w:sz w:val="20"/>
                <w:szCs w:val="20"/>
              </w:rPr>
            </w:pPr>
            <w:r w:rsidRPr="00A84A0B">
              <w:rPr>
                <w:rFonts w:ascii="Arial Narrow" w:hAnsi="Arial Narrow"/>
                <w:sz w:val="20"/>
                <w:szCs w:val="20"/>
              </w:rPr>
              <w:t>Database lock March 2015 (follow-up 13.2 months) and database lock July 2015 (most updated: follow-up 17.1 months)</w:t>
            </w:r>
          </w:p>
        </w:tc>
        <w:tc>
          <w:tcPr>
            <w:tcW w:w="450" w:type="pct"/>
            <w:shd w:val="clear" w:color="auto" w:fill="auto"/>
            <w:vAlign w:val="center"/>
          </w:tcPr>
          <w:p w:rsidR="00C86917" w:rsidRPr="00A84A0B" w:rsidRDefault="00C86917" w:rsidP="005939DA">
            <w:pPr>
              <w:jc w:val="center"/>
              <w:rPr>
                <w:rFonts w:ascii="Arial Narrow" w:hAnsi="Arial Narrow"/>
                <w:sz w:val="20"/>
                <w:szCs w:val="20"/>
              </w:rPr>
            </w:pPr>
            <w:r w:rsidRPr="00A84A0B">
              <w:rPr>
                <w:rFonts w:ascii="Arial Narrow" w:hAnsi="Arial Narrow"/>
                <w:sz w:val="20"/>
                <w:szCs w:val="20"/>
              </w:rPr>
              <w:t>Low for OS</w:t>
            </w:r>
          </w:p>
          <w:p w:rsidR="00C86917" w:rsidRPr="00A84A0B" w:rsidRDefault="00C86917" w:rsidP="005939DA">
            <w:pPr>
              <w:jc w:val="center"/>
              <w:rPr>
                <w:rFonts w:ascii="Arial Narrow" w:hAnsi="Arial Narrow"/>
                <w:sz w:val="20"/>
                <w:szCs w:val="20"/>
                <w:vertAlign w:val="superscript"/>
              </w:rPr>
            </w:pPr>
            <w:r w:rsidRPr="00A84A0B">
              <w:rPr>
                <w:rFonts w:ascii="Arial Narrow" w:hAnsi="Arial Narrow"/>
                <w:sz w:val="20"/>
                <w:szCs w:val="20"/>
              </w:rPr>
              <w:t>High for AEs and QoL</w:t>
            </w:r>
            <w:r w:rsidRPr="00A84A0B">
              <w:rPr>
                <w:rFonts w:ascii="Arial Narrow" w:hAnsi="Arial Narrow"/>
                <w:sz w:val="20"/>
                <w:szCs w:val="20"/>
                <w:vertAlign w:val="superscript"/>
              </w:rPr>
              <w:t>b</w:t>
            </w:r>
          </w:p>
        </w:tc>
        <w:tc>
          <w:tcPr>
            <w:tcW w:w="1079" w:type="pct"/>
            <w:shd w:val="clear" w:color="auto" w:fill="auto"/>
            <w:vAlign w:val="center"/>
          </w:tcPr>
          <w:p w:rsidR="00C86917" w:rsidRPr="00A84A0B" w:rsidRDefault="00C86917" w:rsidP="005939DA">
            <w:pPr>
              <w:jc w:val="center"/>
              <w:rPr>
                <w:rFonts w:ascii="Arial Narrow" w:hAnsi="Arial Narrow"/>
                <w:sz w:val="20"/>
                <w:szCs w:val="20"/>
              </w:rPr>
            </w:pPr>
            <w:r w:rsidRPr="00A84A0B">
              <w:rPr>
                <w:rFonts w:ascii="Arial Narrow" w:hAnsi="Arial Narrow"/>
                <w:sz w:val="20"/>
                <w:szCs w:val="20"/>
              </w:rPr>
              <w:t xml:space="preserve">Patients with </w:t>
            </w:r>
            <w:r w:rsidRPr="00A84A0B">
              <w:rPr>
                <w:rFonts w:ascii="Arial Narrow" w:hAnsi="Arial Narrow"/>
                <w:sz w:val="20"/>
                <w:szCs w:val="20"/>
                <w:u w:val="single"/>
              </w:rPr>
              <w:t>non-squamous cell NSCLC</w:t>
            </w:r>
            <w:r w:rsidRPr="00A84A0B">
              <w:rPr>
                <w:rFonts w:ascii="Arial Narrow" w:hAnsi="Arial Narrow"/>
                <w:sz w:val="20"/>
                <w:szCs w:val="20"/>
              </w:rPr>
              <w:t xml:space="preserve"> (unselected for PD-L1 status) who had failed platinum-based chemotherapy</w:t>
            </w:r>
          </w:p>
        </w:tc>
        <w:tc>
          <w:tcPr>
            <w:tcW w:w="1300" w:type="pct"/>
            <w:shd w:val="clear" w:color="auto" w:fill="auto"/>
            <w:vAlign w:val="center"/>
          </w:tcPr>
          <w:p w:rsidR="003266E6" w:rsidRPr="00A84A0B" w:rsidRDefault="003266E6" w:rsidP="005939DA">
            <w:pPr>
              <w:rPr>
                <w:rFonts w:ascii="Arial Narrow" w:hAnsi="Arial Narrow"/>
                <w:sz w:val="20"/>
                <w:szCs w:val="20"/>
              </w:rPr>
            </w:pPr>
            <w:r w:rsidRPr="00A84A0B">
              <w:rPr>
                <w:rFonts w:ascii="Arial Narrow" w:hAnsi="Arial Narrow"/>
                <w:sz w:val="20"/>
                <w:szCs w:val="20"/>
              </w:rPr>
              <w:t>Overall survival (HR [95% CI]) in the following</w:t>
            </w:r>
            <w:r w:rsidR="00F51F33" w:rsidRPr="00A84A0B">
              <w:rPr>
                <w:rFonts w:ascii="Arial Narrow" w:hAnsi="Arial Narrow"/>
                <w:sz w:val="20"/>
                <w:szCs w:val="20"/>
              </w:rPr>
              <w:t xml:space="preserve"> pre-defined</w:t>
            </w:r>
            <w:r w:rsidRPr="00A84A0B">
              <w:rPr>
                <w:rFonts w:ascii="Arial Narrow" w:hAnsi="Arial Narrow"/>
                <w:sz w:val="20"/>
                <w:szCs w:val="20"/>
              </w:rPr>
              <w:t xml:space="preserve"> sub-groups:</w:t>
            </w:r>
          </w:p>
          <w:p w:rsidR="003266E6" w:rsidRPr="00A84A0B" w:rsidRDefault="003266E6" w:rsidP="005939DA">
            <w:pPr>
              <w:pStyle w:val="ListParagraph"/>
              <w:widowControl/>
              <w:numPr>
                <w:ilvl w:val="0"/>
                <w:numId w:val="6"/>
              </w:numPr>
              <w:ind w:left="255" w:hanging="255"/>
              <w:rPr>
                <w:rFonts w:ascii="Arial Narrow" w:hAnsi="Arial Narrow"/>
                <w:sz w:val="20"/>
              </w:rPr>
            </w:pPr>
            <w:r w:rsidRPr="00A84A0B">
              <w:rPr>
                <w:rFonts w:ascii="Arial Narrow" w:hAnsi="Arial Narrow"/>
                <w:sz w:val="20"/>
              </w:rPr>
              <w:t>&lt;65 years</w:t>
            </w:r>
          </w:p>
          <w:p w:rsidR="003266E6" w:rsidRPr="00A84A0B" w:rsidRDefault="003532D9" w:rsidP="005939DA">
            <w:pPr>
              <w:pStyle w:val="ListParagraph"/>
              <w:widowControl/>
              <w:numPr>
                <w:ilvl w:val="0"/>
                <w:numId w:val="6"/>
              </w:numPr>
              <w:ind w:left="255" w:hanging="255"/>
              <w:rPr>
                <w:rFonts w:ascii="Arial Narrow" w:hAnsi="Arial Narrow"/>
                <w:sz w:val="20"/>
              </w:rPr>
            </w:pPr>
            <w:r w:rsidRPr="00A84A0B">
              <w:rPr>
                <w:rFonts w:ascii="Arial Narrow" w:hAnsi="Arial Narrow"/>
                <w:sz w:val="20"/>
              </w:rPr>
              <w:t>≥</w:t>
            </w:r>
            <w:r w:rsidR="003266E6" w:rsidRPr="00A84A0B">
              <w:rPr>
                <w:rFonts w:ascii="Arial Narrow" w:hAnsi="Arial Narrow"/>
                <w:sz w:val="20"/>
              </w:rPr>
              <w:t>65-</w:t>
            </w:r>
            <w:r w:rsidRPr="00A84A0B">
              <w:rPr>
                <w:rFonts w:ascii="Arial Narrow" w:hAnsi="Arial Narrow"/>
                <w:sz w:val="20"/>
              </w:rPr>
              <w:t>&lt;</w:t>
            </w:r>
            <w:r w:rsidR="003266E6" w:rsidRPr="00A84A0B">
              <w:rPr>
                <w:rFonts w:ascii="Arial Narrow" w:hAnsi="Arial Narrow"/>
                <w:sz w:val="20"/>
              </w:rPr>
              <w:t>7</w:t>
            </w:r>
            <w:r w:rsidRPr="00A84A0B">
              <w:rPr>
                <w:rFonts w:ascii="Arial Narrow" w:hAnsi="Arial Narrow"/>
                <w:sz w:val="20"/>
              </w:rPr>
              <w:t>5</w:t>
            </w:r>
            <w:r w:rsidR="003266E6" w:rsidRPr="00A84A0B">
              <w:rPr>
                <w:rFonts w:ascii="Arial Narrow" w:hAnsi="Arial Narrow"/>
                <w:sz w:val="20"/>
              </w:rPr>
              <w:t xml:space="preserve"> years</w:t>
            </w:r>
          </w:p>
          <w:p w:rsidR="00E9587E" w:rsidRPr="00A84A0B" w:rsidRDefault="003266E6" w:rsidP="005939DA">
            <w:pPr>
              <w:pStyle w:val="ListParagraph"/>
              <w:widowControl/>
              <w:numPr>
                <w:ilvl w:val="0"/>
                <w:numId w:val="6"/>
              </w:numPr>
              <w:ind w:left="255" w:hanging="255"/>
              <w:rPr>
                <w:rFonts w:ascii="Arial Narrow" w:hAnsi="Arial Narrow"/>
                <w:sz w:val="20"/>
              </w:rPr>
            </w:pPr>
            <w:r w:rsidRPr="00A84A0B">
              <w:rPr>
                <w:rFonts w:ascii="Times New Roman" w:hAnsi="Times New Roman" w:cs="Times New Roman"/>
                <w:sz w:val="20"/>
              </w:rPr>
              <w:t>≥</w:t>
            </w:r>
            <w:r w:rsidRPr="00A84A0B">
              <w:rPr>
                <w:rFonts w:ascii="Arial Narrow" w:hAnsi="Arial Narrow"/>
                <w:sz w:val="20"/>
              </w:rPr>
              <w:t>75 years</w:t>
            </w:r>
          </w:p>
          <w:p w:rsidR="003532D9" w:rsidRPr="00A84A0B" w:rsidRDefault="003532D9" w:rsidP="005939DA">
            <w:pPr>
              <w:pStyle w:val="ListParagraph"/>
              <w:widowControl/>
              <w:numPr>
                <w:ilvl w:val="0"/>
                <w:numId w:val="6"/>
              </w:numPr>
              <w:ind w:left="255" w:hanging="255"/>
              <w:rPr>
                <w:rFonts w:ascii="Arial Narrow" w:hAnsi="Arial Narrow"/>
                <w:sz w:val="20"/>
              </w:rPr>
            </w:pPr>
            <w:r w:rsidRPr="00A84A0B">
              <w:rPr>
                <w:rFonts w:ascii="Arial Narrow" w:hAnsi="Arial Narrow"/>
                <w:sz w:val="20"/>
              </w:rPr>
              <w:t>≥65 years</w:t>
            </w:r>
          </w:p>
          <w:p w:rsidR="00C86917" w:rsidRPr="00A84A0B" w:rsidRDefault="00E9587E" w:rsidP="005939DA">
            <w:pPr>
              <w:pStyle w:val="ListParagraph"/>
              <w:widowControl/>
              <w:numPr>
                <w:ilvl w:val="0"/>
                <w:numId w:val="6"/>
              </w:numPr>
              <w:ind w:left="255" w:hanging="255"/>
              <w:rPr>
                <w:rFonts w:ascii="Arial Narrow" w:hAnsi="Arial Narrow"/>
                <w:sz w:val="20"/>
              </w:rPr>
            </w:pPr>
            <w:r w:rsidRPr="00A84A0B">
              <w:rPr>
                <w:rFonts w:ascii="Arial Narrow" w:hAnsi="Arial Narrow"/>
                <w:sz w:val="20"/>
              </w:rPr>
              <w:t xml:space="preserve">PD-L1 </w:t>
            </w:r>
            <w:r w:rsidR="003532D9" w:rsidRPr="00A84A0B">
              <w:rPr>
                <w:rFonts w:ascii="Arial Narrow" w:hAnsi="Arial Narrow"/>
                <w:sz w:val="20"/>
              </w:rPr>
              <w:t>expression cut-off of 1%</w:t>
            </w:r>
          </w:p>
        </w:tc>
      </w:tr>
      <w:tr w:rsidR="00E65FEC" w:rsidRPr="00A84A0B" w:rsidTr="001B0279">
        <w:trPr>
          <w:cantSplit/>
        </w:trPr>
        <w:tc>
          <w:tcPr>
            <w:tcW w:w="5000" w:type="pct"/>
            <w:gridSpan w:val="6"/>
            <w:shd w:val="clear" w:color="auto" w:fill="auto"/>
            <w:vAlign w:val="center"/>
          </w:tcPr>
          <w:p w:rsidR="00E65FEC" w:rsidRPr="00A84A0B" w:rsidRDefault="00E068FF" w:rsidP="005939DA">
            <w:pPr>
              <w:rPr>
                <w:rFonts w:ascii="Arial Narrow" w:hAnsi="Arial Narrow"/>
                <w:sz w:val="20"/>
                <w:szCs w:val="20"/>
              </w:rPr>
            </w:pPr>
            <w:r>
              <w:rPr>
                <w:rFonts w:ascii="Arial Narrow" w:hAnsi="Arial Narrow"/>
                <w:b/>
                <w:sz w:val="20"/>
                <w:szCs w:val="20"/>
              </w:rPr>
              <w:t xml:space="preserve">Single-arm study </w:t>
            </w:r>
            <w:r w:rsidR="00E65FEC" w:rsidRPr="00A84A0B">
              <w:rPr>
                <w:rFonts w:ascii="Arial Narrow" w:hAnsi="Arial Narrow"/>
                <w:b/>
                <w:sz w:val="20"/>
                <w:szCs w:val="20"/>
              </w:rPr>
              <w:t>data – nivolumab for second-line treatment of NSCLC</w:t>
            </w:r>
          </w:p>
        </w:tc>
      </w:tr>
      <w:tr w:rsidR="00DC3061" w:rsidRPr="00A84A0B" w:rsidTr="001B0279">
        <w:trPr>
          <w:cantSplit/>
        </w:trPr>
        <w:tc>
          <w:tcPr>
            <w:tcW w:w="746" w:type="pct"/>
            <w:shd w:val="clear" w:color="auto" w:fill="auto"/>
            <w:vAlign w:val="center"/>
          </w:tcPr>
          <w:p w:rsidR="00E65FEC" w:rsidRPr="00A84A0B" w:rsidRDefault="00E65FEC" w:rsidP="005939DA">
            <w:pPr>
              <w:pStyle w:val="NoSpacing"/>
              <w:jc w:val="left"/>
              <w:rPr>
                <w:rFonts w:ascii="Arial Narrow" w:hAnsi="Arial Narrow"/>
                <w:sz w:val="20"/>
                <w:szCs w:val="20"/>
              </w:rPr>
            </w:pPr>
            <w:r w:rsidRPr="00A84A0B">
              <w:rPr>
                <w:rFonts w:ascii="Arial Narrow" w:hAnsi="Arial Narrow"/>
                <w:sz w:val="20"/>
                <w:szCs w:val="20"/>
              </w:rPr>
              <w:t>CHECKMATE-153</w:t>
            </w:r>
          </w:p>
        </w:tc>
        <w:tc>
          <w:tcPr>
            <w:tcW w:w="255" w:type="pct"/>
            <w:vAlign w:val="center"/>
          </w:tcPr>
          <w:p w:rsidR="00E65FEC" w:rsidRPr="00A84A0B" w:rsidRDefault="003E2B1B" w:rsidP="005939DA">
            <w:pPr>
              <w:jc w:val="center"/>
              <w:rPr>
                <w:rFonts w:ascii="Arial Narrow" w:hAnsi="Arial Narrow"/>
                <w:sz w:val="20"/>
                <w:szCs w:val="20"/>
              </w:rPr>
            </w:pPr>
            <w:r w:rsidRPr="00A84A0B">
              <w:rPr>
                <w:rFonts w:ascii="Arial Narrow" w:hAnsi="Arial Narrow"/>
                <w:sz w:val="20"/>
                <w:szCs w:val="20"/>
              </w:rPr>
              <w:t>1375</w:t>
            </w:r>
          </w:p>
        </w:tc>
        <w:tc>
          <w:tcPr>
            <w:tcW w:w="1170" w:type="pct"/>
            <w:shd w:val="clear" w:color="auto" w:fill="auto"/>
            <w:vAlign w:val="center"/>
          </w:tcPr>
          <w:p w:rsidR="00E65FEC" w:rsidRPr="00A84A0B" w:rsidRDefault="003E2B1B" w:rsidP="005939DA">
            <w:pPr>
              <w:jc w:val="center"/>
              <w:rPr>
                <w:rFonts w:ascii="Arial Narrow" w:hAnsi="Arial Narrow"/>
                <w:sz w:val="20"/>
                <w:szCs w:val="20"/>
              </w:rPr>
            </w:pPr>
            <w:r w:rsidRPr="00A84A0B">
              <w:rPr>
                <w:rFonts w:ascii="Arial Narrow" w:hAnsi="Arial Narrow"/>
                <w:sz w:val="20"/>
                <w:szCs w:val="20"/>
              </w:rPr>
              <w:t>R, OL</w:t>
            </w:r>
          </w:p>
          <w:p w:rsidR="003E2B1B" w:rsidRPr="00A84A0B" w:rsidRDefault="00E84268" w:rsidP="005939DA">
            <w:pPr>
              <w:jc w:val="center"/>
              <w:rPr>
                <w:rFonts w:ascii="Arial Narrow" w:hAnsi="Arial Narrow"/>
                <w:sz w:val="20"/>
                <w:szCs w:val="20"/>
              </w:rPr>
            </w:pPr>
            <w:r w:rsidRPr="00A84A0B">
              <w:rPr>
                <w:rFonts w:ascii="Arial Narrow" w:hAnsi="Arial Narrow"/>
                <w:sz w:val="20"/>
                <w:szCs w:val="20"/>
              </w:rPr>
              <w:t>Follow-up of 6.9 months</w:t>
            </w:r>
          </w:p>
        </w:tc>
        <w:tc>
          <w:tcPr>
            <w:tcW w:w="450" w:type="pct"/>
            <w:shd w:val="clear" w:color="auto" w:fill="auto"/>
            <w:vAlign w:val="center"/>
          </w:tcPr>
          <w:p w:rsidR="00E65FEC" w:rsidRPr="00A84A0B" w:rsidRDefault="00E84268" w:rsidP="005939DA">
            <w:pPr>
              <w:jc w:val="center"/>
              <w:rPr>
                <w:rFonts w:ascii="Arial Narrow" w:hAnsi="Arial Narrow"/>
                <w:sz w:val="20"/>
                <w:szCs w:val="20"/>
              </w:rPr>
            </w:pPr>
            <w:r w:rsidRPr="00A84A0B">
              <w:rPr>
                <w:rFonts w:ascii="Arial Narrow" w:hAnsi="Arial Narrow"/>
                <w:sz w:val="20"/>
                <w:szCs w:val="20"/>
              </w:rPr>
              <w:t>Low for OS</w:t>
            </w:r>
          </w:p>
        </w:tc>
        <w:tc>
          <w:tcPr>
            <w:tcW w:w="1079" w:type="pct"/>
            <w:shd w:val="clear" w:color="auto" w:fill="auto"/>
            <w:vAlign w:val="center"/>
          </w:tcPr>
          <w:p w:rsidR="00E65FEC" w:rsidRPr="00A84A0B" w:rsidRDefault="003E2B1B" w:rsidP="005939DA">
            <w:pPr>
              <w:jc w:val="center"/>
              <w:rPr>
                <w:rFonts w:ascii="Arial Narrow" w:hAnsi="Arial Narrow"/>
                <w:sz w:val="20"/>
                <w:szCs w:val="20"/>
              </w:rPr>
            </w:pPr>
            <w:r w:rsidRPr="00A84A0B">
              <w:rPr>
                <w:rFonts w:ascii="Arial Narrow" w:hAnsi="Arial Narrow"/>
                <w:sz w:val="20"/>
                <w:szCs w:val="20"/>
              </w:rPr>
              <w:t>Patients with advanced metastatic NSCLC (</w:t>
            </w:r>
            <w:r w:rsidRPr="00A84A0B">
              <w:rPr>
                <w:rFonts w:ascii="Arial Narrow" w:hAnsi="Arial Narrow"/>
                <w:sz w:val="20"/>
                <w:szCs w:val="20"/>
                <w:u w:val="single"/>
              </w:rPr>
              <w:t>squamous or non-squamous</w:t>
            </w:r>
            <w:r w:rsidRPr="00A84A0B">
              <w:rPr>
                <w:rFonts w:ascii="Arial Narrow" w:hAnsi="Arial Narrow"/>
                <w:sz w:val="20"/>
                <w:szCs w:val="20"/>
              </w:rPr>
              <w:t xml:space="preserve">) treated with </w:t>
            </w:r>
            <w:r w:rsidRPr="00A84A0B">
              <w:rPr>
                <w:sz w:val="20"/>
                <w:szCs w:val="20"/>
              </w:rPr>
              <w:t>≥</w:t>
            </w:r>
            <w:r w:rsidRPr="00A84A0B">
              <w:rPr>
                <w:rFonts w:ascii="Arial Narrow" w:hAnsi="Arial Narrow"/>
                <w:sz w:val="20"/>
                <w:szCs w:val="20"/>
              </w:rPr>
              <w:t xml:space="preserve">1 prior systemic therapy </w:t>
            </w:r>
          </w:p>
        </w:tc>
        <w:tc>
          <w:tcPr>
            <w:tcW w:w="1300" w:type="pct"/>
            <w:shd w:val="clear" w:color="auto" w:fill="auto"/>
            <w:vAlign w:val="center"/>
          </w:tcPr>
          <w:p w:rsidR="00E65FEC" w:rsidRPr="00A84A0B" w:rsidRDefault="0050312A" w:rsidP="005939DA">
            <w:pPr>
              <w:rPr>
                <w:rFonts w:ascii="Arial Narrow" w:hAnsi="Arial Narrow"/>
                <w:sz w:val="20"/>
                <w:szCs w:val="20"/>
              </w:rPr>
            </w:pPr>
            <w:r w:rsidRPr="00A84A0B">
              <w:rPr>
                <w:rFonts w:ascii="Arial Narrow" w:hAnsi="Arial Narrow"/>
                <w:sz w:val="20"/>
                <w:szCs w:val="20"/>
              </w:rPr>
              <w:t>Median, 6-month overall survival and 1-year overall survival (95% CI) in the following sub-groups:</w:t>
            </w:r>
          </w:p>
          <w:p w:rsidR="0050312A" w:rsidRPr="00A84A0B" w:rsidRDefault="0050312A" w:rsidP="005939DA">
            <w:pPr>
              <w:pStyle w:val="ListParagraph"/>
              <w:widowControl/>
              <w:numPr>
                <w:ilvl w:val="0"/>
                <w:numId w:val="7"/>
              </w:numPr>
              <w:ind w:left="255" w:hanging="255"/>
              <w:rPr>
                <w:rFonts w:ascii="Arial Narrow" w:hAnsi="Arial Narrow"/>
                <w:sz w:val="20"/>
              </w:rPr>
            </w:pPr>
            <w:r w:rsidRPr="00A84A0B">
              <w:rPr>
                <w:rFonts w:ascii="Arial Narrow" w:hAnsi="Arial Narrow"/>
                <w:sz w:val="20"/>
              </w:rPr>
              <w:t>&lt;</w:t>
            </w:r>
            <w:r w:rsidRPr="00A84A0B">
              <w:rPr>
                <w:rFonts w:ascii="Times New Roman" w:hAnsi="Times New Roman" w:cs="Times New Roman"/>
                <w:sz w:val="20"/>
              </w:rPr>
              <w:t>70</w:t>
            </w:r>
            <w:r w:rsidRPr="00A84A0B">
              <w:rPr>
                <w:rFonts w:ascii="Arial Narrow" w:hAnsi="Arial Narrow"/>
                <w:sz w:val="20"/>
              </w:rPr>
              <w:t xml:space="preserve"> years</w:t>
            </w:r>
          </w:p>
          <w:p w:rsidR="0050312A" w:rsidRPr="00A84A0B" w:rsidRDefault="0050312A" w:rsidP="005939DA">
            <w:pPr>
              <w:pStyle w:val="ListParagraph"/>
              <w:widowControl/>
              <w:numPr>
                <w:ilvl w:val="0"/>
                <w:numId w:val="7"/>
              </w:numPr>
              <w:ind w:left="255" w:hanging="255"/>
              <w:rPr>
                <w:rFonts w:ascii="Arial Narrow" w:hAnsi="Arial Narrow"/>
                <w:sz w:val="20"/>
              </w:rPr>
            </w:pPr>
            <w:r w:rsidRPr="00A84A0B">
              <w:rPr>
                <w:rFonts w:ascii="Times New Roman" w:hAnsi="Times New Roman" w:cs="Times New Roman"/>
                <w:sz w:val="20"/>
              </w:rPr>
              <w:t>≥</w:t>
            </w:r>
            <w:r w:rsidRPr="00A84A0B">
              <w:rPr>
                <w:rFonts w:ascii="Arial Narrow" w:hAnsi="Arial Narrow"/>
                <w:sz w:val="20"/>
              </w:rPr>
              <w:t>70 years</w:t>
            </w:r>
          </w:p>
          <w:p w:rsidR="0050312A" w:rsidRPr="00A84A0B" w:rsidRDefault="0050312A" w:rsidP="005939DA">
            <w:pPr>
              <w:pStyle w:val="ListParagraph"/>
              <w:widowControl/>
              <w:numPr>
                <w:ilvl w:val="0"/>
                <w:numId w:val="7"/>
              </w:numPr>
              <w:ind w:left="255" w:hanging="255"/>
              <w:rPr>
                <w:rFonts w:ascii="Arial Narrow" w:hAnsi="Arial Narrow"/>
                <w:sz w:val="20"/>
              </w:rPr>
            </w:pPr>
            <w:r w:rsidRPr="00A84A0B">
              <w:rPr>
                <w:rFonts w:ascii="Arial Narrow" w:hAnsi="Arial Narrow"/>
                <w:sz w:val="20"/>
              </w:rPr>
              <w:t>ECOG</w:t>
            </w:r>
            <w:r w:rsidRPr="00A84A0B">
              <w:rPr>
                <w:rFonts w:ascii="Arial Narrow" w:hAnsi="Arial Narrow" w:cs="Times New Roman"/>
                <w:sz w:val="20"/>
              </w:rPr>
              <w:t xml:space="preserve"> PS0-1</w:t>
            </w:r>
          </w:p>
          <w:p w:rsidR="0050312A" w:rsidRPr="00A84A0B" w:rsidRDefault="0050312A" w:rsidP="005939DA">
            <w:pPr>
              <w:pStyle w:val="ListParagraph"/>
              <w:widowControl/>
              <w:numPr>
                <w:ilvl w:val="0"/>
                <w:numId w:val="7"/>
              </w:numPr>
              <w:ind w:left="255" w:hanging="255"/>
              <w:rPr>
                <w:rFonts w:ascii="Arial Narrow" w:hAnsi="Arial Narrow"/>
                <w:sz w:val="20"/>
              </w:rPr>
            </w:pPr>
            <w:r w:rsidRPr="00A84A0B">
              <w:rPr>
                <w:rFonts w:ascii="Arial Narrow" w:hAnsi="Arial Narrow"/>
                <w:sz w:val="20"/>
              </w:rPr>
              <w:t>ECOG</w:t>
            </w:r>
            <w:r w:rsidRPr="00A84A0B">
              <w:rPr>
                <w:rFonts w:ascii="Arial Narrow" w:hAnsi="Arial Narrow" w:cs="Times New Roman"/>
                <w:sz w:val="20"/>
              </w:rPr>
              <w:t xml:space="preserve"> PS2</w:t>
            </w:r>
            <w:r w:rsidR="00D30524" w:rsidRPr="00A84A0B">
              <w:rPr>
                <w:rFonts w:ascii="Arial Narrow" w:hAnsi="Arial Narrow" w:cs="Times New Roman"/>
                <w:sz w:val="20"/>
              </w:rPr>
              <w:t>.</w:t>
            </w:r>
          </w:p>
          <w:p w:rsidR="00D30524" w:rsidRPr="00A84A0B" w:rsidRDefault="00D30524" w:rsidP="005939DA">
            <w:pPr>
              <w:rPr>
                <w:rFonts w:ascii="Arial Narrow" w:hAnsi="Arial Narrow"/>
                <w:sz w:val="20"/>
                <w:szCs w:val="20"/>
              </w:rPr>
            </w:pPr>
            <w:r w:rsidRPr="00A84A0B">
              <w:rPr>
                <w:rFonts w:ascii="Arial Narrow" w:hAnsi="Arial Narrow"/>
                <w:sz w:val="20"/>
              </w:rPr>
              <w:t xml:space="preserve">Additional analysis for the PBAC of median overall survival in patients aged </w:t>
            </w:r>
            <w:r w:rsidRPr="00A84A0B">
              <w:rPr>
                <w:sz w:val="20"/>
              </w:rPr>
              <w:t>≥</w:t>
            </w:r>
            <w:r w:rsidRPr="00A84A0B">
              <w:rPr>
                <w:rFonts w:ascii="Arial Narrow" w:hAnsi="Arial Narrow"/>
                <w:sz w:val="20"/>
              </w:rPr>
              <w:t>75 years of age with ECOG PS of 0, 1 and 2</w:t>
            </w:r>
          </w:p>
        </w:tc>
      </w:tr>
      <w:tr w:rsidR="00DC3061" w:rsidRPr="00A84A0B" w:rsidTr="001B0279">
        <w:trPr>
          <w:cantSplit/>
        </w:trPr>
        <w:tc>
          <w:tcPr>
            <w:tcW w:w="746" w:type="pct"/>
            <w:shd w:val="clear" w:color="auto" w:fill="auto"/>
            <w:vAlign w:val="center"/>
          </w:tcPr>
          <w:p w:rsidR="00E65FEC" w:rsidRPr="00A84A0B" w:rsidRDefault="00E65FEC" w:rsidP="005939DA">
            <w:pPr>
              <w:rPr>
                <w:rFonts w:ascii="Arial Narrow" w:hAnsi="Arial Narrow"/>
                <w:sz w:val="20"/>
                <w:szCs w:val="20"/>
              </w:rPr>
            </w:pPr>
            <w:r w:rsidRPr="00A84A0B">
              <w:rPr>
                <w:rFonts w:ascii="Arial Narrow" w:hAnsi="Arial Narrow"/>
                <w:sz w:val="20"/>
                <w:szCs w:val="20"/>
              </w:rPr>
              <w:t xml:space="preserve">Italian Expanded Access Program </w:t>
            </w:r>
          </w:p>
        </w:tc>
        <w:tc>
          <w:tcPr>
            <w:tcW w:w="255" w:type="pct"/>
            <w:vAlign w:val="center"/>
          </w:tcPr>
          <w:p w:rsidR="00E65FEC" w:rsidRPr="00A84A0B" w:rsidRDefault="00AD0B0F" w:rsidP="005939DA">
            <w:pPr>
              <w:jc w:val="center"/>
              <w:rPr>
                <w:rFonts w:ascii="Arial Narrow" w:hAnsi="Arial Narrow"/>
                <w:sz w:val="20"/>
                <w:szCs w:val="20"/>
              </w:rPr>
            </w:pPr>
            <w:r w:rsidRPr="00A84A0B">
              <w:rPr>
                <w:rFonts w:ascii="Arial Narrow" w:hAnsi="Arial Narrow"/>
                <w:sz w:val="20"/>
                <w:szCs w:val="20"/>
              </w:rPr>
              <w:t>371</w:t>
            </w:r>
          </w:p>
        </w:tc>
        <w:tc>
          <w:tcPr>
            <w:tcW w:w="1170" w:type="pct"/>
            <w:shd w:val="clear" w:color="auto" w:fill="auto"/>
            <w:vAlign w:val="center"/>
          </w:tcPr>
          <w:p w:rsidR="00E65FEC" w:rsidRPr="00A84A0B" w:rsidRDefault="00AD0B0F" w:rsidP="005939DA">
            <w:pPr>
              <w:jc w:val="center"/>
              <w:rPr>
                <w:rFonts w:ascii="Arial Narrow" w:hAnsi="Arial Narrow"/>
                <w:sz w:val="20"/>
                <w:szCs w:val="20"/>
              </w:rPr>
            </w:pPr>
            <w:r w:rsidRPr="00A84A0B">
              <w:rPr>
                <w:rFonts w:ascii="Arial Narrow" w:hAnsi="Arial Narrow"/>
                <w:sz w:val="20"/>
                <w:szCs w:val="20"/>
              </w:rPr>
              <w:t>NR, OL</w:t>
            </w:r>
          </w:p>
          <w:p w:rsidR="00882FF7" w:rsidRPr="00A84A0B" w:rsidRDefault="00882FF7" w:rsidP="005939DA">
            <w:pPr>
              <w:jc w:val="center"/>
              <w:rPr>
                <w:rFonts w:ascii="Arial Narrow" w:hAnsi="Arial Narrow"/>
                <w:sz w:val="20"/>
                <w:szCs w:val="20"/>
              </w:rPr>
            </w:pPr>
            <w:r w:rsidRPr="00A84A0B">
              <w:rPr>
                <w:rFonts w:ascii="Arial Narrow" w:hAnsi="Arial Narrow"/>
                <w:sz w:val="20"/>
                <w:szCs w:val="20"/>
              </w:rPr>
              <w:t>Median follow-up of 7 months</w:t>
            </w:r>
          </w:p>
        </w:tc>
        <w:tc>
          <w:tcPr>
            <w:tcW w:w="450" w:type="pct"/>
            <w:shd w:val="clear" w:color="auto" w:fill="auto"/>
            <w:vAlign w:val="center"/>
          </w:tcPr>
          <w:p w:rsidR="00E65FEC" w:rsidRPr="00A84A0B" w:rsidRDefault="00CD126D" w:rsidP="005939DA">
            <w:pPr>
              <w:jc w:val="center"/>
              <w:rPr>
                <w:rFonts w:ascii="Arial Narrow" w:hAnsi="Arial Narrow"/>
                <w:sz w:val="20"/>
                <w:szCs w:val="20"/>
              </w:rPr>
            </w:pPr>
            <w:r w:rsidRPr="00A84A0B">
              <w:rPr>
                <w:rFonts w:ascii="Arial Narrow" w:hAnsi="Arial Narrow"/>
                <w:sz w:val="20"/>
                <w:szCs w:val="20"/>
              </w:rPr>
              <w:t xml:space="preserve">Low for OS, High for response to </w:t>
            </w:r>
            <w:r w:rsidR="00F51F33" w:rsidRPr="00A84A0B">
              <w:rPr>
                <w:rFonts w:ascii="Arial Narrow" w:hAnsi="Arial Narrow"/>
                <w:sz w:val="20"/>
                <w:szCs w:val="20"/>
              </w:rPr>
              <w:t>Tx</w:t>
            </w:r>
          </w:p>
        </w:tc>
        <w:tc>
          <w:tcPr>
            <w:tcW w:w="1079" w:type="pct"/>
            <w:shd w:val="clear" w:color="auto" w:fill="auto"/>
            <w:vAlign w:val="center"/>
          </w:tcPr>
          <w:p w:rsidR="00E65FEC" w:rsidRPr="00A84A0B" w:rsidRDefault="00882FF7" w:rsidP="005939DA">
            <w:pPr>
              <w:jc w:val="center"/>
              <w:rPr>
                <w:rFonts w:ascii="Arial Narrow" w:hAnsi="Arial Narrow"/>
                <w:sz w:val="20"/>
                <w:szCs w:val="20"/>
              </w:rPr>
            </w:pPr>
            <w:r w:rsidRPr="00A84A0B">
              <w:rPr>
                <w:rFonts w:ascii="Arial Narrow" w:hAnsi="Arial Narrow"/>
                <w:sz w:val="20"/>
                <w:szCs w:val="20"/>
              </w:rPr>
              <w:t>P</w:t>
            </w:r>
            <w:r w:rsidR="00AD0B0F" w:rsidRPr="00A84A0B">
              <w:rPr>
                <w:rFonts w:ascii="Arial Narrow" w:hAnsi="Arial Narrow"/>
                <w:sz w:val="20"/>
                <w:szCs w:val="20"/>
              </w:rPr>
              <w:t xml:space="preserve">atients with stage IIIB/IV </w:t>
            </w:r>
            <w:r w:rsidR="00AD0B0F" w:rsidRPr="00A84A0B">
              <w:rPr>
                <w:rFonts w:ascii="Arial Narrow" w:hAnsi="Arial Narrow"/>
                <w:sz w:val="20"/>
                <w:szCs w:val="20"/>
                <w:u w:val="single"/>
              </w:rPr>
              <w:t>squamous</w:t>
            </w:r>
            <w:r w:rsidR="00AD0B0F" w:rsidRPr="00A84A0B">
              <w:rPr>
                <w:rFonts w:ascii="Arial Narrow" w:hAnsi="Arial Narrow"/>
                <w:sz w:val="20"/>
                <w:szCs w:val="20"/>
              </w:rPr>
              <w:t xml:space="preserve"> NSCLC with disease relapse after receiving </w:t>
            </w:r>
            <w:r w:rsidR="00AD0B0F" w:rsidRPr="00A84A0B">
              <w:rPr>
                <w:sz w:val="20"/>
                <w:szCs w:val="20"/>
              </w:rPr>
              <w:t>≥</w:t>
            </w:r>
            <w:r w:rsidR="00AD0B0F" w:rsidRPr="00A84A0B">
              <w:rPr>
                <w:rFonts w:ascii="Arial Narrow" w:hAnsi="Arial Narrow"/>
                <w:sz w:val="20"/>
                <w:szCs w:val="20"/>
              </w:rPr>
              <w:t>1 prior treatment</w:t>
            </w:r>
          </w:p>
        </w:tc>
        <w:tc>
          <w:tcPr>
            <w:tcW w:w="1300" w:type="pct"/>
            <w:shd w:val="clear" w:color="auto" w:fill="auto"/>
            <w:vAlign w:val="center"/>
          </w:tcPr>
          <w:p w:rsidR="00E65FEC" w:rsidRPr="00A84A0B" w:rsidRDefault="00CD126D" w:rsidP="005939DA">
            <w:pPr>
              <w:rPr>
                <w:rFonts w:ascii="Arial Narrow" w:hAnsi="Arial Narrow"/>
                <w:sz w:val="20"/>
                <w:szCs w:val="20"/>
              </w:rPr>
            </w:pPr>
            <w:r w:rsidRPr="00A84A0B">
              <w:rPr>
                <w:rFonts w:ascii="Arial Narrow" w:hAnsi="Arial Narrow"/>
                <w:sz w:val="20"/>
                <w:szCs w:val="20"/>
              </w:rPr>
              <w:t>Response to treatment and overall survival</w:t>
            </w:r>
            <w:r w:rsidR="003A78FB" w:rsidRPr="00A84A0B">
              <w:rPr>
                <w:rFonts w:ascii="Arial Narrow" w:hAnsi="Arial Narrow"/>
                <w:sz w:val="20"/>
                <w:szCs w:val="20"/>
              </w:rPr>
              <w:t xml:space="preserve"> in all patients and in patients aged </w:t>
            </w:r>
            <w:r w:rsidR="00BB3835" w:rsidRPr="00A84A0B">
              <w:rPr>
                <w:sz w:val="20"/>
                <w:szCs w:val="20"/>
              </w:rPr>
              <w:t>≥</w:t>
            </w:r>
            <w:r w:rsidR="00BB3835" w:rsidRPr="00A84A0B">
              <w:rPr>
                <w:rFonts w:ascii="Arial Narrow" w:hAnsi="Arial Narrow"/>
                <w:sz w:val="20"/>
                <w:szCs w:val="20"/>
              </w:rPr>
              <w:t xml:space="preserve">75 </w:t>
            </w:r>
            <w:r w:rsidR="003A78FB" w:rsidRPr="00A84A0B">
              <w:rPr>
                <w:rFonts w:ascii="Arial Narrow" w:hAnsi="Arial Narrow"/>
                <w:sz w:val="20"/>
                <w:szCs w:val="20"/>
              </w:rPr>
              <w:t>years</w:t>
            </w:r>
          </w:p>
        </w:tc>
      </w:tr>
      <w:tr w:rsidR="00007118" w:rsidRPr="00A84A0B" w:rsidTr="001B0279">
        <w:trPr>
          <w:cantSplit/>
        </w:trPr>
        <w:tc>
          <w:tcPr>
            <w:tcW w:w="746" w:type="pct"/>
            <w:shd w:val="clear" w:color="auto" w:fill="auto"/>
            <w:vAlign w:val="center"/>
          </w:tcPr>
          <w:p w:rsidR="00007118" w:rsidRPr="00A84A0B" w:rsidRDefault="00007118" w:rsidP="005939DA">
            <w:pPr>
              <w:rPr>
                <w:rFonts w:ascii="Arial Narrow" w:hAnsi="Arial Narrow"/>
                <w:sz w:val="20"/>
                <w:szCs w:val="20"/>
              </w:rPr>
            </w:pPr>
            <w:r w:rsidRPr="00A84A0B">
              <w:rPr>
                <w:rFonts w:ascii="Arial Narrow" w:hAnsi="Arial Narrow"/>
                <w:sz w:val="20"/>
                <w:szCs w:val="20"/>
              </w:rPr>
              <w:t>BMS Australia named patient program (BMSA NPP)</w:t>
            </w:r>
          </w:p>
        </w:tc>
        <w:tc>
          <w:tcPr>
            <w:tcW w:w="255" w:type="pct"/>
            <w:vAlign w:val="center"/>
          </w:tcPr>
          <w:p w:rsidR="00007118" w:rsidRPr="00A84A0B" w:rsidRDefault="00007118" w:rsidP="005939DA">
            <w:pPr>
              <w:jc w:val="center"/>
              <w:rPr>
                <w:rFonts w:ascii="Arial Narrow" w:hAnsi="Arial Narrow"/>
                <w:sz w:val="20"/>
                <w:szCs w:val="20"/>
              </w:rPr>
            </w:pPr>
            <w:r w:rsidRPr="00A84A0B">
              <w:rPr>
                <w:rFonts w:ascii="Arial Narrow" w:hAnsi="Arial Narrow"/>
                <w:sz w:val="20"/>
                <w:szCs w:val="20"/>
              </w:rPr>
              <w:t>1554</w:t>
            </w:r>
          </w:p>
        </w:tc>
        <w:tc>
          <w:tcPr>
            <w:tcW w:w="1170" w:type="pct"/>
            <w:shd w:val="clear" w:color="auto" w:fill="auto"/>
            <w:vAlign w:val="center"/>
          </w:tcPr>
          <w:p w:rsidR="00007118" w:rsidRPr="00A84A0B" w:rsidRDefault="00007118" w:rsidP="005939DA">
            <w:pPr>
              <w:jc w:val="center"/>
              <w:rPr>
                <w:rFonts w:ascii="Arial Narrow" w:hAnsi="Arial Narrow"/>
                <w:sz w:val="20"/>
                <w:szCs w:val="20"/>
              </w:rPr>
            </w:pPr>
            <w:r w:rsidRPr="00A84A0B">
              <w:rPr>
                <w:rFonts w:ascii="Arial Narrow" w:hAnsi="Arial Narrow"/>
                <w:sz w:val="20"/>
                <w:szCs w:val="20"/>
              </w:rPr>
              <w:t>OL</w:t>
            </w:r>
          </w:p>
          <w:p w:rsidR="00007118" w:rsidRPr="00A84A0B" w:rsidRDefault="00007118" w:rsidP="005939DA">
            <w:pPr>
              <w:jc w:val="center"/>
              <w:rPr>
                <w:rFonts w:ascii="Arial Narrow" w:hAnsi="Arial Narrow"/>
                <w:sz w:val="20"/>
                <w:szCs w:val="20"/>
              </w:rPr>
            </w:pPr>
            <w:r w:rsidRPr="00A84A0B">
              <w:rPr>
                <w:rFonts w:ascii="Arial Narrow" w:hAnsi="Arial Narrow"/>
                <w:sz w:val="20"/>
                <w:szCs w:val="20"/>
              </w:rPr>
              <w:t>Median follow-up NR</w:t>
            </w:r>
          </w:p>
        </w:tc>
        <w:tc>
          <w:tcPr>
            <w:tcW w:w="450" w:type="pct"/>
            <w:shd w:val="clear" w:color="auto" w:fill="auto"/>
            <w:vAlign w:val="center"/>
          </w:tcPr>
          <w:p w:rsidR="00007118" w:rsidRPr="00A84A0B" w:rsidRDefault="00007118" w:rsidP="005939DA">
            <w:pPr>
              <w:jc w:val="center"/>
              <w:rPr>
                <w:rFonts w:ascii="Arial Narrow" w:hAnsi="Arial Narrow"/>
                <w:sz w:val="20"/>
                <w:szCs w:val="20"/>
              </w:rPr>
            </w:pPr>
          </w:p>
        </w:tc>
        <w:tc>
          <w:tcPr>
            <w:tcW w:w="1079" w:type="pct"/>
            <w:shd w:val="clear" w:color="auto" w:fill="auto"/>
            <w:vAlign w:val="center"/>
          </w:tcPr>
          <w:p w:rsidR="00007118" w:rsidRPr="00A84A0B" w:rsidRDefault="00007118" w:rsidP="005939DA">
            <w:pPr>
              <w:jc w:val="center"/>
              <w:rPr>
                <w:rFonts w:ascii="Arial Narrow" w:hAnsi="Arial Narrow"/>
                <w:sz w:val="20"/>
                <w:szCs w:val="20"/>
              </w:rPr>
            </w:pPr>
            <w:r w:rsidRPr="00A84A0B">
              <w:rPr>
                <w:rFonts w:ascii="Arial Narrow" w:hAnsi="Arial Narrow"/>
                <w:sz w:val="20"/>
                <w:szCs w:val="20"/>
              </w:rPr>
              <w:t>Patients with squamous or non-squamous NSCLC</w:t>
            </w:r>
            <w:r w:rsidR="004F7494" w:rsidRPr="00A84A0B">
              <w:rPr>
                <w:rFonts w:ascii="Arial Narrow" w:hAnsi="Arial Narrow"/>
                <w:sz w:val="20"/>
                <w:szCs w:val="20"/>
              </w:rPr>
              <w:t>, treatment provided at no cost to patients or institutions</w:t>
            </w:r>
          </w:p>
        </w:tc>
        <w:tc>
          <w:tcPr>
            <w:tcW w:w="1300" w:type="pct"/>
            <w:shd w:val="clear" w:color="auto" w:fill="auto"/>
            <w:vAlign w:val="center"/>
          </w:tcPr>
          <w:p w:rsidR="00007118" w:rsidRPr="00A84A0B" w:rsidRDefault="00007118" w:rsidP="005939DA">
            <w:pPr>
              <w:pStyle w:val="ListParagraph"/>
              <w:widowControl/>
              <w:numPr>
                <w:ilvl w:val="0"/>
                <w:numId w:val="17"/>
              </w:numPr>
              <w:ind w:left="153" w:hanging="153"/>
              <w:jc w:val="left"/>
              <w:rPr>
                <w:rFonts w:ascii="Arial Narrow" w:hAnsi="Arial Narrow"/>
                <w:sz w:val="20"/>
              </w:rPr>
            </w:pPr>
            <w:r w:rsidRPr="00A84A0B">
              <w:rPr>
                <w:rFonts w:ascii="Arial Narrow" w:hAnsi="Arial Narrow"/>
                <w:sz w:val="20"/>
              </w:rPr>
              <w:t xml:space="preserve">Proportion aged ≥75 years with an </w:t>
            </w:r>
            <w:r w:rsidRPr="00A84A0B">
              <w:rPr>
                <w:rFonts w:ascii="Arial Narrow" w:hAnsi="Arial Narrow" w:cs="Times New Roman"/>
                <w:sz w:val="20"/>
              </w:rPr>
              <w:t>ECOG</w:t>
            </w:r>
            <w:r w:rsidRPr="00A84A0B">
              <w:rPr>
                <w:rFonts w:ascii="Arial Narrow" w:hAnsi="Arial Narrow"/>
                <w:sz w:val="20"/>
              </w:rPr>
              <w:t xml:space="preserve"> of 0-1</w:t>
            </w:r>
          </w:p>
          <w:p w:rsidR="00007118" w:rsidRPr="00A84A0B" w:rsidRDefault="00007118" w:rsidP="005939DA">
            <w:pPr>
              <w:pStyle w:val="ListParagraph"/>
              <w:widowControl/>
              <w:numPr>
                <w:ilvl w:val="0"/>
                <w:numId w:val="17"/>
              </w:numPr>
              <w:ind w:left="153" w:hanging="153"/>
              <w:jc w:val="left"/>
              <w:rPr>
                <w:rFonts w:ascii="Arial Narrow" w:hAnsi="Arial Narrow"/>
                <w:sz w:val="20"/>
              </w:rPr>
            </w:pPr>
            <w:r w:rsidRPr="00A84A0B">
              <w:rPr>
                <w:rFonts w:ascii="Arial Narrow" w:hAnsi="Arial Narrow"/>
                <w:sz w:val="20"/>
              </w:rPr>
              <w:t>Average duration of Tx</w:t>
            </w:r>
          </w:p>
        </w:tc>
      </w:tr>
      <w:tr w:rsidR="00E65FEC" w:rsidRPr="00A84A0B" w:rsidTr="001B0279">
        <w:trPr>
          <w:cantSplit/>
        </w:trPr>
        <w:tc>
          <w:tcPr>
            <w:tcW w:w="5000" w:type="pct"/>
            <w:gridSpan w:val="6"/>
            <w:shd w:val="clear" w:color="auto" w:fill="auto"/>
            <w:vAlign w:val="center"/>
          </w:tcPr>
          <w:p w:rsidR="00E65FEC" w:rsidRPr="00A84A0B" w:rsidRDefault="00E65FEC" w:rsidP="005939DA">
            <w:pPr>
              <w:rPr>
                <w:rFonts w:ascii="Arial Narrow" w:hAnsi="Arial Narrow"/>
                <w:sz w:val="20"/>
                <w:szCs w:val="20"/>
              </w:rPr>
            </w:pPr>
            <w:r w:rsidRPr="00A84A0B">
              <w:rPr>
                <w:rFonts w:ascii="Arial Narrow" w:hAnsi="Arial Narrow"/>
                <w:b/>
                <w:sz w:val="20"/>
                <w:szCs w:val="20"/>
              </w:rPr>
              <w:t>Direct randomised trials – PD pathway treatments for NSCLC</w:t>
            </w:r>
          </w:p>
        </w:tc>
      </w:tr>
      <w:tr w:rsidR="00AE521C" w:rsidRPr="00A84A0B" w:rsidTr="001B0279">
        <w:trPr>
          <w:cantSplit/>
        </w:trPr>
        <w:tc>
          <w:tcPr>
            <w:tcW w:w="746" w:type="pct"/>
            <w:shd w:val="clear" w:color="auto" w:fill="auto"/>
            <w:vAlign w:val="center"/>
          </w:tcPr>
          <w:p w:rsidR="00E65FEC" w:rsidRPr="00A84A0B" w:rsidRDefault="00E65FEC" w:rsidP="005939DA">
            <w:pPr>
              <w:pStyle w:val="NoSpacing"/>
              <w:jc w:val="left"/>
              <w:rPr>
                <w:rFonts w:ascii="Arial Narrow" w:hAnsi="Arial Narrow"/>
                <w:sz w:val="20"/>
                <w:szCs w:val="20"/>
              </w:rPr>
            </w:pPr>
            <w:r w:rsidRPr="00A84A0B">
              <w:rPr>
                <w:rFonts w:ascii="Arial Narrow" w:hAnsi="Arial Narrow"/>
                <w:sz w:val="20"/>
                <w:szCs w:val="20"/>
              </w:rPr>
              <w:t>Keynote-010 (KN-010)</w:t>
            </w:r>
          </w:p>
        </w:tc>
        <w:tc>
          <w:tcPr>
            <w:tcW w:w="255" w:type="pct"/>
            <w:vAlign w:val="center"/>
          </w:tcPr>
          <w:p w:rsidR="00E65FEC" w:rsidRPr="00A84A0B" w:rsidRDefault="007F5B97" w:rsidP="005939DA">
            <w:pPr>
              <w:jc w:val="center"/>
              <w:rPr>
                <w:rFonts w:ascii="Arial Narrow" w:hAnsi="Arial Narrow"/>
                <w:sz w:val="20"/>
                <w:szCs w:val="20"/>
              </w:rPr>
            </w:pPr>
            <w:r w:rsidRPr="00A84A0B">
              <w:rPr>
                <w:rFonts w:ascii="Arial Narrow" w:hAnsi="Arial Narrow"/>
                <w:sz w:val="20"/>
                <w:szCs w:val="20"/>
              </w:rPr>
              <w:t>1034</w:t>
            </w:r>
          </w:p>
        </w:tc>
        <w:tc>
          <w:tcPr>
            <w:tcW w:w="1170" w:type="pct"/>
            <w:shd w:val="clear" w:color="auto" w:fill="auto"/>
            <w:vAlign w:val="center"/>
          </w:tcPr>
          <w:p w:rsidR="00E65FEC" w:rsidRPr="00A84A0B" w:rsidRDefault="00A04ED7" w:rsidP="005939DA">
            <w:pPr>
              <w:jc w:val="center"/>
              <w:rPr>
                <w:rFonts w:ascii="Arial Narrow" w:hAnsi="Arial Narrow"/>
                <w:sz w:val="20"/>
                <w:szCs w:val="20"/>
              </w:rPr>
            </w:pPr>
            <w:r w:rsidRPr="00A84A0B">
              <w:rPr>
                <w:rFonts w:ascii="Arial Narrow" w:hAnsi="Arial Narrow"/>
                <w:sz w:val="20"/>
                <w:szCs w:val="20"/>
              </w:rPr>
              <w:t>R</w:t>
            </w:r>
            <w:r w:rsidR="00811189" w:rsidRPr="00A84A0B">
              <w:rPr>
                <w:rFonts w:ascii="Arial Narrow" w:hAnsi="Arial Narrow"/>
                <w:sz w:val="20"/>
                <w:szCs w:val="20"/>
              </w:rPr>
              <w:t>, OL</w:t>
            </w:r>
          </w:p>
          <w:p w:rsidR="00A04ED7" w:rsidRPr="00A84A0B" w:rsidRDefault="00E22EDF" w:rsidP="005939DA">
            <w:pPr>
              <w:jc w:val="center"/>
              <w:rPr>
                <w:rFonts w:ascii="Arial Narrow" w:hAnsi="Arial Narrow"/>
                <w:sz w:val="20"/>
                <w:szCs w:val="20"/>
              </w:rPr>
            </w:pPr>
            <w:r w:rsidRPr="00A84A0B">
              <w:rPr>
                <w:rFonts w:ascii="Arial Narrow" w:hAnsi="Arial Narrow"/>
                <w:sz w:val="20"/>
                <w:szCs w:val="20"/>
              </w:rPr>
              <w:t>Median follow-up of 13.1 months</w:t>
            </w:r>
          </w:p>
        </w:tc>
        <w:tc>
          <w:tcPr>
            <w:tcW w:w="450" w:type="pct"/>
            <w:shd w:val="clear" w:color="auto" w:fill="auto"/>
            <w:vAlign w:val="center"/>
          </w:tcPr>
          <w:p w:rsidR="00E65FEC" w:rsidRPr="00A84A0B" w:rsidRDefault="00296F70" w:rsidP="005939DA">
            <w:pPr>
              <w:jc w:val="center"/>
              <w:rPr>
                <w:rFonts w:ascii="Arial Narrow" w:hAnsi="Arial Narrow"/>
                <w:sz w:val="20"/>
                <w:szCs w:val="20"/>
              </w:rPr>
            </w:pPr>
            <w:r w:rsidRPr="00A84A0B">
              <w:rPr>
                <w:rFonts w:ascii="Arial Narrow" w:hAnsi="Arial Narrow"/>
                <w:sz w:val="20"/>
                <w:szCs w:val="20"/>
              </w:rPr>
              <w:t>Low for OS</w:t>
            </w:r>
          </w:p>
        </w:tc>
        <w:tc>
          <w:tcPr>
            <w:tcW w:w="1079" w:type="pct"/>
            <w:shd w:val="clear" w:color="auto" w:fill="auto"/>
            <w:vAlign w:val="center"/>
          </w:tcPr>
          <w:p w:rsidR="00E65FEC" w:rsidRPr="00A84A0B" w:rsidRDefault="009C58BE" w:rsidP="005939DA">
            <w:pPr>
              <w:jc w:val="center"/>
              <w:rPr>
                <w:rFonts w:ascii="Arial Narrow" w:hAnsi="Arial Narrow"/>
                <w:sz w:val="20"/>
                <w:szCs w:val="20"/>
              </w:rPr>
            </w:pPr>
            <w:r w:rsidRPr="00A84A0B">
              <w:rPr>
                <w:rFonts w:ascii="Arial Narrow" w:hAnsi="Arial Narrow"/>
                <w:sz w:val="20"/>
                <w:szCs w:val="20"/>
              </w:rPr>
              <w:t xml:space="preserve">Patients </w:t>
            </w:r>
            <w:r w:rsidR="00F51F33" w:rsidRPr="00A84A0B">
              <w:rPr>
                <w:rFonts w:ascii="Arial Narrow" w:hAnsi="Arial Narrow"/>
                <w:sz w:val="20"/>
                <w:szCs w:val="20"/>
              </w:rPr>
              <w:t>previously treated NSCLC and</w:t>
            </w:r>
            <w:r w:rsidRPr="00A84A0B">
              <w:rPr>
                <w:rFonts w:ascii="Arial Narrow" w:hAnsi="Arial Narrow"/>
                <w:sz w:val="20"/>
                <w:szCs w:val="20"/>
              </w:rPr>
              <w:t xml:space="preserve"> PD-L1 expression &gt;1% </w:t>
            </w:r>
          </w:p>
        </w:tc>
        <w:tc>
          <w:tcPr>
            <w:tcW w:w="1300" w:type="pct"/>
            <w:shd w:val="clear" w:color="auto" w:fill="auto"/>
            <w:vAlign w:val="center"/>
          </w:tcPr>
          <w:p w:rsidR="00E65FEC" w:rsidRPr="00A84A0B" w:rsidRDefault="009C58BE" w:rsidP="005939DA">
            <w:pPr>
              <w:rPr>
                <w:rFonts w:ascii="Arial Narrow" w:hAnsi="Arial Narrow"/>
                <w:sz w:val="20"/>
                <w:szCs w:val="20"/>
              </w:rPr>
            </w:pPr>
            <w:r w:rsidRPr="00A84A0B">
              <w:rPr>
                <w:rFonts w:ascii="Arial Narrow" w:hAnsi="Arial Narrow"/>
                <w:sz w:val="20"/>
                <w:szCs w:val="20"/>
              </w:rPr>
              <w:t>Overall survival (H</w:t>
            </w:r>
            <w:r w:rsidR="009C0428" w:rsidRPr="00A84A0B">
              <w:rPr>
                <w:rFonts w:ascii="Arial Narrow" w:hAnsi="Arial Narrow"/>
                <w:sz w:val="20"/>
                <w:szCs w:val="20"/>
              </w:rPr>
              <w:t>R</w:t>
            </w:r>
            <w:r w:rsidRPr="00A84A0B">
              <w:rPr>
                <w:rFonts w:ascii="Arial Narrow" w:hAnsi="Arial Narrow"/>
                <w:sz w:val="20"/>
                <w:szCs w:val="20"/>
              </w:rPr>
              <w:t xml:space="preserve"> [95% CI]) for patients:</w:t>
            </w:r>
          </w:p>
          <w:p w:rsidR="009C58BE" w:rsidRPr="00A84A0B" w:rsidRDefault="009C58BE" w:rsidP="005939DA">
            <w:pPr>
              <w:pStyle w:val="ListParagraph"/>
              <w:widowControl/>
              <w:numPr>
                <w:ilvl w:val="0"/>
                <w:numId w:val="8"/>
              </w:numPr>
              <w:ind w:left="255" w:hanging="255"/>
              <w:rPr>
                <w:rFonts w:ascii="Arial Narrow" w:hAnsi="Arial Narrow"/>
                <w:sz w:val="20"/>
              </w:rPr>
            </w:pPr>
            <w:r w:rsidRPr="00A84A0B">
              <w:rPr>
                <w:rFonts w:ascii="Arial Narrow" w:hAnsi="Arial Narrow"/>
                <w:sz w:val="20"/>
              </w:rPr>
              <w:t>&lt;65 years</w:t>
            </w:r>
          </w:p>
          <w:p w:rsidR="009C58BE" w:rsidRPr="00A84A0B" w:rsidRDefault="009C58BE" w:rsidP="005939DA">
            <w:pPr>
              <w:pStyle w:val="ListParagraph"/>
              <w:widowControl/>
              <w:numPr>
                <w:ilvl w:val="0"/>
                <w:numId w:val="8"/>
              </w:numPr>
              <w:ind w:left="255" w:hanging="255"/>
              <w:rPr>
                <w:rFonts w:ascii="Arial Narrow" w:hAnsi="Arial Narrow"/>
                <w:sz w:val="20"/>
              </w:rPr>
            </w:pPr>
            <w:r w:rsidRPr="00A84A0B">
              <w:rPr>
                <w:rFonts w:ascii="Times New Roman" w:hAnsi="Times New Roman" w:cs="Times New Roman"/>
                <w:sz w:val="20"/>
              </w:rPr>
              <w:t>≥</w:t>
            </w:r>
            <w:r w:rsidRPr="00A84A0B">
              <w:rPr>
                <w:rFonts w:ascii="Arial Narrow" w:hAnsi="Arial Narrow"/>
                <w:sz w:val="20"/>
              </w:rPr>
              <w:t>65 ye</w:t>
            </w:r>
            <w:r w:rsidR="00771242" w:rsidRPr="00A84A0B">
              <w:rPr>
                <w:rFonts w:ascii="Arial Narrow" w:hAnsi="Arial Narrow"/>
                <w:sz w:val="20"/>
              </w:rPr>
              <w:t>ar</w:t>
            </w:r>
            <w:r w:rsidRPr="00A84A0B">
              <w:rPr>
                <w:rFonts w:ascii="Arial Narrow" w:hAnsi="Arial Narrow"/>
                <w:sz w:val="20"/>
              </w:rPr>
              <w:t>s</w:t>
            </w:r>
          </w:p>
          <w:p w:rsidR="00744544" w:rsidRPr="00A84A0B" w:rsidRDefault="00744544" w:rsidP="005939DA">
            <w:pPr>
              <w:pStyle w:val="ListParagraph"/>
              <w:widowControl/>
              <w:numPr>
                <w:ilvl w:val="0"/>
                <w:numId w:val="8"/>
              </w:numPr>
              <w:ind w:left="255" w:hanging="255"/>
              <w:rPr>
                <w:rFonts w:ascii="Arial Narrow" w:hAnsi="Arial Narrow"/>
                <w:sz w:val="20"/>
              </w:rPr>
            </w:pPr>
            <w:r w:rsidRPr="00A84A0B">
              <w:rPr>
                <w:rFonts w:ascii="Arial Narrow" w:hAnsi="Arial Narrow"/>
                <w:sz w:val="20"/>
              </w:rPr>
              <w:t>PD-L1 expression cut-off of 50%</w:t>
            </w:r>
          </w:p>
        </w:tc>
      </w:tr>
      <w:tr w:rsidR="00AE521C" w:rsidRPr="00A84A0B" w:rsidTr="001B0279">
        <w:trPr>
          <w:cantSplit/>
        </w:trPr>
        <w:tc>
          <w:tcPr>
            <w:tcW w:w="746" w:type="pct"/>
            <w:shd w:val="clear" w:color="auto" w:fill="auto"/>
            <w:vAlign w:val="center"/>
          </w:tcPr>
          <w:p w:rsidR="00C8651A" w:rsidRPr="00A84A0B" w:rsidRDefault="00C8651A" w:rsidP="005939DA">
            <w:pPr>
              <w:pStyle w:val="NoSpacing"/>
              <w:jc w:val="left"/>
              <w:rPr>
                <w:rFonts w:ascii="Arial Narrow" w:hAnsi="Arial Narrow"/>
                <w:sz w:val="20"/>
                <w:szCs w:val="20"/>
              </w:rPr>
            </w:pPr>
            <w:r w:rsidRPr="00A84A0B">
              <w:rPr>
                <w:rFonts w:ascii="Arial Narrow" w:hAnsi="Arial Narrow"/>
                <w:sz w:val="20"/>
                <w:szCs w:val="20"/>
              </w:rPr>
              <w:lastRenderedPageBreak/>
              <w:t>Keynote-024 (KN-024)</w:t>
            </w:r>
          </w:p>
        </w:tc>
        <w:tc>
          <w:tcPr>
            <w:tcW w:w="255" w:type="pct"/>
            <w:vAlign w:val="center"/>
          </w:tcPr>
          <w:p w:rsidR="00C8651A" w:rsidRPr="00A84A0B" w:rsidRDefault="00C8651A" w:rsidP="005939DA">
            <w:pPr>
              <w:jc w:val="center"/>
              <w:rPr>
                <w:rFonts w:ascii="Arial Narrow" w:hAnsi="Arial Narrow"/>
                <w:sz w:val="20"/>
                <w:szCs w:val="20"/>
              </w:rPr>
            </w:pPr>
            <w:r w:rsidRPr="00A84A0B">
              <w:rPr>
                <w:rFonts w:ascii="Arial Narrow" w:hAnsi="Arial Narrow"/>
                <w:sz w:val="20"/>
                <w:szCs w:val="20"/>
              </w:rPr>
              <w:t>305</w:t>
            </w:r>
          </w:p>
        </w:tc>
        <w:tc>
          <w:tcPr>
            <w:tcW w:w="1170" w:type="pct"/>
            <w:shd w:val="clear" w:color="auto" w:fill="auto"/>
            <w:vAlign w:val="center"/>
          </w:tcPr>
          <w:p w:rsidR="00C8651A" w:rsidRPr="00A84A0B" w:rsidRDefault="00A04ED7" w:rsidP="005939DA">
            <w:pPr>
              <w:jc w:val="center"/>
              <w:rPr>
                <w:rFonts w:ascii="Arial Narrow" w:hAnsi="Arial Narrow"/>
                <w:sz w:val="20"/>
                <w:szCs w:val="20"/>
              </w:rPr>
            </w:pPr>
            <w:r w:rsidRPr="00A84A0B">
              <w:rPr>
                <w:rFonts w:ascii="Arial Narrow" w:hAnsi="Arial Narrow"/>
                <w:sz w:val="20"/>
                <w:szCs w:val="20"/>
              </w:rPr>
              <w:t>R, OL</w:t>
            </w:r>
          </w:p>
          <w:p w:rsidR="00A04ED7" w:rsidRPr="00A84A0B" w:rsidRDefault="003E5BA8" w:rsidP="005939DA">
            <w:pPr>
              <w:jc w:val="center"/>
              <w:rPr>
                <w:rFonts w:ascii="Arial Narrow" w:hAnsi="Arial Narrow"/>
                <w:sz w:val="20"/>
                <w:szCs w:val="20"/>
              </w:rPr>
            </w:pPr>
            <w:r w:rsidRPr="00A84A0B">
              <w:rPr>
                <w:rFonts w:ascii="Arial Narrow" w:hAnsi="Arial Narrow"/>
                <w:sz w:val="20"/>
                <w:szCs w:val="20"/>
              </w:rPr>
              <w:t>Median follow-up of 11.2 months</w:t>
            </w:r>
          </w:p>
        </w:tc>
        <w:tc>
          <w:tcPr>
            <w:tcW w:w="450" w:type="pct"/>
            <w:shd w:val="clear" w:color="auto" w:fill="auto"/>
            <w:vAlign w:val="center"/>
          </w:tcPr>
          <w:p w:rsidR="00C8651A" w:rsidRPr="00A84A0B" w:rsidRDefault="00296F70" w:rsidP="005939DA">
            <w:pPr>
              <w:jc w:val="center"/>
              <w:rPr>
                <w:rFonts w:ascii="Arial Narrow" w:hAnsi="Arial Narrow"/>
                <w:sz w:val="20"/>
                <w:szCs w:val="20"/>
              </w:rPr>
            </w:pPr>
            <w:r w:rsidRPr="00A84A0B">
              <w:rPr>
                <w:rFonts w:ascii="Arial Narrow" w:hAnsi="Arial Narrow"/>
                <w:sz w:val="20"/>
                <w:szCs w:val="20"/>
              </w:rPr>
              <w:t>Low for OS</w:t>
            </w:r>
          </w:p>
        </w:tc>
        <w:tc>
          <w:tcPr>
            <w:tcW w:w="1079" w:type="pct"/>
            <w:shd w:val="clear" w:color="auto" w:fill="auto"/>
            <w:vAlign w:val="center"/>
          </w:tcPr>
          <w:p w:rsidR="00C8651A" w:rsidRPr="00A84A0B" w:rsidRDefault="00771242" w:rsidP="005939DA">
            <w:pPr>
              <w:jc w:val="center"/>
              <w:rPr>
                <w:rFonts w:ascii="Arial Narrow" w:hAnsi="Arial Narrow"/>
                <w:sz w:val="20"/>
                <w:szCs w:val="20"/>
              </w:rPr>
            </w:pPr>
            <w:r w:rsidRPr="00A84A0B">
              <w:rPr>
                <w:rFonts w:ascii="Arial Narrow" w:hAnsi="Arial Narrow"/>
                <w:sz w:val="20"/>
                <w:szCs w:val="20"/>
              </w:rPr>
              <w:t xml:space="preserve">Patients with previously untreated advanced NSCLC </w:t>
            </w:r>
            <w:r w:rsidR="00F51F33" w:rsidRPr="00A84A0B">
              <w:rPr>
                <w:rFonts w:ascii="Arial Narrow" w:hAnsi="Arial Narrow"/>
                <w:sz w:val="20"/>
                <w:szCs w:val="20"/>
              </w:rPr>
              <w:t>and</w:t>
            </w:r>
            <w:r w:rsidRPr="00A84A0B">
              <w:rPr>
                <w:rFonts w:ascii="Arial Narrow" w:hAnsi="Arial Narrow"/>
                <w:sz w:val="20"/>
                <w:szCs w:val="20"/>
              </w:rPr>
              <w:t xml:space="preserve"> PD-L1 expression </w:t>
            </w:r>
            <w:r w:rsidRPr="00A84A0B">
              <w:rPr>
                <w:sz w:val="20"/>
                <w:szCs w:val="20"/>
              </w:rPr>
              <w:t>≥</w:t>
            </w:r>
            <w:r w:rsidRPr="00A84A0B">
              <w:rPr>
                <w:rFonts w:ascii="Arial Narrow" w:hAnsi="Arial Narrow"/>
                <w:sz w:val="20"/>
                <w:szCs w:val="20"/>
              </w:rPr>
              <w:t xml:space="preserve">50% </w:t>
            </w:r>
          </w:p>
        </w:tc>
        <w:tc>
          <w:tcPr>
            <w:tcW w:w="1300" w:type="pct"/>
            <w:shd w:val="clear" w:color="auto" w:fill="auto"/>
            <w:vAlign w:val="center"/>
          </w:tcPr>
          <w:p w:rsidR="00771242" w:rsidRPr="00A84A0B" w:rsidRDefault="00C72E4F" w:rsidP="005939DA">
            <w:r w:rsidRPr="00A84A0B">
              <w:rPr>
                <w:rFonts w:ascii="Arial Narrow" w:hAnsi="Arial Narrow"/>
                <w:sz w:val="20"/>
                <w:szCs w:val="20"/>
              </w:rPr>
              <w:t>Disease progression or death</w:t>
            </w:r>
            <w:r w:rsidR="00771242" w:rsidRPr="00A84A0B">
              <w:rPr>
                <w:rFonts w:ascii="Arial Narrow" w:hAnsi="Arial Narrow"/>
                <w:sz w:val="20"/>
                <w:szCs w:val="20"/>
              </w:rPr>
              <w:t xml:space="preserve"> (HR [95% CI]) for patients:</w:t>
            </w:r>
            <w:r w:rsidR="00771242" w:rsidRPr="00A84A0B">
              <w:t xml:space="preserve"> </w:t>
            </w:r>
          </w:p>
          <w:p w:rsidR="00771242" w:rsidRPr="00A84A0B" w:rsidRDefault="00771242" w:rsidP="005939DA">
            <w:pPr>
              <w:pStyle w:val="ListParagraph"/>
              <w:widowControl/>
              <w:numPr>
                <w:ilvl w:val="0"/>
                <w:numId w:val="9"/>
              </w:numPr>
              <w:ind w:left="255" w:hanging="255"/>
              <w:rPr>
                <w:rFonts w:ascii="Arial Narrow" w:hAnsi="Arial Narrow"/>
                <w:sz w:val="20"/>
              </w:rPr>
            </w:pPr>
            <w:r w:rsidRPr="00A84A0B">
              <w:rPr>
                <w:rFonts w:ascii="Arial Narrow" w:hAnsi="Arial Narrow"/>
                <w:sz w:val="20"/>
              </w:rPr>
              <w:t>&lt;65 years</w:t>
            </w:r>
          </w:p>
          <w:p w:rsidR="00C8651A" w:rsidRPr="00A84A0B" w:rsidRDefault="00771242" w:rsidP="005939DA">
            <w:pPr>
              <w:pStyle w:val="ListParagraph"/>
              <w:widowControl/>
              <w:numPr>
                <w:ilvl w:val="0"/>
                <w:numId w:val="9"/>
              </w:numPr>
              <w:ind w:left="255" w:hanging="255"/>
              <w:rPr>
                <w:rFonts w:ascii="Arial Narrow" w:hAnsi="Arial Narrow"/>
                <w:sz w:val="20"/>
              </w:rPr>
            </w:pPr>
            <w:r w:rsidRPr="00A84A0B">
              <w:rPr>
                <w:rFonts w:ascii="Arial Narrow" w:hAnsi="Arial Narrow"/>
                <w:sz w:val="20"/>
              </w:rPr>
              <w:t xml:space="preserve">≥65 years </w:t>
            </w:r>
          </w:p>
          <w:p w:rsidR="00C72298" w:rsidRPr="00A84A0B" w:rsidRDefault="00C72298" w:rsidP="005939DA">
            <w:pPr>
              <w:pStyle w:val="ListParagraph"/>
              <w:widowControl/>
              <w:numPr>
                <w:ilvl w:val="0"/>
                <w:numId w:val="9"/>
              </w:numPr>
              <w:ind w:left="255" w:hanging="255"/>
              <w:rPr>
                <w:rFonts w:ascii="Arial Narrow" w:hAnsi="Arial Narrow"/>
                <w:sz w:val="20"/>
              </w:rPr>
            </w:pPr>
            <w:r w:rsidRPr="00A84A0B">
              <w:rPr>
                <w:rFonts w:ascii="Arial Narrow" w:hAnsi="Arial Narrow"/>
                <w:sz w:val="20"/>
              </w:rPr>
              <w:t>PD-L1 expression cut-off of 50%</w:t>
            </w:r>
          </w:p>
        </w:tc>
      </w:tr>
      <w:tr w:rsidR="00AE521C" w:rsidRPr="00A84A0B" w:rsidTr="001B0279">
        <w:trPr>
          <w:cantSplit/>
        </w:trPr>
        <w:tc>
          <w:tcPr>
            <w:tcW w:w="746" w:type="pct"/>
            <w:shd w:val="clear" w:color="auto" w:fill="auto"/>
            <w:vAlign w:val="center"/>
          </w:tcPr>
          <w:p w:rsidR="00C8651A" w:rsidRPr="00A84A0B" w:rsidRDefault="00C8651A" w:rsidP="005939DA">
            <w:pPr>
              <w:pStyle w:val="NoSpacing"/>
              <w:jc w:val="left"/>
              <w:rPr>
                <w:rFonts w:ascii="Arial Narrow" w:hAnsi="Arial Narrow"/>
                <w:sz w:val="20"/>
                <w:szCs w:val="20"/>
              </w:rPr>
            </w:pPr>
            <w:r w:rsidRPr="00A84A0B">
              <w:rPr>
                <w:rFonts w:ascii="Arial Narrow" w:hAnsi="Arial Narrow"/>
                <w:sz w:val="20"/>
                <w:szCs w:val="20"/>
              </w:rPr>
              <w:t>OAK</w:t>
            </w:r>
          </w:p>
        </w:tc>
        <w:tc>
          <w:tcPr>
            <w:tcW w:w="255" w:type="pct"/>
            <w:vAlign w:val="center"/>
          </w:tcPr>
          <w:p w:rsidR="00C8651A" w:rsidRPr="00A84A0B" w:rsidRDefault="00C8651A" w:rsidP="005939DA">
            <w:pPr>
              <w:jc w:val="center"/>
              <w:rPr>
                <w:rFonts w:ascii="Arial Narrow" w:hAnsi="Arial Narrow"/>
                <w:sz w:val="20"/>
                <w:szCs w:val="20"/>
              </w:rPr>
            </w:pPr>
            <w:r w:rsidRPr="00A84A0B">
              <w:rPr>
                <w:rFonts w:ascii="Arial Narrow" w:hAnsi="Arial Narrow"/>
                <w:sz w:val="20"/>
                <w:szCs w:val="20"/>
              </w:rPr>
              <w:t>850</w:t>
            </w:r>
          </w:p>
        </w:tc>
        <w:tc>
          <w:tcPr>
            <w:tcW w:w="1170" w:type="pct"/>
            <w:shd w:val="clear" w:color="auto" w:fill="auto"/>
            <w:vAlign w:val="center"/>
          </w:tcPr>
          <w:p w:rsidR="00C8651A" w:rsidRPr="00A84A0B" w:rsidRDefault="00A04ED7" w:rsidP="005939DA">
            <w:pPr>
              <w:jc w:val="center"/>
              <w:rPr>
                <w:rFonts w:ascii="Arial Narrow" w:hAnsi="Arial Narrow"/>
                <w:sz w:val="20"/>
                <w:szCs w:val="20"/>
              </w:rPr>
            </w:pPr>
            <w:r w:rsidRPr="00A84A0B">
              <w:rPr>
                <w:rFonts w:ascii="Arial Narrow" w:hAnsi="Arial Narrow"/>
                <w:sz w:val="20"/>
                <w:szCs w:val="20"/>
              </w:rPr>
              <w:t>R, OL</w:t>
            </w:r>
          </w:p>
          <w:p w:rsidR="00A04ED7" w:rsidRPr="00A84A0B" w:rsidRDefault="00B2712B" w:rsidP="005939DA">
            <w:pPr>
              <w:jc w:val="center"/>
              <w:rPr>
                <w:rFonts w:ascii="Arial Narrow" w:hAnsi="Arial Narrow"/>
                <w:sz w:val="20"/>
                <w:szCs w:val="20"/>
              </w:rPr>
            </w:pPr>
            <w:r w:rsidRPr="00A84A0B">
              <w:rPr>
                <w:rFonts w:ascii="Arial Narrow" w:hAnsi="Arial Narrow"/>
                <w:sz w:val="20"/>
                <w:szCs w:val="20"/>
              </w:rPr>
              <w:t>Median follow-up of 21 months</w:t>
            </w:r>
          </w:p>
        </w:tc>
        <w:tc>
          <w:tcPr>
            <w:tcW w:w="450" w:type="pct"/>
            <w:shd w:val="clear" w:color="auto" w:fill="auto"/>
            <w:vAlign w:val="center"/>
          </w:tcPr>
          <w:p w:rsidR="00C8651A" w:rsidRPr="00A84A0B" w:rsidRDefault="00296F70" w:rsidP="005939DA">
            <w:pPr>
              <w:jc w:val="center"/>
              <w:rPr>
                <w:rFonts w:ascii="Arial Narrow" w:hAnsi="Arial Narrow"/>
                <w:sz w:val="20"/>
                <w:szCs w:val="20"/>
              </w:rPr>
            </w:pPr>
            <w:r w:rsidRPr="00A84A0B">
              <w:rPr>
                <w:rFonts w:ascii="Arial Narrow" w:hAnsi="Arial Narrow"/>
                <w:sz w:val="20"/>
                <w:szCs w:val="20"/>
              </w:rPr>
              <w:t>Low for OS</w:t>
            </w:r>
          </w:p>
        </w:tc>
        <w:tc>
          <w:tcPr>
            <w:tcW w:w="1079" w:type="pct"/>
            <w:shd w:val="clear" w:color="auto" w:fill="auto"/>
            <w:vAlign w:val="center"/>
          </w:tcPr>
          <w:p w:rsidR="00C8651A" w:rsidRPr="00A84A0B" w:rsidRDefault="00CA0B1C" w:rsidP="005939DA">
            <w:pPr>
              <w:jc w:val="center"/>
              <w:rPr>
                <w:rFonts w:ascii="Arial Narrow" w:hAnsi="Arial Narrow"/>
                <w:sz w:val="20"/>
                <w:szCs w:val="20"/>
              </w:rPr>
            </w:pPr>
            <w:r w:rsidRPr="00A84A0B">
              <w:rPr>
                <w:rFonts w:ascii="Arial Narrow" w:hAnsi="Arial Narrow"/>
                <w:sz w:val="20"/>
                <w:szCs w:val="20"/>
              </w:rPr>
              <w:t xml:space="preserve">Patients with </w:t>
            </w:r>
            <w:r w:rsidR="00F51F33" w:rsidRPr="00A84A0B">
              <w:rPr>
                <w:rFonts w:ascii="Arial Narrow" w:hAnsi="Arial Narrow"/>
                <w:sz w:val="20"/>
                <w:szCs w:val="20"/>
              </w:rPr>
              <w:t xml:space="preserve">previously treated </w:t>
            </w:r>
            <w:r w:rsidR="00F51F33" w:rsidRPr="00A84A0B">
              <w:rPr>
                <w:rFonts w:ascii="Arial Narrow" w:hAnsi="Arial Narrow"/>
                <w:sz w:val="20"/>
                <w:szCs w:val="20"/>
                <w:u w:val="single"/>
              </w:rPr>
              <w:t>squamous or non-squamous</w:t>
            </w:r>
            <w:r w:rsidR="00F51F33" w:rsidRPr="00A84A0B">
              <w:rPr>
                <w:rFonts w:ascii="Arial Narrow" w:hAnsi="Arial Narrow"/>
                <w:sz w:val="20"/>
                <w:szCs w:val="20"/>
              </w:rPr>
              <w:t xml:space="preserve"> NSCLC</w:t>
            </w:r>
          </w:p>
        </w:tc>
        <w:tc>
          <w:tcPr>
            <w:tcW w:w="1300" w:type="pct"/>
            <w:shd w:val="clear" w:color="auto" w:fill="auto"/>
            <w:vAlign w:val="center"/>
          </w:tcPr>
          <w:p w:rsidR="00296F70" w:rsidRPr="00A84A0B" w:rsidRDefault="00CA0B1C" w:rsidP="005939DA">
            <w:pPr>
              <w:rPr>
                <w:rFonts w:ascii="Arial Narrow" w:hAnsi="Arial Narrow"/>
                <w:sz w:val="20"/>
                <w:szCs w:val="20"/>
              </w:rPr>
            </w:pPr>
            <w:r w:rsidRPr="00A84A0B">
              <w:rPr>
                <w:rFonts w:ascii="Arial Narrow" w:hAnsi="Arial Narrow"/>
                <w:sz w:val="20"/>
                <w:szCs w:val="20"/>
              </w:rPr>
              <w:t xml:space="preserve">Overall survival (HR [95%CI]) </w:t>
            </w:r>
            <w:r w:rsidR="00C72E4F" w:rsidRPr="00A84A0B">
              <w:rPr>
                <w:rFonts w:ascii="Arial Narrow" w:hAnsi="Arial Narrow"/>
                <w:sz w:val="20"/>
                <w:szCs w:val="20"/>
              </w:rPr>
              <w:t>in the following pre-defined sub-groups:</w:t>
            </w:r>
          </w:p>
          <w:p w:rsidR="00C8651A" w:rsidRPr="00A84A0B" w:rsidRDefault="00296F70" w:rsidP="005939DA">
            <w:pPr>
              <w:pStyle w:val="ListParagraph"/>
              <w:widowControl/>
              <w:numPr>
                <w:ilvl w:val="0"/>
                <w:numId w:val="10"/>
              </w:numPr>
              <w:ind w:left="255" w:hanging="255"/>
              <w:rPr>
                <w:rFonts w:ascii="Arial Narrow" w:hAnsi="Arial Narrow"/>
                <w:sz w:val="20"/>
              </w:rPr>
            </w:pPr>
            <w:r w:rsidRPr="00A84A0B">
              <w:rPr>
                <w:rFonts w:ascii="Arial Narrow" w:hAnsi="Arial Narrow"/>
                <w:sz w:val="20"/>
              </w:rPr>
              <w:t>&lt;</w:t>
            </w:r>
            <w:r w:rsidR="00CA0B1C" w:rsidRPr="00A84A0B">
              <w:rPr>
                <w:rFonts w:ascii="Arial Narrow" w:hAnsi="Arial Narrow"/>
                <w:sz w:val="20"/>
              </w:rPr>
              <w:t>65 years</w:t>
            </w:r>
          </w:p>
          <w:p w:rsidR="00296F70" w:rsidRPr="00A84A0B" w:rsidRDefault="00296F70" w:rsidP="005939DA">
            <w:pPr>
              <w:pStyle w:val="ListParagraph"/>
              <w:widowControl/>
              <w:numPr>
                <w:ilvl w:val="0"/>
                <w:numId w:val="10"/>
              </w:numPr>
              <w:ind w:left="255" w:hanging="255"/>
              <w:rPr>
                <w:rFonts w:ascii="Arial Narrow" w:hAnsi="Arial Narrow"/>
                <w:sz w:val="20"/>
              </w:rPr>
            </w:pPr>
            <w:r w:rsidRPr="00A84A0B">
              <w:rPr>
                <w:rFonts w:ascii="Times New Roman" w:hAnsi="Times New Roman" w:cs="Times New Roman"/>
                <w:sz w:val="20"/>
              </w:rPr>
              <w:t>≥</w:t>
            </w:r>
            <w:r w:rsidRPr="00A84A0B">
              <w:rPr>
                <w:rFonts w:ascii="Arial Narrow" w:hAnsi="Arial Narrow"/>
                <w:sz w:val="20"/>
              </w:rPr>
              <w:t>65 years</w:t>
            </w:r>
          </w:p>
        </w:tc>
      </w:tr>
      <w:tr w:rsidR="00E65FEC" w:rsidRPr="00A84A0B" w:rsidTr="001B0279">
        <w:trPr>
          <w:cantSplit/>
        </w:trPr>
        <w:tc>
          <w:tcPr>
            <w:tcW w:w="5000" w:type="pct"/>
            <w:gridSpan w:val="6"/>
            <w:shd w:val="clear" w:color="auto" w:fill="auto"/>
            <w:vAlign w:val="center"/>
          </w:tcPr>
          <w:p w:rsidR="00E65FEC" w:rsidRPr="00A84A0B" w:rsidRDefault="00E65FEC" w:rsidP="005939DA">
            <w:pPr>
              <w:rPr>
                <w:rFonts w:ascii="Arial Narrow" w:hAnsi="Arial Narrow"/>
                <w:sz w:val="20"/>
                <w:szCs w:val="20"/>
              </w:rPr>
            </w:pPr>
            <w:r w:rsidRPr="00A84A0B">
              <w:rPr>
                <w:rFonts w:ascii="Arial Narrow" w:hAnsi="Arial Narrow"/>
                <w:b/>
                <w:sz w:val="20"/>
                <w:szCs w:val="20"/>
              </w:rPr>
              <w:t>Direct randomised trials – nivolumab for treatment of other cancer types</w:t>
            </w:r>
          </w:p>
        </w:tc>
      </w:tr>
      <w:tr w:rsidR="00AE521C" w:rsidRPr="00A84A0B" w:rsidTr="001B0279">
        <w:trPr>
          <w:cantSplit/>
        </w:trPr>
        <w:tc>
          <w:tcPr>
            <w:tcW w:w="746" w:type="pct"/>
            <w:shd w:val="clear" w:color="auto" w:fill="auto"/>
            <w:vAlign w:val="center"/>
          </w:tcPr>
          <w:p w:rsidR="00E65FEC" w:rsidRPr="00A84A0B" w:rsidRDefault="00E65FEC" w:rsidP="005939DA">
            <w:pPr>
              <w:rPr>
                <w:rFonts w:ascii="Arial Narrow" w:hAnsi="Arial Narrow"/>
                <w:sz w:val="20"/>
                <w:szCs w:val="20"/>
              </w:rPr>
            </w:pPr>
            <w:r w:rsidRPr="00A84A0B">
              <w:rPr>
                <w:rFonts w:ascii="Arial Narrow" w:hAnsi="Arial Narrow"/>
                <w:sz w:val="20"/>
                <w:szCs w:val="20"/>
              </w:rPr>
              <w:t>CA209-037 (037)</w:t>
            </w:r>
          </w:p>
        </w:tc>
        <w:tc>
          <w:tcPr>
            <w:tcW w:w="255" w:type="pct"/>
            <w:vAlign w:val="center"/>
          </w:tcPr>
          <w:p w:rsidR="00E65FEC" w:rsidRPr="00A84A0B" w:rsidRDefault="00884B0D" w:rsidP="005939DA">
            <w:pPr>
              <w:jc w:val="center"/>
              <w:rPr>
                <w:rFonts w:ascii="Arial Narrow" w:hAnsi="Arial Narrow"/>
                <w:sz w:val="20"/>
                <w:szCs w:val="20"/>
              </w:rPr>
            </w:pPr>
            <w:r w:rsidRPr="00A84A0B">
              <w:rPr>
                <w:rFonts w:ascii="Arial Narrow" w:hAnsi="Arial Narrow"/>
                <w:sz w:val="20"/>
                <w:szCs w:val="20"/>
              </w:rPr>
              <w:t>390</w:t>
            </w:r>
          </w:p>
        </w:tc>
        <w:tc>
          <w:tcPr>
            <w:tcW w:w="1170" w:type="pct"/>
            <w:shd w:val="clear" w:color="auto" w:fill="auto"/>
            <w:vAlign w:val="center"/>
          </w:tcPr>
          <w:p w:rsidR="00E65FEC" w:rsidRPr="00A84A0B" w:rsidRDefault="0061542E" w:rsidP="005939DA">
            <w:pPr>
              <w:jc w:val="center"/>
              <w:rPr>
                <w:rFonts w:ascii="Arial Narrow" w:hAnsi="Arial Narrow"/>
                <w:sz w:val="20"/>
                <w:szCs w:val="20"/>
              </w:rPr>
            </w:pPr>
            <w:r w:rsidRPr="00A84A0B">
              <w:rPr>
                <w:rFonts w:ascii="Arial Narrow" w:hAnsi="Arial Narrow"/>
                <w:sz w:val="20"/>
                <w:szCs w:val="20"/>
              </w:rPr>
              <w:t>R, OL</w:t>
            </w:r>
          </w:p>
          <w:p w:rsidR="00884B0D" w:rsidRPr="00A84A0B" w:rsidRDefault="00AA7705" w:rsidP="005939DA">
            <w:pPr>
              <w:jc w:val="center"/>
              <w:rPr>
                <w:rFonts w:ascii="Arial Narrow" w:hAnsi="Arial Narrow"/>
                <w:sz w:val="20"/>
                <w:szCs w:val="20"/>
              </w:rPr>
            </w:pPr>
            <w:r w:rsidRPr="00A84A0B">
              <w:rPr>
                <w:rFonts w:ascii="Arial Narrow" w:hAnsi="Arial Narrow"/>
                <w:sz w:val="20"/>
                <w:szCs w:val="20"/>
              </w:rPr>
              <w:t xml:space="preserve">Median follow-up of 15.34 months for nivolumab and 13.67 months for the </w:t>
            </w:r>
            <w:r w:rsidR="00FC35F4" w:rsidRPr="00A84A0B">
              <w:rPr>
                <w:rFonts w:ascii="Arial Narrow" w:hAnsi="Arial Narrow"/>
                <w:sz w:val="20"/>
                <w:szCs w:val="20"/>
              </w:rPr>
              <w:t>investigator’s choice chemotherapy</w:t>
            </w:r>
            <w:r w:rsidRPr="00A84A0B">
              <w:rPr>
                <w:rFonts w:ascii="Arial Narrow" w:hAnsi="Arial Narrow"/>
                <w:sz w:val="20"/>
                <w:szCs w:val="20"/>
              </w:rPr>
              <w:t xml:space="preserve"> group</w:t>
            </w:r>
          </w:p>
        </w:tc>
        <w:tc>
          <w:tcPr>
            <w:tcW w:w="450" w:type="pct"/>
            <w:shd w:val="clear" w:color="auto" w:fill="auto"/>
            <w:vAlign w:val="center"/>
          </w:tcPr>
          <w:p w:rsidR="00E65FEC" w:rsidRPr="00A84A0B" w:rsidRDefault="0061542E" w:rsidP="005939DA">
            <w:pPr>
              <w:jc w:val="center"/>
              <w:rPr>
                <w:rFonts w:ascii="Arial Narrow" w:hAnsi="Arial Narrow"/>
                <w:sz w:val="20"/>
                <w:szCs w:val="20"/>
              </w:rPr>
            </w:pPr>
            <w:r w:rsidRPr="00A84A0B">
              <w:rPr>
                <w:rFonts w:ascii="Arial Narrow" w:hAnsi="Arial Narrow"/>
                <w:sz w:val="20"/>
                <w:szCs w:val="20"/>
              </w:rPr>
              <w:t>Low for OS</w:t>
            </w:r>
          </w:p>
        </w:tc>
        <w:tc>
          <w:tcPr>
            <w:tcW w:w="1079" w:type="pct"/>
            <w:shd w:val="clear" w:color="auto" w:fill="auto"/>
            <w:vAlign w:val="center"/>
          </w:tcPr>
          <w:p w:rsidR="00E65FEC" w:rsidRPr="00A84A0B" w:rsidRDefault="001B28D3" w:rsidP="005939DA">
            <w:pPr>
              <w:jc w:val="center"/>
              <w:rPr>
                <w:rFonts w:ascii="Arial Narrow" w:hAnsi="Arial Narrow"/>
                <w:sz w:val="20"/>
                <w:szCs w:val="20"/>
              </w:rPr>
            </w:pPr>
            <w:r w:rsidRPr="00A84A0B">
              <w:rPr>
                <w:rFonts w:ascii="Arial Narrow" w:hAnsi="Arial Narrow"/>
                <w:sz w:val="20"/>
                <w:szCs w:val="20"/>
              </w:rPr>
              <w:t xml:space="preserve">Patients with advanced (unresectable or metastatic) melanoma </w:t>
            </w:r>
          </w:p>
        </w:tc>
        <w:tc>
          <w:tcPr>
            <w:tcW w:w="1300" w:type="pct"/>
            <w:shd w:val="clear" w:color="auto" w:fill="auto"/>
            <w:vAlign w:val="center"/>
          </w:tcPr>
          <w:p w:rsidR="00091CFA" w:rsidRPr="00A84A0B" w:rsidRDefault="00091CFA" w:rsidP="005939DA">
            <w:pPr>
              <w:rPr>
                <w:rFonts w:ascii="Arial Narrow" w:hAnsi="Arial Narrow"/>
                <w:sz w:val="20"/>
                <w:szCs w:val="20"/>
              </w:rPr>
            </w:pPr>
            <w:r w:rsidRPr="00A84A0B">
              <w:rPr>
                <w:rFonts w:ascii="Arial Narrow" w:hAnsi="Arial Narrow"/>
                <w:sz w:val="20"/>
                <w:szCs w:val="20"/>
              </w:rPr>
              <w:t>Overall survival (HR [95% CI]) in the following</w:t>
            </w:r>
            <w:r w:rsidR="006F1BB9" w:rsidRPr="00A84A0B">
              <w:rPr>
                <w:rFonts w:ascii="Arial Narrow" w:hAnsi="Arial Narrow"/>
                <w:sz w:val="20"/>
                <w:szCs w:val="20"/>
              </w:rPr>
              <w:t xml:space="preserve"> pre-defined</w:t>
            </w:r>
            <w:r w:rsidRPr="00A84A0B">
              <w:rPr>
                <w:rFonts w:ascii="Arial Narrow" w:hAnsi="Arial Narrow"/>
                <w:sz w:val="20"/>
                <w:szCs w:val="20"/>
              </w:rPr>
              <w:t xml:space="preserve"> sub-groups:</w:t>
            </w:r>
          </w:p>
          <w:p w:rsidR="00091CFA" w:rsidRPr="00A84A0B" w:rsidRDefault="00091CFA" w:rsidP="005939DA">
            <w:pPr>
              <w:pStyle w:val="ListParagraph"/>
              <w:widowControl/>
              <w:numPr>
                <w:ilvl w:val="0"/>
                <w:numId w:val="11"/>
              </w:numPr>
              <w:ind w:left="255" w:hanging="255"/>
              <w:rPr>
                <w:rFonts w:ascii="Arial Narrow" w:hAnsi="Arial Narrow"/>
                <w:sz w:val="20"/>
              </w:rPr>
            </w:pPr>
            <w:r w:rsidRPr="00A84A0B">
              <w:rPr>
                <w:rFonts w:ascii="Arial Narrow" w:hAnsi="Arial Narrow"/>
                <w:sz w:val="20"/>
              </w:rPr>
              <w:t>&lt;65 years</w:t>
            </w:r>
          </w:p>
          <w:p w:rsidR="006F1BB9" w:rsidRPr="00A84A0B" w:rsidRDefault="006F1BB9" w:rsidP="005939DA">
            <w:pPr>
              <w:pStyle w:val="ListParagraph"/>
              <w:widowControl/>
              <w:numPr>
                <w:ilvl w:val="0"/>
                <w:numId w:val="11"/>
              </w:numPr>
              <w:ind w:left="255" w:hanging="255"/>
              <w:rPr>
                <w:rFonts w:ascii="Arial Narrow" w:hAnsi="Arial Narrow"/>
                <w:sz w:val="20"/>
              </w:rPr>
            </w:pPr>
            <w:r w:rsidRPr="00A84A0B">
              <w:rPr>
                <w:rFonts w:ascii="Arial Narrow" w:hAnsi="Arial Narrow"/>
                <w:sz w:val="20"/>
              </w:rPr>
              <w:t>≥65 years</w:t>
            </w:r>
          </w:p>
          <w:p w:rsidR="00091CFA" w:rsidRPr="00A84A0B" w:rsidRDefault="006F1BB9" w:rsidP="005939DA">
            <w:pPr>
              <w:pStyle w:val="ListParagraph"/>
              <w:widowControl/>
              <w:numPr>
                <w:ilvl w:val="0"/>
                <w:numId w:val="11"/>
              </w:numPr>
              <w:ind w:left="255" w:hanging="255"/>
              <w:rPr>
                <w:rFonts w:ascii="Arial Narrow" w:hAnsi="Arial Narrow"/>
                <w:sz w:val="20"/>
              </w:rPr>
            </w:pPr>
            <w:r w:rsidRPr="00A84A0B">
              <w:rPr>
                <w:rFonts w:ascii="Arial Narrow" w:hAnsi="Arial Narrow"/>
                <w:sz w:val="20"/>
              </w:rPr>
              <w:t>≥</w:t>
            </w:r>
            <w:r w:rsidR="00091CFA" w:rsidRPr="00A84A0B">
              <w:rPr>
                <w:rFonts w:ascii="Arial Narrow" w:hAnsi="Arial Narrow"/>
                <w:sz w:val="20"/>
              </w:rPr>
              <w:t>65-</w:t>
            </w:r>
            <w:r w:rsidRPr="00A84A0B">
              <w:rPr>
                <w:rFonts w:ascii="Arial Narrow" w:hAnsi="Arial Narrow"/>
                <w:sz w:val="20"/>
              </w:rPr>
              <w:t>&lt;</w:t>
            </w:r>
            <w:r w:rsidR="00091CFA" w:rsidRPr="00A84A0B">
              <w:rPr>
                <w:rFonts w:ascii="Arial Narrow" w:hAnsi="Arial Narrow"/>
                <w:sz w:val="20"/>
              </w:rPr>
              <w:t>7</w:t>
            </w:r>
            <w:r w:rsidRPr="00A84A0B">
              <w:rPr>
                <w:rFonts w:ascii="Arial Narrow" w:hAnsi="Arial Narrow"/>
                <w:sz w:val="20"/>
              </w:rPr>
              <w:t>5</w:t>
            </w:r>
            <w:r w:rsidR="00091CFA" w:rsidRPr="00A84A0B">
              <w:rPr>
                <w:rFonts w:ascii="Arial Narrow" w:hAnsi="Arial Narrow"/>
                <w:sz w:val="20"/>
              </w:rPr>
              <w:t xml:space="preserve"> years</w:t>
            </w:r>
          </w:p>
          <w:p w:rsidR="00E65FEC" w:rsidRPr="00A84A0B" w:rsidRDefault="00091CFA" w:rsidP="005939DA">
            <w:pPr>
              <w:pStyle w:val="ListParagraph"/>
              <w:widowControl/>
              <w:numPr>
                <w:ilvl w:val="0"/>
                <w:numId w:val="11"/>
              </w:numPr>
              <w:ind w:left="255" w:hanging="255"/>
              <w:rPr>
                <w:rFonts w:ascii="Arial Narrow" w:hAnsi="Arial Narrow"/>
                <w:sz w:val="20"/>
              </w:rPr>
            </w:pPr>
            <w:r w:rsidRPr="00A84A0B">
              <w:rPr>
                <w:rFonts w:ascii="Arial Narrow" w:hAnsi="Arial Narrow"/>
                <w:sz w:val="20"/>
              </w:rPr>
              <w:t>≥75 years</w:t>
            </w:r>
          </w:p>
          <w:p w:rsidR="006F1BB9" w:rsidRPr="00A84A0B" w:rsidRDefault="006F1BB9" w:rsidP="005939DA">
            <w:pPr>
              <w:pStyle w:val="ListParagraph"/>
              <w:widowControl/>
              <w:numPr>
                <w:ilvl w:val="0"/>
                <w:numId w:val="11"/>
              </w:numPr>
              <w:ind w:left="255" w:hanging="255"/>
              <w:rPr>
                <w:rFonts w:ascii="Arial Narrow" w:hAnsi="Arial Narrow"/>
                <w:sz w:val="20"/>
              </w:rPr>
            </w:pPr>
            <w:r w:rsidRPr="00A84A0B">
              <w:rPr>
                <w:rFonts w:ascii="Arial Narrow" w:hAnsi="Arial Narrow"/>
                <w:sz w:val="20"/>
              </w:rPr>
              <w:t>PD-L1 expression cut-off of 1%</w:t>
            </w:r>
          </w:p>
        </w:tc>
      </w:tr>
      <w:tr w:rsidR="00AE521C" w:rsidRPr="00A84A0B" w:rsidTr="001B0279">
        <w:trPr>
          <w:cantSplit/>
        </w:trPr>
        <w:tc>
          <w:tcPr>
            <w:tcW w:w="746" w:type="pct"/>
            <w:shd w:val="clear" w:color="auto" w:fill="auto"/>
            <w:vAlign w:val="center"/>
          </w:tcPr>
          <w:p w:rsidR="00E65FEC" w:rsidRPr="00A84A0B" w:rsidRDefault="00E65FEC" w:rsidP="005939DA">
            <w:pPr>
              <w:rPr>
                <w:rFonts w:ascii="Arial Narrow" w:hAnsi="Arial Narrow"/>
                <w:sz w:val="20"/>
                <w:szCs w:val="20"/>
              </w:rPr>
            </w:pPr>
            <w:r w:rsidRPr="00A84A0B">
              <w:rPr>
                <w:rFonts w:ascii="Arial Narrow" w:hAnsi="Arial Narrow"/>
                <w:sz w:val="20"/>
                <w:szCs w:val="20"/>
              </w:rPr>
              <w:t>CA209-066 (066)</w:t>
            </w:r>
          </w:p>
        </w:tc>
        <w:tc>
          <w:tcPr>
            <w:tcW w:w="255" w:type="pct"/>
            <w:vAlign w:val="center"/>
          </w:tcPr>
          <w:p w:rsidR="00E65FEC" w:rsidRPr="00A84A0B" w:rsidRDefault="00B025A3" w:rsidP="005939DA">
            <w:pPr>
              <w:jc w:val="center"/>
              <w:rPr>
                <w:rFonts w:ascii="Arial Narrow" w:hAnsi="Arial Narrow"/>
                <w:sz w:val="20"/>
                <w:szCs w:val="20"/>
              </w:rPr>
            </w:pPr>
            <w:r w:rsidRPr="00A84A0B">
              <w:rPr>
                <w:rFonts w:ascii="Arial Narrow" w:hAnsi="Arial Narrow"/>
                <w:sz w:val="20"/>
                <w:szCs w:val="20"/>
              </w:rPr>
              <w:t>583</w:t>
            </w:r>
          </w:p>
        </w:tc>
        <w:tc>
          <w:tcPr>
            <w:tcW w:w="1170" w:type="pct"/>
            <w:shd w:val="clear" w:color="auto" w:fill="auto"/>
            <w:vAlign w:val="center"/>
          </w:tcPr>
          <w:p w:rsidR="00E65FEC" w:rsidRPr="00A84A0B" w:rsidRDefault="0061542E" w:rsidP="005939DA">
            <w:pPr>
              <w:jc w:val="center"/>
              <w:rPr>
                <w:rFonts w:ascii="Arial Narrow" w:hAnsi="Arial Narrow"/>
                <w:sz w:val="20"/>
                <w:szCs w:val="20"/>
              </w:rPr>
            </w:pPr>
            <w:r w:rsidRPr="00A84A0B">
              <w:rPr>
                <w:rFonts w:ascii="Arial Narrow" w:hAnsi="Arial Narrow"/>
                <w:sz w:val="20"/>
                <w:szCs w:val="20"/>
              </w:rPr>
              <w:t>R, DB</w:t>
            </w:r>
          </w:p>
          <w:p w:rsidR="00B025A3" w:rsidRPr="00A84A0B" w:rsidRDefault="00294904" w:rsidP="005939DA">
            <w:pPr>
              <w:jc w:val="center"/>
              <w:rPr>
                <w:rFonts w:ascii="Arial Narrow" w:hAnsi="Arial Narrow"/>
                <w:sz w:val="20"/>
                <w:szCs w:val="20"/>
              </w:rPr>
            </w:pPr>
            <w:r w:rsidRPr="00A84A0B">
              <w:rPr>
                <w:rFonts w:ascii="Arial Narrow" w:hAnsi="Arial Narrow"/>
                <w:sz w:val="20"/>
                <w:szCs w:val="20"/>
              </w:rPr>
              <w:t>Follow-up duration not reported</w:t>
            </w:r>
          </w:p>
        </w:tc>
        <w:tc>
          <w:tcPr>
            <w:tcW w:w="450" w:type="pct"/>
            <w:shd w:val="clear" w:color="auto" w:fill="auto"/>
            <w:vAlign w:val="center"/>
          </w:tcPr>
          <w:p w:rsidR="00E65FEC" w:rsidRPr="00A84A0B" w:rsidRDefault="0061542E" w:rsidP="005939DA">
            <w:pPr>
              <w:jc w:val="center"/>
              <w:rPr>
                <w:rFonts w:ascii="Arial Narrow" w:hAnsi="Arial Narrow"/>
                <w:sz w:val="20"/>
                <w:szCs w:val="20"/>
              </w:rPr>
            </w:pPr>
            <w:r w:rsidRPr="00A84A0B">
              <w:rPr>
                <w:rFonts w:ascii="Arial Narrow" w:hAnsi="Arial Narrow"/>
                <w:sz w:val="20"/>
                <w:szCs w:val="20"/>
              </w:rPr>
              <w:t>Low for OS</w:t>
            </w:r>
          </w:p>
        </w:tc>
        <w:tc>
          <w:tcPr>
            <w:tcW w:w="1079" w:type="pct"/>
            <w:shd w:val="clear" w:color="auto" w:fill="auto"/>
            <w:vAlign w:val="center"/>
          </w:tcPr>
          <w:p w:rsidR="00E65FEC" w:rsidRPr="00A84A0B" w:rsidRDefault="00230D9A" w:rsidP="005939DA">
            <w:pPr>
              <w:jc w:val="center"/>
              <w:rPr>
                <w:rFonts w:ascii="Arial Narrow" w:hAnsi="Arial Narrow"/>
                <w:sz w:val="20"/>
                <w:szCs w:val="20"/>
              </w:rPr>
            </w:pPr>
            <w:r w:rsidRPr="00A84A0B">
              <w:rPr>
                <w:rFonts w:ascii="Arial Narrow" w:hAnsi="Arial Narrow"/>
                <w:sz w:val="20"/>
                <w:szCs w:val="20"/>
              </w:rPr>
              <w:t>Patients with previously untreated, unresectable or metastatic melanoma</w:t>
            </w:r>
          </w:p>
        </w:tc>
        <w:tc>
          <w:tcPr>
            <w:tcW w:w="1300" w:type="pct"/>
            <w:shd w:val="clear" w:color="auto" w:fill="auto"/>
            <w:vAlign w:val="center"/>
          </w:tcPr>
          <w:p w:rsidR="00091CFA" w:rsidRPr="00A84A0B" w:rsidRDefault="00091CFA" w:rsidP="005939DA">
            <w:pPr>
              <w:rPr>
                <w:rFonts w:ascii="Arial Narrow" w:hAnsi="Arial Narrow"/>
                <w:sz w:val="20"/>
                <w:szCs w:val="20"/>
              </w:rPr>
            </w:pPr>
            <w:r w:rsidRPr="00A84A0B">
              <w:rPr>
                <w:rFonts w:ascii="Arial Narrow" w:hAnsi="Arial Narrow"/>
                <w:sz w:val="20"/>
                <w:szCs w:val="20"/>
              </w:rPr>
              <w:t>Overall survival (HR [95% CI]) in the following</w:t>
            </w:r>
            <w:r w:rsidR="00744544" w:rsidRPr="00A84A0B">
              <w:rPr>
                <w:rFonts w:ascii="Arial Narrow" w:hAnsi="Arial Narrow"/>
                <w:sz w:val="20"/>
                <w:szCs w:val="20"/>
              </w:rPr>
              <w:t xml:space="preserve"> pre-defined</w:t>
            </w:r>
            <w:r w:rsidRPr="00A84A0B">
              <w:rPr>
                <w:rFonts w:ascii="Arial Narrow" w:hAnsi="Arial Narrow"/>
                <w:sz w:val="20"/>
                <w:szCs w:val="20"/>
              </w:rPr>
              <w:t xml:space="preserve"> sub-groups:</w:t>
            </w:r>
          </w:p>
          <w:p w:rsidR="00091CFA" w:rsidRPr="00A84A0B" w:rsidRDefault="00091CFA" w:rsidP="005939DA">
            <w:pPr>
              <w:pStyle w:val="ListParagraph"/>
              <w:widowControl/>
              <w:numPr>
                <w:ilvl w:val="0"/>
                <w:numId w:val="12"/>
              </w:numPr>
              <w:ind w:left="255" w:hanging="255"/>
              <w:rPr>
                <w:rFonts w:ascii="Arial Narrow" w:hAnsi="Arial Narrow"/>
                <w:sz w:val="20"/>
              </w:rPr>
            </w:pPr>
            <w:r w:rsidRPr="00A84A0B">
              <w:rPr>
                <w:rFonts w:ascii="Arial Narrow" w:hAnsi="Arial Narrow"/>
                <w:sz w:val="20"/>
              </w:rPr>
              <w:t>&lt;65 years</w:t>
            </w:r>
          </w:p>
          <w:p w:rsidR="00091CFA" w:rsidRPr="00A84A0B" w:rsidRDefault="006F1BB9" w:rsidP="005939DA">
            <w:pPr>
              <w:pStyle w:val="ListParagraph"/>
              <w:widowControl/>
              <w:numPr>
                <w:ilvl w:val="0"/>
                <w:numId w:val="12"/>
              </w:numPr>
              <w:ind w:left="255" w:hanging="255"/>
              <w:rPr>
                <w:rFonts w:ascii="Arial Narrow" w:hAnsi="Arial Narrow"/>
                <w:sz w:val="20"/>
              </w:rPr>
            </w:pPr>
            <w:r w:rsidRPr="00A84A0B">
              <w:rPr>
                <w:rFonts w:ascii="Arial Narrow" w:hAnsi="Arial Narrow"/>
                <w:sz w:val="20"/>
              </w:rPr>
              <w:t>≥</w:t>
            </w:r>
            <w:r w:rsidR="00091CFA" w:rsidRPr="00A84A0B">
              <w:rPr>
                <w:rFonts w:ascii="Arial Narrow" w:hAnsi="Arial Narrow"/>
                <w:sz w:val="20"/>
              </w:rPr>
              <w:t>65-</w:t>
            </w:r>
            <w:r w:rsidRPr="00A84A0B">
              <w:rPr>
                <w:rFonts w:ascii="Arial Narrow" w:hAnsi="Arial Narrow"/>
                <w:sz w:val="20"/>
              </w:rPr>
              <w:t>&lt;</w:t>
            </w:r>
            <w:r w:rsidR="00091CFA" w:rsidRPr="00A84A0B">
              <w:rPr>
                <w:rFonts w:ascii="Arial Narrow" w:hAnsi="Arial Narrow"/>
                <w:sz w:val="20"/>
              </w:rPr>
              <w:t>7</w:t>
            </w:r>
            <w:r w:rsidRPr="00A84A0B">
              <w:rPr>
                <w:rFonts w:ascii="Arial Narrow" w:hAnsi="Arial Narrow"/>
                <w:sz w:val="20"/>
              </w:rPr>
              <w:t>5</w:t>
            </w:r>
            <w:r w:rsidR="00091CFA" w:rsidRPr="00A84A0B">
              <w:rPr>
                <w:rFonts w:ascii="Arial Narrow" w:hAnsi="Arial Narrow"/>
                <w:sz w:val="20"/>
              </w:rPr>
              <w:t xml:space="preserve"> years</w:t>
            </w:r>
          </w:p>
          <w:p w:rsidR="00E65FEC" w:rsidRPr="00A84A0B" w:rsidRDefault="00091CFA" w:rsidP="005939DA">
            <w:pPr>
              <w:pStyle w:val="ListParagraph"/>
              <w:widowControl/>
              <w:numPr>
                <w:ilvl w:val="0"/>
                <w:numId w:val="12"/>
              </w:numPr>
              <w:ind w:left="255" w:hanging="255"/>
              <w:rPr>
                <w:rFonts w:ascii="Arial Narrow" w:hAnsi="Arial Narrow"/>
                <w:sz w:val="20"/>
              </w:rPr>
            </w:pPr>
            <w:r w:rsidRPr="00A84A0B">
              <w:rPr>
                <w:rFonts w:ascii="Arial Narrow" w:hAnsi="Arial Narrow"/>
                <w:sz w:val="20"/>
              </w:rPr>
              <w:t>≥75 years</w:t>
            </w:r>
          </w:p>
          <w:p w:rsidR="00744544" w:rsidRPr="00A84A0B" w:rsidRDefault="00744544" w:rsidP="005939DA">
            <w:pPr>
              <w:pStyle w:val="ListParagraph"/>
              <w:widowControl/>
              <w:numPr>
                <w:ilvl w:val="0"/>
                <w:numId w:val="12"/>
              </w:numPr>
              <w:ind w:left="255" w:hanging="255"/>
              <w:rPr>
                <w:rFonts w:ascii="Arial Narrow" w:hAnsi="Arial Narrow"/>
                <w:sz w:val="20"/>
              </w:rPr>
            </w:pPr>
            <w:r w:rsidRPr="00A84A0B">
              <w:rPr>
                <w:rFonts w:ascii="Arial Narrow" w:hAnsi="Arial Narrow"/>
                <w:sz w:val="20"/>
              </w:rPr>
              <w:t>PD-L1 expression cut-off of 1%</w:t>
            </w:r>
          </w:p>
        </w:tc>
      </w:tr>
      <w:tr w:rsidR="00AE521C" w:rsidRPr="00A84A0B" w:rsidTr="001B0279">
        <w:trPr>
          <w:cantSplit/>
        </w:trPr>
        <w:tc>
          <w:tcPr>
            <w:tcW w:w="746" w:type="pct"/>
            <w:shd w:val="clear" w:color="auto" w:fill="auto"/>
            <w:vAlign w:val="center"/>
          </w:tcPr>
          <w:p w:rsidR="00E65FEC" w:rsidRPr="00A84A0B" w:rsidRDefault="00E65FEC" w:rsidP="005939DA">
            <w:pPr>
              <w:rPr>
                <w:rFonts w:ascii="Arial Narrow" w:hAnsi="Arial Narrow"/>
                <w:sz w:val="20"/>
                <w:szCs w:val="20"/>
              </w:rPr>
            </w:pPr>
            <w:r w:rsidRPr="00A84A0B">
              <w:rPr>
                <w:rFonts w:ascii="Arial Narrow" w:hAnsi="Arial Narrow"/>
                <w:sz w:val="20"/>
                <w:szCs w:val="20"/>
              </w:rPr>
              <w:t>CA209-025 (025)</w:t>
            </w:r>
          </w:p>
        </w:tc>
        <w:tc>
          <w:tcPr>
            <w:tcW w:w="255" w:type="pct"/>
            <w:vAlign w:val="center"/>
          </w:tcPr>
          <w:p w:rsidR="00E65FEC" w:rsidRPr="00A84A0B" w:rsidRDefault="00B025A3" w:rsidP="005939DA">
            <w:pPr>
              <w:jc w:val="center"/>
              <w:rPr>
                <w:rFonts w:ascii="Arial Narrow" w:hAnsi="Arial Narrow"/>
                <w:sz w:val="20"/>
                <w:szCs w:val="20"/>
              </w:rPr>
            </w:pPr>
            <w:r w:rsidRPr="00A84A0B">
              <w:rPr>
                <w:rFonts w:ascii="Arial Narrow" w:hAnsi="Arial Narrow"/>
                <w:sz w:val="20"/>
                <w:szCs w:val="20"/>
              </w:rPr>
              <w:t>1054</w:t>
            </w:r>
          </w:p>
        </w:tc>
        <w:tc>
          <w:tcPr>
            <w:tcW w:w="1170" w:type="pct"/>
            <w:shd w:val="clear" w:color="auto" w:fill="auto"/>
            <w:vAlign w:val="center"/>
          </w:tcPr>
          <w:p w:rsidR="00E65FEC" w:rsidRPr="00A84A0B" w:rsidRDefault="0061542E" w:rsidP="005939DA">
            <w:pPr>
              <w:jc w:val="center"/>
              <w:rPr>
                <w:rFonts w:ascii="Arial Narrow" w:hAnsi="Arial Narrow"/>
                <w:sz w:val="20"/>
                <w:szCs w:val="20"/>
              </w:rPr>
            </w:pPr>
            <w:r w:rsidRPr="00A84A0B">
              <w:rPr>
                <w:rFonts w:ascii="Arial Narrow" w:hAnsi="Arial Narrow"/>
                <w:sz w:val="20"/>
                <w:szCs w:val="20"/>
              </w:rPr>
              <w:t>R, OL</w:t>
            </w:r>
          </w:p>
          <w:p w:rsidR="00B025A3" w:rsidRPr="00A84A0B" w:rsidRDefault="00294904" w:rsidP="005939DA">
            <w:pPr>
              <w:jc w:val="center"/>
              <w:rPr>
                <w:rFonts w:ascii="Arial Narrow" w:hAnsi="Arial Narrow"/>
                <w:sz w:val="20"/>
                <w:szCs w:val="20"/>
              </w:rPr>
            </w:pPr>
            <w:r w:rsidRPr="00A84A0B">
              <w:rPr>
                <w:rFonts w:ascii="Arial Narrow" w:hAnsi="Arial Narrow"/>
                <w:sz w:val="20"/>
                <w:szCs w:val="20"/>
              </w:rPr>
              <w:t>Median follow-up 18.25 months for nivolumab and 17.22 months for everolimus</w:t>
            </w:r>
          </w:p>
        </w:tc>
        <w:tc>
          <w:tcPr>
            <w:tcW w:w="450" w:type="pct"/>
            <w:shd w:val="clear" w:color="auto" w:fill="auto"/>
            <w:vAlign w:val="center"/>
          </w:tcPr>
          <w:p w:rsidR="00E65FEC" w:rsidRPr="00A84A0B" w:rsidRDefault="0061542E" w:rsidP="005939DA">
            <w:pPr>
              <w:jc w:val="center"/>
              <w:rPr>
                <w:rFonts w:ascii="Arial Narrow" w:hAnsi="Arial Narrow"/>
                <w:sz w:val="20"/>
                <w:szCs w:val="20"/>
              </w:rPr>
            </w:pPr>
            <w:r w:rsidRPr="00A84A0B">
              <w:rPr>
                <w:rFonts w:ascii="Arial Narrow" w:hAnsi="Arial Narrow"/>
                <w:sz w:val="20"/>
                <w:szCs w:val="20"/>
              </w:rPr>
              <w:t>Low for OS</w:t>
            </w:r>
          </w:p>
        </w:tc>
        <w:tc>
          <w:tcPr>
            <w:tcW w:w="1079" w:type="pct"/>
            <w:shd w:val="clear" w:color="auto" w:fill="auto"/>
            <w:vAlign w:val="center"/>
          </w:tcPr>
          <w:p w:rsidR="00E65FEC" w:rsidRPr="00A84A0B" w:rsidRDefault="00B025A3" w:rsidP="005939DA">
            <w:pPr>
              <w:jc w:val="center"/>
              <w:rPr>
                <w:rFonts w:ascii="Arial Narrow" w:hAnsi="Arial Narrow"/>
                <w:sz w:val="20"/>
                <w:szCs w:val="20"/>
              </w:rPr>
            </w:pPr>
            <w:r w:rsidRPr="00A84A0B">
              <w:rPr>
                <w:rFonts w:ascii="Arial Narrow" w:hAnsi="Arial Narrow"/>
                <w:sz w:val="20"/>
                <w:szCs w:val="20"/>
              </w:rPr>
              <w:t xml:space="preserve">Patients with advanced or metastatic clear-cell renal cell carcinoma who have received prior </w:t>
            </w:r>
            <w:r w:rsidR="00091CFA" w:rsidRPr="00A84A0B">
              <w:rPr>
                <w:rFonts w:ascii="Arial Narrow" w:hAnsi="Arial Narrow"/>
                <w:sz w:val="20"/>
                <w:szCs w:val="20"/>
              </w:rPr>
              <w:t>a</w:t>
            </w:r>
            <w:r w:rsidRPr="00A84A0B">
              <w:rPr>
                <w:rFonts w:ascii="Arial Narrow" w:hAnsi="Arial Narrow"/>
                <w:sz w:val="20"/>
                <w:szCs w:val="20"/>
              </w:rPr>
              <w:t>nti-angiogenic therapy</w:t>
            </w:r>
          </w:p>
        </w:tc>
        <w:tc>
          <w:tcPr>
            <w:tcW w:w="1300" w:type="pct"/>
            <w:shd w:val="clear" w:color="auto" w:fill="auto"/>
            <w:vAlign w:val="center"/>
          </w:tcPr>
          <w:p w:rsidR="00744544" w:rsidRPr="00A84A0B" w:rsidRDefault="00744544" w:rsidP="005939DA">
            <w:pPr>
              <w:rPr>
                <w:rFonts w:ascii="Arial Narrow" w:hAnsi="Arial Narrow"/>
                <w:sz w:val="20"/>
                <w:szCs w:val="20"/>
              </w:rPr>
            </w:pPr>
            <w:r w:rsidRPr="00A84A0B">
              <w:rPr>
                <w:rFonts w:ascii="Arial Narrow" w:hAnsi="Arial Narrow"/>
                <w:sz w:val="20"/>
                <w:szCs w:val="20"/>
              </w:rPr>
              <w:t>Overall survival (HR [95% CI]) in the following pre-defined sub-groups:</w:t>
            </w:r>
          </w:p>
          <w:p w:rsidR="00744544" w:rsidRPr="00A84A0B" w:rsidRDefault="00744544" w:rsidP="005939DA">
            <w:pPr>
              <w:pStyle w:val="ListParagraph"/>
              <w:widowControl/>
              <w:numPr>
                <w:ilvl w:val="0"/>
                <w:numId w:val="13"/>
              </w:numPr>
              <w:ind w:left="255" w:hanging="255"/>
              <w:rPr>
                <w:rFonts w:ascii="Arial Narrow" w:hAnsi="Arial Narrow"/>
                <w:sz w:val="20"/>
              </w:rPr>
            </w:pPr>
            <w:r w:rsidRPr="00A84A0B">
              <w:rPr>
                <w:rFonts w:ascii="Arial Narrow" w:hAnsi="Arial Narrow"/>
                <w:sz w:val="20"/>
              </w:rPr>
              <w:t>&lt;65 years</w:t>
            </w:r>
          </w:p>
          <w:p w:rsidR="00744544" w:rsidRPr="00A84A0B" w:rsidRDefault="00744544" w:rsidP="005939DA">
            <w:pPr>
              <w:pStyle w:val="ListParagraph"/>
              <w:widowControl/>
              <w:numPr>
                <w:ilvl w:val="0"/>
                <w:numId w:val="13"/>
              </w:numPr>
              <w:ind w:left="255" w:hanging="255"/>
              <w:rPr>
                <w:rFonts w:ascii="Arial Narrow" w:hAnsi="Arial Narrow"/>
                <w:sz w:val="20"/>
              </w:rPr>
            </w:pPr>
            <w:r w:rsidRPr="00A84A0B">
              <w:rPr>
                <w:rFonts w:ascii="Arial Narrow" w:hAnsi="Arial Narrow"/>
                <w:sz w:val="20"/>
              </w:rPr>
              <w:t>≥65 years</w:t>
            </w:r>
          </w:p>
          <w:p w:rsidR="00744544" w:rsidRPr="00A84A0B" w:rsidRDefault="00744544" w:rsidP="005939DA">
            <w:pPr>
              <w:pStyle w:val="ListParagraph"/>
              <w:widowControl/>
              <w:numPr>
                <w:ilvl w:val="0"/>
                <w:numId w:val="13"/>
              </w:numPr>
              <w:ind w:left="255" w:hanging="255"/>
              <w:rPr>
                <w:rFonts w:ascii="Arial Narrow" w:hAnsi="Arial Narrow"/>
                <w:sz w:val="20"/>
              </w:rPr>
            </w:pPr>
            <w:r w:rsidRPr="00A84A0B">
              <w:rPr>
                <w:rFonts w:ascii="Arial Narrow" w:hAnsi="Arial Narrow"/>
                <w:sz w:val="20"/>
              </w:rPr>
              <w:t>≥65-&lt;75 years</w:t>
            </w:r>
          </w:p>
          <w:p w:rsidR="00744544" w:rsidRPr="00A84A0B" w:rsidRDefault="00744544" w:rsidP="005939DA">
            <w:pPr>
              <w:pStyle w:val="ListParagraph"/>
              <w:widowControl/>
              <w:numPr>
                <w:ilvl w:val="0"/>
                <w:numId w:val="13"/>
              </w:numPr>
              <w:ind w:left="255" w:hanging="255"/>
              <w:rPr>
                <w:rFonts w:ascii="Arial Narrow" w:hAnsi="Arial Narrow"/>
                <w:sz w:val="20"/>
              </w:rPr>
            </w:pPr>
            <w:r w:rsidRPr="00A84A0B">
              <w:rPr>
                <w:rFonts w:ascii="Arial Narrow" w:hAnsi="Arial Narrow"/>
                <w:sz w:val="20"/>
              </w:rPr>
              <w:t>≥75 years</w:t>
            </w:r>
          </w:p>
          <w:p w:rsidR="00E65FEC" w:rsidRPr="00A84A0B" w:rsidRDefault="00744544" w:rsidP="005939DA">
            <w:pPr>
              <w:pStyle w:val="ListParagraph"/>
              <w:widowControl/>
              <w:numPr>
                <w:ilvl w:val="0"/>
                <w:numId w:val="13"/>
              </w:numPr>
              <w:ind w:left="255" w:hanging="255"/>
              <w:rPr>
                <w:rFonts w:ascii="Arial Narrow" w:hAnsi="Arial Narrow"/>
                <w:sz w:val="20"/>
              </w:rPr>
            </w:pPr>
            <w:r w:rsidRPr="00A84A0B">
              <w:rPr>
                <w:rFonts w:ascii="Arial Narrow" w:hAnsi="Arial Narrow"/>
                <w:sz w:val="20"/>
              </w:rPr>
              <w:t>PD-L1 expression cut-off of 1%</w:t>
            </w:r>
          </w:p>
        </w:tc>
      </w:tr>
      <w:tr w:rsidR="00AE521C" w:rsidRPr="00A84A0B" w:rsidTr="001B0279">
        <w:trPr>
          <w:cantSplit/>
        </w:trPr>
        <w:tc>
          <w:tcPr>
            <w:tcW w:w="746" w:type="pct"/>
            <w:shd w:val="clear" w:color="auto" w:fill="auto"/>
            <w:vAlign w:val="center"/>
          </w:tcPr>
          <w:p w:rsidR="00E65FEC" w:rsidRPr="00A84A0B" w:rsidRDefault="00E65FEC" w:rsidP="005939DA">
            <w:pPr>
              <w:rPr>
                <w:rFonts w:ascii="Arial Narrow" w:hAnsi="Arial Narrow"/>
                <w:sz w:val="20"/>
                <w:szCs w:val="20"/>
              </w:rPr>
            </w:pPr>
            <w:r w:rsidRPr="00A84A0B">
              <w:rPr>
                <w:rFonts w:ascii="Arial Narrow" w:hAnsi="Arial Narrow"/>
                <w:sz w:val="20"/>
                <w:szCs w:val="20"/>
              </w:rPr>
              <w:t>CA209-141 (141)</w:t>
            </w:r>
          </w:p>
        </w:tc>
        <w:tc>
          <w:tcPr>
            <w:tcW w:w="255" w:type="pct"/>
            <w:vAlign w:val="center"/>
          </w:tcPr>
          <w:p w:rsidR="00E65FEC" w:rsidRPr="00A84A0B" w:rsidRDefault="001B7266" w:rsidP="005939DA">
            <w:pPr>
              <w:jc w:val="center"/>
              <w:rPr>
                <w:rFonts w:ascii="Arial Narrow" w:hAnsi="Arial Narrow"/>
                <w:sz w:val="20"/>
                <w:szCs w:val="20"/>
              </w:rPr>
            </w:pPr>
            <w:r w:rsidRPr="00A84A0B">
              <w:rPr>
                <w:rFonts w:ascii="Arial Narrow" w:hAnsi="Arial Narrow"/>
                <w:sz w:val="20"/>
                <w:szCs w:val="20"/>
              </w:rPr>
              <w:t>36</w:t>
            </w:r>
            <w:r w:rsidR="00147C16" w:rsidRPr="00A84A0B">
              <w:rPr>
                <w:rFonts w:ascii="Arial Narrow" w:hAnsi="Arial Narrow"/>
                <w:sz w:val="20"/>
                <w:szCs w:val="20"/>
              </w:rPr>
              <w:t>1</w:t>
            </w:r>
          </w:p>
        </w:tc>
        <w:tc>
          <w:tcPr>
            <w:tcW w:w="1170" w:type="pct"/>
            <w:shd w:val="clear" w:color="auto" w:fill="auto"/>
            <w:vAlign w:val="center"/>
          </w:tcPr>
          <w:p w:rsidR="00E65FEC" w:rsidRPr="00A84A0B" w:rsidRDefault="0061542E" w:rsidP="005939DA">
            <w:pPr>
              <w:jc w:val="center"/>
              <w:rPr>
                <w:rFonts w:ascii="Arial Narrow" w:hAnsi="Arial Narrow"/>
                <w:sz w:val="20"/>
                <w:szCs w:val="20"/>
              </w:rPr>
            </w:pPr>
            <w:r w:rsidRPr="00A84A0B">
              <w:rPr>
                <w:rFonts w:ascii="Arial Narrow" w:hAnsi="Arial Narrow"/>
                <w:sz w:val="20"/>
                <w:szCs w:val="20"/>
              </w:rPr>
              <w:t>R, OL</w:t>
            </w:r>
          </w:p>
          <w:p w:rsidR="00671F26" w:rsidRPr="00A84A0B" w:rsidRDefault="00DD1862" w:rsidP="005939DA">
            <w:pPr>
              <w:jc w:val="center"/>
              <w:rPr>
                <w:rFonts w:ascii="Arial Narrow" w:hAnsi="Arial Narrow"/>
                <w:sz w:val="20"/>
                <w:szCs w:val="20"/>
              </w:rPr>
            </w:pPr>
            <w:r w:rsidRPr="00A84A0B">
              <w:rPr>
                <w:rFonts w:ascii="Arial Narrow" w:hAnsi="Arial Narrow"/>
                <w:sz w:val="20"/>
                <w:szCs w:val="20"/>
              </w:rPr>
              <w:t>Median follow-up 5.3 months for nivolumab and 4.5 months for investigators choice chemotherapy group</w:t>
            </w:r>
          </w:p>
        </w:tc>
        <w:tc>
          <w:tcPr>
            <w:tcW w:w="450" w:type="pct"/>
            <w:shd w:val="clear" w:color="auto" w:fill="auto"/>
            <w:vAlign w:val="center"/>
          </w:tcPr>
          <w:p w:rsidR="00E65FEC" w:rsidRPr="00A84A0B" w:rsidRDefault="0061542E" w:rsidP="005939DA">
            <w:pPr>
              <w:jc w:val="center"/>
              <w:rPr>
                <w:rFonts w:ascii="Arial Narrow" w:hAnsi="Arial Narrow"/>
                <w:sz w:val="20"/>
                <w:szCs w:val="20"/>
              </w:rPr>
            </w:pPr>
            <w:r w:rsidRPr="00A84A0B">
              <w:rPr>
                <w:rFonts w:ascii="Arial Narrow" w:hAnsi="Arial Narrow"/>
                <w:sz w:val="20"/>
                <w:szCs w:val="20"/>
              </w:rPr>
              <w:t>Low for O</w:t>
            </w:r>
            <w:r w:rsidR="001B7266" w:rsidRPr="00A84A0B">
              <w:rPr>
                <w:rFonts w:ascii="Arial Narrow" w:hAnsi="Arial Narrow"/>
                <w:sz w:val="20"/>
                <w:szCs w:val="20"/>
              </w:rPr>
              <w:t>S</w:t>
            </w:r>
          </w:p>
        </w:tc>
        <w:tc>
          <w:tcPr>
            <w:tcW w:w="1079" w:type="pct"/>
            <w:shd w:val="clear" w:color="auto" w:fill="auto"/>
            <w:vAlign w:val="center"/>
          </w:tcPr>
          <w:p w:rsidR="00E65FEC" w:rsidRPr="00A84A0B" w:rsidRDefault="001B7266" w:rsidP="005939DA">
            <w:pPr>
              <w:jc w:val="center"/>
              <w:rPr>
                <w:rFonts w:ascii="Arial Narrow" w:hAnsi="Arial Narrow"/>
                <w:sz w:val="20"/>
                <w:szCs w:val="20"/>
              </w:rPr>
            </w:pPr>
            <w:r w:rsidRPr="00A84A0B">
              <w:rPr>
                <w:rFonts w:ascii="Arial Narrow" w:hAnsi="Arial Narrow"/>
                <w:sz w:val="20"/>
                <w:szCs w:val="20"/>
              </w:rPr>
              <w:t>Patients with recurrent or metastatic platinum-refractory squamous cell carcinoma of the head and neck</w:t>
            </w:r>
          </w:p>
        </w:tc>
        <w:tc>
          <w:tcPr>
            <w:tcW w:w="1300" w:type="pct"/>
            <w:shd w:val="clear" w:color="auto" w:fill="auto"/>
            <w:vAlign w:val="center"/>
          </w:tcPr>
          <w:p w:rsidR="00744544" w:rsidRPr="00A84A0B" w:rsidRDefault="00744544" w:rsidP="005939DA">
            <w:pPr>
              <w:rPr>
                <w:rFonts w:ascii="Arial Narrow" w:hAnsi="Arial Narrow"/>
                <w:sz w:val="20"/>
                <w:szCs w:val="20"/>
              </w:rPr>
            </w:pPr>
            <w:r w:rsidRPr="00A84A0B">
              <w:rPr>
                <w:rFonts w:ascii="Arial Narrow" w:hAnsi="Arial Narrow"/>
                <w:sz w:val="20"/>
                <w:szCs w:val="20"/>
              </w:rPr>
              <w:t>Overall survival (HR [95% CI]) in the following sub-groups:</w:t>
            </w:r>
          </w:p>
          <w:p w:rsidR="00744544" w:rsidRPr="00A84A0B" w:rsidRDefault="00744544" w:rsidP="005939DA">
            <w:pPr>
              <w:pStyle w:val="ListParagraph"/>
              <w:widowControl/>
              <w:numPr>
                <w:ilvl w:val="0"/>
                <w:numId w:val="14"/>
              </w:numPr>
              <w:ind w:left="255" w:hanging="255"/>
              <w:rPr>
                <w:rFonts w:ascii="Arial Narrow" w:hAnsi="Arial Narrow"/>
                <w:sz w:val="20"/>
              </w:rPr>
            </w:pPr>
            <w:r w:rsidRPr="00A84A0B">
              <w:rPr>
                <w:rFonts w:ascii="Arial Narrow" w:hAnsi="Arial Narrow"/>
                <w:sz w:val="20"/>
              </w:rPr>
              <w:t>&lt;65 years</w:t>
            </w:r>
          </w:p>
          <w:p w:rsidR="00744544" w:rsidRPr="00A84A0B" w:rsidRDefault="00744544" w:rsidP="005939DA">
            <w:pPr>
              <w:pStyle w:val="ListParagraph"/>
              <w:widowControl/>
              <w:numPr>
                <w:ilvl w:val="0"/>
                <w:numId w:val="14"/>
              </w:numPr>
              <w:ind w:left="255" w:hanging="255"/>
              <w:rPr>
                <w:rFonts w:ascii="Arial Narrow" w:hAnsi="Arial Narrow"/>
                <w:sz w:val="20"/>
              </w:rPr>
            </w:pPr>
            <w:r w:rsidRPr="00A84A0B">
              <w:rPr>
                <w:rFonts w:ascii="Arial Narrow" w:hAnsi="Arial Narrow"/>
                <w:sz w:val="20"/>
              </w:rPr>
              <w:t>≥65-&lt;75 years</w:t>
            </w:r>
          </w:p>
          <w:p w:rsidR="00744544" w:rsidRPr="00A84A0B" w:rsidRDefault="00744544" w:rsidP="005939DA">
            <w:pPr>
              <w:pStyle w:val="ListParagraph"/>
              <w:widowControl/>
              <w:numPr>
                <w:ilvl w:val="0"/>
                <w:numId w:val="14"/>
              </w:numPr>
              <w:ind w:left="255" w:hanging="255"/>
              <w:rPr>
                <w:rFonts w:ascii="Arial Narrow" w:hAnsi="Arial Narrow"/>
                <w:sz w:val="20"/>
              </w:rPr>
            </w:pPr>
            <w:r w:rsidRPr="00A84A0B">
              <w:rPr>
                <w:rFonts w:ascii="Arial Narrow" w:hAnsi="Arial Narrow"/>
                <w:sz w:val="20"/>
              </w:rPr>
              <w:t>≥75 years</w:t>
            </w:r>
          </w:p>
          <w:p w:rsidR="00E65FEC" w:rsidRPr="00A84A0B" w:rsidRDefault="00744544" w:rsidP="005939DA">
            <w:pPr>
              <w:pStyle w:val="ListParagraph"/>
              <w:widowControl/>
              <w:numPr>
                <w:ilvl w:val="0"/>
                <w:numId w:val="14"/>
              </w:numPr>
              <w:ind w:left="255" w:hanging="255"/>
              <w:rPr>
                <w:rFonts w:ascii="Arial Narrow" w:hAnsi="Arial Narrow"/>
                <w:sz w:val="20"/>
              </w:rPr>
            </w:pPr>
            <w:r w:rsidRPr="00A84A0B">
              <w:rPr>
                <w:rFonts w:ascii="Arial Narrow" w:hAnsi="Arial Narrow"/>
                <w:sz w:val="20"/>
              </w:rPr>
              <w:t>PD-L1 expression cut-off of 1%</w:t>
            </w:r>
          </w:p>
        </w:tc>
      </w:tr>
      <w:tr w:rsidR="00E65FEC" w:rsidRPr="00A84A0B" w:rsidTr="001B0279">
        <w:trPr>
          <w:cantSplit/>
        </w:trPr>
        <w:tc>
          <w:tcPr>
            <w:tcW w:w="5000" w:type="pct"/>
            <w:gridSpan w:val="6"/>
            <w:shd w:val="clear" w:color="auto" w:fill="auto"/>
          </w:tcPr>
          <w:p w:rsidR="00E65FEC" w:rsidRPr="00A84A0B" w:rsidRDefault="00E65FEC" w:rsidP="005939DA">
            <w:pPr>
              <w:rPr>
                <w:rFonts w:ascii="Arial Narrow" w:hAnsi="Arial Narrow"/>
                <w:sz w:val="20"/>
                <w:szCs w:val="20"/>
              </w:rPr>
            </w:pPr>
            <w:r w:rsidRPr="00A84A0B">
              <w:rPr>
                <w:rFonts w:ascii="Arial Narrow" w:hAnsi="Arial Narrow"/>
                <w:b/>
                <w:sz w:val="20"/>
              </w:rPr>
              <w:t>Direct randomised trials – PD pathway treatments for other cancer types</w:t>
            </w:r>
          </w:p>
        </w:tc>
      </w:tr>
      <w:tr w:rsidR="00AE521C" w:rsidRPr="00A84A0B" w:rsidTr="001B0279">
        <w:trPr>
          <w:cantSplit/>
        </w:trPr>
        <w:tc>
          <w:tcPr>
            <w:tcW w:w="746" w:type="pct"/>
            <w:shd w:val="clear" w:color="auto" w:fill="auto"/>
            <w:vAlign w:val="center"/>
          </w:tcPr>
          <w:p w:rsidR="00E65FEC" w:rsidRPr="00A84A0B" w:rsidRDefault="00E65FEC" w:rsidP="005939DA">
            <w:pPr>
              <w:rPr>
                <w:rFonts w:ascii="Arial Narrow" w:hAnsi="Arial Narrow"/>
                <w:sz w:val="20"/>
                <w:szCs w:val="20"/>
              </w:rPr>
            </w:pPr>
            <w:r w:rsidRPr="00A84A0B">
              <w:rPr>
                <w:rFonts w:ascii="Arial Narrow" w:hAnsi="Arial Narrow"/>
                <w:sz w:val="20"/>
              </w:rPr>
              <w:lastRenderedPageBreak/>
              <w:t>Keynote-0</w:t>
            </w:r>
            <w:r w:rsidR="001B7266" w:rsidRPr="00A84A0B">
              <w:rPr>
                <w:rFonts w:ascii="Arial Narrow" w:hAnsi="Arial Narrow"/>
                <w:sz w:val="20"/>
              </w:rPr>
              <w:t>0</w:t>
            </w:r>
            <w:r w:rsidRPr="00A84A0B">
              <w:rPr>
                <w:rFonts w:ascii="Arial Narrow" w:hAnsi="Arial Narrow"/>
                <w:sz w:val="20"/>
              </w:rPr>
              <w:t>6 (KN-0</w:t>
            </w:r>
            <w:r w:rsidR="001B7266" w:rsidRPr="00A84A0B">
              <w:rPr>
                <w:rFonts w:ascii="Arial Narrow" w:hAnsi="Arial Narrow"/>
                <w:sz w:val="20"/>
              </w:rPr>
              <w:t>0</w:t>
            </w:r>
            <w:r w:rsidRPr="00A84A0B">
              <w:rPr>
                <w:rFonts w:ascii="Arial Narrow" w:hAnsi="Arial Narrow"/>
                <w:sz w:val="20"/>
              </w:rPr>
              <w:t>6)</w:t>
            </w:r>
          </w:p>
        </w:tc>
        <w:tc>
          <w:tcPr>
            <w:tcW w:w="255" w:type="pct"/>
            <w:vAlign w:val="center"/>
          </w:tcPr>
          <w:p w:rsidR="00E65FEC" w:rsidRPr="00A84A0B" w:rsidRDefault="00884B0D" w:rsidP="005939DA">
            <w:pPr>
              <w:jc w:val="center"/>
              <w:rPr>
                <w:rFonts w:ascii="Arial Narrow" w:hAnsi="Arial Narrow"/>
                <w:sz w:val="20"/>
                <w:szCs w:val="20"/>
              </w:rPr>
            </w:pPr>
            <w:r w:rsidRPr="00A84A0B">
              <w:rPr>
                <w:rFonts w:ascii="Arial Narrow" w:hAnsi="Arial Narrow"/>
                <w:sz w:val="20"/>
                <w:szCs w:val="20"/>
              </w:rPr>
              <w:t>834</w:t>
            </w:r>
            <w:r w:rsidR="005E43EF" w:rsidRPr="00A84A0B">
              <w:rPr>
                <w:rFonts w:ascii="Arial Narrow" w:hAnsi="Arial Narrow"/>
                <w:sz w:val="20"/>
                <w:szCs w:val="20"/>
              </w:rPr>
              <w:t>*</w:t>
            </w:r>
          </w:p>
        </w:tc>
        <w:tc>
          <w:tcPr>
            <w:tcW w:w="1170" w:type="pct"/>
            <w:shd w:val="clear" w:color="auto" w:fill="auto"/>
            <w:vAlign w:val="center"/>
          </w:tcPr>
          <w:p w:rsidR="00E65FEC" w:rsidRPr="00A84A0B" w:rsidRDefault="0061542E" w:rsidP="005939DA">
            <w:pPr>
              <w:jc w:val="center"/>
              <w:rPr>
                <w:rFonts w:ascii="Arial Narrow" w:hAnsi="Arial Narrow"/>
                <w:sz w:val="20"/>
                <w:szCs w:val="20"/>
              </w:rPr>
            </w:pPr>
            <w:r w:rsidRPr="00A84A0B">
              <w:rPr>
                <w:rFonts w:ascii="Arial Narrow" w:hAnsi="Arial Narrow"/>
                <w:sz w:val="20"/>
                <w:szCs w:val="20"/>
              </w:rPr>
              <w:t>R, Controlled</w:t>
            </w:r>
          </w:p>
          <w:p w:rsidR="003F77E7" w:rsidRPr="00A84A0B" w:rsidRDefault="00FD23C4" w:rsidP="005939DA">
            <w:pPr>
              <w:jc w:val="center"/>
              <w:rPr>
                <w:rFonts w:ascii="Arial Narrow" w:hAnsi="Arial Narrow"/>
                <w:sz w:val="20"/>
                <w:szCs w:val="20"/>
              </w:rPr>
            </w:pPr>
            <w:r w:rsidRPr="00A84A0B">
              <w:rPr>
                <w:rFonts w:ascii="Arial Narrow" w:hAnsi="Arial Narrow"/>
                <w:sz w:val="20"/>
                <w:szCs w:val="20"/>
              </w:rPr>
              <w:t>Median follow-up 7.9 months</w:t>
            </w:r>
          </w:p>
        </w:tc>
        <w:tc>
          <w:tcPr>
            <w:tcW w:w="450" w:type="pct"/>
            <w:shd w:val="clear" w:color="auto" w:fill="auto"/>
            <w:vAlign w:val="center"/>
          </w:tcPr>
          <w:p w:rsidR="00E65FEC" w:rsidRPr="00A84A0B" w:rsidRDefault="0061542E" w:rsidP="005939DA">
            <w:pPr>
              <w:jc w:val="center"/>
              <w:rPr>
                <w:rFonts w:ascii="Arial Narrow" w:hAnsi="Arial Narrow"/>
                <w:sz w:val="20"/>
                <w:szCs w:val="20"/>
              </w:rPr>
            </w:pPr>
            <w:r w:rsidRPr="00A84A0B">
              <w:rPr>
                <w:rFonts w:ascii="Arial Narrow" w:hAnsi="Arial Narrow"/>
                <w:sz w:val="20"/>
                <w:szCs w:val="20"/>
              </w:rPr>
              <w:t>Low for OS</w:t>
            </w:r>
          </w:p>
        </w:tc>
        <w:tc>
          <w:tcPr>
            <w:tcW w:w="1079" w:type="pct"/>
            <w:shd w:val="clear" w:color="auto" w:fill="auto"/>
            <w:vAlign w:val="center"/>
          </w:tcPr>
          <w:p w:rsidR="00E65FEC" w:rsidRPr="00A84A0B" w:rsidRDefault="001B7266" w:rsidP="005939DA">
            <w:pPr>
              <w:jc w:val="center"/>
              <w:rPr>
                <w:rFonts w:ascii="Arial Narrow" w:hAnsi="Arial Narrow"/>
                <w:sz w:val="20"/>
                <w:szCs w:val="20"/>
              </w:rPr>
            </w:pPr>
            <w:r w:rsidRPr="00A84A0B">
              <w:rPr>
                <w:rFonts w:ascii="Arial Narrow" w:hAnsi="Arial Narrow"/>
                <w:sz w:val="20"/>
                <w:szCs w:val="20"/>
              </w:rPr>
              <w:t xml:space="preserve">Patients </w:t>
            </w:r>
            <w:r w:rsidR="00091CFA" w:rsidRPr="00A84A0B">
              <w:rPr>
                <w:rFonts w:ascii="Arial Narrow" w:hAnsi="Arial Narrow"/>
                <w:sz w:val="20"/>
                <w:szCs w:val="20"/>
              </w:rPr>
              <w:t>w</w:t>
            </w:r>
            <w:r w:rsidRPr="00A84A0B">
              <w:rPr>
                <w:rFonts w:ascii="Arial Narrow" w:hAnsi="Arial Narrow"/>
                <w:sz w:val="20"/>
                <w:szCs w:val="20"/>
              </w:rPr>
              <w:t>ith advanced melanoma</w:t>
            </w:r>
          </w:p>
        </w:tc>
        <w:tc>
          <w:tcPr>
            <w:tcW w:w="1300" w:type="pct"/>
            <w:shd w:val="clear" w:color="auto" w:fill="auto"/>
            <w:vAlign w:val="center"/>
          </w:tcPr>
          <w:p w:rsidR="00091CFA" w:rsidRPr="00A84A0B" w:rsidRDefault="00091CFA" w:rsidP="005939DA">
            <w:pPr>
              <w:rPr>
                <w:rFonts w:ascii="Arial Narrow" w:hAnsi="Arial Narrow"/>
                <w:sz w:val="20"/>
                <w:szCs w:val="20"/>
              </w:rPr>
            </w:pPr>
            <w:r w:rsidRPr="00A84A0B">
              <w:rPr>
                <w:rFonts w:ascii="Arial Narrow" w:hAnsi="Arial Narrow"/>
                <w:sz w:val="20"/>
                <w:szCs w:val="20"/>
              </w:rPr>
              <w:t xml:space="preserve">Overall survival (HR [95% CI]) in the following </w:t>
            </w:r>
            <w:r w:rsidR="00744544" w:rsidRPr="00A84A0B">
              <w:rPr>
                <w:rFonts w:ascii="Arial Narrow" w:hAnsi="Arial Narrow"/>
                <w:sz w:val="20"/>
                <w:szCs w:val="20"/>
              </w:rPr>
              <w:t xml:space="preserve">pre-defined </w:t>
            </w:r>
            <w:r w:rsidRPr="00A84A0B">
              <w:rPr>
                <w:rFonts w:ascii="Arial Narrow" w:hAnsi="Arial Narrow"/>
                <w:sz w:val="20"/>
                <w:szCs w:val="20"/>
              </w:rPr>
              <w:t>sub-groups:</w:t>
            </w:r>
          </w:p>
          <w:p w:rsidR="00091CFA" w:rsidRPr="00A84A0B" w:rsidRDefault="00091CFA" w:rsidP="005939DA">
            <w:pPr>
              <w:pStyle w:val="ListParagraph"/>
              <w:widowControl/>
              <w:numPr>
                <w:ilvl w:val="0"/>
                <w:numId w:val="15"/>
              </w:numPr>
              <w:ind w:left="255" w:hanging="255"/>
              <w:rPr>
                <w:rFonts w:ascii="Arial Narrow" w:hAnsi="Arial Narrow"/>
                <w:sz w:val="20"/>
              </w:rPr>
            </w:pPr>
            <w:r w:rsidRPr="00A84A0B">
              <w:rPr>
                <w:rFonts w:ascii="Arial Narrow" w:hAnsi="Arial Narrow"/>
                <w:sz w:val="20"/>
              </w:rPr>
              <w:t>&lt;65 years</w:t>
            </w:r>
          </w:p>
          <w:p w:rsidR="00E65FEC" w:rsidRPr="00A84A0B" w:rsidRDefault="00091CFA" w:rsidP="005939DA">
            <w:pPr>
              <w:pStyle w:val="ListParagraph"/>
              <w:widowControl/>
              <w:numPr>
                <w:ilvl w:val="0"/>
                <w:numId w:val="15"/>
              </w:numPr>
              <w:ind w:left="255" w:hanging="255"/>
              <w:rPr>
                <w:rFonts w:ascii="Arial Narrow" w:hAnsi="Arial Narrow"/>
                <w:sz w:val="20"/>
              </w:rPr>
            </w:pPr>
            <w:r w:rsidRPr="00A84A0B">
              <w:rPr>
                <w:rFonts w:ascii="Arial Narrow" w:hAnsi="Arial Narrow"/>
                <w:sz w:val="20"/>
              </w:rPr>
              <w:t>≥75 years</w:t>
            </w:r>
          </w:p>
          <w:p w:rsidR="00744544" w:rsidRPr="00A84A0B" w:rsidRDefault="00744544" w:rsidP="005939DA">
            <w:pPr>
              <w:pStyle w:val="ListParagraph"/>
              <w:widowControl/>
              <w:numPr>
                <w:ilvl w:val="0"/>
                <w:numId w:val="15"/>
              </w:numPr>
              <w:ind w:left="255" w:hanging="255"/>
              <w:rPr>
                <w:rFonts w:ascii="Arial Narrow" w:hAnsi="Arial Narrow"/>
                <w:sz w:val="20"/>
              </w:rPr>
            </w:pPr>
            <w:r w:rsidRPr="00A84A0B">
              <w:rPr>
                <w:rFonts w:ascii="Arial Narrow" w:hAnsi="Arial Narrow"/>
                <w:sz w:val="20"/>
              </w:rPr>
              <w:t>PD-L1 expression cut-off of 1%</w:t>
            </w:r>
          </w:p>
        </w:tc>
      </w:tr>
    </w:tbl>
    <w:p w:rsidR="00007118" w:rsidRPr="00A84A0B" w:rsidRDefault="00007118" w:rsidP="005939DA">
      <w:pPr>
        <w:pStyle w:val="ListParagraph"/>
        <w:widowControl/>
        <w:tabs>
          <w:tab w:val="left" w:pos="993"/>
        </w:tabs>
        <w:ind w:left="993" w:hanging="284"/>
        <w:rPr>
          <w:rFonts w:ascii="Arial Narrow" w:hAnsi="Arial Narrow"/>
          <w:sz w:val="18"/>
          <w:szCs w:val="18"/>
        </w:rPr>
      </w:pPr>
      <w:r w:rsidRPr="00A84A0B">
        <w:rPr>
          <w:rFonts w:ascii="Arial Narrow" w:hAnsi="Arial Narrow"/>
          <w:sz w:val="18"/>
          <w:szCs w:val="18"/>
        </w:rPr>
        <w:t>NR=not reported; OL=open-label, R=randomised, Tx=treatment</w:t>
      </w:r>
    </w:p>
    <w:p w:rsidR="00044DC8" w:rsidRPr="00A84A0B" w:rsidRDefault="005303C5" w:rsidP="005939DA">
      <w:pPr>
        <w:pStyle w:val="ListParagraph"/>
        <w:widowControl/>
        <w:tabs>
          <w:tab w:val="left" w:pos="993"/>
        </w:tabs>
        <w:ind w:left="993" w:hanging="284"/>
        <w:rPr>
          <w:rFonts w:ascii="Arial Narrow" w:hAnsi="Arial Narrow"/>
          <w:sz w:val="18"/>
          <w:szCs w:val="18"/>
        </w:rPr>
      </w:pPr>
      <w:r w:rsidRPr="00A84A0B">
        <w:rPr>
          <w:rFonts w:ascii="Arial Narrow" w:hAnsi="Arial Narrow"/>
          <w:sz w:val="18"/>
          <w:szCs w:val="18"/>
          <w:vertAlign w:val="superscript"/>
        </w:rPr>
        <w:t>a</w:t>
      </w:r>
      <w:r w:rsidRPr="00A84A0B">
        <w:rPr>
          <w:rFonts w:ascii="Arial Narrow" w:hAnsi="Arial Narrow"/>
          <w:sz w:val="18"/>
          <w:szCs w:val="18"/>
          <w:vertAlign w:val="superscript"/>
        </w:rPr>
        <w:tab/>
      </w:r>
      <w:r w:rsidRPr="00A84A0B">
        <w:rPr>
          <w:rFonts w:ascii="Arial Narrow" w:hAnsi="Arial Narrow"/>
          <w:sz w:val="18"/>
          <w:szCs w:val="18"/>
        </w:rPr>
        <w:t>Table 2, Executive summary of 5.06 nivolumab (squamous) COM 03-2016.docx</w:t>
      </w:r>
    </w:p>
    <w:p w:rsidR="00E65FEC" w:rsidRPr="00A84A0B" w:rsidRDefault="00E65FEC" w:rsidP="005939DA">
      <w:pPr>
        <w:pStyle w:val="ListParagraph"/>
        <w:widowControl/>
        <w:tabs>
          <w:tab w:val="left" w:pos="993"/>
        </w:tabs>
        <w:ind w:left="993" w:hanging="284"/>
        <w:rPr>
          <w:rFonts w:ascii="Arial Narrow" w:hAnsi="Arial Narrow"/>
          <w:sz w:val="18"/>
          <w:szCs w:val="18"/>
        </w:rPr>
      </w:pPr>
      <w:r w:rsidRPr="00A84A0B">
        <w:rPr>
          <w:rFonts w:ascii="Arial Narrow" w:hAnsi="Arial Narrow"/>
          <w:sz w:val="18"/>
          <w:szCs w:val="18"/>
          <w:vertAlign w:val="superscript"/>
        </w:rPr>
        <w:t>b</w:t>
      </w:r>
      <w:r w:rsidRPr="00A84A0B">
        <w:rPr>
          <w:rFonts w:ascii="Arial Narrow" w:hAnsi="Arial Narrow"/>
          <w:sz w:val="18"/>
          <w:szCs w:val="18"/>
        </w:rPr>
        <w:tab/>
        <w:t>Table 2, Executive summary of 5.07 nivolumab (non-squamous) COM 03-2016.docx</w:t>
      </w:r>
    </w:p>
    <w:p w:rsidR="005E43EF" w:rsidRPr="00A84A0B" w:rsidRDefault="005E43EF" w:rsidP="005939DA">
      <w:pPr>
        <w:pStyle w:val="ListParagraph"/>
        <w:widowControl/>
        <w:tabs>
          <w:tab w:val="left" w:pos="993"/>
        </w:tabs>
        <w:ind w:left="993" w:hanging="284"/>
        <w:rPr>
          <w:rFonts w:ascii="Arial Narrow" w:hAnsi="Arial Narrow"/>
          <w:sz w:val="18"/>
          <w:szCs w:val="18"/>
        </w:rPr>
      </w:pPr>
      <w:r w:rsidRPr="00A84A0B">
        <w:rPr>
          <w:rFonts w:ascii="Arial Narrow" w:hAnsi="Arial Narrow"/>
          <w:sz w:val="18"/>
          <w:szCs w:val="18"/>
        </w:rPr>
        <w:t>*</w:t>
      </w:r>
      <w:r w:rsidR="003532D9" w:rsidRPr="00A84A0B">
        <w:rPr>
          <w:rFonts w:ascii="Arial Narrow" w:hAnsi="Arial Narrow"/>
          <w:sz w:val="18"/>
          <w:szCs w:val="18"/>
        </w:rPr>
        <w:tab/>
      </w:r>
      <w:r w:rsidRPr="00A84A0B">
        <w:rPr>
          <w:rFonts w:ascii="Arial Narrow" w:hAnsi="Arial Narrow"/>
          <w:sz w:val="18"/>
          <w:szCs w:val="18"/>
        </w:rPr>
        <w:t xml:space="preserve">Based on information reported in </w:t>
      </w:r>
      <w:r w:rsidR="00EF340E" w:rsidRPr="00A84A0B">
        <w:rPr>
          <w:rFonts w:ascii="Arial Narrow" w:hAnsi="Arial Narrow"/>
          <w:sz w:val="18"/>
          <w:szCs w:val="18"/>
        </w:rPr>
        <w:t>Robert et al 2015</w:t>
      </w:r>
      <w:r w:rsidRPr="00A84A0B">
        <w:rPr>
          <w:rFonts w:ascii="Arial Narrow" w:hAnsi="Arial Narrow"/>
          <w:sz w:val="18"/>
          <w:szCs w:val="18"/>
        </w:rPr>
        <w:t>. Note: the PSD for nivolumab from the July 2016 PBAC meeting, reported 821 patients</w:t>
      </w:r>
    </w:p>
    <w:p w:rsidR="00A44F8D" w:rsidRPr="00A84A0B" w:rsidRDefault="00A44F8D" w:rsidP="005939DA">
      <w:pPr>
        <w:pStyle w:val="ListParagraph"/>
        <w:widowControl/>
        <w:tabs>
          <w:tab w:val="left" w:pos="993"/>
        </w:tabs>
        <w:ind w:left="993" w:hanging="284"/>
        <w:rPr>
          <w:rFonts w:ascii="Arial Narrow" w:hAnsi="Arial Narrow"/>
          <w:sz w:val="18"/>
          <w:szCs w:val="18"/>
        </w:rPr>
      </w:pPr>
      <w:r w:rsidRPr="00A84A0B">
        <w:rPr>
          <w:rFonts w:ascii="Arial Narrow" w:hAnsi="Arial Narrow"/>
          <w:sz w:val="18"/>
          <w:szCs w:val="18"/>
        </w:rPr>
        <w:t>Source: Compiled during the evaluation</w:t>
      </w:r>
    </w:p>
    <w:p w:rsidR="00BB7EC3" w:rsidRPr="00A84A0B" w:rsidRDefault="00BB7EC3" w:rsidP="005939DA">
      <w:pPr>
        <w:jc w:val="both"/>
        <w:rPr>
          <w:rFonts w:ascii="Arial" w:hAnsi="Arial"/>
          <w:sz w:val="22"/>
          <w:szCs w:val="22"/>
        </w:rPr>
      </w:pPr>
    </w:p>
    <w:p w:rsidR="003E29EE" w:rsidRPr="00A84A0B" w:rsidRDefault="00403F09" w:rsidP="005939DA">
      <w:pPr>
        <w:pStyle w:val="Heading2"/>
      </w:pPr>
      <w:r w:rsidRPr="00A84A0B">
        <w:t>PD-L1 expression</w:t>
      </w:r>
    </w:p>
    <w:p w:rsidR="00EC59D8" w:rsidRPr="00A84A0B" w:rsidRDefault="00EC59D8" w:rsidP="005939DA">
      <w:pPr>
        <w:rPr>
          <w:rFonts w:ascii="Arial" w:hAnsi="Arial" w:cs="Arial"/>
          <w:sz w:val="22"/>
          <w:szCs w:val="22"/>
        </w:rPr>
      </w:pPr>
    </w:p>
    <w:p w:rsidR="00EC59D8" w:rsidRPr="00A84A0B" w:rsidRDefault="00EC59D8" w:rsidP="005939DA">
      <w:pPr>
        <w:pStyle w:val="ListParagraph"/>
        <w:widowControl/>
        <w:numPr>
          <w:ilvl w:val="1"/>
          <w:numId w:val="1"/>
        </w:numPr>
        <w:rPr>
          <w:szCs w:val="22"/>
        </w:rPr>
      </w:pPr>
      <w:r w:rsidRPr="00A84A0B">
        <w:rPr>
          <w:szCs w:val="22"/>
        </w:rPr>
        <w:t xml:space="preserve">In-line with the suggestions made by the PBAC in its </w:t>
      </w:r>
      <w:r w:rsidR="00032FCE" w:rsidRPr="00A84A0B">
        <w:rPr>
          <w:szCs w:val="22"/>
        </w:rPr>
        <w:t xml:space="preserve">November 2016 </w:t>
      </w:r>
      <w:r w:rsidRPr="00A84A0B">
        <w:rPr>
          <w:szCs w:val="22"/>
        </w:rPr>
        <w:t xml:space="preserve">consideration of the nivolumab </w:t>
      </w:r>
      <w:r w:rsidR="006D38A9">
        <w:rPr>
          <w:szCs w:val="22"/>
        </w:rPr>
        <w:t>major</w:t>
      </w:r>
      <w:r w:rsidRPr="00A84A0B">
        <w:rPr>
          <w:szCs w:val="22"/>
        </w:rPr>
        <w:t xml:space="preserve"> re-submissions regarding the treatment effect of nivolumab based on PD-L1 expression levels, </w:t>
      </w:r>
      <w:r w:rsidR="00B84DE6" w:rsidRPr="00A84A0B">
        <w:rPr>
          <w:szCs w:val="22"/>
        </w:rPr>
        <w:t xml:space="preserve">the </w:t>
      </w:r>
      <w:r w:rsidRPr="00A84A0B">
        <w:rPr>
          <w:szCs w:val="22"/>
        </w:rPr>
        <w:t>minor re</w:t>
      </w:r>
      <w:r w:rsidR="00403F09" w:rsidRPr="00A84A0B">
        <w:rPr>
          <w:szCs w:val="22"/>
        </w:rPr>
        <w:t>-</w:t>
      </w:r>
      <w:r w:rsidRPr="00A84A0B">
        <w:rPr>
          <w:szCs w:val="22"/>
        </w:rPr>
        <w:t>submission presented the following:</w:t>
      </w:r>
    </w:p>
    <w:p w:rsidR="00C3504A" w:rsidRPr="00A84A0B" w:rsidRDefault="00C3504A" w:rsidP="005939DA">
      <w:pPr>
        <w:pStyle w:val="ListParagraph"/>
        <w:widowControl/>
        <w:numPr>
          <w:ilvl w:val="0"/>
          <w:numId w:val="19"/>
        </w:numPr>
        <w:ind w:left="993" w:hanging="284"/>
        <w:rPr>
          <w:szCs w:val="22"/>
        </w:rPr>
      </w:pPr>
      <w:r w:rsidRPr="00A84A0B">
        <w:rPr>
          <w:szCs w:val="22"/>
        </w:rPr>
        <w:t>A meta-analysis of the sub-groups of patients with PD-L1 expression &lt;1% or ≥1% in the nivolumab NSCLC trials (CA209-017 and -057).</w:t>
      </w:r>
    </w:p>
    <w:p w:rsidR="00C3504A" w:rsidRPr="00A84A0B" w:rsidRDefault="00C3504A" w:rsidP="005939DA">
      <w:pPr>
        <w:pStyle w:val="ListParagraph"/>
        <w:widowControl/>
        <w:numPr>
          <w:ilvl w:val="0"/>
          <w:numId w:val="19"/>
        </w:numPr>
        <w:ind w:left="993" w:hanging="284"/>
        <w:rPr>
          <w:szCs w:val="22"/>
        </w:rPr>
      </w:pPr>
      <w:r w:rsidRPr="00A84A0B">
        <w:rPr>
          <w:szCs w:val="22"/>
        </w:rPr>
        <w:t>A meta-analysis of the sub-groups of patients of patients with PD-L1 expression &lt;1% or ≥1% in the nivolumab trials (any indication), with the addition of two trials in melanoma (CA209-037 and -066), one trial in renal cell carcinoma (CA209-025) and one trial in head and neck cancer (CA209-141) to those in NSCLC (CA209-017 and -057).</w:t>
      </w:r>
    </w:p>
    <w:p w:rsidR="00C3504A" w:rsidRPr="00A84A0B" w:rsidRDefault="00C3504A" w:rsidP="005939DA">
      <w:pPr>
        <w:pStyle w:val="ListParagraph"/>
        <w:widowControl/>
        <w:numPr>
          <w:ilvl w:val="0"/>
          <w:numId w:val="19"/>
        </w:numPr>
        <w:ind w:left="993" w:hanging="284"/>
        <w:rPr>
          <w:szCs w:val="22"/>
        </w:rPr>
      </w:pPr>
      <w:r w:rsidRPr="00A84A0B">
        <w:rPr>
          <w:szCs w:val="22"/>
        </w:rPr>
        <w:t xml:space="preserve">A meta-analysis of the sub-groups of patients with PD-L1 expression &lt;1% or ≥1% in the nivolumab trials (any indication; CA209-017 and -057, -037, -066, -025, -141) with the addition of other PD-pathway treatment trials </w:t>
      </w:r>
      <w:r w:rsidR="00403F09" w:rsidRPr="00A84A0B">
        <w:rPr>
          <w:szCs w:val="22"/>
        </w:rPr>
        <w:t>(pembrolizumab [Keynote-006]).</w:t>
      </w:r>
    </w:p>
    <w:p w:rsidR="00C3504A" w:rsidRPr="00A84A0B" w:rsidRDefault="00C3504A" w:rsidP="005939DA">
      <w:pPr>
        <w:pStyle w:val="ListParagraph"/>
        <w:widowControl/>
        <w:numPr>
          <w:ilvl w:val="0"/>
          <w:numId w:val="19"/>
        </w:numPr>
        <w:ind w:left="993" w:hanging="284"/>
        <w:rPr>
          <w:szCs w:val="22"/>
        </w:rPr>
      </w:pPr>
      <w:r w:rsidRPr="00A84A0B">
        <w:rPr>
          <w:szCs w:val="22"/>
        </w:rPr>
        <w:t>Further meta-analysis of the sub-groups of patients with PD-L1 expression &lt;50% or ≥50% in two pembrolizumab trials (Keynote-010 and -024].</w:t>
      </w:r>
    </w:p>
    <w:p w:rsidR="00EC59D8" w:rsidRPr="00A84A0B" w:rsidRDefault="00EC59D8" w:rsidP="005939DA">
      <w:pPr>
        <w:rPr>
          <w:rFonts w:ascii="Arial" w:hAnsi="Arial" w:cs="Arial"/>
          <w:sz w:val="22"/>
          <w:szCs w:val="22"/>
        </w:rPr>
      </w:pPr>
    </w:p>
    <w:p w:rsidR="00C3504A" w:rsidRPr="00A84A0B" w:rsidRDefault="00C3504A" w:rsidP="005939DA">
      <w:pPr>
        <w:pStyle w:val="Heading2"/>
        <w:rPr>
          <w:rFonts w:cs="Arial"/>
          <w:szCs w:val="22"/>
        </w:rPr>
      </w:pPr>
      <w:r w:rsidRPr="00A84A0B">
        <w:rPr>
          <w:rFonts w:cs="Arial"/>
          <w:szCs w:val="22"/>
        </w:rPr>
        <w:t>Efficacy data (PD-L1)</w:t>
      </w:r>
    </w:p>
    <w:p w:rsidR="006A130A" w:rsidRPr="00A84A0B" w:rsidRDefault="006A130A" w:rsidP="005939DA">
      <w:pPr>
        <w:rPr>
          <w:rFonts w:ascii="Arial" w:hAnsi="Arial" w:cs="Arial"/>
          <w:sz w:val="22"/>
          <w:szCs w:val="22"/>
        </w:rPr>
      </w:pPr>
    </w:p>
    <w:p w:rsidR="006A130A" w:rsidRPr="00A84A0B" w:rsidRDefault="006A130A" w:rsidP="005939DA">
      <w:pPr>
        <w:pStyle w:val="ListParagraph"/>
        <w:widowControl/>
        <w:numPr>
          <w:ilvl w:val="1"/>
          <w:numId w:val="1"/>
        </w:numPr>
        <w:rPr>
          <w:szCs w:val="22"/>
        </w:rPr>
      </w:pPr>
      <w:r w:rsidRPr="00A84A0B">
        <w:rPr>
          <w:szCs w:val="22"/>
        </w:rPr>
        <w:t xml:space="preserve">The PBAC has previously accepted that no clear predictive effect of PD-L1 status on the comparative effectiveness of nivolumab was demonstrated in the pivotal clinical Trial CA209-017 [squamous NSCLC], therefore it would be appropriate to allow treatment for patients regardless of PD-L1 status (paragraph 7.3, 5.06 nivolumab </w:t>
      </w:r>
      <w:r w:rsidR="00576B8D">
        <w:rPr>
          <w:szCs w:val="22"/>
        </w:rPr>
        <w:t>PSD</w:t>
      </w:r>
      <w:r w:rsidRPr="00A84A0B">
        <w:rPr>
          <w:szCs w:val="22"/>
        </w:rPr>
        <w:t>, March 2016).</w:t>
      </w:r>
    </w:p>
    <w:p w:rsidR="006A130A" w:rsidRPr="00A84A0B" w:rsidRDefault="006A130A" w:rsidP="005939DA">
      <w:pPr>
        <w:rPr>
          <w:rFonts w:ascii="Arial" w:hAnsi="Arial" w:cs="Arial"/>
          <w:sz w:val="22"/>
          <w:szCs w:val="22"/>
        </w:rPr>
      </w:pPr>
    </w:p>
    <w:p w:rsidR="006A130A" w:rsidRPr="00A84A0B" w:rsidRDefault="006A130A" w:rsidP="005939DA">
      <w:pPr>
        <w:pStyle w:val="ListParagraph"/>
        <w:widowControl/>
        <w:numPr>
          <w:ilvl w:val="1"/>
          <w:numId w:val="1"/>
        </w:numPr>
        <w:rPr>
          <w:szCs w:val="22"/>
        </w:rPr>
      </w:pPr>
      <w:r w:rsidRPr="00A84A0B">
        <w:rPr>
          <w:szCs w:val="22"/>
        </w:rPr>
        <w:t xml:space="preserve">The PBAC </w:t>
      </w:r>
      <w:r w:rsidR="003C068E" w:rsidRPr="00A84A0B">
        <w:rPr>
          <w:szCs w:val="22"/>
        </w:rPr>
        <w:t xml:space="preserve">previously </w:t>
      </w:r>
      <w:r w:rsidRPr="00A84A0B">
        <w:rPr>
          <w:szCs w:val="22"/>
        </w:rPr>
        <w:t xml:space="preserve">considered the evidence for treatment effect variation by PD-L1 status in Trial CA209-057 [non-squamous NSCLC], noting that nivolumab was associated with a median OS more than twice than that observed for docetaxel in PD-L1 positive patients, however the median OS were similar for nivolumab and docetaxel in PD-L1 negative patients. The PBAC concluded that this qualitative difference in clinical benefit constituted a signal suggesting important treatment effect variation according to PD-L1 testing as conducted in this trial (paragraph 7.7, 5.07 nivolumab </w:t>
      </w:r>
      <w:r w:rsidR="00576B8D">
        <w:rPr>
          <w:szCs w:val="22"/>
        </w:rPr>
        <w:t>PSD</w:t>
      </w:r>
      <w:r w:rsidRPr="00A84A0B">
        <w:rPr>
          <w:szCs w:val="22"/>
        </w:rPr>
        <w:t>, March 2016).</w:t>
      </w:r>
    </w:p>
    <w:p w:rsidR="006A130A" w:rsidRPr="00A84A0B" w:rsidRDefault="006A130A" w:rsidP="005939DA">
      <w:pPr>
        <w:rPr>
          <w:rFonts w:ascii="Arial" w:hAnsi="Arial" w:cs="Arial"/>
          <w:sz w:val="22"/>
          <w:szCs w:val="22"/>
        </w:rPr>
      </w:pPr>
    </w:p>
    <w:p w:rsidR="006A130A" w:rsidRPr="00A84A0B" w:rsidRDefault="006A130A" w:rsidP="005939DA">
      <w:pPr>
        <w:pStyle w:val="ListParagraph"/>
        <w:widowControl/>
        <w:numPr>
          <w:ilvl w:val="1"/>
          <w:numId w:val="1"/>
        </w:numPr>
        <w:rPr>
          <w:szCs w:val="22"/>
        </w:rPr>
      </w:pPr>
      <w:r w:rsidRPr="00A84A0B">
        <w:rPr>
          <w:szCs w:val="22"/>
        </w:rPr>
        <w:lastRenderedPageBreak/>
        <w:t>Based on the concerns expressed regarding the potential predictive value of PD-L1 status among those with non-squamous NSCLC in Trial CA209-057, the minor re-submission conducted an overall survival sensitivity analysis of all randomised subjects alive at 3 months for the sub-group of patients with no tumour PD-L1 expression (HR</w:t>
      </w:r>
      <w:r w:rsidR="006D0185" w:rsidRPr="00A84A0B">
        <w:rPr>
          <w:szCs w:val="22"/>
        </w:rPr>
        <w:t>=</w:t>
      </w:r>
      <w:r w:rsidR="00653F4E">
        <w:rPr>
          <w:noProof/>
          <w:color w:val="000000"/>
          <w:szCs w:val="22"/>
          <w:highlight w:val="black"/>
        </w:rPr>
        <w:t>''''''''''''</w:t>
      </w:r>
      <w:r w:rsidRPr="00A84A0B">
        <w:rPr>
          <w:szCs w:val="22"/>
        </w:rPr>
        <w:t xml:space="preserve">; 95% </w:t>
      </w:r>
      <w:r w:rsidR="00653F4E">
        <w:rPr>
          <w:noProof/>
          <w:color w:val="000000"/>
          <w:szCs w:val="22"/>
          <w:highlight w:val="black"/>
        </w:rPr>
        <w:t>''''''''''''</w:t>
      </w:r>
      <w:r w:rsidRPr="00A84A0B">
        <w:rPr>
          <w:szCs w:val="22"/>
        </w:rPr>
        <w:t xml:space="preserve">, </w:t>
      </w:r>
      <w:r w:rsidR="00653F4E">
        <w:rPr>
          <w:noProof/>
          <w:color w:val="000000"/>
          <w:szCs w:val="22"/>
          <w:highlight w:val="black"/>
        </w:rPr>
        <w:t>''''''''''</w:t>
      </w:r>
      <w:r w:rsidRPr="00A84A0B">
        <w:rPr>
          <w:szCs w:val="22"/>
        </w:rPr>
        <w:t>; n=</w:t>
      </w:r>
      <w:r w:rsidR="00653F4E">
        <w:rPr>
          <w:noProof/>
          <w:color w:val="000000"/>
          <w:szCs w:val="22"/>
          <w:highlight w:val="black"/>
        </w:rPr>
        <w:t>''''''''''</w:t>
      </w:r>
      <w:r w:rsidRPr="00A84A0B">
        <w:rPr>
          <w:szCs w:val="22"/>
        </w:rPr>
        <w:t>) and provided a comparison to all randomised subjects with no PD-L1 expression (HR=</w:t>
      </w:r>
      <w:r w:rsidR="00653F4E">
        <w:rPr>
          <w:noProof/>
          <w:color w:val="000000"/>
          <w:szCs w:val="22"/>
          <w:highlight w:val="black"/>
        </w:rPr>
        <w:t>''''''''''</w:t>
      </w:r>
      <w:r w:rsidRPr="00A84A0B">
        <w:rPr>
          <w:szCs w:val="22"/>
        </w:rPr>
        <w:t xml:space="preserve">; 95% CI: </w:t>
      </w:r>
      <w:r w:rsidR="00653F4E">
        <w:rPr>
          <w:noProof/>
          <w:color w:val="000000"/>
          <w:szCs w:val="22"/>
          <w:highlight w:val="black"/>
        </w:rPr>
        <w:t>''''''''''''</w:t>
      </w:r>
      <w:r w:rsidRPr="00A84A0B">
        <w:rPr>
          <w:szCs w:val="22"/>
        </w:rPr>
        <w:t xml:space="preserve">, </w:t>
      </w:r>
      <w:r w:rsidR="00653F4E">
        <w:rPr>
          <w:noProof/>
          <w:color w:val="000000"/>
          <w:szCs w:val="22"/>
          <w:highlight w:val="black"/>
        </w:rPr>
        <w:t>'''''''''''</w:t>
      </w:r>
      <w:r w:rsidRPr="00A84A0B">
        <w:rPr>
          <w:szCs w:val="22"/>
        </w:rPr>
        <w:t>; n=</w:t>
      </w:r>
      <w:r w:rsidR="00653F4E">
        <w:rPr>
          <w:noProof/>
          <w:color w:val="000000"/>
          <w:szCs w:val="22"/>
          <w:highlight w:val="black"/>
        </w:rPr>
        <w:t>''''''''''</w:t>
      </w:r>
      <w:r w:rsidRPr="00A84A0B">
        <w:rPr>
          <w:szCs w:val="22"/>
        </w:rPr>
        <w:t>), indicating that PD-L1 negative patients alive 3 months post treatment initiation derive a clinically significant and clinically relevant OS benefit from nivolumab. Exploration of baseline characteristics among PD-L1 negative patients dying and those not dying less than 3 months post treatment initiation signalled an imbalance in ECOG performance</w:t>
      </w:r>
      <w:r w:rsidR="001F152B" w:rsidRPr="00A84A0B">
        <w:rPr>
          <w:szCs w:val="22"/>
        </w:rPr>
        <w:t>-</w:t>
      </w:r>
      <w:r w:rsidRPr="00A84A0B">
        <w:rPr>
          <w:szCs w:val="22"/>
        </w:rPr>
        <w:t>status between the groups, with a greater proportion of those experiencing early events having an ECOG</w:t>
      </w:r>
      <w:r w:rsidR="001F152B" w:rsidRPr="00A84A0B">
        <w:rPr>
          <w:szCs w:val="22"/>
        </w:rPr>
        <w:t xml:space="preserve"> performance-status</w:t>
      </w:r>
      <w:r w:rsidRPr="00A84A0B">
        <w:rPr>
          <w:szCs w:val="22"/>
        </w:rPr>
        <w:t xml:space="preserve"> of 1 (rather than 0).</w:t>
      </w:r>
    </w:p>
    <w:p w:rsidR="006A130A" w:rsidRPr="00A84A0B" w:rsidRDefault="006A130A" w:rsidP="005939DA">
      <w:pPr>
        <w:rPr>
          <w:rFonts w:ascii="Arial" w:hAnsi="Arial" w:cs="Arial"/>
          <w:sz w:val="22"/>
          <w:szCs w:val="22"/>
        </w:rPr>
      </w:pPr>
    </w:p>
    <w:p w:rsidR="006A130A" w:rsidRPr="00A84A0B" w:rsidRDefault="00A92FB9" w:rsidP="005939DA">
      <w:pPr>
        <w:pStyle w:val="ListParagraph"/>
        <w:widowControl/>
        <w:numPr>
          <w:ilvl w:val="1"/>
          <w:numId w:val="1"/>
        </w:numPr>
        <w:rPr>
          <w:szCs w:val="22"/>
        </w:rPr>
      </w:pPr>
      <w:r w:rsidRPr="00A84A0B">
        <w:rPr>
          <w:szCs w:val="22"/>
        </w:rPr>
        <w:t>Table 3</w:t>
      </w:r>
      <w:r w:rsidR="006A130A" w:rsidRPr="00A84A0B">
        <w:rPr>
          <w:szCs w:val="22"/>
        </w:rPr>
        <w:t xml:space="preserve"> presents the overall survival (HR [95% CI]) reported for various pre</w:t>
      </w:r>
      <w:r w:rsidR="00032FCE" w:rsidRPr="00A84A0B">
        <w:rPr>
          <w:szCs w:val="22"/>
        </w:rPr>
        <w:t>-</w:t>
      </w:r>
      <w:r w:rsidR="006A130A" w:rsidRPr="00A84A0B">
        <w:rPr>
          <w:szCs w:val="22"/>
        </w:rPr>
        <w:t xml:space="preserve">defined </w:t>
      </w:r>
      <w:r w:rsidR="006A130A" w:rsidRPr="00A84A0B">
        <w:rPr>
          <w:szCs w:val="22"/>
          <w:u w:val="single"/>
        </w:rPr>
        <w:t>subgroups based on PD-L1 expression</w:t>
      </w:r>
      <w:r w:rsidR="006A130A" w:rsidRPr="00A84A0B">
        <w:rPr>
          <w:szCs w:val="22"/>
        </w:rPr>
        <w:t xml:space="preserve"> in the trials and subsequent meta</w:t>
      </w:r>
      <w:r w:rsidR="00032FCE" w:rsidRPr="00A84A0B">
        <w:rPr>
          <w:szCs w:val="22"/>
        </w:rPr>
        <w:t>-</w:t>
      </w:r>
      <w:r w:rsidR="006A130A" w:rsidRPr="00A84A0B">
        <w:rPr>
          <w:szCs w:val="22"/>
        </w:rPr>
        <w:t>analyses, with accom</w:t>
      </w:r>
      <w:r w:rsidR="00403F09" w:rsidRPr="00A84A0B">
        <w:rPr>
          <w:szCs w:val="22"/>
        </w:rPr>
        <w:t>panying tests for interaction.</w:t>
      </w:r>
    </w:p>
    <w:p w:rsidR="005B3889" w:rsidRPr="00A84A0B" w:rsidRDefault="005B3889" w:rsidP="005939DA">
      <w:pPr>
        <w:rPr>
          <w:rFonts w:ascii="Arial" w:hAnsi="Arial" w:cs="Arial"/>
          <w:snapToGrid w:val="0"/>
          <w:sz w:val="22"/>
          <w:szCs w:val="22"/>
          <w:lang w:eastAsia="en-US"/>
        </w:rPr>
      </w:pPr>
    </w:p>
    <w:p w:rsidR="005939DA" w:rsidRDefault="005939DA" w:rsidP="005939DA">
      <w:pPr>
        <w:rPr>
          <w:rFonts w:ascii="Arial Narrow" w:hAnsi="Arial Narrow" w:cs="Arial"/>
          <w:b/>
          <w:snapToGrid w:val="0"/>
          <w:sz w:val="20"/>
          <w:szCs w:val="20"/>
          <w:lang w:eastAsia="en-US"/>
        </w:rPr>
      </w:pPr>
      <w:r>
        <w:rPr>
          <w:rFonts w:ascii="Arial Narrow" w:hAnsi="Arial Narrow"/>
          <w:b/>
          <w:sz w:val="20"/>
        </w:rPr>
        <w:br w:type="page"/>
      </w:r>
    </w:p>
    <w:p w:rsidR="006A130A" w:rsidRPr="00A84A0B" w:rsidRDefault="00A92FB9" w:rsidP="005939DA">
      <w:pPr>
        <w:pStyle w:val="ListParagraph"/>
        <w:widowControl/>
        <w:ind w:left="709"/>
        <w:rPr>
          <w:rFonts w:ascii="Arial Narrow" w:hAnsi="Arial Narrow"/>
          <w:b/>
          <w:sz w:val="20"/>
        </w:rPr>
      </w:pPr>
      <w:r w:rsidRPr="00A84A0B">
        <w:rPr>
          <w:rFonts w:ascii="Arial Narrow" w:hAnsi="Arial Narrow"/>
          <w:b/>
          <w:sz w:val="20"/>
        </w:rPr>
        <w:lastRenderedPageBreak/>
        <w:t>Table 3</w:t>
      </w:r>
      <w:r w:rsidR="006A130A" w:rsidRPr="00A84A0B">
        <w:rPr>
          <w:rFonts w:ascii="Arial Narrow" w:hAnsi="Arial Narrow"/>
          <w:b/>
          <w:sz w:val="20"/>
        </w:rPr>
        <w:t>: Overall survival (HR [95% CI]) reported in the pre-defined sub-groups by PD-L1 expression as reported in the trials</w:t>
      </w:r>
    </w:p>
    <w:tbl>
      <w:tblPr>
        <w:tblStyle w:val="TableGrid"/>
        <w:tblW w:w="0" w:type="auto"/>
        <w:tblInd w:w="704" w:type="dxa"/>
        <w:tblCellMar>
          <w:left w:w="28" w:type="dxa"/>
          <w:right w:w="28" w:type="dxa"/>
        </w:tblCellMar>
        <w:tblLook w:val="04A0" w:firstRow="1" w:lastRow="0" w:firstColumn="1" w:lastColumn="0" w:noHBand="0" w:noVBand="1"/>
        <w:tblCaption w:val="Table 3: Overall survival (HR [95% CI]) reported in the pre-defined sub-groups by PD-L1 expression as reported in the trials"/>
      </w:tblPr>
      <w:tblGrid>
        <w:gridCol w:w="708"/>
        <w:gridCol w:w="2118"/>
        <w:gridCol w:w="1013"/>
        <w:gridCol w:w="969"/>
        <w:gridCol w:w="1272"/>
        <w:gridCol w:w="1273"/>
        <w:gridCol w:w="959"/>
      </w:tblGrid>
      <w:tr w:rsidR="006A130A" w:rsidRPr="00A84A0B" w:rsidTr="005939DA">
        <w:trPr>
          <w:trHeight w:val="397"/>
          <w:tblHeader/>
        </w:trPr>
        <w:tc>
          <w:tcPr>
            <w:tcW w:w="708" w:type="dxa"/>
            <w:vMerge w:val="restart"/>
            <w:shd w:val="clear" w:color="auto" w:fill="D9D9D9" w:themeFill="background1" w:themeFillShade="D9"/>
            <w:vAlign w:val="center"/>
          </w:tcPr>
          <w:p w:rsidR="006A130A" w:rsidRPr="00A84A0B" w:rsidRDefault="006A130A" w:rsidP="005939DA">
            <w:pPr>
              <w:rPr>
                <w:rFonts w:ascii="Arial Narrow" w:hAnsi="Arial Narrow"/>
                <w:b/>
                <w:sz w:val="20"/>
              </w:rPr>
            </w:pPr>
            <w:r w:rsidRPr="00A84A0B">
              <w:rPr>
                <w:rFonts w:ascii="Arial Narrow" w:hAnsi="Arial Narrow"/>
                <w:b/>
                <w:sz w:val="20"/>
              </w:rPr>
              <w:t>Trial</w:t>
            </w:r>
          </w:p>
        </w:tc>
        <w:tc>
          <w:tcPr>
            <w:tcW w:w="2118" w:type="dxa"/>
            <w:vMerge w:val="restart"/>
            <w:tcBorders>
              <w:right w:val="single" w:sz="4" w:space="0" w:color="auto"/>
            </w:tcBorders>
            <w:shd w:val="clear" w:color="auto" w:fill="D9D9D9" w:themeFill="background1" w:themeFillShade="D9"/>
            <w:vAlign w:val="center"/>
          </w:tcPr>
          <w:p w:rsidR="006A130A" w:rsidRPr="00A84A0B" w:rsidRDefault="006A130A" w:rsidP="005939DA">
            <w:pPr>
              <w:jc w:val="center"/>
              <w:rPr>
                <w:rFonts w:ascii="Arial Narrow" w:hAnsi="Arial Narrow"/>
                <w:b/>
                <w:sz w:val="20"/>
              </w:rPr>
            </w:pPr>
            <w:r w:rsidRPr="00A84A0B">
              <w:rPr>
                <w:rFonts w:ascii="Arial Narrow" w:hAnsi="Arial Narrow"/>
                <w:b/>
                <w:sz w:val="20"/>
              </w:rPr>
              <w:t>Indication</w:t>
            </w:r>
          </w:p>
        </w:tc>
        <w:tc>
          <w:tcPr>
            <w:tcW w:w="1013" w:type="dxa"/>
            <w:vMerge w:val="restart"/>
            <w:tcBorders>
              <w:left w:val="single" w:sz="4" w:space="0" w:color="auto"/>
            </w:tcBorders>
            <w:shd w:val="clear" w:color="auto" w:fill="D9D9D9" w:themeFill="background1" w:themeFillShade="D9"/>
            <w:vAlign w:val="center"/>
          </w:tcPr>
          <w:p w:rsidR="006A130A" w:rsidRPr="00A84A0B" w:rsidRDefault="006A130A" w:rsidP="005939DA">
            <w:pPr>
              <w:jc w:val="center"/>
              <w:rPr>
                <w:rFonts w:ascii="Arial Narrow" w:hAnsi="Arial Narrow"/>
                <w:b/>
                <w:sz w:val="20"/>
              </w:rPr>
            </w:pPr>
            <w:r w:rsidRPr="00A84A0B">
              <w:rPr>
                <w:rFonts w:ascii="Arial Narrow" w:hAnsi="Arial Narrow"/>
                <w:b/>
                <w:sz w:val="20"/>
              </w:rPr>
              <w:t xml:space="preserve">Comparison </w:t>
            </w:r>
          </w:p>
        </w:tc>
        <w:tc>
          <w:tcPr>
            <w:tcW w:w="969" w:type="dxa"/>
            <w:vMerge w:val="restart"/>
            <w:tcBorders>
              <w:left w:val="single" w:sz="4" w:space="0" w:color="auto"/>
            </w:tcBorders>
            <w:shd w:val="clear" w:color="auto" w:fill="D9D9D9" w:themeFill="background1" w:themeFillShade="D9"/>
            <w:vAlign w:val="center"/>
          </w:tcPr>
          <w:p w:rsidR="006A130A" w:rsidRPr="00A84A0B" w:rsidRDefault="006A130A" w:rsidP="005939DA">
            <w:pPr>
              <w:jc w:val="center"/>
              <w:rPr>
                <w:rFonts w:ascii="Arial Narrow" w:hAnsi="Arial Narrow"/>
                <w:b/>
                <w:sz w:val="20"/>
                <w:vertAlign w:val="superscript"/>
              </w:rPr>
            </w:pPr>
            <w:r w:rsidRPr="00A84A0B">
              <w:rPr>
                <w:rFonts w:ascii="Arial Narrow" w:hAnsi="Arial Narrow"/>
                <w:b/>
                <w:sz w:val="20"/>
              </w:rPr>
              <w:t>N (%)</w:t>
            </w:r>
            <w:r w:rsidRPr="00A84A0B">
              <w:rPr>
                <w:rFonts w:ascii="Arial Narrow" w:hAnsi="Arial Narrow"/>
                <w:b/>
                <w:sz w:val="20"/>
                <w:vertAlign w:val="superscript"/>
              </w:rPr>
              <w:t>a</w:t>
            </w:r>
          </w:p>
        </w:tc>
        <w:tc>
          <w:tcPr>
            <w:tcW w:w="2545" w:type="dxa"/>
            <w:gridSpan w:val="2"/>
            <w:shd w:val="clear" w:color="auto" w:fill="D9D9D9" w:themeFill="background1" w:themeFillShade="D9"/>
            <w:vAlign w:val="center"/>
          </w:tcPr>
          <w:p w:rsidR="006A130A" w:rsidRPr="00A84A0B" w:rsidRDefault="006A130A" w:rsidP="005939DA">
            <w:pPr>
              <w:jc w:val="center"/>
              <w:rPr>
                <w:rFonts w:ascii="Arial Narrow" w:hAnsi="Arial Narrow"/>
                <w:b/>
                <w:sz w:val="20"/>
              </w:rPr>
            </w:pPr>
            <w:r w:rsidRPr="00A84A0B">
              <w:rPr>
                <w:rFonts w:ascii="Arial Narrow" w:hAnsi="Arial Narrow"/>
                <w:b/>
                <w:sz w:val="20"/>
              </w:rPr>
              <w:t>HR (95% CI) for OS</w:t>
            </w:r>
          </w:p>
        </w:tc>
        <w:tc>
          <w:tcPr>
            <w:tcW w:w="959" w:type="dxa"/>
            <w:vMerge w:val="restart"/>
            <w:shd w:val="clear" w:color="auto" w:fill="D9D9D9" w:themeFill="background1" w:themeFillShade="D9"/>
            <w:vAlign w:val="center"/>
          </w:tcPr>
          <w:p w:rsidR="006A130A" w:rsidRPr="00A84A0B" w:rsidRDefault="006A130A" w:rsidP="005939DA">
            <w:pPr>
              <w:jc w:val="center"/>
              <w:rPr>
                <w:rFonts w:ascii="Arial Narrow" w:hAnsi="Arial Narrow"/>
                <w:b/>
                <w:sz w:val="20"/>
              </w:rPr>
            </w:pPr>
            <w:r w:rsidRPr="00A84A0B">
              <w:rPr>
                <w:rFonts w:ascii="Arial Narrow" w:hAnsi="Arial Narrow"/>
                <w:b/>
                <w:sz w:val="20"/>
              </w:rPr>
              <w:t>Test for interaction*</w:t>
            </w:r>
          </w:p>
        </w:tc>
      </w:tr>
      <w:tr w:rsidR="006A130A" w:rsidRPr="00A84A0B" w:rsidTr="005939DA">
        <w:trPr>
          <w:trHeight w:val="397"/>
          <w:tblHeader/>
        </w:trPr>
        <w:tc>
          <w:tcPr>
            <w:tcW w:w="708" w:type="dxa"/>
            <w:vMerge/>
          </w:tcPr>
          <w:p w:rsidR="006A130A" w:rsidRPr="00A84A0B" w:rsidRDefault="006A130A" w:rsidP="005939DA">
            <w:pPr>
              <w:rPr>
                <w:rFonts w:ascii="Arial Narrow" w:hAnsi="Arial Narrow"/>
                <w:b/>
                <w:sz w:val="20"/>
              </w:rPr>
            </w:pPr>
          </w:p>
        </w:tc>
        <w:tc>
          <w:tcPr>
            <w:tcW w:w="2118" w:type="dxa"/>
            <w:vMerge/>
            <w:tcBorders>
              <w:right w:val="single" w:sz="4" w:space="0" w:color="auto"/>
            </w:tcBorders>
          </w:tcPr>
          <w:p w:rsidR="006A130A" w:rsidRPr="00A84A0B" w:rsidRDefault="006A130A" w:rsidP="005939DA">
            <w:pPr>
              <w:jc w:val="center"/>
              <w:rPr>
                <w:rFonts w:ascii="Arial Narrow" w:hAnsi="Arial Narrow"/>
                <w:b/>
                <w:sz w:val="20"/>
              </w:rPr>
            </w:pPr>
          </w:p>
        </w:tc>
        <w:tc>
          <w:tcPr>
            <w:tcW w:w="1013" w:type="dxa"/>
            <w:vMerge/>
            <w:tcBorders>
              <w:left w:val="single" w:sz="4" w:space="0" w:color="auto"/>
            </w:tcBorders>
          </w:tcPr>
          <w:p w:rsidR="006A130A" w:rsidRPr="00A84A0B" w:rsidRDefault="006A130A" w:rsidP="005939DA">
            <w:pPr>
              <w:jc w:val="center"/>
              <w:rPr>
                <w:rFonts w:ascii="Arial Narrow" w:hAnsi="Arial Narrow"/>
                <w:b/>
                <w:sz w:val="20"/>
              </w:rPr>
            </w:pPr>
          </w:p>
        </w:tc>
        <w:tc>
          <w:tcPr>
            <w:tcW w:w="969" w:type="dxa"/>
            <w:vMerge/>
            <w:tcBorders>
              <w:left w:val="single" w:sz="4" w:space="0" w:color="auto"/>
            </w:tcBorders>
          </w:tcPr>
          <w:p w:rsidR="006A130A" w:rsidRPr="00A84A0B" w:rsidRDefault="006A130A" w:rsidP="005939DA">
            <w:pPr>
              <w:jc w:val="center"/>
              <w:rPr>
                <w:rFonts w:ascii="Arial Narrow" w:hAnsi="Arial Narrow"/>
                <w:b/>
                <w:sz w:val="20"/>
              </w:rPr>
            </w:pPr>
          </w:p>
        </w:tc>
        <w:tc>
          <w:tcPr>
            <w:tcW w:w="1272" w:type="dxa"/>
            <w:shd w:val="clear" w:color="auto" w:fill="D9D9D9" w:themeFill="background1" w:themeFillShade="D9"/>
            <w:vAlign w:val="center"/>
          </w:tcPr>
          <w:p w:rsidR="006A130A" w:rsidRPr="00A84A0B" w:rsidRDefault="006A130A" w:rsidP="005939DA">
            <w:pPr>
              <w:jc w:val="center"/>
              <w:rPr>
                <w:rFonts w:ascii="Arial Narrow" w:hAnsi="Arial Narrow"/>
                <w:b/>
                <w:sz w:val="20"/>
              </w:rPr>
            </w:pPr>
            <w:r w:rsidRPr="00A84A0B">
              <w:rPr>
                <w:rFonts w:ascii="Arial Narrow" w:hAnsi="Arial Narrow"/>
                <w:b/>
                <w:sz w:val="20"/>
              </w:rPr>
              <w:t>PD-L1 &lt;1%</w:t>
            </w:r>
          </w:p>
        </w:tc>
        <w:tc>
          <w:tcPr>
            <w:tcW w:w="1273" w:type="dxa"/>
            <w:shd w:val="clear" w:color="auto" w:fill="D9D9D9" w:themeFill="background1" w:themeFillShade="D9"/>
            <w:vAlign w:val="center"/>
          </w:tcPr>
          <w:p w:rsidR="006A130A" w:rsidRPr="00A84A0B" w:rsidRDefault="006A130A" w:rsidP="005939DA">
            <w:pPr>
              <w:jc w:val="center"/>
              <w:rPr>
                <w:rFonts w:ascii="Arial Narrow" w:hAnsi="Arial Narrow"/>
                <w:b/>
                <w:sz w:val="20"/>
              </w:rPr>
            </w:pPr>
            <w:r w:rsidRPr="00A84A0B">
              <w:rPr>
                <w:rFonts w:ascii="Arial Narrow" w:hAnsi="Arial Narrow"/>
                <w:b/>
                <w:sz w:val="20"/>
              </w:rPr>
              <w:t>PD-L1 ≥1%</w:t>
            </w:r>
          </w:p>
        </w:tc>
        <w:tc>
          <w:tcPr>
            <w:tcW w:w="959" w:type="dxa"/>
            <w:vMerge/>
            <w:vAlign w:val="center"/>
          </w:tcPr>
          <w:p w:rsidR="006A130A" w:rsidRPr="00A84A0B" w:rsidRDefault="006A130A" w:rsidP="005939DA">
            <w:pPr>
              <w:jc w:val="center"/>
              <w:rPr>
                <w:rFonts w:ascii="Arial Narrow" w:hAnsi="Arial Narrow"/>
                <w:b/>
                <w:sz w:val="20"/>
              </w:rPr>
            </w:pPr>
          </w:p>
        </w:tc>
      </w:tr>
      <w:tr w:rsidR="006A130A" w:rsidRPr="00A84A0B" w:rsidTr="005939DA">
        <w:trPr>
          <w:trHeight w:val="397"/>
        </w:trPr>
        <w:tc>
          <w:tcPr>
            <w:tcW w:w="708" w:type="dxa"/>
            <w:vAlign w:val="center"/>
          </w:tcPr>
          <w:p w:rsidR="006A130A" w:rsidRPr="00A84A0B" w:rsidRDefault="006A130A" w:rsidP="005939DA">
            <w:pPr>
              <w:rPr>
                <w:rFonts w:ascii="Arial Narrow" w:hAnsi="Arial Narrow"/>
                <w:sz w:val="20"/>
                <w:vertAlign w:val="superscript"/>
              </w:rPr>
            </w:pPr>
            <w:r w:rsidRPr="00A84A0B">
              <w:rPr>
                <w:rFonts w:ascii="Arial Narrow" w:hAnsi="Arial Narrow"/>
                <w:sz w:val="20"/>
              </w:rPr>
              <w:t>017</w:t>
            </w:r>
            <w:r w:rsidRPr="00A84A0B">
              <w:rPr>
                <w:rFonts w:ascii="Arial Narrow" w:hAnsi="Arial Narrow"/>
                <w:sz w:val="20"/>
                <w:vertAlign w:val="superscript"/>
              </w:rPr>
              <w:t>b</w:t>
            </w:r>
          </w:p>
        </w:tc>
        <w:tc>
          <w:tcPr>
            <w:tcW w:w="2118" w:type="dxa"/>
            <w:tcBorders>
              <w:right w:val="single" w:sz="4" w:space="0" w:color="auto"/>
            </w:tcBorders>
            <w:vAlign w:val="center"/>
          </w:tcPr>
          <w:p w:rsidR="006A130A" w:rsidRPr="00A84A0B" w:rsidRDefault="006A130A" w:rsidP="005939DA">
            <w:pPr>
              <w:jc w:val="center"/>
              <w:rPr>
                <w:rFonts w:ascii="Arial Narrow" w:hAnsi="Arial Narrow"/>
                <w:sz w:val="20"/>
              </w:rPr>
            </w:pPr>
            <w:r w:rsidRPr="00A84A0B">
              <w:rPr>
                <w:rFonts w:ascii="Arial Narrow" w:hAnsi="Arial Narrow"/>
                <w:sz w:val="20"/>
              </w:rPr>
              <w:t>Sq NSCLC (2L)</w:t>
            </w:r>
          </w:p>
        </w:tc>
        <w:tc>
          <w:tcPr>
            <w:tcW w:w="1013" w:type="dxa"/>
            <w:tcBorders>
              <w:left w:val="single" w:sz="4" w:space="0" w:color="auto"/>
            </w:tcBorders>
            <w:vAlign w:val="center"/>
          </w:tcPr>
          <w:p w:rsidR="006A130A" w:rsidRPr="00A84A0B" w:rsidRDefault="006A130A" w:rsidP="005939DA">
            <w:pPr>
              <w:jc w:val="center"/>
              <w:rPr>
                <w:rFonts w:ascii="Arial Narrow" w:hAnsi="Arial Narrow"/>
                <w:sz w:val="20"/>
              </w:rPr>
            </w:pPr>
            <w:r w:rsidRPr="00A84A0B">
              <w:rPr>
                <w:rFonts w:ascii="Arial Narrow" w:hAnsi="Arial Narrow"/>
                <w:sz w:val="20"/>
              </w:rPr>
              <w:t>NIV v DOC</w:t>
            </w:r>
          </w:p>
        </w:tc>
        <w:tc>
          <w:tcPr>
            <w:tcW w:w="969" w:type="dxa"/>
            <w:tcBorders>
              <w:left w:val="single" w:sz="4" w:space="0" w:color="auto"/>
            </w:tcBorders>
            <w:vAlign w:val="center"/>
          </w:tcPr>
          <w:p w:rsidR="006A130A" w:rsidRPr="00A84A0B" w:rsidRDefault="006A130A" w:rsidP="005939DA">
            <w:pPr>
              <w:jc w:val="center"/>
              <w:rPr>
                <w:rFonts w:ascii="Arial Narrow" w:hAnsi="Arial Narrow"/>
                <w:sz w:val="20"/>
              </w:rPr>
            </w:pPr>
            <w:r w:rsidRPr="00A84A0B">
              <w:rPr>
                <w:rFonts w:ascii="Arial Narrow" w:hAnsi="Arial Narrow"/>
                <w:sz w:val="20"/>
              </w:rPr>
              <w:t>272 (38.9)</w:t>
            </w:r>
          </w:p>
        </w:tc>
        <w:tc>
          <w:tcPr>
            <w:tcW w:w="1272" w:type="dxa"/>
            <w:vAlign w:val="center"/>
          </w:tcPr>
          <w:p w:rsidR="006A130A" w:rsidRPr="00A84A0B" w:rsidRDefault="006A130A" w:rsidP="005939DA">
            <w:pPr>
              <w:jc w:val="center"/>
              <w:rPr>
                <w:rFonts w:ascii="Arial Narrow" w:hAnsi="Arial Narrow"/>
                <w:b/>
                <w:sz w:val="20"/>
              </w:rPr>
            </w:pPr>
            <w:r w:rsidRPr="00D34FF6">
              <w:rPr>
                <w:rFonts w:ascii="Arial Narrow" w:hAnsi="Arial Narrow"/>
                <w:b/>
                <w:sz w:val="20"/>
              </w:rPr>
              <w:t>0.58</w:t>
            </w:r>
            <w:r w:rsidRPr="00A84A0B">
              <w:rPr>
                <w:rFonts w:ascii="Arial Narrow" w:hAnsi="Arial Narrow"/>
                <w:b/>
                <w:sz w:val="20"/>
              </w:rPr>
              <w:t xml:space="preserve"> (</w:t>
            </w:r>
            <w:r w:rsidRPr="00D34FF6">
              <w:rPr>
                <w:rFonts w:ascii="Arial Narrow" w:hAnsi="Arial Narrow"/>
                <w:b/>
                <w:sz w:val="20"/>
              </w:rPr>
              <w:t>0.37</w:t>
            </w:r>
            <w:r w:rsidRPr="00A84A0B">
              <w:rPr>
                <w:rFonts w:ascii="Arial Narrow" w:hAnsi="Arial Narrow"/>
                <w:b/>
                <w:sz w:val="20"/>
              </w:rPr>
              <w:t xml:space="preserve">, </w:t>
            </w:r>
            <w:r w:rsidRPr="00D34FF6">
              <w:rPr>
                <w:rFonts w:ascii="Arial Narrow" w:hAnsi="Arial Narrow"/>
                <w:b/>
                <w:sz w:val="20"/>
              </w:rPr>
              <w:t>0.91</w:t>
            </w:r>
            <w:r w:rsidRPr="00A84A0B">
              <w:rPr>
                <w:rFonts w:ascii="Arial Narrow" w:hAnsi="Arial Narrow"/>
                <w:b/>
                <w:sz w:val="20"/>
              </w:rPr>
              <w:t>)</w:t>
            </w:r>
          </w:p>
        </w:tc>
        <w:tc>
          <w:tcPr>
            <w:tcW w:w="1273" w:type="dxa"/>
            <w:vAlign w:val="center"/>
          </w:tcPr>
          <w:p w:rsidR="006A130A" w:rsidRPr="00A84A0B" w:rsidRDefault="006A130A" w:rsidP="005939DA">
            <w:pPr>
              <w:jc w:val="center"/>
              <w:rPr>
                <w:rFonts w:ascii="Arial Narrow" w:hAnsi="Arial Narrow"/>
                <w:sz w:val="20"/>
              </w:rPr>
            </w:pPr>
            <w:r w:rsidRPr="00D34FF6">
              <w:rPr>
                <w:rFonts w:ascii="Arial Narrow" w:hAnsi="Arial Narrow"/>
                <w:sz w:val="20"/>
              </w:rPr>
              <w:t>0.70</w:t>
            </w:r>
            <w:r w:rsidRPr="00A84A0B">
              <w:rPr>
                <w:rFonts w:ascii="Arial Narrow" w:hAnsi="Arial Narrow"/>
                <w:sz w:val="20"/>
              </w:rPr>
              <w:t xml:space="preserve"> (</w:t>
            </w:r>
            <w:r w:rsidRPr="00D34FF6">
              <w:rPr>
                <w:rFonts w:ascii="Arial Narrow" w:hAnsi="Arial Narrow"/>
                <w:sz w:val="20"/>
              </w:rPr>
              <w:t>0.46</w:t>
            </w:r>
            <w:r w:rsidRPr="00A84A0B">
              <w:rPr>
                <w:rFonts w:ascii="Arial Narrow" w:hAnsi="Arial Narrow"/>
                <w:sz w:val="20"/>
              </w:rPr>
              <w:t xml:space="preserve">, </w:t>
            </w:r>
            <w:r w:rsidRPr="00D34FF6">
              <w:rPr>
                <w:rFonts w:ascii="Arial Narrow" w:hAnsi="Arial Narrow"/>
                <w:sz w:val="20"/>
              </w:rPr>
              <w:t>1.08</w:t>
            </w:r>
            <w:r w:rsidRPr="00A84A0B">
              <w:rPr>
                <w:rFonts w:ascii="Arial Narrow" w:hAnsi="Arial Narrow"/>
                <w:sz w:val="20"/>
              </w:rPr>
              <w:t>)</w:t>
            </w:r>
          </w:p>
        </w:tc>
        <w:tc>
          <w:tcPr>
            <w:tcW w:w="959" w:type="dxa"/>
            <w:vAlign w:val="center"/>
          </w:tcPr>
          <w:p w:rsidR="006A130A" w:rsidRPr="00A84A0B" w:rsidRDefault="006A130A" w:rsidP="005939DA">
            <w:pPr>
              <w:jc w:val="center"/>
              <w:rPr>
                <w:rFonts w:ascii="Arial Narrow" w:hAnsi="Arial Narrow"/>
                <w:sz w:val="20"/>
              </w:rPr>
            </w:pPr>
            <w:r w:rsidRPr="00A84A0B">
              <w:rPr>
                <w:rFonts w:ascii="Arial Narrow" w:hAnsi="Arial Narrow"/>
                <w:sz w:val="20"/>
              </w:rPr>
              <w:t>NS</w:t>
            </w:r>
          </w:p>
        </w:tc>
      </w:tr>
      <w:tr w:rsidR="006A130A" w:rsidRPr="00A84A0B" w:rsidTr="005939DA">
        <w:trPr>
          <w:trHeight w:val="397"/>
        </w:trPr>
        <w:tc>
          <w:tcPr>
            <w:tcW w:w="708" w:type="dxa"/>
            <w:vAlign w:val="center"/>
          </w:tcPr>
          <w:p w:rsidR="006A130A" w:rsidRPr="00A84A0B" w:rsidRDefault="006A130A" w:rsidP="005939DA">
            <w:pPr>
              <w:rPr>
                <w:rFonts w:ascii="Arial Narrow" w:hAnsi="Arial Narrow"/>
                <w:sz w:val="20"/>
                <w:vertAlign w:val="superscript"/>
              </w:rPr>
            </w:pPr>
            <w:r w:rsidRPr="00A84A0B">
              <w:rPr>
                <w:rFonts w:ascii="Arial Narrow" w:hAnsi="Arial Narrow"/>
                <w:sz w:val="20"/>
              </w:rPr>
              <w:t>057</w:t>
            </w:r>
          </w:p>
        </w:tc>
        <w:tc>
          <w:tcPr>
            <w:tcW w:w="2118" w:type="dxa"/>
            <w:tcBorders>
              <w:right w:val="single" w:sz="4" w:space="0" w:color="auto"/>
            </w:tcBorders>
            <w:vAlign w:val="center"/>
          </w:tcPr>
          <w:p w:rsidR="006A130A" w:rsidRPr="00A84A0B" w:rsidRDefault="006A130A" w:rsidP="005939DA">
            <w:pPr>
              <w:jc w:val="center"/>
              <w:rPr>
                <w:rFonts w:ascii="Arial Narrow" w:hAnsi="Arial Narrow"/>
                <w:sz w:val="20"/>
              </w:rPr>
            </w:pPr>
            <w:r w:rsidRPr="00A84A0B">
              <w:rPr>
                <w:rFonts w:ascii="Arial Narrow" w:hAnsi="Arial Narrow"/>
                <w:sz w:val="20"/>
              </w:rPr>
              <w:t>Non-Sq NSCLC (2L)</w:t>
            </w:r>
          </w:p>
        </w:tc>
        <w:tc>
          <w:tcPr>
            <w:tcW w:w="1013" w:type="dxa"/>
            <w:tcBorders>
              <w:left w:val="single" w:sz="4" w:space="0" w:color="auto"/>
            </w:tcBorders>
            <w:vAlign w:val="center"/>
          </w:tcPr>
          <w:p w:rsidR="006A130A" w:rsidRPr="00A84A0B" w:rsidRDefault="006A130A" w:rsidP="005939DA">
            <w:pPr>
              <w:jc w:val="center"/>
              <w:rPr>
                <w:rFonts w:ascii="Arial Narrow" w:hAnsi="Arial Narrow"/>
                <w:sz w:val="20"/>
              </w:rPr>
            </w:pPr>
            <w:r w:rsidRPr="00A84A0B">
              <w:rPr>
                <w:rFonts w:ascii="Arial Narrow" w:hAnsi="Arial Narrow"/>
                <w:sz w:val="20"/>
              </w:rPr>
              <w:t>NIV v DOC</w:t>
            </w:r>
          </w:p>
        </w:tc>
        <w:tc>
          <w:tcPr>
            <w:tcW w:w="969" w:type="dxa"/>
            <w:tcBorders>
              <w:left w:val="single" w:sz="4" w:space="0" w:color="auto"/>
            </w:tcBorders>
            <w:vAlign w:val="center"/>
          </w:tcPr>
          <w:p w:rsidR="006A130A" w:rsidRPr="00A84A0B" w:rsidRDefault="006A130A" w:rsidP="005939DA">
            <w:pPr>
              <w:jc w:val="center"/>
              <w:rPr>
                <w:rFonts w:ascii="Arial Narrow" w:hAnsi="Arial Narrow"/>
                <w:sz w:val="20"/>
              </w:rPr>
            </w:pPr>
            <w:r w:rsidRPr="00A84A0B">
              <w:rPr>
                <w:rFonts w:ascii="Arial Narrow" w:hAnsi="Arial Narrow"/>
                <w:sz w:val="20"/>
              </w:rPr>
              <w:t>582 (57.7)</w:t>
            </w:r>
          </w:p>
        </w:tc>
        <w:tc>
          <w:tcPr>
            <w:tcW w:w="1272" w:type="dxa"/>
            <w:vAlign w:val="center"/>
          </w:tcPr>
          <w:p w:rsidR="006A130A" w:rsidRPr="00A84A0B" w:rsidRDefault="006A130A" w:rsidP="005939DA">
            <w:pPr>
              <w:jc w:val="center"/>
              <w:rPr>
                <w:rFonts w:ascii="Arial Narrow" w:hAnsi="Arial Narrow"/>
                <w:sz w:val="20"/>
              </w:rPr>
            </w:pPr>
            <w:r w:rsidRPr="00D34FF6">
              <w:rPr>
                <w:rFonts w:ascii="Arial Narrow" w:hAnsi="Arial Narrow"/>
                <w:sz w:val="20"/>
              </w:rPr>
              <w:t>0.90</w:t>
            </w:r>
            <w:r w:rsidRPr="00A84A0B">
              <w:rPr>
                <w:rFonts w:ascii="Arial Narrow" w:hAnsi="Arial Narrow"/>
                <w:sz w:val="20"/>
              </w:rPr>
              <w:t xml:space="preserve"> (</w:t>
            </w:r>
            <w:r w:rsidRPr="00D34FF6">
              <w:rPr>
                <w:rFonts w:ascii="Arial Narrow" w:hAnsi="Arial Narrow"/>
                <w:sz w:val="20"/>
              </w:rPr>
              <w:t>0.66</w:t>
            </w:r>
            <w:r w:rsidRPr="00A84A0B">
              <w:rPr>
                <w:rFonts w:ascii="Arial Narrow" w:hAnsi="Arial Narrow"/>
                <w:sz w:val="20"/>
              </w:rPr>
              <w:t xml:space="preserve">, </w:t>
            </w:r>
            <w:r w:rsidRPr="00D34FF6">
              <w:rPr>
                <w:rFonts w:ascii="Arial Narrow" w:hAnsi="Arial Narrow"/>
                <w:sz w:val="20"/>
              </w:rPr>
              <w:t>1.24</w:t>
            </w:r>
            <w:r w:rsidRPr="00A84A0B">
              <w:rPr>
                <w:rFonts w:ascii="Arial Narrow" w:hAnsi="Arial Narrow"/>
                <w:sz w:val="20"/>
              </w:rPr>
              <w:t>)</w:t>
            </w:r>
          </w:p>
        </w:tc>
        <w:tc>
          <w:tcPr>
            <w:tcW w:w="1273" w:type="dxa"/>
            <w:vAlign w:val="center"/>
          </w:tcPr>
          <w:p w:rsidR="006A130A" w:rsidRPr="00A84A0B" w:rsidRDefault="006A130A" w:rsidP="005939DA">
            <w:pPr>
              <w:jc w:val="center"/>
              <w:rPr>
                <w:rFonts w:ascii="Arial Narrow" w:hAnsi="Arial Narrow"/>
                <w:b/>
                <w:sz w:val="20"/>
              </w:rPr>
            </w:pPr>
            <w:r w:rsidRPr="00D34FF6">
              <w:rPr>
                <w:rFonts w:ascii="Arial Narrow" w:hAnsi="Arial Narrow"/>
                <w:b/>
                <w:sz w:val="20"/>
              </w:rPr>
              <w:t>0.59</w:t>
            </w:r>
            <w:r w:rsidRPr="00A84A0B">
              <w:rPr>
                <w:rFonts w:ascii="Arial Narrow" w:hAnsi="Arial Narrow"/>
                <w:b/>
                <w:sz w:val="20"/>
              </w:rPr>
              <w:t xml:space="preserve"> (</w:t>
            </w:r>
            <w:r w:rsidRPr="00D34FF6">
              <w:rPr>
                <w:rFonts w:ascii="Arial Narrow" w:hAnsi="Arial Narrow"/>
                <w:b/>
                <w:sz w:val="20"/>
              </w:rPr>
              <w:t>0.43</w:t>
            </w:r>
            <w:r w:rsidRPr="00A84A0B">
              <w:rPr>
                <w:rFonts w:ascii="Arial Narrow" w:hAnsi="Arial Narrow"/>
                <w:b/>
                <w:sz w:val="20"/>
              </w:rPr>
              <w:t xml:space="preserve">, </w:t>
            </w:r>
            <w:r w:rsidRPr="00D34FF6">
              <w:rPr>
                <w:rFonts w:ascii="Arial Narrow" w:hAnsi="Arial Narrow"/>
                <w:b/>
                <w:sz w:val="20"/>
              </w:rPr>
              <w:t>0.81</w:t>
            </w:r>
            <w:r w:rsidRPr="00A84A0B">
              <w:rPr>
                <w:rFonts w:ascii="Arial Narrow" w:hAnsi="Arial Narrow"/>
                <w:b/>
                <w:sz w:val="20"/>
              </w:rPr>
              <w:t>)</w:t>
            </w:r>
          </w:p>
        </w:tc>
        <w:tc>
          <w:tcPr>
            <w:tcW w:w="959" w:type="dxa"/>
            <w:vAlign w:val="center"/>
          </w:tcPr>
          <w:p w:rsidR="006A130A" w:rsidRPr="00A84A0B" w:rsidRDefault="006A130A" w:rsidP="005939DA">
            <w:pPr>
              <w:jc w:val="center"/>
              <w:rPr>
                <w:rFonts w:ascii="Arial Narrow" w:hAnsi="Arial Narrow"/>
                <w:sz w:val="20"/>
                <w:vertAlign w:val="superscript"/>
              </w:rPr>
            </w:pPr>
            <w:r w:rsidRPr="00A84A0B">
              <w:rPr>
                <w:rFonts w:ascii="Arial Narrow" w:hAnsi="Arial Narrow"/>
                <w:sz w:val="20"/>
              </w:rPr>
              <w:t>0.0646</w:t>
            </w:r>
            <w:r w:rsidRPr="00A84A0B">
              <w:rPr>
                <w:rFonts w:ascii="Arial Narrow" w:hAnsi="Arial Narrow"/>
                <w:sz w:val="20"/>
                <w:vertAlign w:val="superscript"/>
              </w:rPr>
              <w:t>c</w:t>
            </w:r>
          </w:p>
        </w:tc>
      </w:tr>
      <w:tr w:rsidR="006A130A" w:rsidRPr="00A84A0B" w:rsidTr="005939DA">
        <w:trPr>
          <w:trHeight w:val="397"/>
        </w:trPr>
        <w:tc>
          <w:tcPr>
            <w:tcW w:w="708" w:type="dxa"/>
            <w:vAlign w:val="center"/>
          </w:tcPr>
          <w:p w:rsidR="006A130A" w:rsidRPr="00A84A0B" w:rsidRDefault="006A130A" w:rsidP="005939DA">
            <w:pPr>
              <w:rPr>
                <w:rFonts w:ascii="Arial Narrow" w:hAnsi="Arial Narrow"/>
                <w:sz w:val="20"/>
              </w:rPr>
            </w:pPr>
            <w:r w:rsidRPr="00A84A0B">
              <w:rPr>
                <w:rFonts w:ascii="Arial Narrow" w:hAnsi="Arial Narrow"/>
                <w:sz w:val="20"/>
              </w:rPr>
              <w:t>037</w:t>
            </w:r>
          </w:p>
        </w:tc>
        <w:tc>
          <w:tcPr>
            <w:tcW w:w="2118" w:type="dxa"/>
            <w:tcBorders>
              <w:right w:val="single" w:sz="4" w:space="0" w:color="auto"/>
            </w:tcBorders>
            <w:vAlign w:val="center"/>
          </w:tcPr>
          <w:p w:rsidR="006A130A" w:rsidRPr="00A84A0B" w:rsidRDefault="006A130A" w:rsidP="005939DA">
            <w:pPr>
              <w:jc w:val="center"/>
              <w:rPr>
                <w:rFonts w:ascii="Arial Narrow" w:hAnsi="Arial Narrow"/>
                <w:sz w:val="20"/>
              </w:rPr>
            </w:pPr>
            <w:r w:rsidRPr="00A84A0B">
              <w:rPr>
                <w:rFonts w:ascii="Arial Narrow" w:hAnsi="Arial Narrow"/>
                <w:sz w:val="20"/>
              </w:rPr>
              <w:t xml:space="preserve">Melanoma (2L) </w:t>
            </w:r>
          </w:p>
        </w:tc>
        <w:tc>
          <w:tcPr>
            <w:tcW w:w="1013" w:type="dxa"/>
            <w:tcBorders>
              <w:left w:val="single" w:sz="4" w:space="0" w:color="auto"/>
            </w:tcBorders>
            <w:vAlign w:val="center"/>
          </w:tcPr>
          <w:p w:rsidR="006A130A" w:rsidRPr="00A84A0B" w:rsidRDefault="006A130A" w:rsidP="005939DA">
            <w:pPr>
              <w:jc w:val="center"/>
              <w:rPr>
                <w:rFonts w:ascii="Arial Narrow" w:hAnsi="Arial Narrow"/>
                <w:sz w:val="20"/>
              </w:rPr>
            </w:pPr>
            <w:r w:rsidRPr="00A84A0B">
              <w:rPr>
                <w:rFonts w:ascii="Arial Narrow" w:hAnsi="Arial Narrow"/>
                <w:sz w:val="20"/>
              </w:rPr>
              <w:t>NIV v IC</w:t>
            </w:r>
          </w:p>
        </w:tc>
        <w:tc>
          <w:tcPr>
            <w:tcW w:w="969" w:type="dxa"/>
            <w:tcBorders>
              <w:left w:val="single" w:sz="4" w:space="0" w:color="auto"/>
            </w:tcBorders>
            <w:vAlign w:val="center"/>
          </w:tcPr>
          <w:p w:rsidR="006A130A" w:rsidRPr="00A84A0B" w:rsidRDefault="006A130A" w:rsidP="005939DA">
            <w:pPr>
              <w:jc w:val="center"/>
              <w:rPr>
                <w:rFonts w:ascii="Arial Narrow" w:hAnsi="Arial Narrow"/>
                <w:sz w:val="20"/>
              </w:rPr>
            </w:pPr>
            <w:r w:rsidRPr="00A84A0B">
              <w:rPr>
                <w:rFonts w:ascii="Arial Narrow" w:hAnsi="Arial Narrow"/>
                <w:sz w:val="20"/>
              </w:rPr>
              <w:t>405 (27.1)</w:t>
            </w:r>
          </w:p>
        </w:tc>
        <w:tc>
          <w:tcPr>
            <w:tcW w:w="1272" w:type="dxa"/>
            <w:vAlign w:val="center"/>
          </w:tcPr>
          <w:p w:rsidR="006A130A" w:rsidRPr="00A84A0B" w:rsidRDefault="00653F4E" w:rsidP="005939DA">
            <w:pPr>
              <w:jc w:val="center"/>
              <w:rPr>
                <w:rFonts w:ascii="Arial Narrow" w:hAnsi="Arial Narrow"/>
                <w:sz w:val="20"/>
              </w:rPr>
            </w:pPr>
            <w:r>
              <w:rPr>
                <w:rFonts w:ascii="Arial Narrow" w:hAnsi="Arial Narrow"/>
                <w:noProof/>
                <w:color w:val="000000"/>
                <w:sz w:val="20"/>
                <w:highlight w:val="black"/>
              </w:rPr>
              <w:t>'''''''''''</w:t>
            </w:r>
            <w:r w:rsidR="006A130A" w:rsidRPr="00A84A0B">
              <w:rPr>
                <w:rFonts w:ascii="Arial Narrow" w:hAnsi="Arial Narrow"/>
                <w:sz w:val="20"/>
              </w:rPr>
              <w:t xml:space="preserve"> (</w:t>
            </w:r>
            <w:r>
              <w:rPr>
                <w:rFonts w:ascii="Arial Narrow" w:hAnsi="Arial Narrow"/>
                <w:noProof/>
                <w:color w:val="000000"/>
                <w:sz w:val="20"/>
                <w:highlight w:val="black"/>
              </w:rPr>
              <w:t>'''''''''''</w:t>
            </w:r>
            <w:r w:rsidR="006A130A" w:rsidRPr="00A84A0B">
              <w:rPr>
                <w:rFonts w:ascii="Arial Narrow" w:hAnsi="Arial Narrow"/>
                <w:sz w:val="20"/>
              </w:rPr>
              <w:t xml:space="preserve">, </w:t>
            </w:r>
            <w:r>
              <w:rPr>
                <w:rFonts w:ascii="Arial Narrow" w:hAnsi="Arial Narrow"/>
                <w:noProof/>
                <w:color w:val="000000"/>
                <w:sz w:val="20"/>
                <w:highlight w:val="black"/>
              </w:rPr>
              <w:t>'''''''''''</w:t>
            </w:r>
            <w:r w:rsidR="006A130A" w:rsidRPr="00A84A0B">
              <w:rPr>
                <w:rFonts w:ascii="Arial Narrow" w:hAnsi="Arial Narrow"/>
                <w:sz w:val="20"/>
              </w:rPr>
              <w:t>)</w:t>
            </w:r>
          </w:p>
        </w:tc>
        <w:tc>
          <w:tcPr>
            <w:tcW w:w="1273" w:type="dxa"/>
            <w:vAlign w:val="center"/>
          </w:tcPr>
          <w:p w:rsidR="006A130A" w:rsidRPr="00A84A0B" w:rsidRDefault="00653F4E" w:rsidP="005939DA">
            <w:pPr>
              <w:jc w:val="center"/>
              <w:rPr>
                <w:rFonts w:ascii="Arial Narrow" w:hAnsi="Arial Narrow"/>
                <w:b/>
                <w:sz w:val="20"/>
              </w:rPr>
            </w:pPr>
            <w:r>
              <w:rPr>
                <w:rFonts w:ascii="Arial Narrow" w:hAnsi="Arial Narrow"/>
                <w:b/>
                <w:noProof/>
                <w:color w:val="000000"/>
                <w:sz w:val="20"/>
                <w:highlight w:val="black"/>
              </w:rPr>
              <w:t>''''''''</w:t>
            </w:r>
            <w:r w:rsidR="006A130A" w:rsidRPr="00A84A0B">
              <w:rPr>
                <w:rFonts w:ascii="Arial Narrow" w:hAnsi="Arial Narrow"/>
                <w:b/>
                <w:sz w:val="20"/>
              </w:rPr>
              <w:t xml:space="preserve"> (</w:t>
            </w:r>
            <w:r>
              <w:rPr>
                <w:rFonts w:ascii="Arial Narrow" w:hAnsi="Arial Narrow"/>
                <w:b/>
                <w:noProof/>
                <w:color w:val="000000"/>
                <w:sz w:val="20"/>
                <w:highlight w:val="black"/>
              </w:rPr>
              <w:t>''''''''''</w:t>
            </w:r>
            <w:r w:rsidR="006A130A" w:rsidRPr="00A84A0B">
              <w:rPr>
                <w:rFonts w:ascii="Arial Narrow" w:hAnsi="Arial Narrow"/>
                <w:b/>
                <w:sz w:val="20"/>
              </w:rPr>
              <w:t xml:space="preserve">, </w:t>
            </w:r>
            <w:r>
              <w:rPr>
                <w:rFonts w:ascii="Arial Narrow" w:hAnsi="Arial Narrow"/>
                <w:b/>
                <w:noProof/>
                <w:color w:val="000000"/>
                <w:sz w:val="20"/>
                <w:highlight w:val="black"/>
              </w:rPr>
              <w:t>''''''''</w:t>
            </w:r>
            <w:r w:rsidR="006A130A" w:rsidRPr="00A84A0B">
              <w:rPr>
                <w:rFonts w:ascii="Arial Narrow" w:hAnsi="Arial Narrow"/>
                <w:b/>
                <w:sz w:val="20"/>
              </w:rPr>
              <w:t>)</w:t>
            </w:r>
          </w:p>
        </w:tc>
        <w:tc>
          <w:tcPr>
            <w:tcW w:w="959" w:type="dxa"/>
            <w:vAlign w:val="center"/>
          </w:tcPr>
          <w:p w:rsidR="006A130A" w:rsidRPr="00A84A0B" w:rsidRDefault="006A130A" w:rsidP="005939DA">
            <w:pPr>
              <w:jc w:val="center"/>
              <w:rPr>
                <w:rFonts w:ascii="Arial Narrow" w:hAnsi="Arial Narrow"/>
                <w:b/>
                <w:sz w:val="20"/>
                <w:vertAlign w:val="superscript"/>
              </w:rPr>
            </w:pPr>
            <w:r w:rsidRPr="00A84A0B">
              <w:rPr>
                <w:rFonts w:ascii="Arial Narrow" w:hAnsi="Arial Narrow"/>
                <w:b/>
                <w:sz w:val="20"/>
              </w:rPr>
              <w:t>0.012</w:t>
            </w:r>
            <w:r w:rsidRPr="00A84A0B">
              <w:rPr>
                <w:rFonts w:ascii="Arial Narrow" w:hAnsi="Arial Narrow"/>
                <w:b/>
                <w:sz w:val="20"/>
                <w:vertAlign w:val="superscript"/>
              </w:rPr>
              <w:t>d</w:t>
            </w:r>
          </w:p>
        </w:tc>
      </w:tr>
      <w:tr w:rsidR="006A130A" w:rsidRPr="00A84A0B" w:rsidTr="005939DA">
        <w:trPr>
          <w:trHeight w:val="397"/>
        </w:trPr>
        <w:tc>
          <w:tcPr>
            <w:tcW w:w="708" w:type="dxa"/>
            <w:vAlign w:val="center"/>
          </w:tcPr>
          <w:p w:rsidR="006A130A" w:rsidRPr="00A84A0B" w:rsidRDefault="006A130A" w:rsidP="005939DA">
            <w:pPr>
              <w:rPr>
                <w:rFonts w:ascii="Arial Narrow" w:hAnsi="Arial Narrow"/>
                <w:sz w:val="20"/>
                <w:vertAlign w:val="superscript"/>
              </w:rPr>
            </w:pPr>
            <w:r w:rsidRPr="00A84A0B">
              <w:rPr>
                <w:rFonts w:ascii="Arial Narrow" w:hAnsi="Arial Narrow"/>
                <w:sz w:val="20"/>
              </w:rPr>
              <w:t>066</w:t>
            </w:r>
            <w:r w:rsidRPr="00A84A0B">
              <w:rPr>
                <w:rFonts w:ascii="Arial Narrow" w:hAnsi="Arial Narrow"/>
                <w:sz w:val="20"/>
                <w:vertAlign w:val="superscript"/>
              </w:rPr>
              <w:t>b</w:t>
            </w:r>
          </w:p>
        </w:tc>
        <w:tc>
          <w:tcPr>
            <w:tcW w:w="2118" w:type="dxa"/>
            <w:tcBorders>
              <w:right w:val="single" w:sz="4" w:space="0" w:color="auto"/>
            </w:tcBorders>
            <w:vAlign w:val="center"/>
          </w:tcPr>
          <w:p w:rsidR="006A130A" w:rsidRPr="00A84A0B" w:rsidRDefault="006A130A" w:rsidP="005939DA">
            <w:pPr>
              <w:jc w:val="center"/>
              <w:rPr>
                <w:rFonts w:ascii="Arial Narrow" w:hAnsi="Arial Narrow"/>
                <w:sz w:val="20"/>
              </w:rPr>
            </w:pPr>
            <w:r w:rsidRPr="00A84A0B">
              <w:rPr>
                <w:rFonts w:ascii="Arial Narrow" w:hAnsi="Arial Narrow"/>
                <w:sz w:val="20"/>
              </w:rPr>
              <w:t>Melanoma (1L)</w:t>
            </w:r>
          </w:p>
        </w:tc>
        <w:tc>
          <w:tcPr>
            <w:tcW w:w="1013" w:type="dxa"/>
            <w:tcBorders>
              <w:left w:val="single" w:sz="4" w:space="0" w:color="auto"/>
            </w:tcBorders>
            <w:vAlign w:val="center"/>
          </w:tcPr>
          <w:p w:rsidR="006A130A" w:rsidRPr="00A84A0B" w:rsidRDefault="006A130A" w:rsidP="005939DA">
            <w:pPr>
              <w:jc w:val="center"/>
              <w:rPr>
                <w:rFonts w:ascii="Arial Narrow" w:hAnsi="Arial Narrow"/>
                <w:sz w:val="20"/>
              </w:rPr>
            </w:pPr>
            <w:r w:rsidRPr="00A84A0B">
              <w:rPr>
                <w:rFonts w:ascii="Arial Narrow" w:hAnsi="Arial Narrow"/>
                <w:sz w:val="20"/>
              </w:rPr>
              <w:t>NIV v DAC</w:t>
            </w:r>
          </w:p>
        </w:tc>
        <w:tc>
          <w:tcPr>
            <w:tcW w:w="969" w:type="dxa"/>
            <w:tcBorders>
              <w:left w:val="single" w:sz="4" w:space="0" w:color="auto"/>
            </w:tcBorders>
            <w:vAlign w:val="center"/>
          </w:tcPr>
          <w:p w:rsidR="006A130A" w:rsidRPr="00A84A0B" w:rsidRDefault="006A130A" w:rsidP="005939DA">
            <w:pPr>
              <w:jc w:val="center"/>
              <w:rPr>
                <w:rFonts w:ascii="Arial Narrow" w:hAnsi="Arial Narrow"/>
                <w:sz w:val="20"/>
              </w:rPr>
            </w:pPr>
            <w:r w:rsidRPr="00A84A0B">
              <w:rPr>
                <w:rFonts w:ascii="Arial Narrow" w:hAnsi="Arial Narrow"/>
                <w:sz w:val="20"/>
              </w:rPr>
              <w:t>418 (64.6)</w:t>
            </w:r>
          </w:p>
        </w:tc>
        <w:tc>
          <w:tcPr>
            <w:tcW w:w="1272" w:type="dxa"/>
            <w:vAlign w:val="center"/>
          </w:tcPr>
          <w:p w:rsidR="006A130A" w:rsidRPr="00A84A0B" w:rsidRDefault="006A130A" w:rsidP="005939DA">
            <w:pPr>
              <w:jc w:val="center"/>
              <w:rPr>
                <w:rFonts w:ascii="Arial Narrow" w:hAnsi="Arial Narrow"/>
                <w:sz w:val="20"/>
              </w:rPr>
            </w:pPr>
            <w:r w:rsidRPr="00D34FF6">
              <w:rPr>
                <w:rFonts w:ascii="Arial Narrow" w:hAnsi="Arial Narrow"/>
                <w:sz w:val="20"/>
              </w:rPr>
              <w:t>0.63</w:t>
            </w:r>
            <w:r w:rsidRPr="00A84A0B">
              <w:rPr>
                <w:rFonts w:ascii="Arial Narrow" w:hAnsi="Arial Narrow"/>
                <w:sz w:val="20"/>
              </w:rPr>
              <w:t xml:space="preserve"> (</w:t>
            </w:r>
            <w:r w:rsidRPr="00D34FF6">
              <w:rPr>
                <w:rFonts w:ascii="Arial Narrow" w:hAnsi="Arial Narrow"/>
                <w:sz w:val="20"/>
              </w:rPr>
              <w:t>0.37</w:t>
            </w:r>
            <w:r w:rsidRPr="00A84A0B">
              <w:rPr>
                <w:rFonts w:ascii="Arial Narrow" w:hAnsi="Arial Narrow"/>
                <w:sz w:val="20"/>
              </w:rPr>
              <w:t xml:space="preserve">, </w:t>
            </w:r>
            <w:r w:rsidRPr="00D34FF6">
              <w:rPr>
                <w:rFonts w:ascii="Arial Narrow" w:hAnsi="Arial Narrow"/>
                <w:sz w:val="20"/>
              </w:rPr>
              <w:t>1.07</w:t>
            </w:r>
            <w:r w:rsidRPr="00A84A0B">
              <w:rPr>
                <w:rFonts w:ascii="Arial Narrow" w:hAnsi="Arial Narrow"/>
                <w:sz w:val="20"/>
              </w:rPr>
              <w:t>)</w:t>
            </w:r>
          </w:p>
        </w:tc>
        <w:tc>
          <w:tcPr>
            <w:tcW w:w="1273" w:type="dxa"/>
            <w:vAlign w:val="center"/>
          </w:tcPr>
          <w:p w:rsidR="006A130A" w:rsidRPr="00A84A0B" w:rsidRDefault="006A130A" w:rsidP="005939DA">
            <w:pPr>
              <w:jc w:val="center"/>
              <w:rPr>
                <w:rFonts w:ascii="Arial Narrow" w:hAnsi="Arial Narrow"/>
                <w:b/>
                <w:sz w:val="20"/>
              </w:rPr>
            </w:pPr>
            <w:r w:rsidRPr="00D34FF6">
              <w:rPr>
                <w:rFonts w:ascii="Arial Narrow" w:hAnsi="Arial Narrow"/>
                <w:b/>
                <w:sz w:val="20"/>
              </w:rPr>
              <w:t>0.28</w:t>
            </w:r>
            <w:r w:rsidRPr="00A84A0B">
              <w:rPr>
                <w:rFonts w:ascii="Arial Narrow" w:hAnsi="Arial Narrow"/>
                <w:b/>
                <w:sz w:val="20"/>
              </w:rPr>
              <w:t xml:space="preserve"> (</w:t>
            </w:r>
            <w:r w:rsidRPr="00D34FF6">
              <w:rPr>
                <w:rFonts w:ascii="Arial Narrow" w:hAnsi="Arial Narrow"/>
                <w:b/>
                <w:sz w:val="20"/>
              </w:rPr>
              <w:t>0.17</w:t>
            </w:r>
            <w:r w:rsidRPr="00A84A0B">
              <w:rPr>
                <w:rFonts w:ascii="Arial Narrow" w:hAnsi="Arial Narrow"/>
                <w:b/>
                <w:sz w:val="20"/>
              </w:rPr>
              <w:t xml:space="preserve">, </w:t>
            </w:r>
            <w:r w:rsidRPr="00D34FF6">
              <w:rPr>
                <w:rFonts w:ascii="Arial Narrow" w:hAnsi="Arial Narrow"/>
                <w:b/>
                <w:sz w:val="20"/>
              </w:rPr>
              <w:t>0.47</w:t>
            </w:r>
            <w:r w:rsidRPr="00A84A0B">
              <w:rPr>
                <w:rFonts w:ascii="Arial Narrow" w:hAnsi="Arial Narrow"/>
                <w:b/>
                <w:sz w:val="20"/>
              </w:rPr>
              <w:t>)</w:t>
            </w:r>
          </w:p>
        </w:tc>
        <w:tc>
          <w:tcPr>
            <w:tcW w:w="959" w:type="dxa"/>
            <w:vAlign w:val="center"/>
          </w:tcPr>
          <w:p w:rsidR="006A130A" w:rsidRPr="00A84A0B" w:rsidRDefault="006A130A" w:rsidP="005939DA">
            <w:pPr>
              <w:jc w:val="center"/>
              <w:rPr>
                <w:rFonts w:ascii="Arial Narrow" w:hAnsi="Arial Narrow"/>
                <w:b/>
                <w:sz w:val="20"/>
              </w:rPr>
            </w:pPr>
            <w:r w:rsidRPr="00A84A0B">
              <w:rPr>
                <w:rFonts w:ascii="Arial Narrow" w:hAnsi="Arial Narrow"/>
                <w:b/>
                <w:sz w:val="20"/>
              </w:rPr>
              <w:t>&lt;0.05</w:t>
            </w:r>
          </w:p>
        </w:tc>
      </w:tr>
      <w:tr w:rsidR="006A130A" w:rsidRPr="00A84A0B" w:rsidTr="005939DA">
        <w:trPr>
          <w:trHeight w:val="397"/>
        </w:trPr>
        <w:tc>
          <w:tcPr>
            <w:tcW w:w="708" w:type="dxa"/>
            <w:vMerge w:val="restart"/>
            <w:vAlign w:val="center"/>
          </w:tcPr>
          <w:p w:rsidR="006A130A" w:rsidRPr="00A84A0B" w:rsidRDefault="006A130A" w:rsidP="005939DA">
            <w:pPr>
              <w:rPr>
                <w:rFonts w:ascii="Arial Narrow" w:hAnsi="Arial Narrow"/>
                <w:sz w:val="20"/>
                <w:vertAlign w:val="superscript"/>
              </w:rPr>
            </w:pPr>
            <w:r w:rsidRPr="00A84A0B">
              <w:rPr>
                <w:rFonts w:ascii="Arial Narrow" w:hAnsi="Arial Narrow"/>
                <w:sz w:val="20"/>
              </w:rPr>
              <w:t>KN-006</w:t>
            </w:r>
            <w:r w:rsidRPr="00A84A0B">
              <w:rPr>
                <w:rFonts w:ascii="Arial Narrow" w:hAnsi="Arial Narrow"/>
                <w:sz w:val="20"/>
                <w:vertAlign w:val="superscript"/>
              </w:rPr>
              <w:t>e</w:t>
            </w:r>
          </w:p>
        </w:tc>
        <w:tc>
          <w:tcPr>
            <w:tcW w:w="2118" w:type="dxa"/>
            <w:vMerge w:val="restart"/>
            <w:tcBorders>
              <w:right w:val="single" w:sz="4" w:space="0" w:color="auto"/>
            </w:tcBorders>
            <w:vAlign w:val="center"/>
          </w:tcPr>
          <w:p w:rsidR="006A130A" w:rsidRPr="00A84A0B" w:rsidRDefault="006A130A" w:rsidP="005939DA">
            <w:pPr>
              <w:jc w:val="center"/>
              <w:rPr>
                <w:rFonts w:ascii="Arial Narrow" w:hAnsi="Arial Narrow"/>
                <w:sz w:val="20"/>
              </w:rPr>
            </w:pPr>
            <w:r w:rsidRPr="00A84A0B">
              <w:rPr>
                <w:rFonts w:ascii="Arial Narrow" w:hAnsi="Arial Narrow"/>
                <w:sz w:val="20"/>
              </w:rPr>
              <w:t xml:space="preserve">Melanoma </w:t>
            </w:r>
          </w:p>
          <w:p w:rsidR="006A130A" w:rsidRPr="00A84A0B" w:rsidRDefault="006A130A" w:rsidP="005939DA">
            <w:pPr>
              <w:jc w:val="center"/>
              <w:rPr>
                <w:rFonts w:ascii="Arial Narrow" w:hAnsi="Arial Narrow"/>
                <w:sz w:val="20"/>
              </w:rPr>
            </w:pPr>
            <w:r w:rsidRPr="00A84A0B">
              <w:rPr>
                <w:rFonts w:ascii="Arial Narrow" w:hAnsi="Arial Narrow"/>
                <w:sz w:val="20"/>
              </w:rPr>
              <w:t>(1L and 2L)</w:t>
            </w:r>
          </w:p>
        </w:tc>
        <w:tc>
          <w:tcPr>
            <w:tcW w:w="1013" w:type="dxa"/>
            <w:vMerge w:val="restart"/>
            <w:tcBorders>
              <w:left w:val="single" w:sz="4" w:space="0" w:color="auto"/>
            </w:tcBorders>
            <w:vAlign w:val="center"/>
          </w:tcPr>
          <w:p w:rsidR="006A130A" w:rsidRPr="00A84A0B" w:rsidRDefault="006A130A" w:rsidP="005939DA">
            <w:pPr>
              <w:jc w:val="center"/>
              <w:rPr>
                <w:rFonts w:ascii="Arial Narrow" w:hAnsi="Arial Narrow"/>
                <w:sz w:val="20"/>
              </w:rPr>
            </w:pPr>
            <w:r w:rsidRPr="00A84A0B">
              <w:rPr>
                <w:rFonts w:ascii="Arial Narrow" w:hAnsi="Arial Narrow"/>
                <w:sz w:val="20"/>
              </w:rPr>
              <w:t>PEM v IPI</w:t>
            </w:r>
          </w:p>
        </w:tc>
        <w:tc>
          <w:tcPr>
            <w:tcW w:w="969" w:type="dxa"/>
            <w:vMerge w:val="restart"/>
            <w:tcBorders>
              <w:left w:val="single" w:sz="4" w:space="0" w:color="auto"/>
            </w:tcBorders>
            <w:vAlign w:val="center"/>
          </w:tcPr>
          <w:p w:rsidR="006A130A" w:rsidRPr="00A84A0B" w:rsidRDefault="006A130A" w:rsidP="005939DA">
            <w:pPr>
              <w:jc w:val="center"/>
              <w:rPr>
                <w:rFonts w:ascii="Arial Narrow" w:hAnsi="Arial Narrow"/>
                <w:sz w:val="20"/>
              </w:rPr>
            </w:pPr>
            <w:r w:rsidRPr="00A84A0B">
              <w:rPr>
                <w:rFonts w:ascii="Arial Narrow" w:hAnsi="Arial Narrow"/>
                <w:sz w:val="20"/>
              </w:rPr>
              <w:t>811 (NR)</w:t>
            </w:r>
          </w:p>
        </w:tc>
        <w:tc>
          <w:tcPr>
            <w:tcW w:w="1272" w:type="dxa"/>
            <w:vAlign w:val="center"/>
          </w:tcPr>
          <w:p w:rsidR="006A130A" w:rsidRPr="00A84A0B" w:rsidRDefault="006A130A" w:rsidP="005939DA">
            <w:pPr>
              <w:jc w:val="center"/>
              <w:rPr>
                <w:rFonts w:ascii="Arial Narrow" w:hAnsi="Arial Narrow"/>
                <w:sz w:val="20"/>
              </w:rPr>
            </w:pPr>
            <w:r w:rsidRPr="00D34FF6">
              <w:rPr>
                <w:rFonts w:ascii="Arial Narrow" w:hAnsi="Arial Narrow"/>
                <w:sz w:val="20"/>
              </w:rPr>
              <w:t>0.91</w:t>
            </w:r>
            <w:r w:rsidRPr="00A84A0B">
              <w:rPr>
                <w:rFonts w:ascii="Arial Narrow" w:hAnsi="Arial Narrow"/>
                <w:sz w:val="20"/>
              </w:rPr>
              <w:t xml:space="preserve"> (</w:t>
            </w:r>
            <w:r w:rsidRPr="00D34FF6">
              <w:rPr>
                <w:rFonts w:ascii="Arial Narrow" w:hAnsi="Arial Narrow"/>
                <w:sz w:val="20"/>
              </w:rPr>
              <w:t>0.49</w:t>
            </w:r>
            <w:r w:rsidRPr="00A84A0B">
              <w:rPr>
                <w:rFonts w:ascii="Arial Narrow" w:hAnsi="Arial Narrow"/>
                <w:sz w:val="20"/>
              </w:rPr>
              <w:t xml:space="preserve">, </w:t>
            </w:r>
            <w:r w:rsidRPr="00D34FF6">
              <w:rPr>
                <w:rFonts w:ascii="Arial Narrow" w:hAnsi="Arial Narrow"/>
                <w:sz w:val="20"/>
              </w:rPr>
              <w:t>1.69</w:t>
            </w:r>
            <w:r w:rsidRPr="00A84A0B">
              <w:rPr>
                <w:rFonts w:ascii="Arial Narrow" w:hAnsi="Arial Narrow"/>
                <w:sz w:val="20"/>
              </w:rPr>
              <w:t>)</w:t>
            </w:r>
          </w:p>
        </w:tc>
        <w:tc>
          <w:tcPr>
            <w:tcW w:w="1273" w:type="dxa"/>
            <w:vAlign w:val="center"/>
          </w:tcPr>
          <w:p w:rsidR="006A130A" w:rsidRPr="00A84A0B" w:rsidRDefault="006A130A" w:rsidP="005939DA">
            <w:pPr>
              <w:jc w:val="center"/>
              <w:rPr>
                <w:rFonts w:ascii="Arial Narrow" w:hAnsi="Arial Narrow"/>
                <w:b/>
                <w:sz w:val="20"/>
              </w:rPr>
            </w:pPr>
            <w:r w:rsidRPr="00D34FF6">
              <w:rPr>
                <w:rFonts w:ascii="Arial Narrow" w:hAnsi="Arial Narrow"/>
                <w:b/>
                <w:sz w:val="20"/>
              </w:rPr>
              <w:t>0.55</w:t>
            </w:r>
            <w:r w:rsidRPr="00A84A0B">
              <w:rPr>
                <w:rFonts w:ascii="Arial Narrow" w:hAnsi="Arial Narrow"/>
                <w:b/>
                <w:sz w:val="20"/>
              </w:rPr>
              <w:t xml:space="preserve"> (</w:t>
            </w:r>
            <w:r w:rsidRPr="00D34FF6">
              <w:rPr>
                <w:rFonts w:ascii="Arial Narrow" w:hAnsi="Arial Narrow"/>
                <w:b/>
                <w:sz w:val="20"/>
              </w:rPr>
              <w:t>0.41</w:t>
            </w:r>
            <w:r w:rsidRPr="00A84A0B">
              <w:rPr>
                <w:rFonts w:ascii="Arial Narrow" w:hAnsi="Arial Narrow"/>
                <w:b/>
                <w:sz w:val="20"/>
              </w:rPr>
              <w:t xml:space="preserve">, </w:t>
            </w:r>
            <w:r w:rsidRPr="00D34FF6">
              <w:rPr>
                <w:rFonts w:ascii="Arial Narrow" w:hAnsi="Arial Narrow"/>
                <w:b/>
                <w:sz w:val="20"/>
              </w:rPr>
              <w:t>0.84</w:t>
            </w:r>
            <w:r w:rsidRPr="00A84A0B">
              <w:rPr>
                <w:rFonts w:ascii="Arial Narrow" w:hAnsi="Arial Narrow"/>
                <w:b/>
                <w:sz w:val="20"/>
              </w:rPr>
              <w:t>)</w:t>
            </w:r>
          </w:p>
        </w:tc>
        <w:tc>
          <w:tcPr>
            <w:tcW w:w="959" w:type="dxa"/>
            <w:vAlign w:val="center"/>
          </w:tcPr>
          <w:p w:rsidR="006A130A" w:rsidRPr="00A84A0B" w:rsidRDefault="006A130A" w:rsidP="005939DA">
            <w:pPr>
              <w:jc w:val="center"/>
              <w:rPr>
                <w:rFonts w:ascii="Arial Narrow" w:hAnsi="Arial Narrow"/>
                <w:sz w:val="20"/>
              </w:rPr>
            </w:pPr>
            <w:r w:rsidRPr="00A84A0B">
              <w:rPr>
                <w:rFonts w:ascii="Arial Narrow" w:hAnsi="Arial Narrow"/>
                <w:sz w:val="20"/>
              </w:rPr>
              <w:t>NS</w:t>
            </w:r>
          </w:p>
        </w:tc>
      </w:tr>
      <w:tr w:rsidR="006A130A" w:rsidRPr="00A84A0B" w:rsidTr="005939DA">
        <w:trPr>
          <w:trHeight w:val="397"/>
        </w:trPr>
        <w:tc>
          <w:tcPr>
            <w:tcW w:w="708" w:type="dxa"/>
            <w:vMerge/>
            <w:vAlign w:val="center"/>
          </w:tcPr>
          <w:p w:rsidR="006A130A" w:rsidRPr="00A84A0B" w:rsidRDefault="006A130A" w:rsidP="005939DA">
            <w:pPr>
              <w:rPr>
                <w:rFonts w:ascii="Arial Narrow" w:hAnsi="Arial Narrow"/>
                <w:sz w:val="20"/>
              </w:rPr>
            </w:pPr>
          </w:p>
        </w:tc>
        <w:tc>
          <w:tcPr>
            <w:tcW w:w="2118" w:type="dxa"/>
            <w:vMerge/>
            <w:tcBorders>
              <w:right w:val="single" w:sz="4" w:space="0" w:color="auto"/>
            </w:tcBorders>
            <w:vAlign w:val="center"/>
          </w:tcPr>
          <w:p w:rsidR="006A130A" w:rsidRPr="00A84A0B" w:rsidRDefault="006A130A" w:rsidP="005939DA">
            <w:pPr>
              <w:jc w:val="center"/>
              <w:rPr>
                <w:rFonts w:ascii="Arial Narrow" w:hAnsi="Arial Narrow"/>
                <w:sz w:val="20"/>
              </w:rPr>
            </w:pPr>
          </w:p>
        </w:tc>
        <w:tc>
          <w:tcPr>
            <w:tcW w:w="1013" w:type="dxa"/>
            <w:vMerge/>
            <w:tcBorders>
              <w:left w:val="single" w:sz="4" w:space="0" w:color="auto"/>
            </w:tcBorders>
            <w:vAlign w:val="center"/>
          </w:tcPr>
          <w:p w:rsidR="006A130A" w:rsidRPr="00A84A0B" w:rsidRDefault="006A130A" w:rsidP="005939DA">
            <w:pPr>
              <w:jc w:val="center"/>
              <w:rPr>
                <w:rFonts w:ascii="Arial Narrow" w:hAnsi="Arial Narrow"/>
                <w:sz w:val="20"/>
              </w:rPr>
            </w:pPr>
          </w:p>
        </w:tc>
        <w:tc>
          <w:tcPr>
            <w:tcW w:w="969" w:type="dxa"/>
            <w:vMerge/>
            <w:tcBorders>
              <w:left w:val="single" w:sz="4" w:space="0" w:color="auto"/>
            </w:tcBorders>
            <w:vAlign w:val="center"/>
          </w:tcPr>
          <w:p w:rsidR="006A130A" w:rsidRPr="00A84A0B" w:rsidRDefault="006A130A" w:rsidP="005939DA">
            <w:pPr>
              <w:jc w:val="center"/>
              <w:rPr>
                <w:rFonts w:ascii="Arial Narrow" w:hAnsi="Arial Narrow"/>
                <w:sz w:val="20"/>
              </w:rPr>
            </w:pPr>
          </w:p>
        </w:tc>
        <w:tc>
          <w:tcPr>
            <w:tcW w:w="1272" w:type="dxa"/>
            <w:vAlign w:val="center"/>
          </w:tcPr>
          <w:p w:rsidR="006A130A" w:rsidRPr="00A84A0B" w:rsidRDefault="006A130A" w:rsidP="005939DA">
            <w:pPr>
              <w:jc w:val="center"/>
              <w:rPr>
                <w:rFonts w:ascii="Arial Narrow" w:hAnsi="Arial Narrow"/>
                <w:sz w:val="20"/>
              </w:rPr>
            </w:pPr>
            <w:r w:rsidRPr="00D34FF6">
              <w:rPr>
                <w:rFonts w:ascii="Arial Narrow" w:hAnsi="Arial Narrow"/>
                <w:sz w:val="20"/>
              </w:rPr>
              <w:t>1.02</w:t>
            </w:r>
            <w:r w:rsidRPr="00A84A0B">
              <w:rPr>
                <w:rFonts w:ascii="Arial Narrow" w:hAnsi="Arial Narrow"/>
                <w:sz w:val="20"/>
              </w:rPr>
              <w:t xml:space="preserve"> (</w:t>
            </w:r>
            <w:r w:rsidRPr="00D34FF6">
              <w:rPr>
                <w:rFonts w:ascii="Arial Narrow" w:hAnsi="Arial Narrow"/>
                <w:sz w:val="20"/>
              </w:rPr>
              <w:t>0.56</w:t>
            </w:r>
            <w:r w:rsidRPr="00A84A0B">
              <w:rPr>
                <w:rFonts w:ascii="Arial Narrow" w:hAnsi="Arial Narrow"/>
                <w:sz w:val="20"/>
              </w:rPr>
              <w:t xml:space="preserve">, </w:t>
            </w:r>
            <w:r w:rsidRPr="00D34FF6">
              <w:rPr>
                <w:rFonts w:ascii="Arial Narrow" w:hAnsi="Arial Narrow"/>
                <w:sz w:val="20"/>
              </w:rPr>
              <w:t>1.85</w:t>
            </w:r>
            <w:r w:rsidRPr="00A84A0B">
              <w:rPr>
                <w:rFonts w:ascii="Arial Narrow" w:hAnsi="Arial Narrow"/>
                <w:sz w:val="20"/>
              </w:rPr>
              <w:t>)</w:t>
            </w:r>
          </w:p>
        </w:tc>
        <w:tc>
          <w:tcPr>
            <w:tcW w:w="1273" w:type="dxa"/>
            <w:vAlign w:val="center"/>
          </w:tcPr>
          <w:p w:rsidR="006A130A" w:rsidRPr="00A84A0B" w:rsidRDefault="006A130A" w:rsidP="005939DA">
            <w:pPr>
              <w:jc w:val="center"/>
              <w:rPr>
                <w:rFonts w:ascii="Arial Narrow" w:hAnsi="Arial Narrow"/>
                <w:b/>
                <w:sz w:val="20"/>
              </w:rPr>
            </w:pPr>
            <w:r w:rsidRPr="00D34FF6">
              <w:rPr>
                <w:rFonts w:ascii="Arial Narrow" w:hAnsi="Arial Narrow"/>
                <w:b/>
                <w:sz w:val="20"/>
              </w:rPr>
              <w:t>0.58</w:t>
            </w:r>
            <w:r w:rsidRPr="00A84A0B">
              <w:rPr>
                <w:rFonts w:ascii="Arial Narrow" w:hAnsi="Arial Narrow"/>
                <w:b/>
                <w:sz w:val="20"/>
              </w:rPr>
              <w:t xml:space="preserve"> (</w:t>
            </w:r>
            <w:r w:rsidRPr="00D34FF6">
              <w:rPr>
                <w:rFonts w:ascii="Arial Narrow" w:hAnsi="Arial Narrow"/>
                <w:b/>
                <w:sz w:val="20"/>
              </w:rPr>
              <w:t>0.42</w:t>
            </w:r>
            <w:r w:rsidRPr="00A84A0B">
              <w:rPr>
                <w:rFonts w:ascii="Arial Narrow" w:hAnsi="Arial Narrow"/>
                <w:b/>
                <w:sz w:val="20"/>
              </w:rPr>
              <w:t xml:space="preserve">, </w:t>
            </w:r>
            <w:r w:rsidRPr="00D34FF6">
              <w:rPr>
                <w:rFonts w:ascii="Arial Narrow" w:hAnsi="Arial Narrow"/>
                <w:b/>
                <w:sz w:val="20"/>
              </w:rPr>
              <w:t>0.79</w:t>
            </w:r>
            <w:r w:rsidRPr="00A84A0B">
              <w:rPr>
                <w:rFonts w:ascii="Arial Narrow" w:hAnsi="Arial Narrow"/>
                <w:b/>
                <w:sz w:val="20"/>
              </w:rPr>
              <w:t>)</w:t>
            </w:r>
          </w:p>
        </w:tc>
        <w:tc>
          <w:tcPr>
            <w:tcW w:w="959" w:type="dxa"/>
            <w:vAlign w:val="center"/>
          </w:tcPr>
          <w:p w:rsidR="006A130A" w:rsidRPr="00A84A0B" w:rsidRDefault="006A130A" w:rsidP="005939DA">
            <w:pPr>
              <w:jc w:val="center"/>
              <w:rPr>
                <w:rFonts w:ascii="Arial Narrow" w:hAnsi="Arial Narrow"/>
                <w:sz w:val="20"/>
              </w:rPr>
            </w:pPr>
            <w:r w:rsidRPr="00A84A0B">
              <w:rPr>
                <w:rFonts w:ascii="Arial Narrow" w:hAnsi="Arial Narrow"/>
                <w:sz w:val="20"/>
              </w:rPr>
              <w:t>NS</w:t>
            </w:r>
          </w:p>
        </w:tc>
      </w:tr>
      <w:tr w:rsidR="006A130A" w:rsidRPr="00A84A0B" w:rsidTr="005939DA">
        <w:trPr>
          <w:trHeight w:val="397"/>
        </w:trPr>
        <w:tc>
          <w:tcPr>
            <w:tcW w:w="708" w:type="dxa"/>
            <w:vAlign w:val="center"/>
          </w:tcPr>
          <w:p w:rsidR="006A130A" w:rsidRPr="00A84A0B" w:rsidRDefault="006A130A" w:rsidP="005939DA">
            <w:pPr>
              <w:rPr>
                <w:rFonts w:ascii="Arial Narrow" w:hAnsi="Arial Narrow"/>
                <w:sz w:val="20"/>
              </w:rPr>
            </w:pPr>
            <w:r w:rsidRPr="00A84A0B">
              <w:rPr>
                <w:rFonts w:ascii="Arial Narrow" w:hAnsi="Arial Narrow"/>
                <w:sz w:val="20"/>
              </w:rPr>
              <w:t>025</w:t>
            </w:r>
          </w:p>
        </w:tc>
        <w:tc>
          <w:tcPr>
            <w:tcW w:w="2118" w:type="dxa"/>
            <w:tcBorders>
              <w:right w:val="single" w:sz="4" w:space="0" w:color="auto"/>
            </w:tcBorders>
            <w:vAlign w:val="center"/>
          </w:tcPr>
          <w:p w:rsidR="006A130A" w:rsidRPr="00A84A0B" w:rsidRDefault="006A130A" w:rsidP="005939DA">
            <w:pPr>
              <w:jc w:val="center"/>
              <w:rPr>
                <w:rFonts w:ascii="Arial Narrow" w:hAnsi="Arial Narrow"/>
                <w:sz w:val="20"/>
                <w:vertAlign w:val="superscript"/>
              </w:rPr>
            </w:pPr>
            <w:r w:rsidRPr="00A84A0B">
              <w:rPr>
                <w:rFonts w:ascii="Arial Narrow" w:hAnsi="Arial Narrow"/>
                <w:sz w:val="20"/>
              </w:rPr>
              <w:t>AMCCRCC</w:t>
            </w:r>
            <w:r w:rsidRPr="00A84A0B">
              <w:rPr>
                <w:rFonts w:ascii="Arial Narrow" w:hAnsi="Arial Narrow"/>
                <w:sz w:val="20"/>
                <w:vertAlign w:val="superscript"/>
              </w:rPr>
              <w:t xml:space="preserve"> </w:t>
            </w:r>
            <w:r w:rsidRPr="00A84A0B">
              <w:rPr>
                <w:rFonts w:ascii="Arial Narrow" w:hAnsi="Arial Narrow"/>
                <w:sz w:val="20"/>
              </w:rPr>
              <w:t>(2L)</w:t>
            </w:r>
          </w:p>
        </w:tc>
        <w:tc>
          <w:tcPr>
            <w:tcW w:w="1013" w:type="dxa"/>
            <w:tcBorders>
              <w:left w:val="single" w:sz="4" w:space="0" w:color="auto"/>
            </w:tcBorders>
            <w:vAlign w:val="center"/>
          </w:tcPr>
          <w:p w:rsidR="006A130A" w:rsidRPr="00A84A0B" w:rsidRDefault="006A130A" w:rsidP="005939DA">
            <w:pPr>
              <w:jc w:val="center"/>
              <w:rPr>
                <w:rFonts w:ascii="Arial Narrow" w:hAnsi="Arial Narrow"/>
                <w:sz w:val="20"/>
              </w:rPr>
            </w:pPr>
            <w:r w:rsidRPr="00A84A0B">
              <w:rPr>
                <w:rFonts w:ascii="Arial Narrow" w:hAnsi="Arial Narrow"/>
                <w:sz w:val="20"/>
              </w:rPr>
              <w:t>NIV v EVE</w:t>
            </w:r>
          </w:p>
        </w:tc>
        <w:tc>
          <w:tcPr>
            <w:tcW w:w="969" w:type="dxa"/>
            <w:tcBorders>
              <w:left w:val="single" w:sz="4" w:space="0" w:color="auto"/>
            </w:tcBorders>
            <w:vAlign w:val="center"/>
          </w:tcPr>
          <w:p w:rsidR="006A130A" w:rsidRPr="00A84A0B" w:rsidRDefault="006A130A" w:rsidP="005939DA">
            <w:pPr>
              <w:jc w:val="center"/>
              <w:rPr>
                <w:rFonts w:ascii="Arial Narrow" w:hAnsi="Arial Narrow"/>
                <w:sz w:val="20"/>
              </w:rPr>
            </w:pPr>
            <w:r w:rsidRPr="00A84A0B">
              <w:rPr>
                <w:rFonts w:ascii="Arial Narrow" w:hAnsi="Arial Narrow"/>
                <w:sz w:val="20"/>
              </w:rPr>
              <w:t>821 (23.9)</w:t>
            </w:r>
          </w:p>
        </w:tc>
        <w:tc>
          <w:tcPr>
            <w:tcW w:w="1272" w:type="dxa"/>
            <w:vAlign w:val="center"/>
          </w:tcPr>
          <w:p w:rsidR="006A130A" w:rsidRPr="00A84A0B" w:rsidRDefault="00653F4E" w:rsidP="005939DA">
            <w:pPr>
              <w:jc w:val="center"/>
              <w:rPr>
                <w:rFonts w:ascii="Arial Narrow" w:hAnsi="Arial Narrow"/>
                <w:b/>
                <w:sz w:val="20"/>
              </w:rPr>
            </w:pPr>
            <w:r>
              <w:rPr>
                <w:rFonts w:ascii="Arial Narrow" w:hAnsi="Arial Narrow"/>
                <w:b/>
                <w:noProof/>
                <w:color w:val="000000"/>
                <w:sz w:val="20"/>
                <w:highlight w:val="black"/>
              </w:rPr>
              <w:t>''''''''</w:t>
            </w:r>
            <w:r w:rsidR="006A130A" w:rsidRPr="00A84A0B">
              <w:rPr>
                <w:rFonts w:ascii="Arial Narrow" w:hAnsi="Arial Narrow"/>
                <w:b/>
                <w:sz w:val="20"/>
              </w:rPr>
              <w:t xml:space="preserve"> (</w:t>
            </w:r>
            <w:r>
              <w:rPr>
                <w:rFonts w:ascii="Arial Narrow" w:hAnsi="Arial Narrow"/>
                <w:b/>
                <w:noProof/>
                <w:color w:val="000000"/>
                <w:sz w:val="20"/>
                <w:highlight w:val="black"/>
              </w:rPr>
              <w:t>''''''''</w:t>
            </w:r>
            <w:r w:rsidR="006A130A" w:rsidRPr="00A84A0B">
              <w:rPr>
                <w:rFonts w:ascii="Arial Narrow" w:hAnsi="Arial Narrow"/>
                <w:b/>
                <w:sz w:val="20"/>
              </w:rPr>
              <w:t xml:space="preserve">, </w:t>
            </w:r>
            <w:r>
              <w:rPr>
                <w:rFonts w:ascii="Arial Narrow" w:hAnsi="Arial Narrow"/>
                <w:b/>
                <w:noProof/>
                <w:color w:val="000000"/>
                <w:sz w:val="20"/>
                <w:highlight w:val="black"/>
              </w:rPr>
              <w:t>'''''''''</w:t>
            </w:r>
            <w:r w:rsidR="006A130A" w:rsidRPr="00A84A0B">
              <w:rPr>
                <w:rFonts w:ascii="Arial Narrow" w:hAnsi="Arial Narrow"/>
                <w:b/>
                <w:sz w:val="20"/>
              </w:rPr>
              <w:t>)</w:t>
            </w:r>
          </w:p>
        </w:tc>
        <w:tc>
          <w:tcPr>
            <w:tcW w:w="1273" w:type="dxa"/>
            <w:vAlign w:val="center"/>
          </w:tcPr>
          <w:p w:rsidR="006A130A" w:rsidRPr="00A84A0B" w:rsidRDefault="00653F4E" w:rsidP="005939DA">
            <w:pPr>
              <w:jc w:val="center"/>
              <w:rPr>
                <w:rFonts w:ascii="Arial Narrow" w:hAnsi="Arial Narrow"/>
                <w:sz w:val="20"/>
              </w:rPr>
            </w:pPr>
            <w:r>
              <w:rPr>
                <w:rFonts w:ascii="Arial Narrow" w:hAnsi="Arial Narrow"/>
                <w:noProof/>
                <w:color w:val="000000"/>
                <w:sz w:val="20"/>
                <w:highlight w:val="black"/>
              </w:rPr>
              <w:t>'''''''''''</w:t>
            </w:r>
            <w:r w:rsidR="006A130A" w:rsidRPr="00A84A0B">
              <w:rPr>
                <w:rFonts w:ascii="Arial Narrow" w:hAnsi="Arial Narrow"/>
                <w:sz w:val="20"/>
              </w:rPr>
              <w:t xml:space="preserve"> (</w:t>
            </w:r>
            <w:r>
              <w:rPr>
                <w:rFonts w:ascii="Arial Narrow" w:hAnsi="Arial Narrow"/>
                <w:noProof/>
                <w:color w:val="000000"/>
                <w:sz w:val="20"/>
                <w:highlight w:val="black"/>
              </w:rPr>
              <w:t>'''''''''''</w:t>
            </w:r>
            <w:r w:rsidR="006A130A" w:rsidRPr="00A84A0B">
              <w:rPr>
                <w:rFonts w:ascii="Arial Narrow" w:hAnsi="Arial Narrow"/>
                <w:sz w:val="20"/>
              </w:rPr>
              <w:t xml:space="preserve">, </w:t>
            </w:r>
            <w:r>
              <w:rPr>
                <w:rFonts w:ascii="Arial Narrow" w:hAnsi="Arial Narrow"/>
                <w:noProof/>
                <w:color w:val="000000"/>
                <w:sz w:val="20"/>
                <w:highlight w:val="black"/>
              </w:rPr>
              <w:t>'''''''''''</w:t>
            </w:r>
            <w:r w:rsidR="006A130A" w:rsidRPr="00A84A0B">
              <w:rPr>
                <w:rFonts w:ascii="Arial Narrow" w:hAnsi="Arial Narrow"/>
                <w:sz w:val="20"/>
              </w:rPr>
              <w:t>)</w:t>
            </w:r>
          </w:p>
        </w:tc>
        <w:tc>
          <w:tcPr>
            <w:tcW w:w="959" w:type="dxa"/>
            <w:vAlign w:val="center"/>
          </w:tcPr>
          <w:p w:rsidR="006A130A" w:rsidRPr="00A84A0B" w:rsidRDefault="006A130A" w:rsidP="005939DA">
            <w:pPr>
              <w:jc w:val="center"/>
              <w:rPr>
                <w:rFonts w:ascii="Arial Narrow" w:hAnsi="Arial Narrow"/>
                <w:sz w:val="20"/>
              </w:rPr>
            </w:pPr>
            <w:r w:rsidRPr="00A84A0B">
              <w:rPr>
                <w:rFonts w:ascii="Arial Narrow" w:hAnsi="Arial Narrow"/>
                <w:sz w:val="20"/>
              </w:rPr>
              <w:t>NS</w:t>
            </w:r>
          </w:p>
        </w:tc>
      </w:tr>
      <w:tr w:rsidR="006A130A" w:rsidRPr="00A84A0B" w:rsidTr="005939DA">
        <w:trPr>
          <w:trHeight w:val="397"/>
        </w:trPr>
        <w:tc>
          <w:tcPr>
            <w:tcW w:w="708" w:type="dxa"/>
            <w:vAlign w:val="center"/>
          </w:tcPr>
          <w:p w:rsidR="006A130A" w:rsidRPr="00A84A0B" w:rsidRDefault="006A130A" w:rsidP="005939DA">
            <w:pPr>
              <w:rPr>
                <w:rFonts w:ascii="Arial Narrow" w:hAnsi="Arial Narrow"/>
                <w:sz w:val="20"/>
              </w:rPr>
            </w:pPr>
            <w:r w:rsidRPr="00A84A0B">
              <w:rPr>
                <w:rFonts w:ascii="Arial Narrow" w:hAnsi="Arial Narrow"/>
                <w:sz w:val="20"/>
              </w:rPr>
              <w:t>141</w:t>
            </w:r>
          </w:p>
        </w:tc>
        <w:tc>
          <w:tcPr>
            <w:tcW w:w="2118" w:type="dxa"/>
            <w:tcBorders>
              <w:right w:val="single" w:sz="4" w:space="0" w:color="auto"/>
            </w:tcBorders>
            <w:vAlign w:val="center"/>
          </w:tcPr>
          <w:p w:rsidR="006A130A" w:rsidRPr="00A84A0B" w:rsidRDefault="006A130A" w:rsidP="005939DA">
            <w:pPr>
              <w:jc w:val="center"/>
              <w:rPr>
                <w:rFonts w:ascii="Arial Narrow" w:hAnsi="Arial Narrow"/>
                <w:sz w:val="20"/>
              </w:rPr>
            </w:pPr>
            <w:r w:rsidRPr="00A84A0B">
              <w:rPr>
                <w:rFonts w:ascii="Arial Narrow" w:hAnsi="Arial Narrow"/>
                <w:sz w:val="20"/>
              </w:rPr>
              <w:t>RMSCCHN (2L)</w:t>
            </w:r>
          </w:p>
        </w:tc>
        <w:tc>
          <w:tcPr>
            <w:tcW w:w="1013" w:type="dxa"/>
            <w:tcBorders>
              <w:left w:val="single" w:sz="4" w:space="0" w:color="auto"/>
            </w:tcBorders>
            <w:vAlign w:val="center"/>
          </w:tcPr>
          <w:p w:rsidR="006A130A" w:rsidRPr="00A84A0B" w:rsidRDefault="006A130A" w:rsidP="005939DA">
            <w:pPr>
              <w:jc w:val="center"/>
              <w:rPr>
                <w:rFonts w:ascii="Arial Narrow" w:hAnsi="Arial Narrow"/>
                <w:sz w:val="20"/>
              </w:rPr>
            </w:pPr>
            <w:r w:rsidRPr="00A84A0B">
              <w:rPr>
                <w:rFonts w:ascii="Arial Narrow" w:hAnsi="Arial Narrow"/>
                <w:sz w:val="20"/>
              </w:rPr>
              <w:t>NIV v IC</w:t>
            </w:r>
          </w:p>
        </w:tc>
        <w:tc>
          <w:tcPr>
            <w:tcW w:w="969" w:type="dxa"/>
            <w:tcBorders>
              <w:left w:val="single" w:sz="4" w:space="0" w:color="auto"/>
            </w:tcBorders>
            <w:vAlign w:val="center"/>
          </w:tcPr>
          <w:p w:rsidR="006A130A" w:rsidRPr="00A84A0B" w:rsidRDefault="006A130A" w:rsidP="005939DA">
            <w:pPr>
              <w:jc w:val="center"/>
              <w:rPr>
                <w:rFonts w:ascii="Arial Narrow" w:hAnsi="Arial Narrow"/>
                <w:sz w:val="20"/>
              </w:rPr>
            </w:pPr>
            <w:r w:rsidRPr="00A84A0B">
              <w:rPr>
                <w:rFonts w:ascii="Arial Narrow" w:hAnsi="Arial Narrow"/>
                <w:sz w:val="20"/>
              </w:rPr>
              <w:t>361 (30.7)</w:t>
            </w:r>
          </w:p>
        </w:tc>
        <w:tc>
          <w:tcPr>
            <w:tcW w:w="1272" w:type="dxa"/>
            <w:vAlign w:val="center"/>
          </w:tcPr>
          <w:p w:rsidR="006A130A" w:rsidRPr="00A84A0B" w:rsidRDefault="006A130A" w:rsidP="005939DA">
            <w:pPr>
              <w:jc w:val="center"/>
              <w:rPr>
                <w:rFonts w:ascii="Arial Narrow" w:hAnsi="Arial Narrow"/>
                <w:sz w:val="20"/>
              </w:rPr>
            </w:pPr>
            <w:r w:rsidRPr="00D34FF6">
              <w:rPr>
                <w:rFonts w:ascii="Arial Narrow" w:hAnsi="Arial Narrow"/>
                <w:sz w:val="20"/>
              </w:rPr>
              <w:t>0.89</w:t>
            </w:r>
            <w:r w:rsidRPr="00A84A0B">
              <w:rPr>
                <w:rFonts w:ascii="Arial Narrow" w:hAnsi="Arial Narrow"/>
                <w:sz w:val="20"/>
              </w:rPr>
              <w:t xml:space="preserve"> (</w:t>
            </w:r>
            <w:r w:rsidRPr="00D34FF6">
              <w:rPr>
                <w:rFonts w:ascii="Arial Narrow" w:hAnsi="Arial Narrow"/>
                <w:sz w:val="20"/>
              </w:rPr>
              <w:t>0.54</w:t>
            </w:r>
            <w:r w:rsidRPr="00A84A0B">
              <w:rPr>
                <w:rFonts w:ascii="Arial Narrow" w:hAnsi="Arial Narrow"/>
                <w:sz w:val="20"/>
              </w:rPr>
              <w:t xml:space="preserve">, </w:t>
            </w:r>
            <w:r w:rsidRPr="00D34FF6">
              <w:rPr>
                <w:rFonts w:ascii="Arial Narrow" w:hAnsi="Arial Narrow"/>
                <w:sz w:val="20"/>
              </w:rPr>
              <w:t>1.45</w:t>
            </w:r>
            <w:r w:rsidRPr="00A84A0B">
              <w:rPr>
                <w:rFonts w:ascii="Arial Narrow" w:hAnsi="Arial Narrow"/>
                <w:sz w:val="20"/>
              </w:rPr>
              <w:t>)</w:t>
            </w:r>
          </w:p>
        </w:tc>
        <w:tc>
          <w:tcPr>
            <w:tcW w:w="1273" w:type="dxa"/>
            <w:vAlign w:val="center"/>
          </w:tcPr>
          <w:p w:rsidR="006A130A" w:rsidRPr="00A84A0B" w:rsidRDefault="006A130A" w:rsidP="005939DA">
            <w:pPr>
              <w:jc w:val="center"/>
              <w:rPr>
                <w:rFonts w:ascii="Arial Narrow" w:hAnsi="Arial Narrow"/>
                <w:b/>
                <w:sz w:val="20"/>
              </w:rPr>
            </w:pPr>
            <w:r w:rsidRPr="00D34FF6">
              <w:rPr>
                <w:rFonts w:ascii="Arial Narrow" w:hAnsi="Arial Narrow"/>
                <w:b/>
                <w:sz w:val="20"/>
              </w:rPr>
              <w:t>0.55</w:t>
            </w:r>
            <w:r w:rsidRPr="00A84A0B">
              <w:rPr>
                <w:rFonts w:ascii="Arial Narrow" w:hAnsi="Arial Narrow"/>
                <w:b/>
                <w:sz w:val="20"/>
              </w:rPr>
              <w:t xml:space="preserve"> (</w:t>
            </w:r>
            <w:r w:rsidRPr="00D34FF6">
              <w:rPr>
                <w:rFonts w:ascii="Arial Narrow" w:hAnsi="Arial Narrow"/>
                <w:b/>
                <w:sz w:val="20"/>
              </w:rPr>
              <w:t>0.36</w:t>
            </w:r>
            <w:r w:rsidRPr="00A84A0B">
              <w:rPr>
                <w:rFonts w:ascii="Arial Narrow" w:hAnsi="Arial Narrow"/>
                <w:b/>
                <w:sz w:val="20"/>
              </w:rPr>
              <w:t xml:space="preserve">, </w:t>
            </w:r>
            <w:r w:rsidRPr="00D34FF6">
              <w:rPr>
                <w:rFonts w:ascii="Arial Narrow" w:hAnsi="Arial Narrow"/>
                <w:b/>
                <w:sz w:val="20"/>
              </w:rPr>
              <w:t>0.83</w:t>
            </w:r>
            <w:r w:rsidRPr="00A84A0B">
              <w:rPr>
                <w:rFonts w:ascii="Arial Narrow" w:hAnsi="Arial Narrow"/>
                <w:b/>
                <w:sz w:val="20"/>
              </w:rPr>
              <w:t>)</w:t>
            </w:r>
          </w:p>
        </w:tc>
        <w:tc>
          <w:tcPr>
            <w:tcW w:w="959" w:type="dxa"/>
            <w:vAlign w:val="center"/>
          </w:tcPr>
          <w:p w:rsidR="006A130A" w:rsidRPr="00A84A0B" w:rsidRDefault="006A130A" w:rsidP="005939DA">
            <w:pPr>
              <w:jc w:val="center"/>
              <w:rPr>
                <w:rFonts w:ascii="Arial Narrow" w:hAnsi="Arial Narrow"/>
                <w:sz w:val="20"/>
                <w:vertAlign w:val="superscript"/>
              </w:rPr>
            </w:pPr>
            <w:r w:rsidRPr="00A84A0B">
              <w:rPr>
                <w:rFonts w:ascii="Arial Narrow" w:hAnsi="Arial Narrow"/>
                <w:sz w:val="20"/>
              </w:rPr>
              <w:t>0.46</w:t>
            </w:r>
            <w:r w:rsidRPr="00A84A0B">
              <w:rPr>
                <w:rFonts w:ascii="Arial Narrow" w:hAnsi="Arial Narrow"/>
                <w:sz w:val="20"/>
                <w:vertAlign w:val="superscript"/>
              </w:rPr>
              <w:t>f</w:t>
            </w:r>
          </w:p>
        </w:tc>
      </w:tr>
      <w:tr w:rsidR="006A130A" w:rsidRPr="00A84A0B" w:rsidTr="005939DA">
        <w:trPr>
          <w:trHeight w:val="567"/>
        </w:trPr>
        <w:tc>
          <w:tcPr>
            <w:tcW w:w="4808" w:type="dxa"/>
            <w:gridSpan w:val="4"/>
            <w:vAlign w:val="center"/>
          </w:tcPr>
          <w:p w:rsidR="006A130A" w:rsidRPr="00A84A0B" w:rsidRDefault="006A130A" w:rsidP="005939DA">
            <w:pPr>
              <w:jc w:val="right"/>
              <w:rPr>
                <w:rFonts w:ascii="Arial Narrow" w:hAnsi="Arial Narrow"/>
                <w:sz w:val="20"/>
              </w:rPr>
            </w:pPr>
            <w:r w:rsidRPr="00A84A0B">
              <w:rPr>
                <w:rFonts w:ascii="Arial Narrow" w:hAnsi="Arial Narrow"/>
                <w:sz w:val="20"/>
              </w:rPr>
              <w:t>Meta-analysis – nivolumab in NSCLC (017, 057)</w:t>
            </w:r>
          </w:p>
        </w:tc>
        <w:tc>
          <w:tcPr>
            <w:tcW w:w="1272" w:type="dxa"/>
            <w:vAlign w:val="center"/>
          </w:tcPr>
          <w:p w:rsidR="006A130A" w:rsidRPr="00A84A0B" w:rsidRDefault="006A130A" w:rsidP="005939DA">
            <w:pPr>
              <w:jc w:val="center"/>
              <w:rPr>
                <w:rFonts w:ascii="Arial Narrow" w:hAnsi="Arial Narrow"/>
                <w:sz w:val="20"/>
              </w:rPr>
            </w:pPr>
            <w:r w:rsidRPr="00D34FF6">
              <w:rPr>
                <w:rFonts w:ascii="Arial Narrow" w:hAnsi="Arial Narrow"/>
                <w:sz w:val="20"/>
              </w:rPr>
              <w:t>0.74</w:t>
            </w:r>
            <w:r w:rsidRPr="00A84A0B">
              <w:rPr>
                <w:rFonts w:ascii="Arial Narrow" w:hAnsi="Arial Narrow"/>
                <w:sz w:val="20"/>
              </w:rPr>
              <w:t xml:space="preserve"> (</w:t>
            </w:r>
            <w:r w:rsidRPr="00D34FF6">
              <w:rPr>
                <w:rFonts w:ascii="Arial Narrow" w:hAnsi="Arial Narrow"/>
                <w:sz w:val="20"/>
              </w:rPr>
              <w:t>0.49</w:t>
            </w:r>
            <w:r w:rsidRPr="00A84A0B">
              <w:rPr>
                <w:rFonts w:ascii="Arial Narrow" w:hAnsi="Arial Narrow"/>
                <w:sz w:val="20"/>
              </w:rPr>
              <w:t xml:space="preserve">, </w:t>
            </w:r>
            <w:r w:rsidRPr="00D34FF6">
              <w:rPr>
                <w:rFonts w:ascii="Arial Narrow" w:hAnsi="Arial Narrow"/>
                <w:sz w:val="20"/>
              </w:rPr>
              <w:t>1.14</w:t>
            </w:r>
            <w:r w:rsidRPr="00A84A0B">
              <w:rPr>
                <w:rFonts w:ascii="Arial Narrow" w:hAnsi="Arial Narrow"/>
                <w:sz w:val="20"/>
              </w:rPr>
              <w:t>)</w:t>
            </w:r>
          </w:p>
          <w:p w:rsidR="006A130A" w:rsidRPr="00A84A0B" w:rsidRDefault="006A130A" w:rsidP="005939DA">
            <w:pPr>
              <w:jc w:val="center"/>
              <w:rPr>
                <w:rFonts w:ascii="Arial Narrow" w:hAnsi="Arial Narrow"/>
                <w:sz w:val="20"/>
              </w:rPr>
            </w:pPr>
            <w:r w:rsidRPr="00A84A0B">
              <w:rPr>
                <w:rFonts w:ascii="Arial Narrow" w:hAnsi="Arial Narrow"/>
                <w:sz w:val="20"/>
              </w:rPr>
              <w:t>I</w:t>
            </w:r>
            <w:r w:rsidRPr="00A84A0B">
              <w:rPr>
                <w:rFonts w:ascii="Arial Narrow" w:hAnsi="Arial Narrow"/>
                <w:sz w:val="20"/>
                <w:vertAlign w:val="superscript"/>
              </w:rPr>
              <w:t>2</w:t>
            </w:r>
            <w:r w:rsidRPr="00A84A0B">
              <w:rPr>
                <w:rFonts w:ascii="Arial Narrow" w:hAnsi="Arial Narrow"/>
                <w:sz w:val="20"/>
              </w:rPr>
              <w:t>=59.3%</w:t>
            </w:r>
          </w:p>
        </w:tc>
        <w:tc>
          <w:tcPr>
            <w:tcW w:w="1273" w:type="dxa"/>
            <w:vAlign w:val="center"/>
          </w:tcPr>
          <w:p w:rsidR="006A130A" w:rsidRPr="00A84A0B" w:rsidRDefault="006A130A" w:rsidP="005939DA">
            <w:pPr>
              <w:jc w:val="center"/>
              <w:rPr>
                <w:rFonts w:ascii="Arial Narrow" w:hAnsi="Arial Narrow"/>
                <w:b/>
                <w:sz w:val="20"/>
              </w:rPr>
            </w:pPr>
            <w:r w:rsidRPr="00D34FF6">
              <w:rPr>
                <w:rFonts w:ascii="Arial Narrow" w:hAnsi="Arial Narrow"/>
                <w:b/>
                <w:sz w:val="20"/>
              </w:rPr>
              <w:t>0.63</w:t>
            </w:r>
            <w:r w:rsidRPr="00A84A0B">
              <w:rPr>
                <w:rFonts w:ascii="Arial Narrow" w:hAnsi="Arial Narrow"/>
                <w:b/>
                <w:sz w:val="20"/>
              </w:rPr>
              <w:t xml:space="preserve"> (</w:t>
            </w:r>
            <w:r w:rsidRPr="00D34FF6">
              <w:rPr>
                <w:rFonts w:ascii="Arial Narrow" w:hAnsi="Arial Narrow"/>
                <w:b/>
                <w:sz w:val="20"/>
              </w:rPr>
              <w:t>0.49</w:t>
            </w:r>
            <w:r w:rsidRPr="00A84A0B">
              <w:rPr>
                <w:rFonts w:ascii="Arial Narrow" w:hAnsi="Arial Narrow"/>
                <w:b/>
                <w:sz w:val="20"/>
              </w:rPr>
              <w:t xml:space="preserve">, </w:t>
            </w:r>
            <w:r w:rsidRPr="00D34FF6">
              <w:rPr>
                <w:rFonts w:ascii="Arial Narrow" w:hAnsi="Arial Narrow"/>
                <w:b/>
                <w:sz w:val="20"/>
              </w:rPr>
              <w:t>0.81</w:t>
            </w:r>
            <w:r w:rsidRPr="00A84A0B">
              <w:rPr>
                <w:rFonts w:ascii="Arial Narrow" w:hAnsi="Arial Narrow"/>
                <w:b/>
                <w:sz w:val="20"/>
              </w:rPr>
              <w:t>)</w:t>
            </w:r>
          </w:p>
          <w:p w:rsidR="006A130A" w:rsidRPr="00A84A0B" w:rsidRDefault="006A130A" w:rsidP="005939DA">
            <w:pPr>
              <w:jc w:val="center"/>
              <w:rPr>
                <w:rFonts w:ascii="Arial Narrow" w:hAnsi="Arial Narrow"/>
                <w:sz w:val="20"/>
              </w:rPr>
            </w:pPr>
            <w:r w:rsidRPr="00A84A0B">
              <w:rPr>
                <w:rFonts w:ascii="Arial Narrow" w:hAnsi="Arial Narrow"/>
                <w:sz w:val="20"/>
              </w:rPr>
              <w:t>I</w:t>
            </w:r>
            <w:r w:rsidRPr="00A84A0B">
              <w:rPr>
                <w:rFonts w:ascii="Arial Narrow" w:hAnsi="Arial Narrow"/>
                <w:sz w:val="20"/>
                <w:vertAlign w:val="superscript"/>
              </w:rPr>
              <w:t>2</w:t>
            </w:r>
            <w:r w:rsidRPr="00A84A0B">
              <w:rPr>
                <w:rFonts w:ascii="Arial Narrow" w:hAnsi="Arial Narrow"/>
                <w:sz w:val="20"/>
              </w:rPr>
              <w:t xml:space="preserve">=0% </w:t>
            </w:r>
          </w:p>
        </w:tc>
        <w:tc>
          <w:tcPr>
            <w:tcW w:w="959" w:type="dxa"/>
            <w:vAlign w:val="center"/>
          </w:tcPr>
          <w:p w:rsidR="006A130A" w:rsidRPr="00A84A0B" w:rsidRDefault="006A130A" w:rsidP="005939DA">
            <w:pPr>
              <w:jc w:val="center"/>
              <w:rPr>
                <w:rFonts w:ascii="Arial Narrow" w:hAnsi="Arial Narrow"/>
                <w:sz w:val="20"/>
              </w:rPr>
            </w:pPr>
            <w:r w:rsidRPr="00A84A0B">
              <w:rPr>
                <w:rFonts w:ascii="Arial Narrow" w:hAnsi="Arial Narrow"/>
                <w:sz w:val="20"/>
              </w:rPr>
              <w:t>NS</w:t>
            </w:r>
          </w:p>
        </w:tc>
      </w:tr>
      <w:tr w:rsidR="006A130A" w:rsidRPr="00A84A0B" w:rsidTr="005939DA">
        <w:trPr>
          <w:trHeight w:val="567"/>
        </w:trPr>
        <w:tc>
          <w:tcPr>
            <w:tcW w:w="4808" w:type="dxa"/>
            <w:gridSpan w:val="4"/>
            <w:vAlign w:val="center"/>
          </w:tcPr>
          <w:p w:rsidR="006A130A" w:rsidRPr="00A84A0B" w:rsidRDefault="006A130A" w:rsidP="005939DA">
            <w:pPr>
              <w:jc w:val="right"/>
              <w:rPr>
                <w:rFonts w:ascii="Arial Narrow" w:hAnsi="Arial Narrow"/>
                <w:sz w:val="20"/>
              </w:rPr>
            </w:pPr>
            <w:r w:rsidRPr="00A84A0B">
              <w:rPr>
                <w:rFonts w:ascii="Arial Narrow" w:hAnsi="Arial Narrow"/>
                <w:sz w:val="20"/>
              </w:rPr>
              <w:t xml:space="preserve">Meta-analysis – nivolumab in melanoma (037, 066) </w:t>
            </w:r>
          </w:p>
        </w:tc>
        <w:tc>
          <w:tcPr>
            <w:tcW w:w="1272" w:type="dxa"/>
            <w:vAlign w:val="center"/>
          </w:tcPr>
          <w:p w:rsidR="006A130A" w:rsidRPr="00A84A0B" w:rsidRDefault="006A130A" w:rsidP="005939DA">
            <w:pPr>
              <w:jc w:val="center"/>
              <w:rPr>
                <w:rFonts w:ascii="Arial Narrow" w:hAnsi="Arial Narrow"/>
                <w:sz w:val="20"/>
              </w:rPr>
            </w:pPr>
            <w:r w:rsidRPr="00D34FF6">
              <w:rPr>
                <w:rFonts w:ascii="Arial Narrow" w:hAnsi="Arial Narrow"/>
                <w:sz w:val="20"/>
              </w:rPr>
              <w:t>0.98</w:t>
            </w:r>
            <w:r w:rsidRPr="00A84A0B">
              <w:rPr>
                <w:rFonts w:ascii="Arial Narrow" w:hAnsi="Arial Narrow"/>
                <w:sz w:val="20"/>
              </w:rPr>
              <w:t xml:space="preserve"> (</w:t>
            </w:r>
            <w:r w:rsidRPr="00D34FF6">
              <w:rPr>
                <w:rFonts w:ascii="Arial Narrow" w:hAnsi="Arial Narrow"/>
                <w:sz w:val="20"/>
              </w:rPr>
              <w:t>0.41</w:t>
            </w:r>
            <w:r w:rsidRPr="00A84A0B">
              <w:rPr>
                <w:rFonts w:ascii="Arial Narrow" w:hAnsi="Arial Narrow"/>
                <w:sz w:val="20"/>
              </w:rPr>
              <w:t xml:space="preserve">, </w:t>
            </w:r>
            <w:r w:rsidRPr="00D34FF6">
              <w:rPr>
                <w:rFonts w:ascii="Arial Narrow" w:hAnsi="Arial Narrow"/>
                <w:sz w:val="20"/>
              </w:rPr>
              <w:t>2.32</w:t>
            </w:r>
            <w:r w:rsidRPr="00A84A0B">
              <w:rPr>
                <w:rFonts w:ascii="Arial Narrow" w:hAnsi="Arial Narrow"/>
                <w:sz w:val="20"/>
              </w:rPr>
              <w:t>)</w:t>
            </w:r>
          </w:p>
          <w:p w:rsidR="006A130A" w:rsidRPr="00A84A0B" w:rsidRDefault="006A130A" w:rsidP="005939DA">
            <w:pPr>
              <w:jc w:val="center"/>
              <w:rPr>
                <w:rFonts w:ascii="Arial Narrow" w:hAnsi="Arial Narrow"/>
                <w:sz w:val="20"/>
              </w:rPr>
            </w:pPr>
            <w:r w:rsidRPr="00A84A0B">
              <w:rPr>
                <w:rFonts w:ascii="Arial Narrow" w:hAnsi="Arial Narrow"/>
                <w:sz w:val="20"/>
              </w:rPr>
              <w:t>I</w:t>
            </w:r>
            <w:r w:rsidRPr="00A84A0B">
              <w:rPr>
                <w:rFonts w:ascii="Arial Narrow" w:hAnsi="Arial Narrow"/>
                <w:sz w:val="20"/>
                <w:vertAlign w:val="superscript"/>
              </w:rPr>
              <w:t>2</w:t>
            </w:r>
            <w:r w:rsidRPr="00A84A0B">
              <w:rPr>
                <w:rFonts w:ascii="Arial Narrow" w:hAnsi="Arial Narrow"/>
                <w:sz w:val="20"/>
              </w:rPr>
              <w:t>=81.3%</w:t>
            </w:r>
          </w:p>
        </w:tc>
        <w:tc>
          <w:tcPr>
            <w:tcW w:w="1273" w:type="dxa"/>
            <w:vAlign w:val="center"/>
          </w:tcPr>
          <w:p w:rsidR="006A130A" w:rsidRPr="00A84A0B" w:rsidRDefault="006A130A" w:rsidP="005939DA">
            <w:pPr>
              <w:jc w:val="center"/>
              <w:rPr>
                <w:rFonts w:ascii="Arial Narrow" w:hAnsi="Arial Narrow"/>
                <w:sz w:val="20"/>
              </w:rPr>
            </w:pPr>
            <w:r w:rsidRPr="00D34FF6">
              <w:rPr>
                <w:rFonts w:ascii="Arial Narrow" w:hAnsi="Arial Narrow"/>
                <w:sz w:val="20"/>
              </w:rPr>
              <w:t>0.45</w:t>
            </w:r>
            <w:r w:rsidRPr="00A84A0B">
              <w:rPr>
                <w:rFonts w:ascii="Arial Narrow" w:hAnsi="Arial Narrow"/>
                <w:sz w:val="20"/>
              </w:rPr>
              <w:t xml:space="preserve"> (</w:t>
            </w:r>
            <w:r w:rsidRPr="00D34FF6">
              <w:rPr>
                <w:rFonts w:ascii="Arial Narrow" w:hAnsi="Arial Narrow"/>
                <w:sz w:val="20"/>
              </w:rPr>
              <w:t>0.19</w:t>
            </w:r>
            <w:r w:rsidRPr="00A84A0B">
              <w:rPr>
                <w:rFonts w:ascii="Arial Narrow" w:hAnsi="Arial Narrow"/>
                <w:sz w:val="20"/>
              </w:rPr>
              <w:t xml:space="preserve">, </w:t>
            </w:r>
            <w:r w:rsidRPr="00D34FF6">
              <w:rPr>
                <w:rFonts w:ascii="Arial Narrow" w:hAnsi="Arial Narrow"/>
                <w:sz w:val="20"/>
              </w:rPr>
              <w:t>1.06</w:t>
            </w:r>
            <w:r w:rsidRPr="00A84A0B">
              <w:rPr>
                <w:rFonts w:ascii="Arial Narrow" w:hAnsi="Arial Narrow"/>
                <w:sz w:val="20"/>
              </w:rPr>
              <w:t>)</w:t>
            </w:r>
          </w:p>
          <w:p w:rsidR="006A130A" w:rsidRPr="00A84A0B" w:rsidRDefault="006A130A" w:rsidP="005939DA">
            <w:pPr>
              <w:jc w:val="center"/>
              <w:rPr>
                <w:rFonts w:ascii="Arial Narrow" w:hAnsi="Arial Narrow"/>
                <w:sz w:val="20"/>
              </w:rPr>
            </w:pPr>
            <w:r w:rsidRPr="00A84A0B">
              <w:rPr>
                <w:rFonts w:ascii="Arial Narrow" w:hAnsi="Arial Narrow"/>
                <w:sz w:val="20"/>
              </w:rPr>
              <w:t>I</w:t>
            </w:r>
            <w:r w:rsidRPr="00A84A0B">
              <w:rPr>
                <w:rFonts w:ascii="Arial Narrow" w:hAnsi="Arial Narrow"/>
                <w:sz w:val="20"/>
                <w:vertAlign w:val="superscript"/>
              </w:rPr>
              <w:t>2</w:t>
            </w:r>
            <w:r w:rsidRPr="00A84A0B">
              <w:rPr>
                <w:rFonts w:ascii="Arial Narrow" w:hAnsi="Arial Narrow"/>
                <w:sz w:val="20"/>
              </w:rPr>
              <w:t>=87.8%</w:t>
            </w:r>
          </w:p>
        </w:tc>
        <w:tc>
          <w:tcPr>
            <w:tcW w:w="959" w:type="dxa"/>
            <w:vAlign w:val="center"/>
          </w:tcPr>
          <w:p w:rsidR="006A130A" w:rsidRPr="00A84A0B" w:rsidRDefault="006A130A" w:rsidP="005939DA">
            <w:pPr>
              <w:jc w:val="center"/>
              <w:rPr>
                <w:rFonts w:ascii="Arial Narrow" w:hAnsi="Arial Narrow"/>
                <w:sz w:val="20"/>
              </w:rPr>
            </w:pPr>
            <w:r w:rsidRPr="00A84A0B">
              <w:rPr>
                <w:rFonts w:ascii="Arial Narrow" w:hAnsi="Arial Narrow"/>
                <w:sz w:val="20"/>
              </w:rPr>
              <w:t>NS</w:t>
            </w:r>
          </w:p>
        </w:tc>
      </w:tr>
      <w:tr w:rsidR="006A130A" w:rsidRPr="00A84A0B" w:rsidTr="005939DA">
        <w:trPr>
          <w:trHeight w:val="567"/>
        </w:trPr>
        <w:tc>
          <w:tcPr>
            <w:tcW w:w="4808" w:type="dxa"/>
            <w:gridSpan w:val="4"/>
            <w:vAlign w:val="center"/>
          </w:tcPr>
          <w:p w:rsidR="006A130A" w:rsidRPr="00A84A0B" w:rsidRDefault="006A130A" w:rsidP="005939DA">
            <w:pPr>
              <w:jc w:val="right"/>
              <w:rPr>
                <w:rFonts w:ascii="Arial Narrow" w:hAnsi="Arial Narrow"/>
                <w:sz w:val="20"/>
              </w:rPr>
            </w:pPr>
            <w:r w:rsidRPr="00A84A0B">
              <w:rPr>
                <w:rFonts w:ascii="Arial Narrow" w:hAnsi="Arial Narrow"/>
                <w:sz w:val="20"/>
              </w:rPr>
              <w:t>Meta-analysis – PD pathway in melanoma (037, 066, KN-006)</w:t>
            </w:r>
          </w:p>
        </w:tc>
        <w:tc>
          <w:tcPr>
            <w:tcW w:w="1272" w:type="dxa"/>
            <w:vAlign w:val="center"/>
          </w:tcPr>
          <w:p w:rsidR="006A130A" w:rsidRPr="00A84A0B" w:rsidRDefault="006A130A" w:rsidP="005939DA">
            <w:pPr>
              <w:jc w:val="center"/>
              <w:rPr>
                <w:rFonts w:ascii="Arial Narrow" w:hAnsi="Arial Narrow"/>
                <w:sz w:val="20"/>
              </w:rPr>
            </w:pPr>
            <w:r w:rsidRPr="00D34FF6">
              <w:rPr>
                <w:rFonts w:ascii="Arial Narrow" w:hAnsi="Arial Narrow"/>
                <w:sz w:val="20"/>
              </w:rPr>
              <w:t>0.97</w:t>
            </w:r>
            <w:r w:rsidRPr="00A84A0B">
              <w:rPr>
                <w:rFonts w:ascii="Arial Narrow" w:hAnsi="Arial Narrow"/>
                <w:sz w:val="20"/>
              </w:rPr>
              <w:t xml:space="preserve"> (</w:t>
            </w:r>
            <w:r w:rsidRPr="00D34FF6">
              <w:rPr>
                <w:rFonts w:ascii="Arial Narrow" w:hAnsi="Arial Narrow"/>
                <w:sz w:val="20"/>
              </w:rPr>
              <w:t>0.67</w:t>
            </w:r>
            <w:r w:rsidRPr="00A84A0B">
              <w:rPr>
                <w:rFonts w:ascii="Arial Narrow" w:hAnsi="Arial Narrow"/>
                <w:sz w:val="20"/>
              </w:rPr>
              <w:t xml:space="preserve">, </w:t>
            </w:r>
            <w:r w:rsidRPr="00D34FF6">
              <w:rPr>
                <w:rFonts w:ascii="Arial Narrow" w:hAnsi="Arial Narrow"/>
                <w:sz w:val="20"/>
              </w:rPr>
              <w:t>1.42</w:t>
            </w:r>
            <w:r w:rsidRPr="00A84A0B">
              <w:rPr>
                <w:rFonts w:ascii="Arial Narrow" w:hAnsi="Arial Narrow"/>
                <w:sz w:val="20"/>
              </w:rPr>
              <w:t>)</w:t>
            </w:r>
          </w:p>
          <w:p w:rsidR="006A130A" w:rsidRPr="00A84A0B" w:rsidRDefault="006A130A" w:rsidP="005939DA">
            <w:pPr>
              <w:jc w:val="center"/>
              <w:rPr>
                <w:rFonts w:ascii="Arial Narrow" w:hAnsi="Arial Narrow"/>
                <w:sz w:val="20"/>
              </w:rPr>
            </w:pPr>
            <w:r w:rsidRPr="00A84A0B">
              <w:rPr>
                <w:rFonts w:ascii="Arial Narrow" w:hAnsi="Arial Narrow"/>
                <w:sz w:val="20"/>
              </w:rPr>
              <w:t>I</w:t>
            </w:r>
            <w:r w:rsidRPr="00A84A0B">
              <w:rPr>
                <w:rFonts w:ascii="Arial Narrow" w:hAnsi="Arial Narrow"/>
                <w:sz w:val="20"/>
                <w:vertAlign w:val="superscript"/>
              </w:rPr>
              <w:t>2</w:t>
            </w:r>
            <w:r w:rsidRPr="00A84A0B">
              <w:rPr>
                <w:rFonts w:ascii="Arial Narrow" w:hAnsi="Arial Narrow"/>
                <w:sz w:val="20"/>
              </w:rPr>
              <w:t>=44.7%</w:t>
            </w:r>
          </w:p>
        </w:tc>
        <w:tc>
          <w:tcPr>
            <w:tcW w:w="1273" w:type="dxa"/>
            <w:vAlign w:val="center"/>
          </w:tcPr>
          <w:p w:rsidR="006A130A" w:rsidRPr="00A84A0B" w:rsidRDefault="006A130A" w:rsidP="005939DA">
            <w:pPr>
              <w:jc w:val="center"/>
              <w:rPr>
                <w:rFonts w:ascii="Arial Narrow" w:hAnsi="Arial Narrow"/>
                <w:b/>
                <w:sz w:val="20"/>
              </w:rPr>
            </w:pPr>
            <w:r w:rsidRPr="00D34FF6">
              <w:rPr>
                <w:rFonts w:ascii="Arial Narrow" w:hAnsi="Arial Narrow"/>
                <w:b/>
                <w:sz w:val="20"/>
              </w:rPr>
              <w:t>0.52</w:t>
            </w:r>
            <w:r w:rsidRPr="00A84A0B">
              <w:rPr>
                <w:rFonts w:ascii="Arial Narrow" w:hAnsi="Arial Narrow"/>
                <w:b/>
                <w:sz w:val="20"/>
              </w:rPr>
              <w:t xml:space="preserve"> (</w:t>
            </w:r>
            <w:r w:rsidRPr="00D34FF6">
              <w:rPr>
                <w:rFonts w:ascii="Arial Narrow" w:hAnsi="Arial Narrow"/>
                <w:b/>
                <w:sz w:val="20"/>
              </w:rPr>
              <w:t>0.38</w:t>
            </w:r>
            <w:r w:rsidRPr="00A84A0B">
              <w:rPr>
                <w:rFonts w:ascii="Arial Narrow" w:hAnsi="Arial Narrow"/>
                <w:b/>
                <w:sz w:val="20"/>
              </w:rPr>
              <w:t xml:space="preserve">, </w:t>
            </w:r>
            <w:r w:rsidRPr="00D34FF6">
              <w:rPr>
                <w:rFonts w:ascii="Arial Narrow" w:hAnsi="Arial Narrow"/>
                <w:b/>
                <w:sz w:val="20"/>
              </w:rPr>
              <w:t>0.71</w:t>
            </w:r>
            <w:r w:rsidRPr="00A84A0B">
              <w:rPr>
                <w:rFonts w:ascii="Arial Narrow" w:hAnsi="Arial Narrow"/>
                <w:b/>
                <w:sz w:val="20"/>
              </w:rPr>
              <w:t>)</w:t>
            </w:r>
          </w:p>
          <w:p w:rsidR="006A130A" w:rsidRPr="00A84A0B" w:rsidRDefault="006A130A" w:rsidP="005939DA">
            <w:pPr>
              <w:jc w:val="center"/>
              <w:rPr>
                <w:rFonts w:ascii="Arial Narrow" w:hAnsi="Arial Narrow"/>
                <w:sz w:val="20"/>
              </w:rPr>
            </w:pPr>
            <w:r w:rsidRPr="00A84A0B">
              <w:rPr>
                <w:rFonts w:ascii="Arial Narrow" w:hAnsi="Arial Narrow"/>
                <w:sz w:val="20"/>
              </w:rPr>
              <w:t>I</w:t>
            </w:r>
            <w:r w:rsidRPr="00A84A0B">
              <w:rPr>
                <w:rFonts w:ascii="Arial Narrow" w:hAnsi="Arial Narrow"/>
                <w:sz w:val="20"/>
                <w:vertAlign w:val="superscript"/>
              </w:rPr>
              <w:t>2</w:t>
            </w:r>
            <w:r w:rsidRPr="00A84A0B">
              <w:rPr>
                <w:rFonts w:ascii="Arial Narrow" w:hAnsi="Arial Narrow"/>
                <w:sz w:val="20"/>
              </w:rPr>
              <w:t>=64.5%</w:t>
            </w:r>
          </w:p>
        </w:tc>
        <w:tc>
          <w:tcPr>
            <w:tcW w:w="959" w:type="dxa"/>
            <w:vAlign w:val="center"/>
          </w:tcPr>
          <w:p w:rsidR="006A130A" w:rsidRPr="00A84A0B" w:rsidRDefault="006A130A" w:rsidP="005939DA">
            <w:pPr>
              <w:jc w:val="center"/>
              <w:rPr>
                <w:rFonts w:ascii="Arial Narrow" w:hAnsi="Arial Narrow"/>
                <w:b/>
                <w:sz w:val="20"/>
              </w:rPr>
            </w:pPr>
            <w:r w:rsidRPr="00A84A0B">
              <w:rPr>
                <w:rFonts w:ascii="Arial Narrow" w:hAnsi="Arial Narrow"/>
                <w:b/>
                <w:sz w:val="20"/>
              </w:rPr>
              <w:t>&lt;0.05</w:t>
            </w:r>
          </w:p>
        </w:tc>
      </w:tr>
      <w:tr w:rsidR="006A130A" w:rsidRPr="00A84A0B" w:rsidTr="005939DA">
        <w:trPr>
          <w:trHeight w:val="567"/>
        </w:trPr>
        <w:tc>
          <w:tcPr>
            <w:tcW w:w="4808" w:type="dxa"/>
            <w:gridSpan w:val="4"/>
            <w:vAlign w:val="center"/>
          </w:tcPr>
          <w:p w:rsidR="006A130A" w:rsidRPr="00A84A0B" w:rsidRDefault="006A130A" w:rsidP="005939DA">
            <w:pPr>
              <w:jc w:val="right"/>
              <w:rPr>
                <w:rFonts w:ascii="Arial Narrow" w:hAnsi="Arial Narrow"/>
                <w:sz w:val="20"/>
              </w:rPr>
            </w:pPr>
            <w:r w:rsidRPr="00A84A0B">
              <w:rPr>
                <w:rFonts w:ascii="Arial Narrow" w:hAnsi="Arial Narrow"/>
                <w:sz w:val="20"/>
              </w:rPr>
              <w:t>Meta-analysis – nivolumab in cancer (017, 057, 037, 066, 025, 141)</w:t>
            </w:r>
          </w:p>
        </w:tc>
        <w:tc>
          <w:tcPr>
            <w:tcW w:w="1272" w:type="dxa"/>
            <w:vAlign w:val="center"/>
          </w:tcPr>
          <w:p w:rsidR="006A130A" w:rsidRPr="00A84A0B" w:rsidRDefault="006A130A" w:rsidP="005939DA">
            <w:pPr>
              <w:jc w:val="center"/>
              <w:rPr>
                <w:rFonts w:ascii="Arial Narrow" w:hAnsi="Arial Narrow"/>
                <w:sz w:val="20"/>
              </w:rPr>
            </w:pPr>
            <w:r w:rsidRPr="00D34FF6">
              <w:rPr>
                <w:rFonts w:ascii="Arial Narrow" w:hAnsi="Arial Narrow"/>
                <w:sz w:val="20"/>
              </w:rPr>
              <w:t>0.83</w:t>
            </w:r>
            <w:r w:rsidRPr="00A84A0B">
              <w:rPr>
                <w:rFonts w:ascii="Arial Narrow" w:hAnsi="Arial Narrow"/>
                <w:sz w:val="20"/>
              </w:rPr>
              <w:t xml:space="preserve"> (</w:t>
            </w:r>
            <w:r w:rsidRPr="00D34FF6">
              <w:rPr>
                <w:rFonts w:ascii="Arial Narrow" w:hAnsi="Arial Narrow"/>
                <w:sz w:val="20"/>
              </w:rPr>
              <w:t>0.66</w:t>
            </w:r>
            <w:r w:rsidRPr="00A84A0B">
              <w:rPr>
                <w:rFonts w:ascii="Arial Narrow" w:hAnsi="Arial Narrow"/>
                <w:sz w:val="20"/>
              </w:rPr>
              <w:t xml:space="preserve">, </w:t>
            </w:r>
            <w:r w:rsidRPr="00D34FF6">
              <w:rPr>
                <w:rFonts w:ascii="Arial Narrow" w:hAnsi="Arial Narrow"/>
                <w:sz w:val="20"/>
              </w:rPr>
              <w:t>1.03</w:t>
            </w:r>
            <w:r w:rsidRPr="00A84A0B">
              <w:rPr>
                <w:rFonts w:ascii="Arial Narrow" w:hAnsi="Arial Narrow"/>
                <w:sz w:val="20"/>
              </w:rPr>
              <w:t>)</w:t>
            </w:r>
          </w:p>
          <w:p w:rsidR="006A130A" w:rsidRPr="00A84A0B" w:rsidRDefault="006A130A" w:rsidP="005939DA">
            <w:pPr>
              <w:jc w:val="center"/>
              <w:rPr>
                <w:rFonts w:ascii="Arial Narrow" w:hAnsi="Arial Narrow"/>
                <w:sz w:val="20"/>
              </w:rPr>
            </w:pPr>
            <w:r w:rsidRPr="00A84A0B">
              <w:rPr>
                <w:rFonts w:ascii="Arial Narrow" w:hAnsi="Arial Narrow"/>
                <w:sz w:val="20"/>
              </w:rPr>
              <w:t>I</w:t>
            </w:r>
            <w:r w:rsidRPr="00A84A0B">
              <w:rPr>
                <w:rFonts w:ascii="Arial Narrow" w:hAnsi="Arial Narrow"/>
                <w:sz w:val="20"/>
                <w:vertAlign w:val="superscript"/>
              </w:rPr>
              <w:t>2</w:t>
            </w:r>
            <w:r w:rsidRPr="00A84A0B">
              <w:rPr>
                <w:rFonts w:ascii="Arial Narrow" w:hAnsi="Arial Narrow"/>
                <w:sz w:val="20"/>
              </w:rPr>
              <w:t>=45.9%</w:t>
            </w:r>
          </w:p>
        </w:tc>
        <w:tc>
          <w:tcPr>
            <w:tcW w:w="1273" w:type="dxa"/>
            <w:vAlign w:val="center"/>
          </w:tcPr>
          <w:p w:rsidR="006A130A" w:rsidRPr="00A84A0B" w:rsidRDefault="006A130A" w:rsidP="005939DA">
            <w:pPr>
              <w:jc w:val="center"/>
              <w:rPr>
                <w:rFonts w:ascii="Arial Narrow" w:hAnsi="Arial Narrow"/>
                <w:b/>
                <w:sz w:val="20"/>
              </w:rPr>
            </w:pPr>
            <w:r w:rsidRPr="00D34FF6">
              <w:rPr>
                <w:rFonts w:ascii="Arial Narrow" w:hAnsi="Arial Narrow"/>
                <w:b/>
                <w:sz w:val="20"/>
              </w:rPr>
              <w:t>0.59</w:t>
            </w:r>
            <w:r w:rsidRPr="00A84A0B">
              <w:rPr>
                <w:rFonts w:ascii="Arial Narrow" w:hAnsi="Arial Narrow"/>
                <w:b/>
                <w:sz w:val="20"/>
              </w:rPr>
              <w:t xml:space="preserve"> (</w:t>
            </w:r>
            <w:r w:rsidRPr="00D34FF6">
              <w:rPr>
                <w:rFonts w:ascii="Arial Narrow" w:hAnsi="Arial Narrow"/>
                <w:b/>
                <w:sz w:val="20"/>
              </w:rPr>
              <w:t>0.46</w:t>
            </w:r>
            <w:r w:rsidRPr="00A84A0B">
              <w:rPr>
                <w:rFonts w:ascii="Arial Narrow" w:hAnsi="Arial Narrow"/>
                <w:b/>
                <w:sz w:val="20"/>
              </w:rPr>
              <w:t xml:space="preserve">, </w:t>
            </w:r>
            <w:r w:rsidRPr="00D34FF6">
              <w:rPr>
                <w:rFonts w:ascii="Arial Narrow" w:hAnsi="Arial Narrow"/>
                <w:b/>
                <w:sz w:val="20"/>
              </w:rPr>
              <w:t>0.75</w:t>
            </w:r>
            <w:r w:rsidRPr="00A84A0B">
              <w:rPr>
                <w:rFonts w:ascii="Arial Narrow" w:hAnsi="Arial Narrow"/>
                <w:b/>
                <w:sz w:val="20"/>
              </w:rPr>
              <w:t>)</w:t>
            </w:r>
          </w:p>
          <w:p w:rsidR="006A130A" w:rsidRPr="00A84A0B" w:rsidRDefault="006A130A" w:rsidP="005939DA">
            <w:pPr>
              <w:jc w:val="center"/>
              <w:rPr>
                <w:rFonts w:ascii="Arial Narrow" w:hAnsi="Arial Narrow"/>
                <w:sz w:val="20"/>
              </w:rPr>
            </w:pPr>
            <w:r w:rsidRPr="00A84A0B">
              <w:rPr>
                <w:rFonts w:ascii="Arial Narrow" w:hAnsi="Arial Narrow"/>
                <w:sz w:val="20"/>
              </w:rPr>
              <w:t>I</w:t>
            </w:r>
            <w:r w:rsidRPr="00A84A0B">
              <w:rPr>
                <w:rFonts w:ascii="Arial Narrow" w:hAnsi="Arial Narrow"/>
                <w:sz w:val="20"/>
                <w:vertAlign w:val="superscript"/>
              </w:rPr>
              <w:t>2</w:t>
            </w:r>
            <w:r w:rsidRPr="00A84A0B">
              <w:rPr>
                <w:rFonts w:ascii="Arial Narrow" w:hAnsi="Arial Narrow"/>
                <w:sz w:val="20"/>
              </w:rPr>
              <w:t>=57.3%</w:t>
            </w:r>
          </w:p>
        </w:tc>
        <w:tc>
          <w:tcPr>
            <w:tcW w:w="959" w:type="dxa"/>
            <w:vAlign w:val="center"/>
          </w:tcPr>
          <w:p w:rsidR="006A130A" w:rsidRPr="00A84A0B" w:rsidRDefault="006A130A" w:rsidP="005939DA">
            <w:pPr>
              <w:jc w:val="center"/>
              <w:rPr>
                <w:rFonts w:ascii="Arial Narrow" w:hAnsi="Arial Narrow"/>
                <w:b/>
                <w:sz w:val="20"/>
              </w:rPr>
            </w:pPr>
            <w:r w:rsidRPr="00A84A0B">
              <w:rPr>
                <w:rFonts w:ascii="Arial Narrow" w:hAnsi="Arial Narrow"/>
                <w:b/>
                <w:sz w:val="20"/>
              </w:rPr>
              <w:t>&lt;0.05</w:t>
            </w:r>
          </w:p>
        </w:tc>
      </w:tr>
      <w:tr w:rsidR="006A130A" w:rsidRPr="00A84A0B" w:rsidTr="005939DA">
        <w:trPr>
          <w:trHeight w:val="567"/>
        </w:trPr>
        <w:tc>
          <w:tcPr>
            <w:tcW w:w="4808" w:type="dxa"/>
            <w:gridSpan w:val="4"/>
            <w:vAlign w:val="center"/>
          </w:tcPr>
          <w:p w:rsidR="006A130A" w:rsidRPr="00A84A0B" w:rsidRDefault="006A130A" w:rsidP="005939DA">
            <w:pPr>
              <w:jc w:val="right"/>
              <w:rPr>
                <w:rFonts w:ascii="Arial Narrow" w:hAnsi="Arial Narrow"/>
                <w:sz w:val="20"/>
              </w:rPr>
            </w:pPr>
            <w:r w:rsidRPr="00A84A0B">
              <w:rPr>
                <w:rFonts w:ascii="Arial Narrow" w:hAnsi="Arial Narrow"/>
                <w:sz w:val="20"/>
              </w:rPr>
              <w:t>Meta-analysis – PD pathway in cancer (017, 057, 037, 066, KN-006, 025, 141)</w:t>
            </w:r>
          </w:p>
        </w:tc>
        <w:tc>
          <w:tcPr>
            <w:tcW w:w="1272" w:type="dxa"/>
            <w:vAlign w:val="center"/>
          </w:tcPr>
          <w:p w:rsidR="006A130A" w:rsidRPr="00A84A0B" w:rsidRDefault="006A130A" w:rsidP="005939DA">
            <w:pPr>
              <w:jc w:val="center"/>
              <w:rPr>
                <w:rFonts w:ascii="Arial Narrow" w:hAnsi="Arial Narrow"/>
                <w:sz w:val="20"/>
              </w:rPr>
            </w:pPr>
            <w:r w:rsidRPr="00D34FF6">
              <w:rPr>
                <w:rFonts w:ascii="Arial Narrow" w:hAnsi="Arial Narrow"/>
                <w:sz w:val="20"/>
              </w:rPr>
              <w:t>0.84</w:t>
            </w:r>
            <w:r w:rsidRPr="00A84A0B">
              <w:rPr>
                <w:rFonts w:ascii="Arial Narrow" w:hAnsi="Arial Narrow"/>
                <w:sz w:val="20"/>
              </w:rPr>
              <w:t xml:space="preserve"> (</w:t>
            </w:r>
            <w:r w:rsidRPr="00D34FF6">
              <w:rPr>
                <w:rFonts w:ascii="Arial Narrow" w:hAnsi="Arial Narrow"/>
                <w:sz w:val="20"/>
              </w:rPr>
              <w:t>0.70</w:t>
            </w:r>
            <w:r w:rsidRPr="00A84A0B">
              <w:rPr>
                <w:rFonts w:ascii="Arial Narrow" w:hAnsi="Arial Narrow"/>
                <w:sz w:val="20"/>
              </w:rPr>
              <w:t xml:space="preserve">, </w:t>
            </w:r>
            <w:r w:rsidRPr="00D34FF6">
              <w:rPr>
                <w:rFonts w:ascii="Arial Narrow" w:hAnsi="Arial Narrow"/>
                <w:sz w:val="20"/>
              </w:rPr>
              <w:t>1.01</w:t>
            </w:r>
            <w:r w:rsidRPr="00A84A0B">
              <w:rPr>
                <w:rFonts w:ascii="Arial Narrow" w:hAnsi="Arial Narrow"/>
                <w:sz w:val="20"/>
              </w:rPr>
              <w:t>)</w:t>
            </w:r>
          </w:p>
          <w:p w:rsidR="006A130A" w:rsidRPr="00A84A0B" w:rsidRDefault="006A130A" w:rsidP="005939DA">
            <w:pPr>
              <w:jc w:val="center"/>
              <w:rPr>
                <w:rFonts w:ascii="Arial Narrow" w:hAnsi="Arial Narrow"/>
                <w:sz w:val="20"/>
              </w:rPr>
            </w:pPr>
            <w:r w:rsidRPr="00A84A0B">
              <w:rPr>
                <w:rFonts w:ascii="Arial Narrow" w:hAnsi="Arial Narrow"/>
                <w:sz w:val="20"/>
              </w:rPr>
              <w:t>I</w:t>
            </w:r>
            <w:r w:rsidRPr="00A84A0B">
              <w:rPr>
                <w:rFonts w:ascii="Arial Narrow" w:hAnsi="Arial Narrow"/>
                <w:sz w:val="20"/>
                <w:vertAlign w:val="superscript"/>
              </w:rPr>
              <w:t>2</w:t>
            </w:r>
            <w:r w:rsidRPr="00A84A0B">
              <w:rPr>
                <w:rFonts w:ascii="Arial Narrow" w:hAnsi="Arial Narrow"/>
                <w:sz w:val="20"/>
              </w:rPr>
              <w:t>=28.8%</w:t>
            </w:r>
          </w:p>
        </w:tc>
        <w:tc>
          <w:tcPr>
            <w:tcW w:w="1273" w:type="dxa"/>
            <w:vAlign w:val="center"/>
          </w:tcPr>
          <w:p w:rsidR="006A130A" w:rsidRPr="00A84A0B" w:rsidRDefault="006A130A" w:rsidP="005939DA">
            <w:pPr>
              <w:jc w:val="center"/>
              <w:rPr>
                <w:rFonts w:ascii="Arial Narrow" w:hAnsi="Arial Narrow"/>
                <w:b/>
                <w:sz w:val="20"/>
              </w:rPr>
            </w:pPr>
            <w:r w:rsidRPr="00D34FF6">
              <w:rPr>
                <w:rFonts w:ascii="Arial Narrow" w:hAnsi="Arial Narrow"/>
                <w:b/>
                <w:sz w:val="20"/>
              </w:rPr>
              <w:t>0.58</w:t>
            </w:r>
            <w:r w:rsidRPr="00A84A0B">
              <w:rPr>
                <w:rFonts w:ascii="Arial Narrow" w:hAnsi="Arial Narrow"/>
                <w:b/>
                <w:sz w:val="20"/>
              </w:rPr>
              <w:t xml:space="preserve"> (</w:t>
            </w:r>
            <w:r w:rsidRPr="00D34FF6">
              <w:rPr>
                <w:rFonts w:ascii="Arial Narrow" w:hAnsi="Arial Narrow"/>
                <w:b/>
                <w:sz w:val="20"/>
              </w:rPr>
              <w:t>0.49</w:t>
            </w:r>
            <w:r w:rsidRPr="00A84A0B">
              <w:rPr>
                <w:rFonts w:ascii="Arial Narrow" w:hAnsi="Arial Narrow"/>
                <w:b/>
                <w:sz w:val="20"/>
              </w:rPr>
              <w:t xml:space="preserve">, </w:t>
            </w:r>
            <w:r w:rsidRPr="00D34FF6">
              <w:rPr>
                <w:rFonts w:ascii="Arial Narrow" w:hAnsi="Arial Narrow"/>
                <w:b/>
                <w:sz w:val="20"/>
              </w:rPr>
              <w:t>0.70</w:t>
            </w:r>
            <w:r w:rsidRPr="00A84A0B">
              <w:rPr>
                <w:rFonts w:ascii="Arial Narrow" w:hAnsi="Arial Narrow"/>
                <w:b/>
                <w:sz w:val="20"/>
              </w:rPr>
              <w:t>)</w:t>
            </w:r>
          </w:p>
          <w:p w:rsidR="006A130A" w:rsidRPr="00A84A0B" w:rsidRDefault="006A130A" w:rsidP="005939DA">
            <w:pPr>
              <w:jc w:val="center"/>
              <w:rPr>
                <w:rFonts w:ascii="Arial Narrow" w:hAnsi="Arial Narrow"/>
                <w:sz w:val="20"/>
              </w:rPr>
            </w:pPr>
            <w:r w:rsidRPr="00A84A0B">
              <w:rPr>
                <w:rFonts w:ascii="Arial Narrow" w:hAnsi="Arial Narrow"/>
                <w:sz w:val="20"/>
              </w:rPr>
              <w:t>I</w:t>
            </w:r>
            <w:r w:rsidRPr="00A84A0B">
              <w:rPr>
                <w:rFonts w:ascii="Arial Narrow" w:hAnsi="Arial Narrow"/>
                <w:sz w:val="20"/>
                <w:vertAlign w:val="superscript"/>
              </w:rPr>
              <w:t>2</w:t>
            </w:r>
            <w:r w:rsidRPr="00A84A0B">
              <w:rPr>
                <w:rFonts w:ascii="Arial Narrow" w:hAnsi="Arial Narrow"/>
                <w:sz w:val="20"/>
              </w:rPr>
              <w:t>=41.3%</w:t>
            </w:r>
          </w:p>
        </w:tc>
        <w:tc>
          <w:tcPr>
            <w:tcW w:w="959" w:type="dxa"/>
            <w:vAlign w:val="center"/>
          </w:tcPr>
          <w:p w:rsidR="006A130A" w:rsidRPr="00A84A0B" w:rsidRDefault="006A130A" w:rsidP="005939DA">
            <w:pPr>
              <w:jc w:val="center"/>
              <w:rPr>
                <w:rFonts w:ascii="Arial Narrow" w:hAnsi="Arial Narrow"/>
                <w:b/>
                <w:sz w:val="20"/>
              </w:rPr>
            </w:pPr>
            <w:r w:rsidRPr="00A84A0B">
              <w:rPr>
                <w:rFonts w:ascii="Arial Narrow" w:hAnsi="Arial Narrow"/>
                <w:b/>
                <w:sz w:val="20"/>
              </w:rPr>
              <w:t>&lt;0.05</w:t>
            </w:r>
          </w:p>
        </w:tc>
      </w:tr>
      <w:tr w:rsidR="006A130A" w:rsidRPr="00A84A0B" w:rsidTr="005939DA">
        <w:trPr>
          <w:trHeight w:val="397"/>
        </w:trPr>
        <w:tc>
          <w:tcPr>
            <w:tcW w:w="4808" w:type="dxa"/>
            <w:gridSpan w:val="4"/>
            <w:shd w:val="clear" w:color="auto" w:fill="D9D9D9" w:themeFill="background1" w:themeFillShade="D9"/>
            <w:vAlign w:val="center"/>
          </w:tcPr>
          <w:p w:rsidR="006A130A" w:rsidRPr="00A84A0B" w:rsidRDefault="006A130A" w:rsidP="005939DA">
            <w:pPr>
              <w:jc w:val="right"/>
              <w:rPr>
                <w:rFonts w:ascii="Arial Narrow" w:hAnsi="Arial Narrow"/>
                <w:sz w:val="20"/>
              </w:rPr>
            </w:pPr>
          </w:p>
        </w:tc>
        <w:tc>
          <w:tcPr>
            <w:tcW w:w="1272" w:type="dxa"/>
            <w:shd w:val="clear" w:color="auto" w:fill="D9D9D9" w:themeFill="background1" w:themeFillShade="D9"/>
            <w:vAlign w:val="center"/>
          </w:tcPr>
          <w:p w:rsidR="006A130A" w:rsidRPr="00A84A0B" w:rsidRDefault="006A130A" w:rsidP="005939DA">
            <w:pPr>
              <w:jc w:val="center"/>
              <w:rPr>
                <w:rFonts w:ascii="Arial Narrow" w:hAnsi="Arial Narrow"/>
                <w:b/>
                <w:sz w:val="20"/>
              </w:rPr>
            </w:pPr>
            <w:r w:rsidRPr="00A84A0B">
              <w:rPr>
                <w:rFonts w:ascii="Arial Narrow" w:hAnsi="Arial Narrow"/>
                <w:b/>
                <w:sz w:val="20"/>
              </w:rPr>
              <w:t>PD-L1 &lt;50%</w:t>
            </w:r>
          </w:p>
        </w:tc>
        <w:tc>
          <w:tcPr>
            <w:tcW w:w="1273" w:type="dxa"/>
            <w:shd w:val="clear" w:color="auto" w:fill="D9D9D9" w:themeFill="background1" w:themeFillShade="D9"/>
            <w:vAlign w:val="center"/>
          </w:tcPr>
          <w:p w:rsidR="006A130A" w:rsidRPr="00A84A0B" w:rsidRDefault="006A130A" w:rsidP="005939DA">
            <w:pPr>
              <w:jc w:val="center"/>
              <w:rPr>
                <w:rFonts w:ascii="Arial Narrow" w:hAnsi="Arial Narrow"/>
                <w:b/>
                <w:sz w:val="20"/>
              </w:rPr>
            </w:pPr>
            <w:r w:rsidRPr="00A84A0B">
              <w:rPr>
                <w:rFonts w:ascii="Arial Narrow" w:hAnsi="Arial Narrow"/>
                <w:b/>
                <w:sz w:val="20"/>
              </w:rPr>
              <w:t>PD-L1 ≥50%</w:t>
            </w:r>
          </w:p>
        </w:tc>
        <w:tc>
          <w:tcPr>
            <w:tcW w:w="959" w:type="dxa"/>
            <w:shd w:val="clear" w:color="auto" w:fill="D9D9D9" w:themeFill="background1" w:themeFillShade="D9"/>
            <w:vAlign w:val="center"/>
          </w:tcPr>
          <w:p w:rsidR="006A130A" w:rsidRPr="00A84A0B" w:rsidRDefault="006A130A" w:rsidP="005939DA">
            <w:pPr>
              <w:jc w:val="center"/>
              <w:rPr>
                <w:rFonts w:ascii="Arial Narrow" w:hAnsi="Arial Narrow"/>
                <w:b/>
                <w:sz w:val="20"/>
              </w:rPr>
            </w:pPr>
          </w:p>
        </w:tc>
      </w:tr>
      <w:tr w:rsidR="006A130A" w:rsidRPr="00A84A0B" w:rsidTr="005939DA">
        <w:trPr>
          <w:trHeight w:val="397"/>
        </w:trPr>
        <w:tc>
          <w:tcPr>
            <w:tcW w:w="708" w:type="dxa"/>
            <w:vAlign w:val="center"/>
          </w:tcPr>
          <w:p w:rsidR="006A130A" w:rsidRPr="00A84A0B" w:rsidRDefault="006A130A" w:rsidP="005939DA">
            <w:pPr>
              <w:rPr>
                <w:rFonts w:ascii="Arial Narrow" w:hAnsi="Arial Narrow"/>
                <w:sz w:val="20"/>
              </w:rPr>
            </w:pPr>
            <w:r w:rsidRPr="00A84A0B">
              <w:rPr>
                <w:rFonts w:ascii="Arial Narrow" w:hAnsi="Arial Narrow"/>
                <w:sz w:val="20"/>
              </w:rPr>
              <w:t>KN-010</w:t>
            </w:r>
          </w:p>
        </w:tc>
        <w:tc>
          <w:tcPr>
            <w:tcW w:w="2118" w:type="dxa"/>
            <w:vAlign w:val="center"/>
          </w:tcPr>
          <w:p w:rsidR="006A130A" w:rsidRPr="00A84A0B" w:rsidRDefault="006A130A" w:rsidP="005939DA">
            <w:pPr>
              <w:jc w:val="center"/>
              <w:rPr>
                <w:rFonts w:ascii="Arial Narrow" w:hAnsi="Arial Narrow"/>
                <w:sz w:val="20"/>
              </w:rPr>
            </w:pPr>
            <w:r w:rsidRPr="00A84A0B">
              <w:rPr>
                <w:rFonts w:ascii="Arial Narrow" w:hAnsi="Arial Narrow"/>
                <w:sz w:val="20"/>
              </w:rPr>
              <w:t>PD-L1+ (≥1%) NSCLC (2L)</w:t>
            </w:r>
          </w:p>
        </w:tc>
        <w:tc>
          <w:tcPr>
            <w:tcW w:w="1013" w:type="dxa"/>
            <w:vAlign w:val="center"/>
          </w:tcPr>
          <w:p w:rsidR="006A130A" w:rsidRPr="00A84A0B" w:rsidRDefault="006A130A" w:rsidP="005939DA">
            <w:pPr>
              <w:jc w:val="center"/>
              <w:rPr>
                <w:rFonts w:ascii="Arial Narrow" w:hAnsi="Arial Narrow"/>
                <w:sz w:val="20"/>
              </w:rPr>
            </w:pPr>
            <w:r w:rsidRPr="00A84A0B">
              <w:rPr>
                <w:rFonts w:ascii="Arial Narrow" w:hAnsi="Arial Narrow"/>
                <w:sz w:val="20"/>
              </w:rPr>
              <w:t>PEM v DOC</w:t>
            </w:r>
          </w:p>
        </w:tc>
        <w:tc>
          <w:tcPr>
            <w:tcW w:w="969" w:type="dxa"/>
            <w:vAlign w:val="center"/>
          </w:tcPr>
          <w:p w:rsidR="006A130A" w:rsidRPr="00A84A0B" w:rsidRDefault="006A130A" w:rsidP="005939DA">
            <w:pPr>
              <w:jc w:val="center"/>
              <w:rPr>
                <w:rFonts w:ascii="Arial Narrow" w:hAnsi="Arial Narrow"/>
                <w:sz w:val="20"/>
              </w:rPr>
            </w:pPr>
            <w:r w:rsidRPr="00A84A0B">
              <w:rPr>
                <w:rFonts w:ascii="Arial Narrow" w:hAnsi="Arial Narrow"/>
                <w:sz w:val="20"/>
              </w:rPr>
              <w:t>1033 (NR)</w:t>
            </w:r>
          </w:p>
        </w:tc>
        <w:tc>
          <w:tcPr>
            <w:tcW w:w="1272" w:type="dxa"/>
            <w:vAlign w:val="center"/>
          </w:tcPr>
          <w:p w:rsidR="006A130A" w:rsidRPr="00A84A0B" w:rsidRDefault="006A130A" w:rsidP="005939DA">
            <w:pPr>
              <w:jc w:val="center"/>
              <w:rPr>
                <w:rFonts w:ascii="Arial Narrow" w:hAnsi="Arial Narrow"/>
                <w:b/>
                <w:sz w:val="20"/>
              </w:rPr>
            </w:pPr>
            <w:r w:rsidRPr="00D34FF6">
              <w:rPr>
                <w:rFonts w:ascii="Arial Narrow" w:hAnsi="Arial Narrow"/>
                <w:b/>
                <w:sz w:val="20"/>
              </w:rPr>
              <w:t>0.76</w:t>
            </w:r>
            <w:r w:rsidRPr="00A84A0B">
              <w:rPr>
                <w:rFonts w:ascii="Arial Narrow" w:hAnsi="Arial Narrow"/>
                <w:b/>
                <w:sz w:val="20"/>
              </w:rPr>
              <w:t xml:space="preserve"> (</w:t>
            </w:r>
            <w:r w:rsidRPr="00D34FF6">
              <w:rPr>
                <w:rFonts w:ascii="Arial Narrow" w:hAnsi="Arial Narrow"/>
                <w:b/>
                <w:sz w:val="20"/>
              </w:rPr>
              <w:t>0.60</w:t>
            </w:r>
            <w:r w:rsidRPr="00A84A0B">
              <w:rPr>
                <w:rFonts w:ascii="Arial Narrow" w:hAnsi="Arial Narrow"/>
                <w:b/>
                <w:sz w:val="20"/>
              </w:rPr>
              <w:t xml:space="preserve">, </w:t>
            </w:r>
            <w:r w:rsidRPr="00D34FF6">
              <w:rPr>
                <w:rFonts w:ascii="Arial Narrow" w:hAnsi="Arial Narrow"/>
                <w:b/>
                <w:sz w:val="20"/>
              </w:rPr>
              <w:t>0.96</w:t>
            </w:r>
            <w:r w:rsidRPr="00A84A0B">
              <w:rPr>
                <w:rFonts w:ascii="Arial Narrow" w:hAnsi="Arial Narrow"/>
                <w:b/>
                <w:sz w:val="20"/>
              </w:rPr>
              <w:t>)</w:t>
            </w:r>
          </w:p>
        </w:tc>
        <w:tc>
          <w:tcPr>
            <w:tcW w:w="1273" w:type="dxa"/>
            <w:vAlign w:val="center"/>
          </w:tcPr>
          <w:p w:rsidR="006A130A" w:rsidRPr="00A84A0B" w:rsidRDefault="006A130A" w:rsidP="005939DA">
            <w:pPr>
              <w:jc w:val="center"/>
              <w:rPr>
                <w:rFonts w:ascii="Arial Narrow" w:hAnsi="Arial Narrow"/>
                <w:b/>
                <w:sz w:val="20"/>
              </w:rPr>
            </w:pPr>
            <w:r w:rsidRPr="00D34FF6">
              <w:rPr>
                <w:rFonts w:ascii="Arial Narrow" w:hAnsi="Arial Narrow"/>
                <w:b/>
                <w:sz w:val="20"/>
              </w:rPr>
              <w:t>0.53</w:t>
            </w:r>
            <w:r w:rsidRPr="00A84A0B">
              <w:rPr>
                <w:rFonts w:ascii="Arial Narrow" w:hAnsi="Arial Narrow"/>
                <w:b/>
                <w:sz w:val="20"/>
              </w:rPr>
              <w:t xml:space="preserve"> (</w:t>
            </w:r>
            <w:r w:rsidRPr="00D34FF6">
              <w:rPr>
                <w:rFonts w:ascii="Arial Narrow" w:hAnsi="Arial Narrow"/>
                <w:b/>
                <w:sz w:val="20"/>
              </w:rPr>
              <w:t>0.40</w:t>
            </w:r>
            <w:r w:rsidRPr="00A84A0B">
              <w:rPr>
                <w:rFonts w:ascii="Arial Narrow" w:hAnsi="Arial Narrow"/>
                <w:b/>
                <w:sz w:val="20"/>
              </w:rPr>
              <w:t xml:space="preserve">, </w:t>
            </w:r>
            <w:r w:rsidRPr="00D34FF6">
              <w:rPr>
                <w:rFonts w:ascii="Arial Narrow" w:hAnsi="Arial Narrow"/>
                <w:b/>
                <w:sz w:val="20"/>
              </w:rPr>
              <w:t>0.70</w:t>
            </w:r>
            <w:r w:rsidRPr="00A84A0B">
              <w:rPr>
                <w:rFonts w:ascii="Arial Narrow" w:hAnsi="Arial Narrow"/>
                <w:b/>
                <w:sz w:val="20"/>
              </w:rPr>
              <w:t>)</w:t>
            </w:r>
          </w:p>
        </w:tc>
        <w:tc>
          <w:tcPr>
            <w:tcW w:w="959" w:type="dxa"/>
            <w:vAlign w:val="center"/>
          </w:tcPr>
          <w:p w:rsidR="006A130A" w:rsidRPr="00A84A0B" w:rsidRDefault="006A130A" w:rsidP="005939DA">
            <w:pPr>
              <w:jc w:val="center"/>
              <w:rPr>
                <w:rFonts w:ascii="Arial Narrow" w:hAnsi="Arial Narrow"/>
                <w:sz w:val="20"/>
              </w:rPr>
            </w:pPr>
            <w:r w:rsidRPr="00A84A0B">
              <w:rPr>
                <w:rFonts w:ascii="Arial Narrow" w:hAnsi="Arial Narrow"/>
                <w:sz w:val="20"/>
              </w:rPr>
              <w:t>NS</w:t>
            </w:r>
          </w:p>
        </w:tc>
      </w:tr>
      <w:tr w:rsidR="006A130A" w:rsidRPr="00A84A0B" w:rsidTr="005939DA">
        <w:trPr>
          <w:trHeight w:val="397"/>
        </w:trPr>
        <w:tc>
          <w:tcPr>
            <w:tcW w:w="708" w:type="dxa"/>
            <w:vAlign w:val="center"/>
          </w:tcPr>
          <w:p w:rsidR="006A130A" w:rsidRPr="00A84A0B" w:rsidRDefault="006A130A" w:rsidP="005939DA">
            <w:pPr>
              <w:rPr>
                <w:rFonts w:ascii="Arial Narrow" w:hAnsi="Arial Narrow"/>
                <w:sz w:val="20"/>
              </w:rPr>
            </w:pPr>
            <w:r w:rsidRPr="00A84A0B">
              <w:rPr>
                <w:rFonts w:ascii="Arial Narrow" w:hAnsi="Arial Narrow"/>
                <w:sz w:val="20"/>
              </w:rPr>
              <w:t>KN-024</w:t>
            </w:r>
          </w:p>
        </w:tc>
        <w:tc>
          <w:tcPr>
            <w:tcW w:w="2118" w:type="dxa"/>
            <w:vAlign w:val="center"/>
          </w:tcPr>
          <w:p w:rsidR="006A130A" w:rsidRPr="00A84A0B" w:rsidRDefault="006A130A" w:rsidP="005939DA">
            <w:pPr>
              <w:jc w:val="center"/>
              <w:rPr>
                <w:rFonts w:ascii="Arial Narrow" w:hAnsi="Arial Narrow"/>
                <w:sz w:val="20"/>
              </w:rPr>
            </w:pPr>
            <w:r w:rsidRPr="00A84A0B">
              <w:rPr>
                <w:rFonts w:ascii="Arial Narrow" w:hAnsi="Arial Narrow"/>
                <w:sz w:val="20"/>
              </w:rPr>
              <w:t>PD-L1+ (≥50%) NSCLC (1L)</w:t>
            </w:r>
          </w:p>
        </w:tc>
        <w:tc>
          <w:tcPr>
            <w:tcW w:w="1013" w:type="dxa"/>
            <w:vAlign w:val="center"/>
          </w:tcPr>
          <w:p w:rsidR="006A130A" w:rsidRPr="00A84A0B" w:rsidRDefault="006A130A" w:rsidP="005939DA">
            <w:pPr>
              <w:jc w:val="center"/>
              <w:rPr>
                <w:rFonts w:ascii="Arial Narrow" w:hAnsi="Arial Narrow"/>
                <w:sz w:val="20"/>
              </w:rPr>
            </w:pPr>
            <w:r w:rsidRPr="00A84A0B">
              <w:rPr>
                <w:rFonts w:ascii="Arial Narrow" w:hAnsi="Arial Narrow"/>
                <w:sz w:val="20"/>
              </w:rPr>
              <w:t>PEM v IC</w:t>
            </w:r>
          </w:p>
        </w:tc>
        <w:tc>
          <w:tcPr>
            <w:tcW w:w="969" w:type="dxa"/>
            <w:vAlign w:val="center"/>
          </w:tcPr>
          <w:p w:rsidR="006A130A" w:rsidRPr="00A84A0B" w:rsidRDefault="006A130A" w:rsidP="005939DA">
            <w:pPr>
              <w:jc w:val="center"/>
              <w:rPr>
                <w:rFonts w:ascii="Arial Narrow" w:hAnsi="Arial Narrow"/>
                <w:sz w:val="20"/>
              </w:rPr>
            </w:pPr>
            <w:r w:rsidRPr="00A84A0B">
              <w:rPr>
                <w:rFonts w:ascii="Arial Narrow" w:hAnsi="Arial Narrow"/>
                <w:sz w:val="20"/>
              </w:rPr>
              <w:t>305 (0)</w:t>
            </w:r>
          </w:p>
        </w:tc>
        <w:tc>
          <w:tcPr>
            <w:tcW w:w="1272" w:type="dxa"/>
            <w:vAlign w:val="center"/>
          </w:tcPr>
          <w:p w:rsidR="006A130A" w:rsidRPr="00A84A0B" w:rsidRDefault="006A130A" w:rsidP="005939DA">
            <w:pPr>
              <w:jc w:val="center"/>
              <w:rPr>
                <w:rFonts w:ascii="Arial Narrow" w:hAnsi="Arial Narrow"/>
                <w:sz w:val="20"/>
              </w:rPr>
            </w:pPr>
            <w:r w:rsidRPr="00A84A0B">
              <w:rPr>
                <w:rFonts w:ascii="Arial Narrow" w:hAnsi="Arial Narrow"/>
                <w:sz w:val="20"/>
              </w:rPr>
              <w:t>NA</w:t>
            </w:r>
          </w:p>
        </w:tc>
        <w:tc>
          <w:tcPr>
            <w:tcW w:w="1273" w:type="dxa"/>
            <w:vAlign w:val="center"/>
          </w:tcPr>
          <w:p w:rsidR="006A130A" w:rsidRPr="00A84A0B" w:rsidRDefault="006A130A" w:rsidP="005939DA">
            <w:pPr>
              <w:jc w:val="center"/>
              <w:rPr>
                <w:rFonts w:ascii="Arial Narrow" w:hAnsi="Arial Narrow"/>
                <w:b/>
                <w:sz w:val="20"/>
              </w:rPr>
            </w:pPr>
            <w:r w:rsidRPr="00D34FF6">
              <w:rPr>
                <w:rFonts w:ascii="Arial Narrow" w:hAnsi="Arial Narrow"/>
                <w:b/>
                <w:sz w:val="20"/>
              </w:rPr>
              <w:t>0.60</w:t>
            </w:r>
            <w:r w:rsidRPr="00A84A0B">
              <w:rPr>
                <w:rFonts w:ascii="Arial Narrow" w:hAnsi="Arial Narrow"/>
                <w:b/>
                <w:sz w:val="20"/>
              </w:rPr>
              <w:t xml:space="preserve"> (</w:t>
            </w:r>
            <w:r w:rsidRPr="00D34FF6">
              <w:rPr>
                <w:rFonts w:ascii="Arial Narrow" w:hAnsi="Arial Narrow"/>
                <w:b/>
                <w:sz w:val="20"/>
              </w:rPr>
              <w:t>0.41</w:t>
            </w:r>
            <w:r w:rsidRPr="00A84A0B">
              <w:rPr>
                <w:rFonts w:ascii="Arial Narrow" w:hAnsi="Arial Narrow"/>
                <w:b/>
                <w:sz w:val="20"/>
              </w:rPr>
              <w:t xml:space="preserve">, </w:t>
            </w:r>
            <w:r w:rsidRPr="00D34FF6">
              <w:rPr>
                <w:rFonts w:ascii="Arial Narrow" w:hAnsi="Arial Narrow"/>
                <w:b/>
                <w:sz w:val="20"/>
              </w:rPr>
              <w:t>0.89</w:t>
            </w:r>
            <w:r w:rsidRPr="00A84A0B">
              <w:rPr>
                <w:rFonts w:ascii="Arial Narrow" w:hAnsi="Arial Narrow"/>
                <w:b/>
                <w:sz w:val="20"/>
              </w:rPr>
              <w:t>)</w:t>
            </w:r>
          </w:p>
        </w:tc>
        <w:tc>
          <w:tcPr>
            <w:tcW w:w="959" w:type="dxa"/>
            <w:vAlign w:val="center"/>
          </w:tcPr>
          <w:p w:rsidR="006A130A" w:rsidRPr="00A84A0B" w:rsidRDefault="006A130A" w:rsidP="005939DA">
            <w:pPr>
              <w:jc w:val="center"/>
              <w:rPr>
                <w:rFonts w:ascii="Arial Narrow" w:hAnsi="Arial Narrow"/>
                <w:sz w:val="20"/>
              </w:rPr>
            </w:pPr>
            <w:r w:rsidRPr="00A84A0B">
              <w:rPr>
                <w:rFonts w:ascii="Arial Narrow" w:hAnsi="Arial Narrow"/>
                <w:sz w:val="20"/>
              </w:rPr>
              <w:t>NE</w:t>
            </w:r>
          </w:p>
        </w:tc>
      </w:tr>
    </w:tbl>
    <w:p w:rsidR="006A130A" w:rsidRPr="00A84A0B" w:rsidRDefault="006A130A" w:rsidP="005939DA">
      <w:pPr>
        <w:ind w:left="709"/>
        <w:jc w:val="both"/>
        <w:rPr>
          <w:rFonts w:ascii="Arial Narrow" w:hAnsi="Arial Narrow"/>
          <w:sz w:val="18"/>
          <w:szCs w:val="18"/>
        </w:rPr>
      </w:pPr>
      <w:r w:rsidRPr="00A84A0B">
        <w:rPr>
          <w:rFonts w:ascii="Arial Narrow" w:hAnsi="Arial Narrow"/>
          <w:sz w:val="18"/>
          <w:szCs w:val="18"/>
        </w:rPr>
        <w:t>AMCCRCC=advanced or metastatic clear-cell renal cell carcinoma; ATE=atezolizumab; CI=confidence interval; DAC=dacarbazine; DOC=docetaxel; EVE=everolimus; HR=hazard ratio; IC=investigator choice; IPI=ipilimumab; NA=not applicable; NE=not estimable; NIV=nivolumab; NR=not reported; NS=not statistically significant at the 5% level; NSCLC=non-small cell lung cancer; Non-Sq NSCLC=non-squamous non-small cell lung cancer; NR=not reported; PD-L1+=PD-L1 positive; PEM=pembrolizumab; RMSCCHN=recurrent or metastatic squamous cell carcinoma of the head and neck; Sq NSCLC=squamous non-small cell lung cancer; TFI=test for interaction; 1L=first-line; 2L=second-line.</w:t>
      </w:r>
    </w:p>
    <w:p w:rsidR="006A130A" w:rsidRPr="00A84A0B" w:rsidRDefault="006A130A" w:rsidP="005939DA">
      <w:pPr>
        <w:ind w:left="709"/>
        <w:jc w:val="both"/>
        <w:rPr>
          <w:rFonts w:ascii="Arial Narrow" w:hAnsi="Arial Narrow"/>
          <w:sz w:val="18"/>
        </w:rPr>
      </w:pPr>
      <w:r w:rsidRPr="00A84A0B">
        <w:rPr>
          <w:rFonts w:ascii="Arial Narrow" w:hAnsi="Arial Narrow"/>
          <w:sz w:val="18"/>
        </w:rPr>
        <w:t>Bold values indicate statistically significant differences</w:t>
      </w:r>
    </w:p>
    <w:p w:rsidR="006A130A" w:rsidRPr="00A84A0B" w:rsidRDefault="006A130A" w:rsidP="005939DA">
      <w:pPr>
        <w:ind w:left="709"/>
        <w:jc w:val="both"/>
        <w:rPr>
          <w:rFonts w:ascii="Arial Narrow" w:hAnsi="Arial Narrow"/>
          <w:sz w:val="18"/>
        </w:rPr>
      </w:pPr>
      <w:r w:rsidRPr="00A84A0B">
        <w:rPr>
          <w:rFonts w:ascii="Arial Narrow" w:hAnsi="Arial Narrow"/>
          <w:sz w:val="18"/>
        </w:rPr>
        <w:t>Additional meta-analyses conducted in StatsDirect and tests for interaction conducted during the evaluation (if not reported in the trial reports)</w:t>
      </w:r>
    </w:p>
    <w:p w:rsidR="006A130A" w:rsidRPr="00A84A0B" w:rsidRDefault="006A130A" w:rsidP="005939DA">
      <w:pPr>
        <w:tabs>
          <w:tab w:val="left" w:pos="993"/>
        </w:tabs>
        <w:ind w:left="709"/>
        <w:jc w:val="both"/>
        <w:rPr>
          <w:rFonts w:ascii="Arial Narrow" w:hAnsi="Arial Narrow"/>
          <w:sz w:val="18"/>
          <w:szCs w:val="18"/>
        </w:rPr>
      </w:pPr>
      <w:r w:rsidRPr="00A84A0B">
        <w:rPr>
          <w:rFonts w:ascii="Arial Narrow" w:hAnsi="Arial Narrow"/>
          <w:sz w:val="18"/>
          <w:szCs w:val="18"/>
        </w:rPr>
        <w:t>*</w:t>
      </w:r>
      <w:r w:rsidRPr="00A84A0B">
        <w:rPr>
          <w:rFonts w:ascii="Arial Narrow" w:hAnsi="Arial Narrow"/>
          <w:sz w:val="18"/>
          <w:szCs w:val="18"/>
        </w:rPr>
        <w:tab/>
        <w:t>approximated using a test for interaction relevant to relative risk estimates (&lt;0.05 or NS), otherwise as reported in the CSR</w:t>
      </w:r>
    </w:p>
    <w:p w:rsidR="006A130A" w:rsidRPr="00A84A0B" w:rsidRDefault="006A130A" w:rsidP="005939DA">
      <w:pPr>
        <w:tabs>
          <w:tab w:val="left" w:pos="993"/>
        </w:tabs>
        <w:ind w:left="993" w:hanging="284"/>
        <w:jc w:val="both"/>
        <w:rPr>
          <w:rFonts w:ascii="Arial Narrow" w:hAnsi="Arial Narrow"/>
          <w:sz w:val="18"/>
          <w:szCs w:val="18"/>
        </w:rPr>
      </w:pPr>
      <w:r w:rsidRPr="00A84A0B">
        <w:rPr>
          <w:rFonts w:ascii="Arial Narrow" w:hAnsi="Arial Narrow"/>
          <w:sz w:val="18"/>
          <w:szCs w:val="18"/>
          <w:vertAlign w:val="superscript"/>
        </w:rPr>
        <w:t>a</w:t>
      </w:r>
      <w:r w:rsidRPr="00A84A0B">
        <w:rPr>
          <w:rFonts w:ascii="Arial Narrow" w:hAnsi="Arial Narrow"/>
          <w:sz w:val="18"/>
          <w:szCs w:val="18"/>
        </w:rPr>
        <w:tab/>
        <w:t>N=total in trial and (%)=proportion with PD-L1 expression &lt;1% or &lt;50% (depending on the analysis) of patients with a PD-L1 assessment</w:t>
      </w:r>
    </w:p>
    <w:p w:rsidR="006A130A" w:rsidRPr="00A84A0B" w:rsidRDefault="006A130A" w:rsidP="005939DA">
      <w:pPr>
        <w:tabs>
          <w:tab w:val="left" w:pos="993"/>
        </w:tabs>
        <w:ind w:left="993" w:hanging="284"/>
        <w:jc w:val="both"/>
        <w:rPr>
          <w:rFonts w:ascii="Arial Narrow" w:hAnsi="Arial Narrow"/>
          <w:sz w:val="18"/>
          <w:szCs w:val="18"/>
        </w:rPr>
      </w:pPr>
      <w:r w:rsidRPr="00A84A0B">
        <w:rPr>
          <w:rFonts w:ascii="Arial Narrow" w:hAnsi="Arial Narrow"/>
          <w:sz w:val="18"/>
          <w:szCs w:val="18"/>
          <w:vertAlign w:val="superscript"/>
        </w:rPr>
        <w:t>b</w:t>
      </w:r>
      <w:r w:rsidRPr="00A84A0B">
        <w:rPr>
          <w:rFonts w:ascii="Arial Narrow" w:hAnsi="Arial Narrow"/>
          <w:sz w:val="18"/>
          <w:szCs w:val="18"/>
        </w:rPr>
        <w:tab/>
        <w:t>could not independently verify during the evaluation</w:t>
      </w:r>
    </w:p>
    <w:p w:rsidR="006A130A" w:rsidRPr="00A84A0B" w:rsidRDefault="006A130A" w:rsidP="005939DA">
      <w:pPr>
        <w:tabs>
          <w:tab w:val="left" w:pos="993"/>
        </w:tabs>
        <w:ind w:left="993" w:hanging="284"/>
        <w:jc w:val="both"/>
        <w:rPr>
          <w:rFonts w:ascii="Arial Narrow" w:hAnsi="Arial Narrow"/>
          <w:sz w:val="18"/>
          <w:szCs w:val="18"/>
        </w:rPr>
      </w:pPr>
      <w:r w:rsidRPr="00A84A0B">
        <w:rPr>
          <w:rFonts w:ascii="Arial Narrow" w:hAnsi="Arial Narrow"/>
          <w:sz w:val="18"/>
          <w:szCs w:val="18"/>
          <w:vertAlign w:val="superscript"/>
        </w:rPr>
        <w:t>c</w:t>
      </w:r>
      <w:r w:rsidRPr="00A84A0B">
        <w:rPr>
          <w:rFonts w:ascii="Arial Narrow" w:hAnsi="Arial Narrow"/>
          <w:sz w:val="18"/>
          <w:szCs w:val="18"/>
        </w:rPr>
        <w:tab/>
        <w:t>Table 7.5.2-1, p132 of the CA209-057 trial report.  Statistically significant differences indicated at the 5% (TFI p=0.0004) and 10% (TFI p=0.0002) PD-L1 expression levels)</w:t>
      </w:r>
    </w:p>
    <w:p w:rsidR="006A130A" w:rsidRPr="00A84A0B" w:rsidRDefault="006A130A" w:rsidP="005939DA">
      <w:pPr>
        <w:tabs>
          <w:tab w:val="left" w:pos="993"/>
        </w:tabs>
        <w:ind w:left="993" w:hanging="284"/>
        <w:jc w:val="both"/>
        <w:rPr>
          <w:rFonts w:ascii="Arial Narrow" w:hAnsi="Arial Narrow"/>
          <w:sz w:val="18"/>
          <w:szCs w:val="18"/>
        </w:rPr>
      </w:pPr>
      <w:r w:rsidRPr="00A84A0B">
        <w:rPr>
          <w:rFonts w:ascii="Arial Narrow" w:hAnsi="Arial Narrow"/>
          <w:sz w:val="18"/>
          <w:szCs w:val="18"/>
          <w:vertAlign w:val="superscript"/>
        </w:rPr>
        <w:t>d</w:t>
      </w:r>
      <w:r w:rsidRPr="00A84A0B">
        <w:rPr>
          <w:rFonts w:ascii="Arial Narrow" w:hAnsi="Arial Narrow"/>
          <w:sz w:val="18"/>
          <w:szCs w:val="18"/>
        </w:rPr>
        <w:tab/>
        <w:t>Table 7.5.4-1, p128 of the CA209-037 trial report.  Similar differences at 5% and 10% PD-L1 expression levels</w:t>
      </w:r>
    </w:p>
    <w:p w:rsidR="006A130A" w:rsidRPr="00A84A0B" w:rsidRDefault="006A130A" w:rsidP="005939DA">
      <w:pPr>
        <w:tabs>
          <w:tab w:val="left" w:pos="993"/>
        </w:tabs>
        <w:ind w:left="993" w:hanging="284"/>
        <w:jc w:val="both"/>
        <w:rPr>
          <w:rFonts w:ascii="Arial Narrow" w:hAnsi="Arial Narrow"/>
          <w:sz w:val="18"/>
          <w:szCs w:val="18"/>
        </w:rPr>
      </w:pPr>
      <w:r w:rsidRPr="00A84A0B">
        <w:rPr>
          <w:rFonts w:ascii="Arial Narrow" w:hAnsi="Arial Narrow"/>
          <w:sz w:val="18"/>
          <w:szCs w:val="18"/>
          <w:vertAlign w:val="superscript"/>
        </w:rPr>
        <w:t>e</w:t>
      </w:r>
      <w:r w:rsidRPr="00A84A0B">
        <w:rPr>
          <w:rFonts w:ascii="Arial Narrow" w:hAnsi="Arial Narrow"/>
          <w:sz w:val="18"/>
          <w:szCs w:val="18"/>
        </w:rPr>
        <w:tab/>
        <w:t>Figure 2, p2526 of Robert et al 2015.  Results reported for pembrolizumab 10</w:t>
      </w:r>
      <w:r w:rsidR="003D5F5B" w:rsidRPr="00A84A0B">
        <w:rPr>
          <w:rFonts w:ascii="Arial Narrow" w:hAnsi="Arial Narrow"/>
          <w:sz w:val="18"/>
          <w:szCs w:val="18"/>
        </w:rPr>
        <w:t> </w:t>
      </w:r>
      <w:r w:rsidRPr="00A84A0B">
        <w:rPr>
          <w:rFonts w:ascii="Arial Narrow" w:hAnsi="Arial Narrow"/>
          <w:sz w:val="18"/>
          <w:szCs w:val="18"/>
        </w:rPr>
        <w:t>mg/kg q2w versus ipilimumab and pembrolizumab 10</w:t>
      </w:r>
      <w:r w:rsidR="003D5F5B" w:rsidRPr="00A84A0B">
        <w:rPr>
          <w:rFonts w:ascii="Arial Narrow" w:hAnsi="Arial Narrow"/>
          <w:sz w:val="18"/>
          <w:szCs w:val="18"/>
        </w:rPr>
        <w:t> </w:t>
      </w:r>
      <w:r w:rsidRPr="00A84A0B">
        <w:rPr>
          <w:rFonts w:ascii="Arial Narrow" w:hAnsi="Arial Narrow"/>
          <w:sz w:val="18"/>
          <w:szCs w:val="18"/>
        </w:rPr>
        <w:t>mg/kg q3w versus ipilimumab (q2w reported first).  Treated as two trials in the meta-analysis.</w:t>
      </w:r>
    </w:p>
    <w:p w:rsidR="006A130A" w:rsidRPr="00A84A0B" w:rsidRDefault="006A130A" w:rsidP="005939DA">
      <w:pPr>
        <w:tabs>
          <w:tab w:val="left" w:pos="993"/>
        </w:tabs>
        <w:ind w:left="993" w:hanging="284"/>
        <w:jc w:val="both"/>
        <w:rPr>
          <w:rFonts w:ascii="Arial Narrow" w:hAnsi="Arial Narrow"/>
          <w:sz w:val="18"/>
          <w:szCs w:val="18"/>
        </w:rPr>
      </w:pPr>
      <w:r w:rsidRPr="00A84A0B">
        <w:rPr>
          <w:rFonts w:ascii="Arial Narrow" w:hAnsi="Arial Narrow"/>
          <w:sz w:val="18"/>
          <w:szCs w:val="18"/>
          <w:vertAlign w:val="superscript"/>
        </w:rPr>
        <w:t>f</w:t>
      </w:r>
      <w:r w:rsidRPr="00A84A0B">
        <w:rPr>
          <w:rFonts w:ascii="Arial Narrow" w:hAnsi="Arial Narrow"/>
          <w:sz w:val="18"/>
          <w:szCs w:val="18"/>
        </w:rPr>
        <w:tab/>
        <w:t>Table 7.7-2, p102 of the CA209-141 trial report</w:t>
      </w:r>
    </w:p>
    <w:p w:rsidR="006A130A" w:rsidRPr="00A84A0B" w:rsidRDefault="006A130A" w:rsidP="005939DA">
      <w:pPr>
        <w:tabs>
          <w:tab w:val="left" w:pos="993"/>
        </w:tabs>
        <w:ind w:left="993" w:hanging="284"/>
        <w:jc w:val="both"/>
        <w:rPr>
          <w:rFonts w:ascii="Arial Narrow" w:hAnsi="Arial Narrow"/>
          <w:sz w:val="18"/>
          <w:szCs w:val="18"/>
        </w:rPr>
      </w:pPr>
      <w:r w:rsidRPr="00A84A0B">
        <w:rPr>
          <w:rFonts w:ascii="Arial Narrow" w:hAnsi="Arial Narrow"/>
          <w:sz w:val="18"/>
          <w:szCs w:val="18"/>
        </w:rPr>
        <w:lastRenderedPageBreak/>
        <w:t xml:space="preserve">Source:  pp39-45 of the minor re-submission </w:t>
      </w:r>
    </w:p>
    <w:p w:rsidR="000A3389" w:rsidRPr="00A84A0B" w:rsidRDefault="000A3389" w:rsidP="005939DA">
      <w:pPr>
        <w:tabs>
          <w:tab w:val="left" w:pos="993"/>
        </w:tabs>
        <w:jc w:val="both"/>
        <w:rPr>
          <w:rFonts w:ascii="Arial" w:hAnsi="Arial" w:cs="Arial"/>
          <w:sz w:val="22"/>
          <w:szCs w:val="22"/>
        </w:rPr>
      </w:pPr>
    </w:p>
    <w:p w:rsidR="000A3389" w:rsidRPr="00A84A0B" w:rsidRDefault="000A3389" w:rsidP="005939DA">
      <w:pPr>
        <w:pStyle w:val="ListParagraph"/>
        <w:widowControl/>
        <w:numPr>
          <w:ilvl w:val="1"/>
          <w:numId w:val="1"/>
        </w:numPr>
        <w:rPr>
          <w:szCs w:val="22"/>
        </w:rPr>
      </w:pPr>
      <w:r w:rsidRPr="00A84A0B">
        <w:rPr>
          <w:szCs w:val="22"/>
        </w:rPr>
        <w:t xml:space="preserve">Table </w:t>
      </w:r>
      <w:r w:rsidR="00A92FB9" w:rsidRPr="00A84A0B">
        <w:rPr>
          <w:szCs w:val="22"/>
        </w:rPr>
        <w:t>4</w:t>
      </w:r>
      <w:r w:rsidRPr="00A84A0B">
        <w:rPr>
          <w:szCs w:val="22"/>
        </w:rPr>
        <w:t xml:space="preserve"> presents the overall survival data</w:t>
      </w:r>
      <w:r w:rsidR="00654985" w:rsidRPr="00A84A0B">
        <w:rPr>
          <w:szCs w:val="22"/>
        </w:rPr>
        <w:t xml:space="preserve"> assessed in four categories of PD</w:t>
      </w:r>
      <w:r w:rsidR="00032FCE" w:rsidRPr="00A84A0B">
        <w:rPr>
          <w:szCs w:val="22"/>
        </w:rPr>
        <w:t>-</w:t>
      </w:r>
      <w:r w:rsidR="00654985" w:rsidRPr="00A84A0B">
        <w:rPr>
          <w:szCs w:val="22"/>
        </w:rPr>
        <w:t>L1 expression</w:t>
      </w:r>
      <w:r w:rsidRPr="00A84A0B">
        <w:rPr>
          <w:szCs w:val="22"/>
        </w:rPr>
        <w:t xml:space="preserve"> </w:t>
      </w:r>
      <w:r w:rsidR="00234ABF" w:rsidRPr="00A84A0B">
        <w:rPr>
          <w:szCs w:val="22"/>
        </w:rPr>
        <w:t>reported in the OAK trial.</w:t>
      </w:r>
    </w:p>
    <w:p w:rsidR="006A130A" w:rsidRPr="00A84A0B" w:rsidRDefault="006A130A" w:rsidP="005939DA">
      <w:pPr>
        <w:tabs>
          <w:tab w:val="left" w:pos="993"/>
        </w:tabs>
        <w:jc w:val="both"/>
        <w:rPr>
          <w:rFonts w:ascii="Arial" w:hAnsi="Arial" w:cs="Arial"/>
          <w:sz w:val="22"/>
          <w:szCs w:val="18"/>
        </w:rPr>
      </w:pPr>
    </w:p>
    <w:p w:rsidR="006A130A" w:rsidRPr="00A84A0B" w:rsidRDefault="006A130A" w:rsidP="005939DA">
      <w:pPr>
        <w:tabs>
          <w:tab w:val="left" w:pos="709"/>
        </w:tabs>
        <w:ind w:left="709"/>
        <w:jc w:val="both"/>
        <w:rPr>
          <w:rFonts w:ascii="Arial Narrow" w:hAnsi="Arial Narrow"/>
          <w:b/>
          <w:sz w:val="20"/>
        </w:rPr>
      </w:pPr>
      <w:r w:rsidRPr="00A84A0B">
        <w:rPr>
          <w:rFonts w:ascii="Arial Narrow" w:hAnsi="Arial Narrow"/>
          <w:b/>
          <w:sz w:val="20"/>
          <w:szCs w:val="18"/>
        </w:rPr>
        <w:t xml:space="preserve">Table </w:t>
      </w:r>
      <w:r w:rsidR="00A92FB9" w:rsidRPr="00A84A0B">
        <w:rPr>
          <w:rFonts w:ascii="Arial Narrow" w:hAnsi="Arial Narrow"/>
          <w:b/>
          <w:sz w:val="20"/>
          <w:szCs w:val="18"/>
        </w:rPr>
        <w:t>4</w:t>
      </w:r>
      <w:r w:rsidRPr="00A84A0B">
        <w:rPr>
          <w:rFonts w:ascii="Arial Narrow" w:hAnsi="Arial Narrow"/>
          <w:b/>
          <w:sz w:val="20"/>
          <w:szCs w:val="18"/>
        </w:rPr>
        <w:t xml:space="preserve">: </w:t>
      </w:r>
      <w:r w:rsidRPr="00A84A0B">
        <w:rPr>
          <w:rFonts w:ascii="Arial Narrow" w:hAnsi="Arial Narrow"/>
          <w:b/>
          <w:sz w:val="20"/>
        </w:rPr>
        <w:t>Overall survival (HR [95% CI]) reported in the pre-defined sub-groups by PD-L1 expression as reported in the OAK trial</w:t>
      </w:r>
    </w:p>
    <w:tbl>
      <w:tblPr>
        <w:tblStyle w:val="TableGrid"/>
        <w:tblW w:w="8363" w:type="dxa"/>
        <w:tblInd w:w="704" w:type="dxa"/>
        <w:tblCellMar>
          <w:left w:w="28" w:type="dxa"/>
          <w:right w:w="28" w:type="dxa"/>
        </w:tblCellMar>
        <w:tblLook w:val="04A0" w:firstRow="1" w:lastRow="0" w:firstColumn="1" w:lastColumn="0" w:noHBand="0" w:noVBand="1"/>
        <w:tblCaption w:val="Table 4: Overall survival (HR [95% CI]) reported in the pre-defined sub-groups by PD-L1 expression as reported in the OAK trial"/>
      </w:tblPr>
      <w:tblGrid>
        <w:gridCol w:w="6804"/>
        <w:gridCol w:w="1559"/>
      </w:tblGrid>
      <w:tr w:rsidR="006A130A" w:rsidRPr="00A84A0B" w:rsidTr="00D34FF6">
        <w:trPr>
          <w:tblHeader/>
        </w:trPr>
        <w:tc>
          <w:tcPr>
            <w:tcW w:w="6804" w:type="dxa"/>
          </w:tcPr>
          <w:p w:rsidR="006A130A" w:rsidRPr="00A84A0B" w:rsidRDefault="006A130A" w:rsidP="005939DA">
            <w:pPr>
              <w:tabs>
                <w:tab w:val="left" w:pos="993"/>
              </w:tabs>
              <w:jc w:val="both"/>
              <w:rPr>
                <w:rFonts w:ascii="Arial Narrow" w:hAnsi="Arial Narrow"/>
                <w:b/>
                <w:sz w:val="20"/>
                <w:szCs w:val="18"/>
              </w:rPr>
            </w:pPr>
            <w:r w:rsidRPr="00A84A0B">
              <w:rPr>
                <w:rFonts w:ascii="Arial Narrow" w:hAnsi="Arial Narrow"/>
                <w:b/>
                <w:sz w:val="20"/>
                <w:szCs w:val="18"/>
              </w:rPr>
              <w:t>PD-L1 expression</w:t>
            </w:r>
          </w:p>
        </w:tc>
        <w:tc>
          <w:tcPr>
            <w:tcW w:w="1559" w:type="dxa"/>
            <w:vAlign w:val="center"/>
          </w:tcPr>
          <w:p w:rsidR="006A130A" w:rsidRPr="00A84A0B" w:rsidRDefault="006A130A" w:rsidP="005939DA">
            <w:pPr>
              <w:tabs>
                <w:tab w:val="left" w:pos="993"/>
              </w:tabs>
              <w:jc w:val="center"/>
              <w:rPr>
                <w:rFonts w:ascii="Arial Narrow" w:hAnsi="Arial Narrow"/>
                <w:b/>
                <w:sz w:val="20"/>
                <w:szCs w:val="18"/>
              </w:rPr>
            </w:pPr>
            <w:r w:rsidRPr="00A84A0B">
              <w:rPr>
                <w:rFonts w:ascii="Arial Narrow" w:hAnsi="Arial Narrow"/>
                <w:b/>
                <w:sz w:val="20"/>
                <w:szCs w:val="18"/>
              </w:rPr>
              <w:t>HR (95% CI)</w:t>
            </w:r>
          </w:p>
        </w:tc>
      </w:tr>
      <w:tr w:rsidR="006A130A" w:rsidRPr="00A84A0B" w:rsidTr="007B4A91">
        <w:tc>
          <w:tcPr>
            <w:tcW w:w="6804" w:type="dxa"/>
          </w:tcPr>
          <w:p w:rsidR="006A130A" w:rsidRPr="00A84A0B" w:rsidRDefault="006A130A" w:rsidP="005939DA">
            <w:pPr>
              <w:tabs>
                <w:tab w:val="left" w:pos="993"/>
              </w:tabs>
              <w:jc w:val="both"/>
              <w:rPr>
                <w:rFonts w:ascii="Arial Narrow" w:hAnsi="Arial Narrow"/>
                <w:sz w:val="20"/>
                <w:szCs w:val="18"/>
              </w:rPr>
            </w:pPr>
            <w:r w:rsidRPr="00A84A0B">
              <w:rPr>
                <w:rFonts w:ascii="Arial Narrow" w:hAnsi="Arial Narrow"/>
                <w:sz w:val="20"/>
                <w:szCs w:val="18"/>
              </w:rPr>
              <w:t>TC3 or IC3 (PD-L1 expression ≥50% of tumour cells or ≥10% of infiltrating immune cells)</w:t>
            </w:r>
          </w:p>
        </w:tc>
        <w:tc>
          <w:tcPr>
            <w:tcW w:w="1559" w:type="dxa"/>
            <w:vAlign w:val="center"/>
          </w:tcPr>
          <w:p w:rsidR="006A130A" w:rsidRPr="00A84A0B" w:rsidRDefault="006A130A" w:rsidP="005939DA">
            <w:pPr>
              <w:tabs>
                <w:tab w:val="left" w:pos="993"/>
              </w:tabs>
              <w:jc w:val="center"/>
              <w:rPr>
                <w:rFonts w:ascii="Arial Narrow" w:hAnsi="Arial Narrow"/>
                <w:b/>
                <w:sz w:val="20"/>
                <w:szCs w:val="18"/>
              </w:rPr>
            </w:pPr>
            <w:r w:rsidRPr="00A84A0B">
              <w:rPr>
                <w:rFonts w:ascii="Arial Narrow" w:hAnsi="Arial Narrow"/>
                <w:b/>
                <w:sz w:val="20"/>
                <w:szCs w:val="18"/>
              </w:rPr>
              <w:t>0.41 (0.27, 0.64)</w:t>
            </w:r>
          </w:p>
        </w:tc>
      </w:tr>
      <w:tr w:rsidR="006A130A" w:rsidRPr="00A84A0B" w:rsidTr="007B4A91">
        <w:tc>
          <w:tcPr>
            <w:tcW w:w="6804" w:type="dxa"/>
          </w:tcPr>
          <w:p w:rsidR="006A130A" w:rsidRPr="00A84A0B" w:rsidRDefault="006A130A" w:rsidP="005939DA">
            <w:pPr>
              <w:tabs>
                <w:tab w:val="left" w:pos="993"/>
              </w:tabs>
              <w:jc w:val="both"/>
              <w:rPr>
                <w:rFonts w:ascii="Arial Narrow" w:hAnsi="Arial Narrow"/>
                <w:sz w:val="20"/>
                <w:szCs w:val="18"/>
              </w:rPr>
            </w:pPr>
            <w:r w:rsidRPr="00A84A0B">
              <w:rPr>
                <w:rFonts w:ascii="Arial Narrow" w:hAnsi="Arial Narrow"/>
                <w:sz w:val="20"/>
                <w:szCs w:val="18"/>
              </w:rPr>
              <w:t>TC2/3 or IC2/3 (PD-L1 expression ≥5% of tumour cells or infiltrating immune cells)</w:t>
            </w:r>
          </w:p>
        </w:tc>
        <w:tc>
          <w:tcPr>
            <w:tcW w:w="1559" w:type="dxa"/>
            <w:vAlign w:val="center"/>
          </w:tcPr>
          <w:p w:rsidR="006A130A" w:rsidRPr="00A84A0B" w:rsidRDefault="006A130A" w:rsidP="005939DA">
            <w:pPr>
              <w:tabs>
                <w:tab w:val="left" w:pos="993"/>
              </w:tabs>
              <w:jc w:val="center"/>
              <w:rPr>
                <w:rFonts w:ascii="Arial Narrow" w:hAnsi="Arial Narrow"/>
                <w:b/>
                <w:sz w:val="20"/>
                <w:szCs w:val="18"/>
              </w:rPr>
            </w:pPr>
            <w:r w:rsidRPr="00A84A0B">
              <w:rPr>
                <w:rFonts w:ascii="Arial Narrow" w:hAnsi="Arial Narrow"/>
                <w:b/>
                <w:sz w:val="20"/>
                <w:szCs w:val="18"/>
              </w:rPr>
              <w:t>0.67 (0.49, 0.90)</w:t>
            </w:r>
          </w:p>
        </w:tc>
      </w:tr>
      <w:tr w:rsidR="006A130A" w:rsidRPr="00A84A0B" w:rsidTr="007B4A91">
        <w:tc>
          <w:tcPr>
            <w:tcW w:w="6804" w:type="dxa"/>
          </w:tcPr>
          <w:p w:rsidR="006A130A" w:rsidRPr="00A84A0B" w:rsidRDefault="006A130A" w:rsidP="005939DA">
            <w:pPr>
              <w:tabs>
                <w:tab w:val="left" w:pos="993"/>
              </w:tabs>
              <w:jc w:val="both"/>
              <w:rPr>
                <w:rFonts w:ascii="Arial Narrow" w:hAnsi="Arial Narrow"/>
                <w:sz w:val="20"/>
                <w:szCs w:val="18"/>
              </w:rPr>
            </w:pPr>
            <w:r w:rsidRPr="00A84A0B">
              <w:rPr>
                <w:rFonts w:ascii="Arial Narrow" w:hAnsi="Arial Narrow"/>
                <w:sz w:val="20"/>
                <w:szCs w:val="18"/>
              </w:rPr>
              <w:t>TC1/2/3 or IC1/2/3 (PD-L1 expression ≥1% of tumour cells or infiltrating immune cells)</w:t>
            </w:r>
          </w:p>
        </w:tc>
        <w:tc>
          <w:tcPr>
            <w:tcW w:w="1559" w:type="dxa"/>
            <w:vAlign w:val="center"/>
          </w:tcPr>
          <w:p w:rsidR="006A130A" w:rsidRPr="00A84A0B" w:rsidRDefault="006A130A" w:rsidP="005939DA">
            <w:pPr>
              <w:tabs>
                <w:tab w:val="left" w:pos="993"/>
              </w:tabs>
              <w:jc w:val="center"/>
              <w:rPr>
                <w:rFonts w:ascii="Arial Narrow" w:hAnsi="Arial Narrow"/>
                <w:b/>
                <w:sz w:val="20"/>
                <w:szCs w:val="18"/>
              </w:rPr>
            </w:pPr>
            <w:r w:rsidRPr="00A84A0B">
              <w:rPr>
                <w:rFonts w:ascii="Arial Narrow" w:hAnsi="Arial Narrow"/>
                <w:b/>
                <w:sz w:val="20"/>
                <w:szCs w:val="18"/>
              </w:rPr>
              <w:t>0.74 (0.58, 0.93)</w:t>
            </w:r>
          </w:p>
        </w:tc>
      </w:tr>
      <w:tr w:rsidR="006A130A" w:rsidRPr="00A84A0B" w:rsidTr="007B4A91">
        <w:tc>
          <w:tcPr>
            <w:tcW w:w="6804" w:type="dxa"/>
          </w:tcPr>
          <w:p w:rsidR="006A130A" w:rsidRPr="00A84A0B" w:rsidRDefault="006A130A" w:rsidP="005939DA">
            <w:pPr>
              <w:tabs>
                <w:tab w:val="left" w:pos="993"/>
              </w:tabs>
              <w:jc w:val="both"/>
              <w:rPr>
                <w:rFonts w:ascii="Arial Narrow" w:hAnsi="Arial Narrow"/>
                <w:sz w:val="20"/>
                <w:szCs w:val="18"/>
              </w:rPr>
            </w:pPr>
            <w:r w:rsidRPr="00A84A0B">
              <w:rPr>
                <w:rFonts w:ascii="Arial Narrow" w:hAnsi="Arial Narrow"/>
                <w:sz w:val="20"/>
                <w:szCs w:val="18"/>
              </w:rPr>
              <w:t>TC0 or IC0 (PD-L1 expression low or undetectable on tumour cells or infiltrating immune cells)</w:t>
            </w:r>
          </w:p>
        </w:tc>
        <w:tc>
          <w:tcPr>
            <w:tcW w:w="1559" w:type="dxa"/>
            <w:vAlign w:val="center"/>
          </w:tcPr>
          <w:p w:rsidR="006A130A" w:rsidRPr="00A84A0B" w:rsidRDefault="006A130A" w:rsidP="005939DA">
            <w:pPr>
              <w:tabs>
                <w:tab w:val="left" w:pos="993"/>
              </w:tabs>
              <w:jc w:val="center"/>
              <w:rPr>
                <w:rFonts w:ascii="Arial Narrow" w:hAnsi="Arial Narrow"/>
                <w:b/>
                <w:sz w:val="20"/>
                <w:szCs w:val="18"/>
              </w:rPr>
            </w:pPr>
            <w:r w:rsidRPr="00A84A0B">
              <w:rPr>
                <w:rFonts w:ascii="Arial Narrow" w:hAnsi="Arial Narrow"/>
                <w:b/>
                <w:sz w:val="20"/>
                <w:szCs w:val="18"/>
              </w:rPr>
              <w:t>0.75 (0.59, 0.96)</w:t>
            </w:r>
          </w:p>
        </w:tc>
      </w:tr>
    </w:tbl>
    <w:p w:rsidR="006A130A" w:rsidRPr="00A84A0B" w:rsidRDefault="006A130A" w:rsidP="005939DA">
      <w:pPr>
        <w:tabs>
          <w:tab w:val="left" w:pos="993"/>
        </w:tabs>
        <w:ind w:left="993" w:hanging="284"/>
        <w:jc w:val="both"/>
        <w:rPr>
          <w:rFonts w:ascii="Arial Narrow" w:hAnsi="Arial Narrow"/>
          <w:sz w:val="18"/>
          <w:szCs w:val="18"/>
        </w:rPr>
      </w:pPr>
      <w:r w:rsidRPr="00A84A0B">
        <w:rPr>
          <w:rFonts w:ascii="Arial Narrow" w:hAnsi="Arial Narrow"/>
          <w:sz w:val="18"/>
          <w:szCs w:val="18"/>
        </w:rPr>
        <w:t>TC=tumour cells, IC=infiltrating immune cells</w:t>
      </w:r>
    </w:p>
    <w:p w:rsidR="006A130A" w:rsidRPr="00A84A0B" w:rsidRDefault="006A130A" w:rsidP="005939DA">
      <w:pPr>
        <w:tabs>
          <w:tab w:val="left" w:pos="993"/>
        </w:tabs>
        <w:ind w:left="993" w:hanging="284"/>
        <w:jc w:val="both"/>
        <w:rPr>
          <w:rFonts w:ascii="Arial Narrow" w:hAnsi="Arial Narrow"/>
          <w:sz w:val="18"/>
          <w:szCs w:val="18"/>
        </w:rPr>
      </w:pPr>
      <w:r w:rsidRPr="00A84A0B">
        <w:rPr>
          <w:rFonts w:ascii="Arial Narrow" w:hAnsi="Arial Narrow"/>
          <w:sz w:val="18"/>
          <w:szCs w:val="18"/>
        </w:rPr>
        <w:t>Test for interaction comparing ‘TC1/2/3 or IC1/2/3’ and ‘TC0 or IC0’ was not significant</w:t>
      </w:r>
    </w:p>
    <w:p w:rsidR="006A130A" w:rsidRPr="00A84A0B" w:rsidRDefault="006A130A" w:rsidP="005939DA">
      <w:pPr>
        <w:tabs>
          <w:tab w:val="left" w:pos="993"/>
        </w:tabs>
        <w:ind w:left="993" w:hanging="284"/>
        <w:jc w:val="both"/>
        <w:rPr>
          <w:rFonts w:ascii="Arial Narrow" w:hAnsi="Arial Narrow"/>
          <w:sz w:val="18"/>
          <w:szCs w:val="18"/>
        </w:rPr>
      </w:pPr>
      <w:r w:rsidRPr="00A84A0B">
        <w:rPr>
          <w:rFonts w:ascii="Arial Narrow" w:hAnsi="Arial Narrow"/>
          <w:sz w:val="18"/>
          <w:szCs w:val="18"/>
        </w:rPr>
        <w:t>Source: Figure 13, p41 of the minor re-submission</w:t>
      </w:r>
    </w:p>
    <w:p w:rsidR="006A130A" w:rsidRPr="00A84A0B" w:rsidRDefault="006A130A" w:rsidP="005939DA">
      <w:pPr>
        <w:jc w:val="both"/>
        <w:rPr>
          <w:rFonts w:ascii="Arial" w:hAnsi="Arial"/>
          <w:sz w:val="22"/>
          <w:szCs w:val="22"/>
        </w:rPr>
      </w:pPr>
    </w:p>
    <w:p w:rsidR="006A130A" w:rsidRPr="00A84A0B" w:rsidRDefault="006A130A" w:rsidP="005939DA">
      <w:pPr>
        <w:pStyle w:val="ListParagraph"/>
        <w:widowControl/>
        <w:numPr>
          <w:ilvl w:val="1"/>
          <w:numId w:val="1"/>
        </w:numPr>
        <w:rPr>
          <w:szCs w:val="22"/>
        </w:rPr>
      </w:pPr>
      <w:r w:rsidRPr="00A84A0B">
        <w:rPr>
          <w:szCs w:val="22"/>
        </w:rPr>
        <w:t>The data from the individual trials indicated that a statistically significant improvement in overall survival was associated with treatment with nivolumab compared with its comparator in Trial CA09-017 (squamous NSCLC versus docetaxel) and Trial CA209-025 (renal cell carcinoma versus everolimus) among those with less than 1% of cells expressing PD-L1. The remaining five trials demonstrated a statistically significant improvement in overall survival among those with 1% or more cells expressing PD-L1.</w:t>
      </w:r>
    </w:p>
    <w:p w:rsidR="006A130A" w:rsidRPr="00A84A0B" w:rsidRDefault="006A130A" w:rsidP="005939DA">
      <w:pPr>
        <w:rPr>
          <w:rFonts w:ascii="Arial" w:hAnsi="Arial" w:cs="Arial"/>
          <w:sz w:val="22"/>
          <w:szCs w:val="22"/>
        </w:rPr>
      </w:pPr>
    </w:p>
    <w:p w:rsidR="006A130A" w:rsidRPr="00A84A0B" w:rsidRDefault="006A130A" w:rsidP="005939DA">
      <w:pPr>
        <w:pStyle w:val="ListParagraph"/>
        <w:widowControl/>
        <w:numPr>
          <w:ilvl w:val="1"/>
          <w:numId w:val="1"/>
        </w:numPr>
        <w:rPr>
          <w:szCs w:val="22"/>
        </w:rPr>
      </w:pPr>
      <w:r w:rsidRPr="00A84A0B">
        <w:rPr>
          <w:szCs w:val="22"/>
        </w:rPr>
        <w:t>There was significant heterogeneity observed for some of the meta-analyses indicating likely inappropriate combination of trial results and also acknowledging that the three PD pathway treatments considered use different biomarker tests and PD-L1 cut-off levels.</w:t>
      </w:r>
    </w:p>
    <w:p w:rsidR="006A130A" w:rsidRPr="00A84A0B" w:rsidRDefault="006A130A" w:rsidP="005939DA">
      <w:pPr>
        <w:rPr>
          <w:rFonts w:ascii="Arial" w:hAnsi="Arial" w:cs="Arial"/>
          <w:sz w:val="22"/>
          <w:szCs w:val="22"/>
        </w:rPr>
      </w:pPr>
    </w:p>
    <w:p w:rsidR="006A130A" w:rsidRPr="00A84A0B" w:rsidRDefault="006A130A" w:rsidP="005939DA">
      <w:pPr>
        <w:pStyle w:val="ListParagraph"/>
        <w:widowControl/>
        <w:numPr>
          <w:ilvl w:val="1"/>
          <w:numId w:val="1"/>
        </w:numPr>
        <w:rPr>
          <w:szCs w:val="22"/>
        </w:rPr>
      </w:pPr>
      <w:r w:rsidRPr="00A84A0B">
        <w:rPr>
          <w:szCs w:val="22"/>
        </w:rPr>
        <w:t xml:space="preserve">The meta-analyses conducted for those with </w:t>
      </w:r>
      <w:r w:rsidR="002E52DF" w:rsidRPr="00A84A0B">
        <w:rPr>
          <w:szCs w:val="22"/>
        </w:rPr>
        <w:t>less than</w:t>
      </w:r>
      <w:r w:rsidRPr="00A84A0B">
        <w:rPr>
          <w:szCs w:val="22"/>
        </w:rPr>
        <w:t xml:space="preserve"> 1% of cells expressing PD-L1 indicated no differences between nivolumab or PD pathway treatments and its comparators in terms of overall survival in the treatment of NSCLC, melanoma or “cancer”.</w:t>
      </w:r>
    </w:p>
    <w:p w:rsidR="006A130A" w:rsidRPr="00A84A0B" w:rsidRDefault="006A130A" w:rsidP="005939DA">
      <w:pPr>
        <w:rPr>
          <w:rFonts w:ascii="Arial" w:hAnsi="Arial" w:cs="Arial"/>
          <w:sz w:val="22"/>
          <w:szCs w:val="22"/>
        </w:rPr>
      </w:pPr>
    </w:p>
    <w:p w:rsidR="006A130A" w:rsidRPr="00A84A0B" w:rsidRDefault="006A130A" w:rsidP="005939DA">
      <w:pPr>
        <w:pStyle w:val="ListParagraph"/>
        <w:widowControl/>
        <w:numPr>
          <w:ilvl w:val="1"/>
          <w:numId w:val="1"/>
        </w:numPr>
        <w:rPr>
          <w:szCs w:val="22"/>
        </w:rPr>
      </w:pPr>
      <w:r w:rsidRPr="00A84A0B">
        <w:rPr>
          <w:szCs w:val="22"/>
        </w:rPr>
        <w:t>Conversely, the meta-analyses conducted for those with 1% or more cells expressing PD-L1 indicated that a statistically significantly improved overall survival compared with the comparators was associated with nivolumab in the treatment of NSCLC and “cancer”, but not melanoma and for PD pathway treatments in the treatment of NSCLC, melanoma and “cancer”.</w:t>
      </w:r>
    </w:p>
    <w:p w:rsidR="006A130A" w:rsidRPr="00A84A0B" w:rsidRDefault="006A130A" w:rsidP="005939DA">
      <w:pPr>
        <w:rPr>
          <w:rFonts w:ascii="Arial" w:hAnsi="Arial" w:cs="Arial"/>
          <w:sz w:val="22"/>
          <w:szCs w:val="22"/>
        </w:rPr>
      </w:pPr>
    </w:p>
    <w:p w:rsidR="006A130A" w:rsidRPr="00A84A0B" w:rsidRDefault="006A130A" w:rsidP="005939DA">
      <w:pPr>
        <w:pStyle w:val="ListParagraph"/>
        <w:widowControl/>
        <w:numPr>
          <w:ilvl w:val="1"/>
          <w:numId w:val="1"/>
        </w:numPr>
        <w:rPr>
          <w:smallCaps/>
          <w:szCs w:val="22"/>
        </w:rPr>
      </w:pPr>
      <w:r w:rsidRPr="00A84A0B">
        <w:rPr>
          <w:szCs w:val="22"/>
        </w:rPr>
        <w:t xml:space="preserve">The test for interaction (comparing those with </w:t>
      </w:r>
      <w:r w:rsidR="002E52DF" w:rsidRPr="00A84A0B">
        <w:rPr>
          <w:szCs w:val="22"/>
        </w:rPr>
        <w:t>less than</w:t>
      </w:r>
      <w:r w:rsidRPr="00A84A0B">
        <w:rPr>
          <w:szCs w:val="22"/>
        </w:rPr>
        <w:t xml:space="preserve"> 1% and those with 1% or more cells expressing PD-L1) indicated that PD-L1 expression was a treatment effect modifier for nivolumab in the treatment of melanoma from data reported in Trials CA209-037 and -066 and in the meta-analyses of PD pathway treatments in melanoma, and meta-analyses of nivolumab and PD pathway treatments in the treatment of any cancer.</w:t>
      </w:r>
    </w:p>
    <w:p w:rsidR="00B71630" w:rsidRPr="00A84A0B" w:rsidRDefault="00B71630" w:rsidP="005939DA">
      <w:pPr>
        <w:rPr>
          <w:rFonts w:ascii="Arial" w:hAnsi="Arial" w:cs="Arial"/>
          <w:smallCaps/>
          <w:sz w:val="22"/>
          <w:szCs w:val="22"/>
        </w:rPr>
      </w:pPr>
    </w:p>
    <w:p w:rsidR="00B71630" w:rsidRPr="00A84A0B" w:rsidRDefault="00B71630" w:rsidP="005939DA">
      <w:pPr>
        <w:pStyle w:val="ListParagraph"/>
        <w:widowControl/>
        <w:numPr>
          <w:ilvl w:val="1"/>
          <w:numId w:val="1"/>
        </w:numPr>
        <w:rPr>
          <w:szCs w:val="22"/>
        </w:rPr>
      </w:pPr>
      <w:r w:rsidRPr="00A84A0B">
        <w:rPr>
          <w:szCs w:val="22"/>
        </w:rPr>
        <w:t>The sponsor claimed that cancer patients in general derive benefit from nivolumab versus current standards of care, irrespective of PD-L1 status</w:t>
      </w:r>
      <w:r w:rsidR="004A2CF0">
        <w:rPr>
          <w:szCs w:val="22"/>
        </w:rPr>
        <w:t>.</w:t>
      </w:r>
      <w:r w:rsidRPr="00A84A0B">
        <w:rPr>
          <w:szCs w:val="22"/>
        </w:rPr>
        <w:t xml:space="preserve"> </w:t>
      </w:r>
      <w:r w:rsidR="004A2CF0">
        <w:rPr>
          <w:szCs w:val="22"/>
        </w:rPr>
        <w:t>T</w:t>
      </w:r>
      <w:r w:rsidR="004A2CF0" w:rsidRPr="00A84A0B">
        <w:rPr>
          <w:szCs w:val="22"/>
        </w:rPr>
        <w:t xml:space="preserve">he </w:t>
      </w:r>
      <w:r w:rsidRPr="00A84A0B">
        <w:rPr>
          <w:szCs w:val="22"/>
        </w:rPr>
        <w:t xml:space="preserve">sponsor asserted that practical and clinical issues associated with PD-L1 testing necessitate a more specific review of the data by indication/line of therapy before specific conclusions </w:t>
      </w:r>
      <w:r w:rsidRPr="00A84A0B">
        <w:rPr>
          <w:szCs w:val="22"/>
        </w:rPr>
        <w:lastRenderedPageBreak/>
        <w:t>can be made with respect to the predictive value of PD-L1. Although potentially reasonable based on the data presented, should nivolumab act through the PD-L1 pathway, it was unclear why indication or line of therapy would alter its effect.</w:t>
      </w:r>
      <w:r w:rsidR="00683EE9" w:rsidRPr="00A84A0B">
        <w:rPr>
          <w:szCs w:val="22"/>
        </w:rPr>
        <w:t xml:space="preserve"> The PBAC considered this claim to be reasonable given that PD-L1 status </w:t>
      </w:r>
      <w:r w:rsidR="00FC230F" w:rsidRPr="00A84A0B">
        <w:rPr>
          <w:szCs w:val="22"/>
        </w:rPr>
        <w:t xml:space="preserve">can </w:t>
      </w:r>
      <w:r w:rsidR="00683EE9" w:rsidRPr="00A84A0B">
        <w:rPr>
          <w:szCs w:val="22"/>
        </w:rPr>
        <w:t>change depending on tumour stage and progression.</w:t>
      </w:r>
    </w:p>
    <w:p w:rsidR="003F7E7D" w:rsidRPr="00A84A0B" w:rsidRDefault="003F7E7D" w:rsidP="005939DA">
      <w:pPr>
        <w:rPr>
          <w:rFonts w:ascii="Arial" w:hAnsi="Arial" w:cs="Arial"/>
          <w:sz w:val="22"/>
          <w:szCs w:val="22"/>
        </w:rPr>
      </w:pPr>
    </w:p>
    <w:p w:rsidR="003F7E7D" w:rsidRPr="00A84A0B" w:rsidRDefault="003F7E7D" w:rsidP="005939DA">
      <w:pPr>
        <w:pStyle w:val="ListParagraph"/>
        <w:widowControl/>
        <w:numPr>
          <w:ilvl w:val="1"/>
          <w:numId w:val="1"/>
        </w:numPr>
        <w:rPr>
          <w:szCs w:val="22"/>
        </w:rPr>
      </w:pPr>
      <w:r w:rsidRPr="00A84A0B">
        <w:rPr>
          <w:szCs w:val="22"/>
        </w:rPr>
        <w:t xml:space="preserve">The PBAC </w:t>
      </w:r>
      <w:r w:rsidR="00E00BC2" w:rsidRPr="00A84A0B">
        <w:rPr>
          <w:szCs w:val="22"/>
        </w:rPr>
        <w:t xml:space="preserve">considered that the meta-analyses of pre-defined subgroups </w:t>
      </w:r>
      <w:r w:rsidR="004A2CF0">
        <w:rPr>
          <w:szCs w:val="22"/>
        </w:rPr>
        <w:t xml:space="preserve">in the </w:t>
      </w:r>
      <w:r w:rsidR="004A2CF0" w:rsidRPr="00A84A0B">
        <w:rPr>
          <w:szCs w:val="22"/>
        </w:rPr>
        <w:t xml:space="preserve">nivolumab randomised trials </w:t>
      </w:r>
      <w:r w:rsidR="00E00BC2" w:rsidRPr="00A84A0B">
        <w:rPr>
          <w:szCs w:val="22"/>
        </w:rPr>
        <w:t xml:space="preserve">based on PD-L1 expression presented in the submission did not indicate a clear predictive effect of PD-L1 status on </w:t>
      </w:r>
      <w:r w:rsidR="00032FCE" w:rsidRPr="00A84A0B">
        <w:rPr>
          <w:szCs w:val="22"/>
        </w:rPr>
        <w:t xml:space="preserve">the </w:t>
      </w:r>
      <w:r w:rsidR="00E00BC2" w:rsidRPr="00A84A0B">
        <w:rPr>
          <w:szCs w:val="22"/>
        </w:rPr>
        <w:t>comparative effectiveness</w:t>
      </w:r>
      <w:r w:rsidR="00032FCE" w:rsidRPr="00A84A0B">
        <w:rPr>
          <w:szCs w:val="22"/>
        </w:rPr>
        <w:t xml:space="preserve"> of nivolumab</w:t>
      </w:r>
      <w:r w:rsidR="00E00BC2" w:rsidRPr="00A84A0B">
        <w:rPr>
          <w:szCs w:val="22"/>
        </w:rPr>
        <w:t xml:space="preserve">. </w:t>
      </w:r>
      <w:r w:rsidR="00234ABF" w:rsidRPr="00A84A0B">
        <w:rPr>
          <w:szCs w:val="22"/>
        </w:rPr>
        <w:t>Based on this evidence, t</w:t>
      </w:r>
      <w:r w:rsidR="00E00BC2" w:rsidRPr="00A84A0B">
        <w:rPr>
          <w:szCs w:val="22"/>
        </w:rPr>
        <w:t>he PBAC therefore considered that nivolumab should be available to a broad population of patients irrespective of PD-L1 status</w:t>
      </w:r>
      <w:r w:rsidR="00EB2978" w:rsidRPr="00A84A0B">
        <w:rPr>
          <w:szCs w:val="22"/>
        </w:rPr>
        <w:t>.</w:t>
      </w:r>
    </w:p>
    <w:p w:rsidR="00B71630" w:rsidRPr="00A84A0B" w:rsidRDefault="00B71630" w:rsidP="005939DA">
      <w:pPr>
        <w:rPr>
          <w:rFonts w:ascii="Arial" w:hAnsi="Arial" w:cs="Arial"/>
          <w:smallCaps/>
          <w:sz w:val="22"/>
          <w:szCs w:val="22"/>
        </w:rPr>
      </w:pPr>
    </w:p>
    <w:p w:rsidR="00E718B4" w:rsidRPr="00A84A0B" w:rsidRDefault="00E718B4" w:rsidP="005939DA">
      <w:pPr>
        <w:pStyle w:val="Heading2"/>
        <w:rPr>
          <w:rFonts w:cs="Arial"/>
          <w:szCs w:val="22"/>
        </w:rPr>
      </w:pPr>
      <w:r w:rsidRPr="00A84A0B">
        <w:rPr>
          <w:rFonts w:cs="Arial"/>
          <w:szCs w:val="22"/>
        </w:rPr>
        <w:t>Proposed</w:t>
      </w:r>
      <w:r w:rsidR="00032FCE" w:rsidRPr="00A84A0B">
        <w:rPr>
          <w:rFonts w:cs="Arial"/>
          <w:szCs w:val="22"/>
        </w:rPr>
        <w:t xml:space="preserve"> Managed Entry Scheme - (PD-L1)</w:t>
      </w:r>
    </w:p>
    <w:p w:rsidR="00E718B4" w:rsidRPr="00A84A0B" w:rsidRDefault="00E718B4" w:rsidP="005939DA">
      <w:pPr>
        <w:rPr>
          <w:rFonts w:ascii="Arial" w:hAnsi="Arial" w:cs="Arial"/>
          <w:sz w:val="22"/>
          <w:szCs w:val="22"/>
        </w:rPr>
      </w:pPr>
    </w:p>
    <w:p w:rsidR="00855C4D" w:rsidRPr="00A84A0B" w:rsidRDefault="00855C4D" w:rsidP="005939DA">
      <w:pPr>
        <w:pStyle w:val="ListParagraph"/>
        <w:widowControl/>
        <w:numPr>
          <w:ilvl w:val="1"/>
          <w:numId w:val="1"/>
        </w:numPr>
        <w:rPr>
          <w:szCs w:val="22"/>
        </w:rPr>
      </w:pPr>
      <w:r w:rsidRPr="00A84A0B">
        <w:rPr>
          <w:szCs w:val="22"/>
        </w:rPr>
        <w:t>The sponsor maintained that the</w:t>
      </w:r>
      <w:r w:rsidR="00B23A08" w:rsidRPr="00A84A0B">
        <w:rPr>
          <w:szCs w:val="22"/>
        </w:rPr>
        <w:t xml:space="preserve"> data previously presented to the PBAC supports a broad PBS listing for nivolumab for the treatment of squamous and non</w:t>
      </w:r>
      <w:r w:rsidR="009810A1" w:rsidRPr="00A84A0B">
        <w:rPr>
          <w:szCs w:val="22"/>
        </w:rPr>
        <w:t>-</w:t>
      </w:r>
      <w:r w:rsidR="00B23A08" w:rsidRPr="00A84A0B">
        <w:rPr>
          <w:szCs w:val="22"/>
        </w:rPr>
        <w:t xml:space="preserve">squamous NSCLC, irrespective of PD-L1 status. </w:t>
      </w:r>
      <w:r w:rsidR="001914AA" w:rsidRPr="00A84A0B">
        <w:rPr>
          <w:szCs w:val="22"/>
        </w:rPr>
        <w:t>However, the sponsor proposed a MES approach for PD-L1.</w:t>
      </w:r>
    </w:p>
    <w:p w:rsidR="001914AA" w:rsidRPr="00A84A0B" w:rsidRDefault="001914AA" w:rsidP="005939DA">
      <w:pPr>
        <w:rPr>
          <w:rFonts w:ascii="Arial" w:hAnsi="Arial" w:cs="Arial"/>
          <w:sz w:val="22"/>
          <w:szCs w:val="22"/>
        </w:rPr>
      </w:pPr>
    </w:p>
    <w:p w:rsidR="00143EAB" w:rsidRPr="00A84A0B" w:rsidRDefault="001914AA" w:rsidP="005939DA">
      <w:pPr>
        <w:pStyle w:val="ListParagraph"/>
        <w:widowControl/>
        <w:numPr>
          <w:ilvl w:val="1"/>
          <w:numId w:val="1"/>
        </w:numPr>
        <w:rPr>
          <w:szCs w:val="22"/>
        </w:rPr>
      </w:pPr>
      <w:r w:rsidRPr="00A84A0B">
        <w:rPr>
          <w:szCs w:val="22"/>
        </w:rPr>
        <w:t>T</w:t>
      </w:r>
      <w:r w:rsidR="007B4A91" w:rsidRPr="00A84A0B">
        <w:rPr>
          <w:szCs w:val="22"/>
        </w:rPr>
        <w:t xml:space="preserve">he minor re-submission </w:t>
      </w:r>
      <w:r w:rsidRPr="00A84A0B">
        <w:rPr>
          <w:szCs w:val="22"/>
        </w:rPr>
        <w:t>proposed</w:t>
      </w:r>
      <w:r w:rsidR="00143EAB" w:rsidRPr="00A84A0B">
        <w:rPr>
          <w:szCs w:val="22"/>
        </w:rPr>
        <w:t xml:space="preserve"> the following </w:t>
      </w:r>
      <w:r w:rsidRPr="00A84A0B">
        <w:rPr>
          <w:szCs w:val="22"/>
        </w:rPr>
        <w:t>for the MES</w:t>
      </w:r>
      <w:r w:rsidR="00032FCE" w:rsidRPr="00A84A0B">
        <w:rPr>
          <w:szCs w:val="22"/>
        </w:rPr>
        <w:t>:</w:t>
      </w:r>
    </w:p>
    <w:p w:rsidR="007B4A91" w:rsidRPr="00A84A0B" w:rsidRDefault="007B4A91" w:rsidP="005939DA">
      <w:pPr>
        <w:pStyle w:val="ListParagraph"/>
        <w:widowControl/>
        <w:numPr>
          <w:ilvl w:val="0"/>
          <w:numId w:val="19"/>
        </w:numPr>
        <w:ind w:left="993" w:hanging="284"/>
        <w:rPr>
          <w:szCs w:val="22"/>
        </w:rPr>
      </w:pPr>
      <w:r w:rsidRPr="00A84A0B">
        <w:rPr>
          <w:szCs w:val="22"/>
        </w:rPr>
        <w:t>submission of a comprehensive scan on biomarker research in NSCLC annually for 5 years: specifically, a list of trials that are planned or initiated (with expected completion dates) that assess the influence of PD-L1 expression or other biomarkers on the efficacy of nivolumab in NSCLC, nivolumab across indications, and other immunotherapies in NSCLC and across indications;</w:t>
      </w:r>
    </w:p>
    <w:p w:rsidR="007B4A91" w:rsidRPr="00A84A0B" w:rsidRDefault="007B4A91" w:rsidP="005939DA">
      <w:pPr>
        <w:pStyle w:val="ListParagraph"/>
        <w:widowControl/>
        <w:numPr>
          <w:ilvl w:val="0"/>
          <w:numId w:val="19"/>
        </w:numPr>
        <w:ind w:left="993" w:hanging="284"/>
        <w:rPr>
          <w:szCs w:val="22"/>
        </w:rPr>
      </w:pPr>
      <w:r w:rsidRPr="00A84A0B">
        <w:rPr>
          <w:szCs w:val="22"/>
        </w:rPr>
        <w:t xml:space="preserve">provision of an updated meta-analysis or data review, should additional data on nivolumab in NSCLC become available, with a report expected in the first instance based on a final report of nivolumab in the first-line treatment of NSCLC from trial CA209-227 due in the </w:t>
      </w:r>
      <w:r w:rsidR="00653F4E">
        <w:rPr>
          <w:noProof/>
          <w:color w:val="000000"/>
          <w:szCs w:val="22"/>
          <w:highlight w:val="black"/>
        </w:rPr>
        <w:t>''''''''''' '''''''''''''''''' ''''' ''''''''''''</w:t>
      </w:r>
      <w:r w:rsidRPr="00A84A0B">
        <w:rPr>
          <w:szCs w:val="22"/>
        </w:rPr>
        <w:t xml:space="preserve">; </w:t>
      </w:r>
      <w:r w:rsidR="00143EAB" w:rsidRPr="00A84A0B">
        <w:rPr>
          <w:szCs w:val="22"/>
        </w:rPr>
        <w:t>and</w:t>
      </w:r>
    </w:p>
    <w:p w:rsidR="007B4A91" w:rsidRPr="00A84A0B" w:rsidRDefault="007B4A91" w:rsidP="005939DA">
      <w:pPr>
        <w:pStyle w:val="ListParagraph"/>
        <w:widowControl/>
        <w:numPr>
          <w:ilvl w:val="0"/>
          <w:numId w:val="19"/>
        </w:numPr>
        <w:ind w:left="993" w:hanging="284"/>
        <w:rPr>
          <w:szCs w:val="22"/>
        </w:rPr>
      </w:pPr>
      <w:r w:rsidRPr="00A84A0B">
        <w:rPr>
          <w:szCs w:val="22"/>
        </w:rPr>
        <w:t>provision of a co-dependent reimbursement submission should data from CA209-227 or future nivolumab clinical trial data across other indications demonstrate that PD-L1 or another biomarker is clinically relevant to determining patient selectio</w:t>
      </w:r>
      <w:r w:rsidR="00032FCE" w:rsidRPr="00A84A0B">
        <w:rPr>
          <w:szCs w:val="22"/>
        </w:rPr>
        <w:t>n for treatment with nivolumab.</w:t>
      </w:r>
    </w:p>
    <w:p w:rsidR="00143EAB" w:rsidRPr="00A84A0B" w:rsidRDefault="00143EAB" w:rsidP="005939DA">
      <w:pPr>
        <w:rPr>
          <w:rFonts w:ascii="Arial" w:hAnsi="Arial" w:cs="Arial"/>
          <w:sz w:val="22"/>
          <w:szCs w:val="22"/>
        </w:rPr>
      </w:pPr>
    </w:p>
    <w:p w:rsidR="007B4A91" w:rsidRPr="00A84A0B" w:rsidRDefault="007B4A91" w:rsidP="005939DA">
      <w:pPr>
        <w:pStyle w:val="ListParagraph"/>
        <w:widowControl/>
        <w:numPr>
          <w:ilvl w:val="1"/>
          <w:numId w:val="1"/>
        </w:numPr>
        <w:rPr>
          <w:szCs w:val="22"/>
        </w:rPr>
      </w:pPr>
      <w:r w:rsidRPr="00A84A0B">
        <w:rPr>
          <w:szCs w:val="22"/>
        </w:rPr>
        <w:t>The minor re-submission proposed that the cost associated with the comprehensive scan on biomarker research in NSCLC be shared with other sponsors should other therapies be listed on the PBS for NSCLC indications.</w:t>
      </w:r>
      <w:r w:rsidR="009B54FB" w:rsidRPr="00A84A0B">
        <w:rPr>
          <w:szCs w:val="22"/>
        </w:rPr>
        <w:t xml:space="preserve"> The PBAC </w:t>
      </w:r>
      <w:r w:rsidR="002F48C3" w:rsidRPr="00A84A0B">
        <w:rPr>
          <w:szCs w:val="22"/>
        </w:rPr>
        <w:t xml:space="preserve">had no objections to </w:t>
      </w:r>
      <w:r w:rsidR="00FC230F" w:rsidRPr="00A84A0B">
        <w:rPr>
          <w:szCs w:val="22"/>
        </w:rPr>
        <w:t>this proposal</w:t>
      </w:r>
      <w:r w:rsidR="009B54FB" w:rsidRPr="00A84A0B">
        <w:rPr>
          <w:szCs w:val="22"/>
        </w:rPr>
        <w:t>.</w:t>
      </w:r>
    </w:p>
    <w:p w:rsidR="007B4A91" w:rsidRPr="00A84A0B" w:rsidRDefault="007B4A91" w:rsidP="005939DA">
      <w:pPr>
        <w:rPr>
          <w:rFonts w:ascii="Arial" w:hAnsi="Arial" w:cs="Arial"/>
          <w:sz w:val="22"/>
          <w:szCs w:val="22"/>
        </w:rPr>
      </w:pPr>
    </w:p>
    <w:p w:rsidR="007B4A91" w:rsidRPr="00A84A0B" w:rsidRDefault="007B4A91" w:rsidP="005939DA">
      <w:pPr>
        <w:pStyle w:val="ListParagraph"/>
        <w:widowControl/>
        <w:numPr>
          <w:ilvl w:val="1"/>
          <w:numId w:val="1"/>
        </w:numPr>
        <w:rPr>
          <w:szCs w:val="22"/>
        </w:rPr>
      </w:pPr>
      <w:r w:rsidRPr="00A84A0B">
        <w:rPr>
          <w:szCs w:val="22"/>
        </w:rPr>
        <w:t>The minor re-submission also provided a table of trials from clinical trials.gov specific to biomarker research. An independent search located no further relevant trials or studies. The majority (eight) of the 12 identified studies involve assessment of pembrolizumab, with three for nivolumab and one for durvalumab. The earliest completion dates for the studies is September 2017. Given many of the ongoing studies involve pembrolizumab, there is a possibility that the relevance of any biomarkers deemed relevant to pembrolizumab may not be apparent for nivolumab given different biomarker tests may be used, as well as differing cut-off values, as is the current case for PD-L1.</w:t>
      </w:r>
    </w:p>
    <w:p w:rsidR="00E00BC2" w:rsidRPr="00A84A0B" w:rsidRDefault="00E00BC2" w:rsidP="005939DA">
      <w:pPr>
        <w:rPr>
          <w:rFonts w:ascii="Arial" w:hAnsi="Arial" w:cs="Arial"/>
          <w:sz w:val="22"/>
          <w:szCs w:val="22"/>
        </w:rPr>
      </w:pPr>
    </w:p>
    <w:p w:rsidR="00E00BC2" w:rsidRPr="00A84A0B" w:rsidRDefault="006D0B5F" w:rsidP="005939DA">
      <w:pPr>
        <w:pStyle w:val="ListParagraph"/>
        <w:widowControl/>
        <w:numPr>
          <w:ilvl w:val="1"/>
          <w:numId w:val="1"/>
        </w:numPr>
        <w:rPr>
          <w:szCs w:val="22"/>
        </w:rPr>
      </w:pPr>
      <w:r w:rsidRPr="00A84A0B">
        <w:rPr>
          <w:szCs w:val="22"/>
        </w:rPr>
        <w:lastRenderedPageBreak/>
        <w:t>On review, t</w:t>
      </w:r>
      <w:r w:rsidR="00BB22CA" w:rsidRPr="00A84A0B">
        <w:rPr>
          <w:szCs w:val="22"/>
        </w:rPr>
        <w:t>he PBAC considered that</w:t>
      </w:r>
      <w:r w:rsidRPr="00A84A0B">
        <w:rPr>
          <w:szCs w:val="22"/>
        </w:rPr>
        <w:t>, rather than a formal</w:t>
      </w:r>
      <w:r w:rsidR="00BB22CA" w:rsidRPr="00A84A0B">
        <w:rPr>
          <w:szCs w:val="22"/>
        </w:rPr>
        <w:t xml:space="preserve"> MES</w:t>
      </w:r>
      <w:r w:rsidRPr="00A84A0B">
        <w:rPr>
          <w:szCs w:val="22"/>
        </w:rPr>
        <w:t>, the sponsor should commit to an ongoing review of randomised trial data</w:t>
      </w:r>
      <w:r w:rsidR="009B54FB" w:rsidRPr="00A84A0B">
        <w:rPr>
          <w:szCs w:val="22"/>
        </w:rPr>
        <w:t xml:space="preserve"> to </w:t>
      </w:r>
      <w:r w:rsidR="00FC230F" w:rsidRPr="00A84A0B">
        <w:rPr>
          <w:szCs w:val="22"/>
        </w:rPr>
        <w:t xml:space="preserve">address </w:t>
      </w:r>
      <w:r w:rsidRPr="00A84A0B">
        <w:rPr>
          <w:szCs w:val="22"/>
        </w:rPr>
        <w:t xml:space="preserve">residual </w:t>
      </w:r>
      <w:r w:rsidR="00FC230F" w:rsidRPr="00A84A0B">
        <w:rPr>
          <w:szCs w:val="22"/>
        </w:rPr>
        <w:t xml:space="preserve">uncertainty regarding </w:t>
      </w:r>
      <w:r w:rsidRPr="00A84A0B">
        <w:rPr>
          <w:szCs w:val="22"/>
        </w:rPr>
        <w:t xml:space="preserve">possible </w:t>
      </w:r>
      <w:r w:rsidR="00FC230F" w:rsidRPr="00A84A0B">
        <w:rPr>
          <w:szCs w:val="22"/>
        </w:rPr>
        <w:t xml:space="preserve">biomarkers </w:t>
      </w:r>
      <w:r w:rsidRPr="00A84A0B">
        <w:rPr>
          <w:szCs w:val="22"/>
        </w:rPr>
        <w:t>predicting</w:t>
      </w:r>
      <w:r w:rsidR="00FC230F" w:rsidRPr="00A84A0B">
        <w:rPr>
          <w:szCs w:val="22"/>
        </w:rPr>
        <w:t xml:space="preserve"> treatment effect modification</w:t>
      </w:r>
      <w:r w:rsidR="009810A1" w:rsidRPr="00A84A0B">
        <w:rPr>
          <w:szCs w:val="22"/>
        </w:rPr>
        <w:t xml:space="preserve"> of nivolumab in NSCLC and/or other anti-PD1 therapy in NSCLC</w:t>
      </w:r>
      <w:r w:rsidR="009B54FB" w:rsidRPr="00A84A0B">
        <w:rPr>
          <w:szCs w:val="22"/>
        </w:rPr>
        <w:t>.</w:t>
      </w:r>
      <w:r w:rsidR="00FC230F" w:rsidRPr="00A84A0B">
        <w:rPr>
          <w:szCs w:val="22"/>
        </w:rPr>
        <w:t xml:space="preserve"> </w:t>
      </w:r>
      <w:r w:rsidRPr="00A84A0B">
        <w:rPr>
          <w:szCs w:val="22"/>
        </w:rPr>
        <w:t>T</w:t>
      </w:r>
      <w:r w:rsidR="00FC230F" w:rsidRPr="00A84A0B">
        <w:rPr>
          <w:szCs w:val="22"/>
        </w:rPr>
        <w:t xml:space="preserve">he PBAC also requested that the sponsor </w:t>
      </w:r>
      <w:r w:rsidRPr="00A84A0B">
        <w:rPr>
          <w:szCs w:val="22"/>
        </w:rPr>
        <w:t xml:space="preserve">indicate </w:t>
      </w:r>
      <w:r w:rsidR="00FC230F" w:rsidRPr="00A84A0B">
        <w:rPr>
          <w:szCs w:val="22"/>
        </w:rPr>
        <w:t>what potential there would be for retrospective analys</w:t>
      </w:r>
      <w:r w:rsidRPr="00A84A0B">
        <w:rPr>
          <w:szCs w:val="22"/>
        </w:rPr>
        <w:t>e</w:t>
      </w:r>
      <w:r w:rsidR="00FC230F" w:rsidRPr="00A84A0B">
        <w:rPr>
          <w:szCs w:val="22"/>
        </w:rPr>
        <w:t xml:space="preserve">s of </w:t>
      </w:r>
      <w:r w:rsidRPr="00A84A0B">
        <w:rPr>
          <w:szCs w:val="22"/>
        </w:rPr>
        <w:t xml:space="preserve">samples from </w:t>
      </w:r>
      <w:r w:rsidR="00FC230F" w:rsidRPr="00A84A0B">
        <w:rPr>
          <w:szCs w:val="22"/>
        </w:rPr>
        <w:t xml:space="preserve">clinical trial </w:t>
      </w:r>
      <w:r w:rsidRPr="00A84A0B">
        <w:rPr>
          <w:szCs w:val="22"/>
        </w:rPr>
        <w:t xml:space="preserve">participants to </w:t>
      </w:r>
      <w:r w:rsidR="009810A1" w:rsidRPr="00A84A0B">
        <w:rPr>
          <w:szCs w:val="22"/>
        </w:rPr>
        <w:t xml:space="preserve">enable further </w:t>
      </w:r>
      <w:r w:rsidRPr="00A84A0B">
        <w:rPr>
          <w:szCs w:val="22"/>
        </w:rPr>
        <w:t>investigat</w:t>
      </w:r>
      <w:r w:rsidR="009810A1" w:rsidRPr="00A84A0B">
        <w:rPr>
          <w:szCs w:val="22"/>
        </w:rPr>
        <w:t>ions</w:t>
      </w:r>
      <w:r w:rsidRPr="00A84A0B">
        <w:rPr>
          <w:szCs w:val="22"/>
        </w:rPr>
        <w:t xml:space="preserve"> </w:t>
      </w:r>
      <w:r w:rsidR="00FC230F" w:rsidRPr="00A84A0B">
        <w:rPr>
          <w:szCs w:val="22"/>
        </w:rPr>
        <w:t>if new biomarkers were identified.</w:t>
      </w:r>
    </w:p>
    <w:p w:rsidR="006D0B5F" w:rsidRPr="00A84A0B" w:rsidRDefault="006D0B5F" w:rsidP="005939DA">
      <w:pPr>
        <w:rPr>
          <w:rFonts w:ascii="Arial" w:hAnsi="Arial" w:cs="Arial"/>
          <w:sz w:val="22"/>
          <w:szCs w:val="22"/>
        </w:rPr>
      </w:pPr>
    </w:p>
    <w:p w:rsidR="006D0B5F" w:rsidRPr="00A84A0B" w:rsidRDefault="006D0B5F" w:rsidP="005939DA">
      <w:pPr>
        <w:pStyle w:val="ListParagraph"/>
        <w:widowControl/>
        <w:numPr>
          <w:ilvl w:val="1"/>
          <w:numId w:val="1"/>
        </w:numPr>
        <w:rPr>
          <w:szCs w:val="22"/>
        </w:rPr>
      </w:pPr>
      <w:r w:rsidRPr="00A84A0B">
        <w:rPr>
          <w:szCs w:val="22"/>
        </w:rPr>
        <w:t>The PBAC considered that if a biomarker that modified the comparative treatment effect of nivolumab was identified in the future, then a submission to the committee would be required and would have the following potential outcomes:</w:t>
      </w:r>
    </w:p>
    <w:p w:rsidR="006D0B5F" w:rsidRPr="00A84A0B" w:rsidRDefault="006D0B5F" w:rsidP="005939DA">
      <w:pPr>
        <w:pStyle w:val="ListParagraph"/>
        <w:widowControl/>
        <w:numPr>
          <w:ilvl w:val="0"/>
          <w:numId w:val="19"/>
        </w:numPr>
        <w:ind w:left="993" w:hanging="284"/>
        <w:rPr>
          <w:bCs/>
          <w:szCs w:val="22"/>
        </w:rPr>
      </w:pPr>
      <w:r w:rsidRPr="00A84A0B">
        <w:rPr>
          <w:bCs/>
          <w:szCs w:val="22"/>
        </w:rPr>
        <w:t>If a subgroup with a better outcome was identified – no increase to the price of nivolumab;</w:t>
      </w:r>
    </w:p>
    <w:p w:rsidR="006D0B5F" w:rsidRPr="00A84A0B" w:rsidRDefault="006D0B5F" w:rsidP="005939DA">
      <w:pPr>
        <w:pStyle w:val="ListParagraph"/>
        <w:widowControl/>
        <w:numPr>
          <w:ilvl w:val="0"/>
          <w:numId w:val="19"/>
        </w:numPr>
        <w:ind w:left="993" w:hanging="284"/>
        <w:rPr>
          <w:szCs w:val="22"/>
        </w:rPr>
      </w:pPr>
      <w:r w:rsidRPr="00A84A0B">
        <w:rPr>
          <w:bCs/>
          <w:szCs w:val="22"/>
        </w:rPr>
        <w:t>If a subgroup with no effect or a worse outcome was identified – the restriction should be narrowed to exclude these patients from PBS subsidised treatment, and the RSA would need to be adjusted accordingly.</w:t>
      </w:r>
    </w:p>
    <w:p w:rsidR="00954A0C" w:rsidRPr="00A84A0B" w:rsidRDefault="00954A0C" w:rsidP="005939DA">
      <w:pPr>
        <w:rPr>
          <w:rFonts w:ascii="Arial" w:hAnsi="Arial" w:cs="Arial"/>
          <w:sz w:val="22"/>
          <w:szCs w:val="22"/>
        </w:rPr>
      </w:pPr>
    </w:p>
    <w:p w:rsidR="00654985" w:rsidRPr="00A84A0B" w:rsidRDefault="00654985" w:rsidP="005939DA">
      <w:pPr>
        <w:pStyle w:val="Heading2"/>
        <w:rPr>
          <w:rFonts w:cs="Arial"/>
          <w:szCs w:val="22"/>
        </w:rPr>
      </w:pPr>
      <w:r w:rsidRPr="00A84A0B">
        <w:rPr>
          <w:rFonts w:cs="Arial"/>
          <w:szCs w:val="22"/>
        </w:rPr>
        <w:t xml:space="preserve">Effectiveness of nivolumab in patients </w:t>
      </w:r>
      <w:r w:rsidR="000D69CB" w:rsidRPr="00A84A0B">
        <w:rPr>
          <w:rFonts w:cs="Arial"/>
          <w:szCs w:val="22"/>
        </w:rPr>
        <w:t>75 years or older</w:t>
      </w:r>
    </w:p>
    <w:p w:rsidR="00654985" w:rsidRPr="00A84A0B" w:rsidRDefault="00654985" w:rsidP="005939DA">
      <w:pPr>
        <w:rPr>
          <w:rFonts w:ascii="Arial" w:hAnsi="Arial" w:cs="Arial"/>
          <w:sz w:val="22"/>
          <w:szCs w:val="22"/>
        </w:rPr>
      </w:pPr>
    </w:p>
    <w:p w:rsidR="00BF7C48" w:rsidRPr="00A84A0B" w:rsidRDefault="00D20BA3" w:rsidP="005939DA">
      <w:pPr>
        <w:pStyle w:val="ListParagraph"/>
        <w:widowControl/>
        <w:numPr>
          <w:ilvl w:val="1"/>
          <w:numId w:val="1"/>
        </w:numPr>
        <w:ind w:left="709"/>
        <w:rPr>
          <w:szCs w:val="22"/>
        </w:rPr>
      </w:pPr>
      <w:r w:rsidRPr="00A84A0B">
        <w:rPr>
          <w:szCs w:val="22"/>
        </w:rPr>
        <w:t>In order to address the PBAC’s concerns</w:t>
      </w:r>
      <w:r w:rsidR="00B84DE6" w:rsidRPr="00A84A0B">
        <w:rPr>
          <w:szCs w:val="22"/>
        </w:rPr>
        <w:t xml:space="preserve"> from the November 2016 meeting</w:t>
      </w:r>
      <w:r w:rsidRPr="00A84A0B">
        <w:rPr>
          <w:szCs w:val="22"/>
        </w:rPr>
        <w:t xml:space="preserve"> regarding the treatment effect of nivolumab in patients aged 75 years or more, the minor re</w:t>
      </w:r>
      <w:r w:rsidR="003C068E" w:rsidRPr="00A84A0B">
        <w:rPr>
          <w:szCs w:val="22"/>
        </w:rPr>
        <w:noBreakHyphen/>
      </w:r>
      <w:r w:rsidRPr="00A84A0B">
        <w:rPr>
          <w:szCs w:val="22"/>
        </w:rPr>
        <w:t>submission presented</w:t>
      </w:r>
      <w:r w:rsidR="00B84DE6" w:rsidRPr="00A84A0B">
        <w:rPr>
          <w:szCs w:val="22"/>
        </w:rPr>
        <w:t xml:space="preserve"> the following</w:t>
      </w:r>
      <w:r w:rsidRPr="00A84A0B">
        <w:rPr>
          <w:szCs w:val="22"/>
        </w:rPr>
        <w:t xml:space="preserve"> </w:t>
      </w:r>
      <w:r w:rsidR="00BF7C48" w:rsidRPr="00A84A0B">
        <w:rPr>
          <w:szCs w:val="22"/>
        </w:rPr>
        <w:t>analyses</w:t>
      </w:r>
      <w:r w:rsidR="00B84DE6" w:rsidRPr="00A84A0B">
        <w:rPr>
          <w:szCs w:val="22"/>
        </w:rPr>
        <w:t>:</w:t>
      </w:r>
    </w:p>
    <w:p w:rsidR="00BF7C48" w:rsidRPr="00A84A0B" w:rsidRDefault="002A60B8" w:rsidP="005939DA">
      <w:pPr>
        <w:pStyle w:val="ListParagraph"/>
        <w:widowControl/>
        <w:numPr>
          <w:ilvl w:val="0"/>
          <w:numId w:val="19"/>
        </w:numPr>
        <w:ind w:left="993" w:hanging="284"/>
        <w:rPr>
          <w:szCs w:val="22"/>
        </w:rPr>
      </w:pPr>
      <w:r w:rsidRPr="00A84A0B">
        <w:rPr>
          <w:szCs w:val="22"/>
        </w:rPr>
        <w:t>A meta-analysis of the sub-groups of patients in the nivolumab NSCLC trials (CA209-017 and -057) aged &lt;65 years, ≥65 years, 65-74 years and ≥75 years;</w:t>
      </w:r>
    </w:p>
    <w:p w:rsidR="002A60B8" w:rsidRPr="00A84A0B" w:rsidRDefault="002A60B8" w:rsidP="005939DA">
      <w:pPr>
        <w:pStyle w:val="ListParagraph"/>
        <w:widowControl/>
        <w:numPr>
          <w:ilvl w:val="0"/>
          <w:numId w:val="19"/>
        </w:numPr>
        <w:ind w:left="993" w:hanging="284"/>
        <w:rPr>
          <w:szCs w:val="22"/>
        </w:rPr>
      </w:pPr>
      <w:r w:rsidRPr="00A84A0B">
        <w:rPr>
          <w:szCs w:val="22"/>
        </w:rPr>
        <w:t xml:space="preserve">Sub-group analyses of those aged ≥75 years in three </w:t>
      </w:r>
      <w:r w:rsidR="00E068FF">
        <w:rPr>
          <w:szCs w:val="22"/>
        </w:rPr>
        <w:t xml:space="preserve">single-arm </w:t>
      </w:r>
      <w:r w:rsidRPr="00A84A0B">
        <w:rPr>
          <w:szCs w:val="22"/>
        </w:rPr>
        <w:t>observational studies of the use of nivolumab in the treatment of NSCLC (CHECKMATE-153 [squamous and non-squamous]; the Italian Expanded Access Program [squamous]; and the BMS Australian named patient program (BMSA NPP) [squamous and non-squamous]);</w:t>
      </w:r>
    </w:p>
    <w:p w:rsidR="002A60B8" w:rsidRPr="00A84A0B" w:rsidRDefault="002A60B8" w:rsidP="005939DA">
      <w:pPr>
        <w:pStyle w:val="ListParagraph"/>
        <w:widowControl/>
        <w:numPr>
          <w:ilvl w:val="0"/>
          <w:numId w:val="19"/>
        </w:numPr>
        <w:ind w:left="993" w:hanging="284"/>
        <w:rPr>
          <w:szCs w:val="22"/>
        </w:rPr>
      </w:pPr>
      <w:r w:rsidRPr="00A84A0B">
        <w:rPr>
          <w:szCs w:val="22"/>
        </w:rPr>
        <w:t>A meta-analysis of the sub-groups of patients aged &lt;65 and ≥65 years in the nivolumab NSCLC trials (CA209-017 and -057) with the addition of other PD-pathway treatment trials (pembrolizumab [Keynote-010 and -024] and atezolizumab [OAK]) for NSCLC (as data only reported for those aged &lt;65 and ≥65 years for non-nivolumab trials);</w:t>
      </w:r>
    </w:p>
    <w:p w:rsidR="002A60B8" w:rsidRPr="00A84A0B" w:rsidRDefault="002A60B8" w:rsidP="005939DA">
      <w:pPr>
        <w:pStyle w:val="ListParagraph"/>
        <w:widowControl/>
        <w:numPr>
          <w:ilvl w:val="0"/>
          <w:numId w:val="19"/>
        </w:numPr>
        <w:ind w:left="993" w:hanging="284"/>
        <w:rPr>
          <w:szCs w:val="22"/>
        </w:rPr>
      </w:pPr>
      <w:r w:rsidRPr="00A84A0B">
        <w:rPr>
          <w:szCs w:val="22"/>
        </w:rPr>
        <w:t>A meta-analysis of the sub-groups of patients aged ≥75 years in the nivolumab trials (any indication), with the addition of two trials in melanoma (CA209-037 and -066), one trial in renal cell carcinoma (CA209-025) and one trial in head and neck cancer (CA209-141) to those in NSCLC (CA209-017 and -057);</w:t>
      </w:r>
      <w:r w:rsidR="00234ABF" w:rsidRPr="00A84A0B">
        <w:rPr>
          <w:szCs w:val="22"/>
        </w:rPr>
        <w:t xml:space="preserve"> </w:t>
      </w:r>
      <w:r w:rsidRPr="00A84A0B">
        <w:rPr>
          <w:szCs w:val="22"/>
        </w:rPr>
        <w:t>and</w:t>
      </w:r>
    </w:p>
    <w:p w:rsidR="002A60B8" w:rsidRPr="00A84A0B" w:rsidRDefault="002A60B8" w:rsidP="005939DA">
      <w:pPr>
        <w:pStyle w:val="ListParagraph"/>
        <w:widowControl/>
        <w:numPr>
          <w:ilvl w:val="0"/>
          <w:numId w:val="19"/>
        </w:numPr>
        <w:ind w:left="993" w:hanging="284"/>
        <w:rPr>
          <w:szCs w:val="22"/>
        </w:rPr>
      </w:pPr>
      <w:r w:rsidRPr="00A84A0B">
        <w:rPr>
          <w:szCs w:val="22"/>
        </w:rPr>
        <w:t>A meta-analysis of the sub-groups of patients aged &lt;65 and ≥65 years in the nivolumab trials (any indication; CA209-017 and -057, -037, -066, -025, -141) with the addition of other PD-pathway treatment trials (pembrolizumab [Keynote-010, -024, -006] and atezolizumab [OAK]) in any indication (as data only reported for those aged &lt;65 and ≥65 years for non-nivolumab trials).</w:t>
      </w:r>
    </w:p>
    <w:p w:rsidR="00DC34A8" w:rsidRPr="00A84A0B" w:rsidRDefault="00DC34A8" w:rsidP="005939DA">
      <w:pPr>
        <w:rPr>
          <w:rFonts w:ascii="Arial" w:hAnsi="Arial" w:cs="Arial"/>
          <w:sz w:val="22"/>
          <w:szCs w:val="22"/>
        </w:rPr>
      </w:pPr>
    </w:p>
    <w:p w:rsidR="00301CE6" w:rsidRDefault="00301CE6" w:rsidP="005939DA">
      <w:pPr>
        <w:rPr>
          <w:rFonts w:ascii="Arial" w:hAnsi="Arial" w:cs="Arial"/>
          <w:b/>
          <w:i/>
          <w:sz w:val="22"/>
          <w:szCs w:val="22"/>
        </w:rPr>
      </w:pPr>
      <w:r>
        <w:rPr>
          <w:rFonts w:cs="Arial"/>
          <w:szCs w:val="22"/>
        </w:rPr>
        <w:br w:type="page"/>
      </w:r>
    </w:p>
    <w:p w:rsidR="00654985" w:rsidRPr="00A84A0B" w:rsidRDefault="00654985" w:rsidP="005939DA">
      <w:pPr>
        <w:pStyle w:val="Heading2"/>
        <w:rPr>
          <w:rFonts w:cs="Arial"/>
          <w:szCs w:val="22"/>
        </w:rPr>
      </w:pPr>
      <w:r w:rsidRPr="00A84A0B">
        <w:rPr>
          <w:rFonts w:cs="Arial"/>
          <w:szCs w:val="22"/>
        </w:rPr>
        <w:lastRenderedPageBreak/>
        <w:t xml:space="preserve">Efficacy data (patients </w:t>
      </w:r>
      <w:r w:rsidR="000D69CB" w:rsidRPr="00A84A0B">
        <w:rPr>
          <w:rFonts w:cs="Arial"/>
          <w:szCs w:val="22"/>
        </w:rPr>
        <w:t>aged 75 years or</w:t>
      </w:r>
      <w:r w:rsidRPr="00A84A0B">
        <w:rPr>
          <w:rFonts w:cs="Arial"/>
          <w:szCs w:val="22"/>
        </w:rPr>
        <w:t xml:space="preserve"> </w:t>
      </w:r>
      <w:r w:rsidR="000D69CB" w:rsidRPr="00A84A0B">
        <w:rPr>
          <w:rFonts w:cs="Arial"/>
          <w:szCs w:val="22"/>
        </w:rPr>
        <w:t>older</w:t>
      </w:r>
      <w:r w:rsidRPr="00A84A0B">
        <w:rPr>
          <w:rFonts w:cs="Arial"/>
          <w:szCs w:val="22"/>
        </w:rPr>
        <w:t>)</w:t>
      </w:r>
    </w:p>
    <w:p w:rsidR="00AE2703" w:rsidRPr="00A84A0B" w:rsidRDefault="00AE2703" w:rsidP="005939DA">
      <w:pPr>
        <w:rPr>
          <w:rFonts w:ascii="Arial" w:hAnsi="Arial" w:cs="Arial"/>
          <w:sz w:val="22"/>
          <w:szCs w:val="22"/>
        </w:rPr>
      </w:pPr>
    </w:p>
    <w:p w:rsidR="00CC5AD3" w:rsidRPr="00A84A0B" w:rsidRDefault="00CC5AD3" w:rsidP="005939DA">
      <w:pPr>
        <w:rPr>
          <w:rFonts w:ascii="Arial" w:hAnsi="Arial" w:cs="Arial"/>
          <w:sz w:val="22"/>
          <w:szCs w:val="22"/>
        </w:rPr>
      </w:pPr>
    </w:p>
    <w:p w:rsidR="004F7A0B" w:rsidRPr="00A84A0B" w:rsidRDefault="00020392" w:rsidP="005939DA">
      <w:pPr>
        <w:pStyle w:val="ListParagraph"/>
        <w:widowControl/>
        <w:numPr>
          <w:ilvl w:val="1"/>
          <w:numId w:val="1"/>
        </w:numPr>
        <w:rPr>
          <w:szCs w:val="22"/>
        </w:rPr>
      </w:pPr>
      <w:r w:rsidRPr="00A84A0B">
        <w:rPr>
          <w:szCs w:val="22"/>
        </w:rPr>
        <w:t xml:space="preserve">The HR for median overall survival in each </w:t>
      </w:r>
      <w:r w:rsidRPr="00A84A0B">
        <w:rPr>
          <w:szCs w:val="22"/>
          <w:u w:val="single"/>
        </w:rPr>
        <w:t>age subgroup</w:t>
      </w:r>
      <w:r w:rsidRPr="00A84A0B">
        <w:rPr>
          <w:szCs w:val="22"/>
        </w:rPr>
        <w:t xml:space="preserve"> within each trial and the meta-analyses are summarised in Table </w:t>
      </w:r>
      <w:r w:rsidR="00A92FB9" w:rsidRPr="00A84A0B">
        <w:rPr>
          <w:szCs w:val="22"/>
        </w:rPr>
        <w:t>5</w:t>
      </w:r>
      <w:r w:rsidRPr="00A84A0B">
        <w:rPr>
          <w:szCs w:val="22"/>
        </w:rPr>
        <w:t>.</w:t>
      </w:r>
      <w:r w:rsidR="00F643DF" w:rsidRPr="00A84A0B" w:rsidDel="00F643DF">
        <w:rPr>
          <w:szCs w:val="22"/>
        </w:rPr>
        <w:t xml:space="preserve"> </w:t>
      </w:r>
    </w:p>
    <w:p w:rsidR="00FD0269" w:rsidRPr="00A84A0B" w:rsidRDefault="00FD0269" w:rsidP="005939DA">
      <w:pPr>
        <w:rPr>
          <w:rFonts w:ascii="Arial" w:hAnsi="Arial" w:cs="Arial"/>
          <w:sz w:val="22"/>
          <w:szCs w:val="22"/>
        </w:rPr>
      </w:pPr>
    </w:p>
    <w:p w:rsidR="00F042D5" w:rsidRPr="00A84A0B" w:rsidRDefault="00263AA1" w:rsidP="005939DA">
      <w:pPr>
        <w:pStyle w:val="ListParagraph"/>
        <w:widowControl/>
        <w:ind w:left="709"/>
        <w:rPr>
          <w:rFonts w:ascii="Arial Narrow" w:hAnsi="Arial Narrow"/>
          <w:b/>
          <w:sz w:val="20"/>
        </w:rPr>
      </w:pPr>
      <w:r w:rsidRPr="00A84A0B">
        <w:rPr>
          <w:rFonts w:ascii="Arial Narrow" w:hAnsi="Arial Narrow"/>
          <w:b/>
          <w:sz w:val="20"/>
        </w:rPr>
        <w:t xml:space="preserve">Table </w:t>
      </w:r>
      <w:r w:rsidR="00A92FB9" w:rsidRPr="00A84A0B">
        <w:rPr>
          <w:rFonts w:ascii="Arial Narrow" w:hAnsi="Arial Narrow"/>
          <w:b/>
          <w:sz w:val="20"/>
        </w:rPr>
        <w:t>5</w:t>
      </w:r>
      <w:r w:rsidRPr="00A84A0B">
        <w:rPr>
          <w:rFonts w:ascii="Arial Narrow" w:hAnsi="Arial Narrow"/>
          <w:b/>
          <w:sz w:val="20"/>
        </w:rPr>
        <w:t>: Overall survival (HR [95% CI]) reported in the pre-defined sub-groups by age as reported in the trials</w:t>
      </w:r>
    </w:p>
    <w:tbl>
      <w:tblPr>
        <w:tblStyle w:val="TableGrid"/>
        <w:tblW w:w="0" w:type="auto"/>
        <w:tblInd w:w="704" w:type="dxa"/>
        <w:tblCellMar>
          <w:left w:w="28" w:type="dxa"/>
          <w:right w:w="28" w:type="dxa"/>
        </w:tblCellMar>
        <w:tblLook w:val="04A0" w:firstRow="1" w:lastRow="0" w:firstColumn="1" w:lastColumn="0" w:noHBand="0" w:noVBand="1"/>
        <w:tblCaption w:val="Table 5: Overall survival (HR [95% CI]) reported in the pre-defined sub-groups by age as reported in the trials"/>
      </w:tblPr>
      <w:tblGrid>
        <w:gridCol w:w="708"/>
        <w:gridCol w:w="2119"/>
        <w:gridCol w:w="1013"/>
        <w:gridCol w:w="969"/>
        <w:gridCol w:w="1272"/>
        <w:gridCol w:w="1272"/>
        <w:gridCol w:w="959"/>
      </w:tblGrid>
      <w:tr w:rsidR="00566BCB" w:rsidRPr="00A84A0B" w:rsidTr="005939DA">
        <w:trPr>
          <w:trHeight w:val="340"/>
          <w:tblHeader/>
        </w:trPr>
        <w:tc>
          <w:tcPr>
            <w:tcW w:w="708" w:type="dxa"/>
            <w:vMerge w:val="restart"/>
            <w:shd w:val="clear" w:color="auto" w:fill="D9D9D9" w:themeFill="background1" w:themeFillShade="D9"/>
            <w:vAlign w:val="center"/>
          </w:tcPr>
          <w:p w:rsidR="00566BCB" w:rsidRPr="00A84A0B" w:rsidRDefault="00566BCB" w:rsidP="005939DA">
            <w:pPr>
              <w:rPr>
                <w:rFonts w:ascii="Arial Narrow" w:hAnsi="Arial Narrow"/>
                <w:b/>
                <w:sz w:val="20"/>
              </w:rPr>
            </w:pPr>
            <w:r w:rsidRPr="00A84A0B">
              <w:rPr>
                <w:rFonts w:ascii="Arial Narrow" w:hAnsi="Arial Narrow"/>
                <w:b/>
                <w:sz w:val="20"/>
              </w:rPr>
              <w:t>Trial</w:t>
            </w:r>
          </w:p>
        </w:tc>
        <w:tc>
          <w:tcPr>
            <w:tcW w:w="2119" w:type="dxa"/>
            <w:vMerge w:val="restart"/>
            <w:tcBorders>
              <w:right w:val="single" w:sz="4" w:space="0" w:color="auto"/>
            </w:tcBorders>
            <w:shd w:val="clear" w:color="auto" w:fill="D9D9D9" w:themeFill="background1" w:themeFillShade="D9"/>
            <w:vAlign w:val="center"/>
          </w:tcPr>
          <w:p w:rsidR="00566BCB" w:rsidRPr="00A84A0B" w:rsidRDefault="00566BCB" w:rsidP="005939DA">
            <w:pPr>
              <w:jc w:val="center"/>
              <w:rPr>
                <w:rFonts w:ascii="Arial Narrow" w:hAnsi="Arial Narrow"/>
                <w:b/>
                <w:sz w:val="20"/>
              </w:rPr>
            </w:pPr>
            <w:r w:rsidRPr="00A84A0B">
              <w:rPr>
                <w:rFonts w:ascii="Arial Narrow" w:hAnsi="Arial Narrow"/>
                <w:b/>
                <w:sz w:val="20"/>
              </w:rPr>
              <w:t>Indication</w:t>
            </w:r>
          </w:p>
        </w:tc>
        <w:tc>
          <w:tcPr>
            <w:tcW w:w="1013" w:type="dxa"/>
            <w:vMerge w:val="restart"/>
            <w:tcBorders>
              <w:left w:val="single" w:sz="4" w:space="0" w:color="auto"/>
            </w:tcBorders>
            <w:shd w:val="clear" w:color="auto" w:fill="D9D9D9" w:themeFill="background1" w:themeFillShade="D9"/>
            <w:vAlign w:val="center"/>
          </w:tcPr>
          <w:p w:rsidR="00566BCB" w:rsidRPr="00A84A0B" w:rsidRDefault="00566BCB" w:rsidP="005939DA">
            <w:pPr>
              <w:jc w:val="center"/>
              <w:rPr>
                <w:rFonts w:ascii="Arial Narrow" w:hAnsi="Arial Narrow"/>
                <w:b/>
                <w:sz w:val="20"/>
              </w:rPr>
            </w:pPr>
            <w:r w:rsidRPr="00A84A0B">
              <w:rPr>
                <w:rFonts w:ascii="Arial Narrow" w:hAnsi="Arial Narrow"/>
                <w:b/>
                <w:sz w:val="20"/>
              </w:rPr>
              <w:t xml:space="preserve">Comparison </w:t>
            </w:r>
          </w:p>
        </w:tc>
        <w:tc>
          <w:tcPr>
            <w:tcW w:w="969" w:type="dxa"/>
            <w:vMerge w:val="restart"/>
            <w:tcBorders>
              <w:left w:val="single" w:sz="4" w:space="0" w:color="auto"/>
            </w:tcBorders>
            <w:shd w:val="clear" w:color="auto" w:fill="D9D9D9" w:themeFill="background1" w:themeFillShade="D9"/>
            <w:vAlign w:val="center"/>
          </w:tcPr>
          <w:p w:rsidR="00566BCB" w:rsidRPr="00A84A0B" w:rsidRDefault="00566BCB" w:rsidP="005939DA">
            <w:pPr>
              <w:jc w:val="center"/>
              <w:rPr>
                <w:rFonts w:ascii="Arial Narrow" w:hAnsi="Arial Narrow"/>
                <w:b/>
                <w:sz w:val="20"/>
              </w:rPr>
            </w:pPr>
            <w:r w:rsidRPr="00A84A0B">
              <w:rPr>
                <w:rFonts w:ascii="Arial Narrow" w:hAnsi="Arial Narrow"/>
                <w:b/>
                <w:sz w:val="20"/>
              </w:rPr>
              <w:t>N (%)</w:t>
            </w:r>
            <w:r w:rsidR="00806184" w:rsidRPr="00A84A0B">
              <w:rPr>
                <w:rFonts w:ascii="Arial Narrow" w:hAnsi="Arial Narrow"/>
                <w:b/>
                <w:sz w:val="20"/>
                <w:vertAlign w:val="superscript"/>
              </w:rPr>
              <w:t>a</w:t>
            </w:r>
          </w:p>
        </w:tc>
        <w:tc>
          <w:tcPr>
            <w:tcW w:w="2544" w:type="dxa"/>
            <w:gridSpan w:val="2"/>
            <w:shd w:val="clear" w:color="auto" w:fill="D9D9D9" w:themeFill="background1" w:themeFillShade="D9"/>
            <w:vAlign w:val="center"/>
          </w:tcPr>
          <w:p w:rsidR="00566BCB" w:rsidRPr="00A84A0B" w:rsidRDefault="00566BCB" w:rsidP="005939DA">
            <w:pPr>
              <w:jc w:val="center"/>
              <w:rPr>
                <w:rFonts w:ascii="Arial Narrow" w:hAnsi="Arial Narrow"/>
                <w:b/>
                <w:sz w:val="20"/>
              </w:rPr>
            </w:pPr>
            <w:r w:rsidRPr="00A84A0B">
              <w:rPr>
                <w:rFonts w:ascii="Arial Narrow" w:hAnsi="Arial Narrow"/>
                <w:b/>
                <w:sz w:val="20"/>
              </w:rPr>
              <w:t>HR (95% CI)</w:t>
            </w:r>
            <w:r w:rsidR="00444F92" w:rsidRPr="00A84A0B">
              <w:rPr>
                <w:rFonts w:ascii="Arial Narrow" w:hAnsi="Arial Narrow"/>
                <w:b/>
                <w:sz w:val="20"/>
              </w:rPr>
              <w:t xml:space="preserve"> for OS</w:t>
            </w:r>
          </w:p>
        </w:tc>
        <w:tc>
          <w:tcPr>
            <w:tcW w:w="959" w:type="dxa"/>
            <w:vMerge w:val="restart"/>
            <w:shd w:val="clear" w:color="auto" w:fill="D9D9D9" w:themeFill="background1" w:themeFillShade="D9"/>
            <w:vAlign w:val="center"/>
          </w:tcPr>
          <w:p w:rsidR="00566BCB" w:rsidRPr="00A84A0B" w:rsidRDefault="00566BCB" w:rsidP="005939DA">
            <w:pPr>
              <w:jc w:val="center"/>
              <w:rPr>
                <w:rFonts w:ascii="Arial Narrow" w:hAnsi="Arial Narrow"/>
                <w:b/>
                <w:sz w:val="20"/>
              </w:rPr>
            </w:pPr>
            <w:r w:rsidRPr="00A84A0B">
              <w:rPr>
                <w:rFonts w:ascii="Arial Narrow" w:hAnsi="Arial Narrow"/>
                <w:b/>
                <w:sz w:val="20"/>
              </w:rPr>
              <w:t>Test for interaction</w:t>
            </w:r>
            <w:r w:rsidR="00FD0269" w:rsidRPr="00A84A0B">
              <w:rPr>
                <w:rFonts w:ascii="Arial Narrow" w:hAnsi="Arial Narrow"/>
                <w:b/>
                <w:sz w:val="20"/>
              </w:rPr>
              <w:t>*</w:t>
            </w:r>
          </w:p>
        </w:tc>
      </w:tr>
      <w:tr w:rsidR="00566BCB" w:rsidRPr="00A84A0B" w:rsidTr="005939DA">
        <w:trPr>
          <w:trHeight w:val="340"/>
          <w:tblHeader/>
        </w:trPr>
        <w:tc>
          <w:tcPr>
            <w:tcW w:w="708" w:type="dxa"/>
            <w:vMerge/>
          </w:tcPr>
          <w:p w:rsidR="00566BCB" w:rsidRPr="00A84A0B" w:rsidRDefault="00566BCB" w:rsidP="005939DA">
            <w:pPr>
              <w:rPr>
                <w:rFonts w:ascii="Arial Narrow" w:hAnsi="Arial Narrow"/>
                <w:b/>
                <w:sz w:val="20"/>
              </w:rPr>
            </w:pPr>
          </w:p>
        </w:tc>
        <w:tc>
          <w:tcPr>
            <w:tcW w:w="2119" w:type="dxa"/>
            <w:vMerge/>
            <w:tcBorders>
              <w:right w:val="single" w:sz="4" w:space="0" w:color="auto"/>
            </w:tcBorders>
          </w:tcPr>
          <w:p w:rsidR="00566BCB" w:rsidRPr="00A84A0B" w:rsidRDefault="00566BCB" w:rsidP="005939DA">
            <w:pPr>
              <w:jc w:val="center"/>
              <w:rPr>
                <w:rFonts w:ascii="Arial Narrow" w:hAnsi="Arial Narrow"/>
                <w:b/>
                <w:sz w:val="20"/>
              </w:rPr>
            </w:pPr>
          </w:p>
        </w:tc>
        <w:tc>
          <w:tcPr>
            <w:tcW w:w="1013" w:type="dxa"/>
            <w:vMerge/>
            <w:tcBorders>
              <w:left w:val="single" w:sz="4" w:space="0" w:color="auto"/>
            </w:tcBorders>
          </w:tcPr>
          <w:p w:rsidR="00566BCB" w:rsidRPr="00A84A0B" w:rsidRDefault="00566BCB" w:rsidP="005939DA">
            <w:pPr>
              <w:jc w:val="center"/>
              <w:rPr>
                <w:rFonts w:ascii="Arial Narrow" w:hAnsi="Arial Narrow"/>
                <w:b/>
                <w:sz w:val="20"/>
              </w:rPr>
            </w:pPr>
          </w:p>
        </w:tc>
        <w:tc>
          <w:tcPr>
            <w:tcW w:w="969" w:type="dxa"/>
            <w:vMerge/>
            <w:tcBorders>
              <w:left w:val="single" w:sz="4" w:space="0" w:color="auto"/>
            </w:tcBorders>
          </w:tcPr>
          <w:p w:rsidR="00566BCB" w:rsidRPr="00A84A0B" w:rsidRDefault="00566BCB" w:rsidP="005939DA">
            <w:pPr>
              <w:jc w:val="center"/>
              <w:rPr>
                <w:rFonts w:ascii="Arial Narrow" w:hAnsi="Arial Narrow"/>
                <w:b/>
                <w:sz w:val="20"/>
              </w:rPr>
            </w:pPr>
          </w:p>
        </w:tc>
        <w:tc>
          <w:tcPr>
            <w:tcW w:w="1272" w:type="dxa"/>
            <w:shd w:val="clear" w:color="auto" w:fill="D9D9D9" w:themeFill="background1" w:themeFillShade="D9"/>
            <w:vAlign w:val="center"/>
          </w:tcPr>
          <w:p w:rsidR="00566BCB" w:rsidRPr="00A84A0B" w:rsidRDefault="00566BCB" w:rsidP="005939DA">
            <w:pPr>
              <w:jc w:val="center"/>
              <w:rPr>
                <w:rFonts w:ascii="Arial Narrow" w:hAnsi="Arial Narrow"/>
                <w:b/>
                <w:sz w:val="20"/>
              </w:rPr>
            </w:pPr>
            <w:r w:rsidRPr="00A84A0B">
              <w:rPr>
                <w:rFonts w:ascii="Arial Narrow" w:hAnsi="Arial Narrow"/>
                <w:b/>
                <w:sz w:val="20"/>
              </w:rPr>
              <w:t>&lt;75 years</w:t>
            </w:r>
          </w:p>
        </w:tc>
        <w:tc>
          <w:tcPr>
            <w:tcW w:w="1272" w:type="dxa"/>
            <w:shd w:val="clear" w:color="auto" w:fill="D9D9D9" w:themeFill="background1" w:themeFillShade="D9"/>
            <w:vAlign w:val="center"/>
          </w:tcPr>
          <w:p w:rsidR="00566BCB" w:rsidRPr="00A84A0B" w:rsidRDefault="00566BCB" w:rsidP="005939DA">
            <w:pPr>
              <w:jc w:val="center"/>
              <w:rPr>
                <w:rFonts w:ascii="Arial Narrow" w:hAnsi="Arial Narrow"/>
                <w:b/>
                <w:sz w:val="20"/>
              </w:rPr>
            </w:pPr>
            <w:r w:rsidRPr="00A84A0B">
              <w:rPr>
                <w:rFonts w:ascii="Arial Narrow" w:hAnsi="Arial Narrow"/>
                <w:b/>
                <w:sz w:val="20"/>
              </w:rPr>
              <w:t>≥75 years</w:t>
            </w:r>
          </w:p>
        </w:tc>
        <w:tc>
          <w:tcPr>
            <w:tcW w:w="959" w:type="dxa"/>
            <w:vMerge/>
            <w:vAlign w:val="center"/>
          </w:tcPr>
          <w:p w:rsidR="00566BCB" w:rsidRPr="00A84A0B" w:rsidRDefault="00566BCB" w:rsidP="005939DA">
            <w:pPr>
              <w:jc w:val="center"/>
              <w:rPr>
                <w:rFonts w:ascii="Arial Narrow" w:hAnsi="Arial Narrow"/>
                <w:b/>
                <w:sz w:val="20"/>
              </w:rPr>
            </w:pPr>
          </w:p>
        </w:tc>
      </w:tr>
      <w:tr w:rsidR="00566BCB" w:rsidRPr="00A84A0B" w:rsidTr="005939DA">
        <w:trPr>
          <w:trHeight w:val="340"/>
        </w:trPr>
        <w:tc>
          <w:tcPr>
            <w:tcW w:w="708" w:type="dxa"/>
          </w:tcPr>
          <w:p w:rsidR="00566BCB" w:rsidRPr="00A84A0B" w:rsidRDefault="00566BCB" w:rsidP="005939DA">
            <w:pPr>
              <w:rPr>
                <w:rFonts w:ascii="Arial Narrow" w:hAnsi="Arial Narrow"/>
                <w:sz w:val="20"/>
                <w:vertAlign w:val="superscript"/>
              </w:rPr>
            </w:pPr>
            <w:r w:rsidRPr="00A84A0B">
              <w:rPr>
                <w:rFonts w:ascii="Arial Narrow" w:hAnsi="Arial Narrow"/>
                <w:sz w:val="20"/>
              </w:rPr>
              <w:t>017</w:t>
            </w:r>
            <w:r w:rsidR="00806184" w:rsidRPr="00A84A0B">
              <w:rPr>
                <w:rFonts w:ascii="Arial Narrow" w:hAnsi="Arial Narrow"/>
                <w:sz w:val="20"/>
                <w:vertAlign w:val="superscript"/>
              </w:rPr>
              <w:t>b</w:t>
            </w:r>
          </w:p>
        </w:tc>
        <w:tc>
          <w:tcPr>
            <w:tcW w:w="2119" w:type="dxa"/>
            <w:tcBorders>
              <w:right w:val="single" w:sz="4" w:space="0" w:color="auto"/>
            </w:tcBorders>
            <w:vAlign w:val="center"/>
          </w:tcPr>
          <w:p w:rsidR="00566BCB" w:rsidRPr="00A84A0B" w:rsidRDefault="00566BCB" w:rsidP="005939DA">
            <w:pPr>
              <w:jc w:val="center"/>
              <w:rPr>
                <w:rFonts w:ascii="Arial Narrow" w:hAnsi="Arial Narrow"/>
                <w:sz w:val="20"/>
              </w:rPr>
            </w:pPr>
            <w:r w:rsidRPr="00A84A0B">
              <w:rPr>
                <w:rFonts w:ascii="Arial Narrow" w:hAnsi="Arial Narrow"/>
                <w:sz w:val="20"/>
              </w:rPr>
              <w:t>Sq NSCLC (2L)</w:t>
            </w:r>
          </w:p>
        </w:tc>
        <w:tc>
          <w:tcPr>
            <w:tcW w:w="1013" w:type="dxa"/>
            <w:tcBorders>
              <w:left w:val="single" w:sz="4" w:space="0" w:color="auto"/>
            </w:tcBorders>
            <w:vAlign w:val="center"/>
          </w:tcPr>
          <w:p w:rsidR="00566BCB" w:rsidRPr="00A84A0B" w:rsidRDefault="00566BCB" w:rsidP="005939DA">
            <w:pPr>
              <w:jc w:val="center"/>
              <w:rPr>
                <w:rFonts w:ascii="Arial Narrow" w:hAnsi="Arial Narrow"/>
                <w:sz w:val="20"/>
              </w:rPr>
            </w:pPr>
            <w:r w:rsidRPr="00A84A0B">
              <w:rPr>
                <w:rFonts w:ascii="Arial Narrow" w:hAnsi="Arial Narrow"/>
                <w:sz w:val="20"/>
              </w:rPr>
              <w:t>NIV v DOC</w:t>
            </w:r>
          </w:p>
        </w:tc>
        <w:tc>
          <w:tcPr>
            <w:tcW w:w="969" w:type="dxa"/>
            <w:tcBorders>
              <w:left w:val="single" w:sz="4" w:space="0" w:color="auto"/>
            </w:tcBorders>
            <w:vAlign w:val="center"/>
          </w:tcPr>
          <w:p w:rsidR="00566BCB" w:rsidRPr="00A84A0B" w:rsidRDefault="00566BCB" w:rsidP="005939DA">
            <w:pPr>
              <w:jc w:val="center"/>
              <w:rPr>
                <w:rFonts w:ascii="Arial Narrow" w:hAnsi="Arial Narrow"/>
                <w:sz w:val="20"/>
              </w:rPr>
            </w:pPr>
            <w:r w:rsidRPr="00A84A0B">
              <w:rPr>
                <w:rFonts w:ascii="Arial Narrow" w:hAnsi="Arial Narrow"/>
                <w:sz w:val="20"/>
              </w:rPr>
              <w:t>272 (89.3)</w:t>
            </w:r>
          </w:p>
        </w:tc>
        <w:tc>
          <w:tcPr>
            <w:tcW w:w="1272" w:type="dxa"/>
            <w:vAlign w:val="center"/>
          </w:tcPr>
          <w:p w:rsidR="00566BCB" w:rsidRPr="00A84A0B" w:rsidRDefault="00653F4E" w:rsidP="005939DA">
            <w:pPr>
              <w:jc w:val="center"/>
              <w:rPr>
                <w:rFonts w:ascii="Arial Narrow" w:hAnsi="Arial Narrow"/>
                <w:sz w:val="20"/>
              </w:rPr>
            </w:pPr>
            <w:r>
              <w:rPr>
                <w:rFonts w:ascii="Arial Narrow" w:hAnsi="Arial Narrow"/>
                <w:b/>
                <w:noProof/>
                <w:color w:val="000000"/>
                <w:sz w:val="20"/>
                <w:highlight w:val="black"/>
              </w:rPr>
              <w:t>''''''''</w:t>
            </w:r>
            <w:r w:rsidR="00566BCB" w:rsidRPr="00A84A0B">
              <w:rPr>
                <w:rFonts w:ascii="Arial Narrow" w:hAnsi="Arial Narrow"/>
                <w:b/>
                <w:sz w:val="20"/>
              </w:rPr>
              <w:t xml:space="preserve"> (</w:t>
            </w:r>
            <w:r>
              <w:rPr>
                <w:rFonts w:ascii="Arial Narrow" w:hAnsi="Arial Narrow"/>
                <w:b/>
                <w:noProof/>
                <w:color w:val="000000"/>
                <w:sz w:val="20"/>
                <w:highlight w:val="black"/>
              </w:rPr>
              <w:t>'''''''''</w:t>
            </w:r>
            <w:r w:rsidR="00566BCB" w:rsidRPr="00A84A0B">
              <w:rPr>
                <w:rFonts w:ascii="Arial Narrow" w:hAnsi="Arial Narrow"/>
                <w:b/>
                <w:sz w:val="20"/>
              </w:rPr>
              <w:t xml:space="preserve">, </w:t>
            </w:r>
            <w:r>
              <w:rPr>
                <w:rFonts w:ascii="Arial Narrow" w:hAnsi="Arial Narrow"/>
                <w:b/>
                <w:noProof/>
                <w:color w:val="000000"/>
                <w:sz w:val="20"/>
                <w:highlight w:val="black"/>
              </w:rPr>
              <w:t>''''''''</w:t>
            </w:r>
            <w:r w:rsidR="00566BCB" w:rsidRPr="00A84A0B">
              <w:rPr>
                <w:rFonts w:ascii="Arial Narrow" w:hAnsi="Arial Narrow"/>
                <w:b/>
                <w:sz w:val="20"/>
              </w:rPr>
              <w:t>)</w:t>
            </w:r>
          </w:p>
        </w:tc>
        <w:tc>
          <w:tcPr>
            <w:tcW w:w="1272" w:type="dxa"/>
            <w:vAlign w:val="center"/>
          </w:tcPr>
          <w:p w:rsidR="00566BCB" w:rsidRPr="00A84A0B" w:rsidRDefault="00653F4E" w:rsidP="005939DA">
            <w:pPr>
              <w:jc w:val="center"/>
              <w:rPr>
                <w:rFonts w:ascii="Arial Narrow" w:hAnsi="Arial Narrow"/>
                <w:sz w:val="20"/>
              </w:rPr>
            </w:pPr>
            <w:r>
              <w:rPr>
                <w:rFonts w:ascii="Arial Narrow" w:hAnsi="Arial Narrow"/>
                <w:noProof/>
                <w:color w:val="000000"/>
                <w:sz w:val="20"/>
                <w:highlight w:val="black"/>
              </w:rPr>
              <w:t>''''''''''</w:t>
            </w:r>
            <w:r w:rsidR="00566BCB" w:rsidRPr="00A84A0B">
              <w:rPr>
                <w:rFonts w:ascii="Arial Narrow" w:hAnsi="Arial Narrow"/>
                <w:sz w:val="20"/>
              </w:rPr>
              <w:t xml:space="preserve"> (</w:t>
            </w:r>
            <w:r>
              <w:rPr>
                <w:rFonts w:ascii="Arial Narrow" w:hAnsi="Arial Narrow"/>
                <w:noProof/>
                <w:color w:val="000000"/>
                <w:sz w:val="20"/>
                <w:highlight w:val="black"/>
              </w:rPr>
              <w:t>'''''''''''</w:t>
            </w:r>
            <w:r w:rsidR="00566BCB" w:rsidRPr="00A84A0B">
              <w:rPr>
                <w:rFonts w:ascii="Arial Narrow" w:hAnsi="Arial Narrow"/>
                <w:sz w:val="20"/>
              </w:rPr>
              <w:t xml:space="preserve">, </w:t>
            </w:r>
            <w:r>
              <w:rPr>
                <w:rFonts w:ascii="Arial Narrow" w:hAnsi="Arial Narrow"/>
                <w:noProof/>
                <w:color w:val="000000"/>
                <w:sz w:val="20"/>
                <w:highlight w:val="black"/>
              </w:rPr>
              <w:t>''''''''''''</w:t>
            </w:r>
            <w:r w:rsidR="00566BCB" w:rsidRPr="00A84A0B">
              <w:rPr>
                <w:rFonts w:ascii="Arial Narrow" w:hAnsi="Arial Narrow"/>
                <w:sz w:val="20"/>
              </w:rPr>
              <w:t>)</w:t>
            </w:r>
          </w:p>
        </w:tc>
        <w:tc>
          <w:tcPr>
            <w:tcW w:w="959" w:type="dxa"/>
            <w:vAlign w:val="center"/>
          </w:tcPr>
          <w:p w:rsidR="00566BCB" w:rsidRPr="00A84A0B" w:rsidRDefault="00725C56" w:rsidP="005939DA">
            <w:pPr>
              <w:jc w:val="center"/>
              <w:rPr>
                <w:rFonts w:ascii="Arial Narrow" w:hAnsi="Arial Narrow"/>
                <w:b/>
                <w:sz w:val="20"/>
              </w:rPr>
            </w:pPr>
            <w:r w:rsidRPr="00A84A0B">
              <w:rPr>
                <w:rFonts w:ascii="Arial Narrow" w:hAnsi="Arial Narrow"/>
                <w:b/>
                <w:sz w:val="20"/>
              </w:rPr>
              <w:t>&lt;0.05</w:t>
            </w:r>
          </w:p>
        </w:tc>
      </w:tr>
      <w:tr w:rsidR="00235BB0" w:rsidRPr="00A84A0B" w:rsidTr="005939DA">
        <w:trPr>
          <w:trHeight w:val="340"/>
        </w:trPr>
        <w:tc>
          <w:tcPr>
            <w:tcW w:w="708" w:type="dxa"/>
            <w:vAlign w:val="center"/>
          </w:tcPr>
          <w:p w:rsidR="00235BB0" w:rsidRPr="00A84A0B" w:rsidRDefault="00235BB0" w:rsidP="005939DA">
            <w:pPr>
              <w:rPr>
                <w:rFonts w:ascii="Arial Narrow" w:hAnsi="Arial Narrow"/>
                <w:sz w:val="20"/>
              </w:rPr>
            </w:pPr>
            <w:r w:rsidRPr="00A84A0B">
              <w:rPr>
                <w:rFonts w:ascii="Arial Narrow" w:hAnsi="Arial Narrow"/>
                <w:sz w:val="20"/>
              </w:rPr>
              <w:t>057</w:t>
            </w:r>
            <w:r w:rsidRPr="00A84A0B">
              <w:rPr>
                <w:rFonts w:ascii="Arial Narrow" w:hAnsi="Arial Narrow"/>
                <w:sz w:val="20"/>
                <w:vertAlign w:val="superscript"/>
              </w:rPr>
              <w:t>c</w:t>
            </w:r>
          </w:p>
        </w:tc>
        <w:tc>
          <w:tcPr>
            <w:tcW w:w="2119" w:type="dxa"/>
            <w:tcBorders>
              <w:right w:val="single" w:sz="4" w:space="0" w:color="auto"/>
            </w:tcBorders>
            <w:vAlign w:val="center"/>
          </w:tcPr>
          <w:p w:rsidR="00235BB0" w:rsidRPr="00A84A0B" w:rsidRDefault="00235BB0" w:rsidP="005939DA">
            <w:pPr>
              <w:jc w:val="center"/>
              <w:rPr>
                <w:rFonts w:ascii="Arial Narrow" w:hAnsi="Arial Narrow"/>
                <w:sz w:val="20"/>
              </w:rPr>
            </w:pPr>
            <w:r w:rsidRPr="00A84A0B">
              <w:rPr>
                <w:rFonts w:ascii="Arial Narrow" w:hAnsi="Arial Narrow"/>
                <w:sz w:val="20"/>
              </w:rPr>
              <w:t>Non-Sq NSCLC (2L)</w:t>
            </w:r>
          </w:p>
        </w:tc>
        <w:tc>
          <w:tcPr>
            <w:tcW w:w="1013" w:type="dxa"/>
            <w:tcBorders>
              <w:left w:val="single" w:sz="4" w:space="0" w:color="auto"/>
            </w:tcBorders>
            <w:vAlign w:val="center"/>
          </w:tcPr>
          <w:p w:rsidR="00235BB0" w:rsidRPr="00A84A0B" w:rsidRDefault="00235BB0" w:rsidP="005939DA">
            <w:pPr>
              <w:jc w:val="center"/>
              <w:rPr>
                <w:rFonts w:ascii="Arial Narrow" w:hAnsi="Arial Narrow"/>
                <w:sz w:val="20"/>
              </w:rPr>
            </w:pPr>
            <w:r w:rsidRPr="00A84A0B">
              <w:rPr>
                <w:rFonts w:ascii="Arial Narrow" w:hAnsi="Arial Narrow"/>
                <w:sz w:val="20"/>
              </w:rPr>
              <w:t>NIV v DOC</w:t>
            </w:r>
          </w:p>
        </w:tc>
        <w:tc>
          <w:tcPr>
            <w:tcW w:w="969" w:type="dxa"/>
            <w:tcBorders>
              <w:left w:val="single" w:sz="4" w:space="0" w:color="auto"/>
            </w:tcBorders>
            <w:vAlign w:val="center"/>
          </w:tcPr>
          <w:p w:rsidR="00235BB0" w:rsidRPr="00A84A0B" w:rsidRDefault="00235BB0" w:rsidP="005939DA">
            <w:pPr>
              <w:jc w:val="center"/>
              <w:rPr>
                <w:rFonts w:ascii="Arial Narrow" w:hAnsi="Arial Narrow"/>
                <w:sz w:val="20"/>
              </w:rPr>
            </w:pPr>
            <w:r w:rsidRPr="00A84A0B">
              <w:rPr>
                <w:rFonts w:ascii="Arial Narrow" w:hAnsi="Arial Narrow"/>
                <w:sz w:val="20"/>
              </w:rPr>
              <w:t>582 (92.6)</w:t>
            </w:r>
          </w:p>
        </w:tc>
        <w:tc>
          <w:tcPr>
            <w:tcW w:w="1272" w:type="dxa"/>
            <w:vAlign w:val="center"/>
          </w:tcPr>
          <w:p w:rsidR="00235BB0" w:rsidRPr="00A84A0B" w:rsidRDefault="00235BB0" w:rsidP="005939DA">
            <w:pPr>
              <w:jc w:val="center"/>
              <w:rPr>
                <w:rFonts w:ascii="Arial Narrow" w:hAnsi="Arial Narrow"/>
                <w:sz w:val="20"/>
              </w:rPr>
            </w:pPr>
            <w:r w:rsidRPr="00A84A0B">
              <w:rPr>
                <w:rFonts w:ascii="Arial Narrow" w:hAnsi="Arial Narrow"/>
                <w:sz w:val="20"/>
              </w:rPr>
              <w:t>NR</w:t>
            </w:r>
          </w:p>
        </w:tc>
        <w:tc>
          <w:tcPr>
            <w:tcW w:w="1272" w:type="dxa"/>
            <w:vAlign w:val="center"/>
          </w:tcPr>
          <w:p w:rsidR="00235BB0" w:rsidRPr="00A84A0B" w:rsidRDefault="00653F4E" w:rsidP="005939DA">
            <w:pPr>
              <w:jc w:val="center"/>
              <w:rPr>
                <w:rFonts w:ascii="Arial Narrow" w:hAnsi="Arial Narrow"/>
                <w:sz w:val="20"/>
              </w:rPr>
            </w:pPr>
            <w:r>
              <w:rPr>
                <w:rFonts w:ascii="Arial Narrow" w:hAnsi="Arial Narrow"/>
                <w:noProof/>
                <w:color w:val="000000"/>
                <w:sz w:val="20"/>
                <w:highlight w:val="black"/>
              </w:rPr>
              <w:t>'''''''''''</w:t>
            </w:r>
            <w:r w:rsidR="00235BB0" w:rsidRPr="00A84A0B">
              <w:rPr>
                <w:rFonts w:ascii="Arial Narrow" w:hAnsi="Arial Narrow"/>
                <w:sz w:val="20"/>
              </w:rPr>
              <w:t xml:space="preserve"> (</w:t>
            </w:r>
            <w:r>
              <w:rPr>
                <w:rFonts w:ascii="Arial Narrow" w:hAnsi="Arial Narrow"/>
                <w:noProof/>
                <w:color w:val="000000"/>
                <w:sz w:val="20"/>
                <w:highlight w:val="black"/>
              </w:rPr>
              <w:t>'''''''''''</w:t>
            </w:r>
            <w:r w:rsidR="00235BB0" w:rsidRPr="00A84A0B">
              <w:rPr>
                <w:rFonts w:ascii="Arial Narrow" w:hAnsi="Arial Narrow"/>
                <w:sz w:val="20"/>
              </w:rPr>
              <w:t xml:space="preserve">, </w:t>
            </w:r>
            <w:r>
              <w:rPr>
                <w:rFonts w:ascii="Arial Narrow" w:hAnsi="Arial Narrow"/>
                <w:noProof/>
                <w:color w:val="000000"/>
                <w:sz w:val="20"/>
                <w:highlight w:val="black"/>
              </w:rPr>
              <w:t>''''''''''''</w:t>
            </w:r>
            <w:r w:rsidR="00235BB0" w:rsidRPr="00A84A0B">
              <w:rPr>
                <w:rFonts w:ascii="Arial Narrow" w:hAnsi="Arial Narrow"/>
                <w:sz w:val="20"/>
              </w:rPr>
              <w:t>)</w:t>
            </w:r>
          </w:p>
        </w:tc>
        <w:tc>
          <w:tcPr>
            <w:tcW w:w="959" w:type="dxa"/>
            <w:vAlign w:val="center"/>
          </w:tcPr>
          <w:p w:rsidR="00235BB0" w:rsidRPr="00A84A0B" w:rsidRDefault="00235BB0" w:rsidP="005939DA">
            <w:pPr>
              <w:jc w:val="center"/>
              <w:rPr>
                <w:rFonts w:ascii="Arial Narrow" w:hAnsi="Arial Narrow"/>
                <w:sz w:val="20"/>
              </w:rPr>
            </w:pPr>
            <w:r w:rsidRPr="00A84A0B">
              <w:rPr>
                <w:rFonts w:ascii="Arial Narrow" w:hAnsi="Arial Narrow"/>
                <w:sz w:val="20"/>
              </w:rPr>
              <w:t>NE</w:t>
            </w:r>
          </w:p>
        </w:tc>
      </w:tr>
      <w:tr w:rsidR="00235BB0" w:rsidRPr="00A84A0B" w:rsidTr="005939DA">
        <w:trPr>
          <w:trHeight w:val="340"/>
        </w:trPr>
        <w:tc>
          <w:tcPr>
            <w:tcW w:w="708" w:type="dxa"/>
          </w:tcPr>
          <w:p w:rsidR="00235BB0" w:rsidRPr="00A84A0B" w:rsidRDefault="00235BB0" w:rsidP="005939DA">
            <w:pPr>
              <w:rPr>
                <w:rFonts w:ascii="Arial Narrow" w:hAnsi="Arial Narrow"/>
                <w:sz w:val="20"/>
              </w:rPr>
            </w:pPr>
            <w:r w:rsidRPr="00A84A0B">
              <w:rPr>
                <w:rFonts w:ascii="Arial Narrow" w:hAnsi="Arial Narrow"/>
                <w:sz w:val="20"/>
              </w:rPr>
              <w:t>037</w:t>
            </w:r>
            <w:r w:rsidRPr="00A84A0B">
              <w:rPr>
                <w:rFonts w:ascii="Arial Narrow" w:hAnsi="Arial Narrow"/>
                <w:sz w:val="20"/>
                <w:vertAlign w:val="superscript"/>
              </w:rPr>
              <w:t>g</w:t>
            </w:r>
          </w:p>
        </w:tc>
        <w:tc>
          <w:tcPr>
            <w:tcW w:w="2119" w:type="dxa"/>
            <w:tcBorders>
              <w:right w:val="single" w:sz="4" w:space="0" w:color="auto"/>
            </w:tcBorders>
            <w:vAlign w:val="center"/>
          </w:tcPr>
          <w:p w:rsidR="00235BB0" w:rsidRPr="00A84A0B" w:rsidRDefault="00235BB0" w:rsidP="005939DA">
            <w:pPr>
              <w:jc w:val="center"/>
              <w:rPr>
                <w:rFonts w:ascii="Arial Narrow" w:hAnsi="Arial Narrow"/>
                <w:sz w:val="20"/>
              </w:rPr>
            </w:pPr>
            <w:r w:rsidRPr="00A84A0B">
              <w:rPr>
                <w:rFonts w:ascii="Arial Narrow" w:hAnsi="Arial Narrow"/>
                <w:sz w:val="20"/>
              </w:rPr>
              <w:t xml:space="preserve">Melanoma (2L) </w:t>
            </w:r>
          </w:p>
        </w:tc>
        <w:tc>
          <w:tcPr>
            <w:tcW w:w="1013" w:type="dxa"/>
            <w:tcBorders>
              <w:left w:val="single" w:sz="4" w:space="0" w:color="auto"/>
            </w:tcBorders>
            <w:vAlign w:val="center"/>
          </w:tcPr>
          <w:p w:rsidR="00235BB0" w:rsidRPr="00A84A0B" w:rsidRDefault="00235BB0" w:rsidP="005939DA">
            <w:pPr>
              <w:jc w:val="center"/>
              <w:rPr>
                <w:rFonts w:ascii="Arial Narrow" w:hAnsi="Arial Narrow"/>
                <w:sz w:val="20"/>
              </w:rPr>
            </w:pPr>
            <w:r w:rsidRPr="00A84A0B">
              <w:rPr>
                <w:rFonts w:ascii="Arial Narrow" w:hAnsi="Arial Narrow"/>
                <w:sz w:val="20"/>
              </w:rPr>
              <w:t>NIV v IC</w:t>
            </w:r>
          </w:p>
        </w:tc>
        <w:tc>
          <w:tcPr>
            <w:tcW w:w="969" w:type="dxa"/>
            <w:tcBorders>
              <w:left w:val="single" w:sz="4" w:space="0" w:color="auto"/>
            </w:tcBorders>
            <w:vAlign w:val="center"/>
          </w:tcPr>
          <w:p w:rsidR="00235BB0" w:rsidRPr="00A84A0B" w:rsidRDefault="00235BB0" w:rsidP="005939DA">
            <w:pPr>
              <w:jc w:val="center"/>
              <w:rPr>
                <w:rFonts w:ascii="Arial Narrow" w:hAnsi="Arial Narrow"/>
                <w:sz w:val="20"/>
              </w:rPr>
            </w:pPr>
            <w:r w:rsidRPr="00A84A0B">
              <w:rPr>
                <w:rFonts w:ascii="Arial Narrow" w:hAnsi="Arial Narrow"/>
                <w:sz w:val="20"/>
              </w:rPr>
              <w:t>1033 (94.6)</w:t>
            </w:r>
          </w:p>
        </w:tc>
        <w:tc>
          <w:tcPr>
            <w:tcW w:w="1272" w:type="dxa"/>
            <w:vAlign w:val="center"/>
          </w:tcPr>
          <w:p w:rsidR="00235BB0" w:rsidRPr="00A84A0B" w:rsidRDefault="00235BB0" w:rsidP="005939DA">
            <w:pPr>
              <w:jc w:val="center"/>
              <w:rPr>
                <w:rFonts w:ascii="Arial Narrow" w:hAnsi="Arial Narrow"/>
                <w:sz w:val="20"/>
              </w:rPr>
            </w:pPr>
            <w:r w:rsidRPr="00A84A0B">
              <w:rPr>
                <w:rFonts w:ascii="Arial Narrow" w:hAnsi="Arial Narrow"/>
                <w:sz w:val="20"/>
              </w:rPr>
              <w:t>NR</w:t>
            </w:r>
          </w:p>
        </w:tc>
        <w:tc>
          <w:tcPr>
            <w:tcW w:w="1272" w:type="dxa"/>
            <w:vAlign w:val="center"/>
          </w:tcPr>
          <w:p w:rsidR="00235BB0" w:rsidRPr="00A84A0B" w:rsidRDefault="00653F4E" w:rsidP="005939DA">
            <w:pPr>
              <w:jc w:val="center"/>
              <w:rPr>
                <w:rFonts w:ascii="Arial Narrow" w:hAnsi="Arial Narrow"/>
                <w:sz w:val="20"/>
              </w:rPr>
            </w:pPr>
            <w:r>
              <w:rPr>
                <w:rFonts w:ascii="Arial Narrow" w:hAnsi="Arial Narrow"/>
                <w:noProof/>
                <w:color w:val="000000"/>
                <w:sz w:val="20"/>
                <w:highlight w:val="black"/>
              </w:rPr>
              <w:t>'''''''''''</w:t>
            </w:r>
            <w:r w:rsidR="00235BB0" w:rsidRPr="00A84A0B">
              <w:rPr>
                <w:rFonts w:ascii="Arial Narrow" w:hAnsi="Arial Narrow"/>
                <w:sz w:val="20"/>
              </w:rPr>
              <w:t xml:space="preserve"> (</w:t>
            </w:r>
            <w:r>
              <w:rPr>
                <w:rFonts w:ascii="Arial Narrow" w:hAnsi="Arial Narrow"/>
                <w:noProof/>
                <w:color w:val="000000"/>
                <w:sz w:val="20"/>
                <w:highlight w:val="black"/>
              </w:rPr>
              <w:t>'''''''''''</w:t>
            </w:r>
            <w:r w:rsidR="00235BB0" w:rsidRPr="00A84A0B">
              <w:rPr>
                <w:rFonts w:ascii="Arial Narrow" w:hAnsi="Arial Narrow"/>
                <w:sz w:val="20"/>
              </w:rPr>
              <w:t xml:space="preserve">, </w:t>
            </w:r>
            <w:r>
              <w:rPr>
                <w:rFonts w:ascii="Arial Narrow" w:hAnsi="Arial Narrow"/>
                <w:noProof/>
                <w:color w:val="000000"/>
                <w:sz w:val="20"/>
                <w:highlight w:val="black"/>
              </w:rPr>
              <w:t>'''''''''''</w:t>
            </w:r>
            <w:r w:rsidR="00235BB0" w:rsidRPr="00A84A0B">
              <w:rPr>
                <w:rFonts w:ascii="Arial Narrow" w:hAnsi="Arial Narrow"/>
                <w:sz w:val="20"/>
              </w:rPr>
              <w:t>)</w:t>
            </w:r>
          </w:p>
        </w:tc>
        <w:tc>
          <w:tcPr>
            <w:tcW w:w="959" w:type="dxa"/>
            <w:vAlign w:val="center"/>
          </w:tcPr>
          <w:p w:rsidR="00235BB0" w:rsidRPr="00A84A0B" w:rsidRDefault="00235BB0" w:rsidP="005939DA">
            <w:pPr>
              <w:jc w:val="center"/>
              <w:rPr>
                <w:rFonts w:ascii="Arial Narrow" w:hAnsi="Arial Narrow"/>
                <w:sz w:val="20"/>
              </w:rPr>
            </w:pPr>
            <w:r w:rsidRPr="00A84A0B">
              <w:rPr>
                <w:rFonts w:ascii="Arial Narrow" w:hAnsi="Arial Narrow"/>
                <w:sz w:val="20"/>
              </w:rPr>
              <w:t>NE</w:t>
            </w:r>
          </w:p>
        </w:tc>
      </w:tr>
      <w:tr w:rsidR="00235BB0" w:rsidRPr="00A84A0B" w:rsidTr="005939DA">
        <w:trPr>
          <w:trHeight w:val="340"/>
        </w:trPr>
        <w:tc>
          <w:tcPr>
            <w:tcW w:w="708" w:type="dxa"/>
          </w:tcPr>
          <w:p w:rsidR="00235BB0" w:rsidRPr="00A84A0B" w:rsidRDefault="00235BB0" w:rsidP="005939DA">
            <w:pPr>
              <w:rPr>
                <w:rFonts w:ascii="Arial Narrow" w:hAnsi="Arial Narrow"/>
                <w:sz w:val="20"/>
              </w:rPr>
            </w:pPr>
            <w:r w:rsidRPr="00A84A0B">
              <w:rPr>
                <w:rFonts w:ascii="Arial Narrow" w:hAnsi="Arial Narrow"/>
                <w:sz w:val="20"/>
              </w:rPr>
              <w:t>066</w:t>
            </w:r>
            <w:r w:rsidRPr="00A84A0B">
              <w:rPr>
                <w:rFonts w:ascii="Arial Narrow" w:hAnsi="Arial Narrow"/>
                <w:sz w:val="20"/>
                <w:vertAlign w:val="superscript"/>
              </w:rPr>
              <w:t>h</w:t>
            </w:r>
          </w:p>
        </w:tc>
        <w:tc>
          <w:tcPr>
            <w:tcW w:w="2119" w:type="dxa"/>
            <w:tcBorders>
              <w:right w:val="single" w:sz="4" w:space="0" w:color="auto"/>
            </w:tcBorders>
            <w:vAlign w:val="center"/>
          </w:tcPr>
          <w:p w:rsidR="00235BB0" w:rsidRPr="00A84A0B" w:rsidRDefault="00235BB0" w:rsidP="005939DA">
            <w:pPr>
              <w:jc w:val="center"/>
              <w:rPr>
                <w:rFonts w:ascii="Arial Narrow" w:hAnsi="Arial Narrow"/>
                <w:sz w:val="20"/>
              </w:rPr>
            </w:pPr>
            <w:r w:rsidRPr="00A84A0B">
              <w:rPr>
                <w:rFonts w:ascii="Arial Narrow" w:hAnsi="Arial Narrow"/>
                <w:sz w:val="20"/>
              </w:rPr>
              <w:t>Melanoma (1L)</w:t>
            </w:r>
          </w:p>
        </w:tc>
        <w:tc>
          <w:tcPr>
            <w:tcW w:w="1013" w:type="dxa"/>
            <w:tcBorders>
              <w:left w:val="single" w:sz="4" w:space="0" w:color="auto"/>
            </w:tcBorders>
            <w:vAlign w:val="center"/>
          </w:tcPr>
          <w:p w:rsidR="00235BB0" w:rsidRPr="00A84A0B" w:rsidRDefault="00235BB0" w:rsidP="005939DA">
            <w:pPr>
              <w:jc w:val="center"/>
              <w:rPr>
                <w:rFonts w:ascii="Arial Narrow" w:hAnsi="Arial Narrow"/>
                <w:sz w:val="20"/>
              </w:rPr>
            </w:pPr>
            <w:r w:rsidRPr="00A84A0B">
              <w:rPr>
                <w:rFonts w:ascii="Arial Narrow" w:hAnsi="Arial Narrow"/>
                <w:sz w:val="20"/>
              </w:rPr>
              <w:t>NIV v DAC</w:t>
            </w:r>
          </w:p>
        </w:tc>
        <w:tc>
          <w:tcPr>
            <w:tcW w:w="969" w:type="dxa"/>
            <w:tcBorders>
              <w:left w:val="single" w:sz="4" w:space="0" w:color="auto"/>
            </w:tcBorders>
            <w:vAlign w:val="center"/>
          </w:tcPr>
          <w:p w:rsidR="00235BB0" w:rsidRPr="00A84A0B" w:rsidRDefault="00235BB0" w:rsidP="005939DA">
            <w:pPr>
              <w:jc w:val="center"/>
              <w:rPr>
                <w:rFonts w:ascii="Arial Narrow" w:hAnsi="Arial Narrow"/>
                <w:sz w:val="20"/>
              </w:rPr>
            </w:pPr>
            <w:r w:rsidRPr="00A84A0B">
              <w:rPr>
                <w:rFonts w:ascii="Arial Narrow" w:hAnsi="Arial Narrow"/>
                <w:sz w:val="20"/>
              </w:rPr>
              <w:t>850 (92.1)</w:t>
            </w:r>
          </w:p>
        </w:tc>
        <w:tc>
          <w:tcPr>
            <w:tcW w:w="1272" w:type="dxa"/>
            <w:vAlign w:val="center"/>
          </w:tcPr>
          <w:p w:rsidR="00235BB0" w:rsidRPr="00A84A0B" w:rsidRDefault="00235BB0" w:rsidP="005939DA">
            <w:pPr>
              <w:jc w:val="center"/>
              <w:rPr>
                <w:rFonts w:ascii="Arial Narrow" w:hAnsi="Arial Narrow"/>
                <w:sz w:val="20"/>
              </w:rPr>
            </w:pPr>
            <w:r w:rsidRPr="00A84A0B">
              <w:rPr>
                <w:rFonts w:ascii="Arial Narrow" w:hAnsi="Arial Narrow"/>
                <w:sz w:val="20"/>
              </w:rPr>
              <w:t>NR</w:t>
            </w:r>
          </w:p>
        </w:tc>
        <w:tc>
          <w:tcPr>
            <w:tcW w:w="1272" w:type="dxa"/>
            <w:vAlign w:val="center"/>
          </w:tcPr>
          <w:p w:rsidR="00235BB0" w:rsidRPr="00A84A0B" w:rsidRDefault="00653F4E" w:rsidP="005939DA">
            <w:pPr>
              <w:jc w:val="center"/>
              <w:rPr>
                <w:rFonts w:ascii="Arial Narrow" w:hAnsi="Arial Narrow"/>
                <w:b/>
                <w:sz w:val="20"/>
              </w:rPr>
            </w:pPr>
            <w:r>
              <w:rPr>
                <w:rFonts w:ascii="Arial Narrow" w:hAnsi="Arial Narrow"/>
                <w:b/>
                <w:noProof/>
                <w:color w:val="000000"/>
                <w:sz w:val="20"/>
                <w:highlight w:val="black"/>
              </w:rPr>
              <w:t>''''''''''</w:t>
            </w:r>
            <w:r w:rsidR="00235BB0" w:rsidRPr="00A84A0B">
              <w:rPr>
                <w:rFonts w:ascii="Arial Narrow" w:hAnsi="Arial Narrow"/>
                <w:b/>
                <w:sz w:val="20"/>
              </w:rPr>
              <w:t xml:space="preserve"> (</w:t>
            </w:r>
            <w:r>
              <w:rPr>
                <w:rFonts w:ascii="Arial Narrow" w:hAnsi="Arial Narrow"/>
                <w:b/>
                <w:noProof/>
                <w:color w:val="000000"/>
                <w:sz w:val="20"/>
                <w:highlight w:val="black"/>
              </w:rPr>
              <w:t>'''''''''</w:t>
            </w:r>
            <w:r w:rsidR="00235BB0" w:rsidRPr="00A84A0B">
              <w:rPr>
                <w:rFonts w:ascii="Arial Narrow" w:hAnsi="Arial Narrow"/>
                <w:b/>
                <w:sz w:val="20"/>
              </w:rPr>
              <w:t xml:space="preserve">, </w:t>
            </w:r>
            <w:r>
              <w:rPr>
                <w:rFonts w:ascii="Arial Narrow" w:hAnsi="Arial Narrow"/>
                <w:b/>
                <w:noProof/>
                <w:color w:val="000000"/>
                <w:sz w:val="20"/>
                <w:highlight w:val="black"/>
              </w:rPr>
              <w:t>'''''''''</w:t>
            </w:r>
            <w:r w:rsidR="00235BB0" w:rsidRPr="00A84A0B">
              <w:rPr>
                <w:rFonts w:ascii="Arial Narrow" w:hAnsi="Arial Narrow"/>
                <w:b/>
                <w:sz w:val="20"/>
              </w:rPr>
              <w:t>)</w:t>
            </w:r>
          </w:p>
        </w:tc>
        <w:tc>
          <w:tcPr>
            <w:tcW w:w="959" w:type="dxa"/>
            <w:vAlign w:val="center"/>
          </w:tcPr>
          <w:p w:rsidR="00235BB0" w:rsidRPr="00A84A0B" w:rsidRDefault="00235BB0" w:rsidP="005939DA">
            <w:pPr>
              <w:jc w:val="center"/>
              <w:rPr>
                <w:rFonts w:ascii="Arial Narrow" w:hAnsi="Arial Narrow"/>
                <w:sz w:val="20"/>
              </w:rPr>
            </w:pPr>
            <w:r w:rsidRPr="00A84A0B">
              <w:rPr>
                <w:rFonts w:ascii="Arial Narrow" w:hAnsi="Arial Narrow"/>
                <w:sz w:val="20"/>
              </w:rPr>
              <w:t>NE</w:t>
            </w:r>
          </w:p>
        </w:tc>
      </w:tr>
      <w:tr w:rsidR="00235BB0" w:rsidRPr="00A84A0B" w:rsidTr="005939DA">
        <w:trPr>
          <w:trHeight w:val="340"/>
        </w:trPr>
        <w:tc>
          <w:tcPr>
            <w:tcW w:w="708" w:type="dxa"/>
            <w:vAlign w:val="center"/>
          </w:tcPr>
          <w:p w:rsidR="00235BB0" w:rsidRPr="00A84A0B" w:rsidRDefault="00235BB0" w:rsidP="005939DA">
            <w:pPr>
              <w:rPr>
                <w:rFonts w:ascii="Arial Narrow" w:hAnsi="Arial Narrow"/>
                <w:sz w:val="20"/>
              </w:rPr>
            </w:pPr>
            <w:r w:rsidRPr="00A84A0B">
              <w:rPr>
                <w:rFonts w:ascii="Arial Narrow" w:hAnsi="Arial Narrow"/>
                <w:sz w:val="20"/>
              </w:rPr>
              <w:t>025</w:t>
            </w:r>
            <w:r w:rsidRPr="00A84A0B">
              <w:rPr>
                <w:rFonts w:ascii="Arial Narrow" w:hAnsi="Arial Narrow"/>
                <w:sz w:val="20"/>
                <w:vertAlign w:val="superscript"/>
              </w:rPr>
              <w:t>j</w:t>
            </w:r>
          </w:p>
        </w:tc>
        <w:tc>
          <w:tcPr>
            <w:tcW w:w="2119" w:type="dxa"/>
            <w:tcBorders>
              <w:right w:val="single" w:sz="4" w:space="0" w:color="auto"/>
            </w:tcBorders>
            <w:vAlign w:val="center"/>
          </w:tcPr>
          <w:p w:rsidR="00235BB0" w:rsidRPr="00A84A0B" w:rsidRDefault="00235BB0" w:rsidP="005939DA">
            <w:pPr>
              <w:jc w:val="center"/>
              <w:rPr>
                <w:rFonts w:ascii="Arial Narrow" w:hAnsi="Arial Narrow"/>
                <w:sz w:val="20"/>
              </w:rPr>
            </w:pPr>
            <w:r w:rsidRPr="00A84A0B">
              <w:rPr>
                <w:rFonts w:ascii="Arial Narrow" w:hAnsi="Arial Narrow"/>
                <w:sz w:val="20"/>
              </w:rPr>
              <w:t>AMCCRCC (2L)</w:t>
            </w:r>
          </w:p>
        </w:tc>
        <w:tc>
          <w:tcPr>
            <w:tcW w:w="1013" w:type="dxa"/>
            <w:tcBorders>
              <w:left w:val="single" w:sz="4" w:space="0" w:color="auto"/>
            </w:tcBorders>
            <w:vAlign w:val="center"/>
          </w:tcPr>
          <w:p w:rsidR="00235BB0" w:rsidRPr="00A84A0B" w:rsidRDefault="00235BB0" w:rsidP="005939DA">
            <w:pPr>
              <w:jc w:val="center"/>
              <w:rPr>
                <w:rFonts w:ascii="Arial Narrow" w:hAnsi="Arial Narrow"/>
                <w:sz w:val="20"/>
              </w:rPr>
            </w:pPr>
            <w:r w:rsidRPr="00A84A0B">
              <w:rPr>
                <w:rFonts w:ascii="Arial Narrow" w:hAnsi="Arial Narrow"/>
                <w:sz w:val="20"/>
              </w:rPr>
              <w:t>NIV v EVE</w:t>
            </w:r>
          </w:p>
        </w:tc>
        <w:tc>
          <w:tcPr>
            <w:tcW w:w="969" w:type="dxa"/>
            <w:tcBorders>
              <w:left w:val="single" w:sz="4" w:space="0" w:color="auto"/>
            </w:tcBorders>
            <w:vAlign w:val="center"/>
          </w:tcPr>
          <w:p w:rsidR="00235BB0" w:rsidRPr="00A84A0B" w:rsidRDefault="00235BB0" w:rsidP="005939DA">
            <w:pPr>
              <w:jc w:val="center"/>
              <w:rPr>
                <w:rFonts w:ascii="Arial Narrow" w:hAnsi="Arial Narrow"/>
                <w:sz w:val="20"/>
              </w:rPr>
            </w:pPr>
            <w:r w:rsidRPr="00A84A0B">
              <w:rPr>
                <w:rFonts w:ascii="Arial Narrow" w:hAnsi="Arial Narrow"/>
                <w:sz w:val="20"/>
              </w:rPr>
              <w:t>821 (91.0)</w:t>
            </w:r>
          </w:p>
        </w:tc>
        <w:tc>
          <w:tcPr>
            <w:tcW w:w="1272" w:type="dxa"/>
            <w:vAlign w:val="center"/>
          </w:tcPr>
          <w:p w:rsidR="00235BB0" w:rsidRPr="00A84A0B" w:rsidRDefault="00235BB0" w:rsidP="005939DA">
            <w:pPr>
              <w:jc w:val="center"/>
              <w:rPr>
                <w:rFonts w:ascii="Arial Narrow" w:hAnsi="Arial Narrow"/>
                <w:sz w:val="20"/>
              </w:rPr>
            </w:pPr>
            <w:r w:rsidRPr="00A84A0B">
              <w:rPr>
                <w:rFonts w:ascii="Arial Narrow" w:hAnsi="Arial Narrow"/>
                <w:sz w:val="20"/>
              </w:rPr>
              <w:t>NR</w:t>
            </w:r>
          </w:p>
        </w:tc>
        <w:tc>
          <w:tcPr>
            <w:tcW w:w="1272" w:type="dxa"/>
            <w:vAlign w:val="center"/>
          </w:tcPr>
          <w:p w:rsidR="00235BB0" w:rsidRPr="00A84A0B" w:rsidRDefault="00653F4E" w:rsidP="005939DA">
            <w:pPr>
              <w:jc w:val="center"/>
              <w:rPr>
                <w:rFonts w:ascii="Arial Narrow" w:hAnsi="Arial Narrow"/>
                <w:sz w:val="20"/>
              </w:rPr>
            </w:pPr>
            <w:r>
              <w:rPr>
                <w:rFonts w:ascii="Arial Narrow" w:hAnsi="Arial Narrow"/>
                <w:noProof/>
                <w:color w:val="000000"/>
                <w:sz w:val="20"/>
                <w:highlight w:val="black"/>
              </w:rPr>
              <w:t>''''''''''</w:t>
            </w:r>
            <w:r w:rsidR="00235BB0" w:rsidRPr="00A84A0B">
              <w:rPr>
                <w:rFonts w:ascii="Arial Narrow" w:hAnsi="Arial Narrow"/>
                <w:sz w:val="20"/>
              </w:rPr>
              <w:t xml:space="preserve"> (</w:t>
            </w:r>
            <w:r>
              <w:rPr>
                <w:rFonts w:ascii="Arial Narrow" w:hAnsi="Arial Narrow"/>
                <w:noProof/>
                <w:color w:val="000000"/>
                <w:sz w:val="20"/>
                <w:highlight w:val="black"/>
              </w:rPr>
              <w:t>''''''''''</w:t>
            </w:r>
            <w:r w:rsidR="00235BB0" w:rsidRPr="00A84A0B">
              <w:rPr>
                <w:rFonts w:ascii="Arial Narrow" w:hAnsi="Arial Narrow"/>
                <w:sz w:val="20"/>
              </w:rPr>
              <w:t xml:space="preserve">, </w:t>
            </w:r>
            <w:r>
              <w:rPr>
                <w:rFonts w:ascii="Arial Narrow" w:hAnsi="Arial Narrow"/>
                <w:noProof/>
                <w:color w:val="000000"/>
                <w:sz w:val="20"/>
                <w:highlight w:val="black"/>
              </w:rPr>
              <w:t>'''''''''''</w:t>
            </w:r>
            <w:r w:rsidR="00235BB0" w:rsidRPr="00A84A0B">
              <w:rPr>
                <w:rFonts w:ascii="Arial Narrow" w:hAnsi="Arial Narrow"/>
                <w:sz w:val="20"/>
              </w:rPr>
              <w:t>)</w:t>
            </w:r>
          </w:p>
        </w:tc>
        <w:tc>
          <w:tcPr>
            <w:tcW w:w="959" w:type="dxa"/>
            <w:vAlign w:val="center"/>
          </w:tcPr>
          <w:p w:rsidR="00235BB0" w:rsidRPr="00A84A0B" w:rsidRDefault="00235BB0" w:rsidP="005939DA">
            <w:pPr>
              <w:jc w:val="center"/>
              <w:rPr>
                <w:rFonts w:ascii="Arial Narrow" w:hAnsi="Arial Narrow"/>
                <w:sz w:val="20"/>
              </w:rPr>
            </w:pPr>
            <w:r w:rsidRPr="00A84A0B">
              <w:rPr>
                <w:rFonts w:ascii="Arial Narrow" w:hAnsi="Arial Narrow"/>
                <w:sz w:val="20"/>
              </w:rPr>
              <w:t>NE</w:t>
            </w:r>
          </w:p>
        </w:tc>
      </w:tr>
      <w:tr w:rsidR="00235BB0" w:rsidRPr="00A84A0B" w:rsidTr="005939DA">
        <w:trPr>
          <w:trHeight w:val="340"/>
        </w:trPr>
        <w:tc>
          <w:tcPr>
            <w:tcW w:w="708" w:type="dxa"/>
            <w:vAlign w:val="center"/>
          </w:tcPr>
          <w:p w:rsidR="00235BB0" w:rsidRPr="00A84A0B" w:rsidRDefault="00235BB0" w:rsidP="005939DA">
            <w:pPr>
              <w:rPr>
                <w:rFonts w:ascii="Arial Narrow" w:hAnsi="Arial Narrow"/>
                <w:sz w:val="20"/>
              </w:rPr>
            </w:pPr>
            <w:r w:rsidRPr="00A84A0B">
              <w:rPr>
                <w:rFonts w:ascii="Arial Narrow" w:hAnsi="Arial Narrow"/>
                <w:sz w:val="20"/>
              </w:rPr>
              <w:t>141</w:t>
            </w:r>
            <w:r w:rsidRPr="00A84A0B">
              <w:rPr>
                <w:rFonts w:ascii="Arial Narrow" w:hAnsi="Arial Narrow"/>
                <w:sz w:val="20"/>
                <w:vertAlign w:val="superscript"/>
              </w:rPr>
              <w:t>k</w:t>
            </w:r>
          </w:p>
        </w:tc>
        <w:tc>
          <w:tcPr>
            <w:tcW w:w="2119" w:type="dxa"/>
            <w:tcBorders>
              <w:right w:val="single" w:sz="4" w:space="0" w:color="auto"/>
            </w:tcBorders>
            <w:vAlign w:val="center"/>
          </w:tcPr>
          <w:p w:rsidR="00235BB0" w:rsidRPr="00A84A0B" w:rsidRDefault="00235BB0" w:rsidP="005939DA">
            <w:pPr>
              <w:jc w:val="center"/>
              <w:rPr>
                <w:rFonts w:ascii="Arial Narrow" w:hAnsi="Arial Narrow"/>
                <w:sz w:val="20"/>
              </w:rPr>
            </w:pPr>
            <w:r w:rsidRPr="00A84A0B">
              <w:rPr>
                <w:rFonts w:ascii="Arial Narrow" w:hAnsi="Arial Narrow"/>
                <w:sz w:val="20"/>
              </w:rPr>
              <w:t>RMSCCHN (2L)</w:t>
            </w:r>
          </w:p>
        </w:tc>
        <w:tc>
          <w:tcPr>
            <w:tcW w:w="1013" w:type="dxa"/>
            <w:tcBorders>
              <w:left w:val="single" w:sz="4" w:space="0" w:color="auto"/>
            </w:tcBorders>
            <w:vAlign w:val="center"/>
          </w:tcPr>
          <w:p w:rsidR="00235BB0" w:rsidRPr="00A84A0B" w:rsidRDefault="00235BB0" w:rsidP="005939DA">
            <w:pPr>
              <w:jc w:val="center"/>
              <w:rPr>
                <w:rFonts w:ascii="Arial Narrow" w:hAnsi="Arial Narrow"/>
                <w:sz w:val="20"/>
              </w:rPr>
            </w:pPr>
            <w:r w:rsidRPr="00A84A0B">
              <w:rPr>
                <w:rFonts w:ascii="Arial Narrow" w:hAnsi="Arial Narrow"/>
                <w:sz w:val="20"/>
              </w:rPr>
              <w:t>NIV v IC</w:t>
            </w:r>
          </w:p>
        </w:tc>
        <w:tc>
          <w:tcPr>
            <w:tcW w:w="969" w:type="dxa"/>
            <w:tcBorders>
              <w:left w:val="single" w:sz="4" w:space="0" w:color="auto"/>
            </w:tcBorders>
            <w:vAlign w:val="center"/>
          </w:tcPr>
          <w:p w:rsidR="00235BB0" w:rsidRPr="00A84A0B" w:rsidRDefault="00235BB0" w:rsidP="005939DA">
            <w:pPr>
              <w:jc w:val="center"/>
              <w:rPr>
                <w:rFonts w:ascii="Arial Narrow" w:hAnsi="Arial Narrow"/>
                <w:sz w:val="20"/>
              </w:rPr>
            </w:pPr>
            <w:r w:rsidRPr="00A84A0B">
              <w:rPr>
                <w:rFonts w:ascii="Arial Narrow" w:hAnsi="Arial Narrow"/>
                <w:sz w:val="20"/>
              </w:rPr>
              <w:t>361 (95.0)</w:t>
            </w:r>
          </w:p>
        </w:tc>
        <w:tc>
          <w:tcPr>
            <w:tcW w:w="1272" w:type="dxa"/>
            <w:vAlign w:val="center"/>
          </w:tcPr>
          <w:p w:rsidR="00235BB0" w:rsidRPr="00A84A0B" w:rsidRDefault="00235BB0" w:rsidP="005939DA">
            <w:pPr>
              <w:jc w:val="center"/>
              <w:rPr>
                <w:rFonts w:ascii="Arial Narrow" w:hAnsi="Arial Narrow"/>
                <w:sz w:val="20"/>
              </w:rPr>
            </w:pPr>
            <w:r w:rsidRPr="00A84A0B">
              <w:rPr>
                <w:rFonts w:ascii="Arial Narrow" w:hAnsi="Arial Narrow"/>
                <w:sz w:val="20"/>
              </w:rPr>
              <w:t>NR</w:t>
            </w:r>
          </w:p>
        </w:tc>
        <w:tc>
          <w:tcPr>
            <w:tcW w:w="1272" w:type="dxa"/>
            <w:vAlign w:val="center"/>
          </w:tcPr>
          <w:p w:rsidR="00235BB0" w:rsidRPr="00A84A0B" w:rsidRDefault="00235BB0" w:rsidP="005939DA">
            <w:pPr>
              <w:jc w:val="center"/>
              <w:rPr>
                <w:rFonts w:ascii="Arial Narrow" w:hAnsi="Arial Narrow"/>
                <w:sz w:val="20"/>
              </w:rPr>
            </w:pPr>
            <w:r w:rsidRPr="00A84A0B">
              <w:rPr>
                <w:rFonts w:ascii="Arial Narrow" w:hAnsi="Arial Narrow"/>
                <w:sz w:val="20"/>
              </w:rPr>
              <w:t>NR</w:t>
            </w:r>
          </w:p>
        </w:tc>
        <w:tc>
          <w:tcPr>
            <w:tcW w:w="959" w:type="dxa"/>
            <w:vAlign w:val="center"/>
          </w:tcPr>
          <w:p w:rsidR="00235BB0" w:rsidRPr="00A84A0B" w:rsidRDefault="00235BB0" w:rsidP="005939DA">
            <w:pPr>
              <w:jc w:val="center"/>
              <w:rPr>
                <w:rFonts w:ascii="Arial Narrow" w:hAnsi="Arial Narrow"/>
                <w:sz w:val="20"/>
              </w:rPr>
            </w:pPr>
            <w:r w:rsidRPr="00A84A0B">
              <w:rPr>
                <w:rFonts w:ascii="Arial Narrow" w:hAnsi="Arial Narrow"/>
                <w:sz w:val="20"/>
              </w:rPr>
              <w:t>NE</w:t>
            </w:r>
          </w:p>
        </w:tc>
      </w:tr>
      <w:tr w:rsidR="00235BB0" w:rsidRPr="00A84A0B" w:rsidTr="005939DA">
        <w:trPr>
          <w:trHeight w:val="340"/>
        </w:trPr>
        <w:tc>
          <w:tcPr>
            <w:tcW w:w="4809" w:type="dxa"/>
            <w:gridSpan w:val="4"/>
            <w:vAlign w:val="center"/>
          </w:tcPr>
          <w:p w:rsidR="00235BB0" w:rsidRPr="00A84A0B" w:rsidRDefault="00235BB0" w:rsidP="005939DA">
            <w:pPr>
              <w:jc w:val="right"/>
              <w:rPr>
                <w:rFonts w:ascii="Arial Narrow" w:hAnsi="Arial Narrow"/>
                <w:sz w:val="20"/>
              </w:rPr>
            </w:pPr>
            <w:r w:rsidRPr="00A84A0B">
              <w:rPr>
                <w:rFonts w:ascii="Arial Narrow" w:hAnsi="Arial Narrow"/>
                <w:sz w:val="20"/>
              </w:rPr>
              <w:t>Meta-analysis – nivolumab in NSCLC (017, 057); I</w:t>
            </w:r>
            <w:r w:rsidRPr="00A84A0B">
              <w:rPr>
                <w:rFonts w:ascii="Arial Narrow" w:hAnsi="Arial Narrow"/>
                <w:sz w:val="20"/>
                <w:vertAlign w:val="superscript"/>
              </w:rPr>
              <w:t>2</w:t>
            </w:r>
            <w:r w:rsidRPr="00A84A0B">
              <w:rPr>
                <w:rFonts w:ascii="Arial Narrow" w:hAnsi="Arial Narrow"/>
                <w:sz w:val="20"/>
              </w:rPr>
              <w:t>=33.2%</w:t>
            </w:r>
          </w:p>
        </w:tc>
        <w:tc>
          <w:tcPr>
            <w:tcW w:w="1272" w:type="dxa"/>
            <w:vMerge w:val="restart"/>
            <w:vAlign w:val="center"/>
          </w:tcPr>
          <w:p w:rsidR="00235BB0" w:rsidRPr="00A84A0B" w:rsidRDefault="00653F4E" w:rsidP="005939DA">
            <w:pPr>
              <w:jc w:val="center"/>
              <w:rPr>
                <w:rFonts w:ascii="Arial Narrow" w:hAnsi="Arial Narrow"/>
                <w:b/>
                <w:sz w:val="20"/>
              </w:rPr>
            </w:pPr>
            <w:r>
              <w:rPr>
                <w:rFonts w:ascii="Arial Narrow" w:hAnsi="Arial Narrow"/>
                <w:b/>
                <w:noProof/>
                <w:color w:val="000000"/>
                <w:sz w:val="20"/>
                <w:highlight w:val="black"/>
              </w:rPr>
              <w:t>''''''''</w:t>
            </w:r>
            <w:r w:rsidR="00235BB0" w:rsidRPr="00A84A0B">
              <w:rPr>
                <w:rFonts w:ascii="Arial Narrow" w:hAnsi="Arial Narrow"/>
                <w:b/>
                <w:sz w:val="20"/>
              </w:rPr>
              <w:t xml:space="preserve"> (</w:t>
            </w:r>
            <w:r>
              <w:rPr>
                <w:rFonts w:ascii="Arial Narrow" w:hAnsi="Arial Narrow"/>
                <w:b/>
                <w:noProof/>
                <w:color w:val="000000"/>
                <w:sz w:val="20"/>
                <w:highlight w:val="black"/>
              </w:rPr>
              <w:t>''''''''</w:t>
            </w:r>
            <w:r w:rsidR="00235BB0" w:rsidRPr="00A84A0B">
              <w:rPr>
                <w:rFonts w:ascii="Arial Narrow" w:hAnsi="Arial Narrow"/>
                <w:b/>
                <w:sz w:val="20"/>
              </w:rPr>
              <w:t xml:space="preserve">, </w:t>
            </w:r>
            <w:r>
              <w:rPr>
                <w:rFonts w:ascii="Arial Narrow" w:hAnsi="Arial Narrow"/>
                <w:b/>
                <w:noProof/>
                <w:color w:val="000000"/>
                <w:sz w:val="20"/>
                <w:highlight w:val="black"/>
              </w:rPr>
              <w:t>'''''''''</w:t>
            </w:r>
            <w:r w:rsidR="00235BB0" w:rsidRPr="00A84A0B">
              <w:rPr>
                <w:rFonts w:ascii="Arial Narrow" w:hAnsi="Arial Narrow"/>
                <w:b/>
                <w:sz w:val="20"/>
              </w:rPr>
              <w:t>)</w:t>
            </w:r>
          </w:p>
        </w:tc>
        <w:tc>
          <w:tcPr>
            <w:tcW w:w="1272" w:type="dxa"/>
            <w:vAlign w:val="center"/>
          </w:tcPr>
          <w:p w:rsidR="00235BB0" w:rsidRPr="00A84A0B" w:rsidRDefault="00653F4E" w:rsidP="005939DA">
            <w:pPr>
              <w:jc w:val="center"/>
              <w:rPr>
                <w:rFonts w:ascii="Arial Narrow" w:hAnsi="Arial Narrow"/>
                <w:sz w:val="20"/>
              </w:rPr>
            </w:pPr>
            <w:r>
              <w:rPr>
                <w:rFonts w:ascii="Arial Narrow" w:hAnsi="Arial Narrow"/>
                <w:noProof/>
                <w:color w:val="000000"/>
                <w:sz w:val="20"/>
                <w:highlight w:val="black"/>
              </w:rPr>
              <w:t>''''''''''</w:t>
            </w:r>
            <w:r w:rsidR="00235BB0" w:rsidRPr="00A84A0B">
              <w:rPr>
                <w:rFonts w:ascii="Arial Narrow" w:hAnsi="Arial Narrow"/>
                <w:sz w:val="20"/>
              </w:rPr>
              <w:t xml:space="preserve"> (</w:t>
            </w:r>
            <w:r>
              <w:rPr>
                <w:rFonts w:ascii="Arial Narrow" w:hAnsi="Arial Narrow"/>
                <w:noProof/>
                <w:color w:val="000000"/>
                <w:sz w:val="20"/>
                <w:highlight w:val="black"/>
              </w:rPr>
              <w:t>''''''''''</w:t>
            </w:r>
            <w:r w:rsidR="00235BB0" w:rsidRPr="00A84A0B">
              <w:rPr>
                <w:rFonts w:ascii="Arial Narrow" w:hAnsi="Arial Narrow"/>
                <w:sz w:val="20"/>
              </w:rPr>
              <w:t xml:space="preserve">, </w:t>
            </w:r>
            <w:r>
              <w:rPr>
                <w:rFonts w:ascii="Arial Narrow" w:hAnsi="Arial Narrow"/>
                <w:noProof/>
                <w:color w:val="000000"/>
                <w:sz w:val="20"/>
                <w:highlight w:val="black"/>
              </w:rPr>
              <w:t>''''''''''</w:t>
            </w:r>
            <w:r w:rsidR="00235BB0" w:rsidRPr="00A84A0B">
              <w:rPr>
                <w:rFonts w:ascii="Arial Narrow" w:hAnsi="Arial Narrow"/>
                <w:sz w:val="20"/>
              </w:rPr>
              <w:t>)</w:t>
            </w:r>
          </w:p>
        </w:tc>
        <w:tc>
          <w:tcPr>
            <w:tcW w:w="959" w:type="dxa"/>
            <w:vAlign w:val="center"/>
          </w:tcPr>
          <w:p w:rsidR="00235BB0" w:rsidRPr="00A84A0B" w:rsidRDefault="00235BB0" w:rsidP="005939DA">
            <w:pPr>
              <w:jc w:val="center"/>
              <w:rPr>
                <w:rFonts w:ascii="Arial Narrow" w:hAnsi="Arial Narrow"/>
                <w:b/>
                <w:sz w:val="20"/>
              </w:rPr>
            </w:pPr>
            <w:r w:rsidRPr="00A84A0B">
              <w:rPr>
                <w:rFonts w:ascii="Arial Narrow" w:hAnsi="Arial Narrow"/>
                <w:b/>
                <w:sz w:val="20"/>
              </w:rPr>
              <w:t>&lt;0.05</w:t>
            </w:r>
          </w:p>
        </w:tc>
      </w:tr>
      <w:tr w:rsidR="00235BB0" w:rsidRPr="00A84A0B" w:rsidTr="005939DA">
        <w:trPr>
          <w:trHeight w:val="340"/>
        </w:trPr>
        <w:tc>
          <w:tcPr>
            <w:tcW w:w="4809" w:type="dxa"/>
            <w:gridSpan w:val="4"/>
            <w:vAlign w:val="center"/>
          </w:tcPr>
          <w:p w:rsidR="00235BB0" w:rsidRPr="00A84A0B" w:rsidRDefault="00235BB0" w:rsidP="005939DA">
            <w:pPr>
              <w:jc w:val="right"/>
              <w:rPr>
                <w:rFonts w:ascii="Arial Narrow" w:hAnsi="Arial Narrow"/>
                <w:sz w:val="20"/>
              </w:rPr>
            </w:pPr>
            <w:r w:rsidRPr="00A84A0B">
              <w:rPr>
                <w:rFonts w:ascii="Arial Narrow" w:hAnsi="Arial Narrow"/>
                <w:sz w:val="20"/>
              </w:rPr>
              <w:t>Meta-analysis – nivolumab in melanoma (037, 066); I</w:t>
            </w:r>
            <w:r w:rsidRPr="00A84A0B">
              <w:rPr>
                <w:rFonts w:ascii="Arial Narrow" w:hAnsi="Arial Narrow"/>
                <w:sz w:val="20"/>
                <w:vertAlign w:val="superscript"/>
              </w:rPr>
              <w:t>2</w:t>
            </w:r>
            <w:r w:rsidRPr="00A84A0B">
              <w:rPr>
                <w:rFonts w:ascii="Arial Narrow" w:hAnsi="Arial Narrow"/>
                <w:sz w:val="20"/>
              </w:rPr>
              <w:t>=62.5%</w:t>
            </w:r>
          </w:p>
        </w:tc>
        <w:tc>
          <w:tcPr>
            <w:tcW w:w="1272" w:type="dxa"/>
            <w:vMerge/>
            <w:vAlign w:val="center"/>
          </w:tcPr>
          <w:p w:rsidR="00235BB0" w:rsidRPr="00A84A0B" w:rsidRDefault="00235BB0" w:rsidP="005939DA">
            <w:pPr>
              <w:jc w:val="center"/>
              <w:rPr>
                <w:rFonts w:ascii="Arial Narrow" w:hAnsi="Arial Narrow"/>
                <w:b/>
                <w:sz w:val="20"/>
              </w:rPr>
            </w:pPr>
          </w:p>
        </w:tc>
        <w:tc>
          <w:tcPr>
            <w:tcW w:w="1272" w:type="dxa"/>
            <w:vAlign w:val="center"/>
          </w:tcPr>
          <w:p w:rsidR="00235BB0" w:rsidRPr="00A84A0B" w:rsidRDefault="00653F4E" w:rsidP="005939DA">
            <w:pPr>
              <w:jc w:val="center"/>
              <w:rPr>
                <w:rFonts w:ascii="Arial Narrow" w:hAnsi="Arial Narrow"/>
                <w:sz w:val="20"/>
              </w:rPr>
            </w:pPr>
            <w:r>
              <w:rPr>
                <w:rFonts w:ascii="Arial Narrow" w:hAnsi="Arial Narrow"/>
                <w:noProof/>
                <w:color w:val="000000"/>
                <w:sz w:val="20"/>
                <w:highlight w:val="black"/>
              </w:rPr>
              <w:t>''''''''''''</w:t>
            </w:r>
            <w:r w:rsidR="00235BB0" w:rsidRPr="00A84A0B">
              <w:rPr>
                <w:rFonts w:ascii="Arial Narrow" w:hAnsi="Arial Narrow"/>
                <w:sz w:val="20"/>
              </w:rPr>
              <w:t xml:space="preserve"> (</w:t>
            </w:r>
            <w:r>
              <w:rPr>
                <w:rFonts w:ascii="Arial Narrow" w:hAnsi="Arial Narrow"/>
                <w:noProof/>
                <w:color w:val="000000"/>
                <w:sz w:val="20"/>
                <w:highlight w:val="black"/>
              </w:rPr>
              <w:t>''''''''''</w:t>
            </w:r>
            <w:r w:rsidR="00235BB0" w:rsidRPr="00A84A0B">
              <w:rPr>
                <w:rFonts w:ascii="Arial Narrow" w:hAnsi="Arial Narrow"/>
                <w:sz w:val="20"/>
              </w:rPr>
              <w:t xml:space="preserve">, </w:t>
            </w:r>
            <w:r>
              <w:rPr>
                <w:rFonts w:ascii="Arial Narrow" w:hAnsi="Arial Narrow"/>
                <w:noProof/>
                <w:color w:val="000000"/>
                <w:sz w:val="20"/>
                <w:highlight w:val="black"/>
              </w:rPr>
              <w:t>''''''''''''</w:t>
            </w:r>
            <w:r w:rsidR="00235BB0" w:rsidRPr="00A84A0B">
              <w:rPr>
                <w:rFonts w:ascii="Arial Narrow" w:hAnsi="Arial Narrow"/>
                <w:sz w:val="20"/>
              </w:rPr>
              <w:t>)</w:t>
            </w:r>
          </w:p>
        </w:tc>
        <w:tc>
          <w:tcPr>
            <w:tcW w:w="959" w:type="dxa"/>
            <w:vAlign w:val="center"/>
          </w:tcPr>
          <w:p w:rsidR="00235BB0" w:rsidRPr="00A84A0B" w:rsidRDefault="00235BB0" w:rsidP="005939DA">
            <w:pPr>
              <w:jc w:val="center"/>
              <w:rPr>
                <w:rFonts w:ascii="Arial Narrow" w:hAnsi="Arial Narrow"/>
                <w:sz w:val="20"/>
              </w:rPr>
            </w:pPr>
            <w:r w:rsidRPr="00A84A0B">
              <w:rPr>
                <w:rFonts w:ascii="Arial Narrow" w:hAnsi="Arial Narrow"/>
                <w:sz w:val="20"/>
              </w:rPr>
              <w:t>NS</w:t>
            </w:r>
          </w:p>
        </w:tc>
      </w:tr>
      <w:tr w:rsidR="00235BB0" w:rsidRPr="00A84A0B" w:rsidTr="005939DA">
        <w:trPr>
          <w:trHeight w:val="340"/>
        </w:trPr>
        <w:tc>
          <w:tcPr>
            <w:tcW w:w="4809" w:type="dxa"/>
            <w:gridSpan w:val="4"/>
            <w:vAlign w:val="center"/>
          </w:tcPr>
          <w:p w:rsidR="00235BB0" w:rsidRPr="00A84A0B" w:rsidRDefault="00235BB0" w:rsidP="005939DA">
            <w:pPr>
              <w:jc w:val="right"/>
              <w:rPr>
                <w:rFonts w:ascii="Arial Narrow" w:hAnsi="Arial Narrow"/>
                <w:sz w:val="20"/>
              </w:rPr>
            </w:pPr>
            <w:r w:rsidRPr="00A84A0B">
              <w:rPr>
                <w:rFonts w:ascii="Arial Narrow" w:hAnsi="Arial Narrow"/>
                <w:sz w:val="20"/>
              </w:rPr>
              <w:t>Meta-analysis – nivolumab in cancer (017, 057, 037, 066, 025); I</w:t>
            </w:r>
            <w:r w:rsidRPr="00A84A0B">
              <w:rPr>
                <w:rFonts w:ascii="Arial Narrow" w:hAnsi="Arial Narrow"/>
                <w:sz w:val="20"/>
                <w:vertAlign w:val="superscript"/>
              </w:rPr>
              <w:t>2</w:t>
            </w:r>
            <w:r w:rsidRPr="00A84A0B">
              <w:rPr>
                <w:rFonts w:ascii="Arial Narrow" w:hAnsi="Arial Narrow"/>
                <w:sz w:val="20"/>
              </w:rPr>
              <w:t>=65.4%</w:t>
            </w:r>
          </w:p>
        </w:tc>
        <w:tc>
          <w:tcPr>
            <w:tcW w:w="1272" w:type="dxa"/>
            <w:vMerge/>
            <w:vAlign w:val="center"/>
          </w:tcPr>
          <w:p w:rsidR="00235BB0" w:rsidRPr="00A84A0B" w:rsidRDefault="00235BB0" w:rsidP="005939DA">
            <w:pPr>
              <w:jc w:val="center"/>
              <w:rPr>
                <w:rFonts w:ascii="Arial Narrow" w:hAnsi="Arial Narrow"/>
                <w:b/>
                <w:sz w:val="20"/>
              </w:rPr>
            </w:pPr>
          </w:p>
        </w:tc>
        <w:tc>
          <w:tcPr>
            <w:tcW w:w="1272" w:type="dxa"/>
            <w:vAlign w:val="center"/>
          </w:tcPr>
          <w:p w:rsidR="00235BB0" w:rsidRPr="00A84A0B" w:rsidRDefault="00653F4E" w:rsidP="005939DA">
            <w:pPr>
              <w:jc w:val="center"/>
              <w:rPr>
                <w:rFonts w:ascii="Arial Narrow" w:hAnsi="Arial Narrow"/>
                <w:sz w:val="20"/>
              </w:rPr>
            </w:pPr>
            <w:r>
              <w:rPr>
                <w:rFonts w:ascii="Arial Narrow" w:hAnsi="Arial Narrow"/>
                <w:noProof/>
                <w:color w:val="000000"/>
                <w:sz w:val="20"/>
                <w:highlight w:val="black"/>
              </w:rPr>
              <w:t>''''''''''</w:t>
            </w:r>
            <w:r w:rsidR="00235BB0" w:rsidRPr="00A84A0B">
              <w:rPr>
                <w:rFonts w:ascii="Arial Narrow" w:hAnsi="Arial Narrow"/>
                <w:sz w:val="20"/>
              </w:rPr>
              <w:t xml:space="preserve"> (</w:t>
            </w:r>
            <w:r>
              <w:rPr>
                <w:rFonts w:ascii="Arial Narrow" w:hAnsi="Arial Narrow"/>
                <w:noProof/>
                <w:color w:val="000000"/>
                <w:sz w:val="20"/>
                <w:highlight w:val="black"/>
              </w:rPr>
              <w:t>'''''''''''</w:t>
            </w:r>
            <w:r w:rsidR="00235BB0" w:rsidRPr="00A84A0B">
              <w:rPr>
                <w:rFonts w:ascii="Arial Narrow" w:hAnsi="Arial Narrow"/>
                <w:sz w:val="20"/>
              </w:rPr>
              <w:t xml:space="preserve">, </w:t>
            </w:r>
            <w:r>
              <w:rPr>
                <w:rFonts w:ascii="Arial Narrow" w:hAnsi="Arial Narrow"/>
                <w:noProof/>
                <w:color w:val="000000"/>
                <w:sz w:val="20"/>
                <w:highlight w:val="black"/>
              </w:rPr>
              <w:t>'''''''''''</w:t>
            </w:r>
            <w:r w:rsidR="00235BB0" w:rsidRPr="00A84A0B">
              <w:rPr>
                <w:rFonts w:ascii="Arial Narrow" w:hAnsi="Arial Narrow"/>
                <w:sz w:val="20"/>
              </w:rPr>
              <w:t>)</w:t>
            </w:r>
          </w:p>
        </w:tc>
        <w:tc>
          <w:tcPr>
            <w:tcW w:w="959" w:type="dxa"/>
            <w:vAlign w:val="center"/>
          </w:tcPr>
          <w:p w:rsidR="00235BB0" w:rsidRPr="00A84A0B" w:rsidRDefault="00235BB0" w:rsidP="005939DA">
            <w:pPr>
              <w:jc w:val="center"/>
              <w:rPr>
                <w:rFonts w:ascii="Arial Narrow" w:hAnsi="Arial Narrow"/>
                <w:sz w:val="20"/>
              </w:rPr>
            </w:pPr>
            <w:r w:rsidRPr="00A84A0B">
              <w:rPr>
                <w:rFonts w:ascii="Arial Narrow" w:hAnsi="Arial Narrow"/>
                <w:sz w:val="20"/>
              </w:rPr>
              <w:t>NS</w:t>
            </w:r>
          </w:p>
        </w:tc>
      </w:tr>
      <w:tr w:rsidR="00235BB0" w:rsidRPr="00A84A0B" w:rsidTr="005939DA">
        <w:trPr>
          <w:trHeight w:val="340"/>
        </w:trPr>
        <w:tc>
          <w:tcPr>
            <w:tcW w:w="4809" w:type="dxa"/>
            <w:gridSpan w:val="4"/>
            <w:shd w:val="clear" w:color="auto" w:fill="D9D9D9" w:themeFill="background1" w:themeFillShade="D9"/>
            <w:vAlign w:val="center"/>
          </w:tcPr>
          <w:p w:rsidR="00235BB0" w:rsidRPr="00A84A0B" w:rsidRDefault="00235BB0" w:rsidP="005939DA">
            <w:pPr>
              <w:jc w:val="center"/>
              <w:rPr>
                <w:rFonts w:ascii="Arial Narrow" w:hAnsi="Arial Narrow"/>
                <w:b/>
                <w:sz w:val="20"/>
              </w:rPr>
            </w:pPr>
          </w:p>
        </w:tc>
        <w:tc>
          <w:tcPr>
            <w:tcW w:w="1272" w:type="dxa"/>
            <w:shd w:val="clear" w:color="auto" w:fill="D9D9D9" w:themeFill="background1" w:themeFillShade="D9"/>
            <w:vAlign w:val="center"/>
          </w:tcPr>
          <w:p w:rsidR="00235BB0" w:rsidRPr="00A84A0B" w:rsidRDefault="00235BB0" w:rsidP="005939DA">
            <w:pPr>
              <w:jc w:val="center"/>
              <w:rPr>
                <w:rFonts w:ascii="Arial Narrow" w:hAnsi="Arial Narrow"/>
                <w:b/>
                <w:sz w:val="20"/>
              </w:rPr>
            </w:pPr>
            <w:r w:rsidRPr="00A84A0B">
              <w:rPr>
                <w:rFonts w:ascii="Arial Narrow" w:hAnsi="Arial Narrow"/>
                <w:b/>
                <w:sz w:val="20"/>
              </w:rPr>
              <w:t>&lt;65 years</w:t>
            </w:r>
          </w:p>
        </w:tc>
        <w:tc>
          <w:tcPr>
            <w:tcW w:w="1272" w:type="dxa"/>
            <w:shd w:val="clear" w:color="auto" w:fill="D9D9D9" w:themeFill="background1" w:themeFillShade="D9"/>
            <w:vAlign w:val="center"/>
          </w:tcPr>
          <w:p w:rsidR="00235BB0" w:rsidRPr="00A84A0B" w:rsidRDefault="00235BB0" w:rsidP="005939DA">
            <w:pPr>
              <w:jc w:val="center"/>
              <w:rPr>
                <w:rFonts w:ascii="Arial Narrow" w:hAnsi="Arial Narrow"/>
                <w:b/>
                <w:sz w:val="20"/>
              </w:rPr>
            </w:pPr>
            <w:r w:rsidRPr="00A84A0B">
              <w:rPr>
                <w:rFonts w:ascii="Arial Narrow" w:hAnsi="Arial Narrow"/>
                <w:b/>
                <w:sz w:val="20"/>
              </w:rPr>
              <w:t>≥65 years</w:t>
            </w:r>
          </w:p>
        </w:tc>
        <w:tc>
          <w:tcPr>
            <w:tcW w:w="959" w:type="dxa"/>
            <w:shd w:val="clear" w:color="auto" w:fill="D9D9D9" w:themeFill="background1" w:themeFillShade="D9"/>
            <w:vAlign w:val="center"/>
          </w:tcPr>
          <w:p w:rsidR="00235BB0" w:rsidRPr="00A84A0B" w:rsidRDefault="00235BB0" w:rsidP="005939DA">
            <w:pPr>
              <w:jc w:val="center"/>
              <w:rPr>
                <w:rFonts w:ascii="Arial Narrow" w:hAnsi="Arial Narrow"/>
                <w:b/>
                <w:sz w:val="20"/>
              </w:rPr>
            </w:pPr>
          </w:p>
        </w:tc>
      </w:tr>
      <w:tr w:rsidR="00235BB0" w:rsidRPr="00A84A0B" w:rsidTr="005939DA">
        <w:trPr>
          <w:trHeight w:val="340"/>
        </w:trPr>
        <w:tc>
          <w:tcPr>
            <w:tcW w:w="708" w:type="dxa"/>
          </w:tcPr>
          <w:p w:rsidR="00235BB0" w:rsidRPr="00A84A0B" w:rsidRDefault="00235BB0" w:rsidP="005939DA">
            <w:pPr>
              <w:rPr>
                <w:rFonts w:ascii="Arial Narrow" w:hAnsi="Arial Narrow"/>
                <w:sz w:val="20"/>
                <w:vertAlign w:val="superscript"/>
              </w:rPr>
            </w:pPr>
            <w:r w:rsidRPr="00A84A0B">
              <w:rPr>
                <w:rFonts w:ascii="Arial Narrow" w:hAnsi="Arial Narrow"/>
                <w:sz w:val="20"/>
              </w:rPr>
              <w:t>017</w:t>
            </w:r>
            <w:r w:rsidRPr="00A84A0B">
              <w:rPr>
                <w:rFonts w:ascii="Arial Narrow" w:hAnsi="Arial Narrow"/>
                <w:sz w:val="20"/>
                <w:vertAlign w:val="superscript"/>
              </w:rPr>
              <w:t>b</w:t>
            </w:r>
          </w:p>
        </w:tc>
        <w:tc>
          <w:tcPr>
            <w:tcW w:w="2119" w:type="dxa"/>
            <w:tcBorders>
              <w:right w:val="single" w:sz="4" w:space="0" w:color="auto"/>
            </w:tcBorders>
            <w:vAlign w:val="center"/>
          </w:tcPr>
          <w:p w:rsidR="00235BB0" w:rsidRPr="00A84A0B" w:rsidRDefault="00235BB0" w:rsidP="005939DA">
            <w:pPr>
              <w:jc w:val="center"/>
              <w:rPr>
                <w:rFonts w:ascii="Arial Narrow" w:hAnsi="Arial Narrow"/>
                <w:sz w:val="20"/>
              </w:rPr>
            </w:pPr>
            <w:r w:rsidRPr="00A84A0B">
              <w:rPr>
                <w:rFonts w:ascii="Arial Narrow" w:hAnsi="Arial Narrow"/>
                <w:sz w:val="20"/>
              </w:rPr>
              <w:t>Sq NSCLC (2L)</w:t>
            </w:r>
          </w:p>
        </w:tc>
        <w:tc>
          <w:tcPr>
            <w:tcW w:w="1013" w:type="dxa"/>
            <w:tcBorders>
              <w:left w:val="single" w:sz="4" w:space="0" w:color="auto"/>
            </w:tcBorders>
            <w:vAlign w:val="center"/>
          </w:tcPr>
          <w:p w:rsidR="00235BB0" w:rsidRPr="00A84A0B" w:rsidRDefault="00235BB0" w:rsidP="005939DA">
            <w:pPr>
              <w:jc w:val="center"/>
              <w:rPr>
                <w:rFonts w:ascii="Arial Narrow" w:hAnsi="Arial Narrow"/>
                <w:sz w:val="20"/>
              </w:rPr>
            </w:pPr>
            <w:r w:rsidRPr="00A84A0B">
              <w:rPr>
                <w:rFonts w:ascii="Arial Narrow" w:hAnsi="Arial Narrow"/>
                <w:sz w:val="20"/>
              </w:rPr>
              <w:t>NIV v DOC</w:t>
            </w:r>
          </w:p>
        </w:tc>
        <w:tc>
          <w:tcPr>
            <w:tcW w:w="969" w:type="dxa"/>
            <w:tcBorders>
              <w:left w:val="single" w:sz="4" w:space="0" w:color="auto"/>
            </w:tcBorders>
            <w:vAlign w:val="center"/>
          </w:tcPr>
          <w:p w:rsidR="00235BB0" w:rsidRPr="00A84A0B" w:rsidRDefault="00235BB0" w:rsidP="005939DA">
            <w:pPr>
              <w:jc w:val="center"/>
              <w:rPr>
                <w:rFonts w:ascii="Arial Narrow" w:hAnsi="Arial Narrow"/>
                <w:sz w:val="20"/>
              </w:rPr>
            </w:pPr>
            <w:r w:rsidRPr="00A84A0B">
              <w:rPr>
                <w:rFonts w:ascii="Arial Narrow" w:hAnsi="Arial Narrow"/>
                <w:sz w:val="20"/>
              </w:rPr>
              <w:t>272 (55.9)</w:t>
            </w:r>
          </w:p>
        </w:tc>
        <w:tc>
          <w:tcPr>
            <w:tcW w:w="1272" w:type="dxa"/>
            <w:vAlign w:val="center"/>
          </w:tcPr>
          <w:p w:rsidR="00235BB0" w:rsidRPr="00A84A0B" w:rsidRDefault="00653F4E" w:rsidP="005939DA">
            <w:pPr>
              <w:jc w:val="center"/>
              <w:rPr>
                <w:rFonts w:ascii="Arial Narrow" w:hAnsi="Arial Narrow"/>
                <w:sz w:val="20"/>
              </w:rPr>
            </w:pPr>
            <w:r>
              <w:rPr>
                <w:rFonts w:ascii="Arial Narrow" w:hAnsi="Arial Narrow"/>
                <w:b/>
                <w:noProof/>
                <w:color w:val="000000"/>
                <w:sz w:val="20"/>
                <w:highlight w:val="black"/>
              </w:rPr>
              <w:t>''''''''</w:t>
            </w:r>
            <w:r w:rsidR="00235BB0" w:rsidRPr="00A84A0B">
              <w:rPr>
                <w:rFonts w:ascii="Arial Narrow" w:hAnsi="Arial Narrow"/>
                <w:b/>
                <w:sz w:val="20"/>
              </w:rPr>
              <w:t xml:space="preserve"> (</w:t>
            </w:r>
            <w:r>
              <w:rPr>
                <w:rFonts w:ascii="Arial Narrow" w:hAnsi="Arial Narrow"/>
                <w:b/>
                <w:noProof/>
                <w:color w:val="000000"/>
                <w:sz w:val="20"/>
                <w:highlight w:val="black"/>
              </w:rPr>
              <w:t>'''''''''</w:t>
            </w:r>
            <w:r w:rsidR="00235BB0" w:rsidRPr="00A84A0B">
              <w:rPr>
                <w:rFonts w:ascii="Arial Narrow" w:hAnsi="Arial Narrow"/>
                <w:b/>
                <w:sz w:val="20"/>
              </w:rPr>
              <w:t xml:space="preserve">, </w:t>
            </w:r>
            <w:r>
              <w:rPr>
                <w:rFonts w:ascii="Arial Narrow" w:hAnsi="Arial Narrow"/>
                <w:b/>
                <w:noProof/>
                <w:color w:val="000000"/>
                <w:sz w:val="20"/>
                <w:highlight w:val="black"/>
              </w:rPr>
              <w:t>''''''''</w:t>
            </w:r>
            <w:r w:rsidR="00235BB0" w:rsidRPr="00A84A0B">
              <w:rPr>
                <w:rFonts w:ascii="Arial Narrow" w:hAnsi="Arial Narrow"/>
                <w:b/>
                <w:sz w:val="20"/>
              </w:rPr>
              <w:t>)</w:t>
            </w:r>
          </w:p>
        </w:tc>
        <w:tc>
          <w:tcPr>
            <w:tcW w:w="1272" w:type="dxa"/>
            <w:vAlign w:val="center"/>
          </w:tcPr>
          <w:p w:rsidR="00235BB0" w:rsidRPr="00A84A0B" w:rsidRDefault="00653F4E" w:rsidP="005939DA">
            <w:pPr>
              <w:jc w:val="center"/>
              <w:rPr>
                <w:rFonts w:ascii="Arial Narrow" w:hAnsi="Arial Narrow"/>
                <w:sz w:val="20"/>
              </w:rPr>
            </w:pPr>
            <w:r>
              <w:rPr>
                <w:rFonts w:ascii="Arial Narrow" w:hAnsi="Arial Narrow"/>
                <w:noProof/>
                <w:color w:val="000000"/>
                <w:sz w:val="20"/>
                <w:highlight w:val="black"/>
              </w:rPr>
              <w:t>''''''''''</w:t>
            </w:r>
            <w:r w:rsidR="00235BB0" w:rsidRPr="00A84A0B">
              <w:rPr>
                <w:rFonts w:ascii="Arial Narrow" w:hAnsi="Arial Narrow"/>
                <w:sz w:val="20"/>
              </w:rPr>
              <w:t xml:space="preserve"> (</w:t>
            </w:r>
            <w:r>
              <w:rPr>
                <w:rFonts w:ascii="Arial Narrow" w:hAnsi="Arial Narrow"/>
                <w:noProof/>
                <w:color w:val="000000"/>
                <w:sz w:val="20"/>
                <w:highlight w:val="black"/>
              </w:rPr>
              <w:t>''''''''''</w:t>
            </w:r>
            <w:r w:rsidR="00235BB0" w:rsidRPr="00A84A0B">
              <w:rPr>
                <w:rFonts w:ascii="Arial Narrow" w:hAnsi="Arial Narrow"/>
                <w:sz w:val="20"/>
              </w:rPr>
              <w:t xml:space="preserve">, </w:t>
            </w:r>
            <w:r>
              <w:rPr>
                <w:rFonts w:ascii="Arial Narrow" w:hAnsi="Arial Narrow"/>
                <w:noProof/>
                <w:color w:val="000000"/>
                <w:sz w:val="20"/>
                <w:highlight w:val="black"/>
              </w:rPr>
              <w:t>''''''''''''</w:t>
            </w:r>
            <w:r w:rsidR="00235BB0" w:rsidRPr="00A84A0B">
              <w:rPr>
                <w:rFonts w:ascii="Arial Narrow" w:hAnsi="Arial Narrow"/>
                <w:sz w:val="20"/>
              </w:rPr>
              <w:t>)</w:t>
            </w:r>
          </w:p>
        </w:tc>
        <w:tc>
          <w:tcPr>
            <w:tcW w:w="959" w:type="dxa"/>
            <w:vAlign w:val="center"/>
          </w:tcPr>
          <w:p w:rsidR="00235BB0" w:rsidRPr="00A84A0B" w:rsidRDefault="00235BB0" w:rsidP="005939DA">
            <w:pPr>
              <w:jc w:val="center"/>
              <w:rPr>
                <w:rFonts w:ascii="Arial Narrow" w:hAnsi="Arial Narrow"/>
                <w:sz w:val="20"/>
              </w:rPr>
            </w:pPr>
            <w:r w:rsidRPr="00A84A0B">
              <w:rPr>
                <w:rFonts w:ascii="Arial Narrow" w:hAnsi="Arial Narrow"/>
                <w:sz w:val="20"/>
              </w:rPr>
              <w:t>NS</w:t>
            </w:r>
          </w:p>
        </w:tc>
      </w:tr>
      <w:tr w:rsidR="00235BB0" w:rsidRPr="00A84A0B" w:rsidTr="005939DA">
        <w:trPr>
          <w:trHeight w:val="340"/>
        </w:trPr>
        <w:tc>
          <w:tcPr>
            <w:tcW w:w="708" w:type="dxa"/>
          </w:tcPr>
          <w:p w:rsidR="00235BB0" w:rsidRPr="00A84A0B" w:rsidRDefault="00235BB0" w:rsidP="005939DA">
            <w:pPr>
              <w:rPr>
                <w:rFonts w:ascii="Arial Narrow" w:hAnsi="Arial Narrow"/>
                <w:sz w:val="20"/>
                <w:vertAlign w:val="superscript"/>
              </w:rPr>
            </w:pPr>
            <w:r w:rsidRPr="00A84A0B">
              <w:rPr>
                <w:rFonts w:ascii="Arial Narrow" w:hAnsi="Arial Narrow"/>
                <w:sz w:val="20"/>
              </w:rPr>
              <w:t>057</w:t>
            </w:r>
            <w:r w:rsidRPr="00A84A0B">
              <w:rPr>
                <w:rFonts w:ascii="Arial Narrow" w:hAnsi="Arial Narrow"/>
                <w:sz w:val="20"/>
                <w:vertAlign w:val="superscript"/>
              </w:rPr>
              <w:t>c</w:t>
            </w:r>
          </w:p>
        </w:tc>
        <w:tc>
          <w:tcPr>
            <w:tcW w:w="2119" w:type="dxa"/>
            <w:tcBorders>
              <w:right w:val="single" w:sz="4" w:space="0" w:color="auto"/>
            </w:tcBorders>
            <w:vAlign w:val="center"/>
          </w:tcPr>
          <w:p w:rsidR="00235BB0" w:rsidRPr="00A84A0B" w:rsidRDefault="00235BB0" w:rsidP="005939DA">
            <w:pPr>
              <w:jc w:val="center"/>
              <w:rPr>
                <w:rFonts w:ascii="Arial Narrow" w:hAnsi="Arial Narrow"/>
                <w:sz w:val="20"/>
              </w:rPr>
            </w:pPr>
            <w:r w:rsidRPr="00A84A0B">
              <w:rPr>
                <w:rFonts w:ascii="Arial Narrow" w:hAnsi="Arial Narrow"/>
                <w:sz w:val="20"/>
              </w:rPr>
              <w:t>Non-Sq NSCLC (2L)</w:t>
            </w:r>
          </w:p>
        </w:tc>
        <w:tc>
          <w:tcPr>
            <w:tcW w:w="1013" w:type="dxa"/>
            <w:tcBorders>
              <w:left w:val="single" w:sz="4" w:space="0" w:color="auto"/>
            </w:tcBorders>
            <w:vAlign w:val="center"/>
          </w:tcPr>
          <w:p w:rsidR="00235BB0" w:rsidRPr="00A84A0B" w:rsidRDefault="00235BB0" w:rsidP="005939DA">
            <w:pPr>
              <w:jc w:val="center"/>
              <w:rPr>
                <w:rFonts w:ascii="Arial Narrow" w:hAnsi="Arial Narrow"/>
                <w:sz w:val="20"/>
              </w:rPr>
            </w:pPr>
            <w:r w:rsidRPr="00A84A0B">
              <w:rPr>
                <w:rFonts w:ascii="Arial Narrow" w:hAnsi="Arial Narrow"/>
                <w:sz w:val="20"/>
              </w:rPr>
              <w:t>NIV v DOC</w:t>
            </w:r>
          </w:p>
        </w:tc>
        <w:tc>
          <w:tcPr>
            <w:tcW w:w="969" w:type="dxa"/>
            <w:tcBorders>
              <w:left w:val="single" w:sz="4" w:space="0" w:color="auto"/>
            </w:tcBorders>
            <w:vAlign w:val="center"/>
          </w:tcPr>
          <w:p w:rsidR="00235BB0" w:rsidRPr="00A84A0B" w:rsidRDefault="00235BB0" w:rsidP="005939DA">
            <w:pPr>
              <w:jc w:val="center"/>
              <w:rPr>
                <w:rFonts w:ascii="Arial Narrow" w:hAnsi="Arial Narrow"/>
                <w:sz w:val="20"/>
              </w:rPr>
            </w:pPr>
            <w:r w:rsidRPr="00A84A0B">
              <w:rPr>
                <w:rFonts w:ascii="Arial Narrow" w:hAnsi="Arial Narrow"/>
                <w:sz w:val="20"/>
              </w:rPr>
              <w:t>582 (58.2)</w:t>
            </w:r>
          </w:p>
        </w:tc>
        <w:tc>
          <w:tcPr>
            <w:tcW w:w="1272" w:type="dxa"/>
            <w:vAlign w:val="center"/>
          </w:tcPr>
          <w:p w:rsidR="00235BB0" w:rsidRPr="00A84A0B" w:rsidRDefault="00653F4E" w:rsidP="005939DA">
            <w:pPr>
              <w:jc w:val="center"/>
              <w:rPr>
                <w:rFonts w:ascii="Arial Narrow" w:hAnsi="Arial Narrow"/>
                <w:sz w:val="20"/>
              </w:rPr>
            </w:pPr>
            <w:r>
              <w:rPr>
                <w:rFonts w:ascii="Arial Narrow" w:hAnsi="Arial Narrow"/>
                <w:noProof/>
                <w:color w:val="000000"/>
                <w:sz w:val="20"/>
                <w:highlight w:val="black"/>
              </w:rPr>
              <w:t>'''''''''''</w:t>
            </w:r>
            <w:r w:rsidR="00235BB0" w:rsidRPr="00A84A0B">
              <w:rPr>
                <w:rFonts w:ascii="Arial Narrow" w:hAnsi="Arial Narrow"/>
                <w:sz w:val="20"/>
              </w:rPr>
              <w:t xml:space="preserve"> (</w:t>
            </w:r>
            <w:r>
              <w:rPr>
                <w:rFonts w:ascii="Arial Narrow" w:hAnsi="Arial Narrow"/>
                <w:noProof/>
                <w:color w:val="000000"/>
                <w:sz w:val="20"/>
                <w:highlight w:val="black"/>
              </w:rPr>
              <w:t>''''''''''</w:t>
            </w:r>
            <w:r w:rsidR="00235BB0" w:rsidRPr="00A84A0B">
              <w:rPr>
                <w:rFonts w:ascii="Arial Narrow" w:hAnsi="Arial Narrow"/>
                <w:sz w:val="20"/>
              </w:rPr>
              <w:t xml:space="preserve">, </w:t>
            </w:r>
            <w:r>
              <w:rPr>
                <w:rFonts w:ascii="Arial Narrow" w:hAnsi="Arial Narrow"/>
                <w:noProof/>
                <w:color w:val="000000"/>
                <w:sz w:val="20"/>
                <w:highlight w:val="black"/>
              </w:rPr>
              <w:t>'''''''''''</w:t>
            </w:r>
            <w:r w:rsidR="00235BB0" w:rsidRPr="00A84A0B">
              <w:rPr>
                <w:rFonts w:ascii="Arial Narrow" w:hAnsi="Arial Narrow"/>
                <w:sz w:val="20"/>
              </w:rPr>
              <w:t>)</w:t>
            </w:r>
          </w:p>
        </w:tc>
        <w:tc>
          <w:tcPr>
            <w:tcW w:w="1272" w:type="dxa"/>
            <w:vAlign w:val="center"/>
          </w:tcPr>
          <w:p w:rsidR="00235BB0" w:rsidRPr="00A84A0B" w:rsidRDefault="00653F4E" w:rsidP="005939DA">
            <w:pPr>
              <w:jc w:val="center"/>
              <w:rPr>
                <w:rFonts w:ascii="Arial Narrow" w:hAnsi="Arial Narrow"/>
                <w:sz w:val="20"/>
              </w:rPr>
            </w:pPr>
            <w:r>
              <w:rPr>
                <w:rFonts w:ascii="Arial Narrow" w:hAnsi="Arial Narrow"/>
                <w:b/>
                <w:noProof/>
                <w:color w:val="000000"/>
                <w:sz w:val="20"/>
                <w:highlight w:val="black"/>
              </w:rPr>
              <w:t>''''''''</w:t>
            </w:r>
            <w:r w:rsidR="00235BB0" w:rsidRPr="00A84A0B">
              <w:rPr>
                <w:rFonts w:ascii="Arial Narrow" w:hAnsi="Arial Narrow"/>
                <w:b/>
                <w:sz w:val="20"/>
              </w:rPr>
              <w:t xml:space="preserve"> (</w:t>
            </w:r>
            <w:r>
              <w:rPr>
                <w:rFonts w:ascii="Arial Narrow" w:hAnsi="Arial Narrow"/>
                <w:b/>
                <w:noProof/>
                <w:color w:val="000000"/>
                <w:sz w:val="20"/>
                <w:highlight w:val="black"/>
              </w:rPr>
              <w:t>'''''''''</w:t>
            </w:r>
            <w:r w:rsidR="00235BB0" w:rsidRPr="00A84A0B">
              <w:rPr>
                <w:rFonts w:ascii="Arial Narrow" w:hAnsi="Arial Narrow"/>
                <w:b/>
                <w:sz w:val="20"/>
              </w:rPr>
              <w:t xml:space="preserve">, </w:t>
            </w:r>
            <w:r>
              <w:rPr>
                <w:rFonts w:ascii="Arial Narrow" w:hAnsi="Arial Narrow"/>
                <w:b/>
                <w:noProof/>
                <w:color w:val="000000"/>
                <w:sz w:val="20"/>
                <w:highlight w:val="black"/>
              </w:rPr>
              <w:t>'''''''''</w:t>
            </w:r>
            <w:r w:rsidR="00235BB0" w:rsidRPr="00A84A0B">
              <w:rPr>
                <w:rFonts w:ascii="Arial Narrow" w:hAnsi="Arial Narrow"/>
                <w:b/>
                <w:sz w:val="20"/>
              </w:rPr>
              <w:t>)</w:t>
            </w:r>
          </w:p>
        </w:tc>
        <w:tc>
          <w:tcPr>
            <w:tcW w:w="959" w:type="dxa"/>
            <w:vAlign w:val="center"/>
          </w:tcPr>
          <w:p w:rsidR="00235BB0" w:rsidRPr="00A84A0B" w:rsidRDefault="00235BB0" w:rsidP="005939DA">
            <w:pPr>
              <w:jc w:val="center"/>
              <w:rPr>
                <w:rFonts w:ascii="Arial Narrow" w:hAnsi="Arial Narrow"/>
                <w:sz w:val="20"/>
              </w:rPr>
            </w:pPr>
            <w:r w:rsidRPr="00A84A0B">
              <w:rPr>
                <w:rFonts w:ascii="Arial Narrow" w:hAnsi="Arial Narrow"/>
                <w:sz w:val="20"/>
              </w:rPr>
              <w:t>NS</w:t>
            </w:r>
          </w:p>
        </w:tc>
      </w:tr>
      <w:tr w:rsidR="00235BB0" w:rsidRPr="00A84A0B" w:rsidTr="005939DA">
        <w:trPr>
          <w:trHeight w:val="340"/>
        </w:trPr>
        <w:tc>
          <w:tcPr>
            <w:tcW w:w="708" w:type="dxa"/>
          </w:tcPr>
          <w:p w:rsidR="00235BB0" w:rsidRPr="00A84A0B" w:rsidRDefault="00235BB0" w:rsidP="005939DA">
            <w:pPr>
              <w:rPr>
                <w:rFonts w:ascii="Arial Narrow" w:hAnsi="Arial Narrow"/>
                <w:sz w:val="20"/>
                <w:vertAlign w:val="superscript"/>
              </w:rPr>
            </w:pPr>
            <w:r w:rsidRPr="00A84A0B">
              <w:rPr>
                <w:rFonts w:ascii="Arial Narrow" w:hAnsi="Arial Narrow"/>
                <w:sz w:val="20"/>
              </w:rPr>
              <w:t>KN-010</w:t>
            </w:r>
            <w:r w:rsidRPr="00A84A0B">
              <w:rPr>
                <w:rFonts w:ascii="Arial Narrow" w:hAnsi="Arial Narrow"/>
                <w:sz w:val="20"/>
                <w:vertAlign w:val="superscript"/>
              </w:rPr>
              <w:t>d</w:t>
            </w:r>
          </w:p>
        </w:tc>
        <w:tc>
          <w:tcPr>
            <w:tcW w:w="2119" w:type="dxa"/>
            <w:tcBorders>
              <w:right w:val="single" w:sz="4" w:space="0" w:color="auto"/>
            </w:tcBorders>
            <w:vAlign w:val="center"/>
          </w:tcPr>
          <w:p w:rsidR="00235BB0" w:rsidRPr="00A84A0B" w:rsidRDefault="00235BB0" w:rsidP="005939DA">
            <w:pPr>
              <w:jc w:val="center"/>
              <w:rPr>
                <w:rFonts w:ascii="Arial Narrow" w:hAnsi="Arial Narrow"/>
                <w:sz w:val="20"/>
              </w:rPr>
            </w:pPr>
            <w:r w:rsidRPr="00A84A0B">
              <w:rPr>
                <w:rFonts w:ascii="Arial Narrow" w:hAnsi="Arial Narrow"/>
                <w:sz w:val="20"/>
              </w:rPr>
              <w:t>PD-L1+ (≥1%) NSCLC (2L)</w:t>
            </w:r>
          </w:p>
        </w:tc>
        <w:tc>
          <w:tcPr>
            <w:tcW w:w="1013" w:type="dxa"/>
            <w:tcBorders>
              <w:left w:val="single" w:sz="4" w:space="0" w:color="auto"/>
            </w:tcBorders>
            <w:vAlign w:val="center"/>
          </w:tcPr>
          <w:p w:rsidR="00235BB0" w:rsidRPr="00A84A0B" w:rsidRDefault="00235BB0" w:rsidP="005939DA">
            <w:pPr>
              <w:jc w:val="center"/>
              <w:rPr>
                <w:rFonts w:ascii="Arial Narrow" w:hAnsi="Arial Narrow"/>
                <w:sz w:val="20"/>
              </w:rPr>
            </w:pPr>
            <w:r w:rsidRPr="00A84A0B">
              <w:rPr>
                <w:rFonts w:ascii="Arial Narrow" w:hAnsi="Arial Narrow"/>
                <w:sz w:val="20"/>
              </w:rPr>
              <w:t>PEM v DOC</w:t>
            </w:r>
          </w:p>
        </w:tc>
        <w:tc>
          <w:tcPr>
            <w:tcW w:w="969" w:type="dxa"/>
            <w:tcBorders>
              <w:left w:val="single" w:sz="4" w:space="0" w:color="auto"/>
            </w:tcBorders>
            <w:vAlign w:val="center"/>
          </w:tcPr>
          <w:p w:rsidR="00235BB0" w:rsidRPr="00A84A0B" w:rsidRDefault="00235BB0" w:rsidP="005939DA">
            <w:pPr>
              <w:jc w:val="center"/>
              <w:rPr>
                <w:rFonts w:ascii="Arial Narrow" w:hAnsi="Arial Narrow"/>
                <w:sz w:val="20"/>
              </w:rPr>
            </w:pPr>
            <w:r w:rsidRPr="00A84A0B">
              <w:rPr>
                <w:rFonts w:ascii="Arial Narrow" w:hAnsi="Arial Narrow"/>
                <w:sz w:val="20"/>
              </w:rPr>
              <w:t>1033 (58.5)</w:t>
            </w:r>
          </w:p>
        </w:tc>
        <w:tc>
          <w:tcPr>
            <w:tcW w:w="1272" w:type="dxa"/>
            <w:vAlign w:val="center"/>
          </w:tcPr>
          <w:p w:rsidR="00235BB0" w:rsidRPr="00A84A0B" w:rsidRDefault="00653F4E" w:rsidP="005939DA">
            <w:pPr>
              <w:jc w:val="center"/>
              <w:rPr>
                <w:rFonts w:ascii="Arial Narrow" w:hAnsi="Arial Narrow"/>
                <w:sz w:val="20"/>
              </w:rPr>
            </w:pPr>
            <w:r>
              <w:rPr>
                <w:rFonts w:ascii="Arial Narrow" w:hAnsi="Arial Narrow"/>
                <w:b/>
                <w:noProof/>
                <w:color w:val="000000"/>
                <w:sz w:val="20"/>
                <w:highlight w:val="black"/>
              </w:rPr>
              <w:t>''''''''</w:t>
            </w:r>
            <w:r w:rsidR="00235BB0" w:rsidRPr="00A84A0B">
              <w:rPr>
                <w:rFonts w:ascii="Arial Narrow" w:hAnsi="Arial Narrow"/>
                <w:b/>
                <w:sz w:val="20"/>
              </w:rPr>
              <w:t xml:space="preserve"> (</w:t>
            </w:r>
            <w:r>
              <w:rPr>
                <w:rFonts w:ascii="Arial Narrow" w:hAnsi="Arial Narrow"/>
                <w:b/>
                <w:noProof/>
                <w:color w:val="000000"/>
                <w:sz w:val="20"/>
                <w:highlight w:val="black"/>
              </w:rPr>
              <w:t>''''''''</w:t>
            </w:r>
            <w:r w:rsidR="00235BB0" w:rsidRPr="00A84A0B">
              <w:rPr>
                <w:rFonts w:ascii="Arial Narrow" w:hAnsi="Arial Narrow"/>
                <w:b/>
                <w:sz w:val="20"/>
              </w:rPr>
              <w:t xml:space="preserve">, </w:t>
            </w:r>
            <w:r>
              <w:rPr>
                <w:rFonts w:ascii="Arial Narrow" w:hAnsi="Arial Narrow"/>
                <w:b/>
                <w:noProof/>
                <w:color w:val="000000"/>
                <w:sz w:val="20"/>
                <w:highlight w:val="black"/>
              </w:rPr>
              <w:t>''''''''</w:t>
            </w:r>
            <w:r w:rsidR="00235BB0" w:rsidRPr="00A84A0B">
              <w:rPr>
                <w:rFonts w:ascii="Arial Narrow" w:hAnsi="Arial Narrow"/>
                <w:b/>
                <w:sz w:val="20"/>
              </w:rPr>
              <w:t>)</w:t>
            </w:r>
          </w:p>
        </w:tc>
        <w:tc>
          <w:tcPr>
            <w:tcW w:w="1272" w:type="dxa"/>
            <w:vAlign w:val="center"/>
          </w:tcPr>
          <w:p w:rsidR="00235BB0" w:rsidRPr="00A84A0B" w:rsidRDefault="00653F4E" w:rsidP="005939DA">
            <w:pPr>
              <w:jc w:val="center"/>
              <w:rPr>
                <w:rFonts w:ascii="Arial Narrow" w:hAnsi="Arial Narrow"/>
                <w:sz w:val="20"/>
              </w:rPr>
            </w:pPr>
            <w:r>
              <w:rPr>
                <w:rFonts w:ascii="Arial Narrow" w:hAnsi="Arial Narrow"/>
                <w:noProof/>
                <w:color w:val="000000"/>
                <w:sz w:val="20"/>
                <w:highlight w:val="black"/>
              </w:rPr>
              <w:t>''''''''''</w:t>
            </w:r>
            <w:r w:rsidR="00235BB0" w:rsidRPr="00A84A0B">
              <w:rPr>
                <w:rFonts w:ascii="Arial Narrow" w:hAnsi="Arial Narrow"/>
                <w:sz w:val="20"/>
              </w:rPr>
              <w:t xml:space="preserve"> (</w:t>
            </w:r>
            <w:r>
              <w:rPr>
                <w:rFonts w:ascii="Arial Narrow" w:hAnsi="Arial Narrow"/>
                <w:noProof/>
                <w:color w:val="000000"/>
                <w:sz w:val="20"/>
                <w:highlight w:val="black"/>
              </w:rPr>
              <w:t>''''''''''</w:t>
            </w:r>
            <w:r w:rsidR="00235BB0" w:rsidRPr="00A84A0B">
              <w:rPr>
                <w:rFonts w:ascii="Arial Narrow" w:hAnsi="Arial Narrow"/>
                <w:sz w:val="20"/>
              </w:rPr>
              <w:t xml:space="preserve">, </w:t>
            </w:r>
            <w:r>
              <w:rPr>
                <w:rFonts w:ascii="Arial Narrow" w:hAnsi="Arial Narrow"/>
                <w:noProof/>
                <w:color w:val="000000"/>
                <w:sz w:val="20"/>
                <w:highlight w:val="black"/>
              </w:rPr>
              <w:t>''''''''''</w:t>
            </w:r>
            <w:r w:rsidR="00235BB0" w:rsidRPr="00A84A0B">
              <w:rPr>
                <w:rFonts w:ascii="Arial Narrow" w:hAnsi="Arial Narrow"/>
                <w:sz w:val="20"/>
              </w:rPr>
              <w:t>)</w:t>
            </w:r>
          </w:p>
        </w:tc>
        <w:tc>
          <w:tcPr>
            <w:tcW w:w="959" w:type="dxa"/>
            <w:vAlign w:val="center"/>
          </w:tcPr>
          <w:p w:rsidR="00235BB0" w:rsidRPr="00A84A0B" w:rsidRDefault="00235BB0" w:rsidP="005939DA">
            <w:pPr>
              <w:jc w:val="center"/>
              <w:rPr>
                <w:rFonts w:ascii="Arial Narrow" w:hAnsi="Arial Narrow"/>
                <w:sz w:val="20"/>
              </w:rPr>
            </w:pPr>
            <w:r w:rsidRPr="00A84A0B">
              <w:rPr>
                <w:rFonts w:ascii="Arial Narrow" w:hAnsi="Arial Narrow"/>
                <w:sz w:val="20"/>
              </w:rPr>
              <w:t>NS</w:t>
            </w:r>
          </w:p>
        </w:tc>
      </w:tr>
      <w:tr w:rsidR="00235BB0" w:rsidRPr="00A84A0B" w:rsidTr="005939DA">
        <w:trPr>
          <w:trHeight w:val="340"/>
        </w:trPr>
        <w:tc>
          <w:tcPr>
            <w:tcW w:w="708" w:type="dxa"/>
          </w:tcPr>
          <w:p w:rsidR="00235BB0" w:rsidRPr="00A84A0B" w:rsidRDefault="00235BB0" w:rsidP="005939DA">
            <w:pPr>
              <w:rPr>
                <w:rFonts w:ascii="Arial Narrow" w:hAnsi="Arial Narrow"/>
                <w:sz w:val="20"/>
                <w:vertAlign w:val="superscript"/>
              </w:rPr>
            </w:pPr>
            <w:r w:rsidRPr="00A84A0B">
              <w:rPr>
                <w:rFonts w:ascii="Arial Narrow" w:hAnsi="Arial Narrow"/>
                <w:sz w:val="20"/>
              </w:rPr>
              <w:t>OAK</w:t>
            </w:r>
            <w:r w:rsidRPr="00A84A0B">
              <w:rPr>
                <w:rFonts w:ascii="Arial Narrow" w:hAnsi="Arial Narrow"/>
                <w:sz w:val="20"/>
                <w:vertAlign w:val="superscript"/>
              </w:rPr>
              <w:t>f</w:t>
            </w:r>
          </w:p>
        </w:tc>
        <w:tc>
          <w:tcPr>
            <w:tcW w:w="2119" w:type="dxa"/>
            <w:tcBorders>
              <w:right w:val="single" w:sz="4" w:space="0" w:color="auto"/>
            </w:tcBorders>
            <w:vAlign w:val="center"/>
          </w:tcPr>
          <w:p w:rsidR="00235BB0" w:rsidRPr="00A84A0B" w:rsidRDefault="00235BB0" w:rsidP="005939DA">
            <w:pPr>
              <w:jc w:val="center"/>
              <w:rPr>
                <w:rFonts w:ascii="Arial Narrow" w:hAnsi="Arial Narrow"/>
                <w:sz w:val="20"/>
                <w:vertAlign w:val="superscript"/>
              </w:rPr>
            </w:pPr>
            <w:r w:rsidRPr="00A84A0B">
              <w:rPr>
                <w:rFonts w:ascii="Arial Narrow" w:hAnsi="Arial Narrow"/>
                <w:sz w:val="20"/>
              </w:rPr>
              <w:t>NSCLC (2L)</w:t>
            </w:r>
          </w:p>
        </w:tc>
        <w:tc>
          <w:tcPr>
            <w:tcW w:w="1013" w:type="dxa"/>
            <w:tcBorders>
              <w:left w:val="single" w:sz="4" w:space="0" w:color="auto"/>
            </w:tcBorders>
            <w:vAlign w:val="center"/>
          </w:tcPr>
          <w:p w:rsidR="00235BB0" w:rsidRPr="00A84A0B" w:rsidRDefault="00235BB0" w:rsidP="005939DA">
            <w:pPr>
              <w:jc w:val="center"/>
              <w:rPr>
                <w:rFonts w:ascii="Arial Narrow" w:hAnsi="Arial Narrow"/>
                <w:sz w:val="20"/>
              </w:rPr>
            </w:pPr>
            <w:r w:rsidRPr="00A84A0B">
              <w:rPr>
                <w:rFonts w:ascii="Arial Narrow" w:hAnsi="Arial Narrow"/>
                <w:sz w:val="20"/>
              </w:rPr>
              <w:t>ATE v DOC</w:t>
            </w:r>
          </w:p>
        </w:tc>
        <w:tc>
          <w:tcPr>
            <w:tcW w:w="969" w:type="dxa"/>
            <w:tcBorders>
              <w:left w:val="single" w:sz="4" w:space="0" w:color="auto"/>
            </w:tcBorders>
            <w:vAlign w:val="center"/>
          </w:tcPr>
          <w:p w:rsidR="00235BB0" w:rsidRPr="00A84A0B" w:rsidRDefault="00235BB0" w:rsidP="005939DA">
            <w:pPr>
              <w:jc w:val="center"/>
              <w:rPr>
                <w:rFonts w:ascii="Arial Narrow" w:hAnsi="Arial Narrow"/>
                <w:sz w:val="20"/>
              </w:rPr>
            </w:pPr>
            <w:r w:rsidRPr="00A84A0B">
              <w:rPr>
                <w:rFonts w:ascii="Arial Narrow" w:hAnsi="Arial Narrow"/>
                <w:sz w:val="20"/>
              </w:rPr>
              <w:t>850 (53.3)</w:t>
            </w:r>
          </w:p>
        </w:tc>
        <w:tc>
          <w:tcPr>
            <w:tcW w:w="1272" w:type="dxa"/>
            <w:vAlign w:val="center"/>
          </w:tcPr>
          <w:p w:rsidR="00235BB0" w:rsidRPr="00A84A0B" w:rsidRDefault="00653F4E" w:rsidP="005939DA">
            <w:pPr>
              <w:jc w:val="center"/>
              <w:rPr>
                <w:rFonts w:ascii="Arial Narrow" w:hAnsi="Arial Narrow"/>
                <w:sz w:val="20"/>
              </w:rPr>
            </w:pPr>
            <w:r>
              <w:rPr>
                <w:rFonts w:ascii="Arial Narrow" w:hAnsi="Arial Narrow"/>
                <w:noProof/>
                <w:color w:val="000000"/>
                <w:sz w:val="20"/>
                <w:highlight w:val="black"/>
              </w:rPr>
              <w:t>''''''''''</w:t>
            </w:r>
            <w:r w:rsidR="00235BB0" w:rsidRPr="00A84A0B">
              <w:rPr>
                <w:rFonts w:ascii="Arial Narrow" w:hAnsi="Arial Narrow"/>
                <w:sz w:val="20"/>
              </w:rPr>
              <w:t xml:space="preserve"> (</w:t>
            </w:r>
            <w:r>
              <w:rPr>
                <w:rFonts w:ascii="Arial Narrow" w:hAnsi="Arial Narrow"/>
                <w:noProof/>
                <w:color w:val="000000"/>
                <w:sz w:val="20"/>
                <w:highlight w:val="black"/>
              </w:rPr>
              <w:t>''''''''''</w:t>
            </w:r>
            <w:r w:rsidR="00235BB0" w:rsidRPr="00A84A0B">
              <w:rPr>
                <w:rFonts w:ascii="Arial Narrow" w:hAnsi="Arial Narrow"/>
                <w:sz w:val="20"/>
              </w:rPr>
              <w:t xml:space="preserve">, </w:t>
            </w:r>
            <w:r>
              <w:rPr>
                <w:rFonts w:ascii="Arial Narrow" w:hAnsi="Arial Narrow"/>
                <w:noProof/>
                <w:color w:val="000000"/>
                <w:sz w:val="20"/>
                <w:highlight w:val="black"/>
              </w:rPr>
              <w:t>''''''''''</w:t>
            </w:r>
            <w:r w:rsidR="00235BB0" w:rsidRPr="00A84A0B">
              <w:rPr>
                <w:rFonts w:ascii="Arial Narrow" w:hAnsi="Arial Narrow"/>
                <w:sz w:val="20"/>
              </w:rPr>
              <w:t>)</w:t>
            </w:r>
          </w:p>
        </w:tc>
        <w:tc>
          <w:tcPr>
            <w:tcW w:w="1272" w:type="dxa"/>
            <w:vAlign w:val="center"/>
          </w:tcPr>
          <w:p w:rsidR="00235BB0" w:rsidRPr="00A84A0B" w:rsidRDefault="00653F4E" w:rsidP="005939DA">
            <w:pPr>
              <w:jc w:val="center"/>
              <w:rPr>
                <w:rFonts w:ascii="Arial Narrow" w:hAnsi="Arial Narrow"/>
                <w:sz w:val="20"/>
              </w:rPr>
            </w:pPr>
            <w:r>
              <w:rPr>
                <w:rFonts w:ascii="Arial Narrow" w:hAnsi="Arial Narrow"/>
                <w:b/>
                <w:noProof/>
                <w:color w:val="000000"/>
                <w:sz w:val="20"/>
                <w:highlight w:val="black"/>
              </w:rPr>
              <w:t>''''''''</w:t>
            </w:r>
            <w:r w:rsidR="00235BB0" w:rsidRPr="00A84A0B">
              <w:rPr>
                <w:rFonts w:ascii="Arial Narrow" w:hAnsi="Arial Narrow"/>
                <w:b/>
                <w:sz w:val="20"/>
              </w:rPr>
              <w:t xml:space="preserve"> (</w:t>
            </w:r>
            <w:r>
              <w:rPr>
                <w:rFonts w:ascii="Arial Narrow" w:hAnsi="Arial Narrow"/>
                <w:b/>
                <w:noProof/>
                <w:color w:val="000000"/>
                <w:sz w:val="20"/>
                <w:highlight w:val="black"/>
              </w:rPr>
              <w:t>''''''''</w:t>
            </w:r>
            <w:r w:rsidR="00235BB0" w:rsidRPr="00A84A0B">
              <w:rPr>
                <w:rFonts w:ascii="Arial Narrow" w:hAnsi="Arial Narrow"/>
                <w:b/>
                <w:sz w:val="20"/>
              </w:rPr>
              <w:t xml:space="preserve">, </w:t>
            </w:r>
            <w:r>
              <w:rPr>
                <w:rFonts w:ascii="Arial Narrow" w:hAnsi="Arial Narrow"/>
                <w:b/>
                <w:noProof/>
                <w:color w:val="000000"/>
                <w:sz w:val="20"/>
                <w:highlight w:val="black"/>
              </w:rPr>
              <w:t>''''''''''</w:t>
            </w:r>
            <w:r w:rsidR="00235BB0" w:rsidRPr="00A84A0B">
              <w:rPr>
                <w:rFonts w:ascii="Arial Narrow" w:hAnsi="Arial Narrow"/>
                <w:b/>
                <w:sz w:val="20"/>
              </w:rPr>
              <w:t>)</w:t>
            </w:r>
          </w:p>
        </w:tc>
        <w:tc>
          <w:tcPr>
            <w:tcW w:w="959" w:type="dxa"/>
            <w:vAlign w:val="center"/>
          </w:tcPr>
          <w:p w:rsidR="00235BB0" w:rsidRPr="00A84A0B" w:rsidRDefault="00235BB0" w:rsidP="005939DA">
            <w:pPr>
              <w:jc w:val="center"/>
              <w:rPr>
                <w:rFonts w:ascii="Arial Narrow" w:hAnsi="Arial Narrow"/>
                <w:sz w:val="20"/>
              </w:rPr>
            </w:pPr>
            <w:r w:rsidRPr="00A84A0B">
              <w:rPr>
                <w:rFonts w:ascii="Arial Narrow" w:hAnsi="Arial Narrow"/>
                <w:sz w:val="20"/>
              </w:rPr>
              <w:t>NS</w:t>
            </w:r>
          </w:p>
        </w:tc>
      </w:tr>
      <w:tr w:rsidR="00235BB0" w:rsidRPr="00A84A0B" w:rsidTr="005939DA">
        <w:trPr>
          <w:trHeight w:val="340"/>
        </w:trPr>
        <w:tc>
          <w:tcPr>
            <w:tcW w:w="708" w:type="dxa"/>
          </w:tcPr>
          <w:p w:rsidR="00235BB0" w:rsidRPr="00A84A0B" w:rsidRDefault="00235BB0" w:rsidP="005939DA">
            <w:pPr>
              <w:rPr>
                <w:rFonts w:ascii="Arial Narrow" w:hAnsi="Arial Narrow"/>
                <w:sz w:val="20"/>
                <w:vertAlign w:val="superscript"/>
              </w:rPr>
            </w:pPr>
            <w:r w:rsidRPr="00A84A0B">
              <w:rPr>
                <w:rFonts w:ascii="Arial Narrow" w:hAnsi="Arial Narrow"/>
                <w:sz w:val="20"/>
              </w:rPr>
              <w:t>037</w:t>
            </w:r>
            <w:r w:rsidRPr="00A84A0B">
              <w:rPr>
                <w:rFonts w:ascii="Arial Narrow" w:hAnsi="Arial Narrow"/>
                <w:sz w:val="20"/>
                <w:vertAlign w:val="superscript"/>
              </w:rPr>
              <w:t>g</w:t>
            </w:r>
          </w:p>
        </w:tc>
        <w:tc>
          <w:tcPr>
            <w:tcW w:w="2119" w:type="dxa"/>
            <w:tcBorders>
              <w:right w:val="single" w:sz="4" w:space="0" w:color="auto"/>
            </w:tcBorders>
            <w:vAlign w:val="center"/>
          </w:tcPr>
          <w:p w:rsidR="00235BB0" w:rsidRPr="00A84A0B" w:rsidRDefault="00235BB0" w:rsidP="005939DA">
            <w:pPr>
              <w:jc w:val="center"/>
              <w:rPr>
                <w:rFonts w:ascii="Arial Narrow" w:hAnsi="Arial Narrow"/>
                <w:sz w:val="20"/>
              </w:rPr>
            </w:pPr>
            <w:r w:rsidRPr="00A84A0B">
              <w:rPr>
                <w:rFonts w:ascii="Arial Narrow" w:hAnsi="Arial Narrow"/>
                <w:sz w:val="20"/>
              </w:rPr>
              <w:t xml:space="preserve">Melanoma (2L) </w:t>
            </w:r>
          </w:p>
        </w:tc>
        <w:tc>
          <w:tcPr>
            <w:tcW w:w="1013" w:type="dxa"/>
            <w:tcBorders>
              <w:left w:val="single" w:sz="4" w:space="0" w:color="auto"/>
            </w:tcBorders>
            <w:vAlign w:val="center"/>
          </w:tcPr>
          <w:p w:rsidR="00235BB0" w:rsidRPr="00A84A0B" w:rsidRDefault="00235BB0" w:rsidP="005939DA">
            <w:pPr>
              <w:jc w:val="center"/>
              <w:rPr>
                <w:rFonts w:ascii="Arial Narrow" w:hAnsi="Arial Narrow"/>
                <w:sz w:val="20"/>
              </w:rPr>
            </w:pPr>
            <w:r w:rsidRPr="00A84A0B">
              <w:rPr>
                <w:rFonts w:ascii="Arial Narrow" w:hAnsi="Arial Narrow"/>
                <w:sz w:val="20"/>
              </w:rPr>
              <w:t>NIV v IC</w:t>
            </w:r>
          </w:p>
        </w:tc>
        <w:tc>
          <w:tcPr>
            <w:tcW w:w="969" w:type="dxa"/>
            <w:tcBorders>
              <w:left w:val="single" w:sz="4" w:space="0" w:color="auto"/>
            </w:tcBorders>
            <w:vAlign w:val="center"/>
          </w:tcPr>
          <w:p w:rsidR="00235BB0" w:rsidRPr="00A84A0B" w:rsidRDefault="00235BB0" w:rsidP="005939DA">
            <w:pPr>
              <w:jc w:val="center"/>
              <w:rPr>
                <w:rFonts w:ascii="Arial Narrow" w:hAnsi="Arial Narrow"/>
                <w:sz w:val="20"/>
              </w:rPr>
            </w:pPr>
            <w:r w:rsidRPr="00A84A0B">
              <w:rPr>
                <w:rFonts w:ascii="Arial Narrow" w:hAnsi="Arial Narrow"/>
                <w:sz w:val="20"/>
              </w:rPr>
              <w:t>405 (63.5)</w:t>
            </w:r>
          </w:p>
        </w:tc>
        <w:tc>
          <w:tcPr>
            <w:tcW w:w="1272" w:type="dxa"/>
            <w:vAlign w:val="center"/>
          </w:tcPr>
          <w:p w:rsidR="00235BB0" w:rsidRPr="00A84A0B" w:rsidRDefault="00653F4E" w:rsidP="005939DA">
            <w:pPr>
              <w:jc w:val="center"/>
              <w:rPr>
                <w:rFonts w:ascii="Arial Narrow" w:hAnsi="Arial Narrow"/>
                <w:sz w:val="20"/>
              </w:rPr>
            </w:pPr>
            <w:r>
              <w:rPr>
                <w:rFonts w:ascii="Arial Narrow" w:hAnsi="Arial Narrow"/>
                <w:noProof/>
                <w:color w:val="000000"/>
                <w:sz w:val="20"/>
                <w:highlight w:val="black"/>
              </w:rPr>
              <w:t>''''''''''</w:t>
            </w:r>
            <w:r w:rsidR="00235BB0" w:rsidRPr="00A84A0B">
              <w:rPr>
                <w:rFonts w:ascii="Arial Narrow" w:hAnsi="Arial Narrow"/>
                <w:sz w:val="20"/>
              </w:rPr>
              <w:t xml:space="preserve"> (</w:t>
            </w:r>
            <w:r>
              <w:rPr>
                <w:rFonts w:ascii="Arial Narrow" w:hAnsi="Arial Narrow"/>
                <w:noProof/>
                <w:color w:val="000000"/>
                <w:sz w:val="20"/>
                <w:highlight w:val="black"/>
              </w:rPr>
              <w:t>''''''''''</w:t>
            </w:r>
            <w:r w:rsidR="00235BB0" w:rsidRPr="00A84A0B">
              <w:rPr>
                <w:rFonts w:ascii="Arial Narrow" w:hAnsi="Arial Narrow"/>
                <w:sz w:val="20"/>
              </w:rPr>
              <w:t xml:space="preserve">, </w:t>
            </w:r>
            <w:r>
              <w:rPr>
                <w:rFonts w:ascii="Arial Narrow" w:hAnsi="Arial Narrow"/>
                <w:noProof/>
                <w:color w:val="000000"/>
                <w:sz w:val="20"/>
                <w:highlight w:val="black"/>
              </w:rPr>
              <w:t>''''''''''</w:t>
            </w:r>
            <w:r w:rsidR="00235BB0" w:rsidRPr="00A84A0B">
              <w:rPr>
                <w:rFonts w:ascii="Arial Narrow" w:hAnsi="Arial Narrow"/>
                <w:sz w:val="20"/>
              </w:rPr>
              <w:t>)</w:t>
            </w:r>
          </w:p>
        </w:tc>
        <w:tc>
          <w:tcPr>
            <w:tcW w:w="1272" w:type="dxa"/>
            <w:vAlign w:val="center"/>
          </w:tcPr>
          <w:p w:rsidR="00235BB0" w:rsidRPr="00A84A0B" w:rsidRDefault="00653F4E" w:rsidP="005939DA">
            <w:pPr>
              <w:jc w:val="center"/>
              <w:rPr>
                <w:rFonts w:ascii="Arial Narrow" w:hAnsi="Arial Narrow"/>
                <w:sz w:val="20"/>
              </w:rPr>
            </w:pPr>
            <w:r>
              <w:rPr>
                <w:rFonts w:ascii="Arial Narrow" w:hAnsi="Arial Narrow"/>
                <w:b/>
                <w:noProof/>
                <w:color w:val="000000"/>
                <w:sz w:val="20"/>
                <w:highlight w:val="black"/>
              </w:rPr>
              <w:t>'''''''''</w:t>
            </w:r>
            <w:r w:rsidR="00235BB0" w:rsidRPr="00A84A0B">
              <w:rPr>
                <w:rFonts w:ascii="Arial Narrow" w:hAnsi="Arial Narrow"/>
                <w:b/>
                <w:sz w:val="20"/>
              </w:rPr>
              <w:t xml:space="preserve"> (</w:t>
            </w:r>
            <w:r>
              <w:rPr>
                <w:rFonts w:ascii="Arial Narrow" w:hAnsi="Arial Narrow"/>
                <w:b/>
                <w:noProof/>
                <w:color w:val="000000"/>
                <w:sz w:val="20"/>
                <w:highlight w:val="black"/>
              </w:rPr>
              <w:t>''''''''</w:t>
            </w:r>
            <w:r w:rsidR="00235BB0" w:rsidRPr="00A84A0B">
              <w:rPr>
                <w:rFonts w:ascii="Arial Narrow" w:hAnsi="Arial Narrow"/>
                <w:b/>
                <w:sz w:val="20"/>
              </w:rPr>
              <w:t xml:space="preserve">, </w:t>
            </w:r>
            <w:r>
              <w:rPr>
                <w:rFonts w:ascii="Arial Narrow" w:hAnsi="Arial Narrow"/>
                <w:b/>
                <w:noProof/>
                <w:color w:val="000000"/>
                <w:sz w:val="20"/>
                <w:highlight w:val="black"/>
              </w:rPr>
              <w:t>''''''''</w:t>
            </w:r>
            <w:r w:rsidR="00235BB0" w:rsidRPr="00A84A0B">
              <w:rPr>
                <w:rFonts w:ascii="Arial Narrow" w:hAnsi="Arial Narrow"/>
                <w:b/>
                <w:sz w:val="20"/>
              </w:rPr>
              <w:t>)</w:t>
            </w:r>
          </w:p>
        </w:tc>
        <w:tc>
          <w:tcPr>
            <w:tcW w:w="959" w:type="dxa"/>
            <w:vAlign w:val="center"/>
          </w:tcPr>
          <w:p w:rsidR="00235BB0" w:rsidRPr="00A84A0B" w:rsidRDefault="00235BB0" w:rsidP="005939DA">
            <w:pPr>
              <w:jc w:val="center"/>
              <w:rPr>
                <w:rFonts w:ascii="Arial Narrow" w:hAnsi="Arial Narrow"/>
                <w:b/>
                <w:sz w:val="20"/>
              </w:rPr>
            </w:pPr>
            <w:r w:rsidRPr="00A84A0B">
              <w:rPr>
                <w:rFonts w:ascii="Arial Narrow" w:hAnsi="Arial Narrow"/>
                <w:b/>
                <w:sz w:val="20"/>
              </w:rPr>
              <w:t>&lt;0.05</w:t>
            </w:r>
          </w:p>
        </w:tc>
      </w:tr>
      <w:tr w:rsidR="00235BB0" w:rsidRPr="00A84A0B" w:rsidTr="005939DA">
        <w:trPr>
          <w:trHeight w:val="340"/>
        </w:trPr>
        <w:tc>
          <w:tcPr>
            <w:tcW w:w="708" w:type="dxa"/>
          </w:tcPr>
          <w:p w:rsidR="00235BB0" w:rsidRPr="00A84A0B" w:rsidRDefault="00235BB0" w:rsidP="005939DA">
            <w:pPr>
              <w:rPr>
                <w:rFonts w:ascii="Arial Narrow" w:hAnsi="Arial Narrow"/>
                <w:sz w:val="20"/>
                <w:vertAlign w:val="superscript"/>
              </w:rPr>
            </w:pPr>
            <w:r w:rsidRPr="00A84A0B">
              <w:rPr>
                <w:rFonts w:ascii="Arial Narrow" w:hAnsi="Arial Narrow"/>
                <w:sz w:val="20"/>
              </w:rPr>
              <w:t>066</w:t>
            </w:r>
            <w:r w:rsidRPr="00A84A0B">
              <w:rPr>
                <w:rFonts w:ascii="Arial Narrow" w:hAnsi="Arial Narrow"/>
                <w:sz w:val="20"/>
                <w:vertAlign w:val="superscript"/>
              </w:rPr>
              <w:t>h</w:t>
            </w:r>
          </w:p>
        </w:tc>
        <w:tc>
          <w:tcPr>
            <w:tcW w:w="2119" w:type="dxa"/>
            <w:tcBorders>
              <w:right w:val="single" w:sz="4" w:space="0" w:color="auto"/>
            </w:tcBorders>
            <w:vAlign w:val="center"/>
          </w:tcPr>
          <w:p w:rsidR="00235BB0" w:rsidRPr="00A84A0B" w:rsidRDefault="00235BB0" w:rsidP="005939DA">
            <w:pPr>
              <w:jc w:val="center"/>
              <w:rPr>
                <w:rFonts w:ascii="Arial Narrow" w:hAnsi="Arial Narrow"/>
                <w:sz w:val="20"/>
              </w:rPr>
            </w:pPr>
            <w:r w:rsidRPr="00A84A0B">
              <w:rPr>
                <w:rFonts w:ascii="Arial Narrow" w:hAnsi="Arial Narrow"/>
                <w:sz w:val="20"/>
              </w:rPr>
              <w:t>Melanoma (1L)</w:t>
            </w:r>
          </w:p>
        </w:tc>
        <w:tc>
          <w:tcPr>
            <w:tcW w:w="1013" w:type="dxa"/>
            <w:tcBorders>
              <w:left w:val="single" w:sz="4" w:space="0" w:color="auto"/>
            </w:tcBorders>
            <w:vAlign w:val="center"/>
          </w:tcPr>
          <w:p w:rsidR="00235BB0" w:rsidRPr="00A84A0B" w:rsidRDefault="00235BB0" w:rsidP="005939DA">
            <w:pPr>
              <w:jc w:val="center"/>
              <w:rPr>
                <w:rFonts w:ascii="Arial Narrow" w:hAnsi="Arial Narrow"/>
                <w:sz w:val="20"/>
              </w:rPr>
            </w:pPr>
            <w:r w:rsidRPr="00A84A0B">
              <w:rPr>
                <w:rFonts w:ascii="Arial Narrow" w:hAnsi="Arial Narrow"/>
                <w:sz w:val="20"/>
              </w:rPr>
              <w:t>NIV v DAC</w:t>
            </w:r>
          </w:p>
        </w:tc>
        <w:tc>
          <w:tcPr>
            <w:tcW w:w="969" w:type="dxa"/>
            <w:tcBorders>
              <w:left w:val="single" w:sz="4" w:space="0" w:color="auto"/>
            </w:tcBorders>
            <w:vAlign w:val="center"/>
          </w:tcPr>
          <w:p w:rsidR="00235BB0" w:rsidRPr="00A84A0B" w:rsidRDefault="00235BB0" w:rsidP="005939DA">
            <w:pPr>
              <w:jc w:val="center"/>
              <w:rPr>
                <w:rFonts w:ascii="Arial Narrow" w:hAnsi="Arial Narrow"/>
                <w:sz w:val="20"/>
              </w:rPr>
            </w:pPr>
            <w:r w:rsidRPr="00A84A0B">
              <w:rPr>
                <w:rFonts w:ascii="Arial Narrow" w:hAnsi="Arial Narrow"/>
                <w:sz w:val="20"/>
              </w:rPr>
              <w:t>418 (47.8)</w:t>
            </w:r>
          </w:p>
        </w:tc>
        <w:tc>
          <w:tcPr>
            <w:tcW w:w="1272" w:type="dxa"/>
            <w:vAlign w:val="center"/>
          </w:tcPr>
          <w:p w:rsidR="00235BB0" w:rsidRPr="00A84A0B" w:rsidRDefault="00653F4E" w:rsidP="005939DA">
            <w:pPr>
              <w:jc w:val="center"/>
              <w:rPr>
                <w:rFonts w:ascii="Arial Narrow" w:hAnsi="Arial Narrow"/>
                <w:b/>
                <w:sz w:val="20"/>
              </w:rPr>
            </w:pPr>
            <w:r>
              <w:rPr>
                <w:rFonts w:ascii="Arial Narrow" w:hAnsi="Arial Narrow"/>
                <w:b/>
                <w:noProof/>
                <w:color w:val="000000"/>
                <w:sz w:val="20"/>
                <w:highlight w:val="black"/>
              </w:rPr>
              <w:t>'''''''''</w:t>
            </w:r>
            <w:r w:rsidR="00235BB0" w:rsidRPr="00A84A0B">
              <w:rPr>
                <w:rFonts w:ascii="Arial Narrow" w:hAnsi="Arial Narrow"/>
                <w:b/>
                <w:sz w:val="20"/>
              </w:rPr>
              <w:t xml:space="preserve"> (</w:t>
            </w:r>
            <w:r>
              <w:rPr>
                <w:rFonts w:ascii="Arial Narrow" w:hAnsi="Arial Narrow"/>
                <w:b/>
                <w:noProof/>
                <w:color w:val="000000"/>
                <w:sz w:val="20"/>
                <w:highlight w:val="black"/>
              </w:rPr>
              <w:t>''''''''''</w:t>
            </w:r>
            <w:r w:rsidR="00235BB0" w:rsidRPr="00A84A0B">
              <w:rPr>
                <w:rFonts w:ascii="Arial Narrow" w:hAnsi="Arial Narrow"/>
                <w:b/>
                <w:sz w:val="20"/>
              </w:rPr>
              <w:t xml:space="preserve">, </w:t>
            </w:r>
            <w:r>
              <w:rPr>
                <w:rFonts w:ascii="Arial Narrow" w:hAnsi="Arial Narrow"/>
                <w:b/>
                <w:noProof/>
                <w:color w:val="000000"/>
                <w:sz w:val="20"/>
                <w:highlight w:val="black"/>
              </w:rPr>
              <w:t>'''''''''</w:t>
            </w:r>
            <w:r w:rsidR="00235BB0" w:rsidRPr="00A84A0B">
              <w:rPr>
                <w:rFonts w:ascii="Arial Narrow" w:hAnsi="Arial Narrow"/>
                <w:b/>
                <w:sz w:val="20"/>
              </w:rPr>
              <w:t>)</w:t>
            </w:r>
          </w:p>
        </w:tc>
        <w:tc>
          <w:tcPr>
            <w:tcW w:w="1272" w:type="dxa"/>
            <w:vAlign w:val="center"/>
          </w:tcPr>
          <w:p w:rsidR="00235BB0" w:rsidRPr="00A84A0B" w:rsidRDefault="00235BB0" w:rsidP="005939DA">
            <w:pPr>
              <w:jc w:val="center"/>
              <w:rPr>
                <w:rFonts w:ascii="Arial Narrow" w:hAnsi="Arial Narrow"/>
                <w:sz w:val="20"/>
              </w:rPr>
            </w:pPr>
            <w:r w:rsidRPr="00A84A0B">
              <w:rPr>
                <w:rFonts w:ascii="Arial Narrow" w:hAnsi="Arial Narrow"/>
                <w:sz w:val="20"/>
              </w:rPr>
              <w:t>NR</w:t>
            </w:r>
          </w:p>
        </w:tc>
        <w:tc>
          <w:tcPr>
            <w:tcW w:w="959" w:type="dxa"/>
            <w:vAlign w:val="center"/>
          </w:tcPr>
          <w:p w:rsidR="00235BB0" w:rsidRPr="00A84A0B" w:rsidRDefault="00235BB0" w:rsidP="005939DA">
            <w:pPr>
              <w:jc w:val="center"/>
              <w:rPr>
                <w:rFonts w:ascii="Arial Narrow" w:hAnsi="Arial Narrow"/>
                <w:sz w:val="20"/>
              </w:rPr>
            </w:pPr>
            <w:r w:rsidRPr="00A84A0B">
              <w:rPr>
                <w:rFonts w:ascii="Arial Narrow" w:hAnsi="Arial Narrow"/>
                <w:sz w:val="20"/>
              </w:rPr>
              <w:t>NE</w:t>
            </w:r>
          </w:p>
        </w:tc>
      </w:tr>
      <w:tr w:rsidR="00235BB0" w:rsidRPr="00A84A0B" w:rsidTr="005939DA">
        <w:trPr>
          <w:trHeight w:val="340"/>
        </w:trPr>
        <w:tc>
          <w:tcPr>
            <w:tcW w:w="708" w:type="dxa"/>
            <w:vMerge w:val="restart"/>
            <w:vAlign w:val="center"/>
          </w:tcPr>
          <w:p w:rsidR="00235BB0" w:rsidRPr="00A84A0B" w:rsidRDefault="00235BB0" w:rsidP="005939DA">
            <w:pPr>
              <w:rPr>
                <w:rFonts w:ascii="Arial Narrow" w:hAnsi="Arial Narrow"/>
                <w:sz w:val="20"/>
                <w:vertAlign w:val="superscript"/>
              </w:rPr>
            </w:pPr>
            <w:r w:rsidRPr="00A84A0B">
              <w:rPr>
                <w:rFonts w:ascii="Arial Narrow" w:hAnsi="Arial Narrow"/>
                <w:sz w:val="20"/>
              </w:rPr>
              <w:t>KN-006</w:t>
            </w:r>
            <w:r w:rsidRPr="00A84A0B">
              <w:rPr>
                <w:rFonts w:ascii="Arial Narrow" w:hAnsi="Arial Narrow"/>
                <w:sz w:val="20"/>
                <w:vertAlign w:val="superscript"/>
              </w:rPr>
              <w:t>i</w:t>
            </w:r>
          </w:p>
        </w:tc>
        <w:tc>
          <w:tcPr>
            <w:tcW w:w="2119" w:type="dxa"/>
            <w:vMerge w:val="restart"/>
            <w:tcBorders>
              <w:right w:val="single" w:sz="4" w:space="0" w:color="auto"/>
            </w:tcBorders>
            <w:vAlign w:val="center"/>
          </w:tcPr>
          <w:p w:rsidR="00235BB0" w:rsidRPr="00A84A0B" w:rsidRDefault="00235BB0" w:rsidP="005939DA">
            <w:pPr>
              <w:jc w:val="center"/>
              <w:rPr>
                <w:rFonts w:ascii="Arial Narrow" w:hAnsi="Arial Narrow"/>
                <w:sz w:val="20"/>
              </w:rPr>
            </w:pPr>
            <w:r w:rsidRPr="00A84A0B">
              <w:rPr>
                <w:rFonts w:ascii="Arial Narrow" w:hAnsi="Arial Narrow"/>
                <w:sz w:val="20"/>
              </w:rPr>
              <w:t xml:space="preserve">Melanoma </w:t>
            </w:r>
          </w:p>
          <w:p w:rsidR="00235BB0" w:rsidRPr="00A84A0B" w:rsidRDefault="00235BB0" w:rsidP="005939DA">
            <w:pPr>
              <w:jc w:val="center"/>
              <w:rPr>
                <w:rFonts w:ascii="Arial Narrow" w:hAnsi="Arial Narrow"/>
                <w:sz w:val="20"/>
              </w:rPr>
            </w:pPr>
            <w:r w:rsidRPr="00A84A0B">
              <w:rPr>
                <w:rFonts w:ascii="Arial Narrow" w:hAnsi="Arial Narrow"/>
                <w:sz w:val="20"/>
              </w:rPr>
              <w:t>(1L and 2L)</w:t>
            </w:r>
          </w:p>
        </w:tc>
        <w:tc>
          <w:tcPr>
            <w:tcW w:w="1013" w:type="dxa"/>
            <w:vMerge w:val="restart"/>
            <w:tcBorders>
              <w:left w:val="single" w:sz="4" w:space="0" w:color="auto"/>
            </w:tcBorders>
            <w:vAlign w:val="center"/>
          </w:tcPr>
          <w:p w:rsidR="00235BB0" w:rsidRPr="00A84A0B" w:rsidRDefault="00235BB0" w:rsidP="005939DA">
            <w:pPr>
              <w:jc w:val="center"/>
              <w:rPr>
                <w:rFonts w:ascii="Arial Narrow" w:hAnsi="Arial Narrow"/>
                <w:sz w:val="20"/>
              </w:rPr>
            </w:pPr>
            <w:r w:rsidRPr="00A84A0B">
              <w:rPr>
                <w:rFonts w:ascii="Arial Narrow" w:hAnsi="Arial Narrow"/>
                <w:sz w:val="20"/>
              </w:rPr>
              <w:t>PEM v IPI</w:t>
            </w:r>
          </w:p>
        </w:tc>
        <w:tc>
          <w:tcPr>
            <w:tcW w:w="969" w:type="dxa"/>
            <w:vMerge w:val="restart"/>
            <w:tcBorders>
              <w:left w:val="single" w:sz="4" w:space="0" w:color="auto"/>
            </w:tcBorders>
            <w:vAlign w:val="center"/>
          </w:tcPr>
          <w:p w:rsidR="00235BB0" w:rsidRPr="00A84A0B" w:rsidRDefault="00235BB0" w:rsidP="005939DA">
            <w:pPr>
              <w:jc w:val="center"/>
              <w:rPr>
                <w:rFonts w:ascii="Arial Narrow" w:hAnsi="Arial Narrow"/>
                <w:sz w:val="20"/>
              </w:rPr>
            </w:pPr>
            <w:r w:rsidRPr="00A84A0B">
              <w:rPr>
                <w:rFonts w:ascii="Arial Narrow" w:hAnsi="Arial Narrow"/>
                <w:sz w:val="20"/>
              </w:rPr>
              <w:t>811 (NR)</w:t>
            </w:r>
          </w:p>
        </w:tc>
        <w:tc>
          <w:tcPr>
            <w:tcW w:w="1272" w:type="dxa"/>
            <w:vAlign w:val="center"/>
          </w:tcPr>
          <w:p w:rsidR="00235BB0" w:rsidRPr="00A84A0B" w:rsidRDefault="00653F4E" w:rsidP="005939DA">
            <w:pPr>
              <w:jc w:val="center"/>
              <w:rPr>
                <w:rFonts w:ascii="Arial Narrow" w:hAnsi="Arial Narrow"/>
                <w:b/>
                <w:sz w:val="20"/>
              </w:rPr>
            </w:pPr>
            <w:r>
              <w:rPr>
                <w:rFonts w:ascii="Arial Narrow" w:hAnsi="Arial Narrow"/>
                <w:b/>
                <w:noProof/>
                <w:color w:val="000000"/>
                <w:sz w:val="20"/>
                <w:highlight w:val="black"/>
              </w:rPr>
              <w:t>'''''''''</w:t>
            </w:r>
            <w:r w:rsidR="00235BB0" w:rsidRPr="00A84A0B">
              <w:rPr>
                <w:rFonts w:ascii="Arial Narrow" w:hAnsi="Arial Narrow"/>
                <w:b/>
                <w:sz w:val="20"/>
              </w:rPr>
              <w:t xml:space="preserve"> (</w:t>
            </w:r>
            <w:r>
              <w:rPr>
                <w:rFonts w:ascii="Arial Narrow" w:hAnsi="Arial Narrow"/>
                <w:b/>
                <w:noProof/>
                <w:color w:val="000000"/>
                <w:sz w:val="20"/>
                <w:highlight w:val="black"/>
              </w:rPr>
              <w:t>'''''''''</w:t>
            </w:r>
            <w:r w:rsidR="00235BB0" w:rsidRPr="00A84A0B">
              <w:rPr>
                <w:rFonts w:ascii="Arial Narrow" w:hAnsi="Arial Narrow"/>
                <w:b/>
                <w:sz w:val="20"/>
              </w:rPr>
              <w:t xml:space="preserve">, </w:t>
            </w:r>
            <w:r>
              <w:rPr>
                <w:rFonts w:ascii="Arial Narrow" w:hAnsi="Arial Narrow"/>
                <w:b/>
                <w:noProof/>
                <w:color w:val="000000"/>
                <w:sz w:val="20"/>
                <w:highlight w:val="black"/>
              </w:rPr>
              <w:t>'''''''''</w:t>
            </w:r>
            <w:r w:rsidR="00235BB0" w:rsidRPr="00A84A0B">
              <w:rPr>
                <w:rFonts w:ascii="Arial Narrow" w:hAnsi="Arial Narrow"/>
                <w:b/>
                <w:sz w:val="20"/>
              </w:rPr>
              <w:t>)</w:t>
            </w:r>
          </w:p>
        </w:tc>
        <w:tc>
          <w:tcPr>
            <w:tcW w:w="1272" w:type="dxa"/>
            <w:vAlign w:val="center"/>
          </w:tcPr>
          <w:p w:rsidR="00235BB0" w:rsidRPr="00A84A0B" w:rsidRDefault="00653F4E" w:rsidP="005939DA">
            <w:pPr>
              <w:jc w:val="center"/>
              <w:rPr>
                <w:rFonts w:ascii="Arial Narrow" w:hAnsi="Arial Narrow"/>
                <w:sz w:val="20"/>
              </w:rPr>
            </w:pPr>
            <w:r>
              <w:rPr>
                <w:rFonts w:ascii="Arial Narrow" w:hAnsi="Arial Narrow"/>
                <w:b/>
                <w:noProof/>
                <w:color w:val="000000"/>
                <w:sz w:val="20"/>
                <w:highlight w:val="black"/>
              </w:rPr>
              <w:t>'''''''''</w:t>
            </w:r>
            <w:r w:rsidR="00235BB0" w:rsidRPr="00A84A0B">
              <w:rPr>
                <w:rFonts w:ascii="Arial Narrow" w:hAnsi="Arial Narrow"/>
                <w:b/>
                <w:sz w:val="20"/>
              </w:rPr>
              <w:t xml:space="preserve"> (</w:t>
            </w:r>
            <w:r>
              <w:rPr>
                <w:rFonts w:ascii="Arial Narrow" w:hAnsi="Arial Narrow"/>
                <w:b/>
                <w:noProof/>
                <w:color w:val="000000"/>
                <w:sz w:val="20"/>
                <w:highlight w:val="black"/>
              </w:rPr>
              <w:t>'''''''''</w:t>
            </w:r>
            <w:r w:rsidR="00235BB0" w:rsidRPr="00A84A0B">
              <w:rPr>
                <w:rFonts w:ascii="Arial Narrow" w:hAnsi="Arial Narrow"/>
                <w:b/>
                <w:sz w:val="20"/>
              </w:rPr>
              <w:t xml:space="preserve">, </w:t>
            </w:r>
            <w:r>
              <w:rPr>
                <w:rFonts w:ascii="Arial Narrow" w:hAnsi="Arial Narrow"/>
                <w:b/>
                <w:noProof/>
                <w:color w:val="000000"/>
                <w:sz w:val="20"/>
                <w:highlight w:val="black"/>
              </w:rPr>
              <w:t>''''''''</w:t>
            </w:r>
            <w:r w:rsidR="00235BB0" w:rsidRPr="00A84A0B">
              <w:rPr>
                <w:rFonts w:ascii="Arial Narrow" w:hAnsi="Arial Narrow"/>
                <w:b/>
                <w:sz w:val="20"/>
              </w:rPr>
              <w:t>)</w:t>
            </w:r>
          </w:p>
        </w:tc>
        <w:tc>
          <w:tcPr>
            <w:tcW w:w="959" w:type="dxa"/>
            <w:vAlign w:val="center"/>
          </w:tcPr>
          <w:p w:rsidR="00235BB0" w:rsidRPr="00A84A0B" w:rsidRDefault="00235BB0" w:rsidP="005939DA">
            <w:pPr>
              <w:jc w:val="center"/>
              <w:rPr>
                <w:rFonts w:ascii="Arial Narrow" w:hAnsi="Arial Narrow"/>
                <w:sz w:val="20"/>
              </w:rPr>
            </w:pPr>
            <w:r w:rsidRPr="00A84A0B">
              <w:rPr>
                <w:rFonts w:ascii="Arial Narrow" w:hAnsi="Arial Narrow"/>
                <w:sz w:val="20"/>
              </w:rPr>
              <w:t>NS</w:t>
            </w:r>
          </w:p>
        </w:tc>
      </w:tr>
      <w:tr w:rsidR="00235BB0" w:rsidRPr="00A84A0B" w:rsidTr="005939DA">
        <w:trPr>
          <w:trHeight w:val="340"/>
        </w:trPr>
        <w:tc>
          <w:tcPr>
            <w:tcW w:w="708" w:type="dxa"/>
            <w:vMerge/>
            <w:vAlign w:val="center"/>
          </w:tcPr>
          <w:p w:rsidR="00235BB0" w:rsidRPr="00A84A0B" w:rsidRDefault="00235BB0" w:rsidP="005939DA">
            <w:pPr>
              <w:rPr>
                <w:rFonts w:ascii="Arial Narrow" w:hAnsi="Arial Narrow"/>
                <w:sz w:val="20"/>
              </w:rPr>
            </w:pPr>
          </w:p>
        </w:tc>
        <w:tc>
          <w:tcPr>
            <w:tcW w:w="2119" w:type="dxa"/>
            <w:vMerge/>
            <w:tcBorders>
              <w:right w:val="single" w:sz="4" w:space="0" w:color="auto"/>
            </w:tcBorders>
            <w:vAlign w:val="center"/>
          </w:tcPr>
          <w:p w:rsidR="00235BB0" w:rsidRPr="00A84A0B" w:rsidRDefault="00235BB0" w:rsidP="005939DA">
            <w:pPr>
              <w:jc w:val="center"/>
              <w:rPr>
                <w:rFonts w:ascii="Arial Narrow" w:hAnsi="Arial Narrow"/>
                <w:sz w:val="20"/>
              </w:rPr>
            </w:pPr>
          </w:p>
        </w:tc>
        <w:tc>
          <w:tcPr>
            <w:tcW w:w="1013" w:type="dxa"/>
            <w:vMerge/>
            <w:tcBorders>
              <w:left w:val="single" w:sz="4" w:space="0" w:color="auto"/>
            </w:tcBorders>
            <w:vAlign w:val="center"/>
          </w:tcPr>
          <w:p w:rsidR="00235BB0" w:rsidRPr="00A84A0B" w:rsidRDefault="00235BB0" w:rsidP="005939DA">
            <w:pPr>
              <w:jc w:val="center"/>
              <w:rPr>
                <w:rFonts w:ascii="Arial Narrow" w:hAnsi="Arial Narrow"/>
                <w:sz w:val="20"/>
              </w:rPr>
            </w:pPr>
          </w:p>
        </w:tc>
        <w:tc>
          <w:tcPr>
            <w:tcW w:w="969" w:type="dxa"/>
            <w:vMerge/>
            <w:tcBorders>
              <w:left w:val="single" w:sz="4" w:space="0" w:color="auto"/>
            </w:tcBorders>
            <w:vAlign w:val="center"/>
          </w:tcPr>
          <w:p w:rsidR="00235BB0" w:rsidRPr="00A84A0B" w:rsidRDefault="00235BB0" w:rsidP="005939DA">
            <w:pPr>
              <w:jc w:val="center"/>
              <w:rPr>
                <w:rFonts w:ascii="Arial Narrow" w:hAnsi="Arial Narrow"/>
                <w:sz w:val="20"/>
              </w:rPr>
            </w:pPr>
          </w:p>
        </w:tc>
        <w:tc>
          <w:tcPr>
            <w:tcW w:w="1272" w:type="dxa"/>
            <w:vAlign w:val="center"/>
          </w:tcPr>
          <w:p w:rsidR="00235BB0" w:rsidRPr="00A84A0B" w:rsidRDefault="00653F4E" w:rsidP="005939DA">
            <w:pPr>
              <w:jc w:val="center"/>
              <w:rPr>
                <w:rFonts w:ascii="Arial Narrow" w:hAnsi="Arial Narrow"/>
                <w:sz w:val="20"/>
              </w:rPr>
            </w:pPr>
            <w:r>
              <w:rPr>
                <w:rFonts w:ascii="Arial Narrow" w:hAnsi="Arial Narrow"/>
                <w:noProof/>
                <w:color w:val="000000"/>
                <w:sz w:val="20"/>
                <w:highlight w:val="black"/>
              </w:rPr>
              <w:t>'''''''''''</w:t>
            </w:r>
            <w:r w:rsidR="00235BB0" w:rsidRPr="00A84A0B">
              <w:rPr>
                <w:rFonts w:ascii="Arial Narrow" w:hAnsi="Arial Narrow"/>
                <w:sz w:val="20"/>
              </w:rPr>
              <w:t xml:space="preserve"> (</w:t>
            </w:r>
            <w:r>
              <w:rPr>
                <w:rFonts w:ascii="Arial Narrow" w:hAnsi="Arial Narrow"/>
                <w:noProof/>
                <w:color w:val="000000"/>
                <w:sz w:val="20"/>
                <w:highlight w:val="black"/>
              </w:rPr>
              <w:t>''''''''''</w:t>
            </w:r>
            <w:r w:rsidR="00235BB0" w:rsidRPr="00A84A0B">
              <w:rPr>
                <w:rFonts w:ascii="Arial Narrow" w:hAnsi="Arial Narrow"/>
                <w:sz w:val="20"/>
              </w:rPr>
              <w:t xml:space="preserve">, </w:t>
            </w:r>
            <w:r>
              <w:rPr>
                <w:rFonts w:ascii="Arial Narrow" w:hAnsi="Arial Narrow"/>
                <w:noProof/>
                <w:color w:val="000000"/>
                <w:sz w:val="20"/>
                <w:highlight w:val="black"/>
              </w:rPr>
              <w:t>'''''''''''</w:t>
            </w:r>
            <w:r w:rsidR="00235BB0" w:rsidRPr="00A84A0B">
              <w:rPr>
                <w:rFonts w:ascii="Arial Narrow" w:hAnsi="Arial Narrow"/>
                <w:sz w:val="20"/>
              </w:rPr>
              <w:t>)</w:t>
            </w:r>
          </w:p>
        </w:tc>
        <w:tc>
          <w:tcPr>
            <w:tcW w:w="1272" w:type="dxa"/>
            <w:vAlign w:val="center"/>
          </w:tcPr>
          <w:p w:rsidR="00235BB0" w:rsidRPr="00A84A0B" w:rsidRDefault="00653F4E" w:rsidP="005939DA">
            <w:pPr>
              <w:jc w:val="center"/>
              <w:rPr>
                <w:rFonts w:ascii="Arial Narrow" w:hAnsi="Arial Narrow"/>
                <w:sz w:val="20"/>
              </w:rPr>
            </w:pPr>
            <w:r>
              <w:rPr>
                <w:rFonts w:ascii="Arial Narrow" w:hAnsi="Arial Narrow"/>
                <w:noProof/>
                <w:color w:val="000000"/>
                <w:sz w:val="20"/>
                <w:highlight w:val="black"/>
              </w:rPr>
              <w:t>'''''''''''</w:t>
            </w:r>
            <w:r w:rsidR="00235BB0" w:rsidRPr="00A84A0B">
              <w:rPr>
                <w:rFonts w:ascii="Arial Narrow" w:hAnsi="Arial Narrow"/>
                <w:sz w:val="20"/>
              </w:rPr>
              <w:t xml:space="preserve"> (</w:t>
            </w:r>
            <w:r>
              <w:rPr>
                <w:rFonts w:ascii="Arial Narrow" w:hAnsi="Arial Narrow"/>
                <w:noProof/>
                <w:color w:val="000000"/>
                <w:sz w:val="20"/>
                <w:highlight w:val="black"/>
              </w:rPr>
              <w:t>'''''''''''</w:t>
            </w:r>
            <w:r w:rsidR="00235BB0" w:rsidRPr="00A84A0B">
              <w:rPr>
                <w:rFonts w:ascii="Arial Narrow" w:hAnsi="Arial Narrow"/>
                <w:sz w:val="20"/>
              </w:rPr>
              <w:t xml:space="preserve">, </w:t>
            </w:r>
            <w:r>
              <w:rPr>
                <w:rFonts w:ascii="Arial Narrow" w:hAnsi="Arial Narrow"/>
                <w:noProof/>
                <w:color w:val="000000"/>
                <w:sz w:val="20"/>
                <w:highlight w:val="black"/>
              </w:rPr>
              <w:t>''''''''''</w:t>
            </w:r>
            <w:r w:rsidR="00235BB0" w:rsidRPr="00A84A0B">
              <w:rPr>
                <w:rFonts w:ascii="Arial Narrow" w:hAnsi="Arial Narrow"/>
                <w:sz w:val="20"/>
              </w:rPr>
              <w:t>)</w:t>
            </w:r>
          </w:p>
        </w:tc>
        <w:tc>
          <w:tcPr>
            <w:tcW w:w="959" w:type="dxa"/>
            <w:vAlign w:val="center"/>
          </w:tcPr>
          <w:p w:rsidR="00235BB0" w:rsidRPr="00A84A0B" w:rsidRDefault="00235BB0" w:rsidP="005939DA">
            <w:pPr>
              <w:jc w:val="center"/>
              <w:rPr>
                <w:rFonts w:ascii="Arial Narrow" w:hAnsi="Arial Narrow"/>
                <w:sz w:val="20"/>
              </w:rPr>
            </w:pPr>
            <w:r w:rsidRPr="00A84A0B">
              <w:rPr>
                <w:rFonts w:ascii="Arial Narrow" w:hAnsi="Arial Narrow"/>
                <w:sz w:val="20"/>
              </w:rPr>
              <w:t>NS</w:t>
            </w:r>
          </w:p>
        </w:tc>
      </w:tr>
      <w:tr w:rsidR="00235BB0" w:rsidRPr="00A84A0B" w:rsidTr="005939DA">
        <w:trPr>
          <w:trHeight w:val="340"/>
        </w:trPr>
        <w:tc>
          <w:tcPr>
            <w:tcW w:w="708" w:type="dxa"/>
          </w:tcPr>
          <w:p w:rsidR="00235BB0" w:rsidRPr="00A84A0B" w:rsidRDefault="00235BB0" w:rsidP="005939DA">
            <w:pPr>
              <w:rPr>
                <w:rFonts w:ascii="Arial Narrow" w:hAnsi="Arial Narrow"/>
                <w:sz w:val="20"/>
                <w:vertAlign w:val="superscript"/>
              </w:rPr>
            </w:pPr>
            <w:r w:rsidRPr="00A84A0B">
              <w:rPr>
                <w:rFonts w:ascii="Arial Narrow" w:hAnsi="Arial Narrow"/>
                <w:sz w:val="20"/>
              </w:rPr>
              <w:t>025</w:t>
            </w:r>
            <w:r w:rsidRPr="00A84A0B">
              <w:rPr>
                <w:rFonts w:ascii="Arial Narrow" w:hAnsi="Arial Narrow"/>
                <w:sz w:val="20"/>
                <w:vertAlign w:val="superscript"/>
              </w:rPr>
              <w:t>j</w:t>
            </w:r>
          </w:p>
        </w:tc>
        <w:tc>
          <w:tcPr>
            <w:tcW w:w="2119" w:type="dxa"/>
            <w:tcBorders>
              <w:right w:val="single" w:sz="4" w:space="0" w:color="auto"/>
            </w:tcBorders>
            <w:vAlign w:val="center"/>
          </w:tcPr>
          <w:p w:rsidR="00235BB0" w:rsidRPr="00A84A0B" w:rsidRDefault="00235BB0" w:rsidP="005939DA">
            <w:pPr>
              <w:jc w:val="center"/>
              <w:rPr>
                <w:rFonts w:ascii="Arial Narrow" w:hAnsi="Arial Narrow"/>
                <w:sz w:val="20"/>
                <w:vertAlign w:val="superscript"/>
              </w:rPr>
            </w:pPr>
            <w:r w:rsidRPr="00A84A0B">
              <w:rPr>
                <w:rFonts w:ascii="Arial Narrow" w:hAnsi="Arial Narrow"/>
                <w:sz w:val="20"/>
              </w:rPr>
              <w:t>AMCCRCC</w:t>
            </w:r>
            <w:r w:rsidRPr="00A84A0B">
              <w:rPr>
                <w:rFonts w:ascii="Arial Narrow" w:hAnsi="Arial Narrow"/>
                <w:sz w:val="20"/>
                <w:vertAlign w:val="superscript"/>
              </w:rPr>
              <w:t xml:space="preserve"> </w:t>
            </w:r>
            <w:r w:rsidRPr="00A84A0B">
              <w:rPr>
                <w:rFonts w:ascii="Arial Narrow" w:hAnsi="Arial Narrow"/>
                <w:sz w:val="20"/>
              </w:rPr>
              <w:t>(2L)</w:t>
            </w:r>
          </w:p>
        </w:tc>
        <w:tc>
          <w:tcPr>
            <w:tcW w:w="1013" w:type="dxa"/>
            <w:tcBorders>
              <w:left w:val="single" w:sz="4" w:space="0" w:color="auto"/>
            </w:tcBorders>
            <w:vAlign w:val="center"/>
          </w:tcPr>
          <w:p w:rsidR="00235BB0" w:rsidRPr="00A84A0B" w:rsidRDefault="00235BB0" w:rsidP="005939DA">
            <w:pPr>
              <w:jc w:val="center"/>
              <w:rPr>
                <w:rFonts w:ascii="Arial Narrow" w:hAnsi="Arial Narrow"/>
                <w:sz w:val="20"/>
              </w:rPr>
            </w:pPr>
            <w:r w:rsidRPr="00A84A0B">
              <w:rPr>
                <w:rFonts w:ascii="Arial Narrow" w:hAnsi="Arial Narrow"/>
                <w:sz w:val="20"/>
              </w:rPr>
              <w:t>NIV v EVE</w:t>
            </w:r>
          </w:p>
        </w:tc>
        <w:tc>
          <w:tcPr>
            <w:tcW w:w="969" w:type="dxa"/>
            <w:tcBorders>
              <w:left w:val="single" w:sz="4" w:space="0" w:color="auto"/>
            </w:tcBorders>
            <w:vAlign w:val="center"/>
          </w:tcPr>
          <w:p w:rsidR="00235BB0" w:rsidRPr="00A84A0B" w:rsidRDefault="00235BB0" w:rsidP="005939DA">
            <w:pPr>
              <w:jc w:val="center"/>
              <w:rPr>
                <w:rFonts w:ascii="Arial Narrow" w:hAnsi="Arial Narrow"/>
                <w:sz w:val="20"/>
              </w:rPr>
            </w:pPr>
            <w:r w:rsidRPr="00A84A0B">
              <w:rPr>
                <w:rFonts w:ascii="Arial Narrow" w:hAnsi="Arial Narrow"/>
                <w:sz w:val="20"/>
              </w:rPr>
              <w:t>821 (60.5)</w:t>
            </w:r>
          </w:p>
        </w:tc>
        <w:tc>
          <w:tcPr>
            <w:tcW w:w="1272" w:type="dxa"/>
            <w:vAlign w:val="center"/>
          </w:tcPr>
          <w:p w:rsidR="00235BB0" w:rsidRPr="00A84A0B" w:rsidRDefault="00653F4E" w:rsidP="005939DA">
            <w:pPr>
              <w:jc w:val="center"/>
              <w:rPr>
                <w:rFonts w:ascii="Arial Narrow" w:hAnsi="Arial Narrow"/>
                <w:sz w:val="20"/>
              </w:rPr>
            </w:pPr>
            <w:r>
              <w:rPr>
                <w:rFonts w:ascii="Arial Narrow" w:hAnsi="Arial Narrow"/>
                <w:noProof/>
                <w:color w:val="000000"/>
                <w:sz w:val="20"/>
                <w:highlight w:val="black"/>
              </w:rPr>
              <w:t>''''''''''</w:t>
            </w:r>
            <w:r w:rsidR="00235BB0" w:rsidRPr="00A84A0B">
              <w:rPr>
                <w:rFonts w:ascii="Arial Narrow" w:hAnsi="Arial Narrow"/>
                <w:sz w:val="20"/>
              </w:rPr>
              <w:t xml:space="preserve"> (</w:t>
            </w:r>
            <w:r>
              <w:rPr>
                <w:rFonts w:ascii="Arial Narrow" w:hAnsi="Arial Narrow"/>
                <w:noProof/>
                <w:color w:val="000000"/>
                <w:sz w:val="20"/>
                <w:highlight w:val="black"/>
              </w:rPr>
              <w:t>'''''''''''</w:t>
            </w:r>
            <w:r w:rsidR="00235BB0" w:rsidRPr="00A84A0B">
              <w:rPr>
                <w:rFonts w:ascii="Arial Narrow" w:hAnsi="Arial Narrow"/>
                <w:sz w:val="20"/>
              </w:rPr>
              <w:t xml:space="preserve">, </w:t>
            </w:r>
            <w:r>
              <w:rPr>
                <w:rFonts w:ascii="Arial Narrow" w:hAnsi="Arial Narrow"/>
                <w:noProof/>
                <w:color w:val="000000"/>
                <w:sz w:val="20"/>
                <w:highlight w:val="black"/>
              </w:rPr>
              <w:t>'''''''''''</w:t>
            </w:r>
            <w:r w:rsidR="00235BB0" w:rsidRPr="00A84A0B">
              <w:rPr>
                <w:rFonts w:ascii="Arial Narrow" w:hAnsi="Arial Narrow"/>
                <w:sz w:val="20"/>
              </w:rPr>
              <w:t>)</w:t>
            </w:r>
          </w:p>
        </w:tc>
        <w:tc>
          <w:tcPr>
            <w:tcW w:w="1272" w:type="dxa"/>
            <w:vAlign w:val="center"/>
          </w:tcPr>
          <w:p w:rsidR="00235BB0" w:rsidRPr="00A84A0B" w:rsidRDefault="00653F4E" w:rsidP="005939DA">
            <w:pPr>
              <w:jc w:val="center"/>
              <w:rPr>
                <w:rFonts w:ascii="Arial Narrow" w:hAnsi="Arial Narrow"/>
                <w:sz w:val="20"/>
              </w:rPr>
            </w:pPr>
            <w:r>
              <w:rPr>
                <w:rFonts w:ascii="Arial Narrow" w:hAnsi="Arial Narrow"/>
                <w:noProof/>
                <w:color w:val="000000"/>
                <w:sz w:val="20"/>
                <w:highlight w:val="black"/>
              </w:rPr>
              <w:t>''''''''''</w:t>
            </w:r>
            <w:r w:rsidR="00235BB0" w:rsidRPr="00A84A0B">
              <w:rPr>
                <w:rFonts w:ascii="Arial Narrow" w:hAnsi="Arial Narrow"/>
                <w:sz w:val="20"/>
              </w:rPr>
              <w:t xml:space="preserve"> (</w:t>
            </w:r>
            <w:r>
              <w:rPr>
                <w:rFonts w:ascii="Arial Narrow" w:hAnsi="Arial Narrow"/>
                <w:noProof/>
                <w:color w:val="000000"/>
                <w:sz w:val="20"/>
                <w:highlight w:val="black"/>
              </w:rPr>
              <w:t>''''''''''''</w:t>
            </w:r>
            <w:r w:rsidR="00235BB0" w:rsidRPr="00A84A0B">
              <w:rPr>
                <w:rFonts w:ascii="Arial Narrow" w:hAnsi="Arial Narrow"/>
                <w:sz w:val="20"/>
              </w:rPr>
              <w:t xml:space="preserve">, </w:t>
            </w:r>
            <w:r>
              <w:rPr>
                <w:rFonts w:ascii="Arial Narrow" w:hAnsi="Arial Narrow"/>
                <w:noProof/>
                <w:color w:val="000000"/>
                <w:sz w:val="20"/>
                <w:highlight w:val="black"/>
              </w:rPr>
              <w:t>''''''''''''</w:t>
            </w:r>
            <w:r w:rsidR="00235BB0" w:rsidRPr="00A84A0B">
              <w:rPr>
                <w:rFonts w:ascii="Arial Narrow" w:hAnsi="Arial Narrow"/>
                <w:sz w:val="20"/>
              </w:rPr>
              <w:t>)</w:t>
            </w:r>
          </w:p>
        </w:tc>
        <w:tc>
          <w:tcPr>
            <w:tcW w:w="959" w:type="dxa"/>
            <w:vAlign w:val="center"/>
          </w:tcPr>
          <w:p w:rsidR="00235BB0" w:rsidRPr="00A84A0B" w:rsidRDefault="00235BB0" w:rsidP="005939DA">
            <w:pPr>
              <w:jc w:val="center"/>
              <w:rPr>
                <w:rFonts w:ascii="Arial Narrow" w:hAnsi="Arial Narrow"/>
                <w:sz w:val="20"/>
              </w:rPr>
            </w:pPr>
            <w:r w:rsidRPr="00A84A0B">
              <w:rPr>
                <w:rFonts w:ascii="Arial Narrow" w:hAnsi="Arial Narrow"/>
                <w:sz w:val="20"/>
              </w:rPr>
              <w:t>NS</w:t>
            </w:r>
          </w:p>
        </w:tc>
      </w:tr>
      <w:tr w:rsidR="00235BB0" w:rsidRPr="00A84A0B" w:rsidTr="005939DA">
        <w:trPr>
          <w:trHeight w:val="340"/>
        </w:trPr>
        <w:tc>
          <w:tcPr>
            <w:tcW w:w="708" w:type="dxa"/>
          </w:tcPr>
          <w:p w:rsidR="00235BB0" w:rsidRPr="00A84A0B" w:rsidRDefault="00235BB0" w:rsidP="005939DA">
            <w:pPr>
              <w:rPr>
                <w:rFonts w:ascii="Arial Narrow" w:hAnsi="Arial Narrow"/>
                <w:sz w:val="20"/>
                <w:vertAlign w:val="superscript"/>
              </w:rPr>
            </w:pPr>
            <w:r w:rsidRPr="00A84A0B">
              <w:rPr>
                <w:rFonts w:ascii="Arial Narrow" w:hAnsi="Arial Narrow"/>
                <w:sz w:val="20"/>
              </w:rPr>
              <w:t>141</w:t>
            </w:r>
            <w:r w:rsidRPr="00A84A0B">
              <w:rPr>
                <w:rFonts w:ascii="Arial Narrow" w:hAnsi="Arial Narrow"/>
                <w:sz w:val="20"/>
                <w:vertAlign w:val="superscript"/>
              </w:rPr>
              <w:t>k</w:t>
            </w:r>
          </w:p>
        </w:tc>
        <w:tc>
          <w:tcPr>
            <w:tcW w:w="2119" w:type="dxa"/>
            <w:tcBorders>
              <w:right w:val="single" w:sz="4" w:space="0" w:color="auto"/>
            </w:tcBorders>
            <w:vAlign w:val="center"/>
          </w:tcPr>
          <w:p w:rsidR="00235BB0" w:rsidRPr="00A84A0B" w:rsidRDefault="00235BB0" w:rsidP="005939DA">
            <w:pPr>
              <w:jc w:val="center"/>
              <w:rPr>
                <w:rFonts w:ascii="Arial Narrow" w:hAnsi="Arial Narrow"/>
                <w:sz w:val="20"/>
              </w:rPr>
            </w:pPr>
            <w:r w:rsidRPr="00A84A0B">
              <w:rPr>
                <w:rFonts w:ascii="Arial Narrow" w:hAnsi="Arial Narrow"/>
                <w:sz w:val="20"/>
              </w:rPr>
              <w:t>RMSCCHN (2L)</w:t>
            </w:r>
          </w:p>
        </w:tc>
        <w:tc>
          <w:tcPr>
            <w:tcW w:w="1013" w:type="dxa"/>
            <w:tcBorders>
              <w:left w:val="single" w:sz="4" w:space="0" w:color="auto"/>
            </w:tcBorders>
            <w:vAlign w:val="center"/>
          </w:tcPr>
          <w:p w:rsidR="00235BB0" w:rsidRPr="00A84A0B" w:rsidRDefault="00235BB0" w:rsidP="005939DA">
            <w:pPr>
              <w:jc w:val="center"/>
              <w:rPr>
                <w:rFonts w:ascii="Arial Narrow" w:hAnsi="Arial Narrow"/>
                <w:sz w:val="20"/>
              </w:rPr>
            </w:pPr>
            <w:r w:rsidRPr="00A84A0B">
              <w:rPr>
                <w:rFonts w:ascii="Arial Narrow" w:hAnsi="Arial Narrow"/>
                <w:sz w:val="20"/>
              </w:rPr>
              <w:t>NIV v IC</w:t>
            </w:r>
          </w:p>
        </w:tc>
        <w:tc>
          <w:tcPr>
            <w:tcW w:w="969" w:type="dxa"/>
            <w:tcBorders>
              <w:left w:val="single" w:sz="4" w:space="0" w:color="auto"/>
            </w:tcBorders>
            <w:vAlign w:val="center"/>
          </w:tcPr>
          <w:p w:rsidR="00235BB0" w:rsidRPr="00A84A0B" w:rsidRDefault="00235BB0" w:rsidP="005939DA">
            <w:pPr>
              <w:jc w:val="center"/>
              <w:rPr>
                <w:rFonts w:ascii="Arial Narrow" w:hAnsi="Arial Narrow"/>
                <w:sz w:val="20"/>
              </w:rPr>
            </w:pPr>
            <w:r w:rsidRPr="00A84A0B">
              <w:rPr>
                <w:rFonts w:ascii="Arial Narrow" w:hAnsi="Arial Narrow"/>
                <w:sz w:val="20"/>
              </w:rPr>
              <w:t>361 (68.7)</w:t>
            </w:r>
          </w:p>
        </w:tc>
        <w:tc>
          <w:tcPr>
            <w:tcW w:w="1272" w:type="dxa"/>
            <w:vAlign w:val="center"/>
          </w:tcPr>
          <w:p w:rsidR="00235BB0" w:rsidRPr="00A84A0B" w:rsidRDefault="00653F4E" w:rsidP="005939DA">
            <w:pPr>
              <w:jc w:val="center"/>
              <w:rPr>
                <w:rFonts w:ascii="Arial Narrow" w:hAnsi="Arial Narrow"/>
                <w:b/>
                <w:sz w:val="20"/>
              </w:rPr>
            </w:pPr>
            <w:r>
              <w:rPr>
                <w:rFonts w:ascii="Arial Narrow" w:hAnsi="Arial Narrow"/>
                <w:b/>
                <w:noProof/>
                <w:color w:val="000000"/>
                <w:sz w:val="20"/>
                <w:highlight w:val="black"/>
              </w:rPr>
              <w:t>'''''''''</w:t>
            </w:r>
            <w:r w:rsidR="00235BB0" w:rsidRPr="00A84A0B">
              <w:rPr>
                <w:rFonts w:ascii="Arial Narrow" w:hAnsi="Arial Narrow"/>
                <w:b/>
                <w:sz w:val="20"/>
              </w:rPr>
              <w:t xml:space="preserve"> (</w:t>
            </w:r>
            <w:r>
              <w:rPr>
                <w:rFonts w:ascii="Arial Narrow" w:hAnsi="Arial Narrow"/>
                <w:b/>
                <w:noProof/>
                <w:color w:val="000000"/>
                <w:sz w:val="20"/>
                <w:highlight w:val="black"/>
              </w:rPr>
              <w:t>'''''''''</w:t>
            </w:r>
            <w:r w:rsidR="00235BB0" w:rsidRPr="00A84A0B">
              <w:rPr>
                <w:rFonts w:ascii="Arial Narrow" w:hAnsi="Arial Narrow"/>
                <w:b/>
                <w:sz w:val="20"/>
              </w:rPr>
              <w:t xml:space="preserve">, </w:t>
            </w:r>
            <w:r>
              <w:rPr>
                <w:rFonts w:ascii="Arial Narrow" w:hAnsi="Arial Narrow"/>
                <w:b/>
                <w:noProof/>
                <w:color w:val="000000"/>
                <w:sz w:val="20"/>
                <w:highlight w:val="black"/>
              </w:rPr>
              <w:t>''''''''''</w:t>
            </w:r>
            <w:r w:rsidR="00235BB0" w:rsidRPr="00A84A0B">
              <w:rPr>
                <w:rFonts w:ascii="Arial Narrow" w:hAnsi="Arial Narrow"/>
                <w:b/>
                <w:sz w:val="20"/>
              </w:rPr>
              <w:t>)</w:t>
            </w:r>
          </w:p>
        </w:tc>
        <w:tc>
          <w:tcPr>
            <w:tcW w:w="1272" w:type="dxa"/>
            <w:vAlign w:val="center"/>
          </w:tcPr>
          <w:p w:rsidR="00235BB0" w:rsidRPr="00A84A0B" w:rsidRDefault="00235BB0" w:rsidP="005939DA">
            <w:pPr>
              <w:jc w:val="center"/>
              <w:rPr>
                <w:rFonts w:ascii="Arial Narrow" w:hAnsi="Arial Narrow"/>
                <w:sz w:val="20"/>
              </w:rPr>
            </w:pPr>
            <w:r w:rsidRPr="00A84A0B">
              <w:rPr>
                <w:rFonts w:ascii="Arial Narrow" w:hAnsi="Arial Narrow"/>
                <w:sz w:val="20"/>
              </w:rPr>
              <w:t>NR</w:t>
            </w:r>
          </w:p>
        </w:tc>
        <w:tc>
          <w:tcPr>
            <w:tcW w:w="959" w:type="dxa"/>
            <w:vAlign w:val="center"/>
          </w:tcPr>
          <w:p w:rsidR="00235BB0" w:rsidRPr="00A84A0B" w:rsidRDefault="00235BB0" w:rsidP="005939DA">
            <w:pPr>
              <w:jc w:val="center"/>
              <w:rPr>
                <w:rFonts w:ascii="Arial Narrow" w:hAnsi="Arial Narrow"/>
                <w:sz w:val="20"/>
              </w:rPr>
            </w:pPr>
            <w:r w:rsidRPr="00A84A0B">
              <w:rPr>
                <w:rFonts w:ascii="Arial Narrow" w:hAnsi="Arial Narrow"/>
                <w:sz w:val="20"/>
              </w:rPr>
              <w:t>NE</w:t>
            </w:r>
          </w:p>
        </w:tc>
      </w:tr>
      <w:tr w:rsidR="00235BB0" w:rsidRPr="00A84A0B" w:rsidTr="005939DA">
        <w:trPr>
          <w:trHeight w:val="340"/>
        </w:trPr>
        <w:tc>
          <w:tcPr>
            <w:tcW w:w="4809" w:type="dxa"/>
            <w:gridSpan w:val="4"/>
            <w:vAlign w:val="center"/>
          </w:tcPr>
          <w:p w:rsidR="00235BB0" w:rsidRPr="00A84A0B" w:rsidRDefault="00235BB0" w:rsidP="005939DA">
            <w:pPr>
              <w:jc w:val="right"/>
              <w:rPr>
                <w:rFonts w:ascii="Arial Narrow" w:hAnsi="Arial Narrow"/>
                <w:sz w:val="20"/>
              </w:rPr>
            </w:pPr>
            <w:r w:rsidRPr="00A84A0B">
              <w:rPr>
                <w:rFonts w:ascii="Arial Narrow" w:hAnsi="Arial Narrow"/>
                <w:sz w:val="20"/>
              </w:rPr>
              <w:t>Meta-analysis – nivolumab in NSCLC (017, 057)</w:t>
            </w:r>
          </w:p>
        </w:tc>
        <w:tc>
          <w:tcPr>
            <w:tcW w:w="1272" w:type="dxa"/>
            <w:vAlign w:val="center"/>
          </w:tcPr>
          <w:p w:rsidR="00235BB0" w:rsidRPr="00A84A0B" w:rsidRDefault="00653F4E" w:rsidP="005939DA">
            <w:pPr>
              <w:jc w:val="center"/>
              <w:rPr>
                <w:rFonts w:ascii="Arial Narrow" w:hAnsi="Arial Narrow"/>
                <w:sz w:val="20"/>
              </w:rPr>
            </w:pPr>
            <w:r>
              <w:rPr>
                <w:rFonts w:ascii="Arial Narrow" w:hAnsi="Arial Narrow"/>
                <w:noProof/>
                <w:color w:val="000000"/>
                <w:sz w:val="20"/>
                <w:highlight w:val="black"/>
              </w:rPr>
              <w:t>''''''''''</w:t>
            </w:r>
            <w:r w:rsidR="00235BB0" w:rsidRPr="00A84A0B">
              <w:rPr>
                <w:rFonts w:ascii="Arial Narrow" w:hAnsi="Arial Narrow"/>
                <w:sz w:val="20"/>
              </w:rPr>
              <w:t xml:space="preserve"> (</w:t>
            </w:r>
            <w:r>
              <w:rPr>
                <w:rFonts w:ascii="Arial Narrow" w:hAnsi="Arial Narrow"/>
                <w:noProof/>
                <w:color w:val="000000"/>
                <w:sz w:val="20"/>
                <w:highlight w:val="black"/>
              </w:rPr>
              <w:t>''''''''''</w:t>
            </w:r>
            <w:r w:rsidR="00235BB0" w:rsidRPr="00A84A0B">
              <w:rPr>
                <w:rFonts w:ascii="Arial Narrow" w:hAnsi="Arial Narrow"/>
                <w:sz w:val="20"/>
              </w:rPr>
              <w:t xml:space="preserve">, </w:t>
            </w:r>
            <w:r>
              <w:rPr>
                <w:rFonts w:ascii="Arial Narrow" w:hAnsi="Arial Narrow"/>
                <w:noProof/>
                <w:color w:val="000000"/>
                <w:sz w:val="20"/>
                <w:highlight w:val="black"/>
              </w:rPr>
              <w:t>''''''''''</w:t>
            </w:r>
            <w:r w:rsidR="00235BB0" w:rsidRPr="00A84A0B">
              <w:rPr>
                <w:rFonts w:ascii="Arial Narrow" w:hAnsi="Arial Narrow"/>
                <w:sz w:val="20"/>
              </w:rPr>
              <w:t>)</w:t>
            </w:r>
          </w:p>
          <w:p w:rsidR="00235BB0" w:rsidRPr="00A84A0B" w:rsidRDefault="00235BB0" w:rsidP="005939DA">
            <w:pPr>
              <w:jc w:val="center"/>
              <w:rPr>
                <w:rFonts w:ascii="Arial Narrow" w:hAnsi="Arial Narrow"/>
                <w:sz w:val="20"/>
              </w:rPr>
            </w:pPr>
            <w:r w:rsidRPr="00A84A0B">
              <w:rPr>
                <w:rFonts w:ascii="Arial Narrow" w:hAnsi="Arial Narrow"/>
                <w:sz w:val="20"/>
              </w:rPr>
              <w:t>I</w:t>
            </w:r>
            <w:r w:rsidRPr="00A84A0B">
              <w:rPr>
                <w:rFonts w:ascii="Arial Narrow" w:hAnsi="Arial Narrow"/>
                <w:sz w:val="20"/>
                <w:vertAlign w:val="superscript"/>
              </w:rPr>
              <w:t>2</w:t>
            </w:r>
            <w:r w:rsidRPr="00A84A0B">
              <w:rPr>
                <w:rFonts w:ascii="Arial Narrow" w:hAnsi="Arial Narrow"/>
                <w:sz w:val="20"/>
              </w:rPr>
              <w:t>=71.9%</w:t>
            </w:r>
          </w:p>
        </w:tc>
        <w:tc>
          <w:tcPr>
            <w:tcW w:w="1272" w:type="dxa"/>
            <w:vAlign w:val="center"/>
          </w:tcPr>
          <w:p w:rsidR="00235BB0" w:rsidRPr="00A84A0B" w:rsidRDefault="00653F4E" w:rsidP="005939DA">
            <w:pPr>
              <w:jc w:val="center"/>
              <w:rPr>
                <w:rFonts w:ascii="Arial Narrow" w:hAnsi="Arial Narrow"/>
                <w:b/>
                <w:sz w:val="20"/>
              </w:rPr>
            </w:pPr>
            <w:r>
              <w:rPr>
                <w:rFonts w:ascii="Arial Narrow" w:hAnsi="Arial Narrow"/>
                <w:b/>
                <w:noProof/>
                <w:color w:val="000000"/>
                <w:sz w:val="20"/>
                <w:highlight w:val="black"/>
              </w:rPr>
              <w:t>'''''''''</w:t>
            </w:r>
            <w:r w:rsidR="00235BB0" w:rsidRPr="00A84A0B">
              <w:rPr>
                <w:rFonts w:ascii="Arial Narrow" w:hAnsi="Arial Narrow"/>
                <w:b/>
                <w:sz w:val="20"/>
              </w:rPr>
              <w:t xml:space="preserve"> (</w:t>
            </w:r>
            <w:r>
              <w:rPr>
                <w:rFonts w:ascii="Arial Narrow" w:hAnsi="Arial Narrow"/>
                <w:b/>
                <w:noProof/>
                <w:color w:val="000000"/>
                <w:sz w:val="20"/>
                <w:highlight w:val="black"/>
              </w:rPr>
              <w:t>''''''''</w:t>
            </w:r>
            <w:r w:rsidR="00235BB0" w:rsidRPr="00A84A0B">
              <w:rPr>
                <w:rFonts w:ascii="Arial Narrow" w:hAnsi="Arial Narrow"/>
                <w:b/>
                <w:sz w:val="20"/>
              </w:rPr>
              <w:t xml:space="preserve">, </w:t>
            </w:r>
            <w:r>
              <w:rPr>
                <w:rFonts w:ascii="Arial Narrow" w:hAnsi="Arial Narrow"/>
                <w:b/>
                <w:noProof/>
                <w:color w:val="000000"/>
                <w:sz w:val="20"/>
                <w:highlight w:val="black"/>
              </w:rPr>
              <w:t>''''''''</w:t>
            </w:r>
            <w:r w:rsidR="00235BB0" w:rsidRPr="00A84A0B">
              <w:rPr>
                <w:rFonts w:ascii="Arial Narrow" w:hAnsi="Arial Narrow"/>
                <w:b/>
                <w:sz w:val="20"/>
              </w:rPr>
              <w:t>)</w:t>
            </w:r>
          </w:p>
          <w:p w:rsidR="00235BB0" w:rsidRPr="00A84A0B" w:rsidRDefault="00235BB0" w:rsidP="005939DA">
            <w:pPr>
              <w:jc w:val="center"/>
              <w:rPr>
                <w:rFonts w:ascii="Arial Narrow" w:hAnsi="Arial Narrow"/>
                <w:sz w:val="20"/>
              </w:rPr>
            </w:pPr>
            <w:r w:rsidRPr="00A84A0B">
              <w:rPr>
                <w:rFonts w:ascii="Arial Narrow" w:hAnsi="Arial Narrow"/>
                <w:sz w:val="20"/>
              </w:rPr>
              <w:t>I</w:t>
            </w:r>
            <w:r w:rsidRPr="00A84A0B">
              <w:rPr>
                <w:rFonts w:ascii="Arial Narrow" w:hAnsi="Arial Narrow"/>
                <w:sz w:val="20"/>
                <w:vertAlign w:val="superscript"/>
              </w:rPr>
              <w:t>2</w:t>
            </w:r>
            <w:r w:rsidRPr="00A84A0B">
              <w:rPr>
                <w:rFonts w:ascii="Arial Narrow" w:hAnsi="Arial Narrow"/>
                <w:sz w:val="20"/>
              </w:rPr>
              <w:t>=0%</w:t>
            </w:r>
          </w:p>
        </w:tc>
        <w:tc>
          <w:tcPr>
            <w:tcW w:w="959" w:type="dxa"/>
            <w:vAlign w:val="center"/>
          </w:tcPr>
          <w:p w:rsidR="00235BB0" w:rsidRPr="00A84A0B" w:rsidRDefault="00235BB0" w:rsidP="005939DA">
            <w:pPr>
              <w:jc w:val="center"/>
              <w:rPr>
                <w:rFonts w:ascii="Arial Narrow" w:hAnsi="Arial Narrow"/>
                <w:sz w:val="20"/>
              </w:rPr>
            </w:pPr>
            <w:r w:rsidRPr="00A84A0B">
              <w:rPr>
                <w:rFonts w:ascii="Arial Narrow" w:hAnsi="Arial Narrow"/>
                <w:sz w:val="20"/>
              </w:rPr>
              <w:t>NS</w:t>
            </w:r>
          </w:p>
        </w:tc>
      </w:tr>
      <w:tr w:rsidR="00235BB0" w:rsidRPr="00A84A0B" w:rsidTr="005939DA">
        <w:trPr>
          <w:trHeight w:val="340"/>
        </w:trPr>
        <w:tc>
          <w:tcPr>
            <w:tcW w:w="4809" w:type="dxa"/>
            <w:gridSpan w:val="4"/>
            <w:vAlign w:val="center"/>
          </w:tcPr>
          <w:p w:rsidR="00235BB0" w:rsidRPr="00A84A0B" w:rsidRDefault="00235BB0" w:rsidP="005939DA">
            <w:pPr>
              <w:jc w:val="right"/>
              <w:rPr>
                <w:rFonts w:ascii="Arial Narrow" w:hAnsi="Arial Narrow"/>
                <w:sz w:val="20"/>
              </w:rPr>
            </w:pPr>
            <w:r w:rsidRPr="00A84A0B">
              <w:rPr>
                <w:rFonts w:ascii="Arial Narrow" w:hAnsi="Arial Narrow"/>
                <w:sz w:val="20"/>
              </w:rPr>
              <w:t>Meta-analysis – PD pathway in NSCLC (017, 057, KN-010, OAK)</w:t>
            </w:r>
          </w:p>
        </w:tc>
        <w:tc>
          <w:tcPr>
            <w:tcW w:w="1272" w:type="dxa"/>
            <w:vAlign w:val="center"/>
          </w:tcPr>
          <w:p w:rsidR="00235BB0" w:rsidRPr="00A84A0B" w:rsidRDefault="00653F4E" w:rsidP="005939DA">
            <w:pPr>
              <w:jc w:val="center"/>
              <w:rPr>
                <w:rFonts w:ascii="Arial Narrow" w:hAnsi="Arial Narrow"/>
                <w:b/>
                <w:sz w:val="20"/>
              </w:rPr>
            </w:pPr>
            <w:r>
              <w:rPr>
                <w:rFonts w:ascii="Arial Narrow" w:hAnsi="Arial Narrow"/>
                <w:b/>
                <w:noProof/>
                <w:color w:val="000000"/>
                <w:sz w:val="20"/>
                <w:highlight w:val="black"/>
              </w:rPr>
              <w:t>''''''''</w:t>
            </w:r>
            <w:r w:rsidR="00235BB0" w:rsidRPr="00A84A0B">
              <w:rPr>
                <w:rFonts w:ascii="Arial Narrow" w:hAnsi="Arial Narrow"/>
                <w:b/>
                <w:sz w:val="20"/>
              </w:rPr>
              <w:t xml:space="preserve"> (</w:t>
            </w:r>
            <w:r>
              <w:rPr>
                <w:rFonts w:ascii="Arial Narrow" w:hAnsi="Arial Narrow"/>
                <w:b/>
                <w:noProof/>
                <w:color w:val="000000"/>
                <w:sz w:val="20"/>
                <w:highlight w:val="black"/>
              </w:rPr>
              <w:t>''''''''</w:t>
            </w:r>
            <w:r w:rsidR="00235BB0" w:rsidRPr="00A84A0B">
              <w:rPr>
                <w:rFonts w:ascii="Arial Narrow" w:hAnsi="Arial Narrow"/>
                <w:b/>
                <w:sz w:val="20"/>
              </w:rPr>
              <w:t xml:space="preserve">, </w:t>
            </w:r>
            <w:r>
              <w:rPr>
                <w:rFonts w:ascii="Arial Narrow" w:hAnsi="Arial Narrow"/>
                <w:b/>
                <w:noProof/>
                <w:color w:val="000000"/>
                <w:sz w:val="20"/>
                <w:highlight w:val="black"/>
              </w:rPr>
              <w:t>'''''''''</w:t>
            </w:r>
            <w:r w:rsidR="00235BB0" w:rsidRPr="00A84A0B">
              <w:rPr>
                <w:rFonts w:ascii="Arial Narrow" w:hAnsi="Arial Narrow"/>
                <w:b/>
                <w:sz w:val="20"/>
              </w:rPr>
              <w:t>)</w:t>
            </w:r>
          </w:p>
          <w:p w:rsidR="00235BB0" w:rsidRPr="00A84A0B" w:rsidRDefault="00235BB0" w:rsidP="005939DA">
            <w:pPr>
              <w:jc w:val="center"/>
              <w:rPr>
                <w:rFonts w:ascii="Arial Narrow" w:hAnsi="Arial Narrow"/>
                <w:b/>
                <w:sz w:val="20"/>
              </w:rPr>
            </w:pPr>
            <w:r w:rsidRPr="00A84A0B">
              <w:rPr>
                <w:rFonts w:ascii="Arial Narrow" w:hAnsi="Arial Narrow"/>
                <w:sz w:val="20"/>
              </w:rPr>
              <w:lastRenderedPageBreak/>
              <w:t>I</w:t>
            </w:r>
            <w:r w:rsidRPr="00A84A0B">
              <w:rPr>
                <w:rFonts w:ascii="Arial Narrow" w:hAnsi="Arial Narrow"/>
                <w:sz w:val="20"/>
                <w:vertAlign w:val="superscript"/>
              </w:rPr>
              <w:t>2</w:t>
            </w:r>
            <w:r w:rsidRPr="00A84A0B">
              <w:rPr>
                <w:rFonts w:ascii="Arial Narrow" w:hAnsi="Arial Narrow"/>
                <w:sz w:val="20"/>
              </w:rPr>
              <w:t>=47.5%</w:t>
            </w:r>
          </w:p>
        </w:tc>
        <w:tc>
          <w:tcPr>
            <w:tcW w:w="1272" w:type="dxa"/>
            <w:vAlign w:val="center"/>
          </w:tcPr>
          <w:p w:rsidR="00235BB0" w:rsidRPr="00A84A0B" w:rsidRDefault="00653F4E" w:rsidP="005939DA">
            <w:pPr>
              <w:jc w:val="center"/>
              <w:rPr>
                <w:rFonts w:ascii="Arial Narrow" w:hAnsi="Arial Narrow"/>
                <w:b/>
                <w:sz w:val="20"/>
              </w:rPr>
            </w:pPr>
            <w:r>
              <w:rPr>
                <w:rFonts w:ascii="Arial Narrow" w:hAnsi="Arial Narrow"/>
                <w:b/>
                <w:noProof/>
                <w:color w:val="000000"/>
                <w:sz w:val="20"/>
                <w:highlight w:val="black"/>
              </w:rPr>
              <w:lastRenderedPageBreak/>
              <w:t>''''''''</w:t>
            </w:r>
            <w:r w:rsidR="00235BB0" w:rsidRPr="00A84A0B">
              <w:rPr>
                <w:rFonts w:ascii="Arial Narrow" w:hAnsi="Arial Narrow"/>
                <w:b/>
                <w:sz w:val="20"/>
              </w:rPr>
              <w:t xml:space="preserve"> (</w:t>
            </w:r>
            <w:r>
              <w:rPr>
                <w:rFonts w:ascii="Arial Narrow" w:hAnsi="Arial Narrow"/>
                <w:b/>
                <w:noProof/>
                <w:color w:val="000000"/>
                <w:sz w:val="20"/>
                <w:highlight w:val="black"/>
              </w:rPr>
              <w:t>'''''''''</w:t>
            </w:r>
            <w:r w:rsidR="00235BB0" w:rsidRPr="00A84A0B">
              <w:rPr>
                <w:rFonts w:ascii="Arial Narrow" w:hAnsi="Arial Narrow"/>
                <w:b/>
                <w:sz w:val="20"/>
              </w:rPr>
              <w:t xml:space="preserve">, </w:t>
            </w:r>
            <w:r>
              <w:rPr>
                <w:rFonts w:ascii="Arial Narrow" w:hAnsi="Arial Narrow"/>
                <w:b/>
                <w:noProof/>
                <w:color w:val="000000"/>
                <w:sz w:val="20"/>
                <w:highlight w:val="black"/>
              </w:rPr>
              <w:t>'''''''''</w:t>
            </w:r>
            <w:r w:rsidR="00235BB0" w:rsidRPr="00A84A0B">
              <w:rPr>
                <w:rFonts w:ascii="Arial Narrow" w:hAnsi="Arial Narrow"/>
                <w:b/>
                <w:sz w:val="20"/>
              </w:rPr>
              <w:t>)</w:t>
            </w:r>
          </w:p>
          <w:p w:rsidR="00235BB0" w:rsidRPr="00A84A0B" w:rsidRDefault="00235BB0" w:rsidP="005939DA">
            <w:pPr>
              <w:jc w:val="center"/>
              <w:rPr>
                <w:rFonts w:ascii="Arial Narrow" w:hAnsi="Arial Narrow"/>
                <w:b/>
                <w:sz w:val="20"/>
              </w:rPr>
            </w:pPr>
            <w:r w:rsidRPr="00A84A0B">
              <w:rPr>
                <w:rFonts w:ascii="Arial Narrow" w:hAnsi="Arial Narrow"/>
                <w:sz w:val="20"/>
              </w:rPr>
              <w:lastRenderedPageBreak/>
              <w:t>I</w:t>
            </w:r>
            <w:r w:rsidRPr="00A84A0B">
              <w:rPr>
                <w:rFonts w:ascii="Arial Narrow" w:hAnsi="Arial Narrow"/>
                <w:sz w:val="20"/>
                <w:vertAlign w:val="superscript"/>
              </w:rPr>
              <w:t>2</w:t>
            </w:r>
            <w:r w:rsidRPr="00A84A0B">
              <w:rPr>
                <w:rFonts w:ascii="Arial Narrow" w:hAnsi="Arial Narrow"/>
                <w:sz w:val="20"/>
              </w:rPr>
              <w:t>=0%</w:t>
            </w:r>
          </w:p>
        </w:tc>
        <w:tc>
          <w:tcPr>
            <w:tcW w:w="959" w:type="dxa"/>
            <w:vAlign w:val="center"/>
          </w:tcPr>
          <w:p w:rsidR="00235BB0" w:rsidRPr="00A84A0B" w:rsidRDefault="00235BB0" w:rsidP="005939DA">
            <w:pPr>
              <w:jc w:val="center"/>
              <w:rPr>
                <w:rFonts w:ascii="Arial Narrow" w:hAnsi="Arial Narrow"/>
                <w:sz w:val="20"/>
              </w:rPr>
            </w:pPr>
            <w:r w:rsidRPr="00A84A0B">
              <w:rPr>
                <w:rFonts w:ascii="Arial Narrow" w:hAnsi="Arial Narrow"/>
                <w:sz w:val="20"/>
              </w:rPr>
              <w:lastRenderedPageBreak/>
              <w:t>NS</w:t>
            </w:r>
          </w:p>
        </w:tc>
      </w:tr>
      <w:tr w:rsidR="00235BB0" w:rsidRPr="00A84A0B" w:rsidTr="005939DA">
        <w:trPr>
          <w:trHeight w:val="340"/>
        </w:trPr>
        <w:tc>
          <w:tcPr>
            <w:tcW w:w="4809" w:type="dxa"/>
            <w:gridSpan w:val="4"/>
            <w:vAlign w:val="center"/>
          </w:tcPr>
          <w:p w:rsidR="00235BB0" w:rsidRPr="00A84A0B" w:rsidRDefault="00235BB0" w:rsidP="005939DA">
            <w:pPr>
              <w:jc w:val="right"/>
              <w:rPr>
                <w:rFonts w:ascii="Arial Narrow" w:hAnsi="Arial Narrow"/>
                <w:sz w:val="20"/>
              </w:rPr>
            </w:pPr>
            <w:r w:rsidRPr="00A84A0B">
              <w:rPr>
                <w:rFonts w:ascii="Arial Narrow" w:hAnsi="Arial Narrow"/>
                <w:sz w:val="20"/>
              </w:rPr>
              <w:lastRenderedPageBreak/>
              <w:t>Nivolumab in melanoma (037)</w:t>
            </w:r>
          </w:p>
        </w:tc>
        <w:tc>
          <w:tcPr>
            <w:tcW w:w="1272" w:type="dxa"/>
            <w:vAlign w:val="center"/>
          </w:tcPr>
          <w:p w:rsidR="00235BB0" w:rsidRPr="00A84A0B" w:rsidRDefault="00653F4E" w:rsidP="005939DA">
            <w:pPr>
              <w:jc w:val="center"/>
              <w:rPr>
                <w:rFonts w:ascii="Arial Narrow" w:hAnsi="Arial Narrow"/>
                <w:b/>
                <w:sz w:val="20"/>
              </w:rPr>
            </w:pPr>
            <w:r>
              <w:rPr>
                <w:rFonts w:ascii="Arial Narrow" w:hAnsi="Arial Narrow"/>
                <w:noProof/>
                <w:color w:val="000000"/>
                <w:sz w:val="20"/>
                <w:highlight w:val="black"/>
              </w:rPr>
              <w:t>''''''''''</w:t>
            </w:r>
            <w:r w:rsidR="00235BB0" w:rsidRPr="00A84A0B">
              <w:rPr>
                <w:rFonts w:ascii="Arial Narrow" w:hAnsi="Arial Narrow"/>
                <w:sz w:val="20"/>
              </w:rPr>
              <w:t xml:space="preserve"> (</w:t>
            </w:r>
            <w:r>
              <w:rPr>
                <w:rFonts w:ascii="Arial Narrow" w:hAnsi="Arial Narrow"/>
                <w:noProof/>
                <w:color w:val="000000"/>
                <w:sz w:val="20"/>
                <w:highlight w:val="black"/>
              </w:rPr>
              <w:t>''''''''''</w:t>
            </w:r>
            <w:r w:rsidR="00235BB0" w:rsidRPr="00A84A0B">
              <w:rPr>
                <w:rFonts w:ascii="Arial Narrow" w:hAnsi="Arial Narrow"/>
                <w:sz w:val="20"/>
              </w:rPr>
              <w:t xml:space="preserve">, </w:t>
            </w:r>
            <w:r>
              <w:rPr>
                <w:rFonts w:ascii="Arial Narrow" w:hAnsi="Arial Narrow"/>
                <w:noProof/>
                <w:color w:val="000000"/>
                <w:sz w:val="20"/>
                <w:highlight w:val="black"/>
              </w:rPr>
              <w:t>'''''''''''</w:t>
            </w:r>
            <w:r w:rsidR="00235BB0" w:rsidRPr="00A84A0B">
              <w:rPr>
                <w:rFonts w:ascii="Arial Narrow" w:hAnsi="Arial Narrow"/>
                <w:sz w:val="20"/>
              </w:rPr>
              <w:t>)</w:t>
            </w:r>
          </w:p>
        </w:tc>
        <w:tc>
          <w:tcPr>
            <w:tcW w:w="1272" w:type="dxa"/>
            <w:vAlign w:val="center"/>
          </w:tcPr>
          <w:p w:rsidR="00235BB0" w:rsidRPr="00A84A0B" w:rsidRDefault="00653F4E" w:rsidP="005939DA">
            <w:pPr>
              <w:jc w:val="center"/>
              <w:rPr>
                <w:rFonts w:ascii="Arial Narrow" w:hAnsi="Arial Narrow"/>
                <w:sz w:val="20"/>
              </w:rPr>
            </w:pPr>
            <w:r>
              <w:rPr>
                <w:rFonts w:ascii="Arial Narrow" w:hAnsi="Arial Narrow"/>
                <w:b/>
                <w:noProof/>
                <w:color w:val="000000"/>
                <w:sz w:val="20"/>
                <w:highlight w:val="black"/>
              </w:rPr>
              <w:t>'''''''''</w:t>
            </w:r>
            <w:r w:rsidR="00235BB0" w:rsidRPr="00A84A0B">
              <w:rPr>
                <w:rFonts w:ascii="Arial Narrow" w:hAnsi="Arial Narrow"/>
                <w:b/>
                <w:sz w:val="20"/>
              </w:rPr>
              <w:t xml:space="preserve"> (</w:t>
            </w:r>
            <w:r>
              <w:rPr>
                <w:rFonts w:ascii="Arial Narrow" w:hAnsi="Arial Narrow"/>
                <w:b/>
                <w:noProof/>
                <w:color w:val="000000"/>
                <w:sz w:val="20"/>
                <w:highlight w:val="black"/>
              </w:rPr>
              <w:t>'''''''''</w:t>
            </w:r>
            <w:r w:rsidR="00235BB0" w:rsidRPr="00A84A0B">
              <w:rPr>
                <w:rFonts w:ascii="Arial Narrow" w:hAnsi="Arial Narrow"/>
                <w:b/>
                <w:sz w:val="20"/>
              </w:rPr>
              <w:t xml:space="preserve">, </w:t>
            </w:r>
            <w:r>
              <w:rPr>
                <w:rFonts w:ascii="Arial Narrow" w:hAnsi="Arial Narrow"/>
                <w:b/>
                <w:noProof/>
                <w:color w:val="000000"/>
                <w:sz w:val="20"/>
                <w:highlight w:val="black"/>
              </w:rPr>
              <w:t>'''''''''</w:t>
            </w:r>
            <w:r w:rsidR="00235BB0" w:rsidRPr="00A84A0B">
              <w:rPr>
                <w:rFonts w:ascii="Arial Narrow" w:hAnsi="Arial Narrow"/>
                <w:b/>
                <w:sz w:val="20"/>
              </w:rPr>
              <w:t>)</w:t>
            </w:r>
          </w:p>
        </w:tc>
        <w:tc>
          <w:tcPr>
            <w:tcW w:w="959" w:type="dxa"/>
            <w:vAlign w:val="center"/>
          </w:tcPr>
          <w:p w:rsidR="00235BB0" w:rsidRPr="00A84A0B" w:rsidRDefault="00235BB0" w:rsidP="005939DA">
            <w:pPr>
              <w:jc w:val="center"/>
              <w:rPr>
                <w:rFonts w:ascii="Arial Narrow" w:hAnsi="Arial Narrow"/>
                <w:b/>
                <w:sz w:val="20"/>
              </w:rPr>
            </w:pPr>
            <w:r w:rsidRPr="00A84A0B">
              <w:rPr>
                <w:rFonts w:ascii="Arial Narrow" w:hAnsi="Arial Narrow"/>
                <w:b/>
                <w:sz w:val="20"/>
              </w:rPr>
              <w:t>&lt;0.05</w:t>
            </w:r>
          </w:p>
        </w:tc>
      </w:tr>
      <w:tr w:rsidR="00235BB0" w:rsidRPr="00A84A0B" w:rsidTr="005939DA">
        <w:trPr>
          <w:trHeight w:val="340"/>
        </w:trPr>
        <w:tc>
          <w:tcPr>
            <w:tcW w:w="4809" w:type="dxa"/>
            <w:gridSpan w:val="4"/>
            <w:vAlign w:val="center"/>
          </w:tcPr>
          <w:p w:rsidR="00235BB0" w:rsidRPr="00A84A0B" w:rsidRDefault="00235BB0" w:rsidP="005939DA">
            <w:pPr>
              <w:jc w:val="right"/>
              <w:rPr>
                <w:rFonts w:ascii="Arial Narrow" w:hAnsi="Arial Narrow"/>
                <w:sz w:val="20"/>
              </w:rPr>
            </w:pPr>
            <w:r w:rsidRPr="00A84A0B">
              <w:rPr>
                <w:rFonts w:ascii="Arial Narrow" w:hAnsi="Arial Narrow"/>
                <w:sz w:val="20"/>
              </w:rPr>
              <w:t>Meta-analysis – PD pathway in melanoma (037, KN-006)</w:t>
            </w:r>
          </w:p>
        </w:tc>
        <w:tc>
          <w:tcPr>
            <w:tcW w:w="1272" w:type="dxa"/>
            <w:vAlign w:val="center"/>
          </w:tcPr>
          <w:p w:rsidR="00235BB0" w:rsidRPr="00A84A0B" w:rsidRDefault="00653F4E" w:rsidP="005939DA">
            <w:pPr>
              <w:jc w:val="center"/>
              <w:rPr>
                <w:rFonts w:ascii="Arial Narrow" w:hAnsi="Arial Narrow"/>
                <w:sz w:val="20"/>
              </w:rPr>
            </w:pPr>
            <w:r>
              <w:rPr>
                <w:rFonts w:ascii="Arial Narrow" w:hAnsi="Arial Narrow"/>
                <w:noProof/>
                <w:color w:val="000000"/>
                <w:sz w:val="20"/>
                <w:highlight w:val="black"/>
              </w:rPr>
              <w:t>'''''''''''</w:t>
            </w:r>
            <w:r w:rsidR="00235BB0" w:rsidRPr="00A84A0B">
              <w:rPr>
                <w:rFonts w:ascii="Arial Narrow" w:hAnsi="Arial Narrow"/>
                <w:sz w:val="20"/>
              </w:rPr>
              <w:t xml:space="preserve"> (</w:t>
            </w:r>
            <w:r>
              <w:rPr>
                <w:rFonts w:ascii="Arial Narrow" w:hAnsi="Arial Narrow"/>
                <w:noProof/>
                <w:color w:val="000000"/>
                <w:sz w:val="20"/>
                <w:highlight w:val="black"/>
              </w:rPr>
              <w:t>'''''''''''</w:t>
            </w:r>
            <w:r w:rsidR="00235BB0" w:rsidRPr="00A84A0B">
              <w:rPr>
                <w:rFonts w:ascii="Arial Narrow" w:hAnsi="Arial Narrow"/>
                <w:sz w:val="20"/>
              </w:rPr>
              <w:t xml:space="preserve">, </w:t>
            </w:r>
            <w:r>
              <w:rPr>
                <w:rFonts w:ascii="Arial Narrow" w:hAnsi="Arial Narrow"/>
                <w:noProof/>
                <w:color w:val="000000"/>
                <w:sz w:val="20"/>
                <w:highlight w:val="black"/>
              </w:rPr>
              <w:t>''''''''''</w:t>
            </w:r>
            <w:r w:rsidR="00235BB0" w:rsidRPr="00A84A0B">
              <w:rPr>
                <w:rFonts w:ascii="Arial Narrow" w:hAnsi="Arial Narrow"/>
                <w:sz w:val="20"/>
              </w:rPr>
              <w:t>)</w:t>
            </w:r>
          </w:p>
          <w:p w:rsidR="00235BB0" w:rsidRPr="00A84A0B" w:rsidRDefault="00235BB0" w:rsidP="005939DA">
            <w:pPr>
              <w:jc w:val="center"/>
              <w:rPr>
                <w:rFonts w:ascii="Arial Narrow" w:hAnsi="Arial Narrow"/>
                <w:sz w:val="20"/>
              </w:rPr>
            </w:pPr>
            <w:r w:rsidRPr="00A84A0B">
              <w:rPr>
                <w:rFonts w:ascii="Arial Narrow" w:hAnsi="Arial Narrow"/>
                <w:sz w:val="20"/>
              </w:rPr>
              <w:t>I</w:t>
            </w:r>
            <w:r w:rsidRPr="00A84A0B">
              <w:rPr>
                <w:rFonts w:ascii="Arial Narrow" w:hAnsi="Arial Narrow"/>
                <w:sz w:val="20"/>
                <w:vertAlign w:val="superscript"/>
              </w:rPr>
              <w:t>2</w:t>
            </w:r>
            <w:r w:rsidRPr="00A84A0B">
              <w:rPr>
                <w:rFonts w:ascii="Arial Narrow" w:hAnsi="Arial Narrow"/>
                <w:sz w:val="20"/>
              </w:rPr>
              <w:t>=64.8%</w:t>
            </w:r>
          </w:p>
        </w:tc>
        <w:tc>
          <w:tcPr>
            <w:tcW w:w="1272" w:type="dxa"/>
            <w:vAlign w:val="center"/>
          </w:tcPr>
          <w:p w:rsidR="00235BB0" w:rsidRPr="00A84A0B" w:rsidRDefault="00653F4E" w:rsidP="005939DA">
            <w:pPr>
              <w:jc w:val="center"/>
              <w:rPr>
                <w:rFonts w:ascii="Arial Narrow" w:hAnsi="Arial Narrow"/>
                <w:b/>
                <w:sz w:val="20"/>
              </w:rPr>
            </w:pPr>
            <w:r>
              <w:rPr>
                <w:rFonts w:ascii="Arial Narrow" w:hAnsi="Arial Narrow"/>
                <w:b/>
                <w:noProof/>
                <w:color w:val="000000"/>
                <w:sz w:val="20"/>
                <w:highlight w:val="black"/>
              </w:rPr>
              <w:t>''''''''''</w:t>
            </w:r>
            <w:r w:rsidR="00235BB0" w:rsidRPr="00A84A0B">
              <w:rPr>
                <w:rFonts w:ascii="Arial Narrow" w:hAnsi="Arial Narrow"/>
                <w:b/>
                <w:sz w:val="20"/>
              </w:rPr>
              <w:t xml:space="preserve"> (</w:t>
            </w:r>
            <w:r>
              <w:rPr>
                <w:rFonts w:ascii="Arial Narrow" w:hAnsi="Arial Narrow"/>
                <w:b/>
                <w:noProof/>
                <w:color w:val="000000"/>
                <w:sz w:val="20"/>
                <w:highlight w:val="black"/>
              </w:rPr>
              <w:t>''''''''</w:t>
            </w:r>
            <w:r w:rsidR="00235BB0" w:rsidRPr="00A84A0B">
              <w:rPr>
                <w:rFonts w:ascii="Arial Narrow" w:hAnsi="Arial Narrow"/>
                <w:b/>
                <w:sz w:val="20"/>
              </w:rPr>
              <w:t xml:space="preserve">, </w:t>
            </w:r>
            <w:r>
              <w:rPr>
                <w:rFonts w:ascii="Arial Narrow" w:hAnsi="Arial Narrow"/>
                <w:b/>
                <w:noProof/>
                <w:color w:val="000000"/>
                <w:sz w:val="20"/>
                <w:highlight w:val="black"/>
              </w:rPr>
              <w:t>''''''''</w:t>
            </w:r>
            <w:r w:rsidR="00235BB0" w:rsidRPr="00A84A0B">
              <w:rPr>
                <w:rFonts w:ascii="Arial Narrow" w:hAnsi="Arial Narrow"/>
                <w:b/>
                <w:sz w:val="20"/>
              </w:rPr>
              <w:t>)</w:t>
            </w:r>
          </w:p>
          <w:p w:rsidR="00235BB0" w:rsidRPr="00A84A0B" w:rsidRDefault="00235BB0" w:rsidP="005939DA">
            <w:pPr>
              <w:jc w:val="center"/>
              <w:rPr>
                <w:rFonts w:ascii="Arial Narrow" w:hAnsi="Arial Narrow"/>
                <w:b/>
                <w:sz w:val="20"/>
              </w:rPr>
            </w:pPr>
            <w:r w:rsidRPr="00A84A0B">
              <w:rPr>
                <w:rFonts w:ascii="Arial Narrow" w:hAnsi="Arial Narrow"/>
                <w:sz w:val="20"/>
              </w:rPr>
              <w:t>I</w:t>
            </w:r>
            <w:r w:rsidRPr="00A84A0B">
              <w:rPr>
                <w:rFonts w:ascii="Arial Narrow" w:hAnsi="Arial Narrow"/>
                <w:sz w:val="20"/>
                <w:vertAlign w:val="superscript"/>
              </w:rPr>
              <w:t>2</w:t>
            </w:r>
            <w:r w:rsidRPr="00A84A0B">
              <w:rPr>
                <w:rFonts w:ascii="Arial Narrow" w:hAnsi="Arial Narrow"/>
                <w:sz w:val="20"/>
              </w:rPr>
              <w:t>=0%</w:t>
            </w:r>
          </w:p>
        </w:tc>
        <w:tc>
          <w:tcPr>
            <w:tcW w:w="959" w:type="dxa"/>
            <w:vAlign w:val="center"/>
          </w:tcPr>
          <w:p w:rsidR="00235BB0" w:rsidRPr="00A84A0B" w:rsidRDefault="00235BB0" w:rsidP="005939DA">
            <w:pPr>
              <w:jc w:val="center"/>
              <w:rPr>
                <w:rFonts w:ascii="Arial Narrow" w:hAnsi="Arial Narrow"/>
                <w:sz w:val="20"/>
              </w:rPr>
            </w:pPr>
            <w:r w:rsidRPr="00A84A0B">
              <w:rPr>
                <w:rFonts w:ascii="Arial Narrow" w:hAnsi="Arial Narrow"/>
                <w:sz w:val="20"/>
              </w:rPr>
              <w:t>NS</w:t>
            </w:r>
          </w:p>
        </w:tc>
      </w:tr>
      <w:tr w:rsidR="00235BB0" w:rsidRPr="00A84A0B" w:rsidTr="005939DA">
        <w:trPr>
          <w:trHeight w:val="340"/>
        </w:trPr>
        <w:tc>
          <w:tcPr>
            <w:tcW w:w="4809" w:type="dxa"/>
            <w:gridSpan w:val="4"/>
            <w:vAlign w:val="center"/>
          </w:tcPr>
          <w:p w:rsidR="00235BB0" w:rsidRPr="00A84A0B" w:rsidRDefault="00235BB0" w:rsidP="005939DA">
            <w:pPr>
              <w:jc w:val="right"/>
              <w:rPr>
                <w:rFonts w:ascii="Arial Narrow" w:hAnsi="Arial Narrow"/>
                <w:sz w:val="20"/>
              </w:rPr>
            </w:pPr>
            <w:r w:rsidRPr="00A84A0B">
              <w:rPr>
                <w:rFonts w:ascii="Arial Narrow" w:hAnsi="Arial Narrow"/>
                <w:sz w:val="20"/>
              </w:rPr>
              <w:t>Meta-analysis – PD pathway in cancer (017, 057, KN-010, OAK, 025, 037, KN-006)</w:t>
            </w:r>
          </w:p>
        </w:tc>
        <w:tc>
          <w:tcPr>
            <w:tcW w:w="1272" w:type="dxa"/>
            <w:vAlign w:val="center"/>
          </w:tcPr>
          <w:p w:rsidR="00235BB0" w:rsidRPr="00A84A0B" w:rsidRDefault="00653F4E" w:rsidP="005939DA">
            <w:pPr>
              <w:jc w:val="center"/>
              <w:rPr>
                <w:rFonts w:ascii="Arial Narrow" w:hAnsi="Arial Narrow"/>
                <w:b/>
                <w:sz w:val="20"/>
              </w:rPr>
            </w:pPr>
            <w:r>
              <w:rPr>
                <w:rFonts w:ascii="Arial Narrow" w:hAnsi="Arial Narrow"/>
                <w:b/>
                <w:noProof/>
                <w:color w:val="000000"/>
                <w:sz w:val="20"/>
                <w:highlight w:val="black"/>
              </w:rPr>
              <w:t>''''''''''</w:t>
            </w:r>
            <w:r w:rsidR="00235BB0" w:rsidRPr="00A84A0B">
              <w:rPr>
                <w:rFonts w:ascii="Arial Narrow" w:hAnsi="Arial Narrow"/>
                <w:b/>
                <w:sz w:val="20"/>
              </w:rPr>
              <w:t xml:space="preserve"> (</w:t>
            </w:r>
            <w:r>
              <w:rPr>
                <w:rFonts w:ascii="Arial Narrow" w:hAnsi="Arial Narrow"/>
                <w:b/>
                <w:noProof/>
                <w:color w:val="000000"/>
                <w:sz w:val="20"/>
                <w:highlight w:val="black"/>
              </w:rPr>
              <w:t>''''''''</w:t>
            </w:r>
            <w:r w:rsidR="00235BB0" w:rsidRPr="00A84A0B">
              <w:rPr>
                <w:rFonts w:ascii="Arial Narrow" w:hAnsi="Arial Narrow"/>
                <w:b/>
                <w:sz w:val="20"/>
              </w:rPr>
              <w:t xml:space="preserve">, </w:t>
            </w:r>
            <w:r>
              <w:rPr>
                <w:rFonts w:ascii="Arial Narrow" w:hAnsi="Arial Narrow"/>
                <w:b/>
                <w:noProof/>
                <w:color w:val="000000"/>
                <w:sz w:val="20"/>
                <w:highlight w:val="black"/>
              </w:rPr>
              <w:t>''''''''''</w:t>
            </w:r>
            <w:r w:rsidR="00235BB0" w:rsidRPr="00A84A0B">
              <w:rPr>
                <w:rFonts w:ascii="Arial Narrow" w:hAnsi="Arial Narrow"/>
                <w:b/>
                <w:sz w:val="20"/>
              </w:rPr>
              <w:t>)</w:t>
            </w:r>
          </w:p>
          <w:p w:rsidR="00235BB0" w:rsidRPr="00A84A0B" w:rsidRDefault="00235BB0" w:rsidP="005939DA">
            <w:pPr>
              <w:jc w:val="center"/>
              <w:rPr>
                <w:rFonts w:ascii="Arial Narrow" w:hAnsi="Arial Narrow"/>
                <w:b/>
                <w:sz w:val="20"/>
              </w:rPr>
            </w:pPr>
            <w:r w:rsidRPr="00A84A0B">
              <w:rPr>
                <w:rFonts w:ascii="Arial Narrow" w:hAnsi="Arial Narrow"/>
                <w:sz w:val="20"/>
              </w:rPr>
              <w:t>I</w:t>
            </w:r>
            <w:r w:rsidRPr="00A84A0B">
              <w:rPr>
                <w:rFonts w:ascii="Arial Narrow" w:hAnsi="Arial Narrow"/>
                <w:sz w:val="20"/>
                <w:vertAlign w:val="superscript"/>
              </w:rPr>
              <w:t>2</w:t>
            </w:r>
            <w:r w:rsidRPr="00A84A0B">
              <w:rPr>
                <w:rFonts w:ascii="Arial Narrow" w:hAnsi="Arial Narrow"/>
                <w:sz w:val="20"/>
              </w:rPr>
              <w:t>=49.9%</w:t>
            </w:r>
          </w:p>
        </w:tc>
        <w:tc>
          <w:tcPr>
            <w:tcW w:w="1272" w:type="dxa"/>
            <w:vAlign w:val="center"/>
          </w:tcPr>
          <w:p w:rsidR="00235BB0" w:rsidRPr="00A84A0B" w:rsidRDefault="00653F4E" w:rsidP="005939DA">
            <w:pPr>
              <w:jc w:val="center"/>
              <w:rPr>
                <w:rFonts w:ascii="Arial Narrow" w:hAnsi="Arial Narrow"/>
                <w:b/>
                <w:sz w:val="20"/>
              </w:rPr>
            </w:pPr>
            <w:r>
              <w:rPr>
                <w:rFonts w:ascii="Arial Narrow" w:hAnsi="Arial Narrow"/>
                <w:b/>
                <w:noProof/>
                <w:color w:val="000000"/>
                <w:sz w:val="20"/>
                <w:highlight w:val="black"/>
              </w:rPr>
              <w:t>''''''''</w:t>
            </w:r>
            <w:r w:rsidR="00235BB0" w:rsidRPr="00A84A0B">
              <w:rPr>
                <w:rFonts w:ascii="Arial Narrow" w:hAnsi="Arial Narrow"/>
                <w:b/>
                <w:sz w:val="20"/>
              </w:rPr>
              <w:t xml:space="preserve"> (</w:t>
            </w:r>
            <w:r>
              <w:rPr>
                <w:rFonts w:ascii="Arial Narrow" w:hAnsi="Arial Narrow"/>
                <w:b/>
                <w:noProof/>
                <w:color w:val="000000"/>
                <w:sz w:val="20"/>
                <w:highlight w:val="black"/>
              </w:rPr>
              <w:t>''''''''</w:t>
            </w:r>
            <w:r w:rsidR="00235BB0" w:rsidRPr="00A84A0B">
              <w:rPr>
                <w:rFonts w:ascii="Arial Narrow" w:hAnsi="Arial Narrow"/>
                <w:b/>
                <w:sz w:val="20"/>
              </w:rPr>
              <w:t xml:space="preserve">, </w:t>
            </w:r>
            <w:r>
              <w:rPr>
                <w:rFonts w:ascii="Arial Narrow" w:hAnsi="Arial Narrow"/>
                <w:b/>
                <w:noProof/>
                <w:color w:val="000000"/>
                <w:sz w:val="20"/>
                <w:highlight w:val="black"/>
              </w:rPr>
              <w:t>'''''''''</w:t>
            </w:r>
            <w:r w:rsidR="00235BB0" w:rsidRPr="00A84A0B">
              <w:rPr>
                <w:rFonts w:ascii="Arial Narrow" w:hAnsi="Arial Narrow"/>
                <w:b/>
                <w:sz w:val="20"/>
              </w:rPr>
              <w:t>)</w:t>
            </w:r>
          </w:p>
          <w:p w:rsidR="00235BB0" w:rsidRPr="00A84A0B" w:rsidRDefault="00235BB0" w:rsidP="005939DA">
            <w:pPr>
              <w:jc w:val="center"/>
              <w:rPr>
                <w:rFonts w:ascii="Arial Narrow" w:hAnsi="Arial Narrow"/>
                <w:sz w:val="20"/>
              </w:rPr>
            </w:pPr>
            <w:r w:rsidRPr="00A84A0B">
              <w:rPr>
                <w:rFonts w:ascii="Arial Narrow" w:hAnsi="Arial Narrow"/>
                <w:sz w:val="20"/>
              </w:rPr>
              <w:t>I</w:t>
            </w:r>
            <w:r w:rsidRPr="00A84A0B">
              <w:rPr>
                <w:rFonts w:ascii="Arial Narrow" w:hAnsi="Arial Narrow"/>
                <w:sz w:val="20"/>
                <w:vertAlign w:val="superscript"/>
              </w:rPr>
              <w:t>2</w:t>
            </w:r>
            <w:r w:rsidRPr="00A84A0B">
              <w:rPr>
                <w:rFonts w:ascii="Arial Narrow" w:hAnsi="Arial Narrow"/>
                <w:sz w:val="20"/>
              </w:rPr>
              <w:t>=0%</w:t>
            </w:r>
          </w:p>
        </w:tc>
        <w:tc>
          <w:tcPr>
            <w:tcW w:w="959" w:type="dxa"/>
            <w:vAlign w:val="center"/>
          </w:tcPr>
          <w:p w:rsidR="00235BB0" w:rsidRPr="00A84A0B" w:rsidRDefault="00235BB0" w:rsidP="005939DA">
            <w:pPr>
              <w:jc w:val="center"/>
              <w:rPr>
                <w:rFonts w:ascii="Arial Narrow" w:hAnsi="Arial Narrow"/>
                <w:sz w:val="20"/>
              </w:rPr>
            </w:pPr>
            <w:r w:rsidRPr="00A84A0B">
              <w:rPr>
                <w:rFonts w:ascii="Arial Narrow" w:hAnsi="Arial Narrow"/>
                <w:sz w:val="20"/>
              </w:rPr>
              <w:t>NS</w:t>
            </w:r>
          </w:p>
        </w:tc>
      </w:tr>
    </w:tbl>
    <w:p w:rsidR="00566BCB" w:rsidRPr="00A84A0B" w:rsidRDefault="00566BCB" w:rsidP="005939DA">
      <w:pPr>
        <w:ind w:left="709"/>
        <w:jc w:val="both"/>
        <w:rPr>
          <w:rFonts w:ascii="Arial Narrow" w:hAnsi="Arial Narrow"/>
          <w:sz w:val="18"/>
          <w:szCs w:val="18"/>
        </w:rPr>
      </w:pPr>
      <w:r w:rsidRPr="00A84A0B">
        <w:rPr>
          <w:rFonts w:ascii="Arial Narrow" w:hAnsi="Arial Narrow"/>
          <w:sz w:val="20"/>
        </w:rPr>
        <w:t>AMCCRCC=advanced or metastatic clear-cell renal cell carcinoma;</w:t>
      </w:r>
      <w:r w:rsidRPr="00A84A0B">
        <w:rPr>
          <w:rFonts w:ascii="Arial Narrow" w:hAnsi="Arial Narrow"/>
          <w:sz w:val="18"/>
          <w:szCs w:val="18"/>
        </w:rPr>
        <w:t xml:space="preserve"> ATE=atezolizumab; CI=confidence interval; DAC=dacarbazine; DOC=docetaxel; EVE=ever</w:t>
      </w:r>
      <w:r w:rsidR="004A02C9" w:rsidRPr="00A84A0B">
        <w:rPr>
          <w:rFonts w:ascii="Arial Narrow" w:hAnsi="Arial Narrow"/>
          <w:sz w:val="18"/>
          <w:szCs w:val="18"/>
        </w:rPr>
        <w:t>ol</w:t>
      </w:r>
      <w:r w:rsidRPr="00A84A0B">
        <w:rPr>
          <w:rFonts w:ascii="Arial Narrow" w:hAnsi="Arial Narrow"/>
          <w:sz w:val="18"/>
          <w:szCs w:val="18"/>
        </w:rPr>
        <w:t>imus; HR=hazard ratio; IC=investigator choice; IPI=ipilimumab;</w:t>
      </w:r>
      <w:r w:rsidR="007405B5" w:rsidRPr="00A84A0B">
        <w:rPr>
          <w:rFonts w:ascii="Arial Narrow" w:hAnsi="Arial Narrow"/>
          <w:sz w:val="18"/>
          <w:szCs w:val="18"/>
        </w:rPr>
        <w:t xml:space="preserve"> NE=not estimable;</w:t>
      </w:r>
      <w:r w:rsidRPr="00A84A0B">
        <w:rPr>
          <w:rFonts w:ascii="Arial Narrow" w:hAnsi="Arial Narrow"/>
          <w:sz w:val="18"/>
          <w:szCs w:val="18"/>
        </w:rPr>
        <w:t xml:space="preserve"> NIV=nivolumab; </w:t>
      </w:r>
      <w:r w:rsidR="00A21783" w:rsidRPr="00A84A0B">
        <w:rPr>
          <w:rFonts w:ascii="Arial Narrow" w:hAnsi="Arial Narrow"/>
          <w:sz w:val="18"/>
          <w:szCs w:val="18"/>
        </w:rPr>
        <w:t xml:space="preserve">NR=not reported; </w:t>
      </w:r>
      <w:r w:rsidR="007405B5" w:rsidRPr="00A84A0B">
        <w:rPr>
          <w:rFonts w:ascii="Arial Narrow" w:hAnsi="Arial Narrow"/>
          <w:sz w:val="18"/>
          <w:szCs w:val="18"/>
        </w:rPr>
        <w:t xml:space="preserve">NS=not statistically significant at 5% level; </w:t>
      </w:r>
      <w:r w:rsidRPr="00A84A0B">
        <w:rPr>
          <w:rFonts w:ascii="Arial Narrow" w:hAnsi="Arial Narrow"/>
          <w:sz w:val="18"/>
          <w:szCs w:val="18"/>
        </w:rPr>
        <w:t>NSCLC=non-small cell lung cancer; Non-Sq NSCLC=non-squamous non-small cell lung cancer; NR=not reported; PD-L1+=PD-L1 positive; PEM=pembrolizumab; RMSCCHN=recurrent or metastatic squamous cell carcinoma of the head and neck; Sq NSCLC=squamous non-small cell lung cancer; 1L=first-line; 2L=second-line.</w:t>
      </w:r>
    </w:p>
    <w:p w:rsidR="00806184" w:rsidRPr="00A84A0B" w:rsidRDefault="00806184" w:rsidP="005939DA">
      <w:pPr>
        <w:ind w:left="709"/>
        <w:jc w:val="both"/>
        <w:rPr>
          <w:rFonts w:ascii="Arial Narrow" w:hAnsi="Arial Narrow"/>
          <w:sz w:val="18"/>
        </w:rPr>
      </w:pPr>
      <w:r w:rsidRPr="00A84A0B">
        <w:rPr>
          <w:rFonts w:ascii="Arial Narrow" w:hAnsi="Arial Narrow"/>
          <w:sz w:val="18"/>
        </w:rPr>
        <w:t>Bold values indicate statistically significant differences</w:t>
      </w:r>
    </w:p>
    <w:p w:rsidR="00075109" w:rsidRPr="00A84A0B" w:rsidRDefault="00075109" w:rsidP="005939DA">
      <w:pPr>
        <w:ind w:left="709"/>
        <w:jc w:val="both"/>
        <w:rPr>
          <w:rFonts w:ascii="Arial Narrow" w:hAnsi="Arial Narrow"/>
          <w:sz w:val="18"/>
        </w:rPr>
      </w:pPr>
      <w:r w:rsidRPr="00A84A0B">
        <w:rPr>
          <w:rFonts w:ascii="Arial Narrow" w:hAnsi="Arial Narrow"/>
          <w:sz w:val="18"/>
        </w:rPr>
        <w:t>Additional meta-analyses conducted in StatsDirect and tests for interaction conducted during the evaluation (if not reported in the trial reports)</w:t>
      </w:r>
    </w:p>
    <w:p w:rsidR="007405B5" w:rsidRPr="00A84A0B" w:rsidRDefault="007405B5" w:rsidP="005939DA">
      <w:pPr>
        <w:ind w:left="709"/>
        <w:jc w:val="both"/>
        <w:rPr>
          <w:rFonts w:ascii="Arial Narrow" w:hAnsi="Arial Narrow"/>
          <w:sz w:val="18"/>
        </w:rPr>
      </w:pPr>
      <w:r w:rsidRPr="00A84A0B">
        <w:rPr>
          <w:rFonts w:ascii="Arial Narrow" w:hAnsi="Arial Narrow"/>
          <w:sz w:val="18"/>
        </w:rPr>
        <w:t>The results of the Keynote-024 trial were excluded from Table 3 and the meta-analyses as the estimates reported for subgroup analyses in Reck et al 2016 were for “Disease progression or death”, rather than for death alone.  For reference, the ITT HR (95% CI) for death = 0.60 (0.41, 0.89); ITT HR (95% CI) for disease progression or death = 0.50 (0.37, 0.68).</w:t>
      </w:r>
    </w:p>
    <w:p w:rsidR="00FD0269" w:rsidRPr="00A84A0B" w:rsidRDefault="00FD0269" w:rsidP="005939DA">
      <w:pPr>
        <w:tabs>
          <w:tab w:val="left" w:pos="993"/>
        </w:tabs>
        <w:ind w:left="709"/>
        <w:jc w:val="both"/>
        <w:rPr>
          <w:rFonts w:ascii="Arial Narrow" w:hAnsi="Arial Narrow"/>
          <w:sz w:val="16"/>
          <w:szCs w:val="18"/>
        </w:rPr>
      </w:pPr>
      <w:r w:rsidRPr="00A84A0B">
        <w:rPr>
          <w:rFonts w:ascii="Arial Narrow" w:hAnsi="Arial Narrow"/>
          <w:sz w:val="18"/>
        </w:rPr>
        <w:t>*</w:t>
      </w:r>
      <w:r w:rsidRPr="00A84A0B">
        <w:rPr>
          <w:rFonts w:ascii="Arial Narrow" w:hAnsi="Arial Narrow"/>
          <w:sz w:val="18"/>
        </w:rPr>
        <w:tab/>
        <w:t>approximated using a test for interaction relevant to relative risk estimates</w:t>
      </w:r>
      <w:r w:rsidR="00263208" w:rsidRPr="00A84A0B">
        <w:rPr>
          <w:rFonts w:ascii="Arial Narrow" w:hAnsi="Arial Narrow"/>
          <w:sz w:val="18"/>
        </w:rPr>
        <w:t xml:space="preserve"> </w:t>
      </w:r>
      <w:r w:rsidR="00263208" w:rsidRPr="00A84A0B">
        <w:rPr>
          <w:rFonts w:ascii="Arial Narrow" w:hAnsi="Arial Narrow"/>
          <w:sz w:val="18"/>
          <w:szCs w:val="18"/>
        </w:rPr>
        <w:t>(&lt;0.05 or NS)</w:t>
      </w:r>
    </w:p>
    <w:p w:rsidR="00566BCB" w:rsidRPr="00A84A0B" w:rsidRDefault="00806184" w:rsidP="005939DA">
      <w:pPr>
        <w:tabs>
          <w:tab w:val="left" w:pos="993"/>
        </w:tabs>
        <w:ind w:left="709"/>
        <w:jc w:val="both"/>
        <w:rPr>
          <w:rFonts w:ascii="Arial Narrow" w:hAnsi="Arial Narrow"/>
          <w:sz w:val="18"/>
        </w:rPr>
      </w:pPr>
      <w:r w:rsidRPr="00A84A0B">
        <w:rPr>
          <w:rFonts w:ascii="Arial Narrow" w:hAnsi="Arial Narrow"/>
          <w:sz w:val="18"/>
          <w:vertAlign w:val="superscript"/>
        </w:rPr>
        <w:t>a</w:t>
      </w:r>
      <w:r w:rsidR="00566BCB" w:rsidRPr="00A84A0B">
        <w:rPr>
          <w:rFonts w:ascii="Arial Narrow" w:hAnsi="Arial Narrow"/>
          <w:sz w:val="18"/>
        </w:rPr>
        <w:tab/>
        <w:t>N</w:t>
      </w:r>
      <w:r w:rsidR="00D21010">
        <w:rPr>
          <w:rFonts w:ascii="Arial Narrow" w:hAnsi="Arial Narrow"/>
          <w:sz w:val="18"/>
        </w:rPr>
        <w:t xml:space="preserve"> </w:t>
      </w:r>
      <w:r w:rsidR="00566BCB" w:rsidRPr="00A84A0B">
        <w:rPr>
          <w:rFonts w:ascii="Arial Narrow" w:hAnsi="Arial Narrow"/>
          <w:sz w:val="18"/>
        </w:rPr>
        <w:t>=</w:t>
      </w:r>
      <w:r w:rsidR="00D21010">
        <w:rPr>
          <w:rFonts w:ascii="Arial Narrow" w:hAnsi="Arial Narrow"/>
          <w:sz w:val="18"/>
        </w:rPr>
        <w:t xml:space="preserve"> </w:t>
      </w:r>
      <w:r w:rsidR="00566BCB" w:rsidRPr="00A84A0B">
        <w:rPr>
          <w:rFonts w:ascii="Arial Narrow" w:hAnsi="Arial Narrow"/>
          <w:sz w:val="18"/>
        </w:rPr>
        <w:t>total in trial and (%)</w:t>
      </w:r>
      <w:r w:rsidR="00D21010">
        <w:rPr>
          <w:rFonts w:ascii="Arial Narrow" w:hAnsi="Arial Narrow"/>
          <w:sz w:val="18"/>
        </w:rPr>
        <w:t xml:space="preserve"> </w:t>
      </w:r>
      <w:r w:rsidR="00566BCB" w:rsidRPr="00A84A0B">
        <w:rPr>
          <w:rFonts w:ascii="Arial Narrow" w:hAnsi="Arial Narrow"/>
          <w:sz w:val="18"/>
        </w:rPr>
        <w:t>=</w:t>
      </w:r>
      <w:r w:rsidR="00D21010">
        <w:rPr>
          <w:rFonts w:ascii="Arial Narrow" w:hAnsi="Arial Narrow"/>
          <w:sz w:val="18"/>
        </w:rPr>
        <w:t xml:space="preserve"> </w:t>
      </w:r>
      <w:r w:rsidR="00566BCB" w:rsidRPr="00A84A0B">
        <w:rPr>
          <w:rFonts w:ascii="Arial Narrow" w:hAnsi="Arial Narrow"/>
          <w:sz w:val="18"/>
        </w:rPr>
        <w:t>proportion aged &lt;75years or &lt;65 years (depending on the analysis)</w:t>
      </w:r>
    </w:p>
    <w:p w:rsidR="004F7A0B" w:rsidRPr="00A84A0B" w:rsidRDefault="004F7A0B" w:rsidP="005939DA">
      <w:pPr>
        <w:tabs>
          <w:tab w:val="left" w:pos="993"/>
        </w:tabs>
        <w:ind w:left="993" w:hanging="284"/>
        <w:jc w:val="both"/>
        <w:rPr>
          <w:rFonts w:ascii="Arial Narrow" w:hAnsi="Arial Narrow"/>
          <w:sz w:val="18"/>
          <w:szCs w:val="18"/>
        </w:rPr>
      </w:pPr>
      <w:r w:rsidRPr="00A84A0B">
        <w:rPr>
          <w:rFonts w:ascii="Arial Narrow" w:hAnsi="Arial Narrow"/>
          <w:sz w:val="18"/>
          <w:szCs w:val="18"/>
          <w:vertAlign w:val="superscript"/>
        </w:rPr>
        <w:t>b</w:t>
      </w:r>
      <w:r w:rsidRPr="00A84A0B">
        <w:rPr>
          <w:rFonts w:ascii="Arial Narrow" w:hAnsi="Arial Narrow"/>
          <w:sz w:val="18"/>
          <w:szCs w:val="18"/>
        </w:rPr>
        <w:tab/>
        <w:t>pp11-12 of the minor re-submission and Figure 7.2.1-1, pp103-104 of the CA209-017 trial report.  Minimum follow-up of 10.6 months.</w:t>
      </w:r>
    </w:p>
    <w:p w:rsidR="004F7A0B" w:rsidRPr="00A84A0B" w:rsidRDefault="004F7A0B" w:rsidP="005939DA">
      <w:pPr>
        <w:tabs>
          <w:tab w:val="left" w:pos="993"/>
        </w:tabs>
        <w:ind w:left="993" w:hanging="284"/>
        <w:jc w:val="both"/>
        <w:rPr>
          <w:rFonts w:ascii="Arial Narrow" w:hAnsi="Arial Narrow"/>
          <w:sz w:val="18"/>
          <w:szCs w:val="18"/>
        </w:rPr>
      </w:pPr>
      <w:r w:rsidRPr="00A84A0B">
        <w:rPr>
          <w:rFonts w:ascii="Arial Narrow" w:hAnsi="Arial Narrow"/>
          <w:sz w:val="18"/>
          <w:szCs w:val="18"/>
          <w:vertAlign w:val="superscript"/>
        </w:rPr>
        <w:t>c</w:t>
      </w:r>
      <w:r w:rsidRPr="00A84A0B">
        <w:rPr>
          <w:rFonts w:ascii="Arial Narrow" w:hAnsi="Arial Narrow"/>
          <w:sz w:val="18"/>
          <w:szCs w:val="18"/>
        </w:rPr>
        <w:tab/>
        <w:t>pp11-12 of the minor re-submission and Figure 7.2.1-1, p124-126 of the CA209-057 trial report.  Minimum follow-up of 13.2 months.</w:t>
      </w:r>
    </w:p>
    <w:p w:rsidR="004F7A0B" w:rsidRPr="00A84A0B" w:rsidRDefault="004F7A0B" w:rsidP="005939DA">
      <w:pPr>
        <w:tabs>
          <w:tab w:val="left" w:pos="993"/>
        </w:tabs>
        <w:ind w:left="993" w:hanging="284"/>
        <w:jc w:val="both"/>
        <w:rPr>
          <w:rFonts w:ascii="Arial Narrow" w:hAnsi="Arial Narrow"/>
          <w:sz w:val="18"/>
          <w:szCs w:val="18"/>
        </w:rPr>
      </w:pPr>
      <w:r w:rsidRPr="00A84A0B">
        <w:rPr>
          <w:rFonts w:ascii="Arial Narrow" w:hAnsi="Arial Narrow"/>
          <w:sz w:val="18"/>
          <w:szCs w:val="18"/>
          <w:vertAlign w:val="superscript"/>
        </w:rPr>
        <w:t>d</w:t>
      </w:r>
      <w:r w:rsidRPr="00A84A0B">
        <w:rPr>
          <w:rFonts w:ascii="Arial Narrow" w:hAnsi="Arial Narrow"/>
          <w:sz w:val="18"/>
          <w:szCs w:val="18"/>
        </w:rPr>
        <w:tab/>
        <w:t>pp23-27 o the minor re-submission and Herbst et al 2016.  Median follow-up was 13.1 months.</w:t>
      </w:r>
    </w:p>
    <w:p w:rsidR="004F7A0B" w:rsidRPr="00A84A0B" w:rsidRDefault="004F7A0B" w:rsidP="005939DA">
      <w:pPr>
        <w:tabs>
          <w:tab w:val="left" w:pos="993"/>
        </w:tabs>
        <w:ind w:left="993" w:hanging="284"/>
        <w:jc w:val="both"/>
        <w:rPr>
          <w:rFonts w:ascii="Arial Narrow" w:hAnsi="Arial Narrow"/>
          <w:sz w:val="18"/>
          <w:szCs w:val="18"/>
        </w:rPr>
      </w:pPr>
      <w:r w:rsidRPr="00A84A0B">
        <w:rPr>
          <w:rFonts w:ascii="Arial Narrow" w:hAnsi="Arial Narrow"/>
          <w:sz w:val="18"/>
          <w:szCs w:val="18"/>
          <w:vertAlign w:val="superscript"/>
        </w:rPr>
        <w:t>e</w:t>
      </w:r>
      <w:r w:rsidRPr="00A84A0B">
        <w:rPr>
          <w:rFonts w:ascii="Arial Narrow" w:hAnsi="Arial Narrow"/>
          <w:sz w:val="18"/>
          <w:szCs w:val="18"/>
        </w:rPr>
        <w:tab/>
        <w:t xml:space="preserve">pp23-24 of the minor re-submission and Reck et al 2016.  Median follow-up was 11.2 months.  Comparator was investigators choice of one of the following five platinum-based chemotherapy regimens for 4 to 6 cycles: carboplatin plus pemetrexed, cisplatin plus pemetrexed, carboplatin plus gemcitabine, cisplatin plus gemcitabine, or carboplatin plus paclitaxel.  </w:t>
      </w:r>
      <w:r w:rsidRPr="00A84A0B">
        <w:rPr>
          <w:rFonts w:ascii="Arial Narrow" w:hAnsi="Arial Narrow"/>
          <w:sz w:val="18"/>
          <w:szCs w:val="18"/>
          <w:u w:val="single"/>
        </w:rPr>
        <w:t>Hazard ratio reported for disease progression OR death</w:t>
      </w:r>
      <w:r w:rsidRPr="00A84A0B">
        <w:rPr>
          <w:rFonts w:ascii="Arial Narrow" w:hAnsi="Arial Narrow"/>
          <w:sz w:val="18"/>
          <w:szCs w:val="18"/>
        </w:rPr>
        <w:t>.  ITT HR (95% CI) for death =0.60 (0.41, 0.89); ITT HR (95% CI) for disease progression or death =0.50 (0.37, 0.68).</w:t>
      </w:r>
    </w:p>
    <w:p w:rsidR="004F7A0B" w:rsidRPr="00A84A0B" w:rsidRDefault="004F7A0B" w:rsidP="005939DA">
      <w:pPr>
        <w:tabs>
          <w:tab w:val="left" w:pos="993"/>
        </w:tabs>
        <w:ind w:left="993" w:hanging="284"/>
        <w:jc w:val="both"/>
        <w:rPr>
          <w:rFonts w:ascii="Arial Narrow" w:hAnsi="Arial Narrow"/>
          <w:sz w:val="18"/>
          <w:szCs w:val="18"/>
        </w:rPr>
      </w:pPr>
      <w:r w:rsidRPr="00A84A0B">
        <w:rPr>
          <w:rFonts w:ascii="Arial Narrow" w:hAnsi="Arial Narrow"/>
          <w:sz w:val="18"/>
          <w:szCs w:val="18"/>
          <w:vertAlign w:val="superscript"/>
        </w:rPr>
        <w:t>f</w:t>
      </w:r>
      <w:r w:rsidRPr="00A84A0B">
        <w:rPr>
          <w:rFonts w:ascii="Arial Narrow" w:hAnsi="Arial Narrow"/>
          <w:sz w:val="18"/>
          <w:szCs w:val="18"/>
        </w:rPr>
        <w:tab/>
        <w:t xml:space="preserve">pp23-24 of the minor re-submission and Figure 3A, p9 of Rittmeyer et al 2016.  Median follow-up of 21 months.  </w:t>
      </w:r>
    </w:p>
    <w:p w:rsidR="004F7A0B" w:rsidRPr="00A84A0B" w:rsidRDefault="004F7A0B" w:rsidP="005939DA">
      <w:pPr>
        <w:tabs>
          <w:tab w:val="left" w:pos="993"/>
        </w:tabs>
        <w:ind w:left="993" w:hanging="284"/>
        <w:jc w:val="both"/>
        <w:rPr>
          <w:rFonts w:ascii="Arial Narrow" w:hAnsi="Arial Narrow"/>
          <w:sz w:val="18"/>
          <w:szCs w:val="18"/>
        </w:rPr>
      </w:pPr>
      <w:r w:rsidRPr="00A84A0B">
        <w:rPr>
          <w:rFonts w:ascii="Arial Narrow" w:hAnsi="Arial Narrow"/>
          <w:sz w:val="18"/>
          <w:szCs w:val="18"/>
          <w:vertAlign w:val="superscript"/>
        </w:rPr>
        <w:t>g</w:t>
      </w:r>
      <w:r w:rsidRPr="00A84A0B">
        <w:rPr>
          <w:rFonts w:ascii="Arial Narrow" w:hAnsi="Arial Narrow"/>
          <w:sz w:val="18"/>
          <w:szCs w:val="18"/>
        </w:rPr>
        <w:tab/>
        <w:t xml:space="preserve">pp26-27 of the minor re-submission and Figure 7.3.1-1, pp106-107 of the CA209-037 trial report.  Median follow-up was 15.34 and 13.67 months in the nivolumab and IC groups, respectively.  Investigator's choice (IC) chemotherapy </w:t>
      </w:r>
      <w:r w:rsidR="003D5F5B" w:rsidRPr="00A84A0B">
        <w:rPr>
          <w:rFonts w:ascii="Arial Narrow" w:hAnsi="Arial Narrow"/>
          <w:sz w:val="18"/>
          <w:szCs w:val="18"/>
        </w:rPr>
        <w:t>group: either dacarbazine (1000 </w:t>
      </w:r>
      <w:r w:rsidRPr="00A84A0B">
        <w:rPr>
          <w:rFonts w:ascii="Arial Narrow" w:hAnsi="Arial Narrow"/>
          <w:sz w:val="18"/>
          <w:szCs w:val="18"/>
        </w:rPr>
        <w:t>mg/m</w:t>
      </w:r>
      <w:r w:rsidRPr="00A84A0B">
        <w:rPr>
          <w:rFonts w:ascii="Arial Narrow" w:hAnsi="Arial Narrow"/>
          <w:sz w:val="18"/>
          <w:szCs w:val="18"/>
          <w:vertAlign w:val="superscript"/>
        </w:rPr>
        <w:t>2</w:t>
      </w:r>
      <w:r w:rsidRPr="00A84A0B">
        <w:rPr>
          <w:rFonts w:ascii="Arial Narrow" w:hAnsi="Arial Narrow"/>
          <w:sz w:val="18"/>
          <w:szCs w:val="18"/>
        </w:rPr>
        <w:t xml:space="preserve"> every three weeks [Q3W] or carb</w:t>
      </w:r>
      <w:r w:rsidR="003D5F5B" w:rsidRPr="00A84A0B">
        <w:rPr>
          <w:rFonts w:ascii="Arial Narrow" w:hAnsi="Arial Narrow"/>
          <w:sz w:val="18"/>
          <w:szCs w:val="18"/>
        </w:rPr>
        <w:t>oplatin AUC6 and paclitaxel 175 </w:t>
      </w:r>
      <w:r w:rsidRPr="00A84A0B">
        <w:rPr>
          <w:rFonts w:ascii="Arial Narrow" w:hAnsi="Arial Narrow"/>
          <w:sz w:val="18"/>
          <w:szCs w:val="18"/>
        </w:rPr>
        <w:t>mg/m</w:t>
      </w:r>
      <w:r w:rsidRPr="00A84A0B">
        <w:rPr>
          <w:rFonts w:ascii="Arial Narrow" w:hAnsi="Arial Narrow"/>
          <w:sz w:val="18"/>
          <w:szCs w:val="18"/>
          <w:vertAlign w:val="superscript"/>
        </w:rPr>
        <w:t>2</w:t>
      </w:r>
      <w:r w:rsidRPr="00A84A0B">
        <w:rPr>
          <w:rFonts w:ascii="Arial Narrow" w:hAnsi="Arial Narrow"/>
          <w:sz w:val="18"/>
          <w:szCs w:val="18"/>
        </w:rPr>
        <w:t xml:space="preserve"> Q3W).  Subjects receiving ICC were treated with a regimen which they had not previously received as therapy for metastatic melanoma.</w:t>
      </w:r>
    </w:p>
    <w:p w:rsidR="004F7A0B" w:rsidRPr="00A84A0B" w:rsidRDefault="004F7A0B" w:rsidP="005939DA">
      <w:pPr>
        <w:tabs>
          <w:tab w:val="left" w:pos="993"/>
        </w:tabs>
        <w:ind w:left="993" w:hanging="284"/>
        <w:jc w:val="both"/>
        <w:rPr>
          <w:rFonts w:ascii="Arial Narrow" w:hAnsi="Arial Narrow"/>
          <w:sz w:val="18"/>
          <w:szCs w:val="18"/>
        </w:rPr>
      </w:pPr>
      <w:r w:rsidRPr="00A84A0B">
        <w:rPr>
          <w:rFonts w:ascii="Arial Narrow" w:hAnsi="Arial Narrow"/>
          <w:sz w:val="18"/>
          <w:szCs w:val="18"/>
          <w:vertAlign w:val="superscript"/>
        </w:rPr>
        <w:t>h</w:t>
      </w:r>
      <w:r w:rsidRPr="00A84A0B">
        <w:rPr>
          <w:rFonts w:ascii="Arial Narrow" w:hAnsi="Arial Narrow"/>
          <w:sz w:val="18"/>
          <w:szCs w:val="18"/>
        </w:rPr>
        <w:tab/>
        <w:t xml:space="preserve">pp26-27 of the minor re-submission and Figure 7.2.1-1, pp81-82 of the CA209-066 trial report.  Median follow-up was not reported in the provided CSR.  </w:t>
      </w:r>
    </w:p>
    <w:p w:rsidR="004F7A0B" w:rsidRPr="00A84A0B" w:rsidRDefault="004F7A0B" w:rsidP="005939DA">
      <w:pPr>
        <w:tabs>
          <w:tab w:val="left" w:pos="993"/>
        </w:tabs>
        <w:ind w:left="993" w:hanging="284"/>
        <w:jc w:val="both"/>
        <w:rPr>
          <w:rFonts w:ascii="Arial Narrow" w:hAnsi="Arial Narrow"/>
          <w:sz w:val="18"/>
          <w:szCs w:val="18"/>
        </w:rPr>
      </w:pPr>
      <w:r w:rsidRPr="00A84A0B">
        <w:rPr>
          <w:rFonts w:ascii="Arial Narrow" w:hAnsi="Arial Narrow"/>
          <w:sz w:val="18"/>
          <w:szCs w:val="18"/>
          <w:vertAlign w:val="superscript"/>
        </w:rPr>
        <w:t>i</w:t>
      </w:r>
      <w:r w:rsidRPr="00A84A0B">
        <w:rPr>
          <w:rFonts w:ascii="Arial Narrow" w:hAnsi="Arial Narrow"/>
          <w:sz w:val="18"/>
          <w:szCs w:val="18"/>
          <w:vertAlign w:val="superscript"/>
        </w:rPr>
        <w:tab/>
      </w:r>
      <w:r w:rsidRPr="00A84A0B">
        <w:rPr>
          <w:rFonts w:ascii="Arial Narrow" w:hAnsi="Arial Narrow"/>
          <w:sz w:val="18"/>
          <w:szCs w:val="18"/>
        </w:rPr>
        <w:t xml:space="preserve">pp26-27 of the minor re-submission and </w:t>
      </w:r>
      <w:r w:rsidR="00DA34C9" w:rsidRPr="00A84A0B">
        <w:rPr>
          <w:rFonts w:ascii="Arial Narrow" w:hAnsi="Arial Narrow"/>
          <w:sz w:val="18"/>
          <w:szCs w:val="18"/>
        </w:rPr>
        <w:t xml:space="preserve">Figure 2, </w:t>
      </w:r>
      <w:r w:rsidRPr="00A84A0B">
        <w:rPr>
          <w:rFonts w:ascii="Arial Narrow" w:hAnsi="Arial Narrow"/>
          <w:sz w:val="18"/>
          <w:szCs w:val="18"/>
        </w:rPr>
        <w:t xml:space="preserve">p2526 of Robert et al 2015.  </w:t>
      </w:r>
      <w:r w:rsidR="00DA34C9" w:rsidRPr="00A84A0B">
        <w:rPr>
          <w:rFonts w:ascii="Arial Narrow" w:hAnsi="Arial Narrow"/>
          <w:sz w:val="18"/>
          <w:szCs w:val="18"/>
        </w:rPr>
        <w:t xml:space="preserve">Results reported for </w:t>
      </w:r>
      <w:r w:rsidR="00263208" w:rsidRPr="00A84A0B">
        <w:rPr>
          <w:rFonts w:ascii="Arial Narrow" w:hAnsi="Arial Narrow"/>
          <w:sz w:val="18"/>
          <w:szCs w:val="18"/>
        </w:rPr>
        <w:t>pembrolizumab 10</w:t>
      </w:r>
      <w:r w:rsidR="003D5F5B" w:rsidRPr="00A84A0B">
        <w:rPr>
          <w:rFonts w:ascii="Arial Narrow" w:hAnsi="Arial Narrow"/>
          <w:sz w:val="18"/>
          <w:szCs w:val="18"/>
        </w:rPr>
        <w:t> </w:t>
      </w:r>
      <w:r w:rsidR="00DA34C9" w:rsidRPr="00A84A0B">
        <w:rPr>
          <w:rFonts w:ascii="Arial Narrow" w:hAnsi="Arial Narrow"/>
          <w:sz w:val="18"/>
          <w:szCs w:val="18"/>
        </w:rPr>
        <w:t xml:space="preserve">mg/kg </w:t>
      </w:r>
      <w:r w:rsidR="00263208" w:rsidRPr="00A84A0B">
        <w:rPr>
          <w:rFonts w:ascii="Arial Narrow" w:hAnsi="Arial Narrow"/>
          <w:sz w:val="18"/>
          <w:szCs w:val="18"/>
        </w:rPr>
        <w:t xml:space="preserve">q2w </w:t>
      </w:r>
      <w:r w:rsidR="00DA34C9" w:rsidRPr="00A84A0B">
        <w:rPr>
          <w:rFonts w:ascii="Arial Narrow" w:hAnsi="Arial Narrow"/>
          <w:sz w:val="18"/>
          <w:szCs w:val="18"/>
        </w:rPr>
        <w:t xml:space="preserve">versus ipilimumab and </w:t>
      </w:r>
      <w:r w:rsidR="00263208" w:rsidRPr="00A84A0B">
        <w:rPr>
          <w:rFonts w:ascii="Arial Narrow" w:hAnsi="Arial Narrow"/>
          <w:sz w:val="18"/>
          <w:szCs w:val="18"/>
        </w:rPr>
        <w:t xml:space="preserve">pembrolizumab </w:t>
      </w:r>
      <w:r w:rsidR="00DA34C9" w:rsidRPr="00A84A0B">
        <w:rPr>
          <w:rFonts w:ascii="Arial Narrow" w:hAnsi="Arial Narrow"/>
          <w:sz w:val="18"/>
          <w:szCs w:val="18"/>
        </w:rPr>
        <w:t>10</w:t>
      </w:r>
      <w:r w:rsidR="003D5F5B" w:rsidRPr="00A84A0B">
        <w:rPr>
          <w:rFonts w:ascii="Arial Narrow" w:hAnsi="Arial Narrow"/>
          <w:sz w:val="18"/>
          <w:szCs w:val="18"/>
        </w:rPr>
        <w:t> </w:t>
      </w:r>
      <w:r w:rsidR="00DA34C9" w:rsidRPr="00A84A0B">
        <w:rPr>
          <w:rFonts w:ascii="Arial Narrow" w:hAnsi="Arial Narrow"/>
          <w:sz w:val="18"/>
          <w:szCs w:val="18"/>
        </w:rPr>
        <w:t xml:space="preserve">mg/kg </w:t>
      </w:r>
      <w:r w:rsidR="00263208" w:rsidRPr="00A84A0B">
        <w:rPr>
          <w:rFonts w:ascii="Arial Narrow" w:hAnsi="Arial Narrow"/>
          <w:sz w:val="18"/>
          <w:szCs w:val="18"/>
        </w:rPr>
        <w:t xml:space="preserve">q3w </w:t>
      </w:r>
      <w:r w:rsidR="00DA34C9" w:rsidRPr="00A84A0B">
        <w:rPr>
          <w:rFonts w:ascii="Arial Narrow" w:hAnsi="Arial Narrow"/>
          <w:sz w:val="18"/>
          <w:szCs w:val="18"/>
        </w:rPr>
        <w:t>versus ipilimumab (</w:t>
      </w:r>
      <w:r w:rsidR="00263208" w:rsidRPr="00A84A0B">
        <w:rPr>
          <w:rFonts w:ascii="Arial Narrow" w:hAnsi="Arial Narrow"/>
          <w:sz w:val="18"/>
          <w:szCs w:val="18"/>
        </w:rPr>
        <w:t>q2w</w:t>
      </w:r>
      <w:r w:rsidR="00DA34C9" w:rsidRPr="00A84A0B">
        <w:rPr>
          <w:rFonts w:ascii="Arial Narrow" w:hAnsi="Arial Narrow"/>
          <w:sz w:val="18"/>
          <w:szCs w:val="18"/>
        </w:rPr>
        <w:t xml:space="preserve"> reported first).  Treated as two trials in the meta-analysis.  </w:t>
      </w:r>
      <w:r w:rsidRPr="00A84A0B">
        <w:rPr>
          <w:rFonts w:ascii="Arial Narrow" w:hAnsi="Arial Narrow"/>
          <w:sz w:val="18"/>
          <w:szCs w:val="18"/>
        </w:rPr>
        <w:t>Minimum follow-up was 12 months</w:t>
      </w:r>
    </w:p>
    <w:p w:rsidR="004F7A0B" w:rsidRPr="00A84A0B" w:rsidRDefault="004F7A0B" w:rsidP="005939DA">
      <w:pPr>
        <w:tabs>
          <w:tab w:val="left" w:pos="993"/>
        </w:tabs>
        <w:ind w:left="993" w:hanging="284"/>
        <w:jc w:val="both"/>
        <w:rPr>
          <w:rFonts w:ascii="Arial Narrow" w:hAnsi="Arial Narrow"/>
          <w:sz w:val="18"/>
          <w:szCs w:val="18"/>
        </w:rPr>
      </w:pPr>
      <w:r w:rsidRPr="00A84A0B">
        <w:rPr>
          <w:rFonts w:ascii="Arial Narrow" w:hAnsi="Arial Narrow"/>
          <w:sz w:val="18"/>
          <w:szCs w:val="18"/>
          <w:vertAlign w:val="superscript"/>
        </w:rPr>
        <w:t>j</w:t>
      </w:r>
      <w:r w:rsidRPr="00A84A0B">
        <w:rPr>
          <w:rFonts w:ascii="Arial Narrow" w:hAnsi="Arial Narrow"/>
          <w:sz w:val="18"/>
          <w:szCs w:val="18"/>
          <w:vertAlign w:val="superscript"/>
        </w:rPr>
        <w:tab/>
      </w:r>
      <w:r w:rsidRPr="00A84A0B">
        <w:rPr>
          <w:rFonts w:ascii="Arial Narrow" w:hAnsi="Arial Narrow"/>
          <w:sz w:val="18"/>
          <w:szCs w:val="18"/>
        </w:rPr>
        <w:t>pp26-27 of the minor re-submission and Figure 7.2.1-1, p117 of the CA209-025 trial report.  Median follow-up 18.25 months for nivolumab and 17.22 months for everolimus.</w:t>
      </w:r>
    </w:p>
    <w:p w:rsidR="00806184" w:rsidRPr="00A84A0B" w:rsidRDefault="004F7A0B" w:rsidP="005939DA">
      <w:pPr>
        <w:tabs>
          <w:tab w:val="left" w:pos="993"/>
        </w:tabs>
        <w:ind w:left="993" w:hanging="284"/>
        <w:jc w:val="both"/>
        <w:rPr>
          <w:rFonts w:ascii="Arial Narrow" w:hAnsi="Arial Narrow"/>
          <w:sz w:val="18"/>
          <w:szCs w:val="18"/>
        </w:rPr>
      </w:pPr>
      <w:r w:rsidRPr="00A84A0B">
        <w:rPr>
          <w:rFonts w:ascii="Arial Narrow" w:hAnsi="Arial Narrow"/>
          <w:sz w:val="18"/>
          <w:szCs w:val="18"/>
          <w:vertAlign w:val="superscript"/>
        </w:rPr>
        <w:t>k</w:t>
      </w:r>
      <w:r w:rsidRPr="00A84A0B">
        <w:rPr>
          <w:rFonts w:ascii="Arial Narrow" w:hAnsi="Arial Narrow"/>
          <w:sz w:val="18"/>
          <w:szCs w:val="18"/>
          <w:vertAlign w:val="superscript"/>
        </w:rPr>
        <w:tab/>
      </w:r>
      <w:r w:rsidRPr="00A84A0B">
        <w:rPr>
          <w:rFonts w:ascii="Arial Narrow" w:hAnsi="Arial Narrow"/>
          <w:sz w:val="18"/>
          <w:szCs w:val="18"/>
        </w:rPr>
        <w:t>pp26-27 of the minor re-submission and Figure 7.2.1-1, p84 of the CA209-141 trial report.  Median follow-up 5.3 months for nivolumab and 4.5 months for investigators choice chemotherapy group. Investigator’s choice therapy (cetuximab 400</w:t>
      </w:r>
      <w:r w:rsidR="003D5F5B" w:rsidRPr="00A84A0B">
        <w:rPr>
          <w:rFonts w:ascii="Arial Narrow" w:hAnsi="Arial Narrow"/>
          <w:sz w:val="18"/>
          <w:szCs w:val="18"/>
        </w:rPr>
        <w:t> </w:t>
      </w:r>
      <w:r w:rsidRPr="00A84A0B">
        <w:rPr>
          <w:rFonts w:ascii="Arial Narrow" w:hAnsi="Arial Narrow"/>
          <w:sz w:val="18"/>
          <w:szCs w:val="18"/>
        </w:rPr>
        <w:t>mg/m</w:t>
      </w:r>
      <w:r w:rsidRPr="00A84A0B">
        <w:rPr>
          <w:rFonts w:ascii="Arial Narrow" w:hAnsi="Arial Narrow"/>
          <w:sz w:val="18"/>
          <w:szCs w:val="18"/>
          <w:vertAlign w:val="superscript"/>
        </w:rPr>
        <w:t>2</w:t>
      </w:r>
      <w:r w:rsidRPr="00A84A0B">
        <w:rPr>
          <w:rFonts w:ascii="Arial Narrow" w:hAnsi="Arial Narrow"/>
          <w:sz w:val="18"/>
          <w:szCs w:val="18"/>
        </w:rPr>
        <w:t xml:space="preserve"> IV once, then 250</w:t>
      </w:r>
      <w:r w:rsidR="003D5F5B" w:rsidRPr="00A84A0B">
        <w:rPr>
          <w:rFonts w:ascii="Arial Narrow" w:hAnsi="Arial Narrow"/>
          <w:sz w:val="18"/>
          <w:szCs w:val="18"/>
        </w:rPr>
        <w:t> mg</w:t>
      </w:r>
      <w:r w:rsidRPr="00A84A0B">
        <w:rPr>
          <w:rFonts w:ascii="Arial Narrow" w:hAnsi="Arial Narrow"/>
          <w:sz w:val="18"/>
          <w:szCs w:val="18"/>
        </w:rPr>
        <w:t>/m</w:t>
      </w:r>
      <w:r w:rsidRPr="00A84A0B">
        <w:rPr>
          <w:rFonts w:ascii="Arial Narrow" w:hAnsi="Arial Narrow"/>
          <w:sz w:val="18"/>
          <w:szCs w:val="18"/>
          <w:vertAlign w:val="superscript"/>
        </w:rPr>
        <w:t>2</w:t>
      </w:r>
      <w:r w:rsidRPr="00A84A0B">
        <w:rPr>
          <w:rFonts w:ascii="Arial Narrow" w:hAnsi="Arial Narrow"/>
          <w:sz w:val="18"/>
          <w:szCs w:val="18"/>
        </w:rPr>
        <w:t xml:space="preserve"> weekly; methotrexate 40</w:t>
      </w:r>
      <w:r w:rsidR="003D5F5B" w:rsidRPr="00A84A0B">
        <w:rPr>
          <w:rFonts w:ascii="Arial Narrow" w:hAnsi="Arial Narrow"/>
          <w:sz w:val="18"/>
          <w:szCs w:val="18"/>
        </w:rPr>
        <w:t> </w:t>
      </w:r>
      <w:r w:rsidRPr="00A84A0B">
        <w:rPr>
          <w:rFonts w:ascii="Arial Narrow" w:hAnsi="Arial Narrow"/>
          <w:sz w:val="18"/>
          <w:szCs w:val="18"/>
        </w:rPr>
        <w:t>mg/m</w:t>
      </w:r>
      <w:r w:rsidRPr="00A84A0B">
        <w:rPr>
          <w:rFonts w:ascii="Arial Narrow" w:hAnsi="Arial Narrow"/>
          <w:sz w:val="18"/>
          <w:szCs w:val="18"/>
          <w:vertAlign w:val="superscript"/>
        </w:rPr>
        <w:t>2</w:t>
      </w:r>
      <w:r w:rsidRPr="00A84A0B">
        <w:rPr>
          <w:rFonts w:ascii="Arial Narrow" w:hAnsi="Arial Narrow"/>
          <w:sz w:val="18"/>
          <w:szCs w:val="18"/>
        </w:rPr>
        <w:t xml:space="preserve"> IV weekly, or docetaxel 30</w:t>
      </w:r>
      <w:r w:rsidR="003D5F5B" w:rsidRPr="00A84A0B">
        <w:rPr>
          <w:rFonts w:ascii="Arial Narrow" w:hAnsi="Arial Narrow"/>
          <w:sz w:val="18"/>
          <w:szCs w:val="18"/>
        </w:rPr>
        <w:t> </w:t>
      </w:r>
      <w:r w:rsidRPr="00A84A0B">
        <w:rPr>
          <w:rFonts w:ascii="Arial Narrow" w:hAnsi="Arial Narrow"/>
          <w:sz w:val="18"/>
          <w:szCs w:val="18"/>
        </w:rPr>
        <w:t>mg/m</w:t>
      </w:r>
      <w:r w:rsidRPr="00A84A0B">
        <w:rPr>
          <w:rFonts w:ascii="Arial Narrow" w:hAnsi="Arial Narrow"/>
          <w:sz w:val="18"/>
          <w:szCs w:val="18"/>
          <w:vertAlign w:val="superscript"/>
        </w:rPr>
        <w:t xml:space="preserve">2 </w:t>
      </w:r>
      <w:r w:rsidRPr="00A84A0B">
        <w:rPr>
          <w:rFonts w:ascii="Arial Narrow" w:hAnsi="Arial Narrow"/>
          <w:sz w:val="18"/>
          <w:szCs w:val="18"/>
        </w:rPr>
        <w:t>IV weekly).</w:t>
      </w:r>
    </w:p>
    <w:p w:rsidR="00806184" w:rsidRPr="00A84A0B" w:rsidRDefault="00806184" w:rsidP="005939DA">
      <w:pPr>
        <w:tabs>
          <w:tab w:val="left" w:pos="993"/>
        </w:tabs>
        <w:jc w:val="both"/>
        <w:rPr>
          <w:rFonts w:ascii="Arial" w:hAnsi="Arial" w:cs="Arial"/>
          <w:sz w:val="22"/>
          <w:szCs w:val="22"/>
        </w:rPr>
      </w:pPr>
    </w:p>
    <w:p w:rsidR="00D936E0" w:rsidRPr="00A84A0B" w:rsidRDefault="00160F6E" w:rsidP="005939DA">
      <w:pPr>
        <w:pStyle w:val="ListParagraph"/>
        <w:widowControl/>
        <w:numPr>
          <w:ilvl w:val="1"/>
          <w:numId w:val="1"/>
        </w:numPr>
        <w:rPr>
          <w:szCs w:val="22"/>
        </w:rPr>
      </w:pPr>
      <w:r w:rsidRPr="00A84A0B">
        <w:rPr>
          <w:szCs w:val="22"/>
        </w:rPr>
        <w:t>T</w:t>
      </w:r>
      <w:r w:rsidR="00D936E0" w:rsidRPr="00A84A0B">
        <w:rPr>
          <w:szCs w:val="22"/>
        </w:rPr>
        <w:t xml:space="preserve">he data </w:t>
      </w:r>
      <w:r w:rsidRPr="00A84A0B">
        <w:rPr>
          <w:szCs w:val="22"/>
        </w:rPr>
        <w:t xml:space="preserve">from the individual trials </w:t>
      </w:r>
      <w:r w:rsidR="00D936E0" w:rsidRPr="00A84A0B">
        <w:rPr>
          <w:szCs w:val="22"/>
        </w:rPr>
        <w:t xml:space="preserve">indicated that: </w:t>
      </w:r>
    </w:p>
    <w:p w:rsidR="00D936E0" w:rsidRPr="00A84A0B" w:rsidRDefault="00D936E0" w:rsidP="005939DA">
      <w:pPr>
        <w:pStyle w:val="ListParagraph"/>
        <w:widowControl/>
        <w:numPr>
          <w:ilvl w:val="0"/>
          <w:numId w:val="19"/>
        </w:numPr>
        <w:ind w:left="993" w:hanging="284"/>
        <w:rPr>
          <w:szCs w:val="22"/>
        </w:rPr>
      </w:pPr>
      <w:r w:rsidRPr="00A84A0B">
        <w:rPr>
          <w:szCs w:val="22"/>
        </w:rPr>
        <w:t>For those aged less than 75 years (reported in only Trial 017), a statistically significant improvement in overall survival was associated with treatment with nivolumab compared with docetaxel; and</w:t>
      </w:r>
    </w:p>
    <w:p w:rsidR="00160F6E" w:rsidRPr="00A84A0B" w:rsidRDefault="00D936E0" w:rsidP="005939DA">
      <w:pPr>
        <w:pStyle w:val="ListParagraph"/>
        <w:widowControl/>
        <w:numPr>
          <w:ilvl w:val="0"/>
          <w:numId w:val="19"/>
        </w:numPr>
        <w:ind w:left="993" w:hanging="284"/>
        <w:rPr>
          <w:szCs w:val="22"/>
        </w:rPr>
      </w:pPr>
      <w:r w:rsidRPr="00A84A0B">
        <w:rPr>
          <w:szCs w:val="22"/>
        </w:rPr>
        <w:t xml:space="preserve">For those aged 75 or more (only reported in the nivolumab trials), there were no statistically significant differences between nivolumab or any comparator </w:t>
      </w:r>
      <w:r w:rsidRPr="00A84A0B">
        <w:rPr>
          <w:szCs w:val="22"/>
        </w:rPr>
        <w:lastRenderedPageBreak/>
        <w:t>(depending on indication) in any indication, with the exception of Trial CA209-066 (a comparison of nivolumab and dacarbazine in the treatment of first-line melano</w:t>
      </w:r>
      <w:r w:rsidR="00F67F32" w:rsidRPr="00A84A0B">
        <w:rPr>
          <w:szCs w:val="22"/>
        </w:rPr>
        <w:t>ma), which favoured nivolumab.</w:t>
      </w:r>
    </w:p>
    <w:p w:rsidR="00160F6E" w:rsidRPr="00A84A0B" w:rsidRDefault="00160F6E" w:rsidP="005939DA">
      <w:pPr>
        <w:rPr>
          <w:rFonts w:ascii="Arial" w:hAnsi="Arial" w:cs="Arial"/>
          <w:sz w:val="22"/>
          <w:szCs w:val="22"/>
        </w:rPr>
      </w:pPr>
    </w:p>
    <w:p w:rsidR="0019441E" w:rsidRPr="00A84A0B" w:rsidRDefault="00160F6E" w:rsidP="005939DA">
      <w:pPr>
        <w:pStyle w:val="ListParagraph"/>
        <w:widowControl/>
        <w:numPr>
          <w:ilvl w:val="1"/>
          <w:numId w:val="1"/>
        </w:numPr>
        <w:rPr>
          <w:szCs w:val="22"/>
        </w:rPr>
      </w:pPr>
      <w:r w:rsidRPr="00A84A0B">
        <w:rPr>
          <w:szCs w:val="22"/>
        </w:rPr>
        <w:t xml:space="preserve">The data from the individual trials </w:t>
      </w:r>
      <w:r w:rsidR="00293776" w:rsidRPr="00A84A0B">
        <w:rPr>
          <w:szCs w:val="22"/>
        </w:rPr>
        <w:t xml:space="preserve">need to be interpreted in the context that very few patients </w:t>
      </w:r>
      <w:r w:rsidR="007F5229" w:rsidRPr="00A84A0B">
        <w:rPr>
          <w:szCs w:val="22"/>
        </w:rPr>
        <w:t xml:space="preserve">(5-20%) </w:t>
      </w:r>
      <w:r w:rsidR="00293776" w:rsidRPr="00A84A0B">
        <w:rPr>
          <w:szCs w:val="22"/>
        </w:rPr>
        <w:t xml:space="preserve">aged 75 years or </w:t>
      </w:r>
      <w:r w:rsidRPr="00A84A0B">
        <w:rPr>
          <w:szCs w:val="22"/>
        </w:rPr>
        <w:t xml:space="preserve">more </w:t>
      </w:r>
      <w:r w:rsidR="00293776" w:rsidRPr="00A84A0B">
        <w:rPr>
          <w:szCs w:val="22"/>
        </w:rPr>
        <w:t>were enrolled in the trials.</w:t>
      </w:r>
      <w:r w:rsidR="007F5229" w:rsidRPr="00A84A0B">
        <w:rPr>
          <w:szCs w:val="22"/>
        </w:rPr>
        <w:t xml:space="preserve"> </w:t>
      </w:r>
      <w:r w:rsidR="00C11DF5" w:rsidRPr="00A84A0B">
        <w:rPr>
          <w:szCs w:val="22"/>
        </w:rPr>
        <w:t xml:space="preserve">Additionally, </w:t>
      </w:r>
      <w:r w:rsidR="0019441E" w:rsidRPr="00A84A0B">
        <w:rPr>
          <w:szCs w:val="22"/>
        </w:rPr>
        <w:t xml:space="preserve">Brahmer et al (2015, publication of the CA209-017 trial) stated that the lack of treatment effect observed in those aged 75 years </w:t>
      </w:r>
      <w:r w:rsidR="00BF7C48" w:rsidRPr="00A84A0B">
        <w:rPr>
          <w:szCs w:val="22"/>
        </w:rPr>
        <w:t xml:space="preserve">or more </w:t>
      </w:r>
      <w:r w:rsidR="0019441E" w:rsidRPr="00A84A0B">
        <w:rPr>
          <w:szCs w:val="22"/>
        </w:rPr>
        <w:t xml:space="preserve">was “probably attributable to small sample sizes, a lack of adjustment of type I error for multiple comparisons, and an imbalance in ECOG performance-status score that </w:t>
      </w:r>
      <w:r w:rsidR="0019441E" w:rsidRPr="00024398">
        <w:rPr>
          <w:szCs w:val="22"/>
        </w:rPr>
        <w:t>favo</w:t>
      </w:r>
      <w:r w:rsidR="00024398" w:rsidRPr="00024398">
        <w:rPr>
          <w:szCs w:val="22"/>
        </w:rPr>
        <w:t>u</w:t>
      </w:r>
      <w:r w:rsidR="0019441E" w:rsidRPr="00024398">
        <w:rPr>
          <w:szCs w:val="22"/>
        </w:rPr>
        <w:t>red</w:t>
      </w:r>
      <w:r w:rsidR="0019441E" w:rsidRPr="00A84A0B">
        <w:rPr>
          <w:szCs w:val="22"/>
        </w:rPr>
        <w:t xml:space="preserve"> the docetaxel group in the subgroup of patients who were 75 years of age or older (in this subgroup, an ECOG performance-status score of 1 was assessed in 91% of the patients in the nivolumab group, vs. 61% of those in the docetaxel group)”; noting that the trial enrolled those with an ECOG</w:t>
      </w:r>
      <w:r w:rsidR="00BD5E09" w:rsidRPr="00A84A0B">
        <w:rPr>
          <w:szCs w:val="22"/>
        </w:rPr>
        <w:t xml:space="preserve"> performance-</w:t>
      </w:r>
      <w:r w:rsidR="0019441E" w:rsidRPr="00A84A0B">
        <w:rPr>
          <w:szCs w:val="22"/>
        </w:rPr>
        <w:t>status of 0 or 1.</w:t>
      </w:r>
    </w:p>
    <w:p w:rsidR="00160F6E" w:rsidRPr="00A84A0B" w:rsidRDefault="00160F6E" w:rsidP="005939DA">
      <w:pPr>
        <w:rPr>
          <w:rFonts w:ascii="Arial" w:hAnsi="Arial" w:cs="Arial"/>
          <w:sz w:val="22"/>
          <w:szCs w:val="22"/>
        </w:rPr>
      </w:pPr>
    </w:p>
    <w:p w:rsidR="00160F6E" w:rsidRPr="00A84A0B" w:rsidRDefault="00160F6E" w:rsidP="005939DA">
      <w:pPr>
        <w:pStyle w:val="ListParagraph"/>
        <w:widowControl/>
        <w:numPr>
          <w:ilvl w:val="1"/>
          <w:numId w:val="1"/>
        </w:numPr>
        <w:rPr>
          <w:szCs w:val="22"/>
        </w:rPr>
      </w:pPr>
      <w:r w:rsidRPr="00A84A0B">
        <w:rPr>
          <w:szCs w:val="22"/>
        </w:rPr>
        <w:t>T</w:t>
      </w:r>
      <w:r w:rsidR="00D936E0" w:rsidRPr="00A84A0B">
        <w:rPr>
          <w:szCs w:val="22"/>
        </w:rPr>
        <w:t xml:space="preserve">he meta-analyses conducted </w:t>
      </w:r>
      <w:r w:rsidR="0019441E" w:rsidRPr="00A84A0B">
        <w:rPr>
          <w:szCs w:val="22"/>
        </w:rPr>
        <w:t xml:space="preserve">for those aged 75 years or </w:t>
      </w:r>
      <w:r w:rsidRPr="00A84A0B">
        <w:rPr>
          <w:szCs w:val="22"/>
        </w:rPr>
        <w:t>more indicated:</w:t>
      </w:r>
    </w:p>
    <w:p w:rsidR="00160F6E" w:rsidRPr="00A84A0B" w:rsidRDefault="00160F6E" w:rsidP="005939DA">
      <w:pPr>
        <w:pStyle w:val="ListParagraph"/>
        <w:widowControl/>
        <w:numPr>
          <w:ilvl w:val="0"/>
          <w:numId w:val="19"/>
        </w:numPr>
        <w:ind w:left="993" w:hanging="284"/>
        <w:rPr>
          <w:szCs w:val="22"/>
        </w:rPr>
      </w:pPr>
      <w:r w:rsidRPr="00A84A0B">
        <w:rPr>
          <w:szCs w:val="22"/>
        </w:rPr>
        <w:t>there was significant heterogeneity observed for all analyses indicating likely inappropriate combination of trial results; and</w:t>
      </w:r>
    </w:p>
    <w:p w:rsidR="00EF6721" w:rsidRPr="00A84A0B" w:rsidRDefault="00D936E0" w:rsidP="005939DA">
      <w:pPr>
        <w:pStyle w:val="ListParagraph"/>
        <w:widowControl/>
        <w:numPr>
          <w:ilvl w:val="0"/>
          <w:numId w:val="19"/>
        </w:numPr>
        <w:ind w:left="993" w:hanging="284"/>
        <w:rPr>
          <w:szCs w:val="22"/>
        </w:rPr>
      </w:pPr>
      <w:r w:rsidRPr="00A84A0B">
        <w:rPr>
          <w:szCs w:val="22"/>
        </w:rPr>
        <w:t>no differences between nivolumab and its comparators in terms of overall survival in the treatment of NSCLC, melanoma or “cancer”</w:t>
      </w:r>
      <w:r w:rsidR="00452721" w:rsidRPr="00A84A0B">
        <w:rPr>
          <w:szCs w:val="22"/>
        </w:rPr>
        <w:t xml:space="preserve"> </w:t>
      </w:r>
      <w:r w:rsidR="00160F6E" w:rsidRPr="00A84A0B">
        <w:rPr>
          <w:szCs w:val="22"/>
        </w:rPr>
        <w:t>were observed</w:t>
      </w:r>
      <w:r w:rsidRPr="00A84A0B">
        <w:rPr>
          <w:szCs w:val="22"/>
        </w:rPr>
        <w:t>.</w:t>
      </w:r>
    </w:p>
    <w:p w:rsidR="00160F6E" w:rsidRPr="00A84A0B" w:rsidRDefault="00160F6E" w:rsidP="005939DA">
      <w:pPr>
        <w:rPr>
          <w:rFonts w:ascii="Arial" w:hAnsi="Arial" w:cs="Arial"/>
          <w:sz w:val="22"/>
          <w:szCs w:val="22"/>
        </w:rPr>
      </w:pPr>
    </w:p>
    <w:p w:rsidR="007F5229" w:rsidRPr="00A84A0B" w:rsidRDefault="00D936E0" w:rsidP="005939DA">
      <w:pPr>
        <w:pStyle w:val="ListParagraph"/>
        <w:widowControl/>
        <w:numPr>
          <w:ilvl w:val="1"/>
          <w:numId w:val="1"/>
        </w:numPr>
        <w:rPr>
          <w:szCs w:val="22"/>
        </w:rPr>
      </w:pPr>
      <w:r w:rsidRPr="00A84A0B">
        <w:rPr>
          <w:szCs w:val="22"/>
        </w:rPr>
        <w:t xml:space="preserve">The test for interaction </w:t>
      </w:r>
      <w:r w:rsidR="00830CBD" w:rsidRPr="00A84A0B">
        <w:rPr>
          <w:szCs w:val="22"/>
        </w:rPr>
        <w:t xml:space="preserve">(comparing those aged less than 75 years and those aged 75 years or more) </w:t>
      </w:r>
      <w:r w:rsidRPr="00A84A0B">
        <w:rPr>
          <w:szCs w:val="22"/>
        </w:rPr>
        <w:t xml:space="preserve">indicated that </w:t>
      </w:r>
      <w:r w:rsidR="006B1A85" w:rsidRPr="00A84A0B">
        <w:rPr>
          <w:szCs w:val="22"/>
        </w:rPr>
        <w:t>age was</w:t>
      </w:r>
      <w:r w:rsidRPr="00A84A0B">
        <w:rPr>
          <w:szCs w:val="22"/>
        </w:rPr>
        <w:t xml:space="preserve"> a treatment effect modifier for nivolumab in the treatment of NSCLC from data reported in Trial CA209-017</w:t>
      </w:r>
      <w:r w:rsidR="00B736BF" w:rsidRPr="00A84A0B">
        <w:rPr>
          <w:szCs w:val="22"/>
        </w:rPr>
        <w:t>.</w:t>
      </w:r>
    </w:p>
    <w:p w:rsidR="00160F6E" w:rsidRPr="00A84A0B" w:rsidRDefault="00160F6E" w:rsidP="005939DA">
      <w:pPr>
        <w:rPr>
          <w:rFonts w:ascii="Arial" w:hAnsi="Arial" w:cs="Arial"/>
          <w:sz w:val="22"/>
          <w:szCs w:val="22"/>
        </w:rPr>
      </w:pPr>
    </w:p>
    <w:p w:rsidR="00D936E0" w:rsidRPr="00A84A0B" w:rsidRDefault="007F5229" w:rsidP="005939DA">
      <w:pPr>
        <w:pStyle w:val="ListParagraph"/>
        <w:widowControl/>
        <w:numPr>
          <w:ilvl w:val="1"/>
          <w:numId w:val="1"/>
        </w:numPr>
        <w:rPr>
          <w:szCs w:val="22"/>
        </w:rPr>
      </w:pPr>
      <w:r w:rsidRPr="00A84A0B">
        <w:rPr>
          <w:szCs w:val="22"/>
        </w:rPr>
        <w:t xml:space="preserve">Given the relatively small number of patients informing the comparative effect of nivolumab compared with its comparator in NSCLC among those aged 75 years </w:t>
      </w:r>
      <w:r w:rsidR="00BF7C48" w:rsidRPr="00A84A0B">
        <w:rPr>
          <w:szCs w:val="22"/>
        </w:rPr>
        <w:t xml:space="preserve">or more </w:t>
      </w:r>
      <w:r w:rsidRPr="00A84A0B">
        <w:rPr>
          <w:szCs w:val="22"/>
        </w:rPr>
        <w:t>in Trial CA209-017</w:t>
      </w:r>
      <w:r w:rsidR="007405B5" w:rsidRPr="00A84A0B">
        <w:rPr>
          <w:szCs w:val="22"/>
        </w:rPr>
        <w:t xml:space="preserve"> (n=11 and 18 in the nivolumab and docetaxel treatment groups, respectively)</w:t>
      </w:r>
      <w:r w:rsidRPr="00A84A0B">
        <w:rPr>
          <w:szCs w:val="22"/>
        </w:rPr>
        <w:t xml:space="preserve">, a comparison of those aged </w:t>
      </w:r>
      <w:r w:rsidR="00BF7C48" w:rsidRPr="00A84A0B">
        <w:rPr>
          <w:szCs w:val="22"/>
        </w:rPr>
        <w:t xml:space="preserve">less than </w:t>
      </w:r>
      <w:r w:rsidRPr="00A84A0B">
        <w:rPr>
          <w:szCs w:val="22"/>
        </w:rPr>
        <w:t xml:space="preserve">75 years from Trial CA209-017 </w:t>
      </w:r>
      <w:r w:rsidR="00830CBD" w:rsidRPr="00A84A0B">
        <w:rPr>
          <w:szCs w:val="22"/>
        </w:rPr>
        <w:t xml:space="preserve">(n=124 for nivolumab and n=119 for docetaxel) </w:t>
      </w:r>
      <w:r w:rsidRPr="00A84A0B">
        <w:rPr>
          <w:szCs w:val="22"/>
        </w:rPr>
        <w:t xml:space="preserve">and a meta-analyses of those aged 75 years </w:t>
      </w:r>
      <w:r w:rsidR="00BF7C48" w:rsidRPr="00A84A0B">
        <w:rPr>
          <w:szCs w:val="22"/>
        </w:rPr>
        <w:t xml:space="preserve">or more </w:t>
      </w:r>
      <w:r w:rsidRPr="00A84A0B">
        <w:rPr>
          <w:szCs w:val="22"/>
        </w:rPr>
        <w:t xml:space="preserve">from all NSCLC </w:t>
      </w:r>
      <w:r w:rsidR="00830CBD" w:rsidRPr="00A84A0B">
        <w:rPr>
          <w:szCs w:val="22"/>
        </w:rPr>
        <w:t xml:space="preserve">(n=31 for nivolumab and n=41 for docetaxel) </w:t>
      </w:r>
      <w:r w:rsidRPr="00A84A0B">
        <w:rPr>
          <w:szCs w:val="22"/>
        </w:rPr>
        <w:t xml:space="preserve">or </w:t>
      </w:r>
      <w:r w:rsidR="00E205ED" w:rsidRPr="00A84A0B">
        <w:rPr>
          <w:szCs w:val="22"/>
        </w:rPr>
        <w:t xml:space="preserve">all </w:t>
      </w:r>
      <w:r w:rsidRPr="00A84A0B">
        <w:rPr>
          <w:szCs w:val="22"/>
        </w:rPr>
        <w:t xml:space="preserve">cancer trials </w:t>
      </w:r>
      <w:r w:rsidR="00830CBD" w:rsidRPr="00A84A0B">
        <w:rPr>
          <w:szCs w:val="22"/>
        </w:rPr>
        <w:t xml:space="preserve">(n=144 for nivolumab and n=143 for the comparator) </w:t>
      </w:r>
      <w:r w:rsidRPr="00A84A0B">
        <w:rPr>
          <w:szCs w:val="22"/>
        </w:rPr>
        <w:t>was also conducted. The test for interaction continued to indicate age was a treatment effect modifier with the inclusion of data from the other NSCLC trial (CA209-057), however this effect was no longer observed upon inclusion of the melanoma (CA209-037, -066) and other cancer (CA209-025) trials.</w:t>
      </w:r>
    </w:p>
    <w:p w:rsidR="00D936E0" w:rsidRPr="00A84A0B" w:rsidRDefault="00D936E0" w:rsidP="005939DA">
      <w:pPr>
        <w:rPr>
          <w:rFonts w:ascii="Arial" w:hAnsi="Arial" w:cs="Arial"/>
          <w:sz w:val="22"/>
          <w:szCs w:val="22"/>
        </w:rPr>
      </w:pPr>
    </w:p>
    <w:p w:rsidR="00263208" w:rsidRPr="00A84A0B" w:rsidRDefault="00D936E0" w:rsidP="005939DA">
      <w:pPr>
        <w:pStyle w:val="ListParagraph"/>
        <w:widowControl/>
        <w:numPr>
          <w:ilvl w:val="1"/>
          <w:numId w:val="1"/>
        </w:numPr>
        <w:rPr>
          <w:szCs w:val="22"/>
        </w:rPr>
      </w:pPr>
      <w:r w:rsidRPr="00A84A0B">
        <w:rPr>
          <w:szCs w:val="22"/>
        </w:rPr>
        <w:t xml:space="preserve">Given many of the trials reported overall survival in both the </w:t>
      </w:r>
      <w:r w:rsidR="00ED7B7C" w:rsidRPr="00A84A0B">
        <w:rPr>
          <w:szCs w:val="22"/>
        </w:rPr>
        <w:t xml:space="preserve">less than </w:t>
      </w:r>
      <w:r w:rsidRPr="00A84A0B">
        <w:rPr>
          <w:szCs w:val="22"/>
        </w:rPr>
        <w:t xml:space="preserve">65 </w:t>
      </w:r>
      <w:r w:rsidR="00ED7B7C" w:rsidRPr="00A84A0B">
        <w:rPr>
          <w:szCs w:val="22"/>
        </w:rPr>
        <w:t xml:space="preserve">years </w:t>
      </w:r>
      <w:r w:rsidRPr="00A84A0B">
        <w:rPr>
          <w:szCs w:val="22"/>
        </w:rPr>
        <w:t>and 65 year</w:t>
      </w:r>
      <w:r w:rsidR="00ED7B7C" w:rsidRPr="00A84A0B">
        <w:rPr>
          <w:szCs w:val="22"/>
        </w:rPr>
        <w:t>s or more</w:t>
      </w:r>
      <w:r w:rsidRPr="00A84A0B">
        <w:rPr>
          <w:szCs w:val="22"/>
        </w:rPr>
        <w:t xml:space="preserve"> subgroups, these were provided </w:t>
      </w:r>
      <w:r w:rsidR="00143042" w:rsidRPr="00A84A0B">
        <w:rPr>
          <w:szCs w:val="22"/>
        </w:rPr>
        <w:t xml:space="preserve">for information purposes only. </w:t>
      </w:r>
      <w:r w:rsidRPr="00A84A0B">
        <w:rPr>
          <w:szCs w:val="22"/>
        </w:rPr>
        <w:t>The results of this analysis demonstrated that</w:t>
      </w:r>
      <w:r w:rsidR="00263208" w:rsidRPr="00A84A0B">
        <w:rPr>
          <w:szCs w:val="22"/>
        </w:rPr>
        <w:t>:</w:t>
      </w:r>
    </w:p>
    <w:p w:rsidR="00840ABA" w:rsidRPr="00A84A0B" w:rsidRDefault="00840ABA" w:rsidP="005939DA">
      <w:pPr>
        <w:pStyle w:val="ListParagraph"/>
        <w:widowControl/>
        <w:numPr>
          <w:ilvl w:val="0"/>
          <w:numId w:val="19"/>
        </w:numPr>
        <w:ind w:left="993" w:hanging="284"/>
        <w:rPr>
          <w:szCs w:val="22"/>
        </w:rPr>
      </w:pPr>
      <w:r w:rsidRPr="00A84A0B">
        <w:rPr>
          <w:szCs w:val="22"/>
        </w:rPr>
        <w:t xml:space="preserve">variable results were observed, with some trials reporting </w:t>
      </w:r>
      <w:r w:rsidR="00D936E0" w:rsidRPr="00A84A0B">
        <w:rPr>
          <w:szCs w:val="22"/>
        </w:rPr>
        <w:t xml:space="preserve">statistically significant </w:t>
      </w:r>
      <w:r w:rsidRPr="00A84A0B">
        <w:rPr>
          <w:szCs w:val="22"/>
        </w:rPr>
        <w:t xml:space="preserve">improvements in overall survival for the treatment compared with the comparator amongst those aged </w:t>
      </w:r>
      <w:r w:rsidR="00ED7B7C" w:rsidRPr="00A84A0B">
        <w:rPr>
          <w:szCs w:val="22"/>
        </w:rPr>
        <w:t xml:space="preserve">less than </w:t>
      </w:r>
      <w:r w:rsidRPr="00A84A0B">
        <w:rPr>
          <w:szCs w:val="22"/>
        </w:rPr>
        <w:t>65</w:t>
      </w:r>
      <w:r w:rsidR="00ED7B7C" w:rsidRPr="00A84A0B">
        <w:rPr>
          <w:szCs w:val="22"/>
        </w:rPr>
        <w:t xml:space="preserve"> years</w:t>
      </w:r>
      <w:r w:rsidRPr="00A84A0B">
        <w:rPr>
          <w:szCs w:val="22"/>
        </w:rPr>
        <w:t>, but not those aged 65 years</w:t>
      </w:r>
      <w:r w:rsidR="00ED7B7C" w:rsidRPr="00A84A0B">
        <w:rPr>
          <w:szCs w:val="22"/>
        </w:rPr>
        <w:t xml:space="preserve"> or more</w:t>
      </w:r>
      <w:r w:rsidRPr="00A84A0B">
        <w:rPr>
          <w:szCs w:val="22"/>
        </w:rPr>
        <w:t xml:space="preserve"> (or vice versa), with other trials reporting differences in both groups or no differences in both groups.</w:t>
      </w:r>
    </w:p>
    <w:p w:rsidR="00D936E0" w:rsidRPr="00A84A0B" w:rsidRDefault="00840ABA" w:rsidP="005939DA">
      <w:pPr>
        <w:pStyle w:val="ListParagraph"/>
        <w:widowControl/>
        <w:numPr>
          <w:ilvl w:val="0"/>
          <w:numId w:val="19"/>
        </w:numPr>
        <w:ind w:left="993" w:hanging="284"/>
        <w:rPr>
          <w:szCs w:val="22"/>
        </w:rPr>
      </w:pPr>
      <w:r w:rsidRPr="00A84A0B">
        <w:rPr>
          <w:szCs w:val="22"/>
        </w:rPr>
        <w:t xml:space="preserve">the test for interaction </w:t>
      </w:r>
      <w:r w:rsidR="00830CBD" w:rsidRPr="00A84A0B">
        <w:rPr>
          <w:szCs w:val="22"/>
        </w:rPr>
        <w:t xml:space="preserve">(comparing those aged less than 65 years and those aged 65 years or more) </w:t>
      </w:r>
      <w:r w:rsidRPr="00A84A0B">
        <w:rPr>
          <w:szCs w:val="22"/>
        </w:rPr>
        <w:t xml:space="preserve">indicated that age was </w:t>
      </w:r>
      <w:r w:rsidR="00830CBD" w:rsidRPr="00A84A0B">
        <w:rPr>
          <w:szCs w:val="22"/>
        </w:rPr>
        <w:t xml:space="preserve">only </w:t>
      </w:r>
      <w:r w:rsidRPr="00A84A0B">
        <w:rPr>
          <w:szCs w:val="22"/>
        </w:rPr>
        <w:t xml:space="preserve">a treatment effect modifier for nivolumab in the treatment of melanoma from data reported in Trial CA209-037, with treatment effects being greater in the older sub-group. </w:t>
      </w:r>
      <w:r w:rsidR="00D936E0" w:rsidRPr="00A84A0B">
        <w:rPr>
          <w:szCs w:val="22"/>
        </w:rPr>
        <w:t xml:space="preserve">This needs to be interpreted in the context that no significant differences in overall survival were </w:t>
      </w:r>
      <w:r w:rsidR="00D936E0" w:rsidRPr="00A84A0B">
        <w:rPr>
          <w:szCs w:val="22"/>
        </w:rPr>
        <w:lastRenderedPageBreak/>
        <w:t>reported for the ITT population of Trial CA209-037, and the conduct o</w:t>
      </w:r>
      <w:r w:rsidRPr="00A84A0B">
        <w:rPr>
          <w:szCs w:val="22"/>
        </w:rPr>
        <w:t>f subsequent subgroup analyses wa</w:t>
      </w:r>
      <w:r w:rsidR="00D936E0" w:rsidRPr="00A84A0B">
        <w:rPr>
          <w:szCs w:val="22"/>
        </w:rPr>
        <w:t xml:space="preserve">s questionable. </w:t>
      </w:r>
      <w:r w:rsidR="00033BAB" w:rsidRPr="00A84A0B">
        <w:rPr>
          <w:szCs w:val="22"/>
        </w:rPr>
        <w:t>This wa</w:t>
      </w:r>
      <w:r w:rsidR="00830CBD" w:rsidRPr="00A84A0B">
        <w:rPr>
          <w:szCs w:val="22"/>
        </w:rPr>
        <w:t xml:space="preserve">s also in contrast to the results reported for age as a treatment effect modifier among those aged less than 75 years </w:t>
      </w:r>
      <w:r w:rsidR="00033BAB" w:rsidRPr="00A84A0B">
        <w:rPr>
          <w:szCs w:val="22"/>
        </w:rPr>
        <w:t>or 75 years or more among those with NSCLC.</w:t>
      </w:r>
    </w:p>
    <w:p w:rsidR="00840ABA" w:rsidRPr="00A84A0B" w:rsidRDefault="00840ABA" w:rsidP="005939DA">
      <w:pPr>
        <w:rPr>
          <w:rFonts w:ascii="Arial" w:hAnsi="Arial" w:cs="Arial"/>
          <w:sz w:val="22"/>
          <w:szCs w:val="22"/>
        </w:rPr>
      </w:pPr>
    </w:p>
    <w:p w:rsidR="00DF35F8" w:rsidRPr="00A84A0B" w:rsidRDefault="00840ABA" w:rsidP="005939DA">
      <w:pPr>
        <w:pStyle w:val="ListParagraph"/>
        <w:widowControl/>
        <w:numPr>
          <w:ilvl w:val="1"/>
          <w:numId w:val="1"/>
        </w:numPr>
        <w:rPr>
          <w:szCs w:val="22"/>
        </w:rPr>
      </w:pPr>
      <w:r w:rsidRPr="00A84A0B">
        <w:rPr>
          <w:szCs w:val="22"/>
        </w:rPr>
        <w:t xml:space="preserve">The minor re-submission also presented data reported in the </w:t>
      </w:r>
      <w:r w:rsidR="0019441E" w:rsidRPr="00A84A0B">
        <w:rPr>
          <w:szCs w:val="22"/>
        </w:rPr>
        <w:t>single</w:t>
      </w:r>
      <w:r w:rsidR="004F1A03" w:rsidRPr="00A84A0B">
        <w:rPr>
          <w:szCs w:val="22"/>
        </w:rPr>
        <w:t>-arm</w:t>
      </w:r>
      <w:r w:rsidRPr="00A84A0B">
        <w:rPr>
          <w:szCs w:val="22"/>
        </w:rPr>
        <w:t xml:space="preserve"> </w:t>
      </w:r>
      <w:r w:rsidR="005A00E3" w:rsidRPr="00A84A0B">
        <w:rPr>
          <w:szCs w:val="22"/>
        </w:rPr>
        <w:t>studies</w:t>
      </w:r>
      <w:r w:rsidR="0019441E" w:rsidRPr="00A84A0B">
        <w:rPr>
          <w:szCs w:val="22"/>
        </w:rPr>
        <w:t xml:space="preserve"> of nivolumab in the treatment of NSCLC</w:t>
      </w:r>
      <w:r w:rsidR="005A00E3" w:rsidRPr="00A84A0B">
        <w:rPr>
          <w:szCs w:val="22"/>
        </w:rPr>
        <w:t xml:space="preserve">, CHECKMATE-153 </w:t>
      </w:r>
      <w:r w:rsidR="0019441E" w:rsidRPr="00A84A0B">
        <w:rPr>
          <w:szCs w:val="22"/>
        </w:rPr>
        <w:t>(squamous and non-squamous)</w:t>
      </w:r>
      <w:r w:rsidR="0080672C" w:rsidRPr="00A84A0B">
        <w:rPr>
          <w:szCs w:val="22"/>
        </w:rPr>
        <w:t>,</w:t>
      </w:r>
      <w:r w:rsidR="0019441E" w:rsidRPr="00A84A0B">
        <w:rPr>
          <w:szCs w:val="22"/>
        </w:rPr>
        <w:t xml:space="preserve"> </w:t>
      </w:r>
      <w:r w:rsidR="005A00E3" w:rsidRPr="00A84A0B">
        <w:rPr>
          <w:szCs w:val="22"/>
        </w:rPr>
        <w:t xml:space="preserve">the Italian Expanded Access </w:t>
      </w:r>
      <w:r w:rsidR="00C41B4A" w:rsidRPr="00A84A0B">
        <w:rPr>
          <w:szCs w:val="22"/>
        </w:rPr>
        <w:t>Program</w:t>
      </w:r>
      <w:r w:rsidR="0019441E" w:rsidRPr="00A84A0B">
        <w:rPr>
          <w:szCs w:val="22"/>
        </w:rPr>
        <w:t xml:space="preserve"> (EAP; squamous)</w:t>
      </w:r>
      <w:r w:rsidR="0080672C" w:rsidRPr="00A84A0B">
        <w:rPr>
          <w:szCs w:val="22"/>
        </w:rPr>
        <w:t xml:space="preserve"> and the BMS Australian named patient program (BMSA NPP; squamous and non</w:t>
      </w:r>
      <w:r w:rsidR="00B736BF" w:rsidRPr="00A84A0B">
        <w:rPr>
          <w:szCs w:val="22"/>
        </w:rPr>
        <w:t>-</w:t>
      </w:r>
      <w:r w:rsidR="0080672C" w:rsidRPr="00A84A0B">
        <w:rPr>
          <w:szCs w:val="22"/>
        </w:rPr>
        <w:t>squamous).</w:t>
      </w:r>
    </w:p>
    <w:p w:rsidR="00DF35F8" w:rsidRPr="00A84A0B" w:rsidRDefault="00DF35F8" w:rsidP="005939DA">
      <w:pPr>
        <w:rPr>
          <w:rFonts w:ascii="Arial" w:hAnsi="Arial" w:cs="Arial"/>
          <w:sz w:val="22"/>
          <w:szCs w:val="22"/>
        </w:rPr>
      </w:pPr>
    </w:p>
    <w:p w:rsidR="00E911D7" w:rsidRPr="00A84A0B" w:rsidRDefault="0019441E" w:rsidP="005939DA">
      <w:pPr>
        <w:pStyle w:val="ListParagraph"/>
        <w:widowControl/>
        <w:numPr>
          <w:ilvl w:val="1"/>
          <w:numId w:val="1"/>
        </w:numPr>
        <w:rPr>
          <w:szCs w:val="22"/>
        </w:rPr>
      </w:pPr>
      <w:r w:rsidRPr="00A84A0B">
        <w:rPr>
          <w:szCs w:val="22"/>
        </w:rPr>
        <w:t>The results reported in CHECKMATE-153</w:t>
      </w:r>
      <w:r w:rsidR="00E911D7" w:rsidRPr="00A84A0B">
        <w:rPr>
          <w:szCs w:val="22"/>
        </w:rPr>
        <w:t xml:space="preserve">, presented at the 17th World Conference on Lung Cancer; based on those aged </w:t>
      </w:r>
      <w:r w:rsidR="00642A6A" w:rsidRPr="00A84A0B">
        <w:rPr>
          <w:szCs w:val="22"/>
        </w:rPr>
        <w:t xml:space="preserve">less than </w:t>
      </w:r>
      <w:r w:rsidR="00E911D7" w:rsidRPr="00A84A0B">
        <w:rPr>
          <w:szCs w:val="22"/>
        </w:rPr>
        <w:t xml:space="preserve">70 </w:t>
      </w:r>
      <w:r w:rsidR="00642A6A" w:rsidRPr="00A84A0B">
        <w:rPr>
          <w:szCs w:val="22"/>
        </w:rPr>
        <w:t xml:space="preserve">years </w:t>
      </w:r>
      <w:r w:rsidR="00E911D7" w:rsidRPr="00A84A0B">
        <w:rPr>
          <w:szCs w:val="22"/>
        </w:rPr>
        <w:t xml:space="preserve">and 70 years </w:t>
      </w:r>
      <w:r w:rsidR="00642A6A" w:rsidRPr="00A84A0B">
        <w:rPr>
          <w:szCs w:val="22"/>
        </w:rPr>
        <w:t xml:space="preserve">or more </w:t>
      </w:r>
      <w:r w:rsidR="00E911D7" w:rsidRPr="00A84A0B">
        <w:rPr>
          <w:szCs w:val="22"/>
        </w:rPr>
        <w:t>and those with an ECOG performance</w:t>
      </w:r>
      <w:r w:rsidR="001F152B" w:rsidRPr="00A84A0B">
        <w:rPr>
          <w:szCs w:val="22"/>
        </w:rPr>
        <w:t xml:space="preserve">-status </w:t>
      </w:r>
      <w:r w:rsidR="00E911D7" w:rsidRPr="00A84A0B">
        <w:rPr>
          <w:szCs w:val="22"/>
        </w:rPr>
        <w:t>of 0-1 or 2</w:t>
      </w:r>
      <w:r w:rsidR="00642A6A" w:rsidRPr="00A84A0B">
        <w:rPr>
          <w:szCs w:val="22"/>
        </w:rPr>
        <w:t>,</w:t>
      </w:r>
      <w:r w:rsidRPr="00A84A0B">
        <w:rPr>
          <w:szCs w:val="22"/>
        </w:rPr>
        <w:t xml:space="preserve"> </w:t>
      </w:r>
      <w:r w:rsidR="00DF35F8" w:rsidRPr="00A84A0B">
        <w:rPr>
          <w:szCs w:val="22"/>
        </w:rPr>
        <w:t>demonstrated that</w:t>
      </w:r>
      <w:r w:rsidR="008B1C19" w:rsidRPr="00A84A0B">
        <w:rPr>
          <w:szCs w:val="22"/>
        </w:rPr>
        <w:t>,</w:t>
      </w:r>
      <w:r w:rsidR="00DF35F8" w:rsidRPr="00A84A0B">
        <w:rPr>
          <w:szCs w:val="22"/>
        </w:rPr>
        <w:t xml:space="preserve"> wh</w:t>
      </w:r>
      <w:r w:rsidR="00F32999" w:rsidRPr="00A84A0B">
        <w:rPr>
          <w:szCs w:val="22"/>
        </w:rPr>
        <w:t>ile the estimated 6-month and 1-</w:t>
      </w:r>
      <w:r w:rsidR="00DF35F8" w:rsidRPr="00A84A0B">
        <w:rPr>
          <w:szCs w:val="22"/>
        </w:rPr>
        <w:t xml:space="preserve">year </w:t>
      </w:r>
      <w:r w:rsidR="00F32999" w:rsidRPr="00A84A0B">
        <w:rPr>
          <w:szCs w:val="22"/>
        </w:rPr>
        <w:t>overall survival</w:t>
      </w:r>
      <w:r w:rsidR="00DF35F8" w:rsidRPr="00A84A0B">
        <w:rPr>
          <w:szCs w:val="22"/>
        </w:rPr>
        <w:t xml:space="preserve"> rates were comparable across the age subgroups of </w:t>
      </w:r>
      <w:r w:rsidR="00642A6A" w:rsidRPr="00A84A0B">
        <w:rPr>
          <w:szCs w:val="22"/>
        </w:rPr>
        <w:t xml:space="preserve">those aged less than </w:t>
      </w:r>
      <w:r w:rsidR="00DF35F8" w:rsidRPr="00A84A0B">
        <w:rPr>
          <w:szCs w:val="22"/>
        </w:rPr>
        <w:t>70 years and 70 years</w:t>
      </w:r>
      <w:r w:rsidR="00642A6A" w:rsidRPr="00A84A0B">
        <w:rPr>
          <w:szCs w:val="22"/>
        </w:rPr>
        <w:t xml:space="preserve"> or more</w:t>
      </w:r>
      <w:r w:rsidR="00DF35F8" w:rsidRPr="00A84A0B">
        <w:rPr>
          <w:szCs w:val="22"/>
        </w:rPr>
        <w:t xml:space="preserve">, the estimated 6-month and 1-year OS rates in the ECOG </w:t>
      </w:r>
      <w:r w:rsidR="001F152B" w:rsidRPr="00A84A0B">
        <w:rPr>
          <w:szCs w:val="22"/>
        </w:rPr>
        <w:t xml:space="preserve">performance-status </w:t>
      </w:r>
      <w:r w:rsidR="00DF35F8" w:rsidRPr="00A84A0B">
        <w:rPr>
          <w:szCs w:val="22"/>
        </w:rPr>
        <w:t xml:space="preserve">2 subgroup were lower than those in the ECOG </w:t>
      </w:r>
      <w:r w:rsidR="001F152B" w:rsidRPr="00A84A0B">
        <w:rPr>
          <w:szCs w:val="22"/>
        </w:rPr>
        <w:t xml:space="preserve">performance-status </w:t>
      </w:r>
      <w:r w:rsidR="00DF35F8" w:rsidRPr="00A84A0B">
        <w:rPr>
          <w:szCs w:val="22"/>
        </w:rPr>
        <w:t>0-1 subgroup. This supports the authors of the publication of Trial CA209-017 (Brahmer et al 2015) in their contention that a potential reason for the observed lack of effect among those aged 75 years</w:t>
      </w:r>
      <w:r w:rsidR="00ED7B7C" w:rsidRPr="00A84A0B">
        <w:rPr>
          <w:szCs w:val="22"/>
        </w:rPr>
        <w:t xml:space="preserve"> or more</w:t>
      </w:r>
      <w:r w:rsidR="00DF35F8" w:rsidRPr="00A84A0B">
        <w:rPr>
          <w:szCs w:val="22"/>
        </w:rPr>
        <w:t xml:space="preserve"> in the trial may have been due to ECOG </w:t>
      </w:r>
      <w:r w:rsidR="001F152B" w:rsidRPr="00A84A0B">
        <w:rPr>
          <w:szCs w:val="22"/>
        </w:rPr>
        <w:t>performance-</w:t>
      </w:r>
      <w:r w:rsidR="00DF35F8" w:rsidRPr="00A84A0B">
        <w:rPr>
          <w:szCs w:val="22"/>
        </w:rPr>
        <w:t>status rather than age</w:t>
      </w:r>
      <w:r w:rsidR="00F32999" w:rsidRPr="00A84A0B">
        <w:rPr>
          <w:szCs w:val="22"/>
        </w:rPr>
        <w:t xml:space="preserve"> (see paragraph 6.</w:t>
      </w:r>
      <w:r w:rsidR="000906EF" w:rsidRPr="00A84A0B">
        <w:rPr>
          <w:szCs w:val="22"/>
        </w:rPr>
        <w:t>2</w:t>
      </w:r>
      <w:r w:rsidR="0087404B">
        <w:rPr>
          <w:szCs w:val="22"/>
        </w:rPr>
        <w:t>8</w:t>
      </w:r>
      <w:r w:rsidR="001E2F5F" w:rsidRPr="00A84A0B">
        <w:rPr>
          <w:szCs w:val="22"/>
        </w:rPr>
        <w:t xml:space="preserve"> </w:t>
      </w:r>
      <w:r w:rsidR="00F32999" w:rsidRPr="00A84A0B">
        <w:rPr>
          <w:szCs w:val="22"/>
        </w:rPr>
        <w:t>above)</w:t>
      </w:r>
      <w:r w:rsidR="00DF35F8" w:rsidRPr="00A84A0B">
        <w:rPr>
          <w:szCs w:val="22"/>
        </w:rPr>
        <w:t>.</w:t>
      </w:r>
      <w:r w:rsidR="009B54FB" w:rsidRPr="00A84A0B">
        <w:rPr>
          <w:szCs w:val="22"/>
        </w:rPr>
        <w:t xml:space="preserve"> The PBAC </w:t>
      </w:r>
      <w:r w:rsidR="00F67F32" w:rsidRPr="00A84A0B">
        <w:rPr>
          <w:szCs w:val="22"/>
        </w:rPr>
        <w:t>considered that it was possible that poor performance status might also predict poorer response to nivolumab, but noting</w:t>
      </w:r>
      <w:r w:rsidR="00FC230F" w:rsidRPr="00A84A0B">
        <w:rPr>
          <w:szCs w:val="22"/>
        </w:rPr>
        <w:t xml:space="preserve"> that older patients generally have a lower </w:t>
      </w:r>
      <w:r w:rsidR="00F67F32" w:rsidRPr="00A84A0B">
        <w:rPr>
          <w:szCs w:val="22"/>
        </w:rPr>
        <w:t>performance</w:t>
      </w:r>
      <w:r w:rsidR="00FC230F" w:rsidRPr="00A84A0B">
        <w:rPr>
          <w:szCs w:val="22"/>
        </w:rPr>
        <w:t xml:space="preserve"> status</w:t>
      </w:r>
      <w:r w:rsidR="00F67F32" w:rsidRPr="00A84A0B">
        <w:rPr>
          <w:szCs w:val="22"/>
        </w:rPr>
        <w:t>, it may not be straightforward to determine the best basis for prediction</w:t>
      </w:r>
      <w:r w:rsidR="00D3598E" w:rsidRPr="00A84A0B">
        <w:rPr>
          <w:szCs w:val="22"/>
        </w:rPr>
        <w:t>.</w:t>
      </w:r>
      <w:r w:rsidR="00A5052B" w:rsidRPr="00A84A0B">
        <w:rPr>
          <w:szCs w:val="22"/>
        </w:rPr>
        <w:t xml:space="preserve"> For this reason, the PBAC </w:t>
      </w:r>
      <w:r w:rsidR="00143042" w:rsidRPr="00A84A0B">
        <w:rPr>
          <w:szCs w:val="22"/>
        </w:rPr>
        <w:t>reemphasised</w:t>
      </w:r>
      <w:r w:rsidR="00A5052B" w:rsidRPr="00A84A0B">
        <w:rPr>
          <w:szCs w:val="22"/>
        </w:rPr>
        <w:t xml:space="preserve"> that any restriction for nivolumab should be limited to a WHO performance status of 0 or 1.</w:t>
      </w:r>
    </w:p>
    <w:p w:rsidR="00E911D7" w:rsidRPr="00A84A0B" w:rsidRDefault="00E911D7" w:rsidP="005939DA">
      <w:pPr>
        <w:rPr>
          <w:rFonts w:ascii="Arial" w:hAnsi="Arial" w:cs="Arial"/>
          <w:sz w:val="22"/>
          <w:szCs w:val="22"/>
        </w:rPr>
      </w:pPr>
    </w:p>
    <w:p w:rsidR="00D936E0" w:rsidRPr="00A84A0B" w:rsidRDefault="004F1A03" w:rsidP="005939DA">
      <w:pPr>
        <w:pStyle w:val="ListParagraph"/>
        <w:widowControl/>
        <w:numPr>
          <w:ilvl w:val="1"/>
          <w:numId w:val="1"/>
        </w:numPr>
        <w:rPr>
          <w:szCs w:val="22"/>
        </w:rPr>
      </w:pPr>
      <w:r w:rsidRPr="00A84A0B">
        <w:rPr>
          <w:szCs w:val="22"/>
        </w:rPr>
        <w:t>Further analysis of the CHECKMATE-153 study</w:t>
      </w:r>
      <w:r w:rsidR="00E911D7" w:rsidRPr="00A84A0B">
        <w:rPr>
          <w:szCs w:val="22"/>
        </w:rPr>
        <w:t xml:space="preserve">, </w:t>
      </w:r>
      <w:r w:rsidR="00B345F7" w:rsidRPr="00A84A0B">
        <w:rPr>
          <w:szCs w:val="22"/>
        </w:rPr>
        <w:t>presented</w:t>
      </w:r>
      <w:r w:rsidR="00E911D7" w:rsidRPr="00A84A0B">
        <w:rPr>
          <w:szCs w:val="22"/>
        </w:rPr>
        <w:t xml:space="preserve"> by the </w:t>
      </w:r>
      <w:r w:rsidR="001E2F5F" w:rsidRPr="00A84A0B">
        <w:rPr>
          <w:szCs w:val="22"/>
        </w:rPr>
        <w:t>s</w:t>
      </w:r>
      <w:r w:rsidR="00E911D7" w:rsidRPr="00A84A0B">
        <w:rPr>
          <w:szCs w:val="22"/>
        </w:rPr>
        <w:t xml:space="preserve">ponsor for the purposes of </w:t>
      </w:r>
      <w:r w:rsidR="00F67F32" w:rsidRPr="00A84A0B">
        <w:rPr>
          <w:szCs w:val="22"/>
        </w:rPr>
        <w:t>its</w:t>
      </w:r>
      <w:r w:rsidR="00E911D7" w:rsidRPr="00A84A0B">
        <w:rPr>
          <w:szCs w:val="22"/>
        </w:rPr>
        <w:t xml:space="preserve"> minor re-submission, </w:t>
      </w:r>
      <w:r w:rsidRPr="00A84A0B">
        <w:rPr>
          <w:szCs w:val="22"/>
        </w:rPr>
        <w:t>to those aged 75 year</w:t>
      </w:r>
      <w:r w:rsidR="00E911D7" w:rsidRPr="00A84A0B">
        <w:rPr>
          <w:szCs w:val="22"/>
        </w:rPr>
        <w:t>s</w:t>
      </w:r>
      <w:r w:rsidRPr="00A84A0B">
        <w:rPr>
          <w:szCs w:val="22"/>
        </w:rPr>
        <w:t xml:space="preserve"> and </w:t>
      </w:r>
      <w:r w:rsidR="00E911D7" w:rsidRPr="00A84A0B">
        <w:rPr>
          <w:szCs w:val="22"/>
        </w:rPr>
        <w:t xml:space="preserve">more </w:t>
      </w:r>
      <w:r w:rsidRPr="00A84A0B">
        <w:rPr>
          <w:szCs w:val="22"/>
        </w:rPr>
        <w:t xml:space="preserve">are presented in Figure 1 and Table </w:t>
      </w:r>
      <w:r w:rsidR="00A92FB9" w:rsidRPr="00A84A0B">
        <w:rPr>
          <w:szCs w:val="22"/>
        </w:rPr>
        <w:t>6</w:t>
      </w:r>
      <w:r w:rsidRPr="00A84A0B">
        <w:rPr>
          <w:szCs w:val="22"/>
        </w:rPr>
        <w:t>.</w:t>
      </w:r>
    </w:p>
    <w:p w:rsidR="003D4726" w:rsidRPr="00A84A0B" w:rsidRDefault="003D4726" w:rsidP="005939DA">
      <w:pPr>
        <w:rPr>
          <w:rFonts w:ascii="Arial" w:hAnsi="Arial" w:cs="Arial"/>
          <w:sz w:val="22"/>
          <w:szCs w:val="22"/>
        </w:rPr>
      </w:pPr>
    </w:p>
    <w:p w:rsidR="004F1A03" w:rsidRPr="00A84A0B" w:rsidRDefault="00B03FF7" w:rsidP="005939DA">
      <w:pPr>
        <w:pStyle w:val="ListParagraph"/>
        <w:keepNext/>
        <w:keepLines/>
        <w:widowControl/>
        <w:rPr>
          <w:rFonts w:ascii="Arial Narrow" w:hAnsi="Arial Narrow"/>
          <w:b/>
          <w:sz w:val="20"/>
          <w:szCs w:val="22"/>
        </w:rPr>
      </w:pPr>
      <w:r w:rsidRPr="00A84A0B">
        <w:rPr>
          <w:rFonts w:ascii="Arial Narrow" w:hAnsi="Arial Narrow"/>
          <w:b/>
          <w:sz w:val="20"/>
          <w:szCs w:val="22"/>
        </w:rPr>
        <w:t>Figure 1</w:t>
      </w:r>
      <w:r w:rsidR="006C41D1" w:rsidRPr="00A84A0B">
        <w:rPr>
          <w:rFonts w:ascii="Arial Narrow" w:hAnsi="Arial Narrow"/>
          <w:b/>
          <w:sz w:val="20"/>
          <w:szCs w:val="22"/>
        </w:rPr>
        <w:t>:</w:t>
      </w:r>
      <w:r w:rsidR="004F1A03" w:rsidRPr="00A84A0B">
        <w:rPr>
          <w:rFonts w:ascii="Arial Narrow" w:hAnsi="Arial Narrow"/>
          <w:b/>
          <w:sz w:val="20"/>
          <w:szCs w:val="22"/>
        </w:rPr>
        <w:t xml:space="preserve"> Overall survival reported in CHECKMATE-153 for those aged </w:t>
      </w:r>
      <w:r w:rsidRPr="00A84A0B">
        <w:rPr>
          <w:rFonts w:ascii="Arial Narrow" w:hAnsi="Arial Narrow"/>
          <w:b/>
          <w:sz w:val="20"/>
          <w:szCs w:val="22"/>
        </w:rPr>
        <w:t xml:space="preserve">≥75 years, by ECOG </w:t>
      </w:r>
      <w:r w:rsidR="001F152B" w:rsidRPr="00A84A0B">
        <w:rPr>
          <w:rFonts w:ascii="Arial Narrow" w:hAnsi="Arial Narrow"/>
          <w:b/>
          <w:sz w:val="20"/>
          <w:szCs w:val="22"/>
        </w:rPr>
        <w:t>performance-</w:t>
      </w:r>
      <w:r w:rsidRPr="00A84A0B">
        <w:rPr>
          <w:rFonts w:ascii="Arial Narrow" w:hAnsi="Arial Narrow"/>
          <w:b/>
          <w:sz w:val="20"/>
          <w:szCs w:val="22"/>
        </w:rPr>
        <w:t>status</w:t>
      </w:r>
    </w:p>
    <w:p w:rsidR="00B03FF7" w:rsidRPr="00A84A0B" w:rsidRDefault="00653F4E" w:rsidP="005939DA">
      <w:pPr>
        <w:pStyle w:val="ListParagraph"/>
        <w:keepNext/>
        <w:keepLines/>
        <w:widowControl/>
        <w:jc w:val="left"/>
        <w:rPr>
          <w:rFonts w:ascii="Arial Narrow" w:hAnsi="Arial Narrow"/>
          <w:b/>
          <w:sz w:val="20"/>
          <w:szCs w:val="22"/>
        </w:rPr>
      </w:pPr>
      <w:r>
        <w:rPr>
          <w:rFonts w:ascii="Arial Narrow" w:hAnsi="Arial Narrow"/>
          <w:b/>
          <w:noProof/>
          <w:snapToGrid/>
          <w:sz w:val="20"/>
          <w:szCs w:val="22"/>
          <w:lang w:eastAsia="en-AU"/>
        </w:rPr>
        <w:drawing>
          <wp:inline distT="0" distB="0" distL="0" distR="0">
            <wp:extent cx="5486400" cy="2549525"/>
            <wp:effectExtent l="0" t="0" r="0" b="3175"/>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486400" cy="2549525"/>
                    </a:xfrm>
                    <a:prstGeom prst="rect">
                      <a:avLst/>
                    </a:prstGeom>
                  </pic:spPr>
                </pic:pic>
              </a:graphicData>
            </a:graphic>
          </wp:inline>
        </w:drawing>
      </w:r>
    </w:p>
    <w:p w:rsidR="00B03FF7" w:rsidRPr="00653F4E" w:rsidRDefault="00653F4E" w:rsidP="005939DA">
      <w:pPr>
        <w:pStyle w:val="ListParagraph"/>
        <w:keepNext/>
        <w:keepLines/>
        <w:widowControl/>
        <w:jc w:val="left"/>
        <w:rPr>
          <w:rFonts w:ascii="Arial Narrow" w:hAnsi="Arial Narrow"/>
          <w:sz w:val="18"/>
          <w:szCs w:val="22"/>
          <w:highlight w:val="black"/>
        </w:rPr>
      </w:pPr>
      <w:r>
        <w:rPr>
          <w:rFonts w:ascii="Arial Narrow" w:hAnsi="Arial Narrow"/>
          <w:noProof/>
          <w:color w:val="000000"/>
          <w:sz w:val="18"/>
          <w:szCs w:val="22"/>
          <w:highlight w:val="black"/>
        </w:rPr>
        <w:t>'''''''''''''''' '''''''''''''''' '''' '''''''''' ''''' '''''''' ''''''''''''''' ''''''''''''''''''''''''''''''''''</w:t>
      </w:r>
    </w:p>
    <w:p w:rsidR="004F1A03" w:rsidRPr="00A84A0B" w:rsidRDefault="004F1A03" w:rsidP="005939DA">
      <w:pPr>
        <w:rPr>
          <w:rFonts w:ascii="Arial" w:hAnsi="Arial" w:cs="Arial"/>
          <w:sz w:val="22"/>
          <w:szCs w:val="22"/>
        </w:rPr>
      </w:pPr>
    </w:p>
    <w:p w:rsidR="00B03FF7" w:rsidRPr="00A84A0B" w:rsidRDefault="00B03FF7" w:rsidP="005939DA">
      <w:pPr>
        <w:pStyle w:val="ListParagraph"/>
        <w:widowControl/>
        <w:rPr>
          <w:rFonts w:ascii="Arial Narrow" w:hAnsi="Arial Narrow"/>
          <w:b/>
          <w:sz w:val="20"/>
          <w:szCs w:val="22"/>
        </w:rPr>
      </w:pPr>
      <w:r w:rsidRPr="00A84A0B">
        <w:rPr>
          <w:rFonts w:ascii="Arial Narrow" w:hAnsi="Arial Narrow"/>
          <w:b/>
          <w:sz w:val="20"/>
          <w:szCs w:val="22"/>
        </w:rPr>
        <w:lastRenderedPageBreak/>
        <w:t xml:space="preserve">Table </w:t>
      </w:r>
      <w:r w:rsidR="00A92FB9" w:rsidRPr="00A84A0B">
        <w:rPr>
          <w:rFonts w:ascii="Arial Narrow" w:hAnsi="Arial Narrow"/>
          <w:b/>
          <w:sz w:val="20"/>
          <w:szCs w:val="22"/>
        </w:rPr>
        <w:t>6</w:t>
      </w:r>
      <w:r w:rsidRPr="00A84A0B">
        <w:rPr>
          <w:rFonts w:ascii="Arial Narrow" w:hAnsi="Arial Narrow"/>
          <w:b/>
          <w:sz w:val="20"/>
          <w:szCs w:val="22"/>
        </w:rPr>
        <w:t>: Median overall survival reported for those aged ≥75 years, with an ECOG performance</w:t>
      </w:r>
      <w:r w:rsidR="002E52DF" w:rsidRPr="00A84A0B">
        <w:rPr>
          <w:rFonts w:ascii="Arial Narrow" w:hAnsi="Arial Narrow"/>
          <w:b/>
          <w:sz w:val="20"/>
          <w:szCs w:val="22"/>
        </w:rPr>
        <w:t>-</w:t>
      </w:r>
      <w:r w:rsidR="00843C4C" w:rsidRPr="00A84A0B">
        <w:rPr>
          <w:rFonts w:ascii="Arial Narrow" w:hAnsi="Arial Narrow"/>
          <w:b/>
          <w:sz w:val="20"/>
          <w:szCs w:val="22"/>
        </w:rPr>
        <w:t>status of</w:t>
      </w:r>
      <w:r w:rsidRPr="00A84A0B">
        <w:rPr>
          <w:rFonts w:ascii="Arial Narrow" w:hAnsi="Arial Narrow"/>
          <w:b/>
          <w:sz w:val="20"/>
          <w:szCs w:val="22"/>
        </w:rPr>
        <w:t xml:space="preserve"> 0, 1 or 2 observed in CHECKMATE-153</w:t>
      </w:r>
    </w:p>
    <w:tbl>
      <w:tblPr>
        <w:tblStyle w:val="TableGrid"/>
        <w:tblW w:w="0" w:type="auto"/>
        <w:tblInd w:w="720" w:type="dxa"/>
        <w:tblCellMar>
          <w:left w:w="28" w:type="dxa"/>
          <w:right w:w="28" w:type="dxa"/>
        </w:tblCellMar>
        <w:tblLook w:val="04A0" w:firstRow="1" w:lastRow="0" w:firstColumn="1" w:lastColumn="0" w:noHBand="0" w:noVBand="1"/>
        <w:tblCaption w:val="Table 6: Median overall survival reported for those aged ≥75 years, with an ECOG performance-status of 0, 1 or 2 observed in CHECKMATE-153"/>
      </w:tblPr>
      <w:tblGrid>
        <w:gridCol w:w="4164"/>
        <w:gridCol w:w="4132"/>
      </w:tblGrid>
      <w:tr w:rsidR="00B03FF7" w:rsidRPr="00A84A0B" w:rsidTr="00D34FF6">
        <w:trPr>
          <w:tblHeader/>
        </w:trPr>
        <w:tc>
          <w:tcPr>
            <w:tcW w:w="4164" w:type="dxa"/>
          </w:tcPr>
          <w:p w:rsidR="00B03FF7" w:rsidRPr="00A84A0B" w:rsidRDefault="00B03FF7" w:rsidP="005939DA">
            <w:pPr>
              <w:pStyle w:val="ListParagraph"/>
              <w:widowControl/>
              <w:ind w:left="0"/>
              <w:rPr>
                <w:rFonts w:ascii="Arial Narrow" w:hAnsi="Arial Narrow"/>
                <w:b/>
                <w:sz w:val="20"/>
                <w:szCs w:val="22"/>
              </w:rPr>
            </w:pPr>
            <w:r w:rsidRPr="00A84A0B">
              <w:rPr>
                <w:rFonts w:ascii="Arial Narrow" w:hAnsi="Arial Narrow"/>
                <w:b/>
                <w:sz w:val="20"/>
                <w:szCs w:val="22"/>
              </w:rPr>
              <w:t>Age/ECOG performance</w:t>
            </w:r>
            <w:r w:rsidR="002E52DF" w:rsidRPr="00A84A0B">
              <w:rPr>
                <w:rFonts w:ascii="Arial Narrow" w:hAnsi="Arial Narrow"/>
                <w:b/>
                <w:sz w:val="20"/>
                <w:szCs w:val="22"/>
              </w:rPr>
              <w:t>-</w:t>
            </w:r>
            <w:r w:rsidRPr="00A84A0B">
              <w:rPr>
                <w:rFonts w:ascii="Arial Narrow" w:hAnsi="Arial Narrow"/>
                <w:b/>
                <w:sz w:val="20"/>
                <w:szCs w:val="22"/>
              </w:rPr>
              <w:t>status</w:t>
            </w:r>
          </w:p>
        </w:tc>
        <w:tc>
          <w:tcPr>
            <w:tcW w:w="4132" w:type="dxa"/>
            <w:vAlign w:val="center"/>
          </w:tcPr>
          <w:p w:rsidR="00B03FF7" w:rsidRPr="00A84A0B" w:rsidRDefault="00B03FF7" w:rsidP="005939DA">
            <w:pPr>
              <w:pStyle w:val="ListParagraph"/>
              <w:widowControl/>
              <w:ind w:left="0"/>
              <w:jc w:val="center"/>
              <w:rPr>
                <w:rFonts w:ascii="Arial Narrow" w:hAnsi="Arial Narrow"/>
                <w:b/>
                <w:sz w:val="20"/>
                <w:szCs w:val="22"/>
              </w:rPr>
            </w:pPr>
            <w:r w:rsidRPr="00A84A0B">
              <w:rPr>
                <w:rFonts w:ascii="Arial Narrow" w:hAnsi="Arial Narrow"/>
                <w:b/>
                <w:sz w:val="20"/>
                <w:szCs w:val="22"/>
              </w:rPr>
              <w:t>Median overall survival, months</w:t>
            </w:r>
          </w:p>
        </w:tc>
      </w:tr>
      <w:tr w:rsidR="00B03FF7" w:rsidRPr="00A84A0B" w:rsidTr="00B03FF7">
        <w:tc>
          <w:tcPr>
            <w:tcW w:w="4164" w:type="dxa"/>
          </w:tcPr>
          <w:p w:rsidR="00B03FF7" w:rsidRPr="00A84A0B" w:rsidRDefault="00B03FF7" w:rsidP="005939DA">
            <w:pPr>
              <w:pStyle w:val="ListParagraph"/>
              <w:widowControl/>
              <w:ind w:left="0"/>
              <w:rPr>
                <w:rFonts w:ascii="Arial Narrow" w:hAnsi="Arial Narrow"/>
                <w:sz w:val="20"/>
                <w:szCs w:val="22"/>
              </w:rPr>
            </w:pPr>
            <w:r w:rsidRPr="00A84A0B">
              <w:rPr>
                <w:rFonts w:ascii="Arial Narrow" w:hAnsi="Arial Narrow"/>
                <w:sz w:val="20"/>
                <w:szCs w:val="22"/>
              </w:rPr>
              <w:t>≥75 years, ECOG 0 (n=46)</w:t>
            </w:r>
          </w:p>
        </w:tc>
        <w:tc>
          <w:tcPr>
            <w:tcW w:w="4132" w:type="dxa"/>
            <w:vAlign w:val="center"/>
          </w:tcPr>
          <w:p w:rsidR="00B03FF7" w:rsidRPr="00653F4E" w:rsidRDefault="00653F4E" w:rsidP="005939DA">
            <w:pPr>
              <w:pStyle w:val="ListParagraph"/>
              <w:widowControl/>
              <w:ind w:left="0"/>
              <w:jc w:val="center"/>
              <w:rPr>
                <w:rFonts w:ascii="Arial Narrow" w:hAnsi="Arial Narrow"/>
                <w:sz w:val="20"/>
                <w:szCs w:val="22"/>
                <w:highlight w:val="black"/>
              </w:rPr>
            </w:pPr>
            <w:r>
              <w:rPr>
                <w:rFonts w:ascii="Arial Narrow" w:hAnsi="Arial Narrow"/>
                <w:noProof/>
                <w:color w:val="000000"/>
                <w:sz w:val="20"/>
                <w:szCs w:val="22"/>
                <w:highlight w:val="black"/>
              </w:rPr>
              <w:t>''''''''''</w:t>
            </w:r>
          </w:p>
        </w:tc>
      </w:tr>
      <w:tr w:rsidR="00B03FF7" w:rsidRPr="00A84A0B" w:rsidTr="00B03FF7">
        <w:tc>
          <w:tcPr>
            <w:tcW w:w="4164" w:type="dxa"/>
          </w:tcPr>
          <w:p w:rsidR="00B03FF7" w:rsidRPr="00A84A0B" w:rsidRDefault="00B03FF7" w:rsidP="005939DA">
            <w:pPr>
              <w:pStyle w:val="ListParagraph"/>
              <w:widowControl/>
              <w:ind w:left="0"/>
              <w:rPr>
                <w:rFonts w:ascii="Arial Narrow" w:hAnsi="Arial Narrow"/>
                <w:sz w:val="20"/>
                <w:szCs w:val="22"/>
              </w:rPr>
            </w:pPr>
            <w:r w:rsidRPr="00A84A0B">
              <w:rPr>
                <w:rFonts w:ascii="Arial Narrow" w:hAnsi="Arial Narrow"/>
                <w:sz w:val="20"/>
                <w:szCs w:val="22"/>
              </w:rPr>
              <w:t>≥75 years, ECOG 1 (n=199)</w:t>
            </w:r>
          </w:p>
        </w:tc>
        <w:tc>
          <w:tcPr>
            <w:tcW w:w="4132" w:type="dxa"/>
            <w:vAlign w:val="center"/>
          </w:tcPr>
          <w:p w:rsidR="00B03FF7" w:rsidRPr="00653F4E" w:rsidRDefault="00653F4E" w:rsidP="005939DA">
            <w:pPr>
              <w:pStyle w:val="ListParagraph"/>
              <w:widowControl/>
              <w:ind w:left="0"/>
              <w:jc w:val="center"/>
              <w:rPr>
                <w:rFonts w:ascii="Arial Narrow" w:hAnsi="Arial Narrow"/>
                <w:sz w:val="20"/>
                <w:szCs w:val="22"/>
                <w:highlight w:val="black"/>
              </w:rPr>
            </w:pPr>
            <w:r>
              <w:rPr>
                <w:rFonts w:ascii="Arial Narrow" w:hAnsi="Arial Narrow"/>
                <w:noProof/>
                <w:color w:val="000000"/>
                <w:sz w:val="20"/>
                <w:szCs w:val="22"/>
                <w:highlight w:val="black"/>
              </w:rPr>
              <w:t>'''''''''</w:t>
            </w:r>
          </w:p>
        </w:tc>
      </w:tr>
      <w:tr w:rsidR="00B03FF7" w:rsidRPr="00A84A0B" w:rsidTr="00B03FF7">
        <w:tc>
          <w:tcPr>
            <w:tcW w:w="4164" w:type="dxa"/>
          </w:tcPr>
          <w:p w:rsidR="00B03FF7" w:rsidRPr="00A84A0B" w:rsidRDefault="00B03FF7" w:rsidP="005939DA">
            <w:pPr>
              <w:pStyle w:val="ListParagraph"/>
              <w:widowControl/>
              <w:ind w:left="0"/>
              <w:rPr>
                <w:rFonts w:ascii="Arial Narrow" w:hAnsi="Arial Narrow"/>
                <w:sz w:val="20"/>
                <w:szCs w:val="22"/>
              </w:rPr>
            </w:pPr>
            <w:r w:rsidRPr="00A84A0B">
              <w:rPr>
                <w:rFonts w:ascii="Arial Narrow" w:hAnsi="Arial Narrow"/>
                <w:sz w:val="20"/>
                <w:szCs w:val="22"/>
              </w:rPr>
              <w:t>≥75 years, ECOG 2 (n=32)</w:t>
            </w:r>
          </w:p>
        </w:tc>
        <w:tc>
          <w:tcPr>
            <w:tcW w:w="4132" w:type="dxa"/>
            <w:vAlign w:val="center"/>
          </w:tcPr>
          <w:p w:rsidR="00B03FF7" w:rsidRPr="00653F4E" w:rsidRDefault="00653F4E" w:rsidP="005939DA">
            <w:pPr>
              <w:pStyle w:val="ListParagraph"/>
              <w:widowControl/>
              <w:ind w:left="0"/>
              <w:jc w:val="center"/>
              <w:rPr>
                <w:rFonts w:ascii="Arial Narrow" w:hAnsi="Arial Narrow"/>
                <w:sz w:val="20"/>
                <w:szCs w:val="22"/>
                <w:highlight w:val="black"/>
              </w:rPr>
            </w:pPr>
            <w:r>
              <w:rPr>
                <w:rFonts w:ascii="Arial Narrow" w:hAnsi="Arial Narrow"/>
                <w:noProof/>
                <w:color w:val="000000"/>
                <w:sz w:val="20"/>
                <w:szCs w:val="22"/>
                <w:highlight w:val="black"/>
              </w:rPr>
              <w:t>''''''''</w:t>
            </w:r>
          </w:p>
        </w:tc>
      </w:tr>
    </w:tbl>
    <w:p w:rsidR="00B03FF7" w:rsidRPr="00A84A0B" w:rsidRDefault="00B03FF7" w:rsidP="005939DA">
      <w:pPr>
        <w:pStyle w:val="ListParagraph"/>
        <w:widowControl/>
        <w:rPr>
          <w:rFonts w:ascii="Arial Narrow" w:hAnsi="Arial Narrow"/>
          <w:sz w:val="18"/>
          <w:szCs w:val="22"/>
        </w:rPr>
      </w:pPr>
      <w:r w:rsidRPr="00A84A0B">
        <w:rPr>
          <w:rFonts w:ascii="Arial Narrow" w:hAnsi="Arial Narrow"/>
          <w:sz w:val="18"/>
          <w:szCs w:val="22"/>
        </w:rPr>
        <w:t>Source: pp15-16 of the minor re-submission</w:t>
      </w:r>
    </w:p>
    <w:p w:rsidR="004F1A03" w:rsidRPr="00A84A0B" w:rsidRDefault="004F1A03" w:rsidP="005939DA">
      <w:pPr>
        <w:rPr>
          <w:rFonts w:ascii="Arial" w:hAnsi="Arial" w:cs="Arial"/>
          <w:sz w:val="22"/>
          <w:szCs w:val="22"/>
        </w:rPr>
      </w:pPr>
    </w:p>
    <w:p w:rsidR="00307826" w:rsidRPr="00A84A0B" w:rsidRDefault="00307826" w:rsidP="005939DA">
      <w:pPr>
        <w:pStyle w:val="ListParagraph"/>
        <w:widowControl/>
        <w:numPr>
          <w:ilvl w:val="1"/>
          <w:numId w:val="1"/>
        </w:numPr>
        <w:rPr>
          <w:szCs w:val="22"/>
        </w:rPr>
      </w:pPr>
      <w:r w:rsidRPr="00A84A0B">
        <w:rPr>
          <w:szCs w:val="22"/>
        </w:rPr>
        <w:t xml:space="preserve">No data regarding the treatment effect observed in the entire population or in the complement group (ie, those aged </w:t>
      </w:r>
      <w:r w:rsidR="00ED7B7C" w:rsidRPr="00A84A0B">
        <w:rPr>
          <w:szCs w:val="22"/>
        </w:rPr>
        <w:t xml:space="preserve">less than </w:t>
      </w:r>
      <w:r w:rsidRPr="00A84A0B">
        <w:rPr>
          <w:szCs w:val="22"/>
        </w:rPr>
        <w:t>75 years) from CHECKMATE-153 were provided to allow for a comparison</w:t>
      </w:r>
      <w:r w:rsidR="00ED7B7C" w:rsidRPr="00A84A0B">
        <w:rPr>
          <w:szCs w:val="22"/>
        </w:rPr>
        <w:t>. However, as discussed in paragraph 6.</w:t>
      </w:r>
      <w:r w:rsidR="0087404B">
        <w:rPr>
          <w:szCs w:val="22"/>
        </w:rPr>
        <w:t>28</w:t>
      </w:r>
      <w:r w:rsidR="00ED7B7C" w:rsidRPr="00A84A0B">
        <w:rPr>
          <w:szCs w:val="22"/>
        </w:rPr>
        <w:t xml:space="preserve"> above, and based on the data reported in Table </w:t>
      </w:r>
      <w:r w:rsidR="002C1AF8" w:rsidRPr="00A84A0B">
        <w:rPr>
          <w:szCs w:val="22"/>
        </w:rPr>
        <w:t>6</w:t>
      </w:r>
      <w:r w:rsidR="00ED7B7C" w:rsidRPr="00A84A0B">
        <w:rPr>
          <w:szCs w:val="22"/>
        </w:rPr>
        <w:t>, ECOG performance</w:t>
      </w:r>
      <w:r w:rsidR="000906EF" w:rsidRPr="00A84A0B">
        <w:rPr>
          <w:szCs w:val="22"/>
        </w:rPr>
        <w:t>-</w:t>
      </w:r>
      <w:r w:rsidR="00ED7B7C" w:rsidRPr="00A84A0B">
        <w:rPr>
          <w:szCs w:val="22"/>
        </w:rPr>
        <w:t>status appeared to be driving the observed lack of effect in those aged 75 years or more</w:t>
      </w:r>
      <w:r w:rsidRPr="00A84A0B">
        <w:rPr>
          <w:szCs w:val="22"/>
        </w:rPr>
        <w:t>.</w:t>
      </w:r>
    </w:p>
    <w:p w:rsidR="00301CE6" w:rsidRDefault="00301CE6" w:rsidP="005939DA">
      <w:pPr>
        <w:rPr>
          <w:rFonts w:ascii="Arial" w:hAnsi="Arial" w:cs="Arial"/>
          <w:sz w:val="22"/>
          <w:szCs w:val="22"/>
        </w:rPr>
      </w:pPr>
      <w:r>
        <w:rPr>
          <w:rFonts w:ascii="Arial" w:hAnsi="Arial" w:cs="Arial"/>
          <w:sz w:val="22"/>
          <w:szCs w:val="22"/>
        </w:rPr>
        <w:br w:type="page"/>
      </w:r>
    </w:p>
    <w:p w:rsidR="00307826" w:rsidRPr="00A84A0B" w:rsidRDefault="00307826" w:rsidP="005939DA">
      <w:pPr>
        <w:rPr>
          <w:rFonts w:ascii="Arial" w:hAnsi="Arial" w:cs="Arial"/>
          <w:sz w:val="22"/>
          <w:szCs w:val="22"/>
        </w:rPr>
      </w:pPr>
    </w:p>
    <w:p w:rsidR="00DF35F8" w:rsidRPr="00A84A0B" w:rsidRDefault="00DF35F8" w:rsidP="005939DA">
      <w:pPr>
        <w:pStyle w:val="ListParagraph"/>
        <w:widowControl/>
        <w:numPr>
          <w:ilvl w:val="1"/>
          <w:numId w:val="1"/>
        </w:numPr>
        <w:rPr>
          <w:szCs w:val="22"/>
        </w:rPr>
      </w:pPr>
      <w:r w:rsidRPr="00A84A0B">
        <w:rPr>
          <w:szCs w:val="22"/>
        </w:rPr>
        <w:t xml:space="preserve">The results reported for the Italian EAP are presented in Table </w:t>
      </w:r>
      <w:r w:rsidR="002C1AF8" w:rsidRPr="00A84A0B">
        <w:rPr>
          <w:szCs w:val="22"/>
        </w:rPr>
        <w:t>7</w:t>
      </w:r>
      <w:r w:rsidR="00944BD4" w:rsidRPr="00A84A0B">
        <w:rPr>
          <w:szCs w:val="22"/>
        </w:rPr>
        <w:t xml:space="preserve"> and Figure 2</w:t>
      </w:r>
      <w:r w:rsidRPr="00A84A0B">
        <w:rPr>
          <w:szCs w:val="22"/>
        </w:rPr>
        <w:t>.</w:t>
      </w:r>
    </w:p>
    <w:p w:rsidR="003E6658" w:rsidRPr="00A84A0B" w:rsidRDefault="003E6658" w:rsidP="005939DA">
      <w:pPr>
        <w:rPr>
          <w:rFonts w:ascii="Arial" w:hAnsi="Arial" w:cs="Arial"/>
          <w:sz w:val="22"/>
          <w:szCs w:val="22"/>
        </w:rPr>
      </w:pPr>
    </w:p>
    <w:p w:rsidR="003E6658" w:rsidRPr="00A84A0B" w:rsidRDefault="003E6658" w:rsidP="005939DA">
      <w:pPr>
        <w:pStyle w:val="ListParagraph"/>
        <w:widowControl/>
        <w:rPr>
          <w:rFonts w:ascii="Arial Narrow" w:hAnsi="Arial Narrow"/>
          <w:b/>
          <w:sz w:val="20"/>
          <w:szCs w:val="22"/>
        </w:rPr>
      </w:pPr>
      <w:r w:rsidRPr="00A84A0B">
        <w:rPr>
          <w:rFonts w:ascii="Arial Narrow" w:hAnsi="Arial Narrow"/>
          <w:b/>
          <w:sz w:val="20"/>
          <w:szCs w:val="22"/>
        </w:rPr>
        <w:t xml:space="preserve">Table </w:t>
      </w:r>
      <w:r w:rsidR="002C1AF8" w:rsidRPr="00A84A0B">
        <w:rPr>
          <w:rFonts w:ascii="Arial Narrow" w:hAnsi="Arial Narrow"/>
          <w:b/>
          <w:sz w:val="20"/>
          <w:szCs w:val="22"/>
        </w:rPr>
        <w:t>7</w:t>
      </w:r>
      <w:r w:rsidRPr="00A84A0B">
        <w:rPr>
          <w:rFonts w:ascii="Arial Narrow" w:hAnsi="Arial Narrow"/>
          <w:b/>
          <w:sz w:val="20"/>
          <w:szCs w:val="22"/>
        </w:rPr>
        <w:t>: Results for those aged ≥75 years and all patients in the Italian EAP</w:t>
      </w:r>
    </w:p>
    <w:tbl>
      <w:tblPr>
        <w:tblStyle w:val="TableGrid"/>
        <w:tblW w:w="0" w:type="auto"/>
        <w:tblInd w:w="720" w:type="dxa"/>
        <w:tblCellMar>
          <w:left w:w="28" w:type="dxa"/>
          <w:right w:w="28" w:type="dxa"/>
        </w:tblCellMar>
        <w:tblLook w:val="04A0" w:firstRow="1" w:lastRow="0" w:firstColumn="1" w:lastColumn="0" w:noHBand="0" w:noVBand="1"/>
        <w:tblCaption w:val="Table 7: Results for those aged ≥75 years and all patients in the Italian EAP"/>
      </w:tblPr>
      <w:tblGrid>
        <w:gridCol w:w="2536"/>
        <w:gridCol w:w="1440"/>
        <w:gridCol w:w="1440"/>
        <w:gridCol w:w="1440"/>
        <w:gridCol w:w="1440"/>
      </w:tblGrid>
      <w:tr w:rsidR="003E6658" w:rsidRPr="00A84A0B" w:rsidTr="00D34FF6">
        <w:trPr>
          <w:tblHeader/>
        </w:trPr>
        <w:tc>
          <w:tcPr>
            <w:tcW w:w="2536" w:type="dxa"/>
            <w:vMerge w:val="restart"/>
            <w:vAlign w:val="center"/>
          </w:tcPr>
          <w:p w:rsidR="003E6658" w:rsidRPr="00A84A0B" w:rsidRDefault="003E6658" w:rsidP="005939DA">
            <w:pPr>
              <w:pStyle w:val="ListParagraph"/>
              <w:widowControl/>
              <w:ind w:left="0"/>
              <w:jc w:val="left"/>
              <w:rPr>
                <w:rFonts w:ascii="Arial Narrow" w:hAnsi="Arial Narrow"/>
                <w:b/>
                <w:sz w:val="20"/>
                <w:szCs w:val="22"/>
              </w:rPr>
            </w:pPr>
            <w:r w:rsidRPr="00A84A0B">
              <w:rPr>
                <w:rFonts w:ascii="Arial Narrow" w:hAnsi="Arial Narrow"/>
                <w:b/>
                <w:sz w:val="20"/>
                <w:szCs w:val="22"/>
              </w:rPr>
              <w:t xml:space="preserve">Response </w:t>
            </w:r>
          </w:p>
        </w:tc>
        <w:tc>
          <w:tcPr>
            <w:tcW w:w="2880" w:type="dxa"/>
            <w:gridSpan w:val="2"/>
            <w:vAlign w:val="center"/>
          </w:tcPr>
          <w:p w:rsidR="003E6658" w:rsidRPr="00A84A0B" w:rsidRDefault="003E6658" w:rsidP="005939DA">
            <w:pPr>
              <w:pStyle w:val="ListParagraph"/>
              <w:widowControl/>
              <w:ind w:left="0"/>
              <w:jc w:val="center"/>
              <w:rPr>
                <w:rFonts w:ascii="Arial Narrow" w:hAnsi="Arial Narrow"/>
                <w:b/>
                <w:sz w:val="20"/>
                <w:szCs w:val="22"/>
              </w:rPr>
            </w:pPr>
            <w:r w:rsidRPr="00A84A0B">
              <w:rPr>
                <w:rFonts w:ascii="Arial Narrow" w:hAnsi="Arial Narrow"/>
                <w:b/>
                <w:sz w:val="20"/>
                <w:szCs w:val="22"/>
              </w:rPr>
              <w:t>Aged ≥75 years (n=70)</w:t>
            </w:r>
          </w:p>
        </w:tc>
        <w:tc>
          <w:tcPr>
            <w:tcW w:w="2880" w:type="dxa"/>
            <w:gridSpan w:val="2"/>
            <w:vAlign w:val="center"/>
          </w:tcPr>
          <w:p w:rsidR="003E6658" w:rsidRPr="00A84A0B" w:rsidRDefault="003E6658" w:rsidP="005939DA">
            <w:pPr>
              <w:pStyle w:val="ListParagraph"/>
              <w:widowControl/>
              <w:ind w:left="0"/>
              <w:jc w:val="center"/>
              <w:rPr>
                <w:rFonts w:ascii="Arial Narrow" w:hAnsi="Arial Narrow"/>
                <w:b/>
                <w:sz w:val="20"/>
                <w:szCs w:val="22"/>
              </w:rPr>
            </w:pPr>
            <w:r w:rsidRPr="00A84A0B">
              <w:rPr>
                <w:rFonts w:ascii="Arial Narrow" w:hAnsi="Arial Narrow"/>
                <w:b/>
                <w:sz w:val="20"/>
                <w:szCs w:val="22"/>
              </w:rPr>
              <w:t>All patients (n=371)</w:t>
            </w:r>
          </w:p>
        </w:tc>
      </w:tr>
      <w:tr w:rsidR="003E6658" w:rsidRPr="00A84A0B" w:rsidTr="00D34FF6">
        <w:trPr>
          <w:tblHeader/>
        </w:trPr>
        <w:tc>
          <w:tcPr>
            <w:tcW w:w="2536" w:type="dxa"/>
            <w:vMerge/>
          </w:tcPr>
          <w:p w:rsidR="003E6658" w:rsidRPr="00A84A0B" w:rsidRDefault="003E6658" w:rsidP="005939DA">
            <w:pPr>
              <w:pStyle w:val="ListParagraph"/>
              <w:widowControl/>
              <w:ind w:left="0"/>
              <w:rPr>
                <w:rFonts w:ascii="Arial Narrow" w:hAnsi="Arial Narrow"/>
                <w:sz w:val="20"/>
                <w:szCs w:val="22"/>
              </w:rPr>
            </w:pPr>
          </w:p>
        </w:tc>
        <w:tc>
          <w:tcPr>
            <w:tcW w:w="1440" w:type="dxa"/>
            <w:vAlign w:val="center"/>
          </w:tcPr>
          <w:p w:rsidR="003E6658" w:rsidRPr="00A84A0B" w:rsidRDefault="003E6658" w:rsidP="005939DA">
            <w:pPr>
              <w:pStyle w:val="ListParagraph"/>
              <w:widowControl/>
              <w:ind w:left="0"/>
              <w:jc w:val="center"/>
              <w:rPr>
                <w:rFonts w:ascii="Arial Narrow" w:hAnsi="Arial Narrow"/>
                <w:b/>
                <w:sz w:val="20"/>
                <w:szCs w:val="22"/>
              </w:rPr>
            </w:pPr>
            <w:r w:rsidRPr="00A84A0B">
              <w:rPr>
                <w:rFonts w:ascii="Arial Narrow" w:hAnsi="Arial Narrow"/>
                <w:b/>
                <w:sz w:val="20"/>
                <w:szCs w:val="22"/>
              </w:rPr>
              <w:t>First tumour assessment</w:t>
            </w:r>
          </w:p>
        </w:tc>
        <w:tc>
          <w:tcPr>
            <w:tcW w:w="1440" w:type="dxa"/>
            <w:vAlign w:val="center"/>
          </w:tcPr>
          <w:p w:rsidR="003E6658" w:rsidRPr="00A84A0B" w:rsidRDefault="003E6658" w:rsidP="005939DA">
            <w:pPr>
              <w:pStyle w:val="ListParagraph"/>
              <w:widowControl/>
              <w:ind w:left="0"/>
              <w:jc w:val="center"/>
              <w:rPr>
                <w:rFonts w:ascii="Arial Narrow" w:hAnsi="Arial Narrow"/>
                <w:b/>
                <w:sz w:val="20"/>
                <w:szCs w:val="22"/>
              </w:rPr>
            </w:pPr>
            <w:r w:rsidRPr="00A84A0B">
              <w:rPr>
                <w:rFonts w:ascii="Arial Narrow" w:hAnsi="Arial Narrow"/>
                <w:b/>
                <w:sz w:val="20"/>
                <w:szCs w:val="22"/>
              </w:rPr>
              <w:t>Best response</w:t>
            </w:r>
          </w:p>
        </w:tc>
        <w:tc>
          <w:tcPr>
            <w:tcW w:w="1440" w:type="dxa"/>
            <w:vAlign w:val="center"/>
          </w:tcPr>
          <w:p w:rsidR="003E6658" w:rsidRPr="00A84A0B" w:rsidRDefault="003E6658" w:rsidP="005939DA">
            <w:pPr>
              <w:pStyle w:val="ListParagraph"/>
              <w:widowControl/>
              <w:ind w:left="0"/>
              <w:jc w:val="center"/>
              <w:rPr>
                <w:rFonts w:ascii="Arial Narrow" w:hAnsi="Arial Narrow"/>
                <w:b/>
                <w:sz w:val="20"/>
                <w:szCs w:val="22"/>
              </w:rPr>
            </w:pPr>
            <w:r w:rsidRPr="00A84A0B">
              <w:rPr>
                <w:rFonts w:ascii="Arial Narrow" w:hAnsi="Arial Narrow"/>
                <w:b/>
                <w:sz w:val="20"/>
                <w:szCs w:val="22"/>
              </w:rPr>
              <w:t>First tumour assessment</w:t>
            </w:r>
          </w:p>
        </w:tc>
        <w:tc>
          <w:tcPr>
            <w:tcW w:w="1440" w:type="dxa"/>
            <w:vAlign w:val="center"/>
          </w:tcPr>
          <w:p w:rsidR="003E6658" w:rsidRPr="00A84A0B" w:rsidRDefault="003E6658" w:rsidP="005939DA">
            <w:pPr>
              <w:pStyle w:val="ListParagraph"/>
              <w:widowControl/>
              <w:ind w:left="0"/>
              <w:jc w:val="center"/>
              <w:rPr>
                <w:rFonts w:ascii="Arial Narrow" w:hAnsi="Arial Narrow"/>
                <w:b/>
                <w:sz w:val="20"/>
                <w:szCs w:val="22"/>
              </w:rPr>
            </w:pPr>
            <w:r w:rsidRPr="00A84A0B">
              <w:rPr>
                <w:rFonts w:ascii="Arial Narrow" w:hAnsi="Arial Narrow"/>
                <w:b/>
                <w:sz w:val="20"/>
                <w:szCs w:val="22"/>
              </w:rPr>
              <w:t>Best response</w:t>
            </w:r>
          </w:p>
        </w:tc>
      </w:tr>
      <w:tr w:rsidR="003E6658" w:rsidRPr="00A84A0B" w:rsidTr="0003534A">
        <w:tc>
          <w:tcPr>
            <w:tcW w:w="2536" w:type="dxa"/>
          </w:tcPr>
          <w:p w:rsidR="003E6658" w:rsidRPr="00A84A0B" w:rsidRDefault="003E6658" w:rsidP="005939DA">
            <w:pPr>
              <w:pStyle w:val="ListParagraph"/>
              <w:widowControl/>
              <w:ind w:left="0"/>
              <w:rPr>
                <w:rFonts w:ascii="Arial Narrow" w:hAnsi="Arial Narrow"/>
                <w:sz w:val="20"/>
                <w:szCs w:val="22"/>
              </w:rPr>
            </w:pPr>
            <w:r w:rsidRPr="00A84A0B">
              <w:rPr>
                <w:rFonts w:ascii="Arial Narrow" w:hAnsi="Arial Narrow"/>
                <w:sz w:val="20"/>
                <w:szCs w:val="22"/>
              </w:rPr>
              <w:t>Overall response rate, n (%)</w:t>
            </w:r>
          </w:p>
        </w:tc>
        <w:tc>
          <w:tcPr>
            <w:tcW w:w="1440" w:type="dxa"/>
            <w:vAlign w:val="center"/>
          </w:tcPr>
          <w:p w:rsidR="003E6658" w:rsidRPr="00A84A0B" w:rsidRDefault="003E6658" w:rsidP="005939DA">
            <w:pPr>
              <w:pStyle w:val="ListParagraph"/>
              <w:widowControl/>
              <w:ind w:left="0"/>
              <w:jc w:val="center"/>
              <w:rPr>
                <w:rFonts w:ascii="Arial Narrow" w:hAnsi="Arial Narrow"/>
                <w:sz w:val="20"/>
                <w:szCs w:val="22"/>
              </w:rPr>
            </w:pPr>
            <w:r w:rsidRPr="00A84A0B">
              <w:rPr>
                <w:rFonts w:ascii="Arial Narrow" w:hAnsi="Arial Narrow"/>
                <w:sz w:val="20"/>
                <w:szCs w:val="22"/>
              </w:rPr>
              <w:t>8 (11)</w:t>
            </w:r>
          </w:p>
        </w:tc>
        <w:tc>
          <w:tcPr>
            <w:tcW w:w="1440" w:type="dxa"/>
            <w:vAlign w:val="center"/>
          </w:tcPr>
          <w:p w:rsidR="003E6658" w:rsidRPr="00A84A0B" w:rsidRDefault="003E6658" w:rsidP="005939DA">
            <w:pPr>
              <w:pStyle w:val="ListParagraph"/>
              <w:widowControl/>
              <w:ind w:left="0"/>
              <w:jc w:val="center"/>
              <w:rPr>
                <w:rFonts w:ascii="Arial Narrow" w:hAnsi="Arial Narrow"/>
                <w:sz w:val="20"/>
                <w:szCs w:val="22"/>
              </w:rPr>
            </w:pPr>
            <w:r w:rsidRPr="00A84A0B">
              <w:rPr>
                <w:rFonts w:ascii="Arial Narrow" w:hAnsi="Arial Narrow"/>
                <w:sz w:val="20"/>
                <w:szCs w:val="22"/>
              </w:rPr>
              <w:t>13 (19)</w:t>
            </w:r>
          </w:p>
        </w:tc>
        <w:tc>
          <w:tcPr>
            <w:tcW w:w="1440" w:type="dxa"/>
            <w:vAlign w:val="center"/>
          </w:tcPr>
          <w:p w:rsidR="003E6658" w:rsidRPr="00A84A0B" w:rsidRDefault="003E6658" w:rsidP="005939DA">
            <w:pPr>
              <w:pStyle w:val="ListParagraph"/>
              <w:widowControl/>
              <w:ind w:left="0"/>
              <w:jc w:val="center"/>
              <w:rPr>
                <w:rFonts w:ascii="Arial Narrow" w:hAnsi="Arial Narrow"/>
                <w:sz w:val="20"/>
                <w:szCs w:val="22"/>
              </w:rPr>
            </w:pPr>
            <w:r w:rsidRPr="00A84A0B">
              <w:rPr>
                <w:rFonts w:ascii="Arial Narrow" w:hAnsi="Arial Narrow"/>
                <w:sz w:val="20"/>
                <w:szCs w:val="22"/>
              </w:rPr>
              <w:t>51 (14)</w:t>
            </w:r>
          </w:p>
        </w:tc>
        <w:tc>
          <w:tcPr>
            <w:tcW w:w="1440" w:type="dxa"/>
            <w:vAlign w:val="center"/>
          </w:tcPr>
          <w:p w:rsidR="003E6658" w:rsidRPr="00A84A0B" w:rsidRDefault="0027234F" w:rsidP="005939DA">
            <w:pPr>
              <w:pStyle w:val="ListParagraph"/>
              <w:widowControl/>
              <w:ind w:left="0"/>
              <w:jc w:val="center"/>
              <w:rPr>
                <w:rFonts w:ascii="Arial Narrow" w:hAnsi="Arial Narrow"/>
                <w:sz w:val="20"/>
                <w:szCs w:val="22"/>
              </w:rPr>
            </w:pPr>
            <w:r>
              <w:rPr>
                <w:rFonts w:ascii="Arial Narrow" w:hAnsi="Arial Narrow"/>
                <w:sz w:val="20"/>
                <w:szCs w:val="22"/>
              </w:rPr>
              <w:t>6</w:t>
            </w:r>
            <w:r w:rsidR="003E6658" w:rsidRPr="00A84A0B">
              <w:rPr>
                <w:rFonts w:ascii="Arial Narrow" w:hAnsi="Arial Narrow"/>
                <w:sz w:val="20"/>
                <w:szCs w:val="22"/>
              </w:rPr>
              <w:t>7 (18)</w:t>
            </w:r>
          </w:p>
        </w:tc>
      </w:tr>
      <w:tr w:rsidR="003E6658" w:rsidRPr="00A84A0B" w:rsidTr="0003534A">
        <w:tc>
          <w:tcPr>
            <w:tcW w:w="2536" w:type="dxa"/>
          </w:tcPr>
          <w:p w:rsidR="003E6658" w:rsidRPr="00A84A0B" w:rsidRDefault="003E6658" w:rsidP="005939DA">
            <w:pPr>
              <w:pStyle w:val="ListParagraph"/>
              <w:widowControl/>
              <w:ind w:left="0"/>
              <w:rPr>
                <w:rFonts w:ascii="Arial Narrow" w:hAnsi="Arial Narrow"/>
                <w:sz w:val="20"/>
                <w:szCs w:val="22"/>
              </w:rPr>
            </w:pPr>
            <w:r w:rsidRPr="00A84A0B">
              <w:rPr>
                <w:rFonts w:ascii="Arial Narrow" w:hAnsi="Arial Narrow"/>
                <w:sz w:val="20"/>
                <w:szCs w:val="22"/>
              </w:rPr>
              <w:t>Disease control rate, n (%)</w:t>
            </w:r>
          </w:p>
        </w:tc>
        <w:tc>
          <w:tcPr>
            <w:tcW w:w="1440" w:type="dxa"/>
            <w:vAlign w:val="center"/>
          </w:tcPr>
          <w:p w:rsidR="003E6658" w:rsidRPr="00A84A0B" w:rsidRDefault="003E6658" w:rsidP="005939DA">
            <w:pPr>
              <w:pStyle w:val="ListParagraph"/>
              <w:widowControl/>
              <w:ind w:left="0"/>
              <w:jc w:val="center"/>
              <w:rPr>
                <w:rFonts w:ascii="Arial Narrow" w:hAnsi="Arial Narrow"/>
                <w:sz w:val="20"/>
                <w:szCs w:val="22"/>
              </w:rPr>
            </w:pPr>
            <w:r w:rsidRPr="00A84A0B">
              <w:rPr>
                <w:rFonts w:ascii="Arial Narrow" w:hAnsi="Arial Narrow"/>
                <w:sz w:val="20"/>
                <w:szCs w:val="22"/>
              </w:rPr>
              <w:t>25 (36)</w:t>
            </w:r>
          </w:p>
        </w:tc>
        <w:tc>
          <w:tcPr>
            <w:tcW w:w="1440" w:type="dxa"/>
            <w:vAlign w:val="center"/>
          </w:tcPr>
          <w:p w:rsidR="003E6658" w:rsidRPr="00A84A0B" w:rsidRDefault="003E6658" w:rsidP="005939DA">
            <w:pPr>
              <w:pStyle w:val="ListParagraph"/>
              <w:widowControl/>
              <w:ind w:left="0"/>
              <w:jc w:val="center"/>
              <w:rPr>
                <w:rFonts w:ascii="Arial Narrow" w:hAnsi="Arial Narrow"/>
                <w:sz w:val="20"/>
                <w:szCs w:val="22"/>
              </w:rPr>
            </w:pPr>
            <w:r w:rsidRPr="00A84A0B">
              <w:rPr>
                <w:rFonts w:ascii="Arial Narrow" w:hAnsi="Arial Narrow"/>
                <w:sz w:val="20"/>
                <w:szCs w:val="22"/>
              </w:rPr>
              <w:t>30 (43)</w:t>
            </w:r>
          </w:p>
        </w:tc>
        <w:tc>
          <w:tcPr>
            <w:tcW w:w="1440" w:type="dxa"/>
            <w:vAlign w:val="center"/>
          </w:tcPr>
          <w:p w:rsidR="003E6658" w:rsidRPr="00A84A0B" w:rsidRDefault="003E6658" w:rsidP="005939DA">
            <w:pPr>
              <w:pStyle w:val="ListParagraph"/>
              <w:widowControl/>
              <w:ind w:left="0"/>
              <w:jc w:val="center"/>
              <w:rPr>
                <w:rFonts w:ascii="Arial Narrow" w:hAnsi="Arial Narrow"/>
                <w:sz w:val="20"/>
                <w:szCs w:val="22"/>
              </w:rPr>
            </w:pPr>
            <w:r w:rsidRPr="00A84A0B">
              <w:rPr>
                <w:rFonts w:ascii="Arial Narrow" w:hAnsi="Arial Narrow"/>
                <w:sz w:val="20"/>
                <w:szCs w:val="22"/>
              </w:rPr>
              <w:t>151 (41)</w:t>
            </w:r>
          </w:p>
        </w:tc>
        <w:tc>
          <w:tcPr>
            <w:tcW w:w="1440" w:type="dxa"/>
            <w:vAlign w:val="center"/>
          </w:tcPr>
          <w:p w:rsidR="003E6658" w:rsidRPr="00A84A0B" w:rsidRDefault="003E6658" w:rsidP="005939DA">
            <w:pPr>
              <w:pStyle w:val="ListParagraph"/>
              <w:widowControl/>
              <w:ind w:left="0"/>
              <w:jc w:val="center"/>
              <w:rPr>
                <w:rFonts w:ascii="Arial Narrow" w:hAnsi="Arial Narrow"/>
                <w:sz w:val="20"/>
                <w:szCs w:val="22"/>
              </w:rPr>
            </w:pPr>
            <w:r w:rsidRPr="00A84A0B">
              <w:rPr>
                <w:rFonts w:ascii="Arial Narrow" w:hAnsi="Arial Narrow"/>
                <w:sz w:val="20"/>
                <w:szCs w:val="22"/>
              </w:rPr>
              <w:t>175 (47)</w:t>
            </w:r>
          </w:p>
        </w:tc>
      </w:tr>
      <w:tr w:rsidR="003E6658" w:rsidRPr="00A84A0B" w:rsidTr="003E6658">
        <w:tc>
          <w:tcPr>
            <w:tcW w:w="8296" w:type="dxa"/>
            <w:gridSpan w:val="5"/>
            <w:vAlign w:val="center"/>
          </w:tcPr>
          <w:p w:rsidR="003E6658" w:rsidRPr="00A84A0B" w:rsidRDefault="003E6658" w:rsidP="005939DA">
            <w:pPr>
              <w:pStyle w:val="ListParagraph"/>
              <w:widowControl/>
              <w:ind w:left="0"/>
              <w:jc w:val="left"/>
              <w:rPr>
                <w:rFonts w:ascii="Arial Narrow" w:hAnsi="Arial Narrow"/>
                <w:sz w:val="20"/>
                <w:szCs w:val="22"/>
              </w:rPr>
            </w:pPr>
            <w:r w:rsidRPr="00A84A0B">
              <w:rPr>
                <w:rFonts w:ascii="Arial Narrow" w:hAnsi="Arial Narrow"/>
                <w:sz w:val="20"/>
                <w:szCs w:val="22"/>
              </w:rPr>
              <w:t>Overall response, n (%)</w:t>
            </w:r>
          </w:p>
        </w:tc>
      </w:tr>
      <w:tr w:rsidR="003E6658" w:rsidRPr="00A84A0B" w:rsidTr="0003534A">
        <w:tc>
          <w:tcPr>
            <w:tcW w:w="2536" w:type="dxa"/>
          </w:tcPr>
          <w:p w:rsidR="003E6658" w:rsidRPr="00A84A0B" w:rsidRDefault="003E6658" w:rsidP="005939DA">
            <w:pPr>
              <w:pStyle w:val="ListParagraph"/>
              <w:widowControl/>
              <w:tabs>
                <w:tab w:val="left" w:pos="240"/>
              </w:tabs>
              <w:ind w:left="0"/>
              <w:rPr>
                <w:rFonts w:ascii="Arial Narrow" w:hAnsi="Arial Narrow"/>
                <w:sz w:val="20"/>
                <w:szCs w:val="22"/>
              </w:rPr>
            </w:pPr>
            <w:r w:rsidRPr="00A84A0B">
              <w:rPr>
                <w:rFonts w:ascii="Arial Narrow" w:hAnsi="Arial Narrow"/>
                <w:sz w:val="20"/>
                <w:szCs w:val="22"/>
              </w:rPr>
              <w:tab/>
              <w:t>Complete response, n (%)</w:t>
            </w:r>
          </w:p>
        </w:tc>
        <w:tc>
          <w:tcPr>
            <w:tcW w:w="1440" w:type="dxa"/>
            <w:vAlign w:val="center"/>
          </w:tcPr>
          <w:p w:rsidR="003E6658" w:rsidRPr="00A84A0B" w:rsidRDefault="003E6658" w:rsidP="005939DA">
            <w:pPr>
              <w:pStyle w:val="ListParagraph"/>
              <w:widowControl/>
              <w:ind w:left="0"/>
              <w:jc w:val="center"/>
              <w:rPr>
                <w:rFonts w:ascii="Arial Narrow" w:hAnsi="Arial Narrow"/>
                <w:sz w:val="20"/>
                <w:szCs w:val="22"/>
              </w:rPr>
            </w:pPr>
            <w:r w:rsidRPr="00A84A0B">
              <w:rPr>
                <w:rFonts w:ascii="Arial Narrow" w:hAnsi="Arial Narrow"/>
                <w:sz w:val="20"/>
                <w:szCs w:val="22"/>
              </w:rPr>
              <w:t>0</w:t>
            </w:r>
          </w:p>
        </w:tc>
        <w:tc>
          <w:tcPr>
            <w:tcW w:w="1440" w:type="dxa"/>
            <w:vAlign w:val="center"/>
          </w:tcPr>
          <w:p w:rsidR="003E6658" w:rsidRPr="00A84A0B" w:rsidRDefault="003E6658" w:rsidP="005939DA">
            <w:pPr>
              <w:pStyle w:val="ListParagraph"/>
              <w:widowControl/>
              <w:ind w:left="0"/>
              <w:jc w:val="center"/>
              <w:rPr>
                <w:rFonts w:ascii="Arial Narrow" w:hAnsi="Arial Narrow"/>
                <w:sz w:val="20"/>
                <w:szCs w:val="22"/>
              </w:rPr>
            </w:pPr>
            <w:r w:rsidRPr="00A84A0B">
              <w:rPr>
                <w:rFonts w:ascii="Arial Narrow" w:hAnsi="Arial Narrow"/>
                <w:sz w:val="20"/>
                <w:szCs w:val="22"/>
              </w:rPr>
              <w:t>0</w:t>
            </w:r>
          </w:p>
        </w:tc>
        <w:tc>
          <w:tcPr>
            <w:tcW w:w="1440" w:type="dxa"/>
            <w:vAlign w:val="center"/>
          </w:tcPr>
          <w:p w:rsidR="003E6658" w:rsidRPr="00A84A0B" w:rsidRDefault="003E6658" w:rsidP="005939DA">
            <w:pPr>
              <w:pStyle w:val="ListParagraph"/>
              <w:widowControl/>
              <w:ind w:left="0"/>
              <w:jc w:val="center"/>
              <w:rPr>
                <w:rFonts w:ascii="Arial Narrow" w:hAnsi="Arial Narrow"/>
                <w:sz w:val="20"/>
                <w:szCs w:val="22"/>
              </w:rPr>
            </w:pPr>
            <w:r w:rsidRPr="00A84A0B">
              <w:rPr>
                <w:rFonts w:ascii="Arial Narrow" w:hAnsi="Arial Narrow"/>
                <w:sz w:val="20"/>
                <w:szCs w:val="22"/>
              </w:rPr>
              <w:t>1 (&lt;1)</w:t>
            </w:r>
          </w:p>
        </w:tc>
        <w:tc>
          <w:tcPr>
            <w:tcW w:w="1440" w:type="dxa"/>
            <w:vAlign w:val="center"/>
          </w:tcPr>
          <w:p w:rsidR="003E6658" w:rsidRPr="00A84A0B" w:rsidRDefault="003E6658" w:rsidP="005939DA">
            <w:pPr>
              <w:pStyle w:val="ListParagraph"/>
              <w:widowControl/>
              <w:ind w:left="0"/>
              <w:jc w:val="center"/>
              <w:rPr>
                <w:rFonts w:ascii="Arial Narrow" w:hAnsi="Arial Narrow"/>
                <w:sz w:val="20"/>
                <w:szCs w:val="22"/>
              </w:rPr>
            </w:pPr>
            <w:r w:rsidRPr="00A84A0B">
              <w:rPr>
                <w:rFonts w:ascii="Arial Narrow" w:hAnsi="Arial Narrow"/>
                <w:sz w:val="20"/>
                <w:szCs w:val="22"/>
              </w:rPr>
              <w:t>4 (1)</w:t>
            </w:r>
          </w:p>
        </w:tc>
      </w:tr>
      <w:tr w:rsidR="003E6658" w:rsidRPr="00A84A0B" w:rsidTr="0003534A">
        <w:tc>
          <w:tcPr>
            <w:tcW w:w="2536" w:type="dxa"/>
          </w:tcPr>
          <w:p w:rsidR="003E6658" w:rsidRPr="00A84A0B" w:rsidRDefault="003E6658" w:rsidP="005939DA">
            <w:pPr>
              <w:pStyle w:val="ListParagraph"/>
              <w:widowControl/>
              <w:tabs>
                <w:tab w:val="left" w:pos="240"/>
              </w:tabs>
              <w:ind w:left="0"/>
              <w:rPr>
                <w:rFonts w:ascii="Arial Narrow" w:hAnsi="Arial Narrow"/>
                <w:sz w:val="20"/>
                <w:szCs w:val="22"/>
              </w:rPr>
            </w:pPr>
            <w:r w:rsidRPr="00A84A0B">
              <w:rPr>
                <w:rFonts w:ascii="Arial Narrow" w:hAnsi="Arial Narrow"/>
                <w:sz w:val="20"/>
                <w:szCs w:val="22"/>
              </w:rPr>
              <w:tab/>
              <w:t>Partial response, n (%)</w:t>
            </w:r>
          </w:p>
        </w:tc>
        <w:tc>
          <w:tcPr>
            <w:tcW w:w="1440" w:type="dxa"/>
            <w:vAlign w:val="center"/>
          </w:tcPr>
          <w:p w:rsidR="003E6658" w:rsidRPr="00A84A0B" w:rsidRDefault="003E6658" w:rsidP="005939DA">
            <w:pPr>
              <w:pStyle w:val="ListParagraph"/>
              <w:widowControl/>
              <w:ind w:left="0"/>
              <w:jc w:val="center"/>
              <w:rPr>
                <w:rFonts w:ascii="Arial Narrow" w:hAnsi="Arial Narrow"/>
                <w:sz w:val="20"/>
                <w:szCs w:val="22"/>
              </w:rPr>
            </w:pPr>
            <w:r w:rsidRPr="00A84A0B">
              <w:rPr>
                <w:rFonts w:ascii="Arial Narrow" w:hAnsi="Arial Narrow"/>
                <w:sz w:val="20"/>
                <w:szCs w:val="22"/>
              </w:rPr>
              <w:t>8 (11)</w:t>
            </w:r>
          </w:p>
        </w:tc>
        <w:tc>
          <w:tcPr>
            <w:tcW w:w="1440" w:type="dxa"/>
            <w:vAlign w:val="center"/>
          </w:tcPr>
          <w:p w:rsidR="003E6658" w:rsidRPr="00A84A0B" w:rsidRDefault="003E6658" w:rsidP="005939DA">
            <w:pPr>
              <w:pStyle w:val="ListParagraph"/>
              <w:widowControl/>
              <w:ind w:left="0"/>
              <w:jc w:val="center"/>
              <w:rPr>
                <w:rFonts w:ascii="Arial Narrow" w:hAnsi="Arial Narrow"/>
                <w:sz w:val="20"/>
                <w:szCs w:val="22"/>
              </w:rPr>
            </w:pPr>
            <w:r w:rsidRPr="00A84A0B">
              <w:rPr>
                <w:rFonts w:ascii="Arial Narrow" w:hAnsi="Arial Narrow"/>
                <w:sz w:val="20"/>
                <w:szCs w:val="22"/>
              </w:rPr>
              <w:t>13 (19)</w:t>
            </w:r>
          </w:p>
        </w:tc>
        <w:tc>
          <w:tcPr>
            <w:tcW w:w="1440" w:type="dxa"/>
            <w:vAlign w:val="center"/>
          </w:tcPr>
          <w:p w:rsidR="003E6658" w:rsidRPr="00A84A0B" w:rsidRDefault="003E6658" w:rsidP="005939DA">
            <w:pPr>
              <w:pStyle w:val="ListParagraph"/>
              <w:widowControl/>
              <w:ind w:left="0"/>
              <w:jc w:val="center"/>
              <w:rPr>
                <w:rFonts w:ascii="Arial Narrow" w:hAnsi="Arial Narrow"/>
                <w:sz w:val="20"/>
                <w:szCs w:val="22"/>
              </w:rPr>
            </w:pPr>
            <w:r w:rsidRPr="00A84A0B">
              <w:rPr>
                <w:rFonts w:ascii="Arial Narrow" w:hAnsi="Arial Narrow"/>
                <w:sz w:val="20"/>
                <w:szCs w:val="22"/>
              </w:rPr>
              <w:t>50 (14)</w:t>
            </w:r>
          </w:p>
        </w:tc>
        <w:tc>
          <w:tcPr>
            <w:tcW w:w="1440" w:type="dxa"/>
            <w:vAlign w:val="center"/>
          </w:tcPr>
          <w:p w:rsidR="003E6658" w:rsidRPr="00A84A0B" w:rsidRDefault="003E6658" w:rsidP="005939DA">
            <w:pPr>
              <w:pStyle w:val="ListParagraph"/>
              <w:widowControl/>
              <w:ind w:left="0"/>
              <w:jc w:val="center"/>
              <w:rPr>
                <w:rFonts w:ascii="Arial Narrow" w:hAnsi="Arial Narrow"/>
                <w:sz w:val="20"/>
                <w:szCs w:val="22"/>
              </w:rPr>
            </w:pPr>
            <w:r w:rsidRPr="00A84A0B">
              <w:rPr>
                <w:rFonts w:ascii="Arial Narrow" w:hAnsi="Arial Narrow"/>
                <w:sz w:val="20"/>
                <w:szCs w:val="22"/>
              </w:rPr>
              <w:t>63 (17)</w:t>
            </w:r>
          </w:p>
        </w:tc>
      </w:tr>
      <w:tr w:rsidR="003E6658" w:rsidRPr="00A84A0B" w:rsidTr="0003534A">
        <w:tc>
          <w:tcPr>
            <w:tcW w:w="2536" w:type="dxa"/>
          </w:tcPr>
          <w:p w:rsidR="003E6658" w:rsidRPr="00A84A0B" w:rsidRDefault="003E6658" w:rsidP="005939DA">
            <w:pPr>
              <w:pStyle w:val="ListParagraph"/>
              <w:widowControl/>
              <w:tabs>
                <w:tab w:val="left" w:pos="240"/>
              </w:tabs>
              <w:ind w:left="0"/>
              <w:rPr>
                <w:rFonts w:ascii="Arial Narrow" w:hAnsi="Arial Narrow"/>
                <w:sz w:val="20"/>
                <w:szCs w:val="22"/>
              </w:rPr>
            </w:pPr>
            <w:r w:rsidRPr="00A84A0B">
              <w:rPr>
                <w:rFonts w:ascii="Arial Narrow" w:hAnsi="Arial Narrow"/>
                <w:sz w:val="20"/>
                <w:szCs w:val="22"/>
              </w:rPr>
              <w:tab/>
              <w:t>Stable disease, n (%)</w:t>
            </w:r>
          </w:p>
        </w:tc>
        <w:tc>
          <w:tcPr>
            <w:tcW w:w="1440" w:type="dxa"/>
            <w:vAlign w:val="center"/>
          </w:tcPr>
          <w:p w:rsidR="003E6658" w:rsidRPr="00A84A0B" w:rsidRDefault="003E6658" w:rsidP="005939DA">
            <w:pPr>
              <w:pStyle w:val="ListParagraph"/>
              <w:widowControl/>
              <w:ind w:left="0"/>
              <w:jc w:val="center"/>
              <w:rPr>
                <w:rFonts w:ascii="Arial Narrow" w:hAnsi="Arial Narrow"/>
                <w:sz w:val="20"/>
                <w:szCs w:val="22"/>
              </w:rPr>
            </w:pPr>
            <w:r w:rsidRPr="00A84A0B">
              <w:rPr>
                <w:rFonts w:ascii="Arial Narrow" w:hAnsi="Arial Narrow"/>
                <w:sz w:val="20"/>
                <w:szCs w:val="22"/>
              </w:rPr>
              <w:t>17 (25)</w:t>
            </w:r>
          </w:p>
        </w:tc>
        <w:tc>
          <w:tcPr>
            <w:tcW w:w="1440" w:type="dxa"/>
            <w:vAlign w:val="center"/>
          </w:tcPr>
          <w:p w:rsidR="003E6658" w:rsidRPr="00A84A0B" w:rsidRDefault="003E6658" w:rsidP="005939DA">
            <w:pPr>
              <w:pStyle w:val="ListParagraph"/>
              <w:widowControl/>
              <w:ind w:left="0"/>
              <w:jc w:val="center"/>
              <w:rPr>
                <w:rFonts w:ascii="Arial Narrow" w:hAnsi="Arial Narrow"/>
                <w:sz w:val="20"/>
                <w:szCs w:val="22"/>
              </w:rPr>
            </w:pPr>
            <w:r w:rsidRPr="00A84A0B">
              <w:rPr>
                <w:rFonts w:ascii="Arial Narrow" w:hAnsi="Arial Narrow"/>
                <w:sz w:val="20"/>
                <w:szCs w:val="22"/>
              </w:rPr>
              <w:t>17 (24)</w:t>
            </w:r>
          </w:p>
        </w:tc>
        <w:tc>
          <w:tcPr>
            <w:tcW w:w="1440" w:type="dxa"/>
            <w:vAlign w:val="center"/>
          </w:tcPr>
          <w:p w:rsidR="003E6658" w:rsidRPr="00A84A0B" w:rsidRDefault="003E6658" w:rsidP="005939DA">
            <w:pPr>
              <w:pStyle w:val="ListParagraph"/>
              <w:widowControl/>
              <w:ind w:left="0"/>
              <w:jc w:val="center"/>
              <w:rPr>
                <w:rFonts w:ascii="Arial Narrow" w:hAnsi="Arial Narrow"/>
                <w:sz w:val="20"/>
                <w:szCs w:val="22"/>
              </w:rPr>
            </w:pPr>
            <w:r w:rsidRPr="00A84A0B">
              <w:rPr>
                <w:rFonts w:ascii="Arial Narrow" w:hAnsi="Arial Narrow"/>
                <w:sz w:val="20"/>
                <w:szCs w:val="22"/>
              </w:rPr>
              <w:t>100 (27)</w:t>
            </w:r>
          </w:p>
        </w:tc>
        <w:tc>
          <w:tcPr>
            <w:tcW w:w="1440" w:type="dxa"/>
            <w:vAlign w:val="center"/>
          </w:tcPr>
          <w:p w:rsidR="003E6658" w:rsidRPr="00A84A0B" w:rsidRDefault="003E6658" w:rsidP="005939DA">
            <w:pPr>
              <w:pStyle w:val="ListParagraph"/>
              <w:widowControl/>
              <w:ind w:left="0"/>
              <w:jc w:val="center"/>
              <w:rPr>
                <w:rFonts w:ascii="Arial Narrow" w:hAnsi="Arial Narrow"/>
                <w:sz w:val="20"/>
                <w:szCs w:val="22"/>
              </w:rPr>
            </w:pPr>
            <w:r w:rsidRPr="00A84A0B">
              <w:rPr>
                <w:rFonts w:ascii="Arial Narrow" w:hAnsi="Arial Narrow"/>
                <w:sz w:val="20"/>
                <w:szCs w:val="22"/>
              </w:rPr>
              <w:t>108 (29)</w:t>
            </w:r>
          </w:p>
        </w:tc>
      </w:tr>
      <w:tr w:rsidR="003E6658" w:rsidRPr="00A84A0B" w:rsidTr="0003534A">
        <w:tc>
          <w:tcPr>
            <w:tcW w:w="2536" w:type="dxa"/>
          </w:tcPr>
          <w:p w:rsidR="003E6658" w:rsidRPr="00A84A0B" w:rsidRDefault="003E6658" w:rsidP="005939DA">
            <w:pPr>
              <w:pStyle w:val="ListParagraph"/>
              <w:widowControl/>
              <w:tabs>
                <w:tab w:val="left" w:pos="240"/>
              </w:tabs>
              <w:ind w:left="0"/>
              <w:rPr>
                <w:rFonts w:ascii="Arial Narrow" w:hAnsi="Arial Narrow"/>
                <w:sz w:val="20"/>
                <w:szCs w:val="22"/>
              </w:rPr>
            </w:pPr>
            <w:r w:rsidRPr="00A84A0B">
              <w:rPr>
                <w:rFonts w:ascii="Arial Narrow" w:hAnsi="Arial Narrow"/>
                <w:sz w:val="20"/>
                <w:szCs w:val="22"/>
              </w:rPr>
              <w:tab/>
              <w:t>Progressive disease, n (%)</w:t>
            </w:r>
          </w:p>
        </w:tc>
        <w:tc>
          <w:tcPr>
            <w:tcW w:w="1440" w:type="dxa"/>
            <w:vAlign w:val="center"/>
          </w:tcPr>
          <w:p w:rsidR="003E6658" w:rsidRPr="00A84A0B" w:rsidRDefault="003E6658" w:rsidP="005939DA">
            <w:pPr>
              <w:pStyle w:val="ListParagraph"/>
              <w:widowControl/>
              <w:ind w:left="0"/>
              <w:jc w:val="center"/>
              <w:rPr>
                <w:rFonts w:ascii="Arial Narrow" w:hAnsi="Arial Narrow"/>
                <w:sz w:val="20"/>
                <w:szCs w:val="22"/>
              </w:rPr>
            </w:pPr>
            <w:r w:rsidRPr="00A84A0B">
              <w:rPr>
                <w:rFonts w:ascii="Arial Narrow" w:hAnsi="Arial Narrow"/>
                <w:sz w:val="20"/>
                <w:szCs w:val="22"/>
              </w:rPr>
              <w:t>43 (61)</w:t>
            </w:r>
          </w:p>
        </w:tc>
        <w:tc>
          <w:tcPr>
            <w:tcW w:w="1440" w:type="dxa"/>
            <w:vAlign w:val="center"/>
          </w:tcPr>
          <w:p w:rsidR="003E6658" w:rsidRPr="00A84A0B" w:rsidRDefault="003E6658" w:rsidP="005939DA">
            <w:pPr>
              <w:pStyle w:val="ListParagraph"/>
              <w:widowControl/>
              <w:ind w:left="0"/>
              <w:jc w:val="center"/>
              <w:rPr>
                <w:rFonts w:ascii="Arial Narrow" w:hAnsi="Arial Narrow"/>
                <w:sz w:val="20"/>
                <w:szCs w:val="22"/>
              </w:rPr>
            </w:pPr>
            <w:r w:rsidRPr="00A84A0B">
              <w:rPr>
                <w:rFonts w:ascii="Arial Narrow" w:hAnsi="Arial Narrow"/>
                <w:sz w:val="20"/>
                <w:szCs w:val="22"/>
              </w:rPr>
              <w:t>38 (54)</w:t>
            </w:r>
          </w:p>
        </w:tc>
        <w:tc>
          <w:tcPr>
            <w:tcW w:w="1440" w:type="dxa"/>
            <w:vAlign w:val="center"/>
          </w:tcPr>
          <w:p w:rsidR="003E6658" w:rsidRPr="00A84A0B" w:rsidRDefault="003E6658" w:rsidP="005939DA">
            <w:pPr>
              <w:pStyle w:val="ListParagraph"/>
              <w:widowControl/>
              <w:ind w:left="0"/>
              <w:jc w:val="center"/>
              <w:rPr>
                <w:rFonts w:ascii="Arial Narrow" w:hAnsi="Arial Narrow"/>
                <w:sz w:val="20"/>
                <w:szCs w:val="22"/>
              </w:rPr>
            </w:pPr>
            <w:r w:rsidRPr="00A84A0B">
              <w:rPr>
                <w:rFonts w:ascii="Arial Narrow" w:hAnsi="Arial Narrow"/>
                <w:sz w:val="20"/>
                <w:szCs w:val="22"/>
              </w:rPr>
              <w:t>212 (57)</w:t>
            </w:r>
          </w:p>
        </w:tc>
        <w:tc>
          <w:tcPr>
            <w:tcW w:w="1440" w:type="dxa"/>
            <w:vAlign w:val="center"/>
          </w:tcPr>
          <w:p w:rsidR="003E6658" w:rsidRPr="00A84A0B" w:rsidRDefault="003E6658" w:rsidP="005939DA">
            <w:pPr>
              <w:pStyle w:val="ListParagraph"/>
              <w:widowControl/>
              <w:ind w:left="0"/>
              <w:jc w:val="center"/>
              <w:rPr>
                <w:rFonts w:ascii="Arial Narrow" w:hAnsi="Arial Narrow"/>
                <w:sz w:val="20"/>
                <w:szCs w:val="22"/>
              </w:rPr>
            </w:pPr>
            <w:r w:rsidRPr="00A84A0B">
              <w:rPr>
                <w:rFonts w:ascii="Arial Narrow" w:hAnsi="Arial Narrow"/>
                <w:sz w:val="20"/>
                <w:szCs w:val="22"/>
              </w:rPr>
              <w:t>189 (51)</w:t>
            </w:r>
          </w:p>
        </w:tc>
      </w:tr>
      <w:tr w:rsidR="003E6658" w:rsidRPr="00A84A0B" w:rsidTr="0003534A">
        <w:tc>
          <w:tcPr>
            <w:tcW w:w="2536" w:type="dxa"/>
          </w:tcPr>
          <w:p w:rsidR="003E6658" w:rsidRPr="00A84A0B" w:rsidRDefault="003E6658" w:rsidP="005939DA">
            <w:pPr>
              <w:pStyle w:val="ListParagraph"/>
              <w:widowControl/>
              <w:tabs>
                <w:tab w:val="left" w:pos="240"/>
              </w:tabs>
              <w:ind w:left="0"/>
              <w:rPr>
                <w:rFonts w:ascii="Arial Narrow" w:hAnsi="Arial Narrow"/>
                <w:sz w:val="20"/>
                <w:szCs w:val="22"/>
              </w:rPr>
            </w:pPr>
            <w:r w:rsidRPr="00A84A0B">
              <w:rPr>
                <w:rFonts w:ascii="Arial Narrow" w:hAnsi="Arial Narrow"/>
                <w:sz w:val="20"/>
                <w:szCs w:val="22"/>
              </w:rPr>
              <w:tab/>
              <w:t>Not determined, n (%)</w:t>
            </w:r>
          </w:p>
        </w:tc>
        <w:tc>
          <w:tcPr>
            <w:tcW w:w="1440" w:type="dxa"/>
            <w:vAlign w:val="center"/>
          </w:tcPr>
          <w:p w:rsidR="003E6658" w:rsidRPr="00A84A0B" w:rsidRDefault="003E6658" w:rsidP="005939DA">
            <w:pPr>
              <w:pStyle w:val="ListParagraph"/>
              <w:widowControl/>
              <w:ind w:left="0"/>
              <w:jc w:val="center"/>
              <w:rPr>
                <w:rFonts w:ascii="Arial Narrow" w:hAnsi="Arial Narrow"/>
                <w:sz w:val="20"/>
                <w:szCs w:val="22"/>
              </w:rPr>
            </w:pPr>
            <w:r w:rsidRPr="00A84A0B">
              <w:rPr>
                <w:rFonts w:ascii="Arial Narrow" w:hAnsi="Arial Narrow"/>
                <w:sz w:val="20"/>
                <w:szCs w:val="22"/>
              </w:rPr>
              <w:t>2 (3)</w:t>
            </w:r>
          </w:p>
        </w:tc>
        <w:tc>
          <w:tcPr>
            <w:tcW w:w="1440" w:type="dxa"/>
            <w:vAlign w:val="center"/>
          </w:tcPr>
          <w:p w:rsidR="003E6658" w:rsidRPr="00A84A0B" w:rsidRDefault="003E6658" w:rsidP="005939DA">
            <w:pPr>
              <w:pStyle w:val="ListParagraph"/>
              <w:widowControl/>
              <w:ind w:left="0"/>
              <w:jc w:val="center"/>
              <w:rPr>
                <w:rFonts w:ascii="Arial Narrow" w:hAnsi="Arial Narrow"/>
                <w:sz w:val="20"/>
                <w:szCs w:val="22"/>
              </w:rPr>
            </w:pPr>
            <w:r w:rsidRPr="00A84A0B">
              <w:rPr>
                <w:rFonts w:ascii="Arial Narrow" w:hAnsi="Arial Narrow"/>
                <w:sz w:val="20"/>
                <w:szCs w:val="22"/>
              </w:rPr>
              <w:t>2 (3)</w:t>
            </w:r>
          </w:p>
        </w:tc>
        <w:tc>
          <w:tcPr>
            <w:tcW w:w="1440" w:type="dxa"/>
            <w:vAlign w:val="center"/>
          </w:tcPr>
          <w:p w:rsidR="003E6658" w:rsidRPr="00A84A0B" w:rsidRDefault="003E6658" w:rsidP="005939DA">
            <w:pPr>
              <w:pStyle w:val="ListParagraph"/>
              <w:widowControl/>
              <w:ind w:left="0"/>
              <w:jc w:val="center"/>
              <w:rPr>
                <w:rFonts w:ascii="Arial Narrow" w:hAnsi="Arial Narrow"/>
                <w:sz w:val="20"/>
                <w:szCs w:val="22"/>
              </w:rPr>
            </w:pPr>
            <w:r w:rsidRPr="00A84A0B">
              <w:rPr>
                <w:rFonts w:ascii="Arial Narrow" w:hAnsi="Arial Narrow"/>
                <w:sz w:val="20"/>
                <w:szCs w:val="22"/>
              </w:rPr>
              <w:t>8 (2)</w:t>
            </w:r>
          </w:p>
        </w:tc>
        <w:tc>
          <w:tcPr>
            <w:tcW w:w="1440" w:type="dxa"/>
            <w:vAlign w:val="center"/>
          </w:tcPr>
          <w:p w:rsidR="003E6658" w:rsidRPr="00A84A0B" w:rsidRDefault="003E6658" w:rsidP="005939DA">
            <w:pPr>
              <w:pStyle w:val="ListParagraph"/>
              <w:widowControl/>
              <w:ind w:left="0"/>
              <w:jc w:val="center"/>
              <w:rPr>
                <w:rFonts w:ascii="Arial Narrow" w:hAnsi="Arial Narrow"/>
                <w:sz w:val="20"/>
                <w:szCs w:val="22"/>
              </w:rPr>
            </w:pPr>
            <w:r w:rsidRPr="00A84A0B">
              <w:rPr>
                <w:rFonts w:ascii="Arial Narrow" w:hAnsi="Arial Narrow"/>
                <w:sz w:val="20"/>
                <w:szCs w:val="22"/>
              </w:rPr>
              <w:t>7 (2)</w:t>
            </w:r>
          </w:p>
        </w:tc>
      </w:tr>
    </w:tbl>
    <w:p w:rsidR="003E6658" w:rsidRPr="00A84A0B" w:rsidRDefault="007276A1" w:rsidP="005939DA">
      <w:pPr>
        <w:pStyle w:val="ListParagraph"/>
        <w:widowControl/>
        <w:rPr>
          <w:rFonts w:ascii="Arial Narrow" w:hAnsi="Arial Narrow"/>
          <w:sz w:val="18"/>
          <w:szCs w:val="22"/>
        </w:rPr>
      </w:pPr>
      <w:r w:rsidRPr="00A84A0B">
        <w:rPr>
          <w:rFonts w:ascii="Arial Narrow" w:hAnsi="Arial Narrow"/>
          <w:sz w:val="18"/>
          <w:szCs w:val="22"/>
        </w:rPr>
        <w:t xml:space="preserve">Source: Table </w:t>
      </w:r>
      <w:r w:rsidR="009F69CB" w:rsidRPr="00A84A0B">
        <w:rPr>
          <w:rFonts w:ascii="Arial Narrow" w:hAnsi="Arial Narrow"/>
          <w:sz w:val="18"/>
          <w:szCs w:val="22"/>
        </w:rPr>
        <w:t>6, p17 of the minor re-submission</w:t>
      </w:r>
    </w:p>
    <w:p w:rsidR="00B03FF7" w:rsidRPr="00A84A0B" w:rsidRDefault="00B03FF7" w:rsidP="005939DA">
      <w:pPr>
        <w:rPr>
          <w:rFonts w:ascii="Arial" w:hAnsi="Arial" w:cs="Arial"/>
          <w:sz w:val="22"/>
          <w:szCs w:val="22"/>
        </w:rPr>
      </w:pPr>
    </w:p>
    <w:p w:rsidR="00F32999" w:rsidRPr="00A84A0B" w:rsidRDefault="00F32999" w:rsidP="005939DA">
      <w:pPr>
        <w:pStyle w:val="ListParagraph"/>
        <w:widowControl/>
        <w:numPr>
          <w:ilvl w:val="1"/>
          <w:numId w:val="1"/>
        </w:numPr>
        <w:rPr>
          <w:szCs w:val="22"/>
        </w:rPr>
      </w:pPr>
      <w:r w:rsidRPr="00A84A0B">
        <w:rPr>
          <w:szCs w:val="22"/>
        </w:rPr>
        <w:t>Comparable overall response and disease control rates were observed amongst those aged 75 years</w:t>
      </w:r>
      <w:r w:rsidR="00ED7B7C" w:rsidRPr="00A84A0B">
        <w:rPr>
          <w:szCs w:val="22"/>
        </w:rPr>
        <w:t xml:space="preserve"> or more</w:t>
      </w:r>
      <w:r w:rsidRPr="00A84A0B">
        <w:rPr>
          <w:szCs w:val="22"/>
        </w:rPr>
        <w:t xml:space="preserve"> and the entire populatio</w:t>
      </w:r>
      <w:r w:rsidR="00DE4242" w:rsidRPr="00A84A0B">
        <w:rPr>
          <w:szCs w:val="22"/>
        </w:rPr>
        <w:t>n enrolled in the Italian EAP.</w:t>
      </w:r>
    </w:p>
    <w:p w:rsidR="00307826" w:rsidRPr="00A84A0B" w:rsidRDefault="00307826" w:rsidP="005939DA">
      <w:pPr>
        <w:rPr>
          <w:rFonts w:ascii="Arial" w:hAnsi="Arial" w:cs="Arial"/>
          <w:snapToGrid w:val="0"/>
          <w:sz w:val="22"/>
          <w:szCs w:val="22"/>
          <w:lang w:eastAsia="en-US"/>
        </w:rPr>
      </w:pPr>
    </w:p>
    <w:p w:rsidR="0003534A" w:rsidRPr="00A84A0B" w:rsidRDefault="006C41D1" w:rsidP="005939DA">
      <w:pPr>
        <w:pStyle w:val="ListParagraph"/>
        <w:keepNext/>
        <w:widowControl/>
        <w:rPr>
          <w:szCs w:val="22"/>
        </w:rPr>
      </w:pPr>
      <w:r w:rsidRPr="00A84A0B">
        <w:rPr>
          <w:rFonts w:ascii="Arial Narrow" w:hAnsi="Arial Narrow"/>
          <w:b/>
          <w:sz w:val="20"/>
          <w:szCs w:val="22"/>
        </w:rPr>
        <w:t>Figure 2:</w:t>
      </w:r>
      <w:r w:rsidR="0003534A" w:rsidRPr="00A84A0B">
        <w:rPr>
          <w:rFonts w:ascii="Arial Narrow" w:hAnsi="Arial Narrow"/>
          <w:b/>
          <w:sz w:val="20"/>
          <w:szCs w:val="22"/>
        </w:rPr>
        <w:t xml:space="preserve"> Overall survival reported for those aged ≥75 years and all patients in the Italian EAP and those treated with nivolumab in Trial CA209-017 </w:t>
      </w:r>
      <w:r w:rsidR="001A3115" w:rsidRPr="00A84A0B">
        <w:rPr>
          <w:rFonts w:ascii="Arial Narrow" w:hAnsi="Arial Narrow"/>
          <w:b/>
          <w:sz w:val="20"/>
          <w:szCs w:val="22"/>
        </w:rPr>
        <w:t>(Checkmate 017)</w:t>
      </w:r>
    </w:p>
    <w:p w:rsidR="0003534A" w:rsidRPr="00A84A0B" w:rsidRDefault="0003534A" w:rsidP="005939DA">
      <w:pPr>
        <w:pStyle w:val="ListParagraph"/>
        <w:keepNext/>
        <w:widowControl/>
        <w:rPr>
          <w:szCs w:val="22"/>
        </w:rPr>
      </w:pPr>
      <w:r w:rsidRPr="00A84A0B">
        <w:rPr>
          <w:noProof/>
          <w:lang w:eastAsia="en-AU"/>
        </w:rPr>
        <w:drawing>
          <wp:inline distT="0" distB="0" distL="0" distR="0" wp14:anchorId="0305E162" wp14:editId="5AA5D355">
            <wp:extent cx="5400675" cy="2429885"/>
            <wp:effectExtent l="0" t="0" r="0" b="8890"/>
            <wp:docPr id="1" name="Picture 1" title="Figure 2: Overall survival reported for those aged ≥75 years and all patients in the Italian EAP and those treated with nivolumab in Trial CA209-017 (Checkmate 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08684" cy="2433489"/>
                    </a:xfrm>
                    <a:prstGeom prst="rect">
                      <a:avLst/>
                    </a:prstGeom>
                  </pic:spPr>
                </pic:pic>
              </a:graphicData>
            </a:graphic>
          </wp:inline>
        </w:drawing>
      </w:r>
    </w:p>
    <w:p w:rsidR="0003534A" w:rsidRPr="00A84A0B" w:rsidRDefault="0003534A" w:rsidP="005939DA">
      <w:pPr>
        <w:pStyle w:val="ListParagraph"/>
        <w:keepNext/>
        <w:widowControl/>
        <w:rPr>
          <w:rFonts w:ascii="Arial Narrow" w:hAnsi="Arial Narrow"/>
          <w:sz w:val="18"/>
          <w:szCs w:val="22"/>
        </w:rPr>
      </w:pPr>
      <w:r w:rsidRPr="00A84A0B">
        <w:rPr>
          <w:rFonts w:ascii="Arial Narrow" w:hAnsi="Arial Narrow"/>
          <w:sz w:val="18"/>
          <w:szCs w:val="22"/>
        </w:rPr>
        <w:t>Source:  Figure 4, p18 of the minor re-submission</w:t>
      </w:r>
    </w:p>
    <w:p w:rsidR="0003534A" w:rsidRPr="00A84A0B" w:rsidRDefault="0003534A" w:rsidP="005939DA">
      <w:pPr>
        <w:rPr>
          <w:rFonts w:ascii="Arial" w:hAnsi="Arial" w:cs="Arial"/>
          <w:sz w:val="22"/>
          <w:szCs w:val="22"/>
        </w:rPr>
      </w:pPr>
    </w:p>
    <w:p w:rsidR="0080672C" w:rsidRPr="00A84A0B" w:rsidRDefault="00307826" w:rsidP="005939DA">
      <w:pPr>
        <w:pStyle w:val="ListParagraph"/>
        <w:widowControl/>
        <w:numPr>
          <w:ilvl w:val="1"/>
          <w:numId w:val="1"/>
        </w:numPr>
        <w:rPr>
          <w:szCs w:val="22"/>
        </w:rPr>
      </w:pPr>
      <w:r w:rsidRPr="00A84A0B">
        <w:rPr>
          <w:szCs w:val="22"/>
        </w:rPr>
        <w:t>In terms of overall survival (Figure 2), the effect of nivolumab therapy was lower among those aged 75 years</w:t>
      </w:r>
      <w:r w:rsidR="00ED7B7C" w:rsidRPr="00A84A0B">
        <w:rPr>
          <w:szCs w:val="22"/>
        </w:rPr>
        <w:t xml:space="preserve"> or more</w:t>
      </w:r>
      <w:r w:rsidRPr="00A84A0B">
        <w:rPr>
          <w:szCs w:val="22"/>
        </w:rPr>
        <w:t xml:space="preserve"> compared with the entire population in the Italian EAP</w:t>
      </w:r>
      <w:r w:rsidR="00F16B54" w:rsidRPr="00A84A0B">
        <w:rPr>
          <w:szCs w:val="22"/>
        </w:rPr>
        <w:t xml:space="preserve">. Both these results </w:t>
      </w:r>
      <w:r w:rsidRPr="00A84A0B">
        <w:rPr>
          <w:szCs w:val="22"/>
        </w:rPr>
        <w:t xml:space="preserve">were less compared with those treated with nivolumab in </w:t>
      </w:r>
      <w:r w:rsidR="00542AAE" w:rsidRPr="00A84A0B">
        <w:rPr>
          <w:szCs w:val="22"/>
        </w:rPr>
        <w:t xml:space="preserve">Trial </w:t>
      </w:r>
      <w:r w:rsidRPr="00A84A0B">
        <w:rPr>
          <w:szCs w:val="22"/>
        </w:rPr>
        <w:t>CA209-017</w:t>
      </w:r>
      <w:r w:rsidR="001E2F5F" w:rsidRPr="00A84A0B">
        <w:rPr>
          <w:szCs w:val="22"/>
        </w:rPr>
        <w:t xml:space="preserve"> with </w:t>
      </w:r>
      <w:r w:rsidRPr="00A84A0B">
        <w:rPr>
          <w:szCs w:val="22"/>
        </w:rPr>
        <w:t xml:space="preserve">1-year overall </w:t>
      </w:r>
      <w:r w:rsidR="00112E7A" w:rsidRPr="00A84A0B">
        <w:rPr>
          <w:szCs w:val="22"/>
        </w:rPr>
        <w:t xml:space="preserve">survival </w:t>
      </w:r>
      <w:r w:rsidRPr="00A84A0B">
        <w:rPr>
          <w:szCs w:val="22"/>
        </w:rPr>
        <w:t xml:space="preserve">rates </w:t>
      </w:r>
      <w:r w:rsidR="001E2F5F" w:rsidRPr="00A84A0B">
        <w:rPr>
          <w:szCs w:val="22"/>
        </w:rPr>
        <w:t>of</w:t>
      </w:r>
      <w:r w:rsidRPr="00A84A0B">
        <w:rPr>
          <w:szCs w:val="22"/>
        </w:rPr>
        <w:t xml:space="preserve"> 35% for Italian EAP </w:t>
      </w:r>
      <w:r w:rsidR="00642A6A" w:rsidRPr="00A84A0B">
        <w:rPr>
          <w:szCs w:val="22"/>
        </w:rPr>
        <w:t xml:space="preserve">patients </w:t>
      </w:r>
      <w:r w:rsidR="00ED7B7C" w:rsidRPr="00A84A0B">
        <w:rPr>
          <w:szCs w:val="22"/>
        </w:rPr>
        <w:t xml:space="preserve">aged </w:t>
      </w:r>
      <w:r w:rsidRPr="00A84A0B">
        <w:rPr>
          <w:szCs w:val="22"/>
        </w:rPr>
        <w:t>75 years</w:t>
      </w:r>
      <w:r w:rsidR="00ED7B7C" w:rsidRPr="00A84A0B">
        <w:rPr>
          <w:szCs w:val="22"/>
        </w:rPr>
        <w:t xml:space="preserve"> or more</w:t>
      </w:r>
      <w:r w:rsidRPr="00A84A0B">
        <w:rPr>
          <w:szCs w:val="22"/>
        </w:rPr>
        <w:t>, 39% for Italian EAP entire population and 42% for those treated with nivolumab in Trial CA209-017.</w:t>
      </w:r>
    </w:p>
    <w:p w:rsidR="0080672C" w:rsidRPr="00A84A0B" w:rsidRDefault="0080672C" w:rsidP="005939DA">
      <w:pPr>
        <w:rPr>
          <w:rFonts w:ascii="Arial" w:hAnsi="Arial" w:cs="Arial"/>
          <w:sz w:val="22"/>
          <w:szCs w:val="22"/>
        </w:rPr>
      </w:pPr>
    </w:p>
    <w:p w:rsidR="0080672C" w:rsidRPr="00A84A0B" w:rsidRDefault="0080672C" w:rsidP="005939DA">
      <w:pPr>
        <w:pStyle w:val="ListParagraph"/>
        <w:widowControl/>
        <w:numPr>
          <w:ilvl w:val="1"/>
          <w:numId w:val="1"/>
        </w:numPr>
        <w:rPr>
          <w:szCs w:val="22"/>
        </w:rPr>
      </w:pPr>
      <w:r w:rsidRPr="00A84A0B">
        <w:rPr>
          <w:szCs w:val="22"/>
        </w:rPr>
        <w:t>The minor re-submission also presented data from the BMS</w:t>
      </w:r>
      <w:r w:rsidR="00F41F6E" w:rsidRPr="00A84A0B">
        <w:rPr>
          <w:szCs w:val="22"/>
        </w:rPr>
        <w:t>A</w:t>
      </w:r>
      <w:r w:rsidRPr="00A84A0B">
        <w:rPr>
          <w:szCs w:val="22"/>
        </w:rPr>
        <w:t xml:space="preserve"> </w:t>
      </w:r>
      <w:r w:rsidR="00F41F6E" w:rsidRPr="00A84A0B">
        <w:rPr>
          <w:szCs w:val="22"/>
        </w:rPr>
        <w:t>NPP</w:t>
      </w:r>
      <w:r w:rsidRPr="00A84A0B">
        <w:rPr>
          <w:szCs w:val="22"/>
        </w:rPr>
        <w:t xml:space="preserve">. </w:t>
      </w:r>
      <w:r w:rsidR="001E2F5F" w:rsidRPr="00A84A0B">
        <w:rPr>
          <w:szCs w:val="22"/>
        </w:rPr>
        <w:t xml:space="preserve">There was insufficient data provided in the minor re-submission to assess whether those enrolled in this program would be eligible for nivolumab under the requested restriction. </w:t>
      </w:r>
      <w:r w:rsidRPr="00A84A0B">
        <w:rPr>
          <w:szCs w:val="22"/>
        </w:rPr>
        <w:t xml:space="preserve">Results of the BMSA NPP regarding duration of therapy across age groups indicated that the average duration of therapy in patients </w:t>
      </w:r>
      <w:r w:rsidR="00ED7B7C" w:rsidRPr="00A84A0B">
        <w:rPr>
          <w:szCs w:val="22"/>
        </w:rPr>
        <w:t>aged less than</w:t>
      </w:r>
      <w:r w:rsidR="000906EF" w:rsidRPr="00A84A0B">
        <w:rPr>
          <w:szCs w:val="22"/>
        </w:rPr>
        <w:t xml:space="preserve"> </w:t>
      </w:r>
      <w:r w:rsidRPr="00A84A0B">
        <w:rPr>
          <w:szCs w:val="22"/>
        </w:rPr>
        <w:t xml:space="preserve">75 years was </w:t>
      </w:r>
      <w:r w:rsidR="00653F4E">
        <w:rPr>
          <w:noProof/>
          <w:color w:val="000000"/>
          <w:szCs w:val="22"/>
          <w:highlight w:val="black"/>
        </w:rPr>
        <w:t>'''''''''''''''</w:t>
      </w:r>
      <w:r w:rsidRPr="00A84A0B">
        <w:rPr>
          <w:szCs w:val="22"/>
        </w:rPr>
        <w:t xml:space="preserve"> days (SD </w:t>
      </w:r>
      <w:r w:rsidR="00653F4E">
        <w:rPr>
          <w:noProof/>
          <w:color w:val="000000"/>
          <w:szCs w:val="22"/>
          <w:highlight w:val="black"/>
        </w:rPr>
        <w:t>'''''''''''''</w:t>
      </w:r>
      <w:r w:rsidRPr="00A84A0B">
        <w:rPr>
          <w:szCs w:val="22"/>
        </w:rPr>
        <w:t xml:space="preserve"> days) compared to the average duration of therapy </w:t>
      </w:r>
      <w:r w:rsidRPr="00A84A0B">
        <w:rPr>
          <w:szCs w:val="22"/>
        </w:rPr>
        <w:lastRenderedPageBreak/>
        <w:t xml:space="preserve">in patients </w:t>
      </w:r>
      <w:r w:rsidR="00ED7B7C" w:rsidRPr="00A84A0B">
        <w:rPr>
          <w:szCs w:val="22"/>
        </w:rPr>
        <w:t xml:space="preserve">aged </w:t>
      </w:r>
      <w:r w:rsidRPr="00A84A0B">
        <w:rPr>
          <w:szCs w:val="22"/>
        </w:rPr>
        <w:t xml:space="preserve">75 years </w:t>
      </w:r>
      <w:r w:rsidR="00ED7B7C" w:rsidRPr="00A84A0B">
        <w:rPr>
          <w:szCs w:val="22"/>
        </w:rPr>
        <w:t>or more</w:t>
      </w:r>
      <w:r w:rsidRPr="00A84A0B">
        <w:rPr>
          <w:szCs w:val="22"/>
        </w:rPr>
        <w:t xml:space="preserve"> being </w:t>
      </w:r>
      <w:r w:rsidR="00653F4E">
        <w:rPr>
          <w:noProof/>
          <w:color w:val="000000"/>
          <w:szCs w:val="22"/>
          <w:highlight w:val="black"/>
        </w:rPr>
        <w:t>'''''''''''''</w:t>
      </w:r>
      <w:r w:rsidRPr="00A84A0B">
        <w:rPr>
          <w:szCs w:val="22"/>
        </w:rPr>
        <w:t xml:space="preserve"> days (SD </w:t>
      </w:r>
      <w:r w:rsidR="00653F4E">
        <w:rPr>
          <w:noProof/>
          <w:color w:val="000000"/>
          <w:szCs w:val="22"/>
          <w:highlight w:val="black"/>
        </w:rPr>
        <w:t>''''''''''''</w:t>
      </w:r>
      <w:r w:rsidRPr="00A84A0B">
        <w:rPr>
          <w:szCs w:val="22"/>
        </w:rPr>
        <w:t xml:space="preserve"> days).</w:t>
      </w:r>
      <w:r w:rsidR="00954A0C" w:rsidRPr="00A84A0B">
        <w:rPr>
          <w:szCs w:val="22"/>
        </w:rPr>
        <w:t xml:space="preserve"> The minor re-submission state</w:t>
      </w:r>
      <w:r w:rsidR="00642A6A" w:rsidRPr="00A84A0B">
        <w:rPr>
          <w:szCs w:val="22"/>
        </w:rPr>
        <w:t>d</w:t>
      </w:r>
      <w:r w:rsidR="00954A0C" w:rsidRPr="00A84A0B">
        <w:rPr>
          <w:szCs w:val="22"/>
        </w:rPr>
        <w:t xml:space="preserve"> that “</w:t>
      </w:r>
      <w:r w:rsidR="00024398" w:rsidRPr="00024398">
        <w:rPr>
          <w:szCs w:val="22"/>
        </w:rPr>
        <w:t>n</w:t>
      </w:r>
      <w:r w:rsidR="00954A0C" w:rsidRPr="00024398">
        <w:rPr>
          <w:szCs w:val="22"/>
        </w:rPr>
        <w:t>otwithstanding</w:t>
      </w:r>
      <w:r w:rsidR="00954A0C" w:rsidRPr="00A84A0B">
        <w:rPr>
          <w:szCs w:val="22"/>
        </w:rPr>
        <w:t xml:space="preserve"> caveats about using duration of therapy as a surrogate for survival, the results from the Australian NPP should provide the PBAC further confidence </w:t>
      </w:r>
      <w:r w:rsidR="00954A0C" w:rsidRPr="00024398">
        <w:rPr>
          <w:szCs w:val="22"/>
        </w:rPr>
        <w:t>re</w:t>
      </w:r>
      <w:r w:rsidR="00024398" w:rsidRPr="00024398">
        <w:rPr>
          <w:szCs w:val="22"/>
        </w:rPr>
        <w:t>garding</w:t>
      </w:r>
      <w:r w:rsidR="00954A0C" w:rsidRPr="00A84A0B">
        <w:rPr>
          <w:szCs w:val="22"/>
        </w:rPr>
        <w:t xml:space="preserve"> nivolumab effectiveness in NSCLC patients </w:t>
      </w:r>
      <w:r w:rsidR="00ED7B7C" w:rsidRPr="00A84A0B">
        <w:rPr>
          <w:szCs w:val="22"/>
        </w:rPr>
        <w:t xml:space="preserve">[aged </w:t>
      </w:r>
      <w:r w:rsidR="00954A0C" w:rsidRPr="00A84A0B">
        <w:rPr>
          <w:szCs w:val="22"/>
        </w:rPr>
        <w:t xml:space="preserve">75 years </w:t>
      </w:r>
      <w:r w:rsidR="00ED7B7C" w:rsidRPr="00A84A0B">
        <w:rPr>
          <w:szCs w:val="22"/>
        </w:rPr>
        <w:t>or more]</w:t>
      </w:r>
      <w:r w:rsidR="00954A0C" w:rsidRPr="00A84A0B">
        <w:rPr>
          <w:szCs w:val="22"/>
        </w:rPr>
        <w:t>.”</w:t>
      </w:r>
    </w:p>
    <w:p w:rsidR="00EF6721" w:rsidRPr="00A84A0B" w:rsidRDefault="00EF6721" w:rsidP="005939DA">
      <w:pPr>
        <w:rPr>
          <w:rFonts w:ascii="Arial" w:hAnsi="Arial" w:cs="Arial"/>
          <w:sz w:val="22"/>
          <w:szCs w:val="22"/>
        </w:rPr>
      </w:pPr>
    </w:p>
    <w:p w:rsidR="0080672C" w:rsidRPr="00A84A0B" w:rsidRDefault="00EF6721" w:rsidP="005939DA">
      <w:pPr>
        <w:pStyle w:val="ListParagraph"/>
        <w:widowControl/>
        <w:numPr>
          <w:ilvl w:val="1"/>
          <w:numId w:val="1"/>
        </w:numPr>
        <w:rPr>
          <w:szCs w:val="22"/>
        </w:rPr>
      </w:pPr>
      <w:r w:rsidRPr="00A84A0B">
        <w:rPr>
          <w:szCs w:val="22"/>
        </w:rPr>
        <w:t>The minor re-submission claimed that the results of the meta-analysis of Trials CA209-017 and -057 demonstrate that patients aged 75 years or more derive a similar efficacy benefit compared with docetaxel. Although no statistically differences were reported (HR=1.23; 95% CI: 0.66, 2.31), there is still an increased risk of death associated with treatment with nivolumab compared with docetaxel, despite the accepted superiority claim with respect to safety. Additionally, the test for interaction demonstrated that age was a treatment effect modifier in the analysis of the CA209-017 trial alone and when both sub-groups aged 75 years or more from Trials CA209-017 and -057 were combined and compared against those aged less than 75 years in the CA209-017 trial. CHECKMATE-153 provided little additional data as no overall survival estimates were provided regarding the treatment effect observed in the entire population or in the complement group (ie, those aged less than 75 years) to allow for a comparison, although data reported based on ECOG performance</w:t>
      </w:r>
      <w:r w:rsidR="002E52DF" w:rsidRPr="00A84A0B">
        <w:rPr>
          <w:szCs w:val="22"/>
        </w:rPr>
        <w:t>-</w:t>
      </w:r>
      <w:r w:rsidRPr="00A84A0B">
        <w:rPr>
          <w:szCs w:val="22"/>
        </w:rPr>
        <w:t xml:space="preserve">status indicated worse ECOG </w:t>
      </w:r>
      <w:r w:rsidR="002E52DF" w:rsidRPr="00A84A0B">
        <w:rPr>
          <w:szCs w:val="22"/>
        </w:rPr>
        <w:t>performance-</w:t>
      </w:r>
      <w:r w:rsidRPr="00A84A0B">
        <w:rPr>
          <w:szCs w:val="22"/>
        </w:rPr>
        <w:t>status was likely driving the lack of observed benefit from nivolumab. The Italian EAP reported 1-year overall survival rates: 35% for Italian EAP aged 75 years or more and 39% for Italian EAP entire population compared with 42% for those treated with nivolumab in Trial CA209-017; these data need to be interpreted bearing in mind the observational nature of the study.</w:t>
      </w:r>
    </w:p>
    <w:p w:rsidR="00DD32F5" w:rsidRPr="00A84A0B" w:rsidRDefault="00DD32F5" w:rsidP="005939DA">
      <w:pPr>
        <w:rPr>
          <w:rFonts w:ascii="Arial" w:hAnsi="Arial" w:cs="Arial"/>
          <w:sz w:val="22"/>
          <w:szCs w:val="22"/>
        </w:rPr>
      </w:pPr>
    </w:p>
    <w:p w:rsidR="00EF6721" w:rsidRPr="00A84A0B" w:rsidRDefault="007272B3" w:rsidP="005939DA">
      <w:pPr>
        <w:pStyle w:val="ListParagraph"/>
        <w:widowControl/>
        <w:numPr>
          <w:ilvl w:val="1"/>
          <w:numId w:val="1"/>
        </w:numPr>
        <w:rPr>
          <w:szCs w:val="22"/>
        </w:rPr>
      </w:pPr>
      <w:r w:rsidRPr="00A84A0B">
        <w:rPr>
          <w:szCs w:val="22"/>
        </w:rPr>
        <w:t>In the meta-analysis of NSCLC pembrolizumab and atezolizumab trials, variable results were observed</w:t>
      </w:r>
      <w:r w:rsidR="005D2ED9">
        <w:rPr>
          <w:szCs w:val="22"/>
        </w:rPr>
        <w:t>.</w:t>
      </w:r>
      <w:r w:rsidRPr="00A84A0B">
        <w:rPr>
          <w:szCs w:val="22"/>
        </w:rPr>
        <w:t xml:space="preserve"> </w:t>
      </w:r>
      <w:r w:rsidR="005D2ED9">
        <w:rPr>
          <w:szCs w:val="22"/>
        </w:rPr>
        <w:t>S</w:t>
      </w:r>
      <w:r w:rsidR="005D2ED9" w:rsidRPr="00A84A0B">
        <w:rPr>
          <w:szCs w:val="22"/>
        </w:rPr>
        <w:t xml:space="preserve">ome </w:t>
      </w:r>
      <w:r w:rsidRPr="00A84A0B">
        <w:rPr>
          <w:szCs w:val="22"/>
        </w:rPr>
        <w:t>trials reporting statistically significant improvements in overall survival for the treatment compared with the comparator amongst those aged less than 65 years, but not those aged 65 years or more (or vice versa), with other trials reporting differences in both groups or no differences in both groups. Age was not demonstrated to be a treatment effect modifier when separating patients based on ages less than 65 and 65 years or more (except in Trial CA209-037, where no differences were observed in the ITT population and thus sub-group analysis was likely inappropriate).</w:t>
      </w:r>
    </w:p>
    <w:p w:rsidR="00DD32F5" w:rsidRPr="00A84A0B" w:rsidRDefault="00DD32F5" w:rsidP="005939DA">
      <w:pPr>
        <w:rPr>
          <w:rFonts w:ascii="Arial" w:hAnsi="Arial" w:cs="Arial"/>
          <w:sz w:val="22"/>
          <w:szCs w:val="22"/>
        </w:rPr>
      </w:pPr>
    </w:p>
    <w:p w:rsidR="007272B3" w:rsidRPr="00A84A0B" w:rsidRDefault="007272B3" w:rsidP="005939DA">
      <w:pPr>
        <w:pStyle w:val="ListParagraph"/>
        <w:widowControl/>
        <w:numPr>
          <w:ilvl w:val="1"/>
          <w:numId w:val="1"/>
        </w:numPr>
        <w:rPr>
          <w:szCs w:val="22"/>
        </w:rPr>
      </w:pPr>
      <w:r w:rsidRPr="00A84A0B">
        <w:rPr>
          <w:szCs w:val="22"/>
        </w:rPr>
        <w:t>Based on the PD pathway trials in other indications, the only inconsistency across nivolumab trials observed with regard to efficacy in patients aged 75 years or more was Trial CA209-066 demonstrating a statistically significant improvement in overall survival compared with dacarbazine. All other trials demonstrated no statistically significant differences and given all but Trial CA209-037 demonstrated statically significantly improved survival in the ITT population, this must have been driven by those aged less than 75 years (results were not reported for this sub-group by most trials), indicating age may be a potential prognostic factor.</w:t>
      </w:r>
    </w:p>
    <w:p w:rsidR="009B54FB" w:rsidRPr="00A84A0B" w:rsidRDefault="009B54FB" w:rsidP="005939DA">
      <w:pPr>
        <w:pStyle w:val="ListParagraph"/>
        <w:widowControl/>
        <w:ind w:left="0"/>
        <w:rPr>
          <w:szCs w:val="22"/>
        </w:rPr>
      </w:pPr>
    </w:p>
    <w:p w:rsidR="009B54FB" w:rsidRPr="00A84A0B" w:rsidRDefault="009B54FB" w:rsidP="005939DA">
      <w:pPr>
        <w:pStyle w:val="ListParagraph"/>
        <w:widowControl/>
        <w:numPr>
          <w:ilvl w:val="1"/>
          <w:numId w:val="1"/>
        </w:numPr>
        <w:rPr>
          <w:szCs w:val="22"/>
        </w:rPr>
      </w:pPr>
      <w:r w:rsidRPr="00A84A0B">
        <w:rPr>
          <w:szCs w:val="22"/>
        </w:rPr>
        <w:t>The PBAC considered that</w:t>
      </w:r>
      <w:r w:rsidR="000F289A" w:rsidRPr="00A84A0B">
        <w:rPr>
          <w:szCs w:val="22"/>
        </w:rPr>
        <w:t xml:space="preserve"> the meta-analys</w:t>
      </w:r>
      <w:r w:rsidR="00473BB0" w:rsidRPr="00A84A0B">
        <w:rPr>
          <w:szCs w:val="22"/>
        </w:rPr>
        <w:t>e</w:t>
      </w:r>
      <w:r w:rsidR="000F289A" w:rsidRPr="00A84A0B">
        <w:rPr>
          <w:szCs w:val="22"/>
        </w:rPr>
        <w:t xml:space="preserve">s </w:t>
      </w:r>
      <w:r w:rsidR="00EA3E5C" w:rsidRPr="00A84A0B">
        <w:rPr>
          <w:szCs w:val="22"/>
        </w:rPr>
        <w:t xml:space="preserve">presented </w:t>
      </w:r>
      <w:r w:rsidR="000F289A" w:rsidRPr="00A84A0B">
        <w:rPr>
          <w:szCs w:val="22"/>
        </w:rPr>
        <w:t xml:space="preserve">of </w:t>
      </w:r>
      <w:r w:rsidR="00473BB0" w:rsidRPr="00A84A0B">
        <w:rPr>
          <w:szCs w:val="22"/>
        </w:rPr>
        <w:t xml:space="preserve">randomised trials of </w:t>
      </w:r>
      <w:r w:rsidR="000F289A" w:rsidRPr="00A84A0B">
        <w:rPr>
          <w:szCs w:val="22"/>
        </w:rPr>
        <w:t>nivolumab</w:t>
      </w:r>
      <w:r w:rsidR="00A5052B" w:rsidRPr="00A84A0B">
        <w:rPr>
          <w:szCs w:val="22"/>
        </w:rPr>
        <w:t>,</w:t>
      </w:r>
      <w:r w:rsidR="000F289A" w:rsidRPr="00A84A0B">
        <w:rPr>
          <w:szCs w:val="22"/>
        </w:rPr>
        <w:t xml:space="preserve"> in </w:t>
      </w:r>
      <w:r w:rsidR="00EA3E5C" w:rsidRPr="00A84A0B">
        <w:rPr>
          <w:szCs w:val="22"/>
        </w:rPr>
        <w:t xml:space="preserve">both </w:t>
      </w:r>
      <w:r w:rsidR="000F289A" w:rsidRPr="00A84A0B">
        <w:rPr>
          <w:szCs w:val="22"/>
        </w:rPr>
        <w:t xml:space="preserve">NSCLC </w:t>
      </w:r>
      <w:r w:rsidR="00A5052B" w:rsidRPr="00A84A0B">
        <w:rPr>
          <w:szCs w:val="22"/>
        </w:rPr>
        <w:t xml:space="preserve">alone and combined with other cancers, </w:t>
      </w:r>
      <w:r w:rsidR="00FC230F" w:rsidRPr="00A84A0B">
        <w:rPr>
          <w:szCs w:val="22"/>
        </w:rPr>
        <w:t xml:space="preserve">did not </w:t>
      </w:r>
      <w:r w:rsidR="00473BB0" w:rsidRPr="00A84A0B">
        <w:rPr>
          <w:szCs w:val="22"/>
        </w:rPr>
        <w:t xml:space="preserve">adequately resolve </w:t>
      </w:r>
      <w:r w:rsidR="00FC230F" w:rsidRPr="00A84A0B">
        <w:rPr>
          <w:szCs w:val="22"/>
        </w:rPr>
        <w:t xml:space="preserve">the uncertainties </w:t>
      </w:r>
      <w:r w:rsidRPr="00A84A0B">
        <w:rPr>
          <w:szCs w:val="22"/>
        </w:rPr>
        <w:t>regarding the comparative effectiveness of nivolumab in patients 75 years or older</w:t>
      </w:r>
      <w:r w:rsidR="00143042" w:rsidRPr="00A84A0B">
        <w:rPr>
          <w:szCs w:val="22"/>
        </w:rPr>
        <w:t>. The PBAC considered that</w:t>
      </w:r>
      <w:r w:rsidR="00473BB0" w:rsidRPr="00A84A0B">
        <w:rPr>
          <w:szCs w:val="22"/>
        </w:rPr>
        <w:t xml:space="preserve"> the other analyses presented</w:t>
      </w:r>
      <w:r w:rsidR="00143042" w:rsidRPr="00A84A0B">
        <w:rPr>
          <w:szCs w:val="22"/>
        </w:rPr>
        <w:t xml:space="preserve"> were less informative</w:t>
      </w:r>
      <w:r w:rsidRPr="00A84A0B">
        <w:rPr>
          <w:szCs w:val="22"/>
        </w:rPr>
        <w:t>.</w:t>
      </w:r>
    </w:p>
    <w:p w:rsidR="00CB590F" w:rsidRPr="00A84A0B" w:rsidRDefault="00CB590F" w:rsidP="005939DA">
      <w:pPr>
        <w:rPr>
          <w:rFonts w:ascii="Arial" w:hAnsi="Arial" w:cs="Arial"/>
          <w:sz w:val="22"/>
          <w:szCs w:val="22"/>
        </w:rPr>
      </w:pPr>
    </w:p>
    <w:p w:rsidR="00CB590F" w:rsidRPr="00A84A0B" w:rsidRDefault="00CB590F" w:rsidP="005939DA">
      <w:pPr>
        <w:pStyle w:val="Heading2"/>
        <w:rPr>
          <w:rFonts w:cs="Arial"/>
          <w:szCs w:val="22"/>
        </w:rPr>
      </w:pPr>
      <w:r w:rsidRPr="00A84A0B">
        <w:rPr>
          <w:rFonts w:cs="Arial"/>
          <w:szCs w:val="22"/>
        </w:rPr>
        <w:lastRenderedPageBreak/>
        <w:t xml:space="preserve">Proposed Managed Entry Scheme - </w:t>
      </w:r>
      <w:r w:rsidR="00DE4242" w:rsidRPr="00A84A0B">
        <w:rPr>
          <w:rFonts w:cs="Arial"/>
          <w:szCs w:val="22"/>
        </w:rPr>
        <w:t xml:space="preserve">(patients </w:t>
      </w:r>
      <w:r w:rsidR="000D69CB" w:rsidRPr="00A84A0B">
        <w:rPr>
          <w:rFonts w:cs="Arial"/>
          <w:szCs w:val="22"/>
        </w:rPr>
        <w:t>aged 75 years or older</w:t>
      </w:r>
      <w:r w:rsidR="00DE4242" w:rsidRPr="00A84A0B">
        <w:rPr>
          <w:rFonts w:cs="Arial"/>
          <w:szCs w:val="22"/>
        </w:rPr>
        <w:t>)</w:t>
      </w:r>
    </w:p>
    <w:p w:rsidR="0089327A" w:rsidRPr="00A84A0B" w:rsidRDefault="0089327A" w:rsidP="005939DA">
      <w:pPr>
        <w:rPr>
          <w:rFonts w:ascii="Arial" w:hAnsi="Arial" w:cs="Arial"/>
          <w:sz w:val="22"/>
          <w:szCs w:val="22"/>
        </w:rPr>
      </w:pPr>
    </w:p>
    <w:p w:rsidR="004418B1" w:rsidRPr="00A84A0B" w:rsidRDefault="0089327A" w:rsidP="005939DA">
      <w:pPr>
        <w:pStyle w:val="ListParagraph"/>
        <w:widowControl/>
        <w:numPr>
          <w:ilvl w:val="1"/>
          <w:numId w:val="1"/>
        </w:numPr>
        <w:rPr>
          <w:szCs w:val="22"/>
        </w:rPr>
      </w:pPr>
      <w:r w:rsidRPr="00A84A0B">
        <w:rPr>
          <w:szCs w:val="22"/>
        </w:rPr>
        <w:t xml:space="preserve">The minor re-submission </w:t>
      </w:r>
      <w:r w:rsidR="008D7F55" w:rsidRPr="00A84A0B">
        <w:rPr>
          <w:szCs w:val="22"/>
        </w:rPr>
        <w:t>state</w:t>
      </w:r>
      <w:r w:rsidR="00E13D61" w:rsidRPr="00A84A0B">
        <w:rPr>
          <w:szCs w:val="22"/>
        </w:rPr>
        <w:t>d</w:t>
      </w:r>
      <w:r w:rsidR="008D7F55" w:rsidRPr="00A84A0B">
        <w:rPr>
          <w:szCs w:val="22"/>
        </w:rPr>
        <w:t xml:space="preserve"> that there are practical challenges associated with potential future data becoming available which makes defining a MES </w:t>
      </w:r>
      <w:r w:rsidR="00E13D61" w:rsidRPr="00A84A0B">
        <w:rPr>
          <w:szCs w:val="22"/>
        </w:rPr>
        <w:t xml:space="preserve">based on age </w:t>
      </w:r>
      <w:r w:rsidR="008D7F55" w:rsidRPr="00A84A0B">
        <w:rPr>
          <w:szCs w:val="22"/>
        </w:rPr>
        <w:t xml:space="preserve">difficult and </w:t>
      </w:r>
      <w:r w:rsidR="00473BB0" w:rsidRPr="00A84A0B">
        <w:rPr>
          <w:szCs w:val="22"/>
        </w:rPr>
        <w:t xml:space="preserve">that </w:t>
      </w:r>
      <w:r w:rsidR="008D7F55" w:rsidRPr="00A84A0B">
        <w:rPr>
          <w:szCs w:val="22"/>
        </w:rPr>
        <w:t xml:space="preserve">it is unlikely </w:t>
      </w:r>
      <w:r w:rsidR="00687D98">
        <w:rPr>
          <w:szCs w:val="22"/>
        </w:rPr>
        <w:t xml:space="preserve">that additional </w:t>
      </w:r>
      <w:r w:rsidR="008D7F55" w:rsidRPr="00A84A0B">
        <w:rPr>
          <w:szCs w:val="22"/>
        </w:rPr>
        <w:t xml:space="preserve">meaningful evidence </w:t>
      </w:r>
      <w:r w:rsidR="00143042" w:rsidRPr="00A84A0B">
        <w:rPr>
          <w:szCs w:val="22"/>
        </w:rPr>
        <w:t xml:space="preserve">will become available. </w:t>
      </w:r>
      <w:r w:rsidR="004418B1" w:rsidRPr="00A84A0B">
        <w:rPr>
          <w:szCs w:val="22"/>
        </w:rPr>
        <w:t>Specifically:</w:t>
      </w:r>
    </w:p>
    <w:p w:rsidR="004418B1" w:rsidRPr="00A84A0B" w:rsidRDefault="004418B1" w:rsidP="005939DA">
      <w:pPr>
        <w:pStyle w:val="ListParagraph"/>
        <w:widowControl/>
        <w:numPr>
          <w:ilvl w:val="0"/>
          <w:numId w:val="19"/>
        </w:numPr>
        <w:ind w:left="993" w:hanging="284"/>
        <w:rPr>
          <w:szCs w:val="22"/>
        </w:rPr>
      </w:pPr>
      <w:r w:rsidRPr="00A84A0B">
        <w:rPr>
          <w:b/>
          <w:szCs w:val="22"/>
        </w:rPr>
        <w:t>Future nivolumab data in NSCLC</w:t>
      </w:r>
      <w:r w:rsidRPr="00A84A0B">
        <w:rPr>
          <w:szCs w:val="22"/>
        </w:rPr>
        <w:t xml:space="preserve"> - a review of the sponsor’s internal </w:t>
      </w:r>
      <w:r w:rsidR="00DD32F5" w:rsidRPr="00A84A0B">
        <w:rPr>
          <w:szCs w:val="22"/>
        </w:rPr>
        <w:t>database</w:t>
      </w:r>
      <w:r w:rsidRPr="00A84A0B">
        <w:rPr>
          <w:szCs w:val="22"/>
        </w:rPr>
        <w:t xml:space="preserve"> identified two phase </w:t>
      </w:r>
      <w:r w:rsidR="00BD5AE9" w:rsidRPr="00A84A0B">
        <w:rPr>
          <w:szCs w:val="22"/>
        </w:rPr>
        <w:t>III</w:t>
      </w:r>
      <w:r w:rsidRPr="00A84A0B">
        <w:rPr>
          <w:szCs w:val="22"/>
        </w:rPr>
        <w:t xml:space="preserve"> nivolumab monotherapy NSCLC trials (CA209-026 [first-line NSCLC that did not meet the primary endpoint] and -227 [first-line NSCLC not fully reporting until </w:t>
      </w:r>
      <w:r w:rsidR="00653F4E">
        <w:rPr>
          <w:noProof/>
          <w:color w:val="000000"/>
          <w:szCs w:val="22"/>
          <w:highlight w:val="black"/>
        </w:rPr>
        <w:t>''''''' ''''''''' ''''' '''''''''''' '''''''''' ''''''''''' '''''''''''''''''''''' ''''' ''''''''''''''' ''''''''''''''''' '''''''''''''''''''''</w:t>
      </w:r>
      <w:r w:rsidR="006A3A98" w:rsidRPr="00A84A0B">
        <w:rPr>
          <w:szCs w:val="22"/>
        </w:rPr>
        <w:t>]</w:t>
      </w:r>
      <w:r w:rsidRPr="00A84A0B">
        <w:rPr>
          <w:szCs w:val="22"/>
        </w:rPr>
        <w:t xml:space="preserve">). The sponsor </w:t>
      </w:r>
      <w:r w:rsidR="00BD5AE9" w:rsidRPr="00A84A0B">
        <w:rPr>
          <w:szCs w:val="22"/>
        </w:rPr>
        <w:t xml:space="preserve">stated that it </w:t>
      </w:r>
      <w:r w:rsidRPr="00A84A0B">
        <w:rPr>
          <w:szCs w:val="22"/>
        </w:rPr>
        <w:t xml:space="preserve">does not believe that data from either of these two nivolumab trials will provide any better evidence than currently </w:t>
      </w:r>
      <w:r w:rsidR="006A3A98" w:rsidRPr="00A84A0B">
        <w:rPr>
          <w:szCs w:val="22"/>
        </w:rPr>
        <w:t>available</w:t>
      </w:r>
      <w:r w:rsidRPr="00A84A0B">
        <w:rPr>
          <w:szCs w:val="22"/>
        </w:rPr>
        <w:t xml:space="preserve"> with respect to effectiveness of nivolumab in patients </w:t>
      </w:r>
      <w:r w:rsidR="00BD5AE9" w:rsidRPr="00A84A0B">
        <w:rPr>
          <w:szCs w:val="22"/>
        </w:rPr>
        <w:t xml:space="preserve">aged </w:t>
      </w:r>
      <w:r w:rsidRPr="00A84A0B">
        <w:rPr>
          <w:szCs w:val="22"/>
        </w:rPr>
        <w:t xml:space="preserve">75 years </w:t>
      </w:r>
      <w:r w:rsidR="00BD5AE9" w:rsidRPr="00A84A0B">
        <w:rPr>
          <w:szCs w:val="22"/>
        </w:rPr>
        <w:t xml:space="preserve">or </w:t>
      </w:r>
      <w:r w:rsidR="00687D98">
        <w:rPr>
          <w:szCs w:val="22"/>
        </w:rPr>
        <w:t>older</w:t>
      </w:r>
      <w:r w:rsidRPr="00A84A0B">
        <w:rPr>
          <w:szCs w:val="22"/>
        </w:rPr>
        <w:t>.</w:t>
      </w:r>
    </w:p>
    <w:p w:rsidR="004418B1" w:rsidRPr="00A84A0B" w:rsidRDefault="004418B1" w:rsidP="005939DA">
      <w:pPr>
        <w:pStyle w:val="ListParagraph"/>
        <w:widowControl/>
        <w:numPr>
          <w:ilvl w:val="0"/>
          <w:numId w:val="19"/>
        </w:numPr>
        <w:ind w:left="993" w:hanging="284"/>
        <w:rPr>
          <w:szCs w:val="22"/>
        </w:rPr>
      </w:pPr>
      <w:r w:rsidRPr="00A84A0B">
        <w:rPr>
          <w:b/>
          <w:szCs w:val="22"/>
        </w:rPr>
        <w:t>Future PD-pathway data in NSCLC</w:t>
      </w:r>
      <w:r w:rsidRPr="00A84A0B">
        <w:rPr>
          <w:szCs w:val="22"/>
        </w:rPr>
        <w:t xml:space="preserve"> – currently published trial results report sub-group analyses of age by </w:t>
      </w:r>
      <w:r w:rsidR="00BD5AE9" w:rsidRPr="00A84A0B">
        <w:rPr>
          <w:szCs w:val="22"/>
        </w:rPr>
        <w:t xml:space="preserve">less than </w:t>
      </w:r>
      <w:r w:rsidRPr="00A84A0B">
        <w:rPr>
          <w:szCs w:val="22"/>
        </w:rPr>
        <w:t xml:space="preserve">65 </w:t>
      </w:r>
      <w:r w:rsidR="00BD5AE9" w:rsidRPr="00A84A0B">
        <w:rPr>
          <w:szCs w:val="22"/>
        </w:rPr>
        <w:t xml:space="preserve">years </w:t>
      </w:r>
      <w:r w:rsidRPr="00A84A0B">
        <w:rPr>
          <w:szCs w:val="22"/>
        </w:rPr>
        <w:t>and 65 years</w:t>
      </w:r>
      <w:r w:rsidR="00BD5AE9" w:rsidRPr="00A84A0B">
        <w:rPr>
          <w:szCs w:val="22"/>
        </w:rPr>
        <w:t xml:space="preserve"> or </w:t>
      </w:r>
      <w:r w:rsidR="00687D98">
        <w:rPr>
          <w:szCs w:val="22"/>
        </w:rPr>
        <w:t>older</w:t>
      </w:r>
      <w:r w:rsidRPr="00A84A0B">
        <w:rPr>
          <w:szCs w:val="22"/>
        </w:rPr>
        <w:t>. The minor re-submission state</w:t>
      </w:r>
      <w:r w:rsidR="00BD5AE9" w:rsidRPr="00A84A0B">
        <w:rPr>
          <w:szCs w:val="22"/>
        </w:rPr>
        <w:t>d</w:t>
      </w:r>
      <w:r w:rsidRPr="00A84A0B">
        <w:rPr>
          <w:szCs w:val="22"/>
        </w:rPr>
        <w:t xml:space="preserve"> that this is unlikely to change in the future, and as such, the sponsor believes future PD NSCLC trial data will not assist with the research question</w:t>
      </w:r>
      <w:r w:rsidR="00BD5AE9" w:rsidRPr="00A84A0B">
        <w:rPr>
          <w:szCs w:val="22"/>
        </w:rPr>
        <w:t xml:space="preserve"> regarding treatment effect among those aged 75 years or </w:t>
      </w:r>
      <w:r w:rsidR="00687D98">
        <w:rPr>
          <w:szCs w:val="22"/>
        </w:rPr>
        <w:t>older</w:t>
      </w:r>
      <w:r w:rsidRPr="00A84A0B">
        <w:rPr>
          <w:szCs w:val="22"/>
        </w:rPr>
        <w:t>.</w:t>
      </w:r>
    </w:p>
    <w:p w:rsidR="00FC230F" w:rsidRPr="00A84A0B" w:rsidRDefault="004418B1" w:rsidP="005939DA">
      <w:pPr>
        <w:pStyle w:val="ListParagraph"/>
        <w:widowControl/>
        <w:numPr>
          <w:ilvl w:val="0"/>
          <w:numId w:val="19"/>
        </w:numPr>
        <w:ind w:left="993" w:hanging="284"/>
        <w:rPr>
          <w:szCs w:val="22"/>
        </w:rPr>
      </w:pPr>
      <w:r w:rsidRPr="00A84A0B">
        <w:rPr>
          <w:b/>
          <w:szCs w:val="22"/>
        </w:rPr>
        <w:t>Future PD-pathway data (including nivolumab in other cancer types</w:t>
      </w:r>
      <w:r w:rsidR="00DD32F5" w:rsidRPr="00A84A0B">
        <w:rPr>
          <w:b/>
          <w:szCs w:val="22"/>
        </w:rPr>
        <w:t>)</w:t>
      </w:r>
      <w:r w:rsidRPr="00A84A0B">
        <w:rPr>
          <w:szCs w:val="22"/>
        </w:rPr>
        <w:t xml:space="preserve"> </w:t>
      </w:r>
      <w:r w:rsidR="005705B6" w:rsidRPr="00A84A0B">
        <w:rPr>
          <w:szCs w:val="22"/>
        </w:rPr>
        <w:t>–</w:t>
      </w:r>
      <w:r w:rsidRPr="00A84A0B">
        <w:rPr>
          <w:szCs w:val="22"/>
        </w:rPr>
        <w:t xml:space="preserve"> </w:t>
      </w:r>
      <w:r w:rsidR="005705B6" w:rsidRPr="00A84A0B">
        <w:rPr>
          <w:szCs w:val="22"/>
        </w:rPr>
        <w:t>the minor re-submission state</w:t>
      </w:r>
      <w:r w:rsidR="00BD5AE9" w:rsidRPr="00A84A0B">
        <w:rPr>
          <w:szCs w:val="22"/>
        </w:rPr>
        <w:t>d</w:t>
      </w:r>
      <w:r w:rsidR="005705B6" w:rsidRPr="00A84A0B">
        <w:rPr>
          <w:szCs w:val="22"/>
        </w:rPr>
        <w:t xml:space="preserve"> there are multiple nivolumab phase </w:t>
      </w:r>
      <w:r w:rsidR="00BD5AE9" w:rsidRPr="00A84A0B">
        <w:rPr>
          <w:szCs w:val="22"/>
        </w:rPr>
        <w:t>III</w:t>
      </w:r>
      <w:r w:rsidR="005705B6" w:rsidRPr="00A84A0B">
        <w:rPr>
          <w:szCs w:val="22"/>
        </w:rPr>
        <w:t xml:space="preserve"> clinical trials planned in non-NSCLC indications, the vast majority are single arm or non-comparative as they are in smaller cancer indications with limited treatment options. The minor re-submission also cite</w:t>
      </w:r>
      <w:r w:rsidR="00BD5AE9" w:rsidRPr="00A84A0B">
        <w:rPr>
          <w:szCs w:val="22"/>
        </w:rPr>
        <w:t>d</w:t>
      </w:r>
      <w:r w:rsidR="005705B6" w:rsidRPr="00A84A0B">
        <w:rPr>
          <w:szCs w:val="22"/>
        </w:rPr>
        <w:t xml:space="preserve"> that as for “Future PD-pathway data in NSCLC” above, other PD-pathway treatments are unlikely to report efficacy data in the required age group. As such, the </w:t>
      </w:r>
      <w:r w:rsidR="00BD5AE9" w:rsidRPr="00A84A0B">
        <w:rPr>
          <w:szCs w:val="22"/>
        </w:rPr>
        <w:t xml:space="preserve">minor re-submission stated that the </w:t>
      </w:r>
      <w:r w:rsidR="005705B6" w:rsidRPr="00A84A0B">
        <w:rPr>
          <w:szCs w:val="22"/>
        </w:rPr>
        <w:t xml:space="preserve">sponsor does not believe that future PD data specific to other cancer types will provide any better evidence than currently available with respect to effectiveness of nivolumab in patients </w:t>
      </w:r>
      <w:r w:rsidR="00BD5AE9" w:rsidRPr="00A84A0B">
        <w:rPr>
          <w:szCs w:val="22"/>
        </w:rPr>
        <w:t xml:space="preserve">aged </w:t>
      </w:r>
      <w:r w:rsidR="005705B6" w:rsidRPr="00A84A0B">
        <w:rPr>
          <w:szCs w:val="22"/>
        </w:rPr>
        <w:t xml:space="preserve">75 years </w:t>
      </w:r>
      <w:r w:rsidR="00BD5AE9" w:rsidRPr="00A84A0B">
        <w:rPr>
          <w:szCs w:val="22"/>
        </w:rPr>
        <w:t xml:space="preserve">or </w:t>
      </w:r>
      <w:r w:rsidR="00687D98">
        <w:rPr>
          <w:szCs w:val="22"/>
        </w:rPr>
        <w:t xml:space="preserve">older </w:t>
      </w:r>
      <w:r w:rsidR="005705B6" w:rsidRPr="00A84A0B">
        <w:rPr>
          <w:szCs w:val="22"/>
        </w:rPr>
        <w:t>with lung cancer.</w:t>
      </w:r>
    </w:p>
    <w:p w:rsidR="00FC230F" w:rsidRPr="00A84A0B" w:rsidRDefault="00FC230F" w:rsidP="005939DA">
      <w:pPr>
        <w:rPr>
          <w:rFonts w:ascii="Arial" w:hAnsi="Arial" w:cs="Arial"/>
          <w:sz w:val="22"/>
          <w:szCs w:val="22"/>
        </w:rPr>
      </w:pPr>
    </w:p>
    <w:p w:rsidR="00FC230F" w:rsidRPr="00A84A0B" w:rsidRDefault="00FC230F" w:rsidP="005939DA">
      <w:pPr>
        <w:pStyle w:val="ListParagraph"/>
        <w:widowControl/>
        <w:numPr>
          <w:ilvl w:val="1"/>
          <w:numId w:val="1"/>
        </w:numPr>
        <w:rPr>
          <w:szCs w:val="22"/>
        </w:rPr>
      </w:pPr>
      <w:r w:rsidRPr="00A84A0B">
        <w:rPr>
          <w:szCs w:val="22"/>
        </w:rPr>
        <w:t>The PBAC considered that the challenges raised by the submission regarding a</w:t>
      </w:r>
      <w:r w:rsidR="00473BB0" w:rsidRPr="00A84A0B">
        <w:rPr>
          <w:szCs w:val="22"/>
        </w:rPr>
        <w:t>n</w:t>
      </w:r>
      <w:r w:rsidRPr="00A84A0B">
        <w:rPr>
          <w:szCs w:val="22"/>
        </w:rPr>
        <w:t xml:space="preserve"> MES to address the uncertainty relating to patients aged 75 years </w:t>
      </w:r>
      <w:r w:rsidR="00DC05D1" w:rsidRPr="00A84A0B">
        <w:rPr>
          <w:szCs w:val="22"/>
        </w:rPr>
        <w:t>or older</w:t>
      </w:r>
      <w:r w:rsidRPr="00A84A0B">
        <w:rPr>
          <w:szCs w:val="22"/>
        </w:rPr>
        <w:t xml:space="preserve"> </w:t>
      </w:r>
      <w:r w:rsidR="00473BB0" w:rsidRPr="00A84A0B">
        <w:rPr>
          <w:szCs w:val="22"/>
        </w:rPr>
        <w:t>meant that other avenues to address the implications of this uncertainty should be explored</w:t>
      </w:r>
      <w:r w:rsidRPr="00A84A0B">
        <w:rPr>
          <w:szCs w:val="22"/>
        </w:rPr>
        <w:t>.</w:t>
      </w:r>
    </w:p>
    <w:p w:rsidR="008C7E0A" w:rsidRPr="00A84A0B" w:rsidRDefault="008C7E0A" w:rsidP="005939DA">
      <w:pPr>
        <w:rPr>
          <w:rFonts w:ascii="Arial" w:hAnsi="Arial" w:cs="Arial"/>
          <w:sz w:val="22"/>
          <w:szCs w:val="22"/>
        </w:rPr>
      </w:pPr>
    </w:p>
    <w:p w:rsidR="005705B6" w:rsidRPr="00A84A0B" w:rsidRDefault="008C7E0A" w:rsidP="005939DA">
      <w:pPr>
        <w:pStyle w:val="Heading2"/>
        <w:jc w:val="both"/>
        <w:rPr>
          <w:rFonts w:cs="Arial"/>
          <w:szCs w:val="22"/>
        </w:rPr>
      </w:pPr>
      <w:r w:rsidRPr="00A84A0B">
        <w:rPr>
          <w:rFonts w:cs="Arial"/>
          <w:szCs w:val="22"/>
        </w:rPr>
        <w:t>Proposed Risk Shar</w:t>
      </w:r>
      <w:r w:rsidR="00DE4242" w:rsidRPr="00A84A0B">
        <w:rPr>
          <w:rFonts w:cs="Arial"/>
          <w:szCs w:val="22"/>
        </w:rPr>
        <w:t>ing</w:t>
      </w:r>
      <w:r w:rsidRPr="00A84A0B">
        <w:rPr>
          <w:rFonts w:cs="Arial"/>
          <w:szCs w:val="22"/>
        </w:rPr>
        <w:t xml:space="preserve"> Arrangement – Age (an alternative to a Managed Entry Scheme)</w:t>
      </w:r>
    </w:p>
    <w:p w:rsidR="008C7E0A" w:rsidRPr="00A84A0B" w:rsidRDefault="008C7E0A" w:rsidP="005939DA">
      <w:pPr>
        <w:rPr>
          <w:rFonts w:ascii="Arial" w:hAnsi="Arial" w:cs="Arial"/>
          <w:sz w:val="22"/>
          <w:szCs w:val="22"/>
        </w:rPr>
      </w:pPr>
    </w:p>
    <w:p w:rsidR="005705B6" w:rsidRPr="00A84A0B" w:rsidRDefault="00C14293" w:rsidP="005939DA">
      <w:pPr>
        <w:pStyle w:val="ListParagraph"/>
        <w:widowControl/>
        <w:numPr>
          <w:ilvl w:val="1"/>
          <w:numId w:val="1"/>
        </w:numPr>
        <w:rPr>
          <w:szCs w:val="22"/>
        </w:rPr>
      </w:pPr>
      <w:r w:rsidRPr="00A84A0B">
        <w:rPr>
          <w:szCs w:val="22"/>
        </w:rPr>
        <w:t xml:space="preserve">The sponsor reiterated that the evidence presented in the minor re-submission demonstrates the effectiveness of nivolumab in patients </w:t>
      </w:r>
      <w:r w:rsidR="00DC05D1" w:rsidRPr="00A84A0B">
        <w:rPr>
          <w:szCs w:val="22"/>
        </w:rPr>
        <w:t>75</w:t>
      </w:r>
      <w:r w:rsidRPr="00A84A0B">
        <w:rPr>
          <w:szCs w:val="22"/>
        </w:rPr>
        <w:t xml:space="preserve"> years </w:t>
      </w:r>
      <w:r w:rsidR="00DC05D1" w:rsidRPr="00A84A0B">
        <w:rPr>
          <w:szCs w:val="22"/>
        </w:rPr>
        <w:t>or older</w:t>
      </w:r>
      <w:r w:rsidRPr="00A84A0B">
        <w:rPr>
          <w:szCs w:val="22"/>
        </w:rPr>
        <w:t xml:space="preserve"> with an ECOG</w:t>
      </w:r>
      <w:r w:rsidR="002E52DF" w:rsidRPr="00A84A0B">
        <w:rPr>
          <w:szCs w:val="22"/>
        </w:rPr>
        <w:t xml:space="preserve"> performance-status</w:t>
      </w:r>
      <w:r w:rsidRPr="00A84A0B">
        <w:rPr>
          <w:szCs w:val="22"/>
        </w:rPr>
        <w:t xml:space="preserve"> of 0 to 1. However, t</w:t>
      </w:r>
      <w:r w:rsidR="007272B3" w:rsidRPr="00A84A0B">
        <w:rPr>
          <w:szCs w:val="22"/>
        </w:rPr>
        <w:t xml:space="preserve">he </w:t>
      </w:r>
      <w:r w:rsidR="008D7F55" w:rsidRPr="00A84A0B">
        <w:rPr>
          <w:szCs w:val="22"/>
        </w:rPr>
        <w:t>minor re-submission propose</w:t>
      </w:r>
      <w:r w:rsidR="00614EFF" w:rsidRPr="00A84A0B">
        <w:rPr>
          <w:szCs w:val="22"/>
        </w:rPr>
        <w:t>d</w:t>
      </w:r>
      <w:r w:rsidR="008D7F55" w:rsidRPr="00A84A0B">
        <w:rPr>
          <w:szCs w:val="22"/>
        </w:rPr>
        <w:t xml:space="preserve"> an alternative to a</w:t>
      </w:r>
      <w:r w:rsidR="00473BB0" w:rsidRPr="00A84A0B">
        <w:rPr>
          <w:szCs w:val="22"/>
        </w:rPr>
        <w:t>n</w:t>
      </w:r>
      <w:r w:rsidR="008D7F55" w:rsidRPr="00A84A0B">
        <w:rPr>
          <w:szCs w:val="22"/>
        </w:rPr>
        <w:t xml:space="preserve"> MES </w:t>
      </w:r>
      <w:r w:rsidRPr="00A84A0B">
        <w:rPr>
          <w:szCs w:val="22"/>
        </w:rPr>
        <w:t>(a</w:t>
      </w:r>
      <w:r w:rsidR="00473BB0" w:rsidRPr="00A84A0B">
        <w:rPr>
          <w:szCs w:val="22"/>
        </w:rPr>
        <w:t>n</w:t>
      </w:r>
      <w:r w:rsidRPr="00A84A0B">
        <w:rPr>
          <w:szCs w:val="22"/>
        </w:rPr>
        <w:t xml:space="preserve"> RSA)</w:t>
      </w:r>
      <w:r w:rsidR="005705B6" w:rsidRPr="00A84A0B">
        <w:rPr>
          <w:szCs w:val="22"/>
        </w:rPr>
        <w:t xml:space="preserve"> if the PBAC does not consider that the age questio</w:t>
      </w:r>
      <w:r w:rsidR="00473BB0" w:rsidRPr="00A84A0B">
        <w:rPr>
          <w:szCs w:val="22"/>
        </w:rPr>
        <w:t>n has been adequately resolved:</w:t>
      </w:r>
    </w:p>
    <w:p w:rsidR="005705B6" w:rsidRPr="00A84A0B" w:rsidRDefault="006A0A21" w:rsidP="005939DA">
      <w:pPr>
        <w:pStyle w:val="ListParagraph"/>
        <w:widowControl/>
        <w:numPr>
          <w:ilvl w:val="0"/>
          <w:numId w:val="19"/>
        </w:numPr>
        <w:ind w:left="993" w:hanging="284"/>
        <w:rPr>
          <w:szCs w:val="22"/>
        </w:rPr>
      </w:pPr>
      <w:r w:rsidRPr="00A84A0B">
        <w:rPr>
          <w:szCs w:val="22"/>
        </w:rPr>
        <w:t>A</w:t>
      </w:r>
      <w:r w:rsidR="005705B6" w:rsidRPr="00A84A0B">
        <w:rPr>
          <w:szCs w:val="22"/>
        </w:rPr>
        <w:t xml:space="preserve"> rebate for greater than expected use in older patients, that being use in more than </w:t>
      </w:r>
      <w:r w:rsidR="00653F4E">
        <w:rPr>
          <w:noProof/>
          <w:color w:val="000000"/>
          <w:szCs w:val="22"/>
          <w:highlight w:val="black"/>
        </w:rPr>
        <w:t>'''''''</w:t>
      </w:r>
      <w:r w:rsidR="005705B6" w:rsidRPr="00A84A0B">
        <w:rPr>
          <w:szCs w:val="22"/>
        </w:rPr>
        <w:t xml:space="preserve">% of patients aged 75 years or </w:t>
      </w:r>
      <w:r w:rsidR="00687D98">
        <w:rPr>
          <w:szCs w:val="22"/>
        </w:rPr>
        <w:t>older</w:t>
      </w:r>
      <w:r w:rsidR="005705B6" w:rsidRPr="00A84A0B">
        <w:rPr>
          <w:szCs w:val="22"/>
        </w:rPr>
        <w:t xml:space="preserve">, with the minor re-submission suggesting that greater than expected use is attributable to patients with an ECOG </w:t>
      </w:r>
      <w:r w:rsidR="002E52DF" w:rsidRPr="00A84A0B">
        <w:rPr>
          <w:szCs w:val="22"/>
        </w:rPr>
        <w:t>performance-status</w:t>
      </w:r>
      <w:r w:rsidR="005705B6" w:rsidRPr="00A84A0B">
        <w:rPr>
          <w:szCs w:val="22"/>
        </w:rPr>
        <w:t xml:space="preserve">&gt;1 (i.e. use outside the proposed PBS restriction). The minor re-submission derived the figure of </w:t>
      </w:r>
      <w:r w:rsidR="00653F4E">
        <w:rPr>
          <w:noProof/>
          <w:color w:val="000000"/>
          <w:szCs w:val="22"/>
          <w:highlight w:val="black"/>
        </w:rPr>
        <w:t>''''''</w:t>
      </w:r>
      <w:r w:rsidR="005705B6" w:rsidRPr="00A84A0B">
        <w:rPr>
          <w:szCs w:val="22"/>
        </w:rPr>
        <w:t xml:space="preserve">% from the </w:t>
      </w:r>
      <w:r w:rsidR="00653F4E">
        <w:rPr>
          <w:noProof/>
          <w:color w:val="000000"/>
          <w:szCs w:val="22"/>
          <w:highlight w:val="black"/>
        </w:rPr>
        <w:t>''''''''''</w:t>
      </w:r>
      <w:r w:rsidR="005705B6" w:rsidRPr="00A84A0B">
        <w:rPr>
          <w:szCs w:val="22"/>
        </w:rPr>
        <w:t xml:space="preserve">% of patients with squamous NSCLC currently 75 years or </w:t>
      </w:r>
      <w:r w:rsidR="00687D98">
        <w:rPr>
          <w:szCs w:val="22"/>
        </w:rPr>
        <w:t xml:space="preserve">older </w:t>
      </w:r>
      <w:r w:rsidR="005705B6" w:rsidRPr="00A84A0B">
        <w:rPr>
          <w:szCs w:val="22"/>
        </w:rPr>
        <w:t xml:space="preserve">with an ECOG </w:t>
      </w:r>
      <w:r w:rsidR="002E52DF" w:rsidRPr="00A84A0B">
        <w:rPr>
          <w:szCs w:val="22"/>
        </w:rPr>
        <w:t xml:space="preserve">performance-status </w:t>
      </w:r>
      <w:r w:rsidR="005705B6" w:rsidRPr="00A84A0B">
        <w:rPr>
          <w:szCs w:val="22"/>
        </w:rPr>
        <w:t xml:space="preserve">of 0-1 that were treated on the </w:t>
      </w:r>
      <w:r w:rsidR="003F7E7D" w:rsidRPr="00A84A0B">
        <w:rPr>
          <w:szCs w:val="22"/>
        </w:rPr>
        <w:t>Patient Access Program</w:t>
      </w:r>
      <w:r w:rsidR="005705B6" w:rsidRPr="00A84A0B">
        <w:rPr>
          <w:szCs w:val="22"/>
        </w:rPr>
        <w:t>, and allowing for natural variability</w:t>
      </w:r>
      <w:r w:rsidRPr="00A84A0B">
        <w:rPr>
          <w:szCs w:val="22"/>
        </w:rPr>
        <w:t xml:space="preserve">. As the minor re-submission stated that </w:t>
      </w:r>
      <w:r w:rsidR="00653F4E">
        <w:rPr>
          <w:noProof/>
          <w:color w:val="000000"/>
          <w:szCs w:val="22"/>
          <w:highlight w:val="black"/>
        </w:rPr>
        <w:t>'''''''''''</w:t>
      </w:r>
      <w:r w:rsidRPr="00A84A0B">
        <w:rPr>
          <w:szCs w:val="22"/>
        </w:rPr>
        <w:t xml:space="preserve">% of patients with non-squamous NSCLC from the </w:t>
      </w:r>
      <w:r w:rsidR="003F7E7D" w:rsidRPr="00A84A0B">
        <w:rPr>
          <w:szCs w:val="22"/>
        </w:rPr>
        <w:t xml:space="preserve">Patient Access Program </w:t>
      </w:r>
      <w:r w:rsidRPr="00A84A0B">
        <w:rPr>
          <w:szCs w:val="22"/>
        </w:rPr>
        <w:t xml:space="preserve">were 75 years or older with </w:t>
      </w:r>
      <w:r w:rsidRPr="00A84A0B">
        <w:rPr>
          <w:szCs w:val="22"/>
        </w:rPr>
        <w:lastRenderedPageBreak/>
        <w:t xml:space="preserve">an ECOG </w:t>
      </w:r>
      <w:r w:rsidR="002E52DF" w:rsidRPr="00A84A0B">
        <w:rPr>
          <w:szCs w:val="22"/>
        </w:rPr>
        <w:t xml:space="preserve">performance-status </w:t>
      </w:r>
      <w:r w:rsidRPr="00A84A0B">
        <w:rPr>
          <w:szCs w:val="22"/>
        </w:rPr>
        <w:t xml:space="preserve">of 0-1, it </w:t>
      </w:r>
      <w:r w:rsidR="00473BB0" w:rsidRPr="00A84A0B">
        <w:rPr>
          <w:szCs w:val="22"/>
        </w:rPr>
        <w:t>wa</w:t>
      </w:r>
      <w:r w:rsidRPr="00A84A0B">
        <w:rPr>
          <w:szCs w:val="22"/>
        </w:rPr>
        <w:t xml:space="preserve">s not clear why the higher rate of </w:t>
      </w:r>
      <w:r w:rsidR="00653F4E">
        <w:rPr>
          <w:noProof/>
          <w:color w:val="000000"/>
          <w:szCs w:val="22"/>
          <w:highlight w:val="black"/>
        </w:rPr>
        <w:t>''''''''''</w:t>
      </w:r>
      <w:r w:rsidRPr="00A84A0B">
        <w:rPr>
          <w:szCs w:val="22"/>
        </w:rPr>
        <w:t>% of patients</w:t>
      </w:r>
      <w:r w:rsidR="001F152B" w:rsidRPr="00A84A0B">
        <w:rPr>
          <w:szCs w:val="22"/>
        </w:rPr>
        <w:t xml:space="preserve"> 75 years or older with </w:t>
      </w:r>
      <w:r w:rsidRPr="00A84A0B">
        <w:rPr>
          <w:szCs w:val="22"/>
        </w:rPr>
        <w:t xml:space="preserve">squamous NSCLC was chosen rather than </w:t>
      </w:r>
      <w:r w:rsidR="00DD32F5" w:rsidRPr="00A84A0B">
        <w:rPr>
          <w:szCs w:val="22"/>
        </w:rPr>
        <w:t xml:space="preserve">the </w:t>
      </w:r>
      <w:r w:rsidRPr="00A84A0B">
        <w:rPr>
          <w:szCs w:val="22"/>
        </w:rPr>
        <w:t xml:space="preserve">weighted average figure of </w:t>
      </w:r>
      <w:r w:rsidR="00653F4E">
        <w:rPr>
          <w:noProof/>
          <w:color w:val="000000"/>
          <w:szCs w:val="22"/>
          <w:highlight w:val="black"/>
        </w:rPr>
        <w:t>''''''''''''</w:t>
      </w:r>
      <w:r w:rsidRPr="00A84A0B">
        <w:rPr>
          <w:szCs w:val="22"/>
        </w:rPr>
        <w:t>%.</w:t>
      </w:r>
    </w:p>
    <w:p w:rsidR="005705B6" w:rsidRPr="00A84A0B" w:rsidRDefault="006A0A21" w:rsidP="005939DA">
      <w:pPr>
        <w:pStyle w:val="ListParagraph"/>
        <w:widowControl/>
        <w:numPr>
          <w:ilvl w:val="0"/>
          <w:numId w:val="19"/>
        </w:numPr>
        <w:ind w:left="993" w:hanging="284"/>
        <w:rPr>
          <w:szCs w:val="22"/>
        </w:rPr>
      </w:pPr>
      <w:r w:rsidRPr="00A84A0B">
        <w:rPr>
          <w:szCs w:val="22"/>
        </w:rPr>
        <w:t>T</w:t>
      </w:r>
      <w:r w:rsidR="005705B6" w:rsidRPr="00A84A0B">
        <w:rPr>
          <w:szCs w:val="22"/>
        </w:rPr>
        <w:t>he rebate would consist of</w:t>
      </w:r>
      <w:r w:rsidRPr="00A84A0B">
        <w:rPr>
          <w:szCs w:val="22"/>
        </w:rPr>
        <w:t>:</w:t>
      </w:r>
    </w:p>
    <w:p w:rsidR="006A0A21" w:rsidRPr="00A84A0B" w:rsidRDefault="00653F4E" w:rsidP="005939DA">
      <w:pPr>
        <w:pStyle w:val="ListParagraph"/>
        <w:widowControl/>
        <w:numPr>
          <w:ilvl w:val="0"/>
          <w:numId w:val="18"/>
        </w:numPr>
        <w:ind w:left="1276" w:hanging="283"/>
        <w:rPr>
          <w:szCs w:val="22"/>
        </w:rPr>
      </w:pPr>
      <w:r>
        <w:rPr>
          <w:noProof/>
          <w:color w:val="000000"/>
          <w:szCs w:val="22"/>
          <w:highlight w:val="black"/>
        </w:rPr>
        <w:t>''''''</w:t>
      </w:r>
      <w:r w:rsidR="005705B6" w:rsidRPr="00A84A0B">
        <w:rPr>
          <w:szCs w:val="22"/>
        </w:rPr>
        <w:t xml:space="preserve">% being paid to the Commonwealth from the sponsor for use in more than </w:t>
      </w:r>
      <w:r>
        <w:rPr>
          <w:noProof/>
          <w:color w:val="000000"/>
          <w:szCs w:val="22"/>
          <w:highlight w:val="black"/>
        </w:rPr>
        <w:t>''''''</w:t>
      </w:r>
      <w:r w:rsidR="005705B6" w:rsidRPr="00A84A0B">
        <w:rPr>
          <w:szCs w:val="22"/>
        </w:rPr>
        <w:t xml:space="preserve">% up to </w:t>
      </w:r>
      <w:r>
        <w:rPr>
          <w:noProof/>
          <w:color w:val="000000"/>
          <w:szCs w:val="22"/>
          <w:highlight w:val="black"/>
        </w:rPr>
        <w:t>''''''</w:t>
      </w:r>
      <w:r w:rsidR="005705B6" w:rsidRPr="00A84A0B">
        <w:rPr>
          <w:szCs w:val="22"/>
        </w:rPr>
        <w:t xml:space="preserve">% of patients aged 75 years or </w:t>
      </w:r>
      <w:r w:rsidR="00687D98">
        <w:rPr>
          <w:szCs w:val="22"/>
        </w:rPr>
        <w:t xml:space="preserve">older </w:t>
      </w:r>
      <w:r w:rsidR="005705B6" w:rsidRPr="00A84A0B">
        <w:rPr>
          <w:szCs w:val="22"/>
        </w:rPr>
        <w:t>at initiation of nivolumab</w:t>
      </w:r>
      <w:r w:rsidR="006A0A21" w:rsidRPr="00A84A0B">
        <w:rPr>
          <w:szCs w:val="22"/>
        </w:rPr>
        <w:t>.</w:t>
      </w:r>
      <w:r w:rsidR="00843C4C" w:rsidRPr="00A84A0B">
        <w:rPr>
          <w:szCs w:val="22"/>
        </w:rPr>
        <w:t xml:space="preserve"> </w:t>
      </w:r>
      <w:r w:rsidR="009C10A4" w:rsidRPr="00A84A0B">
        <w:rPr>
          <w:szCs w:val="22"/>
        </w:rPr>
        <w:t xml:space="preserve">This proposed range of </w:t>
      </w:r>
      <w:r>
        <w:rPr>
          <w:noProof/>
          <w:color w:val="000000"/>
          <w:szCs w:val="22"/>
          <w:highlight w:val="black"/>
        </w:rPr>
        <w:t>'''''''</w:t>
      </w:r>
      <w:r w:rsidR="009C10A4" w:rsidRPr="00A84A0B">
        <w:rPr>
          <w:szCs w:val="22"/>
        </w:rPr>
        <w:t xml:space="preserve">% to </w:t>
      </w:r>
      <w:r>
        <w:rPr>
          <w:noProof/>
          <w:color w:val="000000"/>
          <w:szCs w:val="22"/>
          <w:highlight w:val="black"/>
        </w:rPr>
        <w:t>'''''''</w:t>
      </w:r>
      <w:r w:rsidR="009C10A4" w:rsidRPr="00A84A0B">
        <w:rPr>
          <w:szCs w:val="22"/>
        </w:rPr>
        <w:t>% is</w:t>
      </w:r>
      <w:r w:rsidR="0008796B" w:rsidRPr="00A84A0B">
        <w:rPr>
          <w:szCs w:val="22"/>
        </w:rPr>
        <w:t xml:space="preserve"> arbitrarily assigned </w:t>
      </w:r>
      <w:r w:rsidR="001F152B" w:rsidRPr="00A84A0B">
        <w:rPr>
          <w:szCs w:val="22"/>
        </w:rPr>
        <w:t xml:space="preserve">and </w:t>
      </w:r>
      <w:r w:rsidR="00A657EC" w:rsidRPr="00A84A0B">
        <w:rPr>
          <w:szCs w:val="22"/>
        </w:rPr>
        <w:t>inconsistent</w:t>
      </w:r>
      <w:r w:rsidR="009C10A4" w:rsidRPr="00A84A0B">
        <w:rPr>
          <w:szCs w:val="22"/>
        </w:rPr>
        <w:t xml:space="preserve"> with </w:t>
      </w:r>
      <w:r>
        <w:rPr>
          <w:noProof/>
          <w:color w:val="000000"/>
          <w:szCs w:val="22"/>
          <w:highlight w:val="black"/>
        </w:rPr>
        <w:t>''''''''''</w:t>
      </w:r>
      <w:r w:rsidR="009C10A4" w:rsidRPr="00A84A0B">
        <w:rPr>
          <w:szCs w:val="22"/>
        </w:rPr>
        <w:t>% of patients</w:t>
      </w:r>
      <w:r w:rsidR="00DC05D1" w:rsidRPr="00A84A0B">
        <w:rPr>
          <w:szCs w:val="22"/>
        </w:rPr>
        <w:t xml:space="preserve"> </w:t>
      </w:r>
      <w:r w:rsidR="0008796B" w:rsidRPr="00A84A0B">
        <w:rPr>
          <w:szCs w:val="22"/>
        </w:rPr>
        <w:t>75 years</w:t>
      </w:r>
      <w:r w:rsidR="00DC05D1" w:rsidRPr="00A84A0B">
        <w:rPr>
          <w:szCs w:val="22"/>
        </w:rPr>
        <w:t xml:space="preserve"> or</w:t>
      </w:r>
      <w:r w:rsidR="0008796B" w:rsidRPr="00A84A0B">
        <w:rPr>
          <w:szCs w:val="22"/>
        </w:rPr>
        <w:t xml:space="preserve"> old</w:t>
      </w:r>
      <w:r w:rsidR="00DC05D1" w:rsidRPr="00A84A0B">
        <w:rPr>
          <w:szCs w:val="22"/>
        </w:rPr>
        <w:t>er</w:t>
      </w:r>
      <w:r w:rsidR="009C10A4" w:rsidRPr="00A84A0B">
        <w:rPr>
          <w:szCs w:val="22"/>
        </w:rPr>
        <w:t xml:space="preserve"> with non-squamous NSCLC.</w:t>
      </w:r>
    </w:p>
    <w:p w:rsidR="005705B6" w:rsidRPr="00A84A0B" w:rsidRDefault="006A0A21" w:rsidP="005939DA">
      <w:pPr>
        <w:pStyle w:val="ListParagraph"/>
        <w:widowControl/>
        <w:numPr>
          <w:ilvl w:val="0"/>
          <w:numId w:val="18"/>
        </w:numPr>
        <w:ind w:left="1276" w:hanging="283"/>
        <w:rPr>
          <w:szCs w:val="22"/>
        </w:rPr>
      </w:pPr>
      <w:r w:rsidRPr="00A84A0B">
        <w:rPr>
          <w:szCs w:val="22"/>
        </w:rPr>
        <w:t>A</w:t>
      </w:r>
      <w:r w:rsidR="005705B6" w:rsidRPr="00A84A0B">
        <w:rPr>
          <w:szCs w:val="22"/>
        </w:rPr>
        <w:t xml:space="preserve"> rebate for use in greater than </w:t>
      </w:r>
      <w:r w:rsidR="00653F4E">
        <w:rPr>
          <w:noProof/>
          <w:color w:val="000000"/>
          <w:szCs w:val="22"/>
          <w:highlight w:val="black"/>
        </w:rPr>
        <w:t>'''''</w:t>
      </w:r>
      <w:r w:rsidR="005705B6" w:rsidRPr="00A84A0B">
        <w:rPr>
          <w:szCs w:val="22"/>
        </w:rPr>
        <w:t xml:space="preserve">% of patients calculated so that the effective price for those patients </w:t>
      </w:r>
      <w:r w:rsidRPr="00A84A0B">
        <w:rPr>
          <w:szCs w:val="22"/>
        </w:rPr>
        <w:t>wa</w:t>
      </w:r>
      <w:r w:rsidR="005705B6" w:rsidRPr="00A84A0B">
        <w:rPr>
          <w:szCs w:val="22"/>
        </w:rPr>
        <w:t xml:space="preserve">s equivalent to the comparator price (docetaxel for squamous NSCLC and </w:t>
      </w:r>
      <w:r w:rsidR="00653F4E">
        <w:rPr>
          <w:noProof/>
          <w:color w:val="000000"/>
          <w:szCs w:val="22"/>
          <w:highlight w:val="black"/>
        </w:rPr>
        <w:t>''''''</w:t>
      </w:r>
      <w:r w:rsidR="005705B6" w:rsidRPr="00A84A0B">
        <w:rPr>
          <w:szCs w:val="22"/>
        </w:rPr>
        <w:t>% docetaxel</w:t>
      </w:r>
      <w:r w:rsidR="00DD32F5" w:rsidRPr="00A84A0B">
        <w:rPr>
          <w:szCs w:val="22"/>
        </w:rPr>
        <w:t xml:space="preserve"> and </w:t>
      </w:r>
      <w:r w:rsidR="00653F4E">
        <w:rPr>
          <w:noProof/>
          <w:color w:val="000000"/>
          <w:szCs w:val="22"/>
          <w:highlight w:val="black"/>
        </w:rPr>
        <w:t>''''''</w:t>
      </w:r>
      <w:r w:rsidR="005705B6" w:rsidRPr="00A84A0B">
        <w:rPr>
          <w:szCs w:val="22"/>
        </w:rPr>
        <w:t>% pemetrexed for non-squamous cell NSCLC)</w:t>
      </w:r>
      <w:r w:rsidRPr="00A84A0B">
        <w:rPr>
          <w:szCs w:val="22"/>
        </w:rPr>
        <w:t xml:space="preserve">. The assumed </w:t>
      </w:r>
      <w:r w:rsidR="008A0E8C" w:rsidRPr="00A84A0B">
        <w:rPr>
          <w:szCs w:val="22"/>
        </w:rPr>
        <w:t xml:space="preserve">proportion </w:t>
      </w:r>
      <w:r w:rsidRPr="00A84A0B">
        <w:rPr>
          <w:szCs w:val="22"/>
        </w:rPr>
        <w:t xml:space="preserve">of </w:t>
      </w:r>
      <w:r w:rsidR="00653F4E">
        <w:rPr>
          <w:noProof/>
          <w:color w:val="000000"/>
          <w:szCs w:val="22"/>
          <w:highlight w:val="black"/>
        </w:rPr>
        <w:t>''''''</w:t>
      </w:r>
      <w:r w:rsidRPr="00A84A0B">
        <w:rPr>
          <w:szCs w:val="22"/>
        </w:rPr>
        <w:t>% docetaxel</w:t>
      </w:r>
      <w:r w:rsidR="00DD32F5" w:rsidRPr="00A84A0B">
        <w:rPr>
          <w:szCs w:val="22"/>
        </w:rPr>
        <w:t xml:space="preserve"> and</w:t>
      </w:r>
      <w:r w:rsidR="00A657EC" w:rsidRPr="00A84A0B">
        <w:rPr>
          <w:szCs w:val="22"/>
        </w:rPr>
        <w:t xml:space="preserve"> </w:t>
      </w:r>
      <w:r w:rsidR="00653F4E">
        <w:rPr>
          <w:noProof/>
          <w:color w:val="000000"/>
          <w:szCs w:val="22"/>
          <w:highlight w:val="black"/>
        </w:rPr>
        <w:t>''''''</w:t>
      </w:r>
      <w:r w:rsidRPr="00A84A0B">
        <w:rPr>
          <w:szCs w:val="22"/>
        </w:rPr>
        <w:t xml:space="preserve">% pemetrexed </w:t>
      </w:r>
      <w:r w:rsidR="006A3A98" w:rsidRPr="00A84A0B">
        <w:rPr>
          <w:szCs w:val="22"/>
        </w:rPr>
        <w:t>was inconsistent</w:t>
      </w:r>
      <w:r w:rsidRPr="00A84A0B">
        <w:rPr>
          <w:szCs w:val="22"/>
        </w:rPr>
        <w:t xml:space="preserve"> with the PBAC’s assertion that pemetrexed should be the </w:t>
      </w:r>
      <w:r w:rsidRPr="00A84A0B">
        <w:rPr>
          <w:szCs w:val="22"/>
          <w:u w:val="single"/>
        </w:rPr>
        <w:t>main</w:t>
      </w:r>
      <w:r w:rsidRPr="00A84A0B">
        <w:rPr>
          <w:szCs w:val="22"/>
        </w:rPr>
        <w:t xml:space="preserve"> comparator</w:t>
      </w:r>
      <w:r w:rsidR="0008796B" w:rsidRPr="00A84A0B">
        <w:rPr>
          <w:szCs w:val="22"/>
        </w:rPr>
        <w:t xml:space="preserve"> for non-squamous NSCLC</w:t>
      </w:r>
      <w:r w:rsidRPr="00A84A0B">
        <w:rPr>
          <w:szCs w:val="22"/>
        </w:rPr>
        <w:t xml:space="preserve"> in this population</w:t>
      </w:r>
      <w:r w:rsidR="006A3A98" w:rsidRPr="00A84A0B">
        <w:rPr>
          <w:szCs w:val="22"/>
        </w:rPr>
        <w:t>.</w:t>
      </w:r>
      <w:r w:rsidR="00332BF7" w:rsidRPr="00A84A0B">
        <w:rPr>
          <w:szCs w:val="22"/>
        </w:rPr>
        <w:t xml:space="preserve"> </w:t>
      </w:r>
      <w:r w:rsidR="00196CB5" w:rsidRPr="00A84A0B">
        <w:rPr>
          <w:szCs w:val="22"/>
        </w:rPr>
        <w:t xml:space="preserve">The justification for the nominated proportion between docetaxel and pemetrexed </w:t>
      </w:r>
      <w:r w:rsidR="00F900CF" w:rsidRPr="00A84A0B">
        <w:rPr>
          <w:szCs w:val="22"/>
        </w:rPr>
        <w:t>wa</w:t>
      </w:r>
      <w:r w:rsidR="00196CB5" w:rsidRPr="00A84A0B">
        <w:rPr>
          <w:szCs w:val="22"/>
        </w:rPr>
        <w:t>s unclear.</w:t>
      </w:r>
    </w:p>
    <w:p w:rsidR="005705B6" w:rsidRPr="00A84A0B" w:rsidRDefault="006A3A98" w:rsidP="005939DA">
      <w:pPr>
        <w:pStyle w:val="ListParagraph"/>
        <w:widowControl/>
        <w:numPr>
          <w:ilvl w:val="0"/>
          <w:numId w:val="19"/>
        </w:numPr>
        <w:ind w:left="993" w:hanging="284"/>
        <w:rPr>
          <w:szCs w:val="22"/>
        </w:rPr>
      </w:pPr>
      <w:r w:rsidRPr="00A84A0B">
        <w:rPr>
          <w:szCs w:val="22"/>
        </w:rPr>
        <w:t>O</w:t>
      </w:r>
      <w:r w:rsidR="005705B6" w:rsidRPr="00A84A0B">
        <w:rPr>
          <w:szCs w:val="22"/>
        </w:rPr>
        <w:t xml:space="preserve">nly Commonwealth expenditure post-rebate specific to the percentage of patients 75 years or </w:t>
      </w:r>
      <w:r w:rsidR="00687D98">
        <w:rPr>
          <w:szCs w:val="22"/>
        </w:rPr>
        <w:t xml:space="preserve">older </w:t>
      </w:r>
      <w:r w:rsidR="005705B6" w:rsidRPr="00A84A0B">
        <w:rPr>
          <w:szCs w:val="22"/>
        </w:rPr>
        <w:t xml:space="preserve">above the base level of </w:t>
      </w:r>
      <w:r w:rsidR="00653F4E">
        <w:rPr>
          <w:noProof/>
          <w:color w:val="000000"/>
          <w:szCs w:val="22"/>
          <w:highlight w:val="black"/>
        </w:rPr>
        <w:t>'''''''</w:t>
      </w:r>
      <w:r w:rsidR="005705B6" w:rsidRPr="00A84A0B">
        <w:rPr>
          <w:szCs w:val="22"/>
        </w:rPr>
        <w:t xml:space="preserve">% to be included in the broader RSA cap calculations proposed in the </w:t>
      </w:r>
      <w:r w:rsidR="00836F88" w:rsidRPr="00A84A0B">
        <w:rPr>
          <w:szCs w:val="22"/>
        </w:rPr>
        <w:t>RSA</w:t>
      </w:r>
      <w:r w:rsidR="005705B6" w:rsidRPr="00A84A0B">
        <w:rPr>
          <w:szCs w:val="22"/>
        </w:rPr>
        <w:t>.</w:t>
      </w:r>
      <w:r w:rsidRPr="00A84A0B">
        <w:rPr>
          <w:szCs w:val="22"/>
        </w:rPr>
        <w:t xml:space="preserve"> </w:t>
      </w:r>
      <w:r w:rsidR="009C10A4" w:rsidRPr="00A84A0B">
        <w:rPr>
          <w:szCs w:val="22"/>
        </w:rPr>
        <w:t>Practically, t</w:t>
      </w:r>
      <w:r w:rsidR="00BE3D69" w:rsidRPr="00A84A0B">
        <w:rPr>
          <w:szCs w:val="22"/>
        </w:rPr>
        <w:t>he age base rebate would be calculated first and any rebate payable would be deducted from the total patient cap rebate so as not to double count the rebates.</w:t>
      </w:r>
    </w:p>
    <w:p w:rsidR="008A337B" w:rsidRPr="00A84A0B" w:rsidRDefault="008A337B" w:rsidP="005939DA">
      <w:pPr>
        <w:rPr>
          <w:rFonts w:ascii="Arial" w:hAnsi="Arial" w:cs="Arial"/>
          <w:sz w:val="22"/>
          <w:szCs w:val="22"/>
        </w:rPr>
      </w:pPr>
    </w:p>
    <w:p w:rsidR="008A337B" w:rsidRPr="00A84A0B" w:rsidRDefault="008A337B" w:rsidP="005939DA">
      <w:pPr>
        <w:pStyle w:val="ListParagraph"/>
        <w:widowControl/>
        <w:numPr>
          <w:ilvl w:val="1"/>
          <w:numId w:val="1"/>
        </w:numPr>
        <w:ind w:left="993" w:hanging="993"/>
        <w:rPr>
          <w:szCs w:val="22"/>
        </w:rPr>
      </w:pPr>
      <w:r w:rsidRPr="00A84A0B">
        <w:rPr>
          <w:szCs w:val="22"/>
        </w:rPr>
        <w:t xml:space="preserve">The pre-PBAC response </w:t>
      </w:r>
      <w:r w:rsidR="00220D61" w:rsidRPr="00A84A0B">
        <w:rPr>
          <w:szCs w:val="22"/>
        </w:rPr>
        <w:t>proposed</w:t>
      </w:r>
      <w:r w:rsidRPr="00A84A0B">
        <w:rPr>
          <w:szCs w:val="22"/>
        </w:rPr>
        <w:t xml:space="preserve"> a revised RSA for age with</w:t>
      </w:r>
      <w:r w:rsidR="002876E5" w:rsidRPr="00A84A0B">
        <w:rPr>
          <w:szCs w:val="22"/>
        </w:rPr>
        <w:t xml:space="preserve"> a</w:t>
      </w:r>
      <w:r w:rsidRPr="00A84A0B">
        <w:rPr>
          <w:szCs w:val="22"/>
        </w:rPr>
        <w:t xml:space="preserve"> threshold of </w:t>
      </w:r>
      <w:r w:rsidR="00653F4E">
        <w:rPr>
          <w:noProof/>
          <w:color w:val="000000"/>
          <w:szCs w:val="22"/>
          <w:highlight w:val="black"/>
        </w:rPr>
        <w:t>'''''''''''</w:t>
      </w:r>
      <w:r w:rsidRPr="00A84A0B">
        <w:rPr>
          <w:szCs w:val="22"/>
        </w:rPr>
        <w:t>% and rebate for any patient 75 years or older above this threshold down to a weighted comparator price of</w:t>
      </w:r>
      <w:r w:rsidR="000C0E99" w:rsidRPr="00A84A0B">
        <w:rPr>
          <w:szCs w:val="22"/>
        </w:rPr>
        <w:t xml:space="preserve"> d</w:t>
      </w:r>
      <w:r w:rsidRPr="00A84A0B">
        <w:rPr>
          <w:szCs w:val="22"/>
        </w:rPr>
        <w:t>ocetaxel</w:t>
      </w:r>
      <w:r w:rsidR="000C0E99" w:rsidRPr="00A84A0B">
        <w:rPr>
          <w:szCs w:val="22"/>
        </w:rPr>
        <w:t xml:space="preserve"> (for squamous NSCLC) and p</w:t>
      </w:r>
      <w:r w:rsidRPr="00A84A0B">
        <w:rPr>
          <w:szCs w:val="22"/>
        </w:rPr>
        <w:t>emetrexed</w:t>
      </w:r>
      <w:r w:rsidR="000C0E99" w:rsidRPr="00A84A0B">
        <w:rPr>
          <w:szCs w:val="22"/>
        </w:rPr>
        <w:t xml:space="preserve"> (for non-squamous NSCLC)</w:t>
      </w:r>
      <w:r w:rsidR="00220D61" w:rsidRPr="00A84A0B">
        <w:rPr>
          <w:szCs w:val="22"/>
        </w:rPr>
        <w:t xml:space="preserve">. The PBAC </w:t>
      </w:r>
      <w:r w:rsidR="007C29AC" w:rsidRPr="00A84A0B">
        <w:rPr>
          <w:szCs w:val="22"/>
        </w:rPr>
        <w:t xml:space="preserve">noted that </w:t>
      </w:r>
      <w:r w:rsidR="00F968ED" w:rsidRPr="00A84A0B">
        <w:rPr>
          <w:szCs w:val="22"/>
        </w:rPr>
        <w:t>this was higher than the proportion of patients in</w:t>
      </w:r>
      <w:r w:rsidR="007C29AC" w:rsidRPr="00A84A0B">
        <w:rPr>
          <w:szCs w:val="22"/>
        </w:rPr>
        <w:t xml:space="preserve"> </w:t>
      </w:r>
      <w:r w:rsidR="00220D61" w:rsidRPr="00A84A0B">
        <w:rPr>
          <w:szCs w:val="22"/>
        </w:rPr>
        <w:t>the NPP who were 75 years or older with an ECOG performance status of 0-1</w:t>
      </w:r>
      <w:r w:rsidR="007C29AC" w:rsidRPr="00A84A0B">
        <w:rPr>
          <w:szCs w:val="22"/>
        </w:rPr>
        <w:t>,</w:t>
      </w:r>
      <w:r w:rsidR="003F7E7D" w:rsidRPr="00A84A0B">
        <w:rPr>
          <w:szCs w:val="22"/>
        </w:rPr>
        <w:t xml:space="preserve"> but accepted the proposed threshold of </w:t>
      </w:r>
      <w:r w:rsidR="00653F4E">
        <w:rPr>
          <w:noProof/>
          <w:color w:val="000000"/>
          <w:szCs w:val="22"/>
          <w:highlight w:val="black"/>
        </w:rPr>
        <w:t>''''''''''</w:t>
      </w:r>
      <w:r w:rsidR="003F7E7D" w:rsidRPr="00A84A0B">
        <w:rPr>
          <w:szCs w:val="22"/>
        </w:rPr>
        <w:t>%.</w:t>
      </w:r>
    </w:p>
    <w:p w:rsidR="005705B6" w:rsidRPr="00A84A0B" w:rsidRDefault="005705B6" w:rsidP="005939DA">
      <w:pPr>
        <w:rPr>
          <w:rFonts w:ascii="Arial" w:hAnsi="Arial" w:cs="Arial"/>
          <w:sz w:val="22"/>
          <w:szCs w:val="22"/>
        </w:rPr>
      </w:pPr>
    </w:p>
    <w:p w:rsidR="005705B6" w:rsidRPr="00A84A0B" w:rsidRDefault="005705B6" w:rsidP="005939DA">
      <w:pPr>
        <w:pStyle w:val="ListParagraph"/>
        <w:widowControl/>
        <w:numPr>
          <w:ilvl w:val="1"/>
          <w:numId w:val="1"/>
        </w:numPr>
        <w:rPr>
          <w:szCs w:val="22"/>
        </w:rPr>
      </w:pPr>
      <w:r w:rsidRPr="00A84A0B">
        <w:rPr>
          <w:szCs w:val="22"/>
        </w:rPr>
        <w:t>In relation to administrative considerations, the minor re-submission proposed that:</w:t>
      </w:r>
    </w:p>
    <w:p w:rsidR="005705B6" w:rsidRPr="00A84A0B" w:rsidRDefault="005705B6" w:rsidP="005939DA">
      <w:pPr>
        <w:pStyle w:val="ListParagraph"/>
        <w:widowControl/>
        <w:numPr>
          <w:ilvl w:val="0"/>
          <w:numId w:val="19"/>
        </w:numPr>
        <w:ind w:left="993" w:hanging="284"/>
        <w:rPr>
          <w:szCs w:val="22"/>
        </w:rPr>
      </w:pPr>
      <w:r w:rsidRPr="00A84A0B">
        <w:rPr>
          <w:szCs w:val="22"/>
        </w:rPr>
        <w:t>the Department could capture age upon initiation data, and that the sponsor would also look to independently validate this</w:t>
      </w:r>
      <w:r w:rsidR="00671A0A" w:rsidRPr="00A84A0B">
        <w:rPr>
          <w:szCs w:val="22"/>
        </w:rPr>
        <w:t>. Medicare claims data would be a reliable source regarding age of patients at initiation of treatment with nivolumab</w:t>
      </w:r>
      <w:r w:rsidR="00BE3D69" w:rsidRPr="00A84A0B">
        <w:rPr>
          <w:szCs w:val="22"/>
        </w:rPr>
        <w:t xml:space="preserve"> and no further specific data gathering would be required</w:t>
      </w:r>
      <w:r w:rsidR="00671A0A" w:rsidRPr="00A84A0B">
        <w:rPr>
          <w:szCs w:val="22"/>
        </w:rPr>
        <w:t>;</w:t>
      </w:r>
    </w:p>
    <w:p w:rsidR="005705B6" w:rsidRPr="00A84A0B" w:rsidRDefault="005705B6" w:rsidP="005939DA">
      <w:pPr>
        <w:pStyle w:val="ListParagraph"/>
        <w:widowControl/>
        <w:numPr>
          <w:ilvl w:val="0"/>
          <w:numId w:val="19"/>
        </w:numPr>
        <w:ind w:left="993" w:hanging="284"/>
        <w:rPr>
          <w:szCs w:val="22"/>
        </w:rPr>
      </w:pPr>
      <w:r w:rsidRPr="00A84A0B">
        <w:rPr>
          <w:szCs w:val="22"/>
        </w:rPr>
        <w:t xml:space="preserve">a significant </w:t>
      </w:r>
      <w:r w:rsidR="00BE3D69" w:rsidRPr="00A84A0B">
        <w:rPr>
          <w:szCs w:val="22"/>
        </w:rPr>
        <w:t xml:space="preserve">body </w:t>
      </w:r>
      <w:r w:rsidRPr="00A84A0B">
        <w:rPr>
          <w:szCs w:val="22"/>
        </w:rPr>
        <w:t>of data be collected before an invoice for the rebate was triggered, although the minor re-submission noted that results would be applied retrospectively from Day 1 of PBS listing</w:t>
      </w:r>
      <w:r w:rsidR="00196CB5" w:rsidRPr="00A84A0B">
        <w:rPr>
          <w:szCs w:val="22"/>
        </w:rPr>
        <w:t xml:space="preserve">. The </w:t>
      </w:r>
      <w:r w:rsidR="007C29AC" w:rsidRPr="00A84A0B">
        <w:rPr>
          <w:szCs w:val="22"/>
        </w:rPr>
        <w:t>PBAC noted</w:t>
      </w:r>
      <w:r w:rsidR="00196CB5" w:rsidRPr="00A84A0B">
        <w:rPr>
          <w:szCs w:val="22"/>
        </w:rPr>
        <w:t xml:space="preserve"> that RSA</w:t>
      </w:r>
      <w:r w:rsidR="00A95389" w:rsidRPr="00A84A0B">
        <w:rPr>
          <w:szCs w:val="22"/>
        </w:rPr>
        <w:t>s</w:t>
      </w:r>
      <w:r w:rsidR="00196CB5" w:rsidRPr="00A84A0B">
        <w:rPr>
          <w:szCs w:val="22"/>
        </w:rPr>
        <w:t xml:space="preserve"> are generally invoiced annually</w:t>
      </w:r>
      <w:r w:rsidR="009C10A4" w:rsidRPr="00A84A0B">
        <w:rPr>
          <w:szCs w:val="22"/>
        </w:rPr>
        <w:t>, and this would also be required</w:t>
      </w:r>
      <w:r w:rsidR="00105DA3" w:rsidRPr="00A84A0B">
        <w:rPr>
          <w:szCs w:val="22"/>
        </w:rPr>
        <w:t xml:space="preserve"> in practice</w:t>
      </w:r>
      <w:r w:rsidR="009C10A4" w:rsidRPr="00A84A0B">
        <w:rPr>
          <w:szCs w:val="22"/>
        </w:rPr>
        <w:t xml:space="preserve"> in this case</w:t>
      </w:r>
      <w:r w:rsidR="00105DA3" w:rsidRPr="00A84A0B">
        <w:rPr>
          <w:szCs w:val="22"/>
        </w:rPr>
        <w:t>, in order</w:t>
      </w:r>
      <w:r w:rsidR="009C10A4" w:rsidRPr="00A84A0B">
        <w:rPr>
          <w:szCs w:val="22"/>
        </w:rPr>
        <w:t xml:space="preserve"> to align with the financial cap reconciliation</w:t>
      </w:r>
      <w:r w:rsidRPr="00A84A0B">
        <w:rPr>
          <w:szCs w:val="22"/>
        </w:rPr>
        <w:t>;</w:t>
      </w:r>
    </w:p>
    <w:p w:rsidR="005705B6" w:rsidRPr="00A84A0B" w:rsidRDefault="005705B6" w:rsidP="005939DA">
      <w:pPr>
        <w:pStyle w:val="ListParagraph"/>
        <w:widowControl/>
        <w:numPr>
          <w:ilvl w:val="0"/>
          <w:numId w:val="4"/>
        </w:numPr>
        <w:ind w:left="993" w:hanging="284"/>
        <w:rPr>
          <w:szCs w:val="22"/>
        </w:rPr>
      </w:pPr>
      <w:r w:rsidRPr="00A84A0B">
        <w:rPr>
          <w:szCs w:val="22"/>
        </w:rPr>
        <w:t>re-negotiation of the agreement if there is a disproportional change in the number of elderly NSCLC patients being initiated in the second-line setting</w:t>
      </w:r>
      <w:r w:rsidR="000827FF" w:rsidRPr="00A84A0B">
        <w:rPr>
          <w:szCs w:val="22"/>
        </w:rPr>
        <w:t xml:space="preserve">. </w:t>
      </w:r>
      <w:r w:rsidR="00196CB5" w:rsidRPr="00A84A0B">
        <w:rPr>
          <w:szCs w:val="22"/>
        </w:rPr>
        <w:t xml:space="preserve"> </w:t>
      </w:r>
      <w:r w:rsidR="007C29AC" w:rsidRPr="00A84A0B">
        <w:rPr>
          <w:szCs w:val="22"/>
        </w:rPr>
        <w:t>The PBAC did not accept this proposal</w:t>
      </w:r>
      <w:r w:rsidR="00473BB0" w:rsidRPr="00A84A0B">
        <w:rPr>
          <w:szCs w:val="22"/>
        </w:rPr>
        <w:t>,</w:t>
      </w:r>
      <w:r w:rsidR="007C29AC" w:rsidRPr="00A84A0B">
        <w:rPr>
          <w:szCs w:val="22"/>
        </w:rPr>
        <w:t xml:space="preserve"> </w:t>
      </w:r>
      <w:r w:rsidR="00D32D67" w:rsidRPr="00A84A0B">
        <w:rPr>
          <w:szCs w:val="22"/>
        </w:rPr>
        <w:t xml:space="preserve">given that the proposed RSA is specifically designed to address the risk that this might occur and </w:t>
      </w:r>
      <w:r w:rsidR="007C29AC" w:rsidRPr="00A84A0B">
        <w:rPr>
          <w:szCs w:val="22"/>
        </w:rPr>
        <w:t xml:space="preserve">it was </w:t>
      </w:r>
      <w:r w:rsidR="00D32D67" w:rsidRPr="00A84A0B">
        <w:rPr>
          <w:szCs w:val="22"/>
        </w:rPr>
        <w:t xml:space="preserve">therefore </w:t>
      </w:r>
      <w:r w:rsidR="007C29AC" w:rsidRPr="00A84A0B">
        <w:rPr>
          <w:szCs w:val="22"/>
        </w:rPr>
        <w:t>unclear</w:t>
      </w:r>
      <w:r w:rsidR="00A95389" w:rsidRPr="00A84A0B">
        <w:rPr>
          <w:szCs w:val="22"/>
        </w:rPr>
        <w:t xml:space="preserve"> what change the sponsor </w:t>
      </w:r>
      <w:r w:rsidR="00D32D67" w:rsidRPr="00A84A0B">
        <w:rPr>
          <w:szCs w:val="22"/>
        </w:rPr>
        <w:t xml:space="preserve">might </w:t>
      </w:r>
      <w:r w:rsidR="00A95389" w:rsidRPr="00A84A0B">
        <w:rPr>
          <w:szCs w:val="22"/>
        </w:rPr>
        <w:t>consider would trigger a renegotiation</w:t>
      </w:r>
      <w:r w:rsidRPr="00A84A0B">
        <w:rPr>
          <w:szCs w:val="22"/>
        </w:rPr>
        <w:t>; and</w:t>
      </w:r>
    </w:p>
    <w:p w:rsidR="005705B6" w:rsidRPr="00A84A0B" w:rsidRDefault="005705B6" w:rsidP="005939DA">
      <w:pPr>
        <w:pStyle w:val="ListParagraph"/>
        <w:widowControl/>
        <w:numPr>
          <w:ilvl w:val="0"/>
          <w:numId w:val="19"/>
        </w:numPr>
        <w:ind w:left="993" w:hanging="284"/>
        <w:rPr>
          <w:szCs w:val="22"/>
        </w:rPr>
      </w:pPr>
      <w:r w:rsidRPr="00A84A0B">
        <w:rPr>
          <w:szCs w:val="22"/>
        </w:rPr>
        <w:t xml:space="preserve">a lapsing of the agreement if data over the first 2-3 years of PBS listing indicates that the proportion of patients 75 years or </w:t>
      </w:r>
      <w:r w:rsidR="00851551">
        <w:rPr>
          <w:szCs w:val="22"/>
        </w:rPr>
        <w:t xml:space="preserve">older </w:t>
      </w:r>
      <w:r w:rsidRPr="00A84A0B">
        <w:rPr>
          <w:szCs w:val="22"/>
        </w:rPr>
        <w:t xml:space="preserve">falls well below the estimated base level. </w:t>
      </w:r>
      <w:r w:rsidR="00671A0A" w:rsidRPr="00A84A0B">
        <w:rPr>
          <w:szCs w:val="22"/>
        </w:rPr>
        <w:t>Th</w:t>
      </w:r>
      <w:r w:rsidR="00D32D67" w:rsidRPr="00A84A0B">
        <w:rPr>
          <w:szCs w:val="22"/>
        </w:rPr>
        <w:t xml:space="preserve">e PBAC considered that this was </w:t>
      </w:r>
      <w:r w:rsidR="00671A0A" w:rsidRPr="00A84A0B">
        <w:rPr>
          <w:szCs w:val="22"/>
        </w:rPr>
        <w:t>a matter for negotiation with the Department.</w:t>
      </w:r>
      <w:r w:rsidR="000827FF" w:rsidRPr="00A84A0B">
        <w:rPr>
          <w:szCs w:val="22"/>
        </w:rPr>
        <w:t xml:space="preserve"> As a matter of practice, Deeds </w:t>
      </w:r>
      <w:r w:rsidR="00D32D67" w:rsidRPr="00A84A0B">
        <w:rPr>
          <w:szCs w:val="22"/>
        </w:rPr>
        <w:t xml:space="preserve">containing RSAs </w:t>
      </w:r>
      <w:r w:rsidR="000827FF" w:rsidRPr="00A84A0B">
        <w:rPr>
          <w:szCs w:val="22"/>
        </w:rPr>
        <w:t>are negotiated for a period of 5 years.</w:t>
      </w:r>
    </w:p>
    <w:p w:rsidR="005705B6" w:rsidRPr="00A84A0B" w:rsidRDefault="005705B6" w:rsidP="005939DA">
      <w:pPr>
        <w:rPr>
          <w:rFonts w:ascii="Arial" w:hAnsi="Arial" w:cs="Arial"/>
          <w:sz w:val="22"/>
          <w:szCs w:val="22"/>
        </w:rPr>
      </w:pPr>
    </w:p>
    <w:p w:rsidR="00505130" w:rsidRPr="00A84A0B" w:rsidRDefault="007D5FF4" w:rsidP="005939DA">
      <w:pPr>
        <w:pStyle w:val="ListParagraph"/>
        <w:widowControl/>
        <w:numPr>
          <w:ilvl w:val="1"/>
          <w:numId w:val="1"/>
        </w:numPr>
        <w:rPr>
          <w:szCs w:val="22"/>
        </w:rPr>
      </w:pPr>
      <w:r w:rsidRPr="00A84A0B">
        <w:rPr>
          <w:szCs w:val="22"/>
        </w:rPr>
        <w:lastRenderedPageBreak/>
        <w:t xml:space="preserve">The PBAC provided the following comments in relation to the ICERs presented in the </w:t>
      </w:r>
      <w:r w:rsidR="000C7812">
        <w:rPr>
          <w:szCs w:val="22"/>
        </w:rPr>
        <w:t>major</w:t>
      </w:r>
      <w:r w:rsidRPr="00A84A0B">
        <w:rPr>
          <w:szCs w:val="22"/>
        </w:rPr>
        <w:t xml:space="preserve"> re-submission</w:t>
      </w:r>
      <w:r w:rsidR="007D1678" w:rsidRPr="00A84A0B">
        <w:rPr>
          <w:szCs w:val="22"/>
        </w:rPr>
        <w:t>s</w:t>
      </w:r>
      <w:r w:rsidR="00D32D67" w:rsidRPr="00A84A0B">
        <w:rPr>
          <w:szCs w:val="22"/>
        </w:rPr>
        <w:t xml:space="preserve"> at the November 2016 meeting:</w:t>
      </w:r>
    </w:p>
    <w:p w:rsidR="00505130" w:rsidRPr="00A84A0B" w:rsidRDefault="00671A0A" w:rsidP="005939DA">
      <w:pPr>
        <w:pStyle w:val="ListParagraph"/>
        <w:widowControl/>
        <w:numPr>
          <w:ilvl w:val="0"/>
          <w:numId w:val="20"/>
        </w:numPr>
        <w:ind w:left="993" w:hanging="284"/>
        <w:rPr>
          <w:szCs w:val="22"/>
        </w:rPr>
      </w:pPr>
      <w:r w:rsidRPr="00A84A0B">
        <w:rPr>
          <w:bCs/>
          <w:szCs w:val="22"/>
        </w:rPr>
        <w:t>$</w:t>
      </w:r>
      <w:r w:rsidR="00635385">
        <w:rPr>
          <w:bCs/>
          <w:szCs w:val="22"/>
        </w:rPr>
        <w:t>45,000 - $75,000</w:t>
      </w:r>
      <w:r w:rsidRPr="00A84A0B">
        <w:rPr>
          <w:bCs/>
          <w:szCs w:val="22"/>
        </w:rPr>
        <w:t xml:space="preserve">/QALY for squamous NSCLC </w:t>
      </w:r>
      <w:r w:rsidR="00505130" w:rsidRPr="00A84A0B">
        <w:rPr>
          <w:bCs/>
          <w:szCs w:val="22"/>
        </w:rPr>
        <w:t>versus docetaxel</w:t>
      </w:r>
      <w:r w:rsidR="001E437E" w:rsidRPr="00A84A0B">
        <w:rPr>
          <w:bCs/>
          <w:szCs w:val="22"/>
        </w:rPr>
        <w:t>; considered to be high and an underestimate of the true ICER as a result of optimistic assumptions considered favourable to nivolumab particularly regarding methods of extrapolation and the time horizon</w:t>
      </w:r>
      <w:r w:rsidR="00505130" w:rsidRPr="00A84A0B">
        <w:rPr>
          <w:bCs/>
          <w:szCs w:val="22"/>
        </w:rPr>
        <w:t xml:space="preserve"> (paragraph 7.8, 7.06 nivolumab </w:t>
      </w:r>
      <w:r w:rsidR="00635385">
        <w:rPr>
          <w:bCs/>
          <w:szCs w:val="22"/>
        </w:rPr>
        <w:t>PSD</w:t>
      </w:r>
      <w:r w:rsidR="00505130" w:rsidRPr="00A84A0B">
        <w:rPr>
          <w:bCs/>
          <w:szCs w:val="22"/>
        </w:rPr>
        <w:t xml:space="preserve">, November 2016); </w:t>
      </w:r>
      <w:r w:rsidR="001817E3">
        <w:rPr>
          <w:bCs/>
          <w:szCs w:val="22"/>
        </w:rPr>
        <w:t>and</w:t>
      </w:r>
    </w:p>
    <w:p w:rsidR="001E437E" w:rsidRPr="00A84A0B" w:rsidRDefault="00671A0A" w:rsidP="005939DA">
      <w:pPr>
        <w:pStyle w:val="ListParagraph"/>
        <w:widowControl/>
        <w:numPr>
          <w:ilvl w:val="0"/>
          <w:numId w:val="20"/>
        </w:numPr>
        <w:ind w:left="993" w:hanging="284"/>
        <w:rPr>
          <w:szCs w:val="22"/>
        </w:rPr>
      </w:pPr>
      <w:r w:rsidRPr="00A84A0B">
        <w:rPr>
          <w:bCs/>
          <w:szCs w:val="22"/>
        </w:rPr>
        <w:t>$</w:t>
      </w:r>
      <w:r w:rsidR="00635385">
        <w:rPr>
          <w:bCs/>
          <w:szCs w:val="22"/>
        </w:rPr>
        <w:t>75,000 - $105,000</w:t>
      </w:r>
      <w:r w:rsidRPr="00A84A0B">
        <w:rPr>
          <w:bCs/>
          <w:szCs w:val="22"/>
        </w:rPr>
        <w:t xml:space="preserve">/QALY for non-squamous NSCLC </w:t>
      </w:r>
      <w:r w:rsidR="00505130" w:rsidRPr="00A84A0B">
        <w:rPr>
          <w:bCs/>
          <w:szCs w:val="22"/>
        </w:rPr>
        <w:t>versus docetaxel</w:t>
      </w:r>
      <w:r w:rsidR="00E44BE0" w:rsidRPr="00A84A0B">
        <w:rPr>
          <w:bCs/>
          <w:szCs w:val="22"/>
        </w:rPr>
        <w:t xml:space="preserve"> (presented in the Pre-PBAC response to the re-submission considered at the November 2016 PBAC meeting)</w:t>
      </w:r>
      <w:r w:rsidR="001E437E" w:rsidRPr="00A84A0B">
        <w:rPr>
          <w:bCs/>
          <w:szCs w:val="22"/>
        </w:rPr>
        <w:t>; considered to be high and an underestimate of the true ICER as a result of optimistic assumptions considered favourable to nivolumab particularly regarding methods of extrapolation and the time horizon</w:t>
      </w:r>
      <w:r w:rsidR="00505130" w:rsidRPr="00A84A0B">
        <w:rPr>
          <w:bCs/>
          <w:szCs w:val="22"/>
        </w:rPr>
        <w:t xml:space="preserve"> </w:t>
      </w:r>
      <w:r w:rsidR="001E437E" w:rsidRPr="00A84A0B">
        <w:rPr>
          <w:szCs w:val="22"/>
        </w:rPr>
        <w:t xml:space="preserve">(paragraph 7.10, 7.07 nivolumab </w:t>
      </w:r>
      <w:r w:rsidR="00635385">
        <w:rPr>
          <w:szCs w:val="22"/>
        </w:rPr>
        <w:t>PSD</w:t>
      </w:r>
      <w:r w:rsidR="001E437E" w:rsidRPr="00A84A0B">
        <w:rPr>
          <w:szCs w:val="22"/>
        </w:rPr>
        <w:t xml:space="preserve">, November 2016); </w:t>
      </w:r>
      <w:r w:rsidRPr="00A84A0B">
        <w:rPr>
          <w:bCs/>
          <w:szCs w:val="22"/>
        </w:rPr>
        <w:t xml:space="preserve">or </w:t>
      </w:r>
    </w:p>
    <w:p w:rsidR="001E437E" w:rsidRPr="00A84A0B" w:rsidRDefault="00671A0A" w:rsidP="005939DA">
      <w:pPr>
        <w:pStyle w:val="ListParagraph"/>
        <w:widowControl/>
        <w:numPr>
          <w:ilvl w:val="0"/>
          <w:numId w:val="20"/>
        </w:numPr>
        <w:ind w:left="993" w:hanging="284"/>
        <w:rPr>
          <w:szCs w:val="22"/>
        </w:rPr>
      </w:pPr>
      <w:r w:rsidRPr="00A84A0B">
        <w:rPr>
          <w:szCs w:val="22"/>
        </w:rPr>
        <w:t>$</w:t>
      </w:r>
      <w:r w:rsidR="00635385">
        <w:rPr>
          <w:szCs w:val="22"/>
        </w:rPr>
        <w:t>15,000 - $45,000</w:t>
      </w:r>
      <w:r w:rsidRPr="00A84A0B">
        <w:rPr>
          <w:szCs w:val="22"/>
        </w:rPr>
        <w:t xml:space="preserve">/QALY </w:t>
      </w:r>
      <w:r w:rsidR="001E437E" w:rsidRPr="00A84A0B">
        <w:rPr>
          <w:szCs w:val="22"/>
        </w:rPr>
        <w:t xml:space="preserve">for non-squamous NSCLC </w:t>
      </w:r>
      <w:r w:rsidRPr="00A84A0B">
        <w:rPr>
          <w:szCs w:val="22"/>
        </w:rPr>
        <w:t>versus pemetrexed</w:t>
      </w:r>
      <w:r w:rsidR="00E44BE0" w:rsidRPr="00A84A0B">
        <w:rPr>
          <w:szCs w:val="22"/>
        </w:rPr>
        <w:t xml:space="preserve"> </w:t>
      </w:r>
      <w:r w:rsidR="00E44BE0" w:rsidRPr="00A84A0B">
        <w:rPr>
          <w:bCs/>
          <w:szCs w:val="22"/>
        </w:rPr>
        <w:t>(presented in the Pre-PBAC response to the re-submission considered at the November 2016 PBAC meeting)</w:t>
      </w:r>
      <w:r w:rsidR="001E437E" w:rsidRPr="00A84A0B">
        <w:rPr>
          <w:szCs w:val="22"/>
        </w:rPr>
        <w:t>; where the PBAC considered that base case ICER of $</w:t>
      </w:r>
      <w:r w:rsidR="00635385">
        <w:rPr>
          <w:szCs w:val="22"/>
        </w:rPr>
        <w:t>45,000 - $75,000</w:t>
      </w:r>
      <w:r w:rsidR="001E437E" w:rsidRPr="00A84A0B">
        <w:rPr>
          <w:szCs w:val="22"/>
        </w:rPr>
        <w:t xml:space="preserve">/QALY in the </w:t>
      </w:r>
      <w:r w:rsidR="00E44BE0" w:rsidRPr="00A84A0B">
        <w:rPr>
          <w:szCs w:val="22"/>
        </w:rPr>
        <w:t>re-</w:t>
      </w:r>
      <w:r w:rsidR="001E437E" w:rsidRPr="00A84A0B">
        <w:rPr>
          <w:szCs w:val="22"/>
        </w:rPr>
        <w:t xml:space="preserve">submission considered at the </w:t>
      </w:r>
      <w:r w:rsidR="00E44BE0" w:rsidRPr="00A84A0B">
        <w:rPr>
          <w:szCs w:val="22"/>
        </w:rPr>
        <w:t>November</w:t>
      </w:r>
      <w:r w:rsidR="001E437E" w:rsidRPr="00A84A0B">
        <w:rPr>
          <w:szCs w:val="22"/>
        </w:rPr>
        <w:t xml:space="preserve"> 2016 meeting could not be relied upon</w:t>
      </w:r>
      <w:r w:rsidRPr="00A84A0B">
        <w:rPr>
          <w:szCs w:val="22"/>
        </w:rPr>
        <w:t xml:space="preserve"> </w:t>
      </w:r>
      <w:r w:rsidR="001E437E" w:rsidRPr="00A84A0B">
        <w:rPr>
          <w:szCs w:val="22"/>
        </w:rPr>
        <w:t xml:space="preserve">given the concerns regarding the validity of the indirect comparison of nivolumab vs. pemetrexed </w:t>
      </w:r>
      <w:r w:rsidR="00505130" w:rsidRPr="00A84A0B">
        <w:rPr>
          <w:szCs w:val="22"/>
        </w:rPr>
        <w:t>(paragraph</w:t>
      </w:r>
      <w:r w:rsidR="001E437E" w:rsidRPr="00A84A0B">
        <w:rPr>
          <w:szCs w:val="22"/>
        </w:rPr>
        <w:t>s</w:t>
      </w:r>
      <w:r w:rsidR="00505130" w:rsidRPr="00A84A0B">
        <w:rPr>
          <w:szCs w:val="22"/>
        </w:rPr>
        <w:t xml:space="preserve"> </w:t>
      </w:r>
      <w:r w:rsidR="001E437E" w:rsidRPr="00A84A0B">
        <w:rPr>
          <w:szCs w:val="22"/>
        </w:rPr>
        <w:t xml:space="preserve">7.10 and </w:t>
      </w:r>
      <w:r w:rsidR="00505130" w:rsidRPr="00A84A0B">
        <w:rPr>
          <w:szCs w:val="22"/>
        </w:rPr>
        <w:t xml:space="preserve">7.11, 7.07 nivolumab </w:t>
      </w:r>
      <w:r w:rsidR="00635385">
        <w:rPr>
          <w:szCs w:val="22"/>
        </w:rPr>
        <w:t>PSD</w:t>
      </w:r>
      <w:r w:rsidR="00505130" w:rsidRPr="00A84A0B">
        <w:rPr>
          <w:szCs w:val="22"/>
        </w:rPr>
        <w:t>, November 2016)</w:t>
      </w:r>
      <w:r w:rsidR="001F152B" w:rsidRPr="00A84A0B">
        <w:rPr>
          <w:szCs w:val="22"/>
        </w:rPr>
        <w:t>.</w:t>
      </w:r>
    </w:p>
    <w:p w:rsidR="00A95389" w:rsidRPr="00A84A0B" w:rsidRDefault="00A95389" w:rsidP="005939DA">
      <w:pPr>
        <w:rPr>
          <w:rFonts w:ascii="Arial" w:hAnsi="Arial" w:cs="Arial"/>
          <w:sz w:val="22"/>
          <w:szCs w:val="22"/>
        </w:rPr>
      </w:pPr>
    </w:p>
    <w:p w:rsidR="005705B6" w:rsidRPr="00A84A0B" w:rsidRDefault="00957237" w:rsidP="005939DA">
      <w:pPr>
        <w:pStyle w:val="ListParagraph"/>
        <w:widowControl/>
        <w:numPr>
          <w:ilvl w:val="1"/>
          <w:numId w:val="1"/>
        </w:numPr>
        <w:rPr>
          <w:szCs w:val="22"/>
        </w:rPr>
      </w:pPr>
      <w:r w:rsidRPr="00A84A0B">
        <w:rPr>
          <w:szCs w:val="22"/>
        </w:rPr>
        <w:t xml:space="preserve">Alternative approaches to provide the PBAC with assurance that the ICERs estimated in the </w:t>
      </w:r>
      <w:r w:rsidR="00177E70">
        <w:rPr>
          <w:szCs w:val="22"/>
        </w:rPr>
        <w:t>major</w:t>
      </w:r>
      <w:r w:rsidRPr="00A84A0B">
        <w:rPr>
          <w:szCs w:val="22"/>
        </w:rPr>
        <w:t xml:space="preserve"> re-submission</w:t>
      </w:r>
      <w:r w:rsidR="00177E70">
        <w:rPr>
          <w:szCs w:val="22"/>
        </w:rPr>
        <w:t>s</w:t>
      </w:r>
      <w:r w:rsidRPr="00A84A0B">
        <w:rPr>
          <w:szCs w:val="22"/>
        </w:rPr>
        <w:t xml:space="preserve"> considered at the November 2016 PBAC meeting </w:t>
      </w:r>
      <w:r w:rsidR="00505130" w:rsidRPr="00A84A0B">
        <w:rPr>
          <w:szCs w:val="22"/>
        </w:rPr>
        <w:t xml:space="preserve">are achieved </w:t>
      </w:r>
      <w:r w:rsidR="00D32D67" w:rsidRPr="00A84A0B">
        <w:rPr>
          <w:szCs w:val="22"/>
        </w:rPr>
        <w:t>we</w:t>
      </w:r>
      <w:r w:rsidR="00505130" w:rsidRPr="00A84A0B">
        <w:rPr>
          <w:szCs w:val="22"/>
        </w:rPr>
        <w:t>re</w:t>
      </w:r>
      <w:r w:rsidR="005705B6" w:rsidRPr="00A84A0B">
        <w:rPr>
          <w:szCs w:val="22"/>
        </w:rPr>
        <w:t>:</w:t>
      </w:r>
    </w:p>
    <w:p w:rsidR="005705B6" w:rsidRPr="00A84A0B" w:rsidRDefault="005705B6" w:rsidP="005939DA">
      <w:pPr>
        <w:pStyle w:val="ListParagraph"/>
        <w:widowControl/>
        <w:numPr>
          <w:ilvl w:val="0"/>
          <w:numId w:val="19"/>
        </w:numPr>
        <w:ind w:left="993" w:hanging="284"/>
        <w:rPr>
          <w:szCs w:val="22"/>
        </w:rPr>
      </w:pPr>
      <w:r w:rsidRPr="00A84A0B">
        <w:rPr>
          <w:bCs/>
          <w:szCs w:val="22"/>
        </w:rPr>
        <w:t xml:space="preserve">that the cost of </w:t>
      </w:r>
      <w:r w:rsidRPr="00A84A0B">
        <w:rPr>
          <w:szCs w:val="22"/>
        </w:rPr>
        <w:t>nivolumab</w:t>
      </w:r>
      <w:r w:rsidRPr="00A84A0B">
        <w:rPr>
          <w:bCs/>
          <w:szCs w:val="22"/>
        </w:rPr>
        <w:t xml:space="preserve"> should not exceed that of </w:t>
      </w:r>
      <w:r w:rsidR="008C7E0A" w:rsidRPr="00A84A0B">
        <w:rPr>
          <w:bCs/>
          <w:szCs w:val="22"/>
        </w:rPr>
        <w:t xml:space="preserve">the comparators </w:t>
      </w:r>
      <w:r w:rsidRPr="00A84A0B">
        <w:rPr>
          <w:bCs/>
          <w:szCs w:val="22"/>
        </w:rPr>
        <w:t>for the proportion of patients aged 75 years</w:t>
      </w:r>
      <w:r w:rsidR="00671A0A" w:rsidRPr="00A84A0B">
        <w:rPr>
          <w:bCs/>
          <w:szCs w:val="22"/>
        </w:rPr>
        <w:t xml:space="preserve"> or </w:t>
      </w:r>
      <w:r w:rsidR="00851551">
        <w:rPr>
          <w:bCs/>
          <w:szCs w:val="22"/>
        </w:rPr>
        <w:t xml:space="preserve">older </w:t>
      </w:r>
      <w:r w:rsidRPr="00A84A0B">
        <w:rPr>
          <w:bCs/>
          <w:szCs w:val="22"/>
        </w:rPr>
        <w:t xml:space="preserve">as enrolled in the trials (10.7% in Trial CA209-017 </w:t>
      </w:r>
      <w:r w:rsidR="00505130" w:rsidRPr="00A84A0B">
        <w:rPr>
          <w:bCs/>
          <w:szCs w:val="22"/>
        </w:rPr>
        <w:t xml:space="preserve">[squamous NSCLC] </w:t>
      </w:r>
      <w:r w:rsidRPr="00A84A0B">
        <w:rPr>
          <w:bCs/>
          <w:szCs w:val="22"/>
        </w:rPr>
        <w:t>and 7.4% in Trial CA209-057</w:t>
      </w:r>
      <w:r w:rsidR="00505130" w:rsidRPr="00A84A0B">
        <w:rPr>
          <w:bCs/>
          <w:szCs w:val="22"/>
        </w:rPr>
        <w:t xml:space="preserve"> [non-squamous NSCLC]</w:t>
      </w:r>
      <w:r w:rsidRPr="00A84A0B">
        <w:rPr>
          <w:bCs/>
          <w:szCs w:val="22"/>
        </w:rPr>
        <w:t>), as the economic evaluations were presumably based on the ITT populations; or</w:t>
      </w:r>
    </w:p>
    <w:p w:rsidR="0089327A" w:rsidRPr="00A84A0B" w:rsidRDefault="00505130" w:rsidP="005939DA">
      <w:pPr>
        <w:pStyle w:val="ListParagraph"/>
        <w:widowControl/>
        <w:numPr>
          <w:ilvl w:val="0"/>
          <w:numId w:val="19"/>
        </w:numPr>
        <w:ind w:left="993" w:hanging="284"/>
        <w:rPr>
          <w:szCs w:val="22"/>
        </w:rPr>
      </w:pPr>
      <w:r w:rsidRPr="00A84A0B">
        <w:rPr>
          <w:bCs/>
          <w:szCs w:val="22"/>
        </w:rPr>
        <w:t>t</w:t>
      </w:r>
      <w:r w:rsidR="005705B6" w:rsidRPr="00A84A0B">
        <w:rPr>
          <w:bCs/>
          <w:szCs w:val="22"/>
        </w:rPr>
        <w:t xml:space="preserve">hat the cost of </w:t>
      </w:r>
      <w:r w:rsidR="005705B6" w:rsidRPr="00A84A0B">
        <w:rPr>
          <w:szCs w:val="22"/>
        </w:rPr>
        <w:t>nivolumab</w:t>
      </w:r>
      <w:r w:rsidR="005705B6" w:rsidRPr="00A84A0B">
        <w:rPr>
          <w:bCs/>
          <w:szCs w:val="22"/>
        </w:rPr>
        <w:t xml:space="preserve"> not exceed the cost of the comparators for </w:t>
      </w:r>
      <w:r w:rsidR="005705B6" w:rsidRPr="00A84A0B">
        <w:rPr>
          <w:bCs/>
          <w:szCs w:val="22"/>
          <w:u w:val="single"/>
        </w:rPr>
        <w:t>all</w:t>
      </w:r>
      <w:r w:rsidR="005705B6" w:rsidRPr="00A84A0B">
        <w:rPr>
          <w:bCs/>
          <w:szCs w:val="22"/>
        </w:rPr>
        <w:t xml:space="preserve"> patients aged 75 years</w:t>
      </w:r>
      <w:r w:rsidR="00671A0A" w:rsidRPr="00A84A0B">
        <w:rPr>
          <w:bCs/>
          <w:szCs w:val="22"/>
        </w:rPr>
        <w:t xml:space="preserve"> or </w:t>
      </w:r>
      <w:r w:rsidR="00851551">
        <w:rPr>
          <w:bCs/>
          <w:szCs w:val="22"/>
        </w:rPr>
        <w:t xml:space="preserve">older </w:t>
      </w:r>
      <w:r w:rsidR="005705B6" w:rsidRPr="00A84A0B">
        <w:rPr>
          <w:bCs/>
          <w:szCs w:val="22"/>
        </w:rPr>
        <w:t>as the minor re-submission states that “patients aged 75 years</w:t>
      </w:r>
      <w:r w:rsidR="00671A0A" w:rsidRPr="00A84A0B">
        <w:rPr>
          <w:bCs/>
          <w:szCs w:val="22"/>
        </w:rPr>
        <w:t xml:space="preserve"> or </w:t>
      </w:r>
      <w:r w:rsidR="00851551">
        <w:rPr>
          <w:bCs/>
          <w:szCs w:val="22"/>
        </w:rPr>
        <w:t xml:space="preserve">older </w:t>
      </w:r>
      <w:r w:rsidR="005705B6" w:rsidRPr="00A84A0B">
        <w:rPr>
          <w:bCs/>
          <w:szCs w:val="22"/>
        </w:rPr>
        <w:t>derive a similar efficacy benefit compared with docetaxel”.</w:t>
      </w:r>
    </w:p>
    <w:p w:rsidR="000C0E99" w:rsidRPr="00A84A0B" w:rsidRDefault="000C0E99" w:rsidP="005939DA">
      <w:pPr>
        <w:rPr>
          <w:rFonts w:ascii="Arial" w:hAnsi="Arial" w:cs="Arial"/>
          <w:sz w:val="22"/>
          <w:szCs w:val="22"/>
        </w:rPr>
      </w:pPr>
    </w:p>
    <w:p w:rsidR="000C0E99" w:rsidRPr="00A84A0B" w:rsidRDefault="000C0E99" w:rsidP="005939DA">
      <w:pPr>
        <w:pStyle w:val="ListParagraph"/>
        <w:widowControl/>
        <w:numPr>
          <w:ilvl w:val="1"/>
          <w:numId w:val="1"/>
        </w:numPr>
        <w:rPr>
          <w:szCs w:val="22"/>
        </w:rPr>
      </w:pPr>
      <w:r w:rsidRPr="00A84A0B">
        <w:rPr>
          <w:szCs w:val="22"/>
        </w:rPr>
        <w:t xml:space="preserve">The PBAC considered that the proposed RSA for patients aged 75 years or older </w:t>
      </w:r>
      <w:r w:rsidR="00D32D67" w:rsidRPr="00A84A0B">
        <w:rPr>
          <w:szCs w:val="22"/>
        </w:rPr>
        <w:t>as defined in paragraph 6.</w:t>
      </w:r>
      <w:r w:rsidR="0087404B">
        <w:rPr>
          <w:szCs w:val="22"/>
        </w:rPr>
        <w:t>48</w:t>
      </w:r>
      <w:r w:rsidR="00D32D67" w:rsidRPr="00A84A0B">
        <w:rPr>
          <w:szCs w:val="22"/>
        </w:rPr>
        <w:t xml:space="preserve"> </w:t>
      </w:r>
      <w:r w:rsidRPr="00A84A0B">
        <w:rPr>
          <w:szCs w:val="22"/>
        </w:rPr>
        <w:t>would adequately address concerns regarding the comparative effectiveness of nivolumab</w:t>
      </w:r>
      <w:r w:rsidR="00C7268C" w:rsidRPr="00A84A0B">
        <w:rPr>
          <w:szCs w:val="22"/>
        </w:rPr>
        <w:t xml:space="preserve"> in patients 75 years or older.</w:t>
      </w:r>
    </w:p>
    <w:p w:rsidR="00E44BE0" w:rsidRPr="00A84A0B" w:rsidRDefault="00E44BE0" w:rsidP="005939DA">
      <w:pPr>
        <w:rPr>
          <w:rFonts w:ascii="Arial" w:hAnsi="Arial" w:cs="Arial"/>
          <w:sz w:val="22"/>
          <w:szCs w:val="22"/>
        </w:rPr>
      </w:pPr>
    </w:p>
    <w:p w:rsidR="005A3173" w:rsidRPr="00A84A0B" w:rsidRDefault="005A3173" w:rsidP="005939DA">
      <w:pPr>
        <w:pStyle w:val="Heading2"/>
        <w:rPr>
          <w:rFonts w:cs="Arial"/>
          <w:szCs w:val="22"/>
        </w:rPr>
      </w:pPr>
      <w:r w:rsidRPr="00A84A0B">
        <w:rPr>
          <w:rFonts w:cs="Arial"/>
          <w:szCs w:val="22"/>
        </w:rPr>
        <w:t>Economic analysis</w:t>
      </w:r>
    </w:p>
    <w:p w:rsidR="005A3173" w:rsidRPr="00A84A0B" w:rsidRDefault="005A3173" w:rsidP="005939DA">
      <w:pPr>
        <w:pStyle w:val="NoSpacing"/>
        <w:rPr>
          <w:rFonts w:cs="Arial"/>
        </w:rPr>
      </w:pPr>
    </w:p>
    <w:p w:rsidR="005963BB" w:rsidRPr="00A84A0B" w:rsidRDefault="00FF2801" w:rsidP="005939DA">
      <w:pPr>
        <w:pStyle w:val="ListParagraph"/>
        <w:widowControl/>
        <w:numPr>
          <w:ilvl w:val="1"/>
          <w:numId w:val="1"/>
        </w:numPr>
        <w:rPr>
          <w:szCs w:val="22"/>
        </w:rPr>
      </w:pPr>
      <w:r w:rsidRPr="00A84A0B">
        <w:rPr>
          <w:szCs w:val="22"/>
        </w:rPr>
        <w:t>As a minor submission, there wa</w:t>
      </w:r>
      <w:r w:rsidR="009B0F67" w:rsidRPr="00A84A0B">
        <w:rPr>
          <w:szCs w:val="22"/>
        </w:rPr>
        <w:t>s no economic comparison presented</w:t>
      </w:r>
      <w:r w:rsidR="004C0C70" w:rsidRPr="00A84A0B">
        <w:rPr>
          <w:szCs w:val="22"/>
        </w:rPr>
        <w:t>.</w:t>
      </w:r>
    </w:p>
    <w:p w:rsidR="00A55FEE" w:rsidRPr="00A84A0B" w:rsidRDefault="00A55FEE" w:rsidP="005939DA">
      <w:pPr>
        <w:ind w:left="720" w:hanging="720"/>
        <w:jc w:val="both"/>
        <w:rPr>
          <w:rFonts w:ascii="Arial" w:hAnsi="Arial" w:cs="Arial"/>
          <w:sz w:val="22"/>
          <w:szCs w:val="22"/>
        </w:rPr>
      </w:pPr>
    </w:p>
    <w:p w:rsidR="00301CE6" w:rsidRDefault="00301CE6" w:rsidP="005939DA">
      <w:pPr>
        <w:rPr>
          <w:rFonts w:ascii="Arial" w:hAnsi="Arial" w:cs="Arial"/>
          <w:b/>
          <w:i/>
          <w:sz w:val="22"/>
          <w:szCs w:val="22"/>
        </w:rPr>
      </w:pPr>
      <w:r>
        <w:rPr>
          <w:rFonts w:cs="Arial"/>
          <w:szCs w:val="22"/>
        </w:rPr>
        <w:br w:type="page"/>
      </w:r>
    </w:p>
    <w:p w:rsidR="005A3173" w:rsidRPr="00A84A0B" w:rsidRDefault="005A3173" w:rsidP="005939DA">
      <w:pPr>
        <w:pStyle w:val="Heading2"/>
        <w:rPr>
          <w:rFonts w:cs="Arial"/>
          <w:szCs w:val="22"/>
        </w:rPr>
      </w:pPr>
      <w:r w:rsidRPr="00A84A0B">
        <w:rPr>
          <w:rFonts w:cs="Arial"/>
          <w:szCs w:val="22"/>
        </w:rPr>
        <w:lastRenderedPageBreak/>
        <w:t>Estimated PBS usage &amp; financial implications</w:t>
      </w:r>
    </w:p>
    <w:p w:rsidR="005A3173" w:rsidRPr="00A84A0B" w:rsidRDefault="005A3173" w:rsidP="005939DA">
      <w:pPr>
        <w:ind w:left="720" w:hanging="720"/>
        <w:jc w:val="both"/>
        <w:rPr>
          <w:rFonts w:ascii="Arial" w:hAnsi="Arial" w:cs="Arial"/>
          <w:sz w:val="22"/>
          <w:szCs w:val="22"/>
        </w:rPr>
      </w:pPr>
    </w:p>
    <w:p w:rsidR="003559AC" w:rsidRPr="00A84A0B" w:rsidRDefault="00FF2801" w:rsidP="005939DA">
      <w:pPr>
        <w:pStyle w:val="ListParagraph"/>
        <w:widowControl/>
        <w:numPr>
          <w:ilvl w:val="1"/>
          <w:numId w:val="1"/>
        </w:numPr>
        <w:rPr>
          <w:szCs w:val="22"/>
        </w:rPr>
      </w:pPr>
      <w:r w:rsidRPr="00A84A0B">
        <w:rPr>
          <w:szCs w:val="22"/>
        </w:rPr>
        <w:t xml:space="preserve">The minor </w:t>
      </w:r>
      <w:r w:rsidR="00566BCB" w:rsidRPr="00A84A0B">
        <w:rPr>
          <w:szCs w:val="22"/>
        </w:rPr>
        <w:t>re-</w:t>
      </w:r>
      <w:r w:rsidRPr="00A84A0B">
        <w:rPr>
          <w:szCs w:val="22"/>
        </w:rPr>
        <w:t xml:space="preserve">submission </w:t>
      </w:r>
      <w:r w:rsidR="0010090F" w:rsidRPr="00A84A0B">
        <w:rPr>
          <w:szCs w:val="22"/>
        </w:rPr>
        <w:t>proposed a</w:t>
      </w:r>
      <w:r w:rsidR="00DE4242" w:rsidRPr="00A84A0B">
        <w:rPr>
          <w:szCs w:val="22"/>
        </w:rPr>
        <w:t>n</w:t>
      </w:r>
      <w:r w:rsidR="0010090F" w:rsidRPr="00A84A0B">
        <w:rPr>
          <w:szCs w:val="22"/>
        </w:rPr>
        <w:t xml:space="preserve"> RSA which </w:t>
      </w:r>
      <w:r w:rsidR="00A666EE" w:rsidRPr="00A84A0B">
        <w:rPr>
          <w:szCs w:val="22"/>
        </w:rPr>
        <w:t xml:space="preserve">capped the average number of administrations per patient per year at </w:t>
      </w:r>
      <w:r w:rsidR="00653F4E">
        <w:rPr>
          <w:noProof/>
          <w:color w:val="000000"/>
          <w:szCs w:val="22"/>
          <w:highlight w:val="black"/>
        </w:rPr>
        <w:t>''''''</w:t>
      </w:r>
      <w:r w:rsidR="00A666EE" w:rsidRPr="00A84A0B">
        <w:rPr>
          <w:szCs w:val="22"/>
        </w:rPr>
        <w:t>, in</w:t>
      </w:r>
      <w:r w:rsidR="00DE4242" w:rsidRPr="00A84A0B">
        <w:rPr>
          <w:szCs w:val="22"/>
        </w:rPr>
        <w:t xml:space="preserve"> </w:t>
      </w:r>
      <w:r w:rsidR="00A666EE" w:rsidRPr="00A84A0B">
        <w:rPr>
          <w:szCs w:val="22"/>
        </w:rPr>
        <w:t xml:space="preserve">line </w:t>
      </w:r>
      <w:r w:rsidR="00542AAE" w:rsidRPr="00A84A0B">
        <w:rPr>
          <w:szCs w:val="22"/>
        </w:rPr>
        <w:t>with</w:t>
      </w:r>
      <w:r w:rsidR="00A666EE" w:rsidRPr="00A84A0B">
        <w:rPr>
          <w:szCs w:val="22"/>
        </w:rPr>
        <w:t xml:space="preserve"> the PBAC </w:t>
      </w:r>
      <w:r w:rsidR="00635385">
        <w:rPr>
          <w:szCs w:val="22"/>
        </w:rPr>
        <w:t>PSDs</w:t>
      </w:r>
      <w:r w:rsidR="00A666EE" w:rsidRPr="00A84A0B">
        <w:rPr>
          <w:szCs w:val="22"/>
        </w:rPr>
        <w:t xml:space="preserve"> from the November 2016 meeting (</w:t>
      </w:r>
      <w:r w:rsidR="00A77DB1" w:rsidRPr="00A84A0B">
        <w:rPr>
          <w:szCs w:val="22"/>
        </w:rPr>
        <w:t xml:space="preserve">paragraph 7.9, </w:t>
      </w:r>
      <w:r w:rsidR="00A666EE" w:rsidRPr="00A84A0B">
        <w:rPr>
          <w:szCs w:val="22"/>
        </w:rPr>
        <w:t xml:space="preserve">7.06 </w:t>
      </w:r>
      <w:r w:rsidR="00A77DB1" w:rsidRPr="00A84A0B">
        <w:rPr>
          <w:szCs w:val="22"/>
        </w:rPr>
        <w:t xml:space="preserve">nivolumab </w:t>
      </w:r>
      <w:r w:rsidR="00635385">
        <w:rPr>
          <w:szCs w:val="22"/>
        </w:rPr>
        <w:t>PSD</w:t>
      </w:r>
      <w:r w:rsidR="00635385" w:rsidRPr="00A84A0B">
        <w:rPr>
          <w:szCs w:val="22"/>
        </w:rPr>
        <w:t xml:space="preserve"> </w:t>
      </w:r>
      <w:r w:rsidR="00A77DB1" w:rsidRPr="00A84A0B">
        <w:rPr>
          <w:szCs w:val="22"/>
        </w:rPr>
        <w:t xml:space="preserve">and paragraph 7.11, </w:t>
      </w:r>
      <w:r w:rsidR="00A666EE" w:rsidRPr="00A84A0B">
        <w:rPr>
          <w:szCs w:val="22"/>
        </w:rPr>
        <w:t xml:space="preserve">7.07 </w:t>
      </w:r>
      <w:r w:rsidR="00A77DB1" w:rsidRPr="00A84A0B">
        <w:rPr>
          <w:szCs w:val="22"/>
        </w:rPr>
        <w:t xml:space="preserve">nivolumab </w:t>
      </w:r>
      <w:r w:rsidR="00635385">
        <w:rPr>
          <w:szCs w:val="22"/>
        </w:rPr>
        <w:t>PSD</w:t>
      </w:r>
      <w:r w:rsidR="00A77DB1" w:rsidRPr="00A84A0B">
        <w:rPr>
          <w:szCs w:val="22"/>
        </w:rPr>
        <w:t>, November 2016</w:t>
      </w:r>
      <w:r w:rsidR="00A666EE" w:rsidRPr="00A84A0B">
        <w:rPr>
          <w:szCs w:val="22"/>
        </w:rPr>
        <w:t xml:space="preserve">). With a capped average administration of </w:t>
      </w:r>
      <w:r w:rsidR="00653F4E">
        <w:rPr>
          <w:noProof/>
          <w:color w:val="000000"/>
          <w:szCs w:val="22"/>
          <w:highlight w:val="black"/>
        </w:rPr>
        <w:t>'''''''</w:t>
      </w:r>
      <w:r w:rsidR="00A666EE" w:rsidRPr="00A84A0B">
        <w:rPr>
          <w:szCs w:val="22"/>
        </w:rPr>
        <w:t xml:space="preserve"> </w:t>
      </w:r>
      <w:r w:rsidR="003D5F5B" w:rsidRPr="00A84A0B">
        <w:rPr>
          <w:szCs w:val="22"/>
        </w:rPr>
        <w:t xml:space="preserve">infusions </w:t>
      </w:r>
      <w:r w:rsidR="00A666EE" w:rsidRPr="00A84A0B">
        <w:rPr>
          <w:szCs w:val="22"/>
        </w:rPr>
        <w:t xml:space="preserve">per patient per year, the minor </w:t>
      </w:r>
      <w:r w:rsidR="00641F5E" w:rsidRPr="00A84A0B">
        <w:rPr>
          <w:szCs w:val="22"/>
        </w:rPr>
        <w:t>re-</w:t>
      </w:r>
      <w:r w:rsidR="00A666EE" w:rsidRPr="00A84A0B">
        <w:rPr>
          <w:szCs w:val="22"/>
        </w:rPr>
        <w:t xml:space="preserve">submission </w:t>
      </w:r>
      <w:r w:rsidRPr="00A84A0B">
        <w:rPr>
          <w:szCs w:val="22"/>
        </w:rPr>
        <w:t>estimated</w:t>
      </w:r>
      <w:r w:rsidR="00C00DA7" w:rsidRPr="00A84A0B">
        <w:rPr>
          <w:szCs w:val="22"/>
        </w:rPr>
        <w:t xml:space="preserve"> a net cost to the PBS of </w:t>
      </w:r>
      <w:r w:rsidR="00635385">
        <w:rPr>
          <w:szCs w:val="22"/>
        </w:rPr>
        <w:t xml:space="preserve">more than </w:t>
      </w:r>
      <w:r w:rsidR="00C00DA7" w:rsidRPr="00A84A0B">
        <w:rPr>
          <w:szCs w:val="22"/>
        </w:rPr>
        <w:t>$</w:t>
      </w:r>
      <w:r w:rsidR="003559AC" w:rsidRPr="00A84A0B">
        <w:rPr>
          <w:szCs w:val="22"/>
        </w:rPr>
        <w:t>1</w:t>
      </w:r>
      <w:r w:rsidR="00635385">
        <w:rPr>
          <w:szCs w:val="22"/>
        </w:rPr>
        <w:t>00</w:t>
      </w:r>
      <w:r w:rsidR="003559AC" w:rsidRPr="00A84A0B">
        <w:rPr>
          <w:szCs w:val="22"/>
        </w:rPr>
        <w:t xml:space="preserve"> million</w:t>
      </w:r>
      <w:r w:rsidR="00C00DA7" w:rsidRPr="00A84A0B">
        <w:rPr>
          <w:szCs w:val="22"/>
        </w:rPr>
        <w:t xml:space="preserve"> in Year 5 of listing, with a total net cost</w:t>
      </w:r>
      <w:r w:rsidR="003559AC" w:rsidRPr="00A84A0B">
        <w:rPr>
          <w:szCs w:val="22"/>
        </w:rPr>
        <w:t xml:space="preserve"> </w:t>
      </w:r>
      <w:r w:rsidR="00C00DA7" w:rsidRPr="00A84A0B">
        <w:rPr>
          <w:szCs w:val="22"/>
        </w:rPr>
        <w:t>to the PBS of $</w:t>
      </w:r>
      <w:r w:rsidR="00635385">
        <w:rPr>
          <w:szCs w:val="22"/>
        </w:rPr>
        <w:t>more than 100</w:t>
      </w:r>
      <w:r w:rsidR="003559AC" w:rsidRPr="00A84A0B">
        <w:rPr>
          <w:szCs w:val="22"/>
        </w:rPr>
        <w:t xml:space="preserve"> million ov</w:t>
      </w:r>
      <w:r w:rsidR="00C00DA7" w:rsidRPr="00A84A0B">
        <w:rPr>
          <w:szCs w:val="22"/>
        </w:rPr>
        <w:t xml:space="preserve">er the first 5 years of listing. </w:t>
      </w:r>
      <w:r w:rsidR="008F5B45" w:rsidRPr="00A84A0B">
        <w:rPr>
          <w:szCs w:val="22"/>
        </w:rPr>
        <w:t xml:space="preserve">Further details on the estimated PBS usage and financial implications are outlined below </w:t>
      </w:r>
      <w:r w:rsidR="00E205ED" w:rsidRPr="00A84A0B">
        <w:rPr>
          <w:szCs w:val="22"/>
        </w:rPr>
        <w:t>under</w:t>
      </w:r>
      <w:r w:rsidR="008F5B45" w:rsidRPr="00A84A0B">
        <w:rPr>
          <w:szCs w:val="22"/>
        </w:rPr>
        <w:t xml:space="preserve"> </w:t>
      </w:r>
      <w:r w:rsidR="009E5C4C" w:rsidRPr="00A84A0B">
        <w:rPr>
          <w:szCs w:val="22"/>
        </w:rPr>
        <w:t>‘</w:t>
      </w:r>
      <w:r w:rsidR="008F5B45" w:rsidRPr="00A84A0B">
        <w:rPr>
          <w:szCs w:val="22"/>
        </w:rPr>
        <w:t>Risk Shar</w:t>
      </w:r>
      <w:r w:rsidR="00DE4242" w:rsidRPr="00A84A0B">
        <w:rPr>
          <w:szCs w:val="22"/>
        </w:rPr>
        <w:t>ing</w:t>
      </w:r>
      <w:r w:rsidR="008F5B45" w:rsidRPr="00A84A0B">
        <w:rPr>
          <w:szCs w:val="22"/>
        </w:rPr>
        <w:t xml:space="preserve"> Arrangements</w:t>
      </w:r>
      <w:r w:rsidR="009E5C4C" w:rsidRPr="00A84A0B">
        <w:rPr>
          <w:szCs w:val="22"/>
        </w:rPr>
        <w:t>’</w:t>
      </w:r>
      <w:r w:rsidR="00DE4242" w:rsidRPr="00A84A0B">
        <w:rPr>
          <w:szCs w:val="22"/>
        </w:rPr>
        <w:t>.</w:t>
      </w:r>
    </w:p>
    <w:p w:rsidR="00E205ED" w:rsidRPr="00A84A0B" w:rsidRDefault="00E205ED" w:rsidP="005939DA">
      <w:pPr>
        <w:rPr>
          <w:rFonts w:ascii="Arial" w:hAnsi="Arial" w:cs="Arial"/>
          <w:sz w:val="22"/>
          <w:szCs w:val="22"/>
        </w:rPr>
      </w:pPr>
    </w:p>
    <w:p w:rsidR="00E205ED" w:rsidRPr="00A84A0B" w:rsidRDefault="00E205ED" w:rsidP="005939DA">
      <w:pPr>
        <w:pStyle w:val="Heading2"/>
        <w:rPr>
          <w:rFonts w:cs="Arial"/>
          <w:szCs w:val="22"/>
        </w:rPr>
      </w:pPr>
      <w:r w:rsidRPr="00A84A0B">
        <w:rPr>
          <w:rFonts w:cs="Arial"/>
          <w:szCs w:val="22"/>
        </w:rPr>
        <w:t xml:space="preserve">Risk </w:t>
      </w:r>
      <w:r w:rsidR="00681042" w:rsidRPr="00A84A0B">
        <w:rPr>
          <w:rFonts w:cs="Arial"/>
          <w:szCs w:val="22"/>
        </w:rPr>
        <w:t>S</w:t>
      </w:r>
      <w:r w:rsidR="00DE4242" w:rsidRPr="00A84A0B">
        <w:rPr>
          <w:rFonts w:cs="Arial"/>
          <w:szCs w:val="22"/>
        </w:rPr>
        <w:t>haring</w:t>
      </w:r>
      <w:r w:rsidRPr="00A84A0B">
        <w:rPr>
          <w:rFonts w:cs="Arial"/>
          <w:szCs w:val="22"/>
        </w:rPr>
        <w:t xml:space="preserve"> </w:t>
      </w:r>
      <w:r w:rsidR="00681042" w:rsidRPr="00A84A0B">
        <w:rPr>
          <w:rFonts w:cs="Arial"/>
          <w:szCs w:val="22"/>
        </w:rPr>
        <w:t>A</w:t>
      </w:r>
      <w:r w:rsidRPr="00A84A0B">
        <w:rPr>
          <w:rFonts w:cs="Arial"/>
          <w:szCs w:val="22"/>
        </w:rPr>
        <w:t>rrangement</w:t>
      </w:r>
      <w:r w:rsidR="00DE4242" w:rsidRPr="00A84A0B">
        <w:rPr>
          <w:rFonts w:cs="Arial"/>
          <w:szCs w:val="22"/>
        </w:rPr>
        <w:t>s</w:t>
      </w:r>
    </w:p>
    <w:p w:rsidR="00F01A7A" w:rsidRPr="00A84A0B" w:rsidRDefault="00F01A7A" w:rsidP="005939DA">
      <w:pPr>
        <w:jc w:val="both"/>
        <w:rPr>
          <w:rFonts w:ascii="Arial" w:hAnsi="Arial" w:cs="Arial"/>
          <w:sz w:val="22"/>
          <w:szCs w:val="22"/>
        </w:rPr>
      </w:pPr>
    </w:p>
    <w:p w:rsidR="00E205ED" w:rsidRPr="00A84A0B" w:rsidRDefault="00A666EE" w:rsidP="005939DA">
      <w:pPr>
        <w:pStyle w:val="ListParagraph"/>
        <w:widowControl/>
        <w:numPr>
          <w:ilvl w:val="1"/>
          <w:numId w:val="1"/>
        </w:numPr>
        <w:rPr>
          <w:szCs w:val="22"/>
        </w:rPr>
      </w:pPr>
      <w:r w:rsidRPr="00A84A0B">
        <w:rPr>
          <w:szCs w:val="22"/>
        </w:rPr>
        <w:t xml:space="preserve">The minor </w:t>
      </w:r>
      <w:r w:rsidR="00641F5E" w:rsidRPr="00A84A0B">
        <w:rPr>
          <w:szCs w:val="22"/>
        </w:rPr>
        <w:t>re-</w:t>
      </w:r>
      <w:r w:rsidRPr="00A84A0B">
        <w:rPr>
          <w:szCs w:val="22"/>
        </w:rPr>
        <w:t xml:space="preserve">submission </w:t>
      </w:r>
      <w:r w:rsidR="00491868" w:rsidRPr="00A84A0B">
        <w:rPr>
          <w:szCs w:val="22"/>
        </w:rPr>
        <w:t>noted that</w:t>
      </w:r>
      <w:r w:rsidR="0010090F" w:rsidRPr="00A84A0B">
        <w:rPr>
          <w:szCs w:val="22"/>
        </w:rPr>
        <w:t xml:space="preserve"> the proposed RSA</w:t>
      </w:r>
      <w:r w:rsidR="00491868" w:rsidRPr="00A84A0B">
        <w:rPr>
          <w:szCs w:val="22"/>
        </w:rPr>
        <w:t xml:space="preserve"> was not intended to be a complete and final RSA</w:t>
      </w:r>
      <w:r w:rsidRPr="00A84A0B">
        <w:rPr>
          <w:szCs w:val="22"/>
        </w:rPr>
        <w:t>.</w:t>
      </w:r>
    </w:p>
    <w:p w:rsidR="00E205ED" w:rsidRPr="00A84A0B" w:rsidRDefault="00E205ED" w:rsidP="005939DA">
      <w:pPr>
        <w:rPr>
          <w:rFonts w:ascii="Arial" w:hAnsi="Arial" w:cs="Arial"/>
          <w:sz w:val="22"/>
          <w:szCs w:val="22"/>
        </w:rPr>
      </w:pPr>
    </w:p>
    <w:p w:rsidR="00BA2594" w:rsidRPr="00A84A0B" w:rsidRDefault="00A666EE" w:rsidP="005939DA">
      <w:pPr>
        <w:pStyle w:val="ListParagraph"/>
        <w:widowControl/>
        <w:numPr>
          <w:ilvl w:val="1"/>
          <w:numId w:val="1"/>
        </w:numPr>
        <w:rPr>
          <w:szCs w:val="22"/>
        </w:rPr>
      </w:pPr>
      <w:r w:rsidRPr="00A84A0B">
        <w:rPr>
          <w:szCs w:val="22"/>
        </w:rPr>
        <w:t xml:space="preserve">The </w:t>
      </w:r>
      <w:r w:rsidR="00BA2594" w:rsidRPr="00A84A0B">
        <w:rPr>
          <w:szCs w:val="22"/>
        </w:rPr>
        <w:t xml:space="preserve">minor </w:t>
      </w:r>
      <w:r w:rsidR="00641F5E" w:rsidRPr="00A84A0B">
        <w:rPr>
          <w:szCs w:val="22"/>
        </w:rPr>
        <w:t>re-</w:t>
      </w:r>
      <w:r w:rsidR="00BA2594" w:rsidRPr="00A84A0B">
        <w:rPr>
          <w:szCs w:val="22"/>
        </w:rPr>
        <w:t>submission used a stepwise approach to develop an expenditure cap, which it stated could be improved upon in discussions with the Department. The stepwise approach was based upon:</w:t>
      </w:r>
    </w:p>
    <w:p w:rsidR="00BA2594" w:rsidRPr="00A84A0B" w:rsidRDefault="00BA2594" w:rsidP="005939DA">
      <w:pPr>
        <w:pStyle w:val="ListParagraph"/>
        <w:widowControl/>
        <w:numPr>
          <w:ilvl w:val="0"/>
          <w:numId w:val="19"/>
        </w:numPr>
        <w:ind w:left="993" w:hanging="284"/>
        <w:rPr>
          <w:szCs w:val="22"/>
        </w:rPr>
      </w:pPr>
      <w:r w:rsidRPr="00A84A0B">
        <w:rPr>
          <w:szCs w:val="22"/>
        </w:rPr>
        <w:t>limiting the total cost per patient to an ex-manufacturer cost of $</w:t>
      </w:r>
      <w:r w:rsidR="00653F4E">
        <w:rPr>
          <w:noProof/>
          <w:color w:val="000000"/>
          <w:szCs w:val="22"/>
          <w:highlight w:val="black"/>
        </w:rPr>
        <w:t>''''''''''''''''''''''''</w:t>
      </w:r>
      <w:r w:rsidRPr="00A84A0B">
        <w:rPr>
          <w:szCs w:val="22"/>
        </w:rPr>
        <w:t xml:space="preserve">, based on an average of </w:t>
      </w:r>
      <w:r w:rsidR="00653F4E">
        <w:rPr>
          <w:noProof/>
          <w:color w:val="000000"/>
          <w:szCs w:val="22"/>
          <w:highlight w:val="black"/>
        </w:rPr>
        <w:t>'''''</w:t>
      </w:r>
      <w:r w:rsidRPr="00A84A0B">
        <w:rPr>
          <w:szCs w:val="22"/>
        </w:rPr>
        <w:t xml:space="preserve"> </w:t>
      </w:r>
      <w:r w:rsidR="003D5F5B" w:rsidRPr="00A84A0B">
        <w:rPr>
          <w:szCs w:val="22"/>
        </w:rPr>
        <w:t>infusions</w:t>
      </w:r>
      <w:r w:rsidRPr="00A84A0B">
        <w:rPr>
          <w:szCs w:val="22"/>
        </w:rPr>
        <w:t xml:space="preserve"> per patient per year</w:t>
      </w:r>
      <w:r w:rsidR="00C5028B" w:rsidRPr="00A84A0B">
        <w:rPr>
          <w:szCs w:val="22"/>
        </w:rPr>
        <w:t xml:space="preserve"> </w:t>
      </w:r>
      <w:r w:rsidR="00BD643B" w:rsidRPr="00A84A0B">
        <w:rPr>
          <w:szCs w:val="22"/>
        </w:rPr>
        <w:t xml:space="preserve">with a dose of </w:t>
      </w:r>
      <w:r w:rsidR="00C5028B" w:rsidRPr="00A84A0B">
        <w:rPr>
          <w:szCs w:val="22"/>
        </w:rPr>
        <w:t>2 x 100</w:t>
      </w:r>
      <w:r w:rsidR="003D5F5B" w:rsidRPr="00A84A0B">
        <w:rPr>
          <w:szCs w:val="22"/>
        </w:rPr>
        <w:t> </w:t>
      </w:r>
      <w:r w:rsidR="00C5028B" w:rsidRPr="00A84A0B">
        <w:rPr>
          <w:szCs w:val="22"/>
        </w:rPr>
        <w:t>mg vials and 1 x 40</w:t>
      </w:r>
      <w:r w:rsidR="003D5F5B" w:rsidRPr="00A84A0B">
        <w:rPr>
          <w:szCs w:val="22"/>
        </w:rPr>
        <w:t> </w:t>
      </w:r>
      <w:r w:rsidR="00C5028B" w:rsidRPr="00A84A0B">
        <w:rPr>
          <w:szCs w:val="22"/>
        </w:rPr>
        <w:t>mg vials</w:t>
      </w:r>
      <w:r w:rsidRPr="00A84A0B">
        <w:rPr>
          <w:szCs w:val="22"/>
        </w:rPr>
        <w:t>;</w:t>
      </w:r>
    </w:p>
    <w:p w:rsidR="00D55E5F" w:rsidRPr="00A84A0B" w:rsidRDefault="00D55E5F" w:rsidP="005939DA">
      <w:pPr>
        <w:pStyle w:val="ListParagraph"/>
        <w:widowControl/>
        <w:numPr>
          <w:ilvl w:val="0"/>
          <w:numId w:val="19"/>
        </w:numPr>
        <w:ind w:left="993" w:hanging="284"/>
        <w:rPr>
          <w:szCs w:val="22"/>
        </w:rPr>
      </w:pPr>
      <w:r w:rsidRPr="00A84A0B">
        <w:rPr>
          <w:szCs w:val="22"/>
        </w:rPr>
        <w:t>limit</w:t>
      </w:r>
      <w:r w:rsidR="00D10255" w:rsidRPr="00A84A0B">
        <w:rPr>
          <w:szCs w:val="22"/>
        </w:rPr>
        <w:t>ing</w:t>
      </w:r>
      <w:r w:rsidRPr="00A84A0B">
        <w:rPr>
          <w:szCs w:val="22"/>
        </w:rPr>
        <w:t xml:space="preserve"> patient numbers, after increasing the uptake rate for both squamous and non-squamous indications by </w:t>
      </w:r>
      <w:r w:rsidR="00653F4E">
        <w:rPr>
          <w:noProof/>
          <w:color w:val="000000"/>
          <w:szCs w:val="22"/>
          <w:highlight w:val="black"/>
        </w:rPr>
        <w:t>''''</w:t>
      </w:r>
      <w:r w:rsidRPr="00A84A0B">
        <w:rPr>
          <w:szCs w:val="22"/>
        </w:rPr>
        <w:t>%</w:t>
      </w:r>
      <w:r w:rsidR="00F01119" w:rsidRPr="00A84A0B">
        <w:rPr>
          <w:szCs w:val="22"/>
        </w:rPr>
        <w:t xml:space="preserve">. The rationale for the increasing uptake rate assumption by </w:t>
      </w:r>
      <w:r w:rsidR="00653F4E">
        <w:rPr>
          <w:noProof/>
          <w:color w:val="000000"/>
          <w:szCs w:val="22"/>
          <w:highlight w:val="black"/>
        </w:rPr>
        <w:t>''''</w:t>
      </w:r>
      <w:r w:rsidR="00F01119" w:rsidRPr="00A84A0B">
        <w:rPr>
          <w:szCs w:val="22"/>
        </w:rPr>
        <w:t>% was not provided in the minor re-submission, although the minor re-submission stated that this was conservative</w:t>
      </w:r>
      <w:r w:rsidR="00D32D67" w:rsidRPr="00A84A0B">
        <w:rPr>
          <w:szCs w:val="22"/>
        </w:rPr>
        <w:t>;</w:t>
      </w:r>
    </w:p>
    <w:p w:rsidR="00A60167" w:rsidRPr="00A84A0B" w:rsidRDefault="00A60167" w:rsidP="005939DA">
      <w:pPr>
        <w:pStyle w:val="ListParagraph"/>
        <w:widowControl/>
        <w:numPr>
          <w:ilvl w:val="0"/>
          <w:numId w:val="19"/>
        </w:numPr>
        <w:ind w:left="993" w:hanging="284"/>
        <w:rPr>
          <w:szCs w:val="22"/>
        </w:rPr>
      </w:pPr>
      <w:r w:rsidRPr="00A84A0B">
        <w:rPr>
          <w:szCs w:val="22"/>
        </w:rPr>
        <w:t>adjust</w:t>
      </w:r>
      <w:r w:rsidR="00D10255" w:rsidRPr="00A84A0B">
        <w:rPr>
          <w:szCs w:val="22"/>
        </w:rPr>
        <w:t>ing</w:t>
      </w:r>
      <w:r w:rsidRPr="00A84A0B">
        <w:rPr>
          <w:szCs w:val="22"/>
        </w:rPr>
        <w:t xml:space="preserve"> to account for a short duration of therapy for some patients in Year 1 of listing, due to commencement of therapy later in the year of listing</w:t>
      </w:r>
      <w:r w:rsidR="00070A3F" w:rsidRPr="00A84A0B">
        <w:rPr>
          <w:szCs w:val="22"/>
        </w:rPr>
        <w:t xml:space="preserve"> (a rolling approach was used to estimate prescription numbers</w:t>
      </w:r>
      <w:r w:rsidR="00CE6C7A" w:rsidRPr="00A84A0B">
        <w:rPr>
          <w:szCs w:val="22"/>
        </w:rPr>
        <w:t xml:space="preserve"> for patients initiating treatment in months 8 through to 12</w:t>
      </w:r>
      <w:r w:rsidR="00070A3F" w:rsidRPr="00A84A0B">
        <w:rPr>
          <w:szCs w:val="22"/>
        </w:rPr>
        <w:t>)</w:t>
      </w:r>
      <w:r w:rsidR="00A95389" w:rsidRPr="00A84A0B">
        <w:rPr>
          <w:szCs w:val="22"/>
        </w:rPr>
        <w:t>. If this adjustment is applied to all new patients, it should also be applied to grandfathered patients (noting that grandfather patients should receive a minimum of 1 and a maximum of 11 PBS</w:t>
      </w:r>
      <w:r w:rsidR="00A95389" w:rsidRPr="00A84A0B">
        <w:rPr>
          <w:szCs w:val="22"/>
        </w:rPr>
        <w:noBreakHyphen/>
        <w:t>subsidised cycles)</w:t>
      </w:r>
      <w:r w:rsidR="00C03E8A" w:rsidRPr="00A84A0B">
        <w:rPr>
          <w:szCs w:val="22"/>
        </w:rPr>
        <w:t>;</w:t>
      </w:r>
      <w:r w:rsidR="001A14D4" w:rsidRPr="00A84A0B">
        <w:rPr>
          <w:szCs w:val="22"/>
        </w:rPr>
        <w:t xml:space="preserve"> and</w:t>
      </w:r>
    </w:p>
    <w:p w:rsidR="00A666EE" w:rsidRPr="00A84A0B" w:rsidRDefault="006A4051" w:rsidP="005939DA">
      <w:pPr>
        <w:pStyle w:val="ListParagraph"/>
        <w:widowControl/>
        <w:numPr>
          <w:ilvl w:val="0"/>
          <w:numId w:val="19"/>
        </w:numPr>
        <w:ind w:left="993" w:hanging="284"/>
        <w:rPr>
          <w:szCs w:val="22"/>
        </w:rPr>
      </w:pPr>
      <w:r w:rsidRPr="00A84A0B">
        <w:rPr>
          <w:szCs w:val="22"/>
        </w:rPr>
        <w:t>in</w:t>
      </w:r>
      <w:r w:rsidR="00F64637" w:rsidRPr="00A84A0B">
        <w:rPr>
          <w:szCs w:val="22"/>
        </w:rPr>
        <w:t>clu</w:t>
      </w:r>
      <w:r w:rsidR="00D10255" w:rsidRPr="00A84A0B">
        <w:rPr>
          <w:szCs w:val="22"/>
        </w:rPr>
        <w:t xml:space="preserve">ding </w:t>
      </w:r>
      <w:r w:rsidR="00627572">
        <w:rPr>
          <w:szCs w:val="22"/>
        </w:rPr>
        <w:t>less than 10,000</w:t>
      </w:r>
      <w:r w:rsidR="00C03E8A" w:rsidRPr="00A84A0B">
        <w:rPr>
          <w:szCs w:val="22"/>
        </w:rPr>
        <w:t xml:space="preserve"> grandfathered patients in Yea</w:t>
      </w:r>
      <w:r w:rsidR="00A57D73" w:rsidRPr="00A84A0B">
        <w:rPr>
          <w:szCs w:val="22"/>
        </w:rPr>
        <w:t>r</w:t>
      </w:r>
      <w:r w:rsidR="00C03E8A" w:rsidRPr="00A84A0B">
        <w:rPr>
          <w:szCs w:val="22"/>
        </w:rPr>
        <w:t xml:space="preserve"> 1 of listing</w:t>
      </w:r>
      <w:r w:rsidR="00A57D73" w:rsidRPr="00A84A0B">
        <w:rPr>
          <w:szCs w:val="22"/>
        </w:rPr>
        <w:t xml:space="preserve"> </w:t>
      </w:r>
      <w:r w:rsidRPr="00A84A0B">
        <w:rPr>
          <w:szCs w:val="22"/>
        </w:rPr>
        <w:t xml:space="preserve">in the </w:t>
      </w:r>
      <w:r w:rsidR="00D10255" w:rsidRPr="00A84A0B">
        <w:rPr>
          <w:szCs w:val="22"/>
        </w:rPr>
        <w:t xml:space="preserve">financial </w:t>
      </w:r>
      <w:r w:rsidRPr="00A84A0B">
        <w:rPr>
          <w:szCs w:val="22"/>
        </w:rPr>
        <w:t xml:space="preserve">estimates, </w:t>
      </w:r>
      <w:r w:rsidR="00D10255" w:rsidRPr="00A84A0B">
        <w:rPr>
          <w:szCs w:val="22"/>
        </w:rPr>
        <w:t>but</w:t>
      </w:r>
      <w:r w:rsidRPr="00A84A0B">
        <w:rPr>
          <w:szCs w:val="22"/>
        </w:rPr>
        <w:t xml:space="preserve"> excluding these </w:t>
      </w:r>
      <w:r w:rsidR="00A57D73" w:rsidRPr="00A84A0B">
        <w:rPr>
          <w:szCs w:val="22"/>
        </w:rPr>
        <w:t xml:space="preserve">from the </w:t>
      </w:r>
      <w:r w:rsidR="00DD48D5" w:rsidRPr="00A84A0B">
        <w:rPr>
          <w:szCs w:val="22"/>
        </w:rPr>
        <w:t xml:space="preserve">proposed </w:t>
      </w:r>
      <w:r w:rsidR="00A57D73" w:rsidRPr="00A84A0B">
        <w:rPr>
          <w:szCs w:val="22"/>
        </w:rPr>
        <w:t>RSA</w:t>
      </w:r>
      <w:r w:rsidR="00DD48D5" w:rsidRPr="00A84A0B">
        <w:rPr>
          <w:szCs w:val="22"/>
        </w:rPr>
        <w:t xml:space="preserve"> (see </w:t>
      </w:r>
      <w:r w:rsidR="002F48C3" w:rsidRPr="00A84A0B">
        <w:rPr>
          <w:szCs w:val="22"/>
        </w:rPr>
        <w:t xml:space="preserve">Table 8 </w:t>
      </w:r>
      <w:r w:rsidR="00DD48D5" w:rsidRPr="00A84A0B">
        <w:rPr>
          <w:szCs w:val="22"/>
        </w:rPr>
        <w:t>below)</w:t>
      </w:r>
      <w:r w:rsidR="00BA2594" w:rsidRPr="00A84A0B">
        <w:rPr>
          <w:szCs w:val="22"/>
        </w:rPr>
        <w:t>.</w:t>
      </w:r>
      <w:r w:rsidR="00A95389" w:rsidRPr="00A84A0B">
        <w:rPr>
          <w:szCs w:val="22"/>
        </w:rPr>
        <w:t xml:space="preserve"> </w:t>
      </w:r>
      <w:r w:rsidR="00D10255" w:rsidRPr="00A84A0B">
        <w:rPr>
          <w:szCs w:val="22"/>
        </w:rPr>
        <w:t>However, the PBAC considered that i</w:t>
      </w:r>
      <w:r w:rsidR="00A95389" w:rsidRPr="00A84A0B">
        <w:rPr>
          <w:szCs w:val="22"/>
        </w:rPr>
        <w:t xml:space="preserve">t </w:t>
      </w:r>
      <w:r w:rsidR="00DA42A4" w:rsidRPr="00A84A0B">
        <w:rPr>
          <w:szCs w:val="22"/>
        </w:rPr>
        <w:t xml:space="preserve">would be </w:t>
      </w:r>
      <w:r w:rsidR="00A95389" w:rsidRPr="00A84A0B">
        <w:rPr>
          <w:szCs w:val="22"/>
        </w:rPr>
        <w:t xml:space="preserve">inappropriate for the grandfathered patients </w:t>
      </w:r>
      <w:r w:rsidR="00E268B2">
        <w:rPr>
          <w:szCs w:val="22"/>
        </w:rPr>
        <w:t xml:space="preserve">who meet the </w:t>
      </w:r>
      <w:r w:rsidR="007F10FC">
        <w:rPr>
          <w:szCs w:val="22"/>
        </w:rPr>
        <w:t xml:space="preserve">restriction </w:t>
      </w:r>
      <w:r w:rsidR="00A95389" w:rsidRPr="00A84A0B">
        <w:rPr>
          <w:szCs w:val="22"/>
        </w:rPr>
        <w:t>to be excluded from the RSA</w:t>
      </w:r>
      <w:r w:rsidR="00A66A18" w:rsidRPr="00A84A0B">
        <w:rPr>
          <w:szCs w:val="22"/>
        </w:rPr>
        <w:t>.</w:t>
      </w:r>
    </w:p>
    <w:p w:rsidR="00592FC7" w:rsidRPr="00A84A0B" w:rsidRDefault="00592FC7" w:rsidP="005939DA">
      <w:pPr>
        <w:rPr>
          <w:rFonts w:ascii="Arial" w:hAnsi="Arial" w:cs="Arial"/>
          <w:sz w:val="22"/>
          <w:szCs w:val="22"/>
        </w:rPr>
      </w:pPr>
    </w:p>
    <w:p w:rsidR="00CE6C7A" w:rsidRPr="00A84A0B" w:rsidRDefault="00CE6C7A" w:rsidP="005939DA">
      <w:pPr>
        <w:pStyle w:val="ListParagraph"/>
        <w:widowControl/>
        <w:numPr>
          <w:ilvl w:val="1"/>
          <w:numId w:val="1"/>
        </w:numPr>
        <w:rPr>
          <w:szCs w:val="22"/>
        </w:rPr>
      </w:pPr>
      <w:r w:rsidRPr="00A84A0B">
        <w:rPr>
          <w:szCs w:val="22"/>
        </w:rPr>
        <w:t xml:space="preserve">The minor </w:t>
      </w:r>
      <w:r w:rsidR="00641F5E" w:rsidRPr="00A84A0B">
        <w:rPr>
          <w:szCs w:val="22"/>
        </w:rPr>
        <w:t>re-</w:t>
      </w:r>
      <w:r w:rsidRPr="00A84A0B">
        <w:rPr>
          <w:szCs w:val="22"/>
        </w:rPr>
        <w:t xml:space="preserve">submission proposed that should the cost to the PBS exceed the estimates presented, that a rebate of </w:t>
      </w:r>
      <w:r w:rsidRPr="00E200F3">
        <w:rPr>
          <w:szCs w:val="22"/>
        </w:rPr>
        <w:t>100</w:t>
      </w:r>
      <w:r w:rsidRPr="00A84A0B">
        <w:rPr>
          <w:szCs w:val="22"/>
        </w:rPr>
        <w:t>% of the expenditure above the estimate</w:t>
      </w:r>
      <w:r w:rsidR="004734D7" w:rsidRPr="00A84A0B">
        <w:rPr>
          <w:szCs w:val="22"/>
        </w:rPr>
        <w:t>d cap</w:t>
      </w:r>
      <w:r w:rsidRPr="00A84A0B">
        <w:rPr>
          <w:szCs w:val="22"/>
        </w:rPr>
        <w:t xml:space="preserve">s should apply, with the rebate not applying to grandfathered patients. </w:t>
      </w:r>
      <w:r w:rsidR="00F01119" w:rsidRPr="00A84A0B">
        <w:rPr>
          <w:szCs w:val="22"/>
        </w:rPr>
        <w:t xml:space="preserve">It </w:t>
      </w:r>
      <w:r w:rsidR="00C343D5" w:rsidRPr="00A84A0B">
        <w:rPr>
          <w:szCs w:val="22"/>
        </w:rPr>
        <w:t xml:space="preserve">is </w:t>
      </w:r>
      <w:r w:rsidR="00F01119" w:rsidRPr="00A84A0B">
        <w:rPr>
          <w:szCs w:val="22"/>
        </w:rPr>
        <w:t>not appropriate to exclude grandfathered patients from the proposed RSA.</w:t>
      </w:r>
      <w:r w:rsidR="00592FC7" w:rsidRPr="00A84A0B">
        <w:rPr>
          <w:szCs w:val="22"/>
        </w:rPr>
        <w:t xml:space="preserve"> The PBAC </w:t>
      </w:r>
      <w:r w:rsidR="008F3C1F" w:rsidRPr="00A84A0B">
        <w:rPr>
          <w:szCs w:val="22"/>
        </w:rPr>
        <w:t xml:space="preserve">recommended </w:t>
      </w:r>
      <w:r w:rsidR="00592FC7" w:rsidRPr="00A84A0B">
        <w:rPr>
          <w:szCs w:val="22"/>
        </w:rPr>
        <w:t>that the number of grandfathered patients should be included in the cap estimates.</w:t>
      </w:r>
    </w:p>
    <w:p w:rsidR="00F64637" w:rsidRPr="00A84A0B" w:rsidRDefault="00F64637" w:rsidP="005939DA">
      <w:pPr>
        <w:jc w:val="both"/>
        <w:rPr>
          <w:rFonts w:ascii="Arial" w:hAnsi="Arial" w:cs="Arial"/>
          <w:sz w:val="22"/>
          <w:szCs w:val="22"/>
        </w:rPr>
      </w:pPr>
    </w:p>
    <w:p w:rsidR="00CE6C7A" w:rsidRPr="00A84A0B" w:rsidRDefault="00CE6C7A" w:rsidP="005939DA">
      <w:pPr>
        <w:pStyle w:val="ListParagraph"/>
        <w:widowControl/>
        <w:numPr>
          <w:ilvl w:val="1"/>
          <w:numId w:val="1"/>
        </w:numPr>
        <w:rPr>
          <w:szCs w:val="22"/>
        </w:rPr>
      </w:pPr>
      <w:r w:rsidRPr="00A84A0B">
        <w:rPr>
          <w:szCs w:val="22"/>
        </w:rPr>
        <w:t xml:space="preserve">Patient numbers and the maximum cost to the PBS under the proposed RSA </w:t>
      </w:r>
      <w:r w:rsidR="008F3C1F" w:rsidRPr="00A84A0B">
        <w:rPr>
          <w:szCs w:val="22"/>
        </w:rPr>
        <w:t xml:space="preserve">in the minor re-submission </w:t>
      </w:r>
      <w:r w:rsidRPr="00A84A0B">
        <w:rPr>
          <w:szCs w:val="22"/>
        </w:rPr>
        <w:t xml:space="preserve">are presented in Table </w:t>
      </w:r>
      <w:r w:rsidR="002C1AF8" w:rsidRPr="00A84A0B">
        <w:rPr>
          <w:szCs w:val="22"/>
        </w:rPr>
        <w:t>8</w:t>
      </w:r>
      <w:r w:rsidR="008F3C1F" w:rsidRPr="00A84A0B">
        <w:rPr>
          <w:szCs w:val="22"/>
        </w:rPr>
        <w:t>.</w:t>
      </w:r>
    </w:p>
    <w:p w:rsidR="00D34FF6" w:rsidRDefault="00D34FF6" w:rsidP="005939DA">
      <w:pPr>
        <w:rPr>
          <w:rFonts w:ascii="Arial" w:hAnsi="Arial" w:cs="Arial"/>
          <w:sz w:val="22"/>
          <w:szCs w:val="22"/>
        </w:rPr>
      </w:pPr>
      <w:r>
        <w:rPr>
          <w:rFonts w:ascii="Arial" w:hAnsi="Arial" w:cs="Arial"/>
          <w:sz w:val="22"/>
          <w:szCs w:val="22"/>
        </w:rPr>
        <w:br w:type="page"/>
      </w:r>
    </w:p>
    <w:p w:rsidR="00681042" w:rsidRPr="00A84A0B" w:rsidRDefault="00681042" w:rsidP="005939DA">
      <w:pPr>
        <w:rPr>
          <w:rFonts w:ascii="Arial" w:hAnsi="Arial" w:cs="Arial"/>
          <w:sz w:val="22"/>
          <w:szCs w:val="22"/>
        </w:rPr>
      </w:pPr>
    </w:p>
    <w:p w:rsidR="00681042" w:rsidRPr="00A84A0B" w:rsidRDefault="00681042" w:rsidP="005939DA">
      <w:pPr>
        <w:ind w:left="720"/>
        <w:rPr>
          <w:rFonts w:ascii="Arial Narrow" w:hAnsi="Arial Narrow"/>
          <w:b/>
          <w:sz w:val="20"/>
          <w:szCs w:val="20"/>
        </w:rPr>
      </w:pPr>
      <w:r w:rsidRPr="00A84A0B">
        <w:rPr>
          <w:rFonts w:ascii="Arial Narrow" w:hAnsi="Arial Narrow"/>
          <w:b/>
          <w:sz w:val="20"/>
          <w:szCs w:val="20"/>
        </w:rPr>
        <w:t xml:space="preserve">Table </w:t>
      </w:r>
      <w:r w:rsidR="002C1AF8" w:rsidRPr="00A84A0B">
        <w:rPr>
          <w:rFonts w:ascii="Arial Narrow" w:hAnsi="Arial Narrow"/>
          <w:b/>
          <w:sz w:val="20"/>
          <w:szCs w:val="20"/>
        </w:rPr>
        <w:t>8</w:t>
      </w:r>
      <w:r w:rsidRPr="00A84A0B">
        <w:rPr>
          <w:rFonts w:ascii="Arial Narrow" w:hAnsi="Arial Narrow"/>
          <w:b/>
          <w:sz w:val="20"/>
          <w:szCs w:val="20"/>
        </w:rPr>
        <w:t>: Patient numbers including dose-adjustment and grandfathering</w:t>
      </w:r>
    </w:p>
    <w:tbl>
      <w:tblPr>
        <w:tblStyle w:val="TableGrid"/>
        <w:tblW w:w="8363" w:type="dxa"/>
        <w:tblInd w:w="704" w:type="dxa"/>
        <w:shd w:val="clear" w:color="auto" w:fill="FFFFFF" w:themeFill="background1"/>
        <w:tblLayout w:type="fixed"/>
        <w:tblCellMar>
          <w:left w:w="28" w:type="dxa"/>
          <w:right w:w="28" w:type="dxa"/>
        </w:tblCellMar>
        <w:tblLook w:val="04A0" w:firstRow="1" w:lastRow="0" w:firstColumn="1" w:lastColumn="0" w:noHBand="0" w:noVBand="1"/>
        <w:tblCaption w:val="Table 8: Patient numbers including dose-adjustment and grandfathering"/>
      </w:tblPr>
      <w:tblGrid>
        <w:gridCol w:w="2693"/>
        <w:gridCol w:w="1134"/>
        <w:gridCol w:w="1134"/>
        <w:gridCol w:w="1134"/>
        <w:gridCol w:w="1134"/>
        <w:gridCol w:w="1134"/>
      </w:tblGrid>
      <w:tr w:rsidR="00681042" w:rsidRPr="00A84A0B" w:rsidTr="00D34FF6">
        <w:trPr>
          <w:tblHeader/>
        </w:trPr>
        <w:tc>
          <w:tcPr>
            <w:tcW w:w="2693" w:type="dxa"/>
            <w:shd w:val="clear" w:color="auto" w:fill="FFFFFF" w:themeFill="background1"/>
          </w:tcPr>
          <w:p w:rsidR="00681042" w:rsidRPr="00A84A0B" w:rsidRDefault="00681042" w:rsidP="005939DA">
            <w:pPr>
              <w:pStyle w:val="PBACheading10"/>
              <w:contextualSpacing/>
              <w:rPr>
                <w:rFonts w:ascii="Arial Narrow" w:hAnsi="Arial Narrow"/>
                <w:sz w:val="20"/>
                <w:szCs w:val="18"/>
              </w:rPr>
            </w:pPr>
          </w:p>
        </w:tc>
        <w:tc>
          <w:tcPr>
            <w:tcW w:w="1134" w:type="dxa"/>
            <w:shd w:val="clear" w:color="auto" w:fill="FFFFFF" w:themeFill="background1"/>
          </w:tcPr>
          <w:p w:rsidR="00681042" w:rsidRPr="00A84A0B" w:rsidRDefault="00681042" w:rsidP="005939DA">
            <w:pPr>
              <w:pStyle w:val="PBACheading10"/>
              <w:ind w:left="0" w:firstLine="0"/>
              <w:contextualSpacing/>
              <w:jc w:val="center"/>
              <w:rPr>
                <w:rFonts w:ascii="Arial Narrow" w:hAnsi="Arial Narrow"/>
                <w:b/>
                <w:sz w:val="20"/>
                <w:szCs w:val="18"/>
              </w:rPr>
            </w:pPr>
            <w:r w:rsidRPr="00A84A0B">
              <w:rPr>
                <w:rFonts w:ascii="Arial Narrow" w:hAnsi="Arial Narrow"/>
                <w:b/>
                <w:sz w:val="20"/>
                <w:szCs w:val="18"/>
              </w:rPr>
              <w:t>Year 1*</w:t>
            </w:r>
          </w:p>
        </w:tc>
        <w:tc>
          <w:tcPr>
            <w:tcW w:w="1134" w:type="dxa"/>
            <w:shd w:val="clear" w:color="auto" w:fill="FFFFFF" w:themeFill="background1"/>
          </w:tcPr>
          <w:p w:rsidR="00681042" w:rsidRPr="00A84A0B" w:rsidRDefault="00681042" w:rsidP="005939DA">
            <w:pPr>
              <w:pStyle w:val="PBACheading10"/>
              <w:ind w:left="0" w:firstLine="0"/>
              <w:contextualSpacing/>
              <w:jc w:val="center"/>
              <w:rPr>
                <w:rFonts w:ascii="Arial Narrow" w:hAnsi="Arial Narrow"/>
                <w:b/>
                <w:sz w:val="20"/>
                <w:szCs w:val="18"/>
              </w:rPr>
            </w:pPr>
            <w:r w:rsidRPr="00A84A0B">
              <w:rPr>
                <w:rFonts w:ascii="Arial Narrow" w:hAnsi="Arial Narrow"/>
                <w:b/>
                <w:sz w:val="20"/>
                <w:szCs w:val="18"/>
              </w:rPr>
              <w:t>Year 2</w:t>
            </w:r>
          </w:p>
        </w:tc>
        <w:tc>
          <w:tcPr>
            <w:tcW w:w="1134" w:type="dxa"/>
            <w:shd w:val="clear" w:color="auto" w:fill="FFFFFF" w:themeFill="background1"/>
          </w:tcPr>
          <w:p w:rsidR="00681042" w:rsidRPr="00A84A0B" w:rsidRDefault="00681042" w:rsidP="005939DA">
            <w:pPr>
              <w:pStyle w:val="PBACheading10"/>
              <w:contextualSpacing/>
              <w:jc w:val="center"/>
              <w:rPr>
                <w:rFonts w:ascii="Arial Narrow" w:hAnsi="Arial Narrow"/>
                <w:b/>
                <w:sz w:val="20"/>
                <w:szCs w:val="18"/>
              </w:rPr>
            </w:pPr>
            <w:r w:rsidRPr="00A84A0B">
              <w:rPr>
                <w:rFonts w:ascii="Arial Narrow" w:hAnsi="Arial Narrow"/>
                <w:b/>
                <w:sz w:val="20"/>
                <w:szCs w:val="18"/>
              </w:rPr>
              <w:t>Year 3</w:t>
            </w:r>
          </w:p>
        </w:tc>
        <w:tc>
          <w:tcPr>
            <w:tcW w:w="1134" w:type="dxa"/>
            <w:shd w:val="clear" w:color="auto" w:fill="FFFFFF" w:themeFill="background1"/>
          </w:tcPr>
          <w:p w:rsidR="00681042" w:rsidRPr="00A84A0B" w:rsidRDefault="00681042" w:rsidP="005939DA">
            <w:pPr>
              <w:pStyle w:val="PBACheading10"/>
              <w:contextualSpacing/>
              <w:jc w:val="center"/>
              <w:rPr>
                <w:rFonts w:ascii="Arial Narrow" w:hAnsi="Arial Narrow"/>
                <w:b/>
                <w:sz w:val="20"/>
                <w:szCs w:val="18"/>
              </w:rPr>
            </w:pPr>
            <w:r w:rsidRPr="00A84A0B">
              <w:rPr>
                <w:rFonts w:ascii="Arial Narrow" w:hAnsi="Arial Narrow"/>
                <w:b/>
                <w:sz w:val="20"/>
                <w:szCs w:val="18"/>
              </w:rPr>
              <w:t>Year 4</w:t>
            </w:r>
          </w:p>
        </w:tc>
        <w:tc>
          <w:tcPr>
            <w:tcW w:w="1134" w:type="dxa"/>
            <w:shd w:val="clear" w:color="auto" w:fill="FFFFFF" w:themeFill="background1"/>
          </w:tcPr>
          <w:p w:rsidR="00681042" w:rsidRPr="00A84A0B" w:rsidRDefault="00681042" w:rsidP="005939DA">
            <w:pPr>
              <w:pStyle w:val="PBACheading10"/>
              <w:ind w:left="0" w:firstLine="0"/>
              <w:contextualSpacing/>
              <w:jc w:val="center"/>
              <w:rPr>
                <w:rFonts w:ascii="Arial Narrow" w:hAnsi="Arial Narrow"/>
                <w:b/>
                <w:sz w:val="20"/>
                <w:szCs w:val="18"/>
              </w:rPr>
            </w:pPr>
            <w:r w:rsidRPr="00A84A0B">
              <w:rPr>
                <w:rFonts w:ascii="Arial Narrow" w:hAnsi="Arial Narrow"/>
                <w:b/>
                <w:sz w:val="20"/>
                <w:szCs w:val="18"/>
              </w:rPr>
              <w:t>Year 5</w:t>
            </w:r>
          </w:p>
        </w:tc>
      </w:tr>
      <w:tr w:rsidR="00332EB4" w:rsidRPr="00A84A0B" w:rsidTr="00B11293">
        <w:tc>
          <w:tcPr>
            <w:tcW w:w="8363" w:type="dxa"/>
            <w:gridSpan w:val="6"/>
            <w:shd w:val="clear" w:color="auto" w:fill="FFFFFF" w:themeFill="background1"/>
          </w:tcPr>
          <w:p w:rsidR="00332EB4" w:rsidRPr="00A84A0B" w:rsidRDefault="00332EB4" w:rsidP="005939DA">
            <w:pPr>
              <w:pStyle w:val="PBACheading10"/>
              <w:ind w:left="0" w:firstLine="0"/>
              <w:contextualSpacing/>
              <w:rPr>
                <w:rFonts w:ascii="Arial Narrow" w:hAnsi="Arial Narrow"/>
                <w:b/>
                <w:sz w:val="20"/>
                <w:szCs w:val="18"/>
              </w:rPr>
            </w:pPr>
            <w:r w:rsidRPr="00A84A0B">
              <w:rPr>
                <w:rFonts w:ascii="Arial Narrow" w:hAnsi="Arial Narrow"/>
                <w:b/>
                <w:sz w:val="20"/>
                <w:szCs w:val="18"/>
              </w:rPr>
              <w:t>Patient numbers</w:t>
            </w:r>
            <w:r w:rsidR="00233D95" w:rsidRPr="00A84A0B">
              <w:rPr>
                <w:rFonts w:ascii="Arial Narrow" w:hAnsi="Arial Narrow"/>
                <w:b/>
                <w:sz w:val="20"/>
                <w:szCs w:val="18"/>
              </w:rPr>
              <w:t xml:space="preserve"> (including grandfathering)</w:t>
            </w:r>
          </w:p>
        </w:tc>
      </w:tr>
      <w:tr w:rsidR="00681042" w:rsidRPr="00A84A0B" w:rsidTr="00F579C0">
        <w:tc>
          <w:tcPr>
            <w:tcW w:w="2693" w:type="dxa"/>
            <w:shd w:val="clear" w:color="auto" w:fill="FFFFFF" w:themeFill="background1"/>
          </w:tcPr>
          <w:p w:rsidR="00681042" w:rsidRPr="00A84A0B" w:rsidRDefault="00681042" w:rsidP="005939DA">
            <w:pPr>
              <w:pStyle w:val="PBACheading10"/>
              <w:ind w:left="0" w:firstLine="0"/>
              <w:contextualSpacing/>
              <w:rPr>
                <w:rFonts w:ascii="Arial Narrow" w:hAnsi="Arial Narrow"/>
                <w:sz w:val="20"/>
                <w:szCs w:val="18"/>
              </w:rPr>
            </w:pPr>
            <w:r w:rsidRPr="00A84A0B">
              <w:rPr>
                <w:rFonts w:ascii="Arial Narrow" w:hAnsi="Arial Narrow"/>
                <w:sz w:val="20"/>
                <w:szCs w:val="18"/>
              </w:rPr>
              <w:t>Squamous NSCLC patients receiving nivolumab</w:t>
            </w:r>
          </w:p>
        </w:tc>
        <w:tc>
          <w:tcPr>
            <w:tcW w:w="1134" w:type="dxa"/>
            <w:tcBorders>
              <w:top w:val="single" w:sz="4" w:space="0" w:color="auto"/>
            </w:tcBorders>
            <w:shd w:val="clear" w:color="auto" w:fill="FFFFFF" w:themeFill="background1"/>
            <w:vAlign w:val="center"/>
          </w:tcPr>
          <w:p w:rsidR="00681042" w:rsidRPr="00653F4E" w:rsidRDefault="00653F4E" w:rsidP="005939DA">
            <w:pPr>
              <w:pStyle w:val="PBACheading10"/>
              <w:ind w:left="0" w:firstLine="0"/>
              <w:contextualSpacing/>
              <w:jc w:val="center"/>
              <w:rPr>
                <w:rFonts w:ascii="Arial Narrow" w:hAnsi="Arial Narrow"/>
                <w:sz w:val="20"/>
                <w:szCs w:val="18"/>
                <w:highlight w:val="black"/>
              </w:rPr>
            </w:pPr>
            <w:r>
              <w:rPr>
                <w:rFonts w:ascii="Arial Narrow" w:hAnsi="Arial Narrow"/>
                <w:noProof/>
                <w:color w:val="000000"/>
                <w:sz w:val="20"/>
                <w:szCs w:val="18"/>
                <w:highlight w:val="black"/>
              </w:rPr>
              <w:t>''''''''''''</w:t>
            </w:r>
          </w:p>
        </w:tc>
        <w:tc>
          <w:tcPr>
            <w:tcW w:w="1134" w:type="dxa"/>
            <w:tcBorders>
              <w:top w:val="single" w:sz="4" w:space="0" w:color="auto"/>
            </w:tcBorders>
            <w:shd w:val="clear" w:color="auto" w:fill="FFFFFF" w:themeFill="background1"/>
            <w:vAlign w:val="center"/>
          </w:tcPr>
          <w:p w:rsidR="00681042" w:rsidRPr="00653F4E" w:rsidRDefault="00653F4E" w:rsidP="005939DA">
            <w:pPr>
              <w:pStyle w:val="PBACheading10"/>
              <w:ind w:left="0" w:firstLine="0"/>
              <w:contextualSpacing/>
              <w:jc w:val="center"/>
              <w:rPr>
                <w:rFonts w:ascii="Arial Narrow" w:hAnsi="Arial Narrow"/>
                <w:sz w:val="20"/>
                <w:szCs w:val="18"/>
                <w:highlight w:val="black"/>
              </w:rPr>
            </w:pPr>
            <w:r>
              <w:rPr>
                <w:rFonts w:ascii="Arial Narrow" w:hAnsi="Arial Narrow"/>
                <w:noProof/>
                <w:color w:val="000000"/>
                <w:sz w:val="20"/>
                <w:szCs w:val="18"/>
                <w:highlight w:val="black"/>
              </w:rPr>
              <w:t>'''''''''''''</w:t>
            </w:r>
          </w:p>
        </w:tc>
        <w:tc>
          <w:tcPr>
            <w:tcW w:w="1134" w:type="dxa"/>
            <w:tcBorders>
              <w:top w:val="single" w:sz="4" w:space="0" w:color="auto"/>
            </w:tcBorders>
            <w:shd w:val="clear" w:color="auto" w:fill="FFFFFF" w:themeFill="background1"/>
            <w:vAlign w:val="center"/>
          </w:tcPr>
          <w:p w:rsidR="00681042" w:rsidRPr="00653F4E" w:rsidRDefault="00653F4E" w:rsidP="005939DA">
            <w:pPr>
              <w:pStyle w:val="PBACheading10"/>
              <w:ind w:left="0" w:firstLine="0"/>
              <w:contextualSpacing/>
              <w:jc w:val="center"/>
              <w:rPr>
                <w:rFonts w:ascii="Arial Narrow" w:hAnsi="Arial Narrow"/>
                <w:sz w:val="20"/>
                <w:szCs w:val="18"/>
                <w:highlight w:val="black"/>
              </w:rPr>
            </w:pPr>
            <w:r>
              <w:rPr>
                <w:rFonts w:ascii="Arial Narrow" w:hAnsi="Arial Narrow"/>
                <w:noProof/>
                <w:color w:val="000000"/>
                <w:sz w:val="20"/>
                <w:szCs w:val="18"/>
                <w:highlight w:val="black"/>
              </w:rPr>
              <w:t>'''''''''''''</w:t>
            </w:r>
          </w:p>
        </w:tc>
        <w:tc>
          <w:tcPr>
            <w:tcW w:w="1134" w:type="dxa"/>
            <w:tcBorders>
              <w:top w:val="single" w:sz="4" w:space="0" w:color="auto"/>
            </w:tcBorders>
            <w:shd w:val="clear" w:color="auto" w:fill="FFFFFF" w:themeFill="background1"/>
            <w:vAlign w:val="center"/>
          </w:tcPr>
          <w:p w:rsidR="00681042" w:rsidRPr="00653F4E" w:rsidRDefault="00653F4E" w:rsidP="005939DA">
            <w:pPr>
              <w:pStyle w:val="PBACheading10"/>
              <w:ind w:left="0" w:firstLine="0"/>
              <w:contextualSpacing/>
              <w:jc w:val="center"/>
              <w:rPr>
                <w:rFonts w:ascii="Arial Narrow" w:hAnsi="Arial Narrow"/>
                <w:sz w:val="20"/>
                <w:szCs w:val="18"/>
                <w:highlight w:val="black"/>
              </w:rPr>
            </w:pPr>
            <w:r>
              <w:rPr>
                <w:rFonts w:ascii="Arial Narrow" w:hAnsi="Arial Narrow"/>
                <w:noProof/>
                <w:color w:val="000000"/>
                <w:sz w:val="20"/>
                <w:szCs w:val="18"/>
                <w:highlight w:val="black"/>
              </w:rPr>
              <w:t>''''''''''''''</w:t>
            </w:r>
          </w:p>
        </w:tc>
        <w:tc>
          <w:tcPr>
            <w:tcW w:w="1134" w:type="dxa"/>
            <w:tcBorders>
              <w:top w:val="single" w:sz="4" w:space="0" w:color="auto"/>
            </w:tcBorders>
            <w:shd w:val="clear" w:color="auto" w:fill="FFFFFF" w:themeFill="background1"/>
            <w:vAlign w:val="center"/>
          </w:tcPr>
          <w:p w:rsidR="00681042" w:rsidRPr="00653F4E" w:rsidRDefault="00653F4E" w:rsidP="005939DA">
            <w:pPr>
              <w:pStyle w:val="PBACheading10"/>
              <w:ind w:left="0" w:firstLine="0"/>
              <w:contextualSpacing/>
              <w:jc w:val="center"/>
              <w:rPr>
                <w:rFonts w:ascii="Arial Narrow" w:hAnsi="Arial Narrow"/>
                <w:sz w:val="20"/>
                <w:szCs w:val="18"/>
                <w:highlight w:val="black"/>
              </w:rPr>
            </w:pPr>
            <w:r>
              <w:rPr>
                <w:rFonts w:ascii="Arial Narrow" w:hAnsi="Arial Narrow"/>
                <w:noProof/>
                <w:color w:val="000000"/>
                <w:sz w:val="20"/>
                <w:szCs w:val="18"/>
                <w:highlight w:val="black"/>
              </w:rPr>
              <w:t>'''''''''''''</w:t>
            </w:r>
          </w:p>
        </w:tc>
      </w:tr>
      <w:tr w:rsidR="00681042" w:rsidRPr="00A84A0B" w:rsidTr="00F579C0">
        <w:tc>
          <w:tcPr>
            <w:tcW w:w="2693" w:type="dxa"/>
            <w:shd w:val="clear" w:color="auto" w:fill="FFFFFF" w:themeFill="background1"/>
          </w:tcPr>
          <w:p w:rsidR="00681042" w:rsidRPr="00A84A0B" w:rsidRDefault="00681042" w:rsidP="005939DA">
            <w:pPr>
              <w:pStyle w:val="PBACheading10"/>
              <w:ind w:left="0" w:firstLine="0"/>
              <w:contextualSpacing/>
              <w:rPr>
                <w:rFonts w:ascii="Arial Narrow" w:hAnsi="Arial Narrow"/>
                <w:sz w:val="20"/>
                <w:szCs w:val="18"/>
                <w:highlight w:val="red"/>
              </w:rPr>
            </w:pPr>
            <w:r w:rsidRPr="00A84A0B">
              <w:rPr>
                <w:rFonts w:ascii="Arial Narrow" w:hAnsi="Arial Narrow"/>
                <w:sz w:val="20"/>
                <w:szCs w:val="18"/>
              </w:rPr>
              <w:t>Non-squamous NSCLC patients receiving nivolumab</w:t>
            </w:r>
          </w:p>
        </w:tc>
        <w:tc>
          <w:tcPr>
            <w:tcW w:w="1134" w:type="dxa"/>
            <w:tcBorders>
              <w:top w:val="single" w:sz="4" w:space="0" w:color="305496"/>
              <w:left w:val="single" w:sz="4" w:space="0" w:color="305496"/>
              <w:bottom w:val="single" w:sz="4" w:space="0" w:color="305496"/>
              <w:right w:val="single" w:sz="4" w:space="0" w:color="305496"/>
            </w:tcBorders>
            <w:shd w:val="clear" w:color="auto" w:fill="FFFFFF" w:themeFill="background1"/>
            <w:vAlign w:val="center"/>
          </w:tcPr>
          <w:p w:rsidR="00681042" w:rsidRPr="00653F4E" w:rsidRDefault="00653F4E" w:rsidP="005939DA">
            <w:pPr>
              <w:pStyle w:val="PBACheading10"/>
              <w:ind w:left="0" w:firstLine="0"/>
              <w:contextualSpacing/>
              <w:jc w:val="center"/>
              <w:rPr>
                <w:rFonts w:ascii="Arial Narrow" w:hAnsi="Arial Narrow"/>
                <w:bCs/>
                <w:sz w:val="20"/>
                <w:szCs w:val="18"/>
                <w:highlight w:val="black"/>
              </w:rPr>
            </w:pPr>
            <w:r>
              <w:rPr>
                <w:rFonts w:ascii="Arial Narrow" w:hAnsi="Arial Narrow"/>
                <w:bCs/>
                <w:noProof/>
                <w:color w:val="000000"/>
                <w:sz w:val="20"/>
                <w:szCs w:val="18"/>
                <w:highlight w:val="black"/>
              </w:rPr>
              <w:t>''''''''''''''</w:t>
            </w:r>
          </w:p>
        </w:tc>
        <w:tc>
          <w:tcPr>
            <w:tcW w:w="1134" w:type="dxa"/>
            <w:tcBorders>
              <w:top w:val="single" w:sz="4" w:space="0" w:color="305496"/>
              <w:left w:val="nil"/>
              <w:bottom w:val="single" w:sz="4" w:space="0" w:color="305496"/>
              <w:right w:val="single" w:sz="4" w:space="0" w:color="305496"/>
            </w:tcBorders>
            <w:shd w:val="clear" w:color="auto" w:fill="FFFFFF" w:themeFill="background1"/>
            <w:vAlign w:val="center"/>
          </w:tcPr>
          <w:p w:rsidR="00681042" w:rsidRPr="00653F4E" w:rsidRDefault="00653F4E" w:rsidP="005939DA">
            <w:pPr>
              <w:pStyle w:val="PBACheading10"/>
              <w:ind w:left="0" w:firstLine="0"/>
              <w:contextualSpacing/>
              <w:jc w:val="center"/>
              <w:rPr>
                <w:rFonts w:ascii="Arial Narrow" w:hAnsi="Arial Narrow"/>
                <w:bCs/>
                <w:sz w:val="20"/>
                <w:szCs w:val="18"/>
                <w:highlight w:val="black"/>
              </w:rPr>
            </w:pPr>
            <w:r>
              <w:rPr>
                <w:rFonts w:ascii="Arial Narrow" w:hAnsi="Arial Narrow"/>
                <w:bCs/>
                <w:noProof/>
                <w:color w:val="000000"/>
                <w:sz w:val="20"/>
                <w:szCs w:val="18"/>
                <w:highlight w:val="black"/>
              </w:rPr>
              <w:t>'''''''''''''</w:t>
            </w:r>
          </w:p>
        </w:tc>
        <w:tc>
          <w:tcPr>
            <w:tcW w:w="1134" w:type="dxa"/>
            <w:tcBorders>
              <w:top w:val="single" w:sz="4" w:space="0" w:color="305496"/>
              <w:left w:val="nil"/>
              <w:bottom w:val="single" w:sz="4" w:space="0" w:color="305496"/>
              <w:right w:val="single" w:sz="4" w:space="0" w:color="305496"/>
            </w:tcBorders>
            <w:shd w:val="clear" w:color="auto" w:fill="FFFFFF" w:themeFill="background1"/>
            <w:vAlign w:val="center"/>
          </w:tcPr>
          <w:p w:rsidR="00681042" w:rsidRPr="00653F4E" w:rsidRDefault="00653F4E" w:rsidP="005939DA">
            <w:pPr>
              <w:pStyle w:val="PBACheading10"/>
              <w:ind w:left="0" w:firstLine="0"/>
              <w:contextualSpacing/>
              <w:jc w:val="center"/>
              <w:rPr>
                <w:rFonts w:ascii="Arial Narrow" w:hAnsi="Arial Narrow"/>
                <w:bCs/>
                <w:sz w:val="20"/>
                <w:szCs w:val="18"/>
                <w:highlight w:val="black"/>
              </w:rPr>
            </w:pPr>
            <w:r>
              <w:rPr>
                <w:rFonts w:ascii="Arial Narrow" w:hAnsi="Arial Narrow"/>
                <w:bCs/>
                <w:noProof/>
                <w:color w:val="000000"/>
                <w:sz w:val="20"/>
                <w:szCs w:val="18"/>
                <w:highlight w:val="black"/>
              </w:rPr>
              <w:t>'''''''''''''''</w:t>
            </w:r>
          </w:p>
        </w:tc>
        <w:tc>
          <w:tcPr>
            <w:tcW w:w="1134" w:type="dxa"/>
            <w:tcBorders>
              <w:top w:val="single" w:sz="4" w:space="0" w:color="305496"/>
              <w:left w:val="nil"/>
              <w:bottom w:val="single" w:sz="4" w:space="0" w:color="305496"/>
              <w:right w:val="single" w:sz="4" w:space="0" w:color="305496"/>
            </w:tcBorders>
            <w:shd w:val="clear" w:color="auto" w:fill="FFFFFF" w:themeFill="background1"/>
            <w:vAlign w:val="center"/>
          </w:tcPr>
          <w:p w:rsidR="00681042" w:rsidRPr="00653F4E" w:rsidRDefault="00653F4E" w:rsidP="005939DA">
            <w:pPr>
              <w:pStyle w:val="PBACheading10"/>
              <w:ind w:left="0" w:firstLine="0"/>
              <w:contextualSpacing/>
              <w:jc w:val="center"/>
              <w:rPr>
                <w:rFonts w:ascii="Arial Narrow" w:hAnsi="Arial Narrow"/>
                <w:bCs/>
                <w:sz w:val="20"/>
                <w:szCs w:val="18"/>
                <w:highlight w:val="black"/>
              </w:rPr>
            </w:pPr>
            <w:r>
              <w:rPr>
                <w:rFonts w:ascii="Arial Narrow" w:hAnsi="Arial Narrow"/>
                <w:bCs/>
                <w:noProof/>
                <w:color w:val="000000"/>
                <w:sz w:val="20"/>
                <w:szCs w:val="18"/>
                <w:highlight w:val="black"/>
              </w:rPr>
              <w:t>'''''''''''''</w:t>
            </w:r>
          </w:p>
        </w:tc>
        <w:tc>
          <w:tcPr>
            <w:tcW w:w="1134" w:type="dxa"/>
            <w:shd w:val="clear" w:color="auto" w:fill="FFFFFF" w:themeFill="background1"/>
            <w:vAlign w:val="center"/>
          </w:tcPr>
          <w:p w:rsidR="00681042" w:rsidRPr="00653F4E" w:rsidRDefault="00653F4E" w:rsidP="005939DA">
            <w:pPr>
              <w:pStyle w:val="PBACheading10"/>
              <w:ind w:left="0" w:firstLine="0"/>
              <w:contextualSpacing/>
              <w:jc w:val="center"/>
              <w:rPr>
                <w:rFonts w:ascii="Arial Narrow" w:hAnsi="Arial Narrow"/>
                <w:sz w:val="20"/>
                <w:szCs w:val="18"/>
                <w:highlight w:val="black"/>
              </w:rPr>
            </w:pPr>
            <w:r>
              <w:rPr>
                <w:rFonts w:ascii="Arial Narrow" w:hAnsi="Arial Narrow"/>
                <w:noProof/>
                <w:color w:val="000000"/>
                <w:sz w:val="20"/>
                <w:szCs w:val="18"/>
                <w:highlight w:val="black"/>
              </w:rPr>
              <w:t>''''''''''''</w:t>
            </w:r>
          </w:p>
        </w:tc>
      </w:tr>
      <w:tr w:rsidR="00681042" w:rsidRPr="00A84A0B" w:rsidTr="00F579C0">
        <w:trPr>
          <w:trHeight w:val="143"/>
        </w:trPr>
        <w:tc>
          <w:tcPr>
            <w:tcW w:w="2693" w:type="dxa"/>
            <w:shd w:val="clear" w:color="auto" w:fill="FFFFFF" w:themeFill="background1"/>
          </w:tcPr>
          <w:p w:rsidR="00681042" w:rsidRPr="00A84A0B" w:rsidRDefault="00681042" w:rsidP="005939DA">
            <w:pPr>
              <w:rPr>
                <w:rFonts w:ascii="Arial Narrow" w:hAnsi="Arial Narrow" w:cs="Arial"/>
              </w:rPr>
            </w:pPr>
            <w:r w:rsidRPr="00A84A0B">
              <w:rPr>
                <w:rFonts w:ascii="Arial Narrow" w:hAnsi="Arial Narrow" w:cs="Arial"/>
                <w:sz w:val="20"/>
              </w:rPr>
              <w:t xml:space="preserve">TOTAL SQ + NSQ </w:t>
            </w:r>
          </w:p>
        </w:tc>
        <w:tc>
          <w:tcPr>
            <w:tcW w:w="1134" w:type="dxa"/>
            <w:shd w:val="clear" w:color="auto" w:fill="FFFFFF" w:themeFill="background1"/>
            <w:vAlign w:val="center"/>
          </w:tcPr>
          <w:p w:rsidR="00681042" w:rsidRPr="00653F4E" w:rsidRDefault="00653F4E" w:rsidP="005939DA">
            <w:pPr>
              <w:pStyle w:val="PBACheading10"/>
              <w:ind w:left="0" w:firstLine="0"/>
              <w:contextualSpacing/>
              <w:jc w:val="center"/>
              <w:rPr>
                <w:rFonts w:ascii="Arial Narrow" w:hAnsi="Arial Narrow"/>
                <w:b/>
                <w:bCs/>
                <w:sz w:val="20"/>
                <w:szCs w:val="18"/>
                <w:highlight w:val="black"/>
              </w:rPr>
            </w:pPr>
            <w:r>
              <w:rPr>
                <w:rFonts w:ascii="Arial Narrow" w:hAnsi="Arial Narrow"/>
                <w:b/>
                <w:bCs/>
                <w:noProof/>
                <w:color w:val="000000"/>
                <w:sz w:val="20"/>
                <w:szCs w:val="18"/>
                <w:highlight w:val="black"/>
              </w:rPr>
              <w:t>'''''''''''</w:t>
            </w:r>
          </w:p>
        </w:tc>
        <w:tc>
          <w:tcPr>
            <w:tcW w:w="1134" w:type="dxa"/>
            <w:shd w:val="clear" w:color="auto" w:fill="FFFFFF" w:themeFill="background1"/>
            <w:vAlign w:val="center"/>
          </w:tcPr>
          <w:p w:rsidR="00681042" w:rsidRPr="00653F4E" w:rsidRDefault="00653F4E" w:rsidP="005939DA">
            <w:pPr>
              <w:pStyle w:val="PBACheading10"/>
              <w:ind w:left="0" w:firstLine="0"/>
              <w:contextualSpacing/>
              <w:jc w:val="center"/>
              <w:rPr>
                <w:rFonts w:ascii="Arial Narrow" w:hAnsi="Arial Narrow"/>
                <w:b/>
                <w:bCs/>
                <w:sz w:val="20"/>
                <w:szCs w:val="18"/>
                <w:highlight w:val="black"/>
              </w:rPr>
            </w:pPr>
            <w:r>
              <w:rPr>
                <w:rFonts w:ascii="Arial Narrow" w:hAnsi="Arial Narrow"/>
                <w:b/>
                <w:bCs/>
                <w:noProof/>
                <w:color w:val="000000"/>
                <w:sz w:val="20"/>
                <w:szCs w:val="18"/>
                <w:highlight w:val="black"/>
              </w:rPr>
              <w:t>''''''''''</w:t>
            </w:r>
          </w:p>
        </w:tc>
        <w:tc>
          <w:tcPr>
            <w:tcW w:w="1134" w:type="dxa"/>
            <w:shd w:val="clear" w:color="auto" w:fill="FFFFFF" w:themeFill="background1"/>
            <w:vAlign w:val="center"/>
          </w:tcPr>
          <w:p w:rsidR="00681042" w:rsidRPr="00653F4E" w:rsidRDefault="00653F4E" w:rsidP="005939DA">
            <w:pPr>
              <w:pStyle w:val="PBACheading10"/>
              <w:ind w:left="0" w:firstLine="0"/>
              <w:contextualSpacing/>
              <w:jc w:val="center"/>
              <w:rPr>
                <w:rFonts w:ascii="Arial Narrow" w:hAnsi="Arial Narrow"/>
                <w:b/>
                <w:bCs/>
                <w:sz w:val="20"/>
                <w:szCs w:val="18"/>
                <w:highlight w:val="black"/>
              </w:rPr>
            </w:pPr>
            <w:r>
              <w:rPr>
                <w:rFonts w:ascii="Arial Narrow" w:hAnsi="Arial Narrow"/>
                <w:b/>
                <w:bCs/>
                <w:noProof/>
                <w:color w:val="000000"/>
                <w:sz w:val="20"/>
                <w:szCs w:val="18"/>
                <w:highlight w:val="black"/>
              </w:rPr>
              <w:t>''''''''''''</w:t>
            </w:r>
          </w:p>
        </w:tc>
        <w:tc>
          <w:tcPr>
            <w:tcW w:w="1134" w:type="dxa"/>
            <w:shd w:val="clear" w:color="auto" w:fill="FFFFFF" w:themeFill="background1"/>
            <w:vAlign w:val="center"/>
          </w:tcPr>
          <w:p w:rsidR="00681042" w:rsidRPr="00653F4E" w:rsidRDefault="00653F4E" w:rsidP="005939DA">
            <w:pPr>
              <w:pStyle w:val="PBACheading10"/>
              <w:ind w:left="0" w:firstLine="0"/>
              <w:contextualSpacing/>
              <w:jc w:val="center"/>
              <w:rPr>
                <w:rFonts w:ascii="Arial Narrow" w:hAnsi="Arial Narrow"/>
                <w:b/>
                <w:bCs/>
                <w:sz w:val="20"/>
                <w:szCs w:val="18"/>
                <w:highlight w:val="black"/>
              </w:rPr>
            </w:pPr>
            <w:r>
              <w:rPr>
                <w:rFonts w:ascii="Arial Narrow" w:hAnsi="Arial Narrow"/>
                <w:b/>
                <w:bCs/>
                <w:noProof/>
                <w:color w:val="000000"/>
                <w:sz w:val="20"/>
                <w:szCs w:val="18"/>
                <w:highlight w:val="black"/>
              </w:rPr>
              <w:t>'''''''''''</w:t>
            </w:r>
          </w:p>
        </w:tc>
        <w:tc>
          <w:tcPr>
            <w:tcW w:w="1134" w:type="dxa"/>
            <w:shd w:val="clear" w:color="auto" w:fill="FFFFFF" w:themeFill="background1"/>
            <w:vAlign w:val="center"/>
          </w:tcPr>
          <w:p w:rsidR="00681042" w:rsidRPr="00653F4E" w:rsidRDefault="00653F4E" w:rsidP="005939DA">
            <w:pPr>
              <w:pStyle w:val="PBACheading10"/>
              <w:ind w:left="0" w:firstLine="0"/>
              <w:contextualSpacing/>
              <w:jc w:val="center"/>
              <w:rPr>
                <w:rFonts w:ascii="Arial Narrow" w:hAnsi="Arial Narrow"/>
                <w:b/>
                <w:sz w:val="20"/>
                <w:szCs w:val="18"/>
                <w:highlight w:val="black"/>
              </w:rPr>
            </w:pPr>
            <w:r>
              <w:rPr>
                <w:rFonts w:ascii="Arial Narrow" w:hAnsi="Arial Narrow"/>
                <w:b/>
                <w:noProof/>
                <w:color w:val="000000"/>
                <w:sz w:val="20"/>
                <w:szCs w:val="18"/>
                <w:highlight w:val="black"/>
              </w:rPr>
              <w:t>''''''''''</w:t>
            </w:r>
          </w:p>
        </w:tc>
      </w:tr>
      <w:tr w:rsidR="00332EB4" w:rsidRPr="00A84A0B" w:rsidTr="00B11293">
        <w:trPr>
          <w:trHeight w:val="143"/>
        </w:trPr>
        <w:tc>
          <w:tcPr>
            <w:tcW w:w="8363" w:type="dxa"/>
            <w:gridSpan w:val="6"/>
            <w:shd w:val="clear" w:color="auto" w:fill="FFFFFF" w:themeFill="background1"/>
          </w:tcPr>
          <w:p w:rsidR="00332EB4" w:rsidRPr="00A84A0B" w:rsidRDefault="00332EB4" w:rsidP="005939DA">
            <w:pPr>
              <w:pStyle w:val="PBACheading10"/>
              <w:ind w:left="0" w:firstLine="0"/>
              <w:contextualSpacing/>
              <w:rPr>
                <w:rFonts w:ascii="Arial Narrow" w:hAnsi="Arial Narrow"/>
                <w:b/>
                <w:sz w:val="20"/>
                <w:szCs w:val="18"/>
              </w:rPr>
            </w:pPr>
            <w:r w:rsidRPr="00A84A0B">
              <w:rPr>
                <w:rFonts w:ascii="Arial Narrow" w:hAnsi="Arial Narrow"/>
                <w:b/>
                <w:sz w:val="20"/>
                <w:szCs w:val="20"/>
              </w:rPr>
              <w:t xml:space="preserve">Maximum cost to the PBS for nivolumab under the proposed </w:t>
            </w:r>
            <w:r w:rsidR="00DE4242" w:rsidRPr="00A84A0B">
              <w:rPr>
                <w:rFonts w:ascii="Arial Narrow" w:hAnsi="Arial Narrow"/>
                <w:b/>
                <w:sz w:val="20"/>
                <w:szCs w:val="20"/>
              </w:rPr>
              <w:t>r</w:t>
            </w:r>
            <w:r w:rsidRPr="00A84A0B">
              <w:rPr>
                <w:rFonts w:ascii="Arial Narrow" w:hAnsi="Arial Narrow"/>
                <w:b/>
                <w:sz w:val="20"/>
                <w:szCs w:val="20"/>
              </w:rPr>
              <w:t xml:space="preserve">isk </w:t>
            </w:r>
            <w:r w:rsidR="00DE4242" w:rsidRPr="00A84A0B">
              <w:rPr>
                <w:rFonts w:ascii="Arial Narrow" w:hAnsi="Arial Narrow"/>
                <w:b/>
                <w:sz w:val="20"/>
                <w:szCs w:val="20"/>
              </w:rPr>
              <w:t>s</w:t>
            </w:r>
            <w:r w:rsidRPr="00A84A0B">
              <w:rPr>
                <w:rFonts w:ascii="Arial Narrow" w:hAnsi="Arial Narrow"/>
                <w:b/>
                <w:sz w:val="20"/>
                <w:szCs w:val="20"/>
              </w:rPr>
              <w:t>har</w:t>
            </w:r>
            <w:r w:rsidR="00DE4242" w:rsidRPr="00A84A0B">
              <w:rPr>
                <w:rFonts w:ascii="Arial Narrow" w:hAnsi="Arial Narrow"/>
                <w:b/>
                <w:sz w:val="20"/>
                <w:szCs w:val="20"/>
              </w:rPr>
              <w:t>ing</w:t>
            </w:r>
            <w:r w:rsidRPr="00A84A0B">
              <w:rPr>
                <w:rFonts w:ascii="Arial Narrow" w:hAnsi="Arial Narrow"/>
                <w:b/>
                <w:sz w:val="20"/>
                <w:szCs w:val="20"/>
              </w:rPr>
              <w:t xml:space="preserve"> </w:t>
            </w:r>
            <w:r w:rsidR="00DE4242" w:rsidRPr="00A84A0B">
              <w:rPr>
                <w:rFonts w:ascii="Arial Narrow" w:hAnsi="Arial Narrow"/>
                <w:b/>
                <w:sz w:val="20"/>
                <w:szCs w:val="20"/>
              </w:rPr>
              <w:t>a</w:t>
            </w:r>
            <w:r w:rsidRPr="00A84A0B">
              <w:rPr>
                <w:rFonts w:ascii="Arial Narrow" w:hAnsi="Arial Narrow"/>
                <w:b/>
                <w:sz w:val="20"/>
                <w:szCs w:val="20"/>
              </w:rPr>
              <w:t>rrangement, including grandfathered patients</w:t>
            </w:r>
            <w:r w:rsidR="00B11293" w:rsidRPr="00A84A0B">
              <w:rPr>
                <w:rFonts w:ascii="Arial Narrow" w:hAnsi="Arial Narrow"/>
                <w:b/>
                <w:sz w:val="20"/>
                <w:szCs w:val="20"/>
              </w:rPr>
              <w:t>**</w:t>
            </w:r>
          </w:p>
        </w:tc>
      </w:tr>
      <w:tr w:rsidR="00332EB4" w:rsidRPr="00A84A0B" w:rsidTr="00B11293">
        <w:trPr>
          <w:trHeight w:val="143"/>
        </w:trPr>
        <w:tc>
          <w:tcPr>
            <w:tcW w:w="2693" w:type="dxa"/>
            <w:shd w:val="clear" w:color="auto" w:fill="FFFFFF" w:themeFill="background1"/>
          </w:tcPr>
          <w:p w:rsidR="00332EB4" w:rsidRPr="00A84A0B" w:rsidRDefault="00332EB4" w:rsidP="005939DA">
            <w:pPr>
              <w:rPr>
                <w:rFonts w:ascii="Arial Narrow" w:hAnsi="Arial Narrow" w:cs="Arial"/>
                <w:sz w:val="20"/>
              </w:rPr>
            </w:pPr>
            <w:r w:rsidRPr="00A84A0B">
              <w:rPr>
                <w:rFonts w:ascii="Arial Narrow" w:hAnsi="Arial Narrow"/>
                <w:sz w:val="20"/>
                <w:szCs w:val="20"/>
              </w:rPr>
              <w:t>Squamous NSCLC</w:t>
            </w:r>
          </w:p>
        </w:tc>
        <w:tc>
          <w:tcPr>
            <w:tcW w:w="1134" w:type="dxa"/>
            <w:shd w:val="clear" w:color="auto" w:fill="FFFFFF" w:themeFill="background1"/>
          </w:tcPr>
          <w:p w:rsidR="00332EB4" w:rsidRPr="00A84A0B" w:rsidRDefault="00332EB4" w:rsidP="005939DA">
            <w:pPr>
              <w:pStyle w:val="PBACheading10"/>
              <w:ind w:left="0" w:firstLine="0"/>
              <w:contextualSpacing/>
              <w:jc w:val="center"/>
              <w:rPr>
                <w:rFonts w:ascii="Arial Narrow" w:hAnsi="Arial Narrow"/>
                <w:b/>
                <w:bCs/>
                <w:sz w:val="20"/>
                <w:szCs w:val="18"/>
              </w:rPr>
            </w:pPr>
            <w:r w:rsidRPr="00A84A0B">
              <w:rPr>
                <w:rFonts w:ascii="Arial Narrow" w:hAnsi="Arial Narrow"/>
                <w:sz w:val="20"/>
                <w:szCs w:val="20"/>
              </w:rPr>
              <w:t>$</w:t>
            </w:r>
            <w:r w:rsidR="00653F4E">
              <w:rPr>
                <w:rFonts w:ascii="Arial Narrow" w:hAnsi="Arial Narrow"/>
                <w:noProof/>
                <w:color w:val="000000"/>
                <w:sz w:val="20"/>
                <w:szCs w:val="20"/>
                <w:highlight w:val="black"/>
              </w:rPr>
              <w:t>'''''''''' ''''</w:t>
            </w:r>
          </w:p>
        </w:tc>
        <w:tc>
          <w:tcPr>
            <w:tcW w:w="1134" w:type="dxa"/>
            <w:shd w:val="clear" w:color="auto" w:fill="FFFFFF" w:themeFill="background1"/>
          </w:tcPr>
          <w:p w:rsidR="00332EB4" w:rsidRPr="00A84A0B" w:rsidRDefault="00332EB4" w:rsidP="005939DA">
            <w:pPr>
              <w:pStyle w:val="PBACheading10"/>
              <w:ind w:left="0" w:firstLine="0"/>
              <w:contextualSpacing/>
              <w:jc w:val="center"/>
              <w:rPr>
                <w:rFonts w:ascii="Arial Narrow" w:hAnsi="Arial Narrow"/>
                <w:b/>
                <w:bCs/>
                <w:sz w:val="20"/>
                <w:szCs w:val="18"/>
              </w:rPr>
            </w:pPr>
            <w:r w:rsidRPr="00A84A0B">
              <w:rPr>
                <w:rFonts w:ascii="Arial Narrow" w:hAnsi="Arial Narrow"/>
                <w:sz w:val="20"/>
                <w:szCs w:val="20"/>
              </w:rPr>
              <w:t>$</w:t>
            </w:r>
            <w:r w:rsidR="00653F4E">
              <w:rPr>
                <w:rFonts w:ascii="Arial Narrow" w:hAnsi="Arial Narrow"/>
                <w:noProof/>
                <w:color w:val="000000"/>
                <w:sz w:val="20"/>
                <w:szCs w:val="20"/>
                <w:highlight w:val="black"/>
              </w:rPr>
              <w:t>'''''''''' ''''</w:t>
            </w:r>
          </w:p>
        </w:tc>
        <w:tc>
          <w:tcPr>
            <w:tcW w:w="1134" w:type="dxa"/>
            <w:shd w:val="clear" w:color="auto" w:fill="FFFFFF" w:themeFill="background1"/>
          </w:tcPr>
          <w:p w:rsidR="00332EB4" w:rsidRPr="00A84A0B" w:rsidRDefault="00332EB4" w:rsidP="005939DA">
            <w:pPr>
              <w:pStyle w:val="PBACheading10"/>
              <w:ind w:left="0" w:firstLine="0"/>
              <w:contextualSpacing/>
              <w:jc w:val="center"/>
              <w:rPr>
                <w:rFonts w:ascii="Arial Narrow" w:hAnsi="Arial Narrow"/>
                <w:b/>
                <w:bCs/>
                <w:sz w:val="20"/>
                <w:szCs w:val="18"/>
              </w:rPr>
            </w:pPr>
            <w:r w:rsidRPr="00A84A0B">
              <w:rPr>
                <w:rFonts w:ascii="Arial Narrow" w:hAnsi="Arial Narrow"/>
                <w:sz w:val="20"/>
                <w:szCs w:val="20"/>
              </w:rPr>
              <w:t>$</w:t>
            </w:r>
            <w:r w:rsidR="00653F4E">
              <w:rPr>
                <w:rFonts w:ascii="Arial Narrow" w:hAnsi="Arial Narrow"/>
                <w:noProof/>
                <w:color w:val="000000"/>
                <w:sz w:val="20"/>
                <w:szCs w:val="20"/>
                <w:highlight w:val="black"/>
              </w:rPr>
              <w:t>''''''''''' ''''</w:t>
            </w:r>
          </w:p>
        </w:tc>
        <w:tc>
          <w:tcPr>
            <w:tcW w:w="1134" w:type="dxa"/>
            <w:shd w:val="clear" w:color="auto" w:fill="FFFFFF" w:themeFill="background1"/>
          </w:tcPr>
          <w:p w:rsidR="00332EB4" w:rsidRPr="00A84A0B" w:rsidRDefault="00332EB4" w:rsidP="005939DA">
            <w:pPr>
              <w:pStyle w:val="PBACheading10"/>
              <w:ind w:left="0" w:firstLine="0"/>
              <w:contextualSpacing/>
              <w:jc w:val="center"/>
              <w:rPr>
                <w:rFonts w:ascii="Arial Narrow" w:hAnsi="Arial Narrow"/>
                <w:b/>
                <w:bCs/>
                <w:sz w:val="20"/>
                <w:szCs w:val="18"/>
              </w:rPr>
            </w:pPr>
            <w:r w:rsidRPr="00A84A0B">
              <w:rPr>
                <w:rFonts w:ascii="Arial Narrow" w:hAnsi="Arial Narrow"/>
                <w:sz w:val="20"/>
                <w:szCs w:val="20"/>
              </w:rPr>
              <w:t>$</w:t>
            </w:r>
            <w:r w:rsidR="00653F4E">
              <w:rPr>
                <w:rFonts w:ascii="Arial Narrow" w:hAnsi="Arial Narrow"/>
                <w:noProof/>
                <w:color w:val="000000"/>
                <w:sz w:val="20"/>
                <w:szCs w:val="20"/>
                <w:highlight w:val="black"/>
              </w:rPr>
              <w:t>'''''''''' ''''</w:t>
            </w:r>
          </w:p>
        </w:tc>
        <w:tc>
          <w:tcPr>
            <w:tcW w:w="1134" w:type="dxa"/>
            <w:shd w:val="clear" w:color="auto" w:fill="FFFFFF" w:themeFill="background1"/>
          </w:tcPr>
          <w:p w:rsidR="00332EB4" w:rsidRPr="00A84A0B" w:rsidRDefault="00332EB4" w:rsidP="005939DA">
            <w:pPr>
              <w:pStyle w:val="PBACheading10"/>
              <w:ind w:left="0" w:firstLine="0"/>
              <w:contextualSpacing/>
              <w:jc w:val="center"/>
              <w:rPr>
                <w:rFonts w:ascii="Arial Narrow" w:hAnsi="Arial Narrow"/>
                <w:b/>
                <w:sz w:val="20"/>
                <w:szCs w:val="18"/>
              </w:rPr>
            </w:pPr>
            <w:r w:rsidRPr="00A84A0B">
              <w:rPr>
                <w:rFonts w:ascii="Arial Narrow" w:hAnsi="Arial Narrow"/>
                <w:sz w:val="20"/>
                <w:szCs w:val="20"/>
              </w:rPr>
              <w:t>$</w:t>
            </w:r>
            <w:r w:rsidR="00653F4E">
              <w:rPr>
                <w:rFonts w:ascii="Arial Narrow" w:hAnsi="Arial Narrow"/>
                <w:noProof/>
                <w:color w:val="000000"/>
                <w:sz w:val="20"/>
                <w:szCs w:val="20"/>
                <w:highlight w:val="black"/>
              </w:rPr>
              <w:t>'''''''''' ''''</w:t>
            </w:r>
          </w:p>
        </w:tc>
      </w:tr>
      <w:tr w:rsidR="00332EB4" w:rsidRPr="00A84A0B" w:rsidTr="00F579C0">
        <w:trPr>
          <w:trHeight w:val="143"/>
        </w:trPr>
        <w:tc>
          <w:tcPr>
            <w:tcW w:w="2693" w:type="dxa"/>
            <w:shd w:val="clear" w:color="auto" w:fill="FFFFFF" w:themeFill="background1"/>
          </w:tcPr>
          <w:p w:rsidR="00332EB4" w:rsidRPr="00A84A0B" w:rsidRDefault="00332EB4" w:rsidP="005939DA">
            <w:pPr>
              <w:rPr>
                <w:rFonts w:ascii="Arial Narrow" w:hAnsi="Arial Narrow" w:cs="Arial"/>
                <w:sz w:val="20"/>
              </w:rPr>
            </w:pPr>
            <w:r w:rsidRPr="00A84A0B">
              <w:rPr>
                <w:rFonts w:ascii="Arial Narrow" w:hAnsi="Arial Narrow"/>
                <w:sz w:val="20"/>
                <w:szCs w:val="20"/>
              </w:rPr>
              <w:t>Non-squamous NSCLC</w:t>
            </w:r>
          </w:p>
        </w:tc>
        <w:tc>
          <w:tcPr>
            <w:tcW w:w="1134" w:type="dxa"/>
            <w:shd w:val="clear" w:color="auto" w:fill="FFFFFF" w:themeFill="background1"/>
            <w:vAlign w:val="center"/>
          </w:tcPr>
          <w:p w:rsidR="00332EB4" w:rsidRPr="00A84A0B" w:rsidRDefault="00B11293" w:rsidP="005939DA">
            <w:pPr>
              <w:pStyle w:val="PBACheading10"/>
              <w:ind w:left="0" w:firstLine="0"/>
              <w:contextualSpacing/>
              <w:jc w:val="center"/>
              <w:rPr>
                <w:rFonts w:ascii="Arial Narrow" w:hAnsi="Arial Narrow"/>
                <w:b/>
                <w:bCs/>
                <w:sz w:val="20"/>
                <w:szCs w:val="18"/>
              </w:rPr>
            </w:pPr>
            <w:r w:rsidRPr="00A84A0B">
              <w:rPr>
                <w:rFonts w:ascii="Arial Narrow" w:hAnsi="Arial Narrow"/>
                <w:bCs/>
                <w:sz w:val="20"/>
                <w:szCs w:val="20"/>
              </w:rPr>
              <w:t>$</w:t>
            </w:r>
            <w:r w:rsidR="00653F4E">
              <w:rPr>
                <w:rFonts w:ascii="Arial Narrow" w:hAnsi="Arial Narrow"/>
                <w:bCs/>
                <w:noProof/>
                <w:color w:val="000000"/>
                <w:sz w:val="20"/>
                <w:szCs w:val="20"/>
                <w:highlight w:val="black"/>
              </w:rPr>
              <w:t>''''''''''' '''''</w:t>
            </w:r>
          </w:p>
        </w:tc>
        <w:tc>
          <w:tcPr>
            <w:tcW w:w="1134" w:type="dxa"/>
            <w:shd w:val="clear" w:color="auto" w:fill="FFFFFF" w:themeFill="background1"/>
            <w:vAlign w:val="center"/>
          </w:tcPr>
          <w:p w:rsidR="00332EB4" w:rsidRPr="00A84A0B" w:rsidRDefault="00332EB4" w:rsidP="005939DA">
            <w:pPr>
              <w:pStyle w:val="PBACheading10"/>
              <w:ind w:left="0" w:firstLine="0"/>
              <w:contextualSpacing/>
              <w:jc w:val="center"/>
              <w:rPr>
                <w:rFonts w:ascii="Arial Narrow" w:hAnsi="Arial Narrow"/>
                <w:b/>
                <w:bCs/>
                <w:sz w:val="20"/>
                <w:szCs w:val="18"/>
              </w:rPr>
            </w:pPr>
            <w:r w:rsidRPr="00A84A0B">
              <w:rPr>
                <w:rFonts w:ascii="Arial Narrow" w:hAnsi="Arial Narrow"/>
                <w:bCs/>
                <w:sz w:val="20"/>
                <w:szCs w:val="20"/>
              </w:rPr>
              <w:t>$</w:t>
            </w:r>
            <w:r w:rsidR="00653F4E">
              <w:rPr>
                <w:rFonts w:ascii="Arial Narrow" w:hAnsi="Arial Narrow"/>
                <w:bCs/>
                <w:noProof/>
                <w:color w:val="000000"/>
                <w:sz w:val="20"/>
                <w:szCs w:val="20"/>
                <w:highlight w:val="black"/>
              </w:rPr>
              <w:t>'''''''''' ''''</w:t>
            </w:r>
          </w:p>
        </w:tc>
        <w:tc>
          <w:tcPr>
            <w:tcW w:w="1134" w:type="dxa"/>
            <w:shd w:val="clear" w:color="auto" w:fill="FFFFFF" w:themeFill="background1"/>
            <w:vAlign w:val="center"/>
          </w:tcPr>
          <w:p w:rsidR="00332EB4" w:rsidRPr="00A84A0B" w:rsidRDefault="00332EB4" w:rsidP="005939DA">
            <w:pPr>
              <w:pStyle w:val="PBACheading10"/>
              <w:ind w:left="0" w:firstLine="0"/>
              <w:contextualSpacing/>
              <w:jc w:val="center"/>
              <w:rPr>
                <w:rFonts w:ascii="Arial Narrow" w:hAnsi="Arial Narrow"/>
                <w:b/>
                <w:bCs/>
                <w:sz w:val="20"/>
                <w:szCs w:val="18"/>
              </w:rPr>
            </w:pPr>
            <w:r w:rsidRPr="00A84A0B">
              <w:rPr>
                <w:rFonts w:ascii="Arial Narrow" w:hAnsi="Arial Narrow"/>
                <w:bCs/>
                <w:sz w:val="20"/>
                <w:szCs w:val="20"/>
              </w:rPr>
              <w:t>$</w:t>
            </w:r>
            <w:r w:rsidR="00653F4E">
              <w:rPr>
                <w:rFonts w:ascii="Arial Narrow" w:hAnsi="Arial Narrow"/>
                <w:bCs/>
                <w:noProof/>
                <w:color w:val="000000"/>
                <w:sz w:val="20"/>
                <w:szCs w:val="20"/>
                <w:highlight w:val="black"/>
              </w:rPr>
              <w:t>'''''''''' ''''</w:t>
            </w:r>
          </w:p>
        </w:tc>
        <w:tc>
          <w:tcPr>
            <w:tcW w:w="1134" w:type="dxa"/>
            <w:shd w:val="clear" w:color="auto" w:fill="FFFFFF" w:themeFill="background1"/>
            <w:vAlign w:val="center"/>
          </w:tcPr>
          <w:p w:rsidR="00332EB4" w:rsidRPr="00A84A0B" w:rsidRDefault="00332EB4" w:rsidP="005939DA">
            <w:pPr>
              <w:pStyle w:val="PBACheading10"/>
              <w:ind w:left="0" w:firstLine="0"/>
              <w:contextualSpacing/>
              <w:jc w:val="center"/>
              <w:rPr>
                <w:rFonts w:ascii="Arial Narrow" w:hAnsi="Arial Narrow"/>
                <w:b/>
                <w:bCs/>
                <w:sz w:val="20"/>
                <w:szCs w:val="18"/>
              </w:rPr>
            </w:pPr>
            <w:r w:rsidRPr="00A84A0B">
              <w:rPr>
                <w:rFonts w:ascii="Arial Narrow" w:hAnsi="Arial Narrow"/>
                <w:bCs/>
                <w:sz w:val="20"/>
                <w:szCs w:val="20"/>
              </w:rPr>
              <w:t>$</w:t>
            </w:r>
            <w:r w:rsidR="00653F4E">
              <w:rPr>
                <w:rFonts w:ascii="Arial Narrow" w:hAnsi="Arial Narrow"/>
                <w:bCs/>
                <w:noProof/>
                <w:color w:val="000000"/>
                <w:sz w:val="20"/>
                <w:szCs w:val="20"/>
                <w:highlight w:val="black"/>
              </w:rPr>
              <w:t>'''''''''' '''''</w:t>
            </w:r>
          </w:p>
        </w:tc>
        <w:tc>
          <w:tcPr>
            <w:tcW w:w="1134" w:type="dxa"/>
            <w:shd w:val="clear" w:color="auto" w:fill="FFFFFF" w:themeFill="background1"/>
            <w:vAlign w:val="center"/>
          </w:tcPr>
          <w:p w:rsidR="00332EB4" w:rsidRPr="00A84A0B" w:rsidRDefault="00332EB4" w:rsidP="005939DA">
            <w:pPr>
              <w:pStyle w:val="PBACheading10"/>
              <w:ind w:left="0" w:firstLine="0"/>
              <w:contextualSpacing/>
              <w:jc w:val="center"/>
              <w:rPr>
                <w:rFonts w:ascii="Arial Narrow" w:hAnsi="Arial Narrow"/>
                <w:b/>
                <w:sz w:val="20"/>
                <w:szCs w:val="18"/>
              </w:rPr>
            </w:pPr>
            <w:r w:rsidRPr="00A84A0B">
              <w:rPr>
                <w:rFonts w:ascii="Arial Narrow" w:hAnsi="Arial Narrow"/>
                <w:bCs/>
                <w:sz w:val="20"/>
                <w:szCs w:val="20"/>
              </w:rPr>
              <w:t>$</w:t>
            </w:r>
            <w:r w:rsidR="00653F4E">
              <w:rPr>
                <w:rFonts w:ascii="Arial Narrow" w:hAnsi="Arial Narrow"/>
                <w:bCs/>
                <w:noProof/>
                <w:color w:val="000000"/>
                <w:sz w:val="20"/>
                <w:szCs w:val="20"/>
                <w:highlight w:val="black"/>
              </w:rPr>
              <w:t>'''''''''' '''''</w:t>
            </w:r>
          </w:p>
        </w:tc>
      </w:tr>
      <w:tr w:rsidR="00332EB4" w:rsidRPr="00A84A0B" w:rsidTr="00B11293">
        <w:trPr>
          <w:trHeight w:val="143"/>
        </w:trPr>
        <w:tc>
          <w:tcPr>
            <w:tcW w:w="2693" w:type="dxa"/>
            <w:shd w:val="clear" w:color="auto" w:fill="FFFFFF" w:themeFill="background1"/>
          </w:tcPr>
          <w:p w:rsidR="00332EB4" w:rsidRPr="00A84A0B" w:rsidRDefault="00332EB4" w:rsidP="005939DA">
            <w:pPr>
              <w:rPr>
                <w:rFonts w:ascii="Arial Narrow" w:hAnsi="Arial Narrow" w:cs="Arial"/>
                <w:sz w:val="20"/>
              </w:rPr>
            </w:pPr>
            <w:r w:rsidRPr="00A84A0B">
              <w:rPr>
                <w:rFonts w:ascii="Arial Narrow" w:hAnsi="Arial Narrow"/>
                <w:sz w:val="20"/>
                <w:szCs w:val="20"/>
              </w:rPr>
              <w:t>TOTAL SQ + NSQ NSCLC</w:t>
            </w:r>
          </w:p>
        </w:tc>
        <w:tc>
          <w:tcPr>
            <w:tcW w:w="1134" w:type="dxa"/>
            <w:shd w:val="clear" w:color="auto" w:fill="FFFFFF" w:themeFill="background1"/>
          </w:tcPr>
          <w:p w:rsidR="00332EB4" w:rsidRPr="00A84A0B" w:rsidRDefault="00332EB4" w:rsidP="005939DA">
            <w:pPr>
              <w:pStyle w:val="PBACheading10"/>
              <w:ind w:left="0" w:firstLine="0"/>
              <w:contextualSpacing/>
              <w:jc w:val="center"/>
              <w:rPr>
                <w:rFonts w:ascii="Arial Narrow" w:hAnsi="Arial Narrow"/>
                <w:b/>
                <w:bCs/>
                <w:sz w:val="20"/>
                <w:szCs w:val="18"/>
              </w:rPr>
            </w:pPr>
            <w:r w:rsidRPr="00A84A0B">
              <w:rPr>
                <w:rFonts w:ascii="Arial Narrow" w:hAnsi="Arial Narrow"/>
                <w:b/>
                <w:bCs/>
                <w:sz w:val="20"/>
                <w:szCs w:val="20"/>
              </w:rPr>
              <w:t>$</w:t>
            </w:r>
            <w:r w:rsidR="00653F4E">
              <w:rPr>
                <w:rFonts w:ascii="Arial Narrow" w:hAnsi="Arial Narrow"/>
                <w:b/>
                <w:bCs/>
                <w:noProof/>
                <w:color w:val="000000"/>
                <w:sz w:val="20"/>
                <w:szCs w:val="20"/>
                <w:highlight w:val="black"/>
              </w:rPr>
              <w:t>'''''''''''' '''</w:t>
            </w:r>
          </w:p>
        </w:tc>
        <w:tc>
          <w:tcPr>
            <w:tcW w:w="1134" w:type="dxa"/>
            <w:shd w:val="clear" w:color="auto" w:fill="FFFFFF" w:themeFill="background1"/>
          </w:tcPr>
          <w:p w:rsidR="00332EB4" w:rsidRPr="00A84A0B" w:rsidRDefault="00332EB4" w:rsidP="005939DA">
            <w:pPr>
              <w:pStyle w:val="PBACheading10"/>
              <w:ind w:left="0" w:firstLine="0"/>
              <w:contextualSpacing/>
              <w:jc w:val="center"/>
              <w:rPr>
                <w:rFonts w:ascii="Arial Narrow" w:hAnsi="Arial Narrow"/>
                <w:b/>
                <w:bCs/>
                <w:sz w:val="20"/>
                <w:szCs w:val="18"/>
              </w:rPr>
            </w:pPr>
            <w:r w:rsidRPr="00A84A0B">
              <w:rPr>
                <w:rFonts w:ascii="Arial Narrow" w:hAnsi="Arial Narrow"/>
                <w:b/>
                <w:bCs/>
                <w:sz w:val="20"/>
                <w:szCs w:val="20"/>
              </w:rPr>
              <w:t>$</w:t>
            </w:r>
            <w:r w:rsidR="00653F4E">
              <w:rPr>
                <w:rFonts w:ascii="Arial Narrow" w:hAnsi="Arial Narrow"/>
                <w:b/>
                <w:bCs/>
                <w:noProof/>
                <w:color w:val="000000"/>
                <w:sz w:val="20"/>
                <w:szCs w:val="20"/>
                <w:highlight w:val="black"/>
              </w:rPr>
              <w:t>'''''''''' ''''</w:t>
            </w:r>
          </w:p>
        </w:tc>
        <w:tc>
          <w:tcPr>
            <w:tcW w:w="1134" w:type="dxa"/>
            <w:shd w:val="clear" w:color="auto" w:fill="FFFFFF" w:themeFill="background1"/>
          </w:tcPr>
          <w:p w:rsidR="00332EB4" w:rsidRPr="00A84A0B" w:rsidRDefault="00332EB4" w:rsidP="005939DA">
            <w:pPr>
              <w:pStyle w:val="PBACheading10"/>
              <w:ind w:left="0" w:firstLine="0"/>
              <w:contextualSpacing/>
              <w:jc w:val="center"/>
              <w:rPr>
                <w:rFonts w:ascii="Arial Narrow" w:hAnsi="Arial Narrow"/>
                <w:b/>
                <w:bCs/>
                <w:sz w:val="20"/>
                <w:szCs w:val="18"/>
              </w:rPr>
            </w:pPr>
            <w:r w:rsidRPr="00A84A0B">
              <w:rPr>
                <w:rFonts w:ascii="Arial Narrow" w:hAnsi="Arial Narrow"/>
                <w:b/>
                <w:bCs/>
                <w:sz w:val="20"/>
                <w:szCs w:val="20"/>
              </w:rPr>
              <w:t>$</w:t>
            </w:r>
            <w:r w:rsidR="00653F4E">
              <w:rPr>
                <w:rFonts w:ascii="Arial Narrow" w:hAnsi="Arial Narrow"/>
                <w:b/>
                <w:bCs/>
                <w:noProof/>
                <w:color w:val="000000"/>
                <w:sz w:val="20"/>
                <w:szCs w:val="20"/>
                <w:highlight w:val="black"/>
              </w:rPr>
              <w:t>'''''''''''' ''''</w:t>
            </w:r>
          </w:p>
        </w:tc>
        <w:tc>
          <w:tcPr>
            <w:tcW w:w="1134" w:type="dxa"/>
            <w:shd w:val="clear" w:color="auto" w:fill="FFFFFF" w:themeFill="background1"/>
          </w:tcPr>
          <w:p w:rsidR="00332EB4" w:rsidRPr="00A84A0B" w:rsidRDefault="00332EB4" w:rsidP="005939DA">
            <w:pPr>
              <w:pStyle w:val="PBACheading10"/>
              <w:ind w:left="0" w:firstLine="0"/>
              <w:contextualSpacing/>
              <w:jc w:val="center"/>
              <w:rPr>
                <w:rFonts w:ascii="Arial Narrow" w:hAnsi="Arial Narrow"/>
                <w:b/>
                <w:bCs/>
                <w:sz w:val="20"/>
                <w:szCs w:val="18"/>
              </w:rPr>
            </w:pPr>
            <w:r w:rsidRPr="00A84A0B">
              <w:rPr>
                <w:rFonts w:ascii="Arial Narrow" w:hAnsi="Arial Narrow"/>
                <w:b/>
                <w:bCs/>
                <w:sz w:val="20"/>
                <w:szCs w:val="20"/>
              </w:rPr>
              <w:t>$</w:t>
            </w:r>
            <w:r w:rsidR="00653F4E">
              <w:rPr>
                <w:rFonts w:ascii="Arial Narrow" w:hAnsi="Arial Narrow"/>
                <w:b/>
                <w:bCs/>
                <w:noProof/>
                <w:color w:val="000000"/>
                <w:sz w:val="20"/>
                <w:szCs w:val="20"/>
                <w:highlight w:val="black"/>
              </w:rPr>
              <w:t>'''''''''''' '''</w:t>
            </w:r>
          </w:p>
        </w:tc>
        <w:tc>
          <w:tcPr>
            <w:tcW w:w="1134" w:type="dxa"/>
            <w:shd w:val="clear" w:color="auto" w:fill="FFFFFF" w:themeFill="background1"/>
          </w:tcPr>
          <w:p w:rsidR="00332EB4" w:rsidRPr="00A84A0B" w:rsidRDefault="00332EB4" w:rsidP="005939DA">
            <w:pPr>
              <w:pStyle w:val="PBACheading10"/>
              <w:ind w:left="0" w:firstLine="0"/>
              <w:contextualSpacing/>
              <w:jc w:val="center"/>
              <w:rPr>
                <w:rFonts w:ascii="Arial Narrow" w:hAnsi="Arial Narrow"/>
                <w:b/>
                <w:sz w:val="20"/>
                <w:szCs w:val="18"/>
              </w:rPr>
            </w:pPr>
            <w:r w:rsidRPr="00A84A0B">
              <w:rPr>
                <w:rFonts w:ascii="Arial Narrow" w:hAnsi="Arial Narrow"/>
                <w:b/>
                <w:sz w:val="20"/>
                <w:szCs w:val="20"/>
              </w:rPr>
              <w:t>$</w:t>
            </w:r>
            <w:r w:rsidR="00653F4E">
              <w:rPr>
                <w:rFonts w:ascii="Arial Narrow" w:hAnsi="Arial Narrow"/>
                <w:b/>
                <w:noProof/>
                <w:color w:val="000000"/>
                <w:sz w:val="20"/>
                <w:szCs w:val="20"/>
                <w:highlight w:val="black"/>
              </w:rPr>
              <w:t>''''''''''' '''</w:t>
            </w:r>
          </w:p>
        </w:tc>
      </w:tr>
      <w:tr w:rsidR="00B11293" w:rsidRPr="00A84A0B" w:rsidTr="00B11293">
        <w:trPr>
          <w:trHeight w:val="143"/>
        </w:trPr>
        <w:tc>
          <w:tcPr>
            <w:tcW w:w="8363" w:type="dxa"/>
            <w:gridSpan w:val="6"/>
            <w:shd w:val="clear" w:color="auto" w:fill="FFFFFF" w:themeFill="background1"/>
          </w:tcPr>
          <w:p w:rsidR="00B11293" w:rsidRPr="00A84A0B" w:rsidRDefault="00B11293" w:rsidP="005939DA">
            <w:pPr>
              <w:pStyle w:val="PBACheading10"/>
              <w:ind w:left="0" w:firstLine="0"/>
              <w:contextualSpacing/>
              <w:rPr>
                <w:rFonts w:ascii="Arial Narrow" w:hAnsi="Arial Narrow"/>
                <w:b/>
                <w:sz w:val="20"/>
                <w:szCs w:val="18"/>
              </w:rPr>
            </w:pPr>
            <w:r w:rsidRPr="00A84A0B">
              <w:rPr>
                <w:rFonts w:ascii="Arial Narrow" w:hAnsi="Arial Narrow"/>
                <w:b/>
                <w:sz w:val="20"/>
                <w:szCs w:val="20"/>
              </w:rPr>
              <w:t xml:space="preserve">Maximum cost to the PBS for nivolumab under the proposed </w:t>
            </w:r>
            <w:r w:rsidR="00DE4242" w:rsidRPr="00A84A0B">
              <w:rPr>
                <w:rFonts w:ascii="Arial Narrow" w:hAnsi="Arial Narrow"/>
                <w:b/>
                <w:sz w:val="20"/>
                <w:szCs w:val="20"/>
              </w:rPr>
              <w:t>r</w:t>
            </w:r>
            <w:r w:rsidRPr="00A84A0B">
              <w:rPr>
                <w:rFonts w:ascii="Arial Narrow" w:hAnsi="Arial Narrow"/>
                <w:b/>
                <w:sz w:val="20"/>
                <w:szCs w:val="20"/>
              </w:rPr>
              <w:t xml:space="preserve">isk </w:t>
            </w:r>
            <w:r w:rsidR="00DE4242" w:rsidRPr="00A84A0B">
              <w:rPr>
                <w:rFonts w:ascii="Arial Narrow" w:hAnsi="Arial Narrow"/>
                <w:b/>
                <w:sz w:val="20"/>
                <w:szCs w:val="20"/>
              </w:rPr>
              <w:t>sharing</w:t>
            </w:r>
            <w:r w:rsidRPr="00A84A0B">
              <w:rPr>
                <w:rFonts w:ascii="Arial Narrow" w:hAnsi="Arial Narrow"/>
                <w:b/>
                <w:sz w:val="20"/>
                <w:szCs w:val="20"/>
              </w:rPr>
              <w:t xml:space="preserve"> </w:t>
            </w:r>
            <w:r w:rsidR="00DE4242" w:rsidRPr="00A84A0B">
              <w:rPr>
                <w:rFonts w:ascii="Arial Narrow" w:hAnsi="Arial Narrow"/>
                <w:b/>
                <w:sz w:val="20"/>
                <w:szCs w:val="20"/>
              </w:rPr>
              <w:t>a</w:t>
            </w:r>
            <w:r w:rsidRPr="00A84A0B">
              <w:rPr>
                <w:rFonts w:ascii="Arial Narrow" w:hAnsi="Arial Narrow"/>
                <w:b/>
                <w:sz w:val="20"/>
                <w:szCs w:val="20"/>
              </w:rPr>
              <w:t>rrangement, excluding grandfathered patients**</w:t>
            </w:r>
          </w:p>
        </w:tc>
      </w:tr>
      <w:tr w:rsidR="00B11293" w:rsidRPr="00A84A0B" w:rsidTr="00B11293">
        <w:trPr>
          <w:trHeight w:val="143"/>
        </w:trPr>
        <w:tc>
          <w:tcPr>
            <w:tcW w:w="2693" w:type="dxa"/>
            <w:shd w:val="clear" w:color="auto" w:fill="FFFFFF" w:themeFill="background1"/>
          </w:tcPr>
          <w:p w:rsidR="00B11293" w:rsidRPr="00A84A0B" w:rsidRDefault="00B11293" w:rsidP="005939DA">
            <w:pPr>
              <w:rPr>
                <w:rFonts w:ascii="Arial Narrow" w:hAnsi="Arial Narrow" w:cs="Arial"/>
                <w:sz w:val="20"/>
              </w:rPr>
            </w:pPr>
            <w:r w:rsidRPr="00A84A0B">
              <w:rPr>
                <w:rFonts w:ascii="Arial Narrow" w:hAnsi="Arial Narrow"/>
                <w:sz w:val="20"/>
                <w:szCs w:val="20"/>
              </w:rPr>
              <w:t>Squamous NSCLC</w:t>
            </w:r>
          </w:p>
        </w:tc>
        <w:tc>
          <w:tcPr>
            <w:tcW w:w="1134" w:type="dxa"/>
            <w:shd w:val="clear" w:color="auto" w:fill="FFFFFF" w:themeFill="background1"/>
          </w:tcPr>
          <w:p w:rsidR="00B11293" w:rsidRPr="00A84A0B" w:rsidRDefault="00B11293" w:rsidP="005939DA">
            <w:pPr>
              <w:pStyle w:val="PBACheading10"/>
              <w:ind w:left="0" w:firstLine="0"/>
              <w:contextualSpacing/>
              <w:jc w:val="center"/>
              <w:rPr>
                <w:rFonts w:ascii="Arial Narrow" w:hAnsi="Arial Narrow"/>
                <w:b/>
                <w:bCs/>
                <w:sz w:val="20"/>
                <w:szCs w:val="18"/>
              </w:rPr>
            </w:pPr>
            <w:r w:rsidRPr="00A84A0B">
              <w:rPr>
                <w:rFonts w:ascii="Arial Narrow" w:hAnsi="Arial Narrow"/>
                <w:sz w:val="20"/>
                <w:szCs w:val="20"/>
              </w:rPr>
              <w:t>$</w:t>
            </w:r>
            <w:r w:rsidR="00653F4E">
              <w:rPr>
                <w:rFonts w:ascii="Arial Narrow" w:hAnsi="Arial Narrow"/>
                <w:noProof/>
                <w:color w:val="000000"/>
                <w:sz w:val="20"/>
                <w:szCs w:val="20"/>
                <w:highlight w:val="black"/>
              </w:rPr>
              <w:t>'''''''''' ''''</w:t>
            </w:r>
          </w:p>
        </w:tc>
        <w:tc>
          <w:tcPr>
            <w:tcW w:w="1134" w:type="dxa"/>
            <w:shd w:val="clear" w:color="auto" w:fill="FFFFFF" w:themeFill="background1"/>
          </w:tcPr>
          <w:p w:rsidR="00B11293" w:rsidRPr="00A84A0B" w:rsidRDefault="00B11293" w:rsidP="005939DA">
            <w:pPr>
              <w:pStyle w:val="PBACheading10"/>
              <w:ind w:left="0" w:firstLine="0"/>
              <w:contextualSpacing/>
              <w:jc w:val="center"/>
              <w:rPr>
                <w:rFonts w:ascii="Arial Narrow" w:hAnsi="Arial Narrow"/>
                <w:b/>
                <w:bCs/>
                <w:sz w:val="20"/>
                <w:szCs w:val="18"/>
              </w:rPr>
            </w:pPr>
            <w:r w:rsidRPr="00A84A0B">
              <w:rPr>
                <w:rFonts w:ascii="Arial Narrow" w:hAnsi="Arial Narrow"/>
                <w:sz w:val="20"/>
                <w:szCs w:val="20"/>
              </w:rPr>
              <w:t>$</w:t>
            </w:r>
            <w:r w:rsidR="00653F4E">
              <w:rPr>
                <w:rFonts w:ascii="Arial Narrow" w:hAnsi="Arial Narrow"/>
                <w:noProof/>
                <w:color w:val="000000"/>
                <w:sz w:val="20"/>
                <w:szCs w:val="20"/>
                <w:highlight w:val="black"/>
              </w:rPr>
              <w:t>'''''''''' ''''</w:t>
            </w:r>
          </w:p>
        </w:tc>
        <w:tc>
          <w:tcPr>
            <w:tcW w:w="1134" w:type="dxa"/>
            <w:shd w:val="clear" w:color="auto" w:fill="FFFFFF" w:themeFill="background1"/>
          </w:tcPr>
          <w:p w:rsidR="00B11293" w:rsidRPr="00A84A0B" w:rsidRDefault="00B11293" w:rsidP="005939DA">
            <w:pPr>
              <w:pStyle w:val="PBACheading10"/>
              <w:ind w:left="0" w:firstLine="0"/>
              <w:contextualSpacing/>
              <w:jc w:val="center"/>
              <w:rPr>
                <w:rFonts w:ascii="Arial Narrow" w:hAnsi="Arial Narrow"/>
                <w:b/>
                <w:bCs/>
                <w:sz w:val="20"/>
                <w:szCs w:val="18"/>
              </w:rPr>
            </w:pPr>
            <w:r w:rsidRPr="00A84A0B">
              <w:rPr>
                <w:rFonts w:ascii="Arial Narrow" w:hAnsi="Arial Narrow"/>
                <w:sz w:val="20"/>
                <w:szCs w:val="20"/>
              </w:rPr>
              <w:t>$</w:t>
            </w:r>
            <w:r w:rsidR="00653F4E">
              <w:rPr>
                <w:rFonts w:ascii="Arial Narrow" w:hAnsi="Arial Narrow"/>
                <w:noProof/>
                <w:color w:val="000000"/>
                <w:sz w:val="20"/>
                <w:szCs w:val="20"/>
                <w:highlight w:val="black"/>
              </w:rPr>
              <w:t>'''''''''''' '''''</w:t>
            </w:r>
          </w:p>
        </w:tc>
        <w:tc>
          <w:tcPr>
            <w:tcW w:w="1134" w:type="dxa"/>
            <w:shd w:val="clear" w:color="auto" w:fill="FFFFFF" w:themeFill="background1"/>
          </w:tcPr>
          <w:p w:rsidR="00B11293" w:rsidRPr="00A84A0B" w:rsidRDefault="00B11293" w:rsidP="005939DA">
            <w:pPr>
              <w:pStyle w:val="PBACheading10"/>
              <w:ind w:left="0" w:firstLine="0"/>
              <w:contextualSpacing/>
              <w:jc w:val="center"/>
              <w:rPr>
                <w:rFonts w:ascii="Arial Narrow" w:hAnsi="Arial Narrow"/>
                <w:b/>
                <w:bCs/>
                <w:sz w:val="20"/>
                <w:szCs w:val="18"/>
              </w:rPr>
            </w:pPr>
            <w:r w:rsidRPr="00A84A0B">
              <w:rPr>
                <w:rFonts w:ascii="Arial Narrow" w:hAnsi="Arial Narrow"/>
                <w:sz w:val="20"/>
                <w:szCs w:val="20"/>
              </w:rPr>
              <w:t>$</w:t>
            </w:r>
            <w:r w:rsidR="00653F4E">
              <w:rPr>
                <w:rFonts w:ascii="Arial Narrow" w:hAnsi="Arial Narrow"/>
                <w:noProof/>
                <w:color w:val="000000"/>
                <w:sz w:val="20"/>
                <w:szCs w:val="20"/>
                <w:highlight w:val="black"/>
              </w:rPr>
              <w:t>'''''''''' ''''</w:t>
            </w:r>
          </w:p>
        </w:tc>
        <w:tc>
          <w:tcPr>
            <w:tcW w:w="1134" w:type="dxa"/>
            <w:shd w:val="clear" w:color="auto" w:fill="FFFFFF" w:themeFill="background1"/>
          </w:tcPr>
          <w:p w:rsidR="00B11293" w:rsidRPr="00A84A0B" w:rsidRDefault="00B11293" w:rsidP="005939DA">
            <w:pPr>
              <w:pStyle w:val="PBACheading10"/>
              <w:ind w:left="0" w:firstLine="0"/>
              <w:contextualSpacing/>
              <w:jc w:val="center"/>
              <w:rPr>
                <w:rFonts w:ascii="Arial Narrow" w:hAnsi="Arial Narrow"/>
                <w:b/>
                <w:sz w:val="20"/>
                <w:szCs w:val="18"/>
              </w:rPr>
            </w:pPr>
            <w:r w:rsidRPr="00A84A0B">
              <w:rPr>
                <w:rFonts w:ascii="Arial Narrow" w:hAnsi="Arial Narrow"/>
                <w:sz w:val="20"/>
                <w:szCs w:val="20"/>
              </w:rPr>
              <w:t>$</w:t>
            </w:r>
            <w:r w:rsidR="00653F4E">
              <w:rPr>
                <w:rFonts w:ascii="Arial Narrow" w:hAnsi="Arial Narrow"/>
                <w:noProof/>
                <w:color w:val="000000"/>
                <w:sz w:val="20"/>
                <w:szCs w:val="20"/>
                <w:highlight w:val="black"/>
              </w:rPr>
              <w:t>'''''''''''' '''''</w:t>
            </w:r>
          </w:p>
        </w:tc>
      </w:tr>
      <w:tr w:rsidR="00B11293" w:rsidRPr="00A84A0B" w:rsidTr="00F579C0">
        <w:trPr>
          <w:trHeight w:val="143"/>
        </w:trPr>
        <w:tc>
          <w:tcPr>
            <w:tcW w:w="2693" w:type="dxa"/>
            <w:shd w:val="clear" w:color="auto" w:fill="FFFFFF" w:themeFill="background1"/>
          </w:tcPr>
          <w:p w:rsidR="00B11293" w:rsidRPr="00A84A0B" w:rsidRDefault="00B11293" w:rsidP="005939DA">
            <w:pPr>
              <w:rPr>
                <w:rFonts w:ascii="Arial Narrow" w:hAnsi="Arial Narrow" w:cs="Arial"/>
                <w:sz w:val="20"/>
              </w:rPr>
            </w:pPr>
            <w:r w:rsidRPr="00A84A0B">
              <w:rPr>
                <w:rFonts w:ascii="Arial Narrow" w:hAnsi="Arial Narrow"/>
                <w:sz w:val="20"/>
                <w:szCs w:val="20"/>
              </w:rPr>
              <w:t>Non-squamous NSCLC</w:t>
            </w:r>
          </w:p>
        </w:tc>
        <w:tc>
          <w:tcPr>
            <w:tcW w:w="1134" w:type="dxa"/>
            <w:shd w:val="clear" w:color="auto" w:fill="FFFFFF" w:themeFill="background1"/>
            <w:vAlign w:val="center"/>
          </w:tcPr>
          <w:p w:rsidR="00B11293" w:rsidRPr="00A84A0B" w:rsidRDefault="00B11293" w:rsidP="005939DA">
            <w:pPr>
              <w:pStyle w:val="PBACheading10"/>
              <w:ind w:left="0" w:firstLine="0"/>
              <w:contextualSpacing/>
              <w:jc w:val="center"/>
              <w:rPr>
                <w:rFonts w:ascii="Arial Narrow" w:hAnsi="Arial Narrow"/>
                <w:b/>
                <w:bCs/>
                <w:sz w:val="20"/>
                <w:szCs w:val="18"/>
              </w:rPr>
            </w:pPr>
            <w:r w:rsidRPr="00A84A0B">
              <w:rPr>
                <w:rFonts w:ascii="Arial Narrow" w:hAnsi="Arial Narrow"/>
                <w:bCs/>
                <w:sz w:val="20"/>
                <w:szCs w:val="20"/>
              </w:rPr>
              <w:t>$</w:t>
            </w:r>
            <w:r w:rsidR="00653F4E">
              <w:rPr>
                <w:rFonts w:ascii="Arial Narrow" w:hAnsi="Arial Narrow"/>
                <w:bCs/>
                <w:noProof/>
                <w:color w:val="000000"/>
                <w:sz w:val="20"/>
                <w:szCs w:val="20"/>
                <w:highlight w:val="black"/>
              </w:rPr>
              <w:t>'''''''''' ''''</w:t>
            </w:r>
          </w:p>
        </w:tc>
        <w:tc>
          <w:tcPr>
            <w:tcW w:w="1134" w:type="dxa"/>
            <w:shd w:val="clear" w:color="auto" w:fill="FFFFFF" w:themeFill="background1"/>
            <w:vAlign w:val="center"/>
          </w:tcPr>
          <w:p w:rsidR="00B11293" w:rsidRPr="00A84A0B" w:rsidRDefault="00B11293" w:rsidP="005939DA">
            <w:pPr>
              <w:pStyle w:val="PBACheading10"/>
              <w:ind w:left="0" w:firstLine="0"/>
              <w:contextualSpacing/>
              <w:jc w:val="center"/>
              <w:rPr>
                <w:rFonts w:ascii="Arial Narrow" w:hAnsi="Arial Narrow"/>
                <w:b/>
                <w:bCs/>
                <w:sz w:val="20"/>
                <w:szCs w:val="18"/>
              </w:rPr>
            </w:pPr>
            <w:r w:rsidRPr="00A84A0B">
              <w:rPr>
                <w:rFonts w:ascii="Arial Narrow" w:hAnsi="Arial Narrow"/>
                <w:bCs/>
                <w:sz w:val="20"/>
                <w:szCs w:val="20"/>
              </w:rPr>
              <w:t>$</w:t>
            </w:r>
            <w:r w:rsidR="00653F4E">
              <w:rPr>
                <w:rFonts w:ascii="Arial Narrow" w:hAnsi="Arial Narrow"/>
                <w:bCs/>
                <w:noProof/>
                <w:color w:val="000000"/>
                <w:sz w:val="20"/>
                <w:szCs w:val="20"/>
                <w:highlight w:val="black"/>
              </w:rPr>
              <w:t>''''''''''' '''''</w:t>
            </w:r>
          </w:p>
        </w:tc>
        <w:tc>
          <w:tcPr>
            <w:tcW w:w="1134" w:type="dxa"/>
            <w:shd w:val="clear" w:color="auto" w:fill="FFFFFF" w:themeFill="background1"/>
            <w:vAlign w:val="center"/>
          </w:tcPr>
          <w:p w:rsidR="00B11293" w:rsidRPr="00A84A0B" w:rsidRDefault="00B11293" w:rsidP="005939DA">
            <w:pPr>
              <w:pStyle w:val="PBACheading10"/>
              <w:ind w:left="0" w:firstLine="0"/>
              <w:contextualSpacing/>
              <w:jc w:val="center"/>
              <w:rPr>
                <w:rFonts w:ascii="Arial Narrow" w:hAnsi="Arial Narrow"/>
                <w:b/>
                <w:bCs/>
                <w:sz w:val="20"/>
                <w:szCs w:val="18"/>
              </w:rPr>
            </w:pPr>
            <w:r w:rsidRPr="00A84A0B">
              <w:rPr>
                <w:rFonts w:ascii="Arial Narrow" w:hAnsi="Arial Narrow"/>
                <w:bCs/>
                <w:sz w:val="20"/>
                <w:szCs w:val="20"/>
              </w:rPr>
              <w:t>$</w:t>
            </w:r>
            <w:r w:rsidR="00653F4E">
              <w:rPr>
                <w:rFonts w:ascii="Arial Narrow" w:hAnsi="Arial Narrow"/>
                <w:bCs/>
                <w:noProof/>
                <w:color w:val="000000"/>
                <w:sz w:val="20"/>
                <w:szCs w:val="20"/>
                <w:highlight w:val="black"/>
              </w:rPr>
              <w:t>''''''''''' ''''</w:t>
            </w:r>
          </w:p>
        </w:tc>
        <w:tc>
          <w:tcPr>
            <w:tcW w:w="1134" w:type="dxa"/>
            <w:shd w:val="clear" w:color="auto" w:fill="FFFFFF" w:themeFill="background1"/>
            <w:vAlign w:val="center"/>
          </w:tcPr>
          <w:p w:rsidR="00B11293" w:rsidRPr="00A84A0B" w:rsidRDefault="00B11293" w:rsidP="005939DA">
            <w:pPr>
              <w:pStyle w:val="PBACheading10"/>
              <w:ind w:left="0" w:firstLine="0"/>
              <w:contextualSpacing/>
              <w:jc w:val="center"/>
              <w:rPr>
                <w:rFonts w:ascii="Arial Narrow" w:hAnsi="Arial Narrow"/>
                <w:b/>
                <w:bCs/>
                <w:sz w:val="20"/>
                <w:szCs w:val="18"/>
              </w:rPr>
            </w:pPr>
            <w:r w:rsidRPr="00A84A0B">
              <w:rPr>
                <w:rFonts w:ascii="Arial Narrow" w:hAnsi="Arial Narrow"/>
                <w:bCs/>
                <w:sz w:val="20"/>
                <w:szCs w:val="20"/>
              </w:rPr>
              <w:t>$</w:t>
            </w:r>
            <w:r w:rsidR="00653F4E">
              <w:rPr>
                <w:rFonts w:ascii="Arial Narrow" w:hAnsi="Arial Narrow"/>
                <w:bCs/>
                <w:noProof/>
                <w:color w:val="000000"/>
                <w:sz w:val="20"/>
                <w:szCs w:val="20"/>
                <w:highlight w:val="black"/>
              </w:rPr>
              <w:t>'''''''''' '''''</w:t>
            </w:r>
          </w:p>
        </w:tc>
        <w:tc>
          <w:tcPr>
            <w:tcW w:w="1134" w:type="dxa"/>
            <w:shd w:val="clear" w:color="auto" w:fill="FFFFFF" w:themeFill="background1"/>
            <w:vAlign w:val="center"/>
          </w:tcPr>
          <w:p w:rsidR="00B11293" w:rsidRPr="00A84A0B" w:rsidRDefault="00B11293" w:rsidP="005939DA">
            <w:pPr>
              <w:pStyle w:val="PBACheading10"/>
              <w:ind w:left="0" w:firstLine="0"/>
              <w:contextualSpacing/>
              <w:jc w:val="center"/>
              <w:rPr>
                <w:rFonts w:ascii="Arial Narrow" w:hAnsi="Arial Narrow"/>
                <w:b/>
                <w:sz w:val="20"/>
                <w:szCs w:val="18"/>
              </w:rPr>
            </w:pPr>
            <w:r w:rsidRPr="00A84A0B">
              <w:rPr>
                <w:rFonts w:ascii="Arial Narrow" w:hAnsi="Arial Narrow"/>
                <w:bCs/>
                <w:sz w:val="20"/>
                <w:szCs w:val="20"/>
              </w:rPr>
              <w:t>$</w:t>
            </w:r>
            <w:r w:rsidR="00653F4E">
              <w:rPr>
                <w:rFonts w:ascii="Arial Narrow" w:hAnsi="Arial Narrow"/>
                <w:bCs/>
                <w:noProof/>
                <w:color w:val="000000"/>
                <w:sz w:val="20"/>
                <w:szCs w:val="20"/>
                <w:highlight w:val="black"/>
              </w:rPr>
              <w:t>'''''''''' '''''</w:t>
            </w:r>
          </w:p>
        </w:tc>
      </w:tr>
      <w:tr w:rsidR="00B11293" w:rsidRPr="00A84A0B" w:rsidTr="00B11293">
        <w:trPr>
          <w:trHeight w:val="143"/>
        </w:trPr>
        <w:tc>
          <w:tcPr>
            <w:tcW w:w="2693" w:type="dxa"/>
            <w:shd w:val="clear" w:color="auto" w:fill="FFFFFF" w:themeFill="background1"/>
          </w:tcPr>
          <w:p w:rsidR="00B11293" w:rsidRPr="00A84A0B" w:rsidRDefault="00B11293" w:rsidP="005939DA">
            <w:pPr>
              <w:rPr>
                <w:rFonts w:ascii="Arial Narrow" w:hAnsi="Arial Narrow" w:cs="Arial"/>
                <w:sz w:val="20"/>
              </w:rPr>
            </w:pPr>
            <w:r w:rsidRPr="00A84A0B">
              <w:rPr>
                <w:rFonts w:ascii="Arial Narrow" w:hAnsi="Arial Narrow"/>
                <w:sz w:val="20"/>
                <w:szCs w:val="20"/>
              </w:rPr>
              <w:t>TOTAL SQ + NSQ NSCLC</w:t>
            </w:r>
          </w:p>
        </w:tc>
        <w:tc>
          <w:tcPr>
            <w:tcW w:w="1134" w:type="dxa"/>
            <w:shd w:val="clear" w:color="auto" w:fill="FFFFFF" w:themeFill="background1"/>
          </w:tcPr>
          <w:p w:rsidR="00B11293" w:rsidRPr="00A84A0B" w:rsidRDefault="00B11293" w:rsidP="005939DA">
            <w:pPr>
              <w:pStyle w:val="PBACheading10"/>
              <w:ind w:left="0" w:firstLine="0"/>
              <w:contextualSpacing/>
              <w:jc w:val="center"/>
              <w:rPr>
                <w:rFonts w:ascii="Arial Narrow" w:hAnsi="Arial Narrow"/>
                <w:b/>
                <w:bCs/>
                <w:sz w:val="20"/>
                <w:szCs w:val="18"/>
              </w:rPr>
            </w:pPr>
            <w:r w:rsidRPr="00A84A0B">
              <w:rPr>
                <w:rFonts w:ascii="Arial Narrow" w:hAnsi="Arial Narrow"/>
                <w:b/>
                <w:bCs/>
                <w:sz w:val="20"/>
                <w:szCs w:val="20"/>
              </w:rPr>
              <w:t>$</w:t>
            </w:r>
            <w:r w:rsidR="00653F4E">
              <w:rPr>
                <w:rFonts w:ascii="Arial Narrow" w:hAnsi="Arial Narrow"/>
                <w:b/>
                <w:bCs/>
                <w:noProof/>
                <w:color w:val="000000"/>
                <w:sz w:val="20"/>
                <w:szCs w:val="20"/>
                <w:highlight w:val="black"/>
              </w:rPr>
              <w:t>''''''''' ''''</w:t>
            </w:r>
          </w:p>
        </w:tc>
        <w:tc>
          <w:tcPr>
            <w:tcW w:w="1134" w:type="dxa"/>
            <w:shd w:val="clear" w:color="auto" w:fill="FFFFFF" w:themeFill="background1"/>
          </w:tcPr>
          <w:p w:rsidR="00B11293" w:rsidRPr="00A84A0B" w:rsidRDefault="00B11293" w:rsidP="005939DA">
            <w:pPr>
              <w:pStyle w:val="PBACheading10"/>
              <w:ind w:left="0" w:firstLine="0"/>
              <w:contextualSpacing/>
              <w:jc w:val="center"/>
              <w:rPr>
                <w:rFonts w:ascii="Arial Narrow" w:hAnsi="Arial Narrow"/>
                <w:b/>
                <w:bCs/>
                <w:sz w:val="20"/>
                <w:szCs w:val="18"/>
              </w:rPr>
            </w:pPr>
            <w:r w:rsidRPr="00A84A0B">
              <w:rPr>
                <w:rFonts w:ascii="Arial Narrow" w:hAnsi="Arial Narrow"/>
                <w:b/>
                <w:bCs/>
                <w:sz w:val="20"/>
                <w:szCs w:val="20"/>
              </w:rPr>
              <w:t>$</w:t>
            </w:r>
            <w:r w:rsidR="00653F4E">
              <w:rPr>
                <w:rFonts w:ascii="Arial Narrow" w:hAnsi="Arial Narrow"/>
                <w:b/>
                <w:bCs/>
                <w:noProof/>
                <w:color w:val="000000"/>
                <w:sz w:val="20"/>
                <w:szCs w:val="20"/>
                <w:highlight w:val="black"/>
              </w:rPr>
              <w:t>'''''''''' ''''</w:t>
            </w:r>
          </w:p>
        </w:tc>
        <w:tc>
          <w:tcPr>
            <w:tcW w:w="1134" w:type="dxa"/>
            <w:shd w:val="clear" w:color="auto" w:fill="FFFFFF" w:themeFill="background1"/>
          </w:tcPr>
          <w:p w:rsidR="00B11293" w:rsidRPr="00A84A0B" w:rsidRDefault="00B11293" w:rsidP="005939DA">
            <w:pPr>
              <w:pStyle w:val="PBACheading10"/>
              <w:ind w:left="0" w:firstLine="0"/>
              <w:contextualSpacing/>
              <w:jc w:val="center"/>
              <w:rPr>
                <w:rFonts w:ascii="Arial Narrow" w:hAnsi="Arial Narrow"/>
                <w:b/>
                <w:bCs/>
                <w:sz w:val="20"/>
                <w:szCs w:val="18"/>
              </w:rPr>
            </w:pPr>
            <w:r w:rsidRPr="00A84A0B">
              <w:rPr>
                <w:rFonts w:ascii="Arial Narrow" w:hAnsi="Arial Narrow"/>
                <w:b/>
                <w:bCs/>
                <w:sz w:val="20"/>
                <w:szCs w:val="20"/>
              </w:rPr>
              <w:t>$</w:t>
            </w:r>
            <w:r w:rsidR="00653F4E">
              <w:rPr>
                <w:rFonts w:ascii="Arial Narrow" w:hAnsi="Arial Narrow"/>
                <w:b/>
                <w:bCs/>
                <w:noProof/>
                <w:color w:val="000000"/>
                <w:sz w:val="20"/>
                <w:szCs w:val="20"/>
                <w:highlight w:val="black"/>
              </w:rPr>
              <w:t>'''''''''' ''''</w:t>
            </w:r>
          </w:p>
        </w:tc>
        <w:tc>
          <w:tcPr>
            <w:tcW w:w="1134" w:type="dxa"/>
            <w:shd w:val="clear" w:color="auto" w:fill="FFFFFF" w:themeFill="background1"/>
          </w:tcPr>
          <w:p w:rsidR="00B11293" w:rsidRPr="00A84A0B" w:rsidRDefault="00B11293" w:rsidP="005939DA">
            <w:pPr>
              <w:pStyle w:val="PBACheading10"/>
              <w:ind w:left="0" w:firstLine="0"/>
              <w:contextualSpacing/>
              <w:jc w:val="center"/>
              <w:rPr>
                <w:rFonts w:ascii="Arial Narrow" w:hAnsi="Arial Narrow"/>
                <w:b/>
                <w:bCs/>
                <w:sz w:val="20"/>
                <w:szCs w:val="18"/>
              </w:rPr>
            </w:pPr>
            <w:r w:rsidRPr="00A84A0B">
              <w:rPr>
                <w:rFonts w:ascii="Arial Narrow" w:hAnsi="Arial Narrow"/>
                <w:b/>
                <w:bCs/>
                <w:sz w:val="20"/>
                <w:szCs w:val="20"/>
              </w:rPr>
              <w:t>$</w:t>
            </w:r>
            <w:r w:rsidR="00653F4E">
              <w:rPr>
                <w:rFonts w:ascii="Arial Narrow" w:hAnsi="Arial Narrow"/>
                <w:b/>
                <w:bCs/>
                <w:noProof/>
                <w:color w:val="000000"/>
                <w:sz w:val="20"/>
                <w:szCs w:val="20"/>
                <w:highlight w:val="black"/>
              </w:rPr>
              <w:t>''''''''''' ''''</w:t>
            </w:r>
          </w:p>
        </w:tc>
        <w:tc>
          <w:tcPr>
            <w:tcW w:w="1134" w:type="dxa"/>
            <w:shd w:val="clear" w:color="auto" w:fill="FFFFFF" w:themeFill="background1"/>
          </w:tcPr>
          <w:p w:rsidR="00B11293" w:rsidRPr="00A84A0B" w:rsidRDefault="00B11293" w:rsidP="005939DA">
            <w:pPr>
              <w:pStyle w:val="PBACheading10"/>
              <w:ind w:left="0" w:firstLine="0"/>
              <w:contextualSpacing/>
              <w:jc w:val="center"/>
              <w:rPr>
                <w:rFonts w:ascii="Arial Narrow" w:hAnsi="Arial Narrow"/>
                <w:b/>
                <w:sz w:val="20"/>
                <w:szCs w:val="18"/>
              </w:rPr>
            </w:pPr>
            <w:r w:rsidRPr="00A84A0B">
              <w:rPr>
                <w:rFonts w:ascii="Arial Narrow" w:hAnsi="Arial Narrow"/>
                <w:b/>
                <w:sz w:val="20"/>
                <w:szCs w:val="20"/>
              </w:rPr>
              <w:t>$</w:t>
            </w:r>
            <w:r w:rsidR="00653F4E">
              <w:rPr>
                <w:rFonts w:ascii="Arial Narrow" w:hAnsi="Arial Narrow"/>
                <w:b/>
                <w:noProof/>
                <w:color w:val="000000"/>
                <w:sz w:val="20"/>
                <w:szCs w:val="20"/>
                <w:highlight w:val="black"/>
              </w:rPr>
              <w:t>'''''''''' ''''</w:t>
            </w:r>
          </w:p>
        </w:tc>
      </w:tr>
    </w:tbl>
    <w:p w:rsidR="00681042" w:rsidRPr="00A84A0B" w:rsidRDefault="00681042" w:rsidP="005939DA">
      <w:pPr>
        <w:ind w:left="720"/>
        <w:rPr>
          <w:rFonts w:ascii="Arial Narrow" w:hAnsi="Arial Narrow"/>
          <w:sz w:val="18"/>
          <w:szCs w:val="18"/>
        </w:rPr>
      </w:pPr>
      <w:r w:rsidRPr="00A84A0B">
        <w:rPr>
          <w:rFonts w:ascii="Arial Narrow" w:hAnsi="Arial Narrow"/>
          <w:sz w:val="18"/>
          <w:szCs w:val="18"/>
        </w:rPr>
        <w:t>SQ=squamous cell; NSQ=non-squamous cell; NSCLC=non-small cell lung cancer</w:t>
      </w:r>
    </w:p>
    <w:p w:rsidR="00681042" w:rsidRPr="00A84A0B" w:rsidRDefault="00681042" w:rsidP="005939DA">
      <w:pPr>
        <w:tabs>
          <w:tab w:val="left" w:pos="993"/>
        </w:tabs>
        <w:ind w:left="993" w:hanging="273"/>
        <w:jc w:val="both"/>
        <w:rPr>
          <w:rFonts w:ascii="Arial Narrow" w:hAnsi="Arial Narrow"/>
          <w:sz w:val="18"/>
          <w:szCs w:val="18"/>
        </w:rPr>
      </w:pPr>
      <w:r w:rsidRPr="00A84A0B">
        <w:rPr>
          <w:rFonts w:ascii="Arial Narrow" w:hAnsi="Arial Narrow"/>
          <w:sz w:val="18"/>
          <w:szCs w:val="18"/>
        </w:rPr>
        <w:t>*</w:t>
      </w:r>
      <w:r w:rsidRPr="00A84A0B">
        <w:rPr>
          <w:rFonts w:ascii="Arial Narrow" w:hAnsi="Arial Narrow"/>
          <w:sz w:val="18"/>
          <w:szCs w:val="18"/>
        </w:rPr>
        <w:tab/>
        <w:t xml:space="preserve">Estimates included </w:t>
      </w:r>
      <w:r w:rsidR="00653F4E">
        <w:rPr>
          <w:rFonts w:ascii="Arial Narrow" w:hAnsi="Arial Narrow"/>
          <w:noProof/>
          <w:color w:val="000000"/>
          <w:sz w:val="18"/>
          <w:szCs w:val="18"/>
          <w:highlight w:val="black"/>
        </w:rPr>
        <w:t>''''''''''''''</w:t>
      </w:r>
      <w:r w:rsidRPr="00A84A0B">
        <w:rPr>
          <w:rFonts w:ascii="Arial Narrow" w:hAnsi="Arial Narrow"/>
          <w:sz w:val="18"/>
          <w:szCs w:val="18"/>
        </w:rPr>
        <w:t xml:space="preserve"> grandfathered patients in Year 1 of listing (</w:t>
      </w:r>
      <w:r w:rsidR="00653F4E">
        <w:rPr>
          <w:rFonts w:ascii="Arial Narrow" w:hAnsi="Arial Narrow"/>
          <w:noProof/>
          <w:color w:val="000000"/>
          <w:sz w:val="18"/>
          <w:szCs w:val="18"/>
          <w:highlight w:val="black"/>
        </w:rPr>
        <w:t>''''''''</w:t>
      </w:r>
      <w:r w:rsidRPr="00A84A0B">
        <w:rPr>
          <w:rFonts w:ascii="Arial Narrow" w:hAnsi="Arial Narrow"/>
          <w:sz w:val="18"/>
          <w:szCs w:val="18"/>
        </w:rPr>
        <w:t xml:space="preserve"> squamous cell NSCLC patients and </w:t>
      </w:r>
      <w:r w:rsidR="00653F4E">
        <w:rPr>
          <w:rFonts w:ascii="Arial Narrow" w:hAnsi="Arial Narrow"/>
          <w:noProof/>
          <w:color w:val="000000"/>
          <w:sz w:val="18"/>
          <w:szCs w:val="18"/>
          <w:highlight w:val="black"/>
        </w:rPr>
        <w:t>'''''''''</w:t>
      </w:r>
      <w:r w:rsidRPr="00A84A0B">
        <w:rPr>
          <w:rFonts w:ascii="Arial Narrow" w:hAnsi="Arial Narrow"/>
          <w:sz w:val="18"/>
          <w:szCs w:val="18"/>
        </w:rPr>
        <w:t xml:space="preserve"> non-squamous cell NSCLC patients)</w:t>
      </w:r>
    </w:p>
    <w:p w:rsidR="00B11293" w:rsidRPr="00A84A0B" w:rsidRDefault="00B11293" w:rsidP="005939DA">
      <w:pPr>
        <w:tabs>
          <w:tab w:val="left" w:pos="993"/>
        </w:tabs>
        <w:ind w:left="993" w:hanging="273"/>
        <w:rPr>
          <w:rFonts w:ascii="Arial Narrow" w:hAnsi="Arial Narrow"/>
          <w:sz w:val="18"/>
          <w:szCs w:val="18"/>
        </w:rPr>
      </w:pPr>
      <w:r w:rsidRPr="00A84A0B">
        <w:rPr>
          <w:rFonts w:ascii="Arial Narrow" w:hAnsi="Arial Narrow"/>
          <w:sz w:val="18"/>
          <w:szCs w:val="18"/>
        </w:rPr>
        <w:t>**</w:t>
      </w:r>
      <w:r w:rsidRPr="00A84A0B">
        <w:rPr>
          <w:rFonts w:ascii="Arial Narrow" w:hAnsi="Arial Narrow"/>
          <w:sz w:val="18"/>
          <w:szCs w:val="18"/>
        </w:rPr>
        <w:tab/>
        <w:t>Costs based on dispensed price for maximum amount, minus co-payments</w:t>
      </w:r>
    </w:p>
    <w:p w:rsidR="00681042" w:rsidRDefault="00681042" w:rsidP="005939DA">
      <w:pPr>
        <w:ind w:left="720"/>
        <w:rPr>
          <w:rFonts w:ascii="Arial Narrow" w:hAnsi="Arial Narrow"/>
          <w:sz w:val="18"/>
          <w:szCs w:val="18"/>
        </w:rPr>
      </w:pPr>
      <w:r w:rsidRPr="00A84A0B">
        <w:rPr>
          <w:rFonts w:ascii="Arial Narrow" w:hAnsi="Arial Narrow"/>
          <w:sz w:val="18"/>
          <w:szCs w:val="18"/>
        </w:rPr>
        <w:t>Source: Table 19, p56</w:t>
      </w:r>
      <w:r w:rsidR="00332EB4" w:rsidRPr="00A84A0B">
        <w:rPr>
          <w:rFonts w:ascii="Arial Narrow" w:hAnsi="Arial Narrow"/>
          <w:sz w:val="18"/>
          <w:szCs w:val="18"/>
        </w:rPr>
        <w:t>, Table 20, p57 and of the minor submission</w:t>
      </w:r>
      <w:r w:rsidR="00B11293" w:rsidRPr="00A84A0B">
        <w:rPr>
          <w:rFonts w:ascii="Arial Narrow" w:hAnsi="Arial Narrow"/>
          <w:sz w:val="18"/>
          <w:szCs w:val="18"/>
        </w:rPr>
        <w:t xml:space="preserve"> and Attachment 2 and 3 MS Excel workbooks, provided with the minor submission</w:t>
      </w:r>
    </w:p>
    <w:p w:rsidR="00E678C4" w:rsidRDefault="00E678C4" w:rsidP="005939DA">
      <w:pPr>
        <w:ind w:left="720"/>
        <w:rPr>
          <w:rFonts w:ascii="Arial Narrow" w:hAnsi="Arial Narrow"/>
          <w:sz w:val="18"/>
          <w:szCs w:val="18"/>
        </w:rPr>
      </w:pPr>
    </w:p>
    <w:p w:rsidR="00E678C4" w:rsidRPr="002723E6" w:rsidRDefault="00E678C4" w:rsidP="005939DA">
      <w:pPr>
        <w:ind w:left="720"/>
        <w:rPr>
          <w:rFonts w:ascii="Arial" w:hAnsi="Arial" w:cs="Arial"/>
          <w:sz w:val="22"/>
          <w:szCs w:val="22"/>
        </w:rPr>
      </w:pPr>
      <w:r w:rsidRPr="002723E6">
        <w:rPr>
          <w:rFonts w:ascii="Arial" w:hAnsi="Arial" w:cs="Arial"/>
          <w:sz w:val="22"/>
          <w:szCs w:val="22"/>
        </w:rPr>
        <w:t>The redacted table shows that at year 5, the estimated number of patients was less than 10,000 per year and the net cost to the PBS would be more than $100 million per year.</w:t>
      </w:r>
    </w:p>
    <w:p w:rsidR="00681042" w:rsidRPr="00A84A0B" w:rsidRDefault="00681042" w:rsidP="005939DA">
      <w:pPr>
        <w:rPr>
          <w:rFonts w:ascii="Arial" w:hAnsi="Arial" w:cs="Arial"/>
          <w:sz w:val="22"/>
          <w:szCs w:val="22"/>
        </w:rPr>
      </w:pPr>
    </w:p>
    <w:p w:rsidR="00681042" w:rsidRPr="00A84A0B" w:rsidRDefault="00681042" w:rsidP="005939DA">
      <w:pPr>
        <w:pStyle w:val="ListParagraph"/>
        <w:widowControl/>
        <w:numPr>
          <w:ilvl w:val="1"/>
          <w:numId w:val="1"/>
        </w:numPr>
        <w:rPr>
          <w:szCs w:val="22"/>
        </w:rPr>
      </w:pPr>
      <w:r w:rsidRPr="00A84A0B">
        <w:rPr>
          <w:szCs w:val="22"/>
        </w:rPr>
        <w:t xml:space="preserve">The minor re-submission’s approach to dose uptake was reasonable, and while some effect in Year 2 would also be expected, the effect in Year 1 would be most </w:t>
      </w:r>
      <w:r w:rsidR="003370D5" w:rsidRPr="00A84A0B">
        <w:rPr>
          <w:szCs w:val="22"/>
        </w:rPr>
        <w:t>significant</w:t>
      </w:r>
      <w:r w:rsidRPr="00A84A0B">
        <w:rPr>
          <w:szCs w:val="22"/>
        </w:rPr>
        <w:t xml:space="preserve">. While the March 2016 submission included an allowance for </w:t>
      </w:r>
      <w:r w:rsidR="00627572">
        <w:rPr>
          <w:szCs w:val="22"/>
        </w:rPr>
        <w:t>less than 10,000</w:t>
      </w:r>
      <w:r w:rsidR="00627572" w:rsidRPr="00A84A0B">
        <w:rPr>
          <w:szCs w:val="22"/>
        </w:rPr>
        <w:t xml:space="preserve"> </w:t>
      </w:r>
      <w:r w:rsidRPr="00A84A0B">
        <w:rPr>
          <w:szCs w:val="22"/>
        </w:rPr>
        <w:t xml:space="preserve">grandfathered patients, the minor re-submission increased the number of grandfathered patients to </w:t>
      </w:r>
      <w:r w:rsidR="00627572">
        <w:rPr>
          <w:szCs w:val="22"/>
        </w:rPr>
        <w:t>less than 10,000</w:t>
      </w:r>
      <w:r w:rsidRPr="00A84A0B">
        <w:rPr>
          <w:szCs w:val="22"/>
        </w:rPr>
        <w:t xml:space="preserve"> based on increased numbers of patients in the Patient Access Program </w:t>
      </w:r>
      <w:r w:rsidR="005B38B1" w:rsidRPr="00A84A0B">
        <w:rPr>
          <w:szCs w:val="22"/>
        </w:rPr>
        <w:t xml:space="preserve">which commenced upon </w:t>
      </w:r>
      <w:r w:rsidRPr="00A84A0B">
        <w:rPr>
          <w:szCs w:val="22"/>
        </w:rPr>
        <w:t>the</w:t>
      </w:r>
      <w:r w:rsidR="005B38B1" w:rsidRPr="00A84A0B">
        <w:rPr>
          <w:szCs w:val="22"/>
        </w:rPr>
        <w:t xml:space="preserve"> TGA</w:t>
      </w:r>
      <w:r w:rsidRPr="00A84A0B">
        <w:rPr>
          <w:szCs w:val="22"/>
        </w:rPr>
        <w:t xml:space="preserve"> registration of nivolumab. </w:t>
      </w:r>
      <w:r w:rsidR="00744E1E" w:rsidRPr="00A84A0B">
        <w:rPr>
          <w:szCs w:val="22"/>
        </w:rPr>
        <w:t>Including an allowance for a higher number of grandfathered patients was appropriate.</w:t>
      </w:r>
      <w:r w:rsidR="00A95389" w:rsidRPr="00A84A0B">
        <w:rPr>
          <w:szCs w:val="22"/>
        </w:rPr>
        <w:t xml:space="preserve"> However, the basis for estimating </w:t>
      </w:r>
      <w:r w:rsidR="00627572">
        <w:rPr>
          <w:szCs w:val="22"/>
        </w:rPr>
        <w:t>less than 10,000</w:t>
      </w:r>
      <w:r w:rsidR="00A95389" w:rsidRPr="00A84A0B">
        <w:rPr>
          <w:szCs w:val="22"/>
        </w:rPr>
        <w:t xml:space="preserve"> or the </w:t>
      </w:r>
      <w:r w:rsidR="00627572">
        <w:rPr>
          <w:szCs w:val="22"/>
        </w:rPr>
        <w:t>less than 10,000</w:t>
      </w:r>
      <w:r w:rsidR="00A95389" w:rsidRPr="00A84A0B">
        <w:rPr>
          <w:szCs w:val="22"/>
        </w:rPr>
        <w:t xml:space="preserve"> patients currently on the program was unclear.</w:t>
      </w:r>
      <w:r w:rsidR="00744E1E" w:rsidRPr="00A84A0B">
        <w:rPr>
          <w:szCs w:val="22"/>
        </w:rPr>
        <w:t xml:space="preserve"> </w:t>
      </w:r>
      <w:r w:rsidRPr="00A84A0B">
        <w:rPr>
          <w:szCs w:val="22"/>
        </w:rPr>
        <w:t xml:space="preserve">The minor </w:t>
      </w:r>
      <w:r w:rsidR="00C857FC" w:rsidRPr="00A84A0B">
        <w:rPr>
          <w:szCs w:val="22"/>
        </w:rPr>
        <w:t>re-</w:t>
      </w:r>
      <w:r w:rsidRPr="00A84A0B">
        <w:rPr>
          <w:szCs w:val="22"/>
        </w:rPr>
        <w:t xml:space="preserve">submission stated that currently </w:t>
      </w:r>
      <w:r w:rsidR="00627572">
        <w:rPr>
          <w:szCs w:val="22"/>
        </w:rPr>
        <w:t>less than 10,000</w:t>
      </w:r>
      <w:r w:rsidRPr="00A84A0B">
        <w:rPr>
          <w:szCs w:val="22"/>
        </w:rPr>
        <w:t xml:space="preserve"> patients are supported in the sponsor’s Patient Access Program. </w:t>
      </w:r>
      <w:r w:rsidR="00233D95" w:rsidRPr="00A84A0B">
        <w:rPr>
          <w:szCs w:val="22"/>
        </w:rPr>
        <w:t xml:space="preserve">The minor re-submission stated that the sponsor has </w:t>
      </w:r>
      <w:r w:rsidR="00D217DD" w:rsidRPr="00A84A0B">
        <w:rPr>
          <w:szCs w:val="22"/>
        </w:rPr>
        <w:t xml:space="preserve">proposed that </w:t>
      </w:r>
      <w:r w:rsidR="00233D95" w:rsidRPr="00A84A0B">
        <w:rPr>
          <w:szCs w:val="22"/>
        </w:rPr>
        <w:t>the grandfathering cap</w:t>
      </w:r>
      <w:r w:rsidR="00D217DD" w:rsidRPr="00A84A0B">
        <w:rPr>
          <w:szCs w:val="22"/>
        </w:rPr>
        <w:t xml:space="preserve"> be set </w:t>
      </w:r>
      <w:r w:rsidR="00233D95" w:rsidRPr="00A84A0B">
        <w:rPr>
          <w:szCs w:val="22"/>
        </w:rPr>
        <w:t xml:space="preserve">to </w:t>
      </w:r>
      <w:r w:rsidR="00627572">
        <w:rPr>
          <w:szCs w:val="22"/>
        </w:rPr>
        <w:t>less than 10,000</w:t>
      </w:r>
      <w:r w:rsidR="00233D95" w:rsidRPr="00A84A0B">
        <w:rPr>
          <w:szCs w:val="22"/>
        </w:rPr>
        <w:t xml:space="preserve"> (</w:t>
      </w:r>
      <w:r w:rsidR="00627572">
        <w:rPr>
          <w:szCs w:val="22"/>
        </w:rPr>
        <w:t>less than 10,000</w:t>
      </w:r>
      <w:r w:rsidR="00627572" w:rsidRPr="00A84A0B">
        <w:rPr>
          <w:szCs w:val="22"/>
        </w:rPr>
        <w:t xml:space="preserve"> </w:t>
      </w:r>
      <w:r w:rsidR="00233D95" w:rsidRPr="00A84A0B">
        <w:rPr>
          <w:szCs w:val="22"/>
        </w:rPr>
        <w:t xml:space="preserve">squamous NSCLC patients and </w:t>
      </w:r>
      <w:r w:rsidR="00627572">
        <w:rPr>
          <w:szCs w:val="22"/>
        </w:rPr>
        <w:t>less than 10,000</w:t>
      </w:r>
      <w:r w:rsidR="00233D95" w:rsidRPr="00A84A0B">
        <w:rPr>
          <w:szCs w:val="22"/>
        </w:rPr>
        <w:t xml:space="preserve"> non-squamous NSCLC patients) </w:t>
      </w:r>
      <w:r w:rsidR="00D217DD" w:rsidRPr="00A84A0B">
        <w:rPr>
          <w:szCs w:val="22"/>
        </w:rPr>
        <w:t xml:space="preserve">patients </w:t>
      </w:r>
      <w:r w:rsidR="00233D95" w:rsidRPr="00A84A0B">
        <w:rPr>
          <w:szCs w:val="22"/>
        </w:rPr>
        <w:t>and these grandfathered patients are all</w:t>
      </w:r>
      <w:r w:rsidR="00483900" w:rsidRPr="00A84A0B">
        <w:rPr>
          <w:szCs w:val="22"/>
        </w:rPr>
        <w:t xml:space="preserve"> to</w:t>
      </w:r>
      <w:r w:rsidR="00233D95" w:rsidRPr="00A84A0B">
        <w:rPr>
          <w:szCs w:val="22"/>
        </w:rPr>
        <w:t xml:space="preserve"> be </w:t>
      </w:r>
      <w:r w:rsidR="00851551">
        <w:rPr>
          <w:szCs w:val="22"/>
        </w:rPr>
        <w:t xml:space="preserve">transitioned </w:t>
      </w:r>
      <w:r w:rsidR="00233D95" w:rsidRPr="00A84A0B">
        <w:rPr>
          <w:szCs w:val="22"/>
        </w:rPr>
        <w:t>in the first year of PBS listing</w:t>
      </w:r>
      <w:r w:rsidR="00A95389" w:rsidRPr="00A84A0B">
        <w:rPr>
          <w:szCs w:val="22"/>
        </w:rPr>
        <w:t>.</w:t>
      </w:r>
      <w:r w:rsidR="00233D95" w:rsidRPr="00A84A0B">
        <w:rPr>
          <w:szCs w:val="22"/>
        </w:rPr>
        <w:t xml:space="preserve"> </w:t>
      </w:r>
      <w:r w:rsidR="00D10255" w:rsidRPr="00A84A0B">
        <w:rPr>
          <w:szCs w:val="22"/>
        </w:rPr>
        <w:t>The PBAC noted that, a</w:t>
      </w:r>
      <w:r w:rsidR="009A6676" w:rsidRPr="00A84A0B">
        <w:rPr>
          <w:szCs w:val="22"/>
        </w:rPr>
        <w:t xml:space="preserve">s proposed </w:t>
      </w:r>
      <w:r w:rsidR="00483900" w:rsidRPr="00A84A0B">
        <w:rPr>
          <w:szCs w:val="22"/>
        </w:rPr>
        <w:t xml:space="preserve">in </w:t>
      </w:r>
      <w:r w:rsidR="009A6676" w:rsidRPr="00A84A0B">
        <w:rPr>
          <w:szCs w:val="22"/>
        </w:rPr>
        <w:t>the submission, the grandfather patients</w:t>
      </w:r>
      <w:r w:rsidR="00233D95" w:rsidRPr="00A84A0B">
        <w:rPr>
          <w:szCs w:val="22"/>
        </w:rPr>
        <w:t xml:space="preserve"> </w:t>
      </w:r>
      <w:r w:rsidR="00D10255" w:rsidRPr="00A84A0B">
        <w:rPr>
          <w:szCs w:val="22"/>
        </w:rPr>
        <w:t>we</w:t>
      </w:r>
      <w:r w:rsidR="00233D95" w:rsidRPr="00A84A0B">
        <w:rPr>
          <w:szCs w:val="22"/>
        </w:rPr>
        <w:t>re not</w:t>
      </w:r>
      <w:r w:rsidR="00A95389" w:rsidRPr="00A84A0B">
        <w:rPr>
          <w:szCs w:val="22"/>
        </w:rPr>
        <w:t xml:space="preserve"> incorporated into the dosing c</w:t>
      </w:r>
      <w:r w:rsidR="00233D95" w:rsidRPr="00A84A0B">
        <w:rPr>
          <w:szCs w:val="22"/>
        </w:rPr>
        <w:t>ap adjustment.</w:t>
      </w:r>
      <w:r w:rsidR="00C343D5" w:rsidRPr="00A84A0B">
        <w:rPr>
          <w:szCs w:val="22"/>
        </w:rPr>
        <w:t xml:space="preserve"> These patients should be introduced with a variable number of </w:t>
      </w:r>
      <w:r w:rsidR="00D10255" w:rsidRPr="00A84A0B">
        <w:rPr>
          <w:szCs w:val="22"/>
        </w:rPr>
        <w:t>infusions</w:t>
      </w:r>
      <w:r w:rsidR="00ED71B5">
        <w:rPr>
          <w:szCs w:val="22"/>
        </w:rPr>
        <w:t xml:space="preserve">, applying the same methodology as proposed for the dose uptake adjustment and be limited to </w:t>
      </w:r>
      <w:r w:rsidR="00653F4E">
        <w:rPr>
          <w:noProof/>
          <w:color w:val="000000"/>
          <w:szCs w:val="22"/>
          <w:highlight w:val="black"/>
        </w:rPr>
        <w:t>'''''''</w:t>
      </w:r>
      <w:r w:rsidR="00ED71B5">
        <w:rPr>
          <w:szCs w:val="22"/>
        </w:rPr>
        <w:t xml:space="preserve"> infusions.</w:t>
      </w:r>
    </w:p>
    <w:p w:rsidR="00944A2A" w:rsidRPr="00A84A0B" w:rsidRDefault="00944A2A" w:rsidP="005939DA">
      <w:pPr>
        <w:jc w:val="both"/>
        <w:rPr>
          <w:rFonts w:ascii="Arial" w:hAnsi="Arial" w:cs="Arial"/>
          <w:sz w:val="22"/>
          <w:szCs w:val="22"/>
        </w:rPr>
      </w:pPr>
    </w:p>
    <w:p w:rsidR="005E0BA0" w:rsidRPr="00A84A0B" w:rsidRDefault="00511750" w:rsidP="005939DA">
      <w:pPr>
        <w:pStyle w:val="ListParagraph"/>
        <w:widowControl/>
        <w:numPr>
          <w:ilvl w:val="1"/>
          <w:numId w:val="1"/>
        </w:numPr>
        <w:rPr>
          <w:szCs w:val="22"/>
        </w:rPr>
      </w:pPr>
      <w:r w:rsidRPr="00A84A0B">
        <w:rPr>
          <w:szCs w:val="22"/>
        </w:rPr>
        <w:t xml:space="preserve">Overall, the </w:t>
      </w:r>
      <w:r w:rsidR="002A66DA" w:rsidRPr="00A84A0B">
        <w:rPr>
          <w:szCs w:val="22"/>
        </w:rPr>
        <w:t xml:space="preserve">minor </w:t>
      </w:r>
      <w:r w:rsidR="00641F5E" w:rsidRPr="00A84A0B">
        <w:rPr>
          <w:szCs w:val="22"/>
        </w:rPr>
        <w:t>re-</w:t>
      </w:r>
      <w:r w:rsidR="002A66DA" w:rsidRPr="00A84A0B">
        <w:rPr>
          <w:szCs w:val="22"/>
        </w:rPr>
        <w:t xml:space="preserve">submission stated that the </w:t>
      </w:r>
      <w:r w:rsidRPr="00A84A0B">
        <w:rPr>
          <w:szCs w:val="22"/>
        </w:rPr>
        <w:t xml:space="preserve">RSA proposed </w:t>
      </w:r>
      <w:r w:rsidR="002A66DA" w:rsidRPr="00A84A0B">
        <w:rPr>
          <w:szCs w:val="22"/>
        </w:rPr>
        <w:t xml:space="preserve">would </w:t>
      </w:r>
      <w:r w:rsidRPr="00A84A0B">
        <w:rPr>
          <w:szCs w:val="22"/>
        </w:rPr>
        <w:t>reduce the maximum cost to the PBS for nivolumab by $</w:t>
      </w:r>
      <w:r w:rsidR="00627572">
        <w:rPr>
          <w:szCs w:val="22"/>
        </w:rPr>
        <w:t>60 - $100</w:t>
      </w:r>
      <w:r w:rsidRPr="00A84A0B">
        <w:rPr>
          <w:szCs w:val="22"/>
        </w:rPr>
        <w:t xml:space="preserve"> million over 5 years compared to that presented in the November 2016 re-submissions. </w:t>
      </w:r>
      <w:r w:rsidR="004D640C" w:rsidRPr="00A84A0B">
        <w:rPr>
          <w:szCs w:val="22"/>
        </w:rPr>
        <w:t xml:space="preserve">The </w:t>
      </w:r>
      <w:r w:rsidR="005A1E08" w:rsidRPr="00A84A0B">
        <w:rPr>
          <w:szCs w:val="22"/>
        </w:rPr>
        <w:t xml:space="preserve">PBAC noted that </w:t>
      </w:r>
      <w:r w:rsidR="004D640C" w:rsidRPr="00A84A0B">
        <w:rPr>
          <w:szCs w:val="22"/>
        </w:rPr>
        <w:t xml:space="preserve">savings compared to the previous re-submissions were primarily due to limiting </w:t>
      </w:r>
      <w:r w:rsidR="004D640C" w:rsidRPr="00A84A0B">
        <w:rPr>
          <w:szCs w:val="22"/>
        </w:rPr>
        <w:lastRenderedPageBreak/>
        <w:t xml:space="preserve">the </w:t>
      </w:r>
      <w:r w:rsidR="004734D7" w:rsidRPr="00A84A0B">
        <w:rPr>
          <w:szCs w:val="22"/>
        </w:rPr>
        <w:t xml:space="preserve">nivolumab per patient cost for RSA and ICER purposes </w:t>
      </w:r>
      <w:r w:rsidR="003C3451" w:rsidRPr="00A84A0B">
        <w:rPr>
          <w:szCs w:val="22"/>
        </w:rPr>
        <w:t xml:space="preserve">to </w:t>
      </w:r>
      <w:r w:rsidR="00653F4E">
        <w:rPr>
          <w:noProof/>
          <w:color w:val="000000"/>
          <w:szCs w:val="22"/>
          <w:highlight w:val="black"/>
        </w:rPr>
        <w:t>''''''</w:t>
      </w:r>
      <w:r w:rsidR="003C068E" w:rsidRPr="00A84A0B">
        <w:rPr>
          <w:szCs w:val="22"/>
        </w:rPr>
        <w:t> </w:t>
      </w:r>
      <w:r w:rsidR="00D10255" w:rsidRPr="00A84A0B">
        <w:rPr>
          <w:szCs w:val="22"/>
        </w:rPr>
        <w:t xml:space="preserve">infusions per </w:t>
      </w:r>
      <w:r w:rsidR="003C3451" w:rsidRPr="00A84A0B">
        <w:rPr>
          <w:szCs w:val="22"/>
        </w:rPr>
        <w:t>patient</w:t>
      </w:r>
      <w:r w:rsidR="00C857FC" w:rsidRPr="00A84A0B">
        <w:rPr>
          <w:szCs w:val="22"/>
        </w:rPr>
        <w:t xml:space="preserve"> per year.</w:t>
      </w:r>
    </w:p>
    <w:p w:rsidR="005A1E08" w:rsidRPr="00A84A0B" w:rsidRDefault="005A1E08" w:rsidP="005939DA">
      <w:pPr>
        <w:rPr>
          <w:rFonts w:ascii="Arial" w:hAnsi="Arial" w:cs="Arial"/>
          <w:sz w:val="22"/>
          <w:szCs w:val="22"/>
        </w:rPr>
      </w:pPr>
    </w:p>
    <w:p w:rsidR="005A1E08" w:rsidRPr="00A84A0B" w:rsidRDefault="005A1E08" w:rsidP="005939DA">
      <w:pPr>
        <w:pStyle w:val="ListParagraph"/>
        <w:widowControl/>
        <w:numPr>
          <w:ilvl w:val="1"/>
          <w:numId w:val="1"/>
        </w:numPr>
        <w:rPr>
          <w:szCs w:val="22"/>
        </w:rPr>
      </w:pPr>
      <w:r w:rsidRPr="00A84A0B">
        <w:rPr>
          <w:szCs w:val="22"/>
        </w:rPr>
        <w:t xml:space="preserve">The PBAC advised that </w:t>
      </w:r>
      <w:r w:rsidRPr="00A84A0B">
        <w:rPr>
          <w:bCs/>
          <w:szCs w:val="22"/>
        </w:rPr>
        <w:t xml:space="preserve">grandfathered patients should be included in the </w:t>
      </w:r>
      <w:r w:rsidR="00777AA0">
        <w:rPr>
          <w:bCs/>
          <w:szCs w:val="22"/>
        </w:rPr>
        <w:t xml:space="preserve">overall patient </w:t>
      </w:r>
      <w:r w:rsidR="008C7215">
        <w:rPr>
          <w:bCs/>
          <w:szCs w:val="22"/>
        </w:rPr>
        <w:t xml:space="preserve">count for </w:t>
      </w:r>
      <w:r w:rsidR="002954E7">
        <w:rPr>
          <w:bCs/>
          <w:szCs w:val="22"/>
        </w:rPr>
        <w:t xml:space="preserve">the </w:t>
      </w:r>
      <w:r w:rsidRPr="00A84A0B">
        <w:rPr>
          <w:bCs/>
          <w:szCs w:val="22"/>
        </w:rPr>
        <w:t xml:space="preserve">RSA. The PBAC advised that the RSA should take into account that these patients would already have received a variable number of doses under the Patient Access Program, and should therefore </w:t>
      </w:r>
      <w:r w:rsidR="00777AA0">
        <w:rPr>
          <w:bCs/>
          <w:szCs w:val="22"/>
        </w:rPr>
        <w:t>have the same do</w:t>
      </w:r>
      <w:r w:rsidR="008C7215">
        <w:rPr>
          <w:bCs/>
          <w:szCs w:val="22"/>
        </w:rPr>
        <w:t>s</w:t>
      </w:r>
      <w:r w:rsidR="00777AA0">
        <w:rPr>
          <w:bCs/>
          <w:szCs w:val="22"/>
        </w:rPr>
        <w:t xml:space="preserve">e adjustment applied as standard patients to a maximum of </w:t>
      </w:r>
      <w:r w:rsidR="00653F4E">
        <w:rPr>
          <w:bCs/>
          <w:noProof/>
          <w:color w:val="000000"/>
          <w:szCs w:val="22"/>
          <w:highlight w:val="black"/>
        </w:rPr>
        <w:t>''''''</w:t>
      </w:r>
      <w:r w:rsidR="00777AA0">
        <w:rPr>
          <w:bCs/>
          <w:szCs w:val="22"/>
        </w:rPr>
        <w:t xml:space="preserve"> PBS subsidised infusions.</w:t>
      </w:r>
    </w:p>
    <w:p w:rsidR="00CD6C64" w:rsidRPr="00A84A0B" w:rsidRDefault="00CD6C64" w:rsidP="005939DA">
      <w:pPr>
        <w:rPr>
          <w:rFonts w:ascii="Arial" w:hAnsi="Arial" w:cs="Arial"/>
          <w:sz w:val="22"/>
          <w:szCs w:val="22"/>
        </w:rPr>
      </w:pPr>
    </w:p>
    <w:p w:rsidR="00CD6C64" w:rsidRPr="00A84A0B" w:rsidRDefault="00A5052B" w:rsidP="005939DA">
      <w:pPr>
        <w:pStyle w:val="ListParagraph"/>
        <w:widowControl/>
        <w:numPr>
          <w:ilvl w:val="1"/>
          <w:numId w:val="1"/>
        </w:numPr>
        <w:rPr>
          <w:szCs w:val="22"/>
        </w:rPr>
      </w:pPr>
      <w:r w:rsidRPr="00A84A0B">
        <w:rPr>
          <w:szCs w:val="22"/>
        </w:rPr>
        <w:t xml:space="preserve">The PBAC </w:t>
      </w:r>
      <w:r w:rsidR="00E40CA8">
        <w:rPr>
          <w:szCs w:val="22"/>
        </w:rPr>
        <w:t xml:space="preserve">advised </w:t>
      </w:r>
      <w:r w:rsidRPr="00A84A0B">
        <w:rPr>
          <w:szCs w:val="22"/>
        </w:rPr>
        <w:t xml:space="preserve">that its previous concerns with the ability of the proposed RSA to achieve its intended purposes were now allayed because </w:t>
      </w:r>
      <w:r w:rsidR="00717B80">
        <w:rPr>
          <w:szCs w:val="22"/>
        </w:rPr>
        <w:t xml:space="preserve">the </w:t>
      </w:r>
      <w:r w:rsidR="00B943F0">
        <w:rPr>
          <w:szCs w:val="22"/>
        </w:rPr>
        <w:t>total patient pool</w:t>
      </w:r>
      <w:r w:rsidR="00C41703">
        <w:rPr>
          <w:szCs w:val="22"/>
        </w:rPr>
        <w:t xml:space="preserve"> and </w:t>
      </w:r>
      <w:r w:rsidR="00B943F0">
        <w:rPr>
          <w:szCs w:val="22"/>
        </w:rPr>
        <w:t xml:space="preserve">the </w:t>
      </w:r>
      <w:r w:rsidR="00C41703">
        <w:rPr>
          <w:szCs w:val="22"/>
        </w:rPr>
        <w:t xml:space="preserve">dose-adjusted </w:t>
      </w:r>
      <w:r w:rsidR="00B943F0">
        <w:rPr>
          <w:szCs w:val="22"/>
        </w:rPr>
        <w:t xml:space="preserve">maximum duration of treatment </w:t>
      </w:r>
      <w:r w:rsidR="00C41703">
        <w:rPr>
          <w:szCs w:val="22"/>
        </w:rPr>
        <w:t xml:space="preserve">and hence the cost per patient were now </w:t>
      </w:r>
      <w:r w:rsidR="00B943F0">
        <w:rPr>
          <w:szCs w:val="22"/>
        </w:rPr>
        <w:t>clearly articulated</w:t>
      </w:r>
      <w:r w:rsidR="006F4E3D" w:rsidRPr="006F4E3D">
        <w:rPr>
          <w:szCs w:val="22"/>
        </w:rPr>
        <w:t>, and the further dose adjustments offered in the revised RSA proposal satisfactorily accounted for the lags which were the source of the PBAC’s previous concerns</w:t>
      </w:r>
      <w:r w:rsidR="00E40CA8">
        <w:rPr>
          <w:szCs w:val="22"/>
        </w:rPr>
        <w:t xml:space="preserve">. In addition, the PBAC advised that corresponding adjustments should also apply to ensure </w:t>
      </w:r>
      <w:r w:rsidR="00E40CA8" w:rsidRPr="00A84A0B">
        <w:rPr>
          <w:szCs w:val="22"/>
        </w:rPr>
        <w:t>the appropriate inclusion of grandfathered patients</w:t>
      </w:r>
      <w:r w:rsidRPr="00A84A0B">
        <w:rPr>
          <w:szCs w:val="22"/>
        </w:rPr>
        <w:t>.</w:t>
      </w:r>
      <w:r w:rsidR="00B943F0">
        <w:rPr>
          <w:szCs w:val="22"/>
        </w:rPr>
        <w:t xml:space="preserve"> </w:t>
      </w:r>
      <w:r w:rsidR="00CD6C64" w:rsidRPr="00A84A0B">
        <w:rPr>
          <w:szCs w:val="22"/>
        </w:rPr>
        <w:t xml:space="preserve">The PBAC </w:t>
      </w:r>
      <w:r w:rsidRPr="00A84A0B">
        <w:rPr>
          <w:szCs w:val="22"/>
        </w:rPr>
        <w:t xml:space="preserve">further </w:t>
      </w:r>
      <w:r w:rsidR="00E40CA8">
        <w:rPr>
          <w:szCs w:val="22"/>
        </w:rPr>
        <w:t xml:space="preserve">advised </w:t>
      </w:r>
      <w:r w:rsidR="00420CED" w:rsidRPr="00A84A0B">
        <w:rPr>
          <w:szCs w:val="22"/>
        </w:rPr>
        <w:t xml:space="preserve">that the proposed RSA with an overall cap on patient numbers </w:t>
      </w:r>
      <w:r w:rsidR="004734D7" w:rsidRPr="00A84A0B">
        <w:rPr>
          <w:szCs w:val="22"/>
        </w:rPr>
        <w:t xml:space="preserve">receiving nivolumab for NSCLC </w:t>
      </w:r>
      <w:r w:rsidR="00420CED" w:rsidRPr="00A84A0B">
        <w:rPr>
          <w:szCs w:val="22"/>
        </w:rPr>
        <w:t xml:space="preserve">and cost per patient </w:t>
      </w:r>
      <w:r w:rsidR="004734D7" w:rsidRPr="00A84A0B">
        <w:rPr>
          <w:szCs w:val="22"/>
        </w:rPr>
        <w:t xml:space="preserve">of nivolumab in NSCLC (to ensure that the estimated ICER is not exceeded) </w:t>
      </w:r>
      <w:r w:rsidR="00420CED" w:rsidRPr="00A84A0B">
        <w:rPr>
          <w:szCs w:val="22"/>
        </w:rPr>
        <w:t xml:space="preserve">and </w:t>
      </w:r>
      <w:r w:rsidR="00420CED" w:rsidRPr="00E200F3">
        <w:rPr>
          <w:szCs w:val="22"/>
        </w:rPr>
        <w:t>100</w:t>
      </w:r>
      <w:r w:rsidR="00420CED" w:rsidRPr="00A84A0B">
        <w:rPr>
          <w:szCs w:val="22"/>
        </w:rPr>
        <w:t xml:space="preserve">% rebate for utilisation over the caps would </w:t>
      </w:r>
      <w:r w:rsidR="003D5F5B" w:rsidRPr="00A84A0B">
        <w:rPr>
          <w:szCs w:val="22"/>
        </w:rPr>
        <w:t xml:space="preserve">also </w:t>
      </w:r>
      <w:r w:rsidR="00420CED" w:rsidRPr="00A84A0B">
        <w:rPr>
          <w:szCs w:val="22"/>
        </w:rPr>
        <w:t xml:space="preserve">adequately address concerns of use outside the restriction and uncertainty around treatment duration. </w:t>
      </w:r>
      <w:r w:rsidR="00E40CA8">
        <w:rPr>
          <w:szCs w:val="22"/>
        </w:rPr>
        <w:t>T</w:t>
      </w:r>
      <w:r w:rsidR="003D5F5B" w:rsidRPr="00A84A0B">
        <w:rPr>
          <w:szCs w:val="22"/>
        </w:rPr>
        <w:t xml:space="preserve">he PBAC </w:t>
      </w:r>
      <w:r w:rsidR="00E40CA8">
        <w:rPr>
          <w:szCs w:val="22"/>
        </w:rPr>
        <w:t xml:space="preserve">then advised </w:t>
      </w:r>
      <w:r w:rsidR="003D5F5B" w:rsidRPr="00A84A0B">
        <w:rPr>
          <w:szCs w:val="22"/>
        </w:rPr>
        <w:t xml:space="preserve">that the Department and sponsor ensure that the merging of this RSA with the </w:t>
      </w:r>
      <w:r w:rsidRPr="00A84A0B">
        <w:rPr>
          <w:szCs w:val="22"/>
        </w:rPr>
        <w:t xml:space="preserve">subsequently proposed </w:t>
      </w:r>
      <w:r w:rsidR="003D5F5B" w:rsidRPr="00A84A0B">
        <w:rPr>
          <w:szCs w:val="22"/>
        </w:rPr>
        <w:t xml:space="preserve">RSA to manage uncertainty related to the effectiveness of nivolumab in patients 75 years </w:t>
      </w:r>
      <w:r w:rsidR="007F4B7E" w:rsidRPr="00A84A0B">
        <w:rPr>
          <w:szCs w:val="22"/>
        </w:rPr>
        <w:t xml:space="preserve">or older </w:t>
      </w:r>
      <w:r w:rsidR="003D5F5B" w:rsidRPr="00A84A0B">
        <w:rPr>
          <w:szCs w:val="22"/>
        </w:rPr>
        <w:t xml:space="preserve">be achieved in such a way that both RSAs achieve </w:t>
      </w:r>
      <w:r w:rsidR="004734D7" w:rsidRPr="00A84A0B">
        <w:rPr>
          <w:szCs w:val="22"/>
        </w:rPr>
        <w:t xml:space="preserve">all </w:t>
      </w:r>
      <w:r w:rsidR="003D5F5B" w:rsidRPr="00A84A0B">
        <w:rPr>
          <w:szCs w:val="22"/>
        </w:rPr>
        <w:t>their objectives.</w:t>
      </w:r>
    </w:p>
    <w:p w:rsidR="000D507C" w:rsidRPr="00FC561F" w:rsidRDefault="000D507C" w:rsidP="005939DA">
      <w:pPr>
        <w:rPr>
          <w:rFonts w:ascii="Arial" w:hAnsi="Arial" w:cs="Arial"/>
          <w:bCs/>
          <w:snapToGrid w:val="0"/>
          <w:sz w:val="22"/>
          <w:szCs w:val="22"/>
          <w:highlight w:val="yellow"/>
        </w:rPr>
      </w:pPr>
    </w:p>
    <w:p w:rsidR="000D507C" w:rsidRPr="00A84A0B" w:rsidRDefault="000D507C" w:rsidP="005939DA">
      <w:pPr>
        <w:ind w:firstLine="720"/>
        <w:rPr>
          <w:rFonts w:ascii="Arial" w:hAnsi="Arial" w:cs="Arial"/>
          <w:bCs/>
          <w:snapToGrid w:val="0"/>
          <w:sz w:val="22"/>
          <w:szCs w:val="22"/>
        </w:rPr>
      </w:pPr>
      <w:r w:rsidRPr="00A84A0B">
        <w:rPr>
          <w:rFonts w:ascii="Arial" w:hAnsi="Arial" w:cs="Arial"/>
          <w:bCs/>
          <w:i/>
          <w:snapToGrid w:val="0"/>
          <w:sz w:val="22"/>
          <w:szCs w:val="22"/>
        </w:rPr>
        <w:t>For more detail on PBAC’s view, see section 7 “PBAC outcome”</w:t>
      </w:r>
      <w:r w:rsidR="00234ABF" w:rsidRPr="00A84A0B">
        <w:rPr>
          <w:rFonts w:ascii="Arial" w:hAnsi="Arial" w:cs="Arial"/>
          <w:bCs/>
          <w:i/>
          <w:snapToGrid w:val="0"/>
          <w:sz w:val="22"/>
          <w:szCs w:val="22"/>
        </w:rPr>
        <w:t>.</w:t>
      </w:r>
    </w:p>
    <w:p w:rsidR="00234ABF" w:rsidRDefault="00234ABF" w:rsidP="005939DA">
      <w:pPr>
        <w:rPr>
          <w:rFonts w:ascii="Arial" w:hAnsi="Arial" w:cs="Arial"/>
          <w:sz w:val="22"/>
          <w:szCs w:val="22"/>
        </w:rPr>
      </w:pPr>
    </w:p>
    <w:p w:rsidR="005939DA" w:rsidRPr="00A84A0B" w:rsidRDefault="005939DA" w:rsidP="005939DA">
      <w:pPr>
        <w:rPr>
          <w:rFonts w:ascii="Arial" w:hAnsi="Arial" w:cs="Arial"/>
          <w:sz w:val="22"/>
          <w:szCs w:val="22"/>
        </w:rPr>
      </w:pPr>
    </w:p>
    <w:p w:rsidR="000D507C" w:rsidRPr="00A84A0B" w:rsidRDefault="000D507C" w:rsidP="005939DA">
      <w:pPr>
        <w:pStyle w:val="PBACHeading1"/>
        <w:ind w:left="709" w:hanging="709"/>
      </w:pPr>
      <w:r w:rsidRPr="00A84A0B">
        <w:t>PBAC Outcome</w:t>
      </w:r>
    </w:p>
    <w:p w:rsidR="000D507C" w:rsidRPr="00A84A0B" w:rsidRDefault="000D507C" w:rsidP="005939DA">
      <w:pPr>
        <w:jc w:val="both"/>
        <w:rPr>
          <w:rFonts w:ascii="Arial" w:hAnsi="Arial" w:cs="Arial"/>
          <w:bCs/>
          <w:snapToGrid w:val="0"/>
          <w:sz w:val="22"/>
          <w:szCs w:val="22"/>
          <w:highlight w:val="yellow"/>
        </w:rPr>
      </w:pPr>
    </w:p>
    <w:p w:rsidR="00913F6D" w:rsidRPr="00A84A0B" w:rsidRDefault="00913F6D" w:rsidP="005939DA">
      <w:pPr>
        <w:pStyle w:val="ListParagraph"/>
        <w:widowControl/>
        <w:numPr>
          <w:ilvl w:val="1"/>
          <w:numId w:val="1"/>
        </w:numPr>
        <w:rPr>
          <w:bCs/>
          <w:szCs w:val="22"/>
        </w:rPr>
      </w:pPr>
      <w:r w:rsidRPr="00A84A0B">
        <w:rPr>
          <w:bCs/>
          <w:szCs w:val="22"/>
        </w:rPr>
        <w:t>The PBAC recommended the Authority Required (STREAMLINED) listing of nivolumab for the treatment of locally advanced or metastatic, squamous or non</w:t>
      </w:r>
      <w:r w:rsidR="00642341">
        <w:rPr>
          <w:bCs/>
          <w:szCs w:val="22"/>
        </w:rPr>
        <w:noBreakHyphen/>
      </w:r>
      <w:r w:rsidRPr="00A84A0B">
        <w:rPr>
          <w:bCs/>
          <w:szCs w:val="22"/>
        </w:rPr>
        <w:t>squamous</w:t>
      </w:r>
      <w:r w:rsidR="00D32D67" w:rsidRPr="00A84A0B">
        <w:rPr>
          <w:bCs/>
          <w:szCs w:val="22"/>
        </w:rPr>
        <w:t>,</w:t>
      </w:r>
      <w:r w:rsidRPr="00A84A0B">
        <w:rPr>
          <w:bCs/>
          <w:szCs w:val="22"/>
        </w:rPr>
        <w:t xml:space="preserve"> </w:t>
      </w:r>
      <w:r w:rsidR="00CE5F9E" w:rsidRPr="00A84A0B">
        <w:rPr>
          <w:bCs/>
          <w:szCs w:val="22"/>
        </w:rPr>
        <w:t>non-small cell lung cancer (</w:t>
      </w:r>
      <w:r w:rsidRPr="00A84A0B">
        <w:rPr>
          <w:bCs/>
          <w:szCs w:val="22"/>
        </w:rPr>
        <w:t>NSCLC</w:t>
      </w:r>
      <w:r w:rsidR="00CE5F9E" w:rsidRPr="00A84A0B">
        <w:rPr>
          <w:bCs/>
          <w:szCs w:val="22"/>
        </w:rPr>
        <w:t>)</w:t>
      </w:r>
      <w:r w:rsidR="00D31FDE" w:rsidRPr="00A84A0B">
        <w:rPr>
          <w:bCs/>
          <w:szCs w:val="22"/>
        </w:rPr>
        <w:t>. The PBAC considered that</w:t>
      </w:r>
      <w:r w:rsidR="003D5F5B" w:rsidRPr="00A84A0B">
        <w:rPr>
          <w:bCs/>
          <w:szCs w:val="22"/>
        </w:rPr>
        <w:t>, with its suggested modifications,</w:t>
      </w:r>
      <w:r w:rsidR="00D31FDE" w:rsidRPr="00A84A0B">
        <w:rPr>
          <w:bCs/>
          <w:szCs w:val="22"/>
        </w:rPr>
        <w:t xml:space="preserve"> the risk shar</w:t>
      </w:r>
      <w:r w:rsidR="00DE4242" w:rsidRPr="00A84A0B">
        <w:rPr>
          <w:bCs/>
          <w:szCs w:val="22"/>
        </w:rPr>
        <w:t>ing</w:t>
      </w:r>
      <w:r w:rsidR="00D31FDE" w:rsidRPr="00A84A0B">
        <w:rPr>
          <w:bCs/>
          <w:szCs w:val="22"/>
        </w:rPr>
        <w:t xml:space="preserve"> arrangements proposed by the sponsor </w:t>
      </w:r>
      <w:r w:rsidR="000916BA" w:rsidRPr="00A84A0B">
        <w:rPr>
          <w:bCs/>
          <w:szCs w:val="22"/>
        </w:rPr>
        <w:t xml:space="preserve">adequately addressed concerns regarding the </w:t>
      </w:r>
      <w:r w:rsidR="00642341">
        <w:rPr>
          <w:bCs/>
          <w:szCs w:val="22"/>
        </w:rPr>
        <w:t xml:space="preserve">possible </w:t>
      </w:r>
      <w:r w:rsidR="000916BA" w:rsidRPr="00A84A0B">
        <w:rPr>
          <w:bCs/>
          <w:szCs w:val="22"/>
        </w:rPr>
        <w:t>variation in the extent of effectiveness in patients 75 years</w:t>
      </w:r>
      <w:r w:rsidR="007F4B7E" w:rsidRPr="00A84A0B">
        <w:rPr>
          <w:bCs/>
          <w:szCs w:val="22"/>
        </w:rPr>
        <w:t xml:space="preserve"> </w:t>
      </w:r>
      <w:r w:rsidR="00DC05D1" w:rsidRPr="00A84A0B">
        <w:rPr>
          <w:bCs/>
          <w:szCs w:val="22"/>
        </w:rPr>
        <w:t>or older</w:t>
      </w:r>
      <w:r w:rsidR="00621F08" w:rsidRPr="00A84A0B">
        <w:rPr>
          <w:bCs/>
          <w:szCs w:val="22"/>
        </w:rPr>
        <w:t>,</w:t>
      </w:r>
      <w:r w:rsidR="00BD2373" w:rsidRPr="00A84A0B">
        <w:rPr>
          <w:bCs/>
          <w:szCs w:val="22"/>
        </w:rPr>
        <w:t xml:space="preserve"> and uncertaint</w:t>
      </w:r>
      <w:r w:rsidR="00D61C0C">
        <w:rPr>
          <w:bCs/>
          <w:szCs w:val="22"/>
        </w:rPr>
        <w:t>ies</w:t>
      </w:r>
      <w:r w:rsidR="00BD2373" w:rsidRPr="00A84A0B">
        <w:rPr>
          <w:bCs/>
          <w:szCs w:val="22"/>
        </w:rPr>
        <w:t xml:space="preserve"> </w:t>
      </w:r>
      <w:r w:rsidR="00126760" w:rsidRPr="00A84A0B">
        <w:rPr>
          <w:bCs/>
          <w:szCs w:val="22"/>
        </w:rPr>
        <w:t xml:space="preserve">regarding </w:t>
      </w:r>
      <w:r w:rsidR="00BD2373" w:rsidRPr="00A84A0B">
        <w:rPr>
          <w:bCs/>
          <w:szCs w:val="22"/>
        </w:rPr>
        <w:t>the ICERs presented in</w:t>
      </w:r>
      <w:r w:rsidR="00234ABF" w:rsidRPr="00A84A0B">
        <w:rPr>
          <w:bCs/>
          <w:szCs w:val="22"/>
        </w:rPr>
        <w:t xml:space="preserve"> the November 2016 submissions</w:t>
      </w:r>
      <w:r w:rsidR="003D5F5B" w:rsidRPr="00A84A0B">
        <w:rPr>
          <w:bCs/>
          <w:szCs w:val="22"/>
        </w:rPr>
        <w:t xml:space="preserve">, </w:t>
      </w:r>
      <w:r w:rsidR="00FB2411" w:rsidRPr="00A84A0B">
        <w:rPr>
          <w:bCs/>
          <w:szCs w:val="22"/>
        </w:rPr>
        <w:t xml:space="preserve">the </w:t>
      </w:r>
      <w:r w:rsidR="003D5F5B" w:rsidRPr="00A84A0B">
        <w:rPr>
          <w:bCs/>
          <w:szCs w:val="22"/>
        </w:rPr>
        <w:t>overall numbers</w:t>
      </w:r>
      <w:r w:rsidR="00621F08" w:rsidRPr="00A84A0B">
        <w:rPr>
          <w:bCs/>
          <w:szCs w:val="22"/>
        </w:rPr>
        <w:t xml:space="preserve"> using nivolumab in </w:t>
      </w:r>
      <w:r w:rsidR="00FB2411" w:rsidRPr="00A84A0B">
        <w:rPr>
          <w:bCs/>
          <w:szCs w:val="22"/>
        </w:rPr>
        <w:t>N</w:t>
      </w:r>
      <w:r w:rsidR="00621F08" w:rsidRPr="00A84A0B">
        <w:rPr>
          <w:bCs/>
          <w:szCs w:val="22"/>
        </w:rPr>
        <w:t>SCLC</w:t>
      </w:r>
      <w:r w:rsidR="003D5F5B" w:rsidRPr="00A84A0B">
        <w:rPr>
          <w:bCs/>
          <w:szCs w:val="22"/>
        </w:rPr>
        <w:t xml:space="preserve">, </w:t>
      </w:r>
      <w:r w:rsidR="00FB2411" w:rsidRPr="00A84A0B">
        <w:rPr>
          <w:bCs/>
          <w:szCs w:val="22"/>
        </w:rPr>
        <w:t xml:space="preserve">the </w:t>
      </w:r>
      <w:r w:rsidR="00D61C0C">
        <w:rPr>
          <w:bCs/>
          <w:szCs w:val="22"/>
        </w:rPr>
        <w:t xml:space="preserve">risk of leakage </w:t>
      </w:r>
      <w:r w:rsidR="00621F08" w:rsidRPr="00A84A0B">
        <w:rPr>
          <w:bCs/>
          <w:szCs w:val="22"/>
        </w:rPr>
        <w:t xml:space="preserve">of nivolumab </w:t>
      </w:r>
      <w:r w:rsidR="003D5F5B" w:rsidRPr="00A84A0B">
        <w:rPr>
          <w:bCs/>
          <w:szCs w:val="22"/>
        </w:rPr>
        <w:t xml:space="preserve">outside of </w:t>
      </w:r>
      <w:r w:rsidR="00D61C0C">
        <w:rPr>
          <w:bCs/>
          <w:szCs w:val="22"/>
        </w:rPr>
        <w:t>the intended</w:t>
      </w:r>
      <w:r w:rsidR="00D61C0C" w:rsidRPr="00A84A0B">
        <w:rPr>
          <w:bCs/>
          <w:szCs w:val="22"/>
        </w:rPr>
        <w:t xml:space="preserve"> </w:t>
      </w:r>
      <w:r w:rsidR="003D5F5B" w:rsidRPr="00A84A0B">
        <w:rPr>
          <w:bCs/>
          <w:szCs w:val="22"/>
        </w:rPr>
        <w:t xml:space="preserve">restriction, and </w:t>
      </w:r>
      <w:r w:rsidR="00FB2411" w:rsidRPr="00A84A0B">
        <w:rPr>
          <w:bCs/>
          <w:szCs w:val="22"/>
        </w:rPr>
        <w:t xml:space="preserve">the </w:t>
      </w:r>
      <w:r w:rsidR="00621F08" w:rsidRPr="00A84A0B">
        <w:rPr>
          <w:bCs/>
          <w:szCs w:val="22"/>
        </w:rPr>
        <w:t xml:space="preserve">duration of nivolumab </w:t>
      </w:r>
      <w:r w:rsidR="003D5F5B" w:rsidRPr="00A84A0B">
        <w:rPr>
          <w:bCs/>
          <w:szCs w:val="22"/>
        </w:rPr>
        <w:t>treatment</w:t>
      </w:r>
      <w:r w:rsidR="00234ABF" w:rsidRPr="00A84A0B">
        <w:rPr>
          <w:bCs/>
          <w:szCs w:val="22"/>
        </w:rPr>
        <w:t>.</w:t>
      </w:r>
    </w:p>
    <w:p w:rsidR="000916BA" w:rsidRPr="00A84A0B" w:rsidRDefault="000916BA" w:rsidP="005939DA">
      <w:pPr>
        <w:rPr>
          <w:rFonts w:ascii="Arial" w:hAnsi="Arial" w:cs="Arial"/>
          <w:bCs/>
          <w:sz w:val="22"/>
          <w:szCs w:val="22"/>
        </w:rPr>
      </w:pPr>
    </w:p>
    <w:p w:rsidR="00913F6D" w:rsidRPr="00A84A0B" w:rsidRDefault="000916BA" w:rsidP="005939DA">
      <w:pPr>
        <w:pStyle w:val="ListParagraph"/>
        <w:widowControl/>
        <w:numPr>
          <w:ilvl w:val="1"/>
          <w:numId w:val="1"/>
        </w:numPr>
        <w:rPr>
          <w:bCs/>
          <w:szCs w:val="22"/>
        </w:rPr>
      </w:pPr>
      <w:r w:rsidRPr="00A84A0B">
        <w:rPr>
          <w:bCs/>
          <w:szCs w:val="22"/>
        </w:rPr>
        <w:t>The PBAC reiterated its view that there is a clinical need for new treatments for patients with s</w:t>
      </w:r>
      <w:r w:rsidR="00234ABF" w:rsidRPr="00A84A0B">
        <w:rPr>
          <w:bCs/>
          <w:szCs w:val="22"/>
        </w:rPr>
        <w:t>quamous and non-squamous NSCLC.</w:t>
      </w:r>
    </w:p>
    <w:p w:rsidR="00222C61" w:rsidRPr="00A84A0B" w:rsidRDefault="00222C61" w:rsidP="005939DA">
      <w:pPr>
        <w:rPr>
          <w:rFonts w:ascii="Arial" w:hAnsi="Arial" w:cs="Arial"/>
          <w:bCs/>
          <w:sz w:val="22"/>
          <w:szCs w:val="22"/>
        </w:rPr>
      </w:pPr>
    </w:p>
    <w:p w:rsidR="00954DB2" w:rsidRPr="00A84A0B" w:rsidRDefault="00347632" w:rsidP="005939DA">
      <w:pPr>
        <w:pStyle w:val="ListParagraph"/>
        <w:widowControl/>
        <w:numPr>
          <w:ilvl w:val="1"/>
          <w:numId w:val="1"/>
        </w:numPr>
        <w:rPr>
          <w:bCs/>
          <w:szCs w:val="22"/>
        </w:rPr>
      </w:pPr>
      <w:r w:rsidRPr="00A84A0B">
        <w:rPr>
          <w:bCs/>
          <w:szCs w:val="22"/>
        </w:rPr>
        <w:t>The PBAC noted that the meta-analyses of pre-defined subgroups (based on PD-L1 expression) of the nivolumab trials presented did not indicate a clear predicti</w:t>
      </w:r>
      <w:r w:rsidR="00621F08" w:rsidRPr="00A84A0B">
        <w:rPr>
          <w:bCs/>
          <w:szCs w:val="22"/>
        </w:rPr>
        <w:t xml:space="preserve">on by </w:t>
      </w:r>
      <w:r w:rsidRPr="00A84A0B">
        <w:rPr>
          <w:bCs/>
          <w:szCs w:val="22"/>
        </w:rPr>
        <w:t xml:space="preserve">PD-L1 status on </w:t>
      </w:r>
      <w:r w:rsidR="00621F08" w:rsidRPr="00A84A0B">
        <w:rPr>
          <w:bCs/>
          <w:szCs w:val="22"/>
        </w:rPr>
        <w:t xml:space="preserve">the </w:t>
      </w:r>
      <w:r w:rsidRPr="00A84A0B">
        <w:rPr>
          <w:bCs/>
          <w:szCs w:val="22"/>
        </w:rPr>
        <w:t>comparative effectiveness</w:t>
      </w:r>
      <w:r w:rsidR="00621F08" w:rsidRPr="00A84A0B">
        <w:rPr>
          <w:bCs/>
          <w:szCs w:val="22"/>
        </w:rPr>
        <w:t xml:space="preserve"> of nivolumab</w:t>
      </w:r>
      <w:r w:rsidRPr="00A84A0B">
        <w:rPr>
          <w:bCs/>
          <w:szCs w:val="22"/>
        </w:rPr>
        <w:t xml:space="preserve">. The PBAC </w:t>
      </w:r>
      <w:r w:rsidR="00767FFE" w:rsidRPr="00A84A0B">
        <w:rPr>
          <w:bCs/>
          <w:szCs w:val="22"/>
        </w:rPr>
        <w:t xml:space="preserve">therefore </w:t>
      </w:r>
      <w:r w:rsidRPr="00A84A0B">
        <w:rPr>
          <w:bCs/>
          <w:szCs w:val="22"/>
        </w:rPr>
        <w:t xml:space="preserve">considered that </w:t>
      </w:r>
      <w:r w:rsidR="00767FFE" w:rsidRPr="00A84A0B">
        <w:rPr>
          <w:bCs/>
          <w:szCs w:val="22"/>
        </w:rPr>
        <w:t xml:space="preserve">it would be appropriate to provide </w:t>
      </w:r>
      <w:r w:rsidRPr="00A84A0B">
        <w:rPr>
          <w:bCs/>
          <w:szCs w:val="22"/>
        </w:rPr>
        <w:t>nivolumab to a broad population of patients irrespective of PD-L1 status</w:t>
      </w:r>
      <w:r w:rsidR="00767FFE" w:rsidRPr="00A84A0B">
        <w:rPr>
          <w:bCs/>
          <w:szCs w:val="22"/>
        </w:rPr>
        <w:t xml:space="preserve">, with reporting on biomarker status evidence </w:t>
      </w:r>
      <w:r w:rsidR="00621F08" w:rsidRPr="00A84A0B">
        <w:rPr>
          <w:bCs/>
          <w:szCs w:val="22"/>
        </w:rPr>
        <w:t xml:space="preserve">updated </w:t>
      </w:r>
      <w:r w:rsidR="00767FFE" w:rsidRPr="00A84A0B">
        <w:rPr>
          <w:bCs/>
          <w:szCs w:val="22"/>
        </w:rPr>
        <w:t xml:space="preserve">to the PBAC by the sponsor </w:t>
      </w:r>
      <w:r w:rsidR="00621F08" w:rsidRPr="00A84A0B">
        <w:rPr>
          <w:bCs/>
          <w:szCs w:val="22"/>
        </w:rPr>
        <w:t>in a new submission if this conclusion should be modified</w:t>
      </w:r>
      <w:r w:rsidRPr="00A84A0B">
        <w:rPr>
          <w:bCs/>
          <w:szCs w:val="22"/>
        </w:rPr>
        <w:t xml:space="preserve">. The PBAC </w:t>
      </w:r>
      <w:r w:rsidR="00767FFE" w:rsidRPr="00A84A0B">
        <w:rPr>
          <w:bCs/>
          <w:szCs w:val="22"/>
        </w:rPr>
        <w:t xml:space="preserve">requested that the sponsor provide more information on the </w:t>
      </w:r>
      <w:r w:rsidR="00767FFE" w:rsidRPr="00A84A0B">
        <w:rPr>
          <w:bCs/>
          <w:szCs w:val="22"/>
        </w:rPr>
        <w:lastRenderedPageBreak/>
        <w:t xml:space="preserve">ability to conduct </w:t>
      </w:r>
      <w:r w:rsidR="00621F08" w:rsidRPr="00A84A0B">
        <w:rPr>
          <w:bCs/>
          <w:szCs w:val="22"/>
        </w:rPr>
        <w:t xml:space="preserve">further </w:t>
      </w:r>
      <w:r w:rsidR="00E21E30" w:rsidRPr="00A84A0B">
        <w:rPr>
          <w:bCs/>
          <w:szCs w:val="22"/>
        </w:rPr>
        <w:t xml:space="preserve">post hoc </w:t>
      </w:r>
      <w:r w:rsidR="00767FFE" w:rsidRPr="00A84A0B">
        <w:rPr>
          <w:bCs/>
          <w:szCs w:val="22"/>
        </w:rPr>
        <w:t>analys</w:t>
      </w:r>
      <w:r w:rsidR="00621F08" w:rsidRPr="00A84A0B">
        <w:rPr>
          <w:bCs/>
          <w:szCs w:val="22"/>
        </w:rPr>
        <w:t>e</w:t>
      </w:r>
      <w:r w:rsidR="00767FFE" w:rsidRPr="00A84A0B">
        <w:rPr>
          <w:bCs/>
          <w:szCs w:val="22"/>
        </w:rPr>
        <w:t xml:space="preserve">s </w:t>
      </w:r>
      <w:r w:rsidR="00E21E30" w:rsidRPr="00A84A0B">
        <w:rPr>
          <w:bCs/>
          <w:szCs w:val="22"/>
        </w:rPr>
        <w:t xml:space="preserve">on stored samples from </w:t>
      </w:r>
      <w:r w:rsidR="00621F08" w:rsidRPr="00A84A0B">
        <w:rPr>
          <w:bCs/>
          <w:szCs w:val="22"/>
        </w:rPr>
        <w:t xml:space="preserve">trial participants in </w:t>
      </w:r>
      <w:r w:rsidR="00E21E30" w:rsidRPr="00A84A0B">
        <w:rPr>
          <w:bCs/>
          <w:szCs w:val="22"/>
        </w:rPr>
        <w:t xml:space="preserve">previous and current trials </w:t>
      </w:r>
      <w:r w:rsidR="00767FFE" w:rsidRPr="00A84A0B">
        <w:rPr>
          <w:bCs/>
          <w:szCs w:val="22"/>
        </w:rPr>
        <w:t>if a new potential biomarker emerges</w:t>
      </w:r>
      <w:r w:rsidRPr="00A84A0B">
        <w:rPr>
          <w:bCs/>
          <w:szCs w:val="22"/>
        </w:rPr>
        <w:t xml:space="preserve">. The PBAC </w:t>
      </w:r>
      <w:r w:rsidR="00621F08" w:rsidRPr="00A84A0B">
        <w:rPr>
          <w:bCs/>
          <w:szCs w:val="22"/>
        </w:rPr>
        <w:t xml:space="preserve">therefore </w:t>
      </w:r>
      <w:r w:rsidR="00767FFE" w:rsidRPr="00A84A0B">
        <w:rPr>
          <w:bCs/>
          <w:szCs w:val="22"/>
        </w:rPr>
        <w:t xml:space="preserve">recommended </w:t>
      </w:r>
      <w:r w:rsidRPr="00A84A0B">
        <w:rPr>
          <w:bCs/>
          <w:szCs w:val="22"/>
        </w:rPr>
        <w:t xml:space="preserve">that if a biomarker </w:t>
      </w:r>
      <w:r w:rsidR="00767FFE" w:rsidRPr="00A84A0B">
        <w:rPr>
          <w:bCs/>
          <w:szCs w:val="22"/>
        </w:rPr>
        <w:t xml:space="preserve">that </w:t>
      </w:r>
      <w:r w:rsidR="00621F08" w:rsidRPr="00A84A0B">
        <w:rPr>
          <w:bCs/>
          <w:szCs w:val="22"/>
        </w:rPr>
        <w:t xml:space="preserve">did predict </w:t>
      </w:r>
      <w:r w:rsidR="00767FFE" w:rsidRPr="00A84A0B">
        <w:rPr>
          <w:bCs/>
          <w:szCs w:val="22"/>
        </w:rPr>
        <w:t xml:space="preserve">treatment effect modification </w:t>
      </w:r>
      <w:r w:rsidRPr="00A84A0B">
        <w:rPr>
          <w:bCs/>
          <w:szCs w:val="22"/>
        </w:rPr>
        <w:t>w</w:t>
      </w:r>
      <w:r w:rsidR="00767FFE" w:rsidRPr="00A84A0B">
        <w:rPr>
          <w:bCs/>
          <w:szCs w:val="22"/>
        </w:rPr>
        <w:t>as</w:t>
      </w:r>
      <w:r w:rsidRPr="00A84A0B">
        <w:rPr>
          <w:bCs/>
          <w:szCs w:val="22"/>
        </w:rPr>
        <w:t xml:space="preserve"> identified, </w:t>
      </w:r>
      <w:r w:rsidR="00767FFE" w:rsidRPr="00A84A0B">
        <w:rPr>
          <w:bCs/>
          <w:szCs w:val="22"/>
        </w:rPr>
        <w:t>the sponsor would be required to</w:t>
      </w:r>
      <w:r w:rsidRPr="00A84A0B">
        <w:rPr>
          <w:bCs/>
          <w:szCs w:val="22"/>
        </w:rPr>
        <w:t xml:space="preserve"> </w:t>
      </w:r>
      <w:r w:rsidR="00767FFE" w:rsidRPr="00A84A0B">
        <w:rPr>
          <w:bCs/>
          <w:szCs w:val="22"/>
        </w:rPr>
        <w:t>make a new submission to the PBAC (and MSAC if applicable)</w:t>
      </w:r>
      <w:r w:rsidRPr="00A84A0B">
        <w:rPr>
          <w:bCs/>
          <w:szCs w:val="22"/>
        </w:rPr>
        <w:t>.</w:t>
      </w:r>
    </w:p>
    <w:p w:rsidR="00954DB2" w:rsidRPr="00A84A0B" w:rsidRDefault="00954DB2" w:rsidP="005939DA">
      <w:pPr>
        <w:rPr>
          <w:rFonts w:ascii="Arial" w:hAnsi="Arial" w:cs="Arial"/>
          <w:bCs/>
          <w:sz w:val="22"/>
          <w:szCs w:val="22"/>
        </w:rPr>
      </w:pPr>
    </w:p>
    <w:p w:rsidR="00347632" w:rsidRPr="00A84A0B" w:rsidRDefault="00347632" w:rsidP="005939DA">
      <w:pPr>
        <w:pStyle w:val="ListParagraph"/>
        <w:widowControl/>
        <w:numPr>
          <w:ilvl w:val="1"/>
          <w:numId w:val="1"/>
        </w:numPr>
        <w:rPr>
          <w:bCs/>
          <w:szCs w:val="22"/>
        </w:rPr>
      </w:pPr>
      <w:r w:rsidRPr="00A84A0B">
        <w:rPr>
          <w:bCs/>
          <w:szCs w:val="22"/>
        </w:rPr>
        <w:t xml:space="preserve">The PBAC </w:t>
      </w:r>
      <w:r w:rsidR="00642341">
        <w:rPr>
          <w:bCs/>
          <w:szCs w:val="22"/>
        </w:rPr>
        <w:t>considered the</w:t>
      </w:r>
      <w:r w:rsidR="00767FFE" w:rsidRPr="00A84A0B">
        <w:rPr>
          <w:bCs/>
          <w:szCs w:val="22"/>
        </w:rPr>
        <w:t xml:space="preserve"> potential </w:t>
      </w:r>
      <w:r w:rsidR="00FB2411" w:rsidRPr="00A84A0B">
        <w:rPr>
          <w:bCs/>
          <w:szCs w:val="22"/>
        </w:rPr>
        <w:t xml:space="preserve">consequences for </w:t>
      </w:r>
      <w:r w:rsidR="00767FFE" w:rsidRPr="00A84A0B">
        <w:rPr>
          <w:bCs/>
          <w:szCs w:val="22"/>
        </w:rPr>
        <w:t>any new submission</w:t>
      </w:r>
      <w:r w:rsidR="00642341">
        <w:rPr>
          <w:bCs/>
          <w:szCs w:val="22"/>
        </w:rPr>
        <w:t xml:space="preserve"> could include</w:t>
      </w:r>
      <w:r w:rsidRPr="00A84A0B">
        <w:rPr>
          <w:bCs/>
          <w:szCs w:val="22"/>
        </w:rPr>
        <w:t>:</w:t>
      </w:r>
    </w:p>
    <w:p w:rsidR="00347632" w:rsidRPr="00A84A0B" w:rsidRDefault="00767FFE" w:rsidP="005939DA">
      <w:pPr>
        <w:pStyle w:val="ListParagraph"/>
        <w:widowControl/>
        <w:numPr>
          <w:ilvl w:val="0"/>
          <w:numId w:val="21"/>
        </w:numPr>
        <w:ind w:left="993" w:hanging="284"/>
        <w:rPr>
          <w:bCs/>
          <w:szCs w:val="22"/>
        </w:rPr>
      </w:pPr>
      <w:r w:rsidRPr="00A84A0B">
        <w:rPr>
          <w:bCs/>
          <w:szCs w:val="22"/>
        </w:rPr>
        <w:t>If a s</w:t>
      </w:r>
      <w:r w:rsidR="00347632" w:rsidRPr="00A84A0B">
        <w:rPr>
          <w:bCs/>
          <w:szCs w:val="22"/>
        </w:rPr>
        <w:t xml:space="preserve">ubgroup with </w:t>
      </w:r>
      <w:r w:rsidRPr="00A84A0B">
        <w:rPr>
          <w:bCs/>
          <w:szCs w:val="22"/>
        </w:rPr>
        <w:t xml:space="preserve">a </w:t>
      </w:r>
      <w:r w:rsidR="00347632" w:rsidRPr="00A84A0B">
        <w:rPr>
          <w:bCs/>
          <w:szCs w:val="22"/>
        </w:rPr>
        <w:t>better outcome</w:t>
      </w:r>
      <w:r w:rsidRPr="00A84A0B">
        <w:rPr>
          <w:bCs/>
          <w:szCs w:val="22"/>
        </w:rPr>
        <w:t xml:space="preserve"> was identified</w:t>
      </w:r>
      <w:r w:rsidR="00347632" w:rsidRPr="00A84A0B">
        <w:rPr>
          <w:bCs/>
          <w:szCs w:val="22"/>
        </w:rPr>
        <w:t xml:space="preserve"> –</w:t>
      </w:r>
      <w:r w:rsidR="00234ABF" w:rsidRPr="00A84A0B">
        <w:rPr>
          <w:bCs/>
          <w:szCs w:val="22"/>
        </w:rPr>
        <w:t xml:space="preserve"> </w:t>
      </w:r>
      <w:r w:rsidR="00347632" w:rsidRPr="00A84A0B">
        <w:rPr>
          <w:bCs/>
          <w:szCs w:val="22"/>
        </w:rPr>
        <w:t>no increase to the price of nivolumab</w:t>
      </w:r>
      <w:r w:rsidR="00642341">
        <w:rPr>
          <w:bCs/>
          <w:szCs w:val="22"/>
        </w:rPr>
        <w:t xml:space="preserve"> may be warranted</w:t>
      </w:r>
      <w:r w:rsidR="00347632" w:rsidRPr="00A84A0B">
        <w:rPr>
          <w:bCs/>
          <w:szCs w:val="22"/>
        </w:rPr>
        <w:t>;</w:t>
      </w:r>
    </w:p>
    <w:p w:rsidR="00347632" w:rsidRPr="00A84A0B" w:rsidRDefault="00767FFE" w:rsidP="005939DA">
      <w:pPr>
        <w:pStyle w:val="ListParagraph"/>
        <w:widowControl/>
        <w:numPr>
          <w:ilvl w:val="0"/>
          <w:numId w:val="21"/>
        </w:numPr>
        <w:ind w:left="993" w:hanging="284"/>
        <w:rPr>
          <w:bCs/>
          <w:szCs w:val="22"/>
        </w:rPr>
      </w:pPr>
      <w:r w:rsidRPr="00A84A0B">
        <w:rPr>
          <w:bCs/>
          <w:szCs w:val="22"/>
        </w:rPr>
        <w:t>If a s</w:t>
      </w:r>
      <w:r w:rsidR="00347632" w:rsidRPr="00A84A0B">
        <w:rPr>
          <w:bCs/>
          <w:szCs w:val="22"/>
        </w:rPr>
        <w:t xml:space="preserve">ubgroup with no effect or </w:t>
      </w:r>
      <w:r w:rsidRPr="00A84A0B">
        <w:rPr>
          <w:bCs/>
          <w:szCs w:val="22"/>
        </w:rPr>
        <w:t xml:space="preserve">a </w:t>
      </w:r>
      <w:r w:rsidR="00347632" w:rsidRPr="00A84A0B">
        <w:rPr>
          <w:bCs/>
          <w:szCs w:val="22"/>
        </w:rPr>
        <w:t>worse outcome</w:t>
      </w:r>
      <w:r w:rsidRPr="00A84A0B">
        <w:rPr>
          <w:bCs/>
          <w:szCs w:val="22"/>
        </w:rPr>
        <w:t xml:space="preserve"> was identified</w:t>
      </w:r>
      <w:r w:rsidR="00347632" w:rsidRPr="00A84A0B">
        <w:rPr>
          <w:bCs/>
          <w:szCs w:val="22"/>
        </w:rPr>
        <w:t xml:space="preserve"> – </w:t>
      </w:r>
      <w:r w:rsidRPr="00A84A0B">
        <w:rPr>
          <w:bCs/>
          <w:szCs w:val="22"/>
        </w:rPr>
        <w:t>t</w:t>
      </w:r>
      <w:r w:rsidR="00347632" w:rsidRPr="00A84A0B">
        <w:rPr>
          <w:bCs/>
          <w:szCs w:val="22"/>
        </w:rPr>
        <w:t xml:space="preserve">he restriction should be narrowed to exclude these patients from PBS subsidised treatment. </w:t>
      </w:r>
      <w:r w:rsidRPr="00A84A0B">
        <w:rPr>
          <w:bCs/>
          <w:szCs w:val="22"/>
        </w:rPr>
        <w:t xml:space="preserve">There would be no retrospective </w:t>
      </w:r>
      <w:r w:rsidR="00347632" w:rsidRPr="00A84A0B">
        <w:rPr>
          <w:bCs/>
          <w:szCs w:val="22"/>
        </w:rPr>
        <w:t>rebate requested for the</w:t>
      </w:r>
      <w:r w:rsidRPr="00A84A0B">
        <w:rPr>
          <w:bCs/>
          <w:szCs w:val="22"/>
        </w:rPr>
        <w:t>se</w:t>
      </w:r>
      <w:r w:rsidR="00347632" w:rsidRPr="00A84A0B">
        <w:rPr>
          <w:bCs/>
          <w:szCs w:val="22"/>
        </w:rPr>
        <w:t xml:space="preserve"> patients</w:t>
      </w:r>
      <w:r w:rsidRPr="00A84A0B">
        <w:rPr>
          <w:bCs/>
          <w:szCs w:val="22"/>
        </w:rPr>
        <w:t>, however the</w:t>
      </w:r>
      <w:r w:rsidR="00347632" w:rsidRPr="00A84A0B">
        <w:rPr>
          <w:bCs/>
          <w:szCs w:val="22"/>
        </w:rPr>
        <w:t xml:space="preserve"> RSA </w:t>
      </w:r>
      <w:r w:rsidRPr="00A84A0B">
        <w:rPr>
          <w:bCs/>
          <w:szCs w:val="22"/>
        </w:rPr>
        <w:t>would</w:t>
      </w:r>
      <w:r w:rsidR="00347632" w:rsidRPr="00A84A0B">
        <w:rPr>
          <w:bCs/>
          <w:szCs w:val="22"/>
        </w:rPr>
        <w:t xml:space="preserve"> be adjusted accordingly to account for the exclusion of these patients.</w:t>
      </w:r>
    </w:p>
    <w:p w:rsidR="00E21E30" w:rsidRPr="00A84A0B" w:rsidRDefault="00E21E30" w:rsidP="005939DA">
      <w:pPr>
        <w:rPr>
          <w:rFonts w:ascii="Arial" w:hAnsi="Arial" w:cs="Arial"/>
          <w:bCs/>
          <w:sz w:val="22"/>
          <w:szCs w:val="22"/>
        </w:rPr>
      </w:pPr>
    </w:p>
    <w:p w:rsidR="00913F6D" w:rsidRPr="00A84A0B" w:rsidRDefault="00111235" w:rsidP="005939DA">
      <w:pPr>
        <w:pStyle w:val="ListParagraph"/>
        <w:widowControl/>
        <w:numPr>
          <w:ilvl w:val="1"/>
          <w:numId w:val="1"/>
        </w:numPr>
        <w:rPr>
          <w:bCs/>
          <w:szCs w:val="22"/>
        </w:rPr>
      </w:pPr>
      <w:r w:rsidRPr="00A84A0B">
        <w:rPr>
          <w:bCs/>
          <w:szCs w:val="22"/>
        </w:rPr>
        <w:t>The PBAC noted that the meta</w:t>
      </w:r>
      <w:r w:rsidR="003924B2" w:rsidRPr="00A84A0B">
        <w:rPr>
          <w:bCs/>
          <w:szCs w:val="22"/>
        </w:rPr>
        <w:t>-analys</w:t>
      </w:r>
      <w:r w:rsidR="00621F08" w:rsidRPr="00A84A0B">
        <w:rPr>
          <w:bCs/>
          <w:szCs w:val="22"/>
        </w:rPr>
        <w:t>e</w:t>
      </w:r>
      <w:r w:rsidR="003924B2" w:rsidRPr="00A84A0B">
        <w:rPr>
          <w:bCs/>
          <w:szCs w:val="22"/>
        </w:rPr>
        <w:t xml:space="preserve">s of </w:t>
      </w:r>
      <w:r w:rsidR="00F1315D" w:rsidRPr="00A84A0B">
        <w:rPr>
          <w:bCs/>
          <w:szCs w:val="22"/>
        </w:rPr>
        <w:t xml:space="preserve">randomised trials of </w:t>
      </w:r>
      <w:r w:rsidR="003924B2" w:rsidRPr="00A84A0B">
        <w:rPr>
          <w:bCs/>
          <w:szCs w:val="22"/>
        </w:rPr>
        <w:t>nivolumab</w:t>
      </w:r>
      <w:r w:rsidR="00DF5AEE" w:rsidRPr="00A84A0B">
        <w:rPr>
          <w:bCs/>
          <w:szCs w:val="22"/>
        </w:rPr>
        <w:t xml:space="preserve"> </w:t>
      </w:r>
      <w:r w:rsidR="00621F08" w:rsidRPr="00A84A0B">
        <w:rPr>
          <w:bCs/>
          <w:szCs w:val="22"/>
        </w:rPr>
        <w:t xml:space="preserve">in </w:t>
      </w:r>
      <w:r w:rsidR="00DF5AEE" w:rsidRPr="00A84A0B">
        <w:rPr>
          <w:bCs/>
          <w:szCs w:val="22"/>
        </w:rPr>
        <w:t>NSCLC</w:t>
      </w:r>
      <w:r w:rsidR="00621F08" w:rsidRPr="00A84A0B">
        <w:rPr>
          <w:bCs/>
          <w:szCs w:val="22"/>
        </w:rPr>
        <w:t>,</w:t>
      </w:r>
      <w:r w:rsidR="003924B2" w:rsidRPr="00A84A0B">
        <w:rPr>
          <w:bCs/>
          <w:szCs w:val="22"/>
        </w:rPr>
        <w:t xml:space="preserve"> </w:t>
      </w:r>
      <w:r w:rsidR="004E4A53" w:rsidRPr="00A84A0B">
        <w:rPr>
          <w:bCs/>
          <w:szCs w:val="22"/>
        </w:rPr>
        <w:t>and in NSCLC, melanoma and renal cell carcinoma combined</w:t>
      </w:r>
      <w:r w:rsidR="00621F08" w:rsidRPr="00A84A0B">
        <w:rPr>
          <w:bCs/>
          <w:szCs w:val="22"/>
        </w:rPr>
        <w:t>,</w:t>
      </w:r>
      <w:r w:rsidR="004E4A53" w:rsidRPr="00A84A0B">
        <w:rPr>
          <w:bCs/>
          <w:szCs w:val="22"/>
        </w:rPr>
        <w:t xml:space="preserve"> </w:t>
      </w:r>
      <w:r w:rsidR="00621F08" w:rsidRPr="00A84A0B">
        <w:rPr>
          <w:bCs/>
          <w:szCs w:val="22"/>
        </w:rPr>
        <w:t xml:space="preserve">both </w:t>
      </w:r>
      <w:r w:rsidR="004E4A53" w:rsidRPr="00A84A0B">
        <w:rPr>
          <w:bCs/>
          <w:szCs w:val="22"/>
        </w:rPr>
        <w:t xml:space="preserve">indicated no significant improvement in overall survival associated with treatment with nivolumab over standard chemotherapy for </w:t>
      </w:r>
      <w:r w:rsidR="0037154E" w:rsidRPr="00A84A0B">
        <w:rPr>
          <w:bCs/>
          <w:szCs w:val="22"/>
        </w:rPr>
        <w:t>the subgroup</w:t>
      </w:r>
      <w:r w:rsidR="00F1315D" w:rsidRPr="00A84A0B">
        <w:rPr>
          <w:bCs/>
          <w:szCs w:val="22"/>
        </w:rPr>
        <w:t>s</w:t>
      </w:r>
      <w:r w:rsidR="0037154E" w:rsidRPr="00A84A0B">
        <w:rPr>
          <w:bCs/>
          <w:szCs w:val="22"/>
        </w:rPr>
        <w:t xml:space="preserve"> of </w:t>
      </w:r>
      <w:r w:rsidR="004E4A53" w:rsidRPr="00A84A0B">
        <w:rPr>
          <w:bCs/>
          <w:szCs w:val="22"/>
        </w:rPr>
        <w:t>patients aged 75 years or older</w:t>
      </w:r>
      <w:r w:rsidR="00F1315D" w:rsidRPr="00A84A0B">
        <w:rPr>
          <w:bCs/>
          <w:szCs w:val="22"/>
        </w:rPr>
        <w:t xml:space="preserve">. The PBAC noted that the meta-analyses of randomised trials of any anti-PD1 therapy across cancers indicated significant improvement in overall survival associated with treatment with anti-PD1 therapy over standard chemotherapy for the subgroup of patients aged 65 years or older, but considered that this </w:t>
      </w:r>
      <w:r w:rsidR="00EA3E5C" w:rsidRPr="00A84A0B">
        <w:rPr>
          <w:bCs/>
          <w:szCs w:val="22"/>
        </w:rPr>
        <w:t xml:space="preserve">redefined </w:t>
      </w:r>
      <w:r w:rsidR="0059662A" w:rsidRPr="00A84A0B">
        <w:rPr>
          <w:bCs/>
          <w:szCs w:val="22"/>
        </w:rPr>
        <w:t>included mostly patients aged less than 75 years and so was less informative. The PBAC noted that the subgroup analyses of other nonrandomised studies presented in the minor resubmission were also less informative because they did not report comparative outcomes for nivolumab over standard chemotherapy.</w:t>
      </w:r>
      <w:r w:rsidR="00F1315D" w:rsidRPr="00A84A0B">
        <w:rPr>
          <w:bCs/>
          <w:szCs w:val="22"/>
        </w:rPr>
        <w:t xml:space="preserve"> Overall, a</w:t>
      </w:r>
      <w:r w:rsidR="004E4A53" w:rsidRPr="00A84A0B">
        <w:rPr>
          <w:bCs/>
          <w:szCs w:val="22"/>
        </w:rPr>
        <w:t>lthough the PBAC acknowledged that the meta-analysis of nivolumab NSCLC trials were underpowered due to the small number of patients aged 75 years or older</w:t>
      </w:r>
      <w:r w:rsidR="00AF1518" w:rsidRPr="00A84A0B">
        <w:rPr>
          <w:bCs/>
          <w:szCs w:val="22"/>
        </w:rPr>
        <w:t xml:space="preserve">, the </w:t>
      </w:r>
      <w:r w:rsidR="008C735C" w:rsidRPr="00A84A0B">
        <w:rPr>
          <w:bCs/>
          <w:szCs w:val="22"/>
        </w:rPr>
        <w:t>PBAC</w:t>
      </w:r>
      <w:r w:rsidR="005E7F13" w:rsidRPr="00A84A0B">
        <w:rPr>
          <w:bCs/>
          <w:szCs w:val="22"/>
        </w:rPr>
        <w:t xml:space="preserve"> </w:t>
      </w:r>
      <w:r w:rsidR="0015322D" w:rsidRPr="00A84A0B">
        <w:rPr>
          <w:bCs/>
          <w:szCs w:val="22"/>
        </w:rPr>
        <w:t>reiterated its previous concern about the incremental effectiveness of nivolumab in patients</w:t>
      </w:r>
      <w:r w:rsidR="00DC05D1" w:rsidRPr="00A84A0B">
        <w:rPr>
          <w:bCs/>
          <w:szCs w:val="22"/>
        </w:rPr>
        <w:t xml:space="preserve"> 75 years or</w:t>
      </w:r>
      <w:r w:rsidR="0015322D" w:rsidRPr="00A84A0B">
        <w:rPr>
          <w:bCs/>
          <w:szCs w:val="22"/>
        </w:rPr>
        <w:t xml:space="preserve"> </w:t>
      </w:r>
      <w:r w:rsidR="00D7637B">
        <w:rPr>
          <w:bCs/>
          <w:szCs w:val="22"/>
        </w:rPr>
        <w:t>older.</w:t>
      </w:r>
    </w:p>
    <w:p w:rsidR="008B2969" w:rsidRPr="00A84A0B" w:rsidRDefault="008B2969" w:rsidP="005939DA">
      <w:pPr>
        <w:rPr>
          <w:rFonts w:ascii="Arial" w:hAnsi="Arial" w:cs="Arial"/>
          <w:bCs/>
          <w:sz w:val="22"/>
          <w:szCs w:val="22"/>
        </w:rPr>
      </w:pPr>
    </w:p>
    <w:p w:rsidR="00E75A5C" w:rsidRPr="00A84A0B" w:rsidRDefault="001064AC" w:rsidP="005939DA">
      <w:pPr>
        <w:pStyle w:val="ListParagraph"/>
        <w:widowControl/>
        <w:numPr>
          <w:ilvl w:val="1"/>
          <w:numId w:val="1"/>
        </w:numPr>
        <w:rPr>
          <w:bCs/>
          <w:szCs w:val="22"/>
        </w:rPr>
      </w:pPr>
      <w:r w:rsidRPr="00A84A0B">
        <w:rPr>
          <w:bCs/>
          <w:szCs w:val="22"/>
        </w:rPr>
        <w:t xml:space="preserve">The PBAC </w:t>
      </w:r>
      <w:r w:rsidR="004E4A53" w:rsidRPr="00A84A0B">
        <w:rPr>
          <w:bCs/>
          <w:szCs w:val="22"/>
        </w:rPr>
        <w:t xml:space="preserve">agreed with the submission </w:t>
      </w:r>
      <w:r w:rsidRPr="00A84A0B">
        <w:rPr>
          <w:bCs/>
          <w:szCs w:val="22"/>
        </w:rPr>
        <w:t xml:space="preserve">that there were practical challenges </w:t>
      </w:r>
      <w:r w:rsidR="004E4A53" w:rsidRPr="00A84A0B">
        <w:rPr>
          <w:bCs/>
          <w:szCs w:val="22"/>
        </w:rPr>
        <w:t>that would limit the value of a</w:t>
      </w:r>
      <w:r w:rsidR="00CE5F9E" w:rsidRPr="00A84A0B">
        <w:rPr>
          <w:bCs/>
          <w:szCs w:val="22"/>
        </w:rPr>
        <w:t xml:space="preserve"> manage</w:t>
      </w:r>
      <w:r w:rsidR="00621F08" w:rsidRPr="00A84A0B">
        <w:rPr>
          <w:bCs/>
          <w:szCs w:val="22"/>
        </w:rPr>
        <w:t>d</w:t>
      </w:r>
      <w:r w:rsidR="00CE5F9E" w:rsidRPr="00A84A0B">
        <w:rPr>
          <w:bCs/>
          <w:szCs w:val="22"/>
        </w:rPr>
        <w:t xml:space="preserve"> entry scheme</w:t>
      </w:r>
      <w:r w:rsidRPr="00A84A0B">
        <w:rPr>
          <w:bCs/>
          <w:szCs w:val="22"/>
        </w:rPr>
        <w:t xml:space="preserve"> </w:t>
      </w:r>
      <w:r w:rsidR="00CE5F9E" w:rsidRPr="00A84A0B">
        <w:rPr>
          <w:bCs/>
          <w:szCs w:val="22"/>
        </w:rPr>
        <w:t>(</w:t>
      </w:r>
      <w:r w:rsidRPr="00A84A0B">
        <w:rPr>
          <w:bCs/>
          <w:szCs w:val="22"/>
        </w:rPr>
        <w:t>MES</w:t>
      </w:r>
      <w:r w:rsidR="00CE5F9E" w:rsidRPr="00A84A0B">
        <w:rPr>
          <w:bCs/>
          <w:szCs w:val="22"/>
        </w:rPr>
        <w:t>)</w:t>
      </w:r>
      <w:r w:rsidRPr="00A84A0B">
        <w:rPr>
          <w:bCs/>
          <w:szCs w:val="22"/>
        </w:rPr>
        <w:t xml:space="preserve"> </w:t>
      </w:r>
      <w:r w:rsidR="004E4A53" w:rsidRPr="00A84A0B">
        <w:rPr>
          <w:bCs/>
          <w:szCs w:val="22"/>
        </w:rPr>
        <w:t>to address the uncertainty regarding age as a treatment effect modifier in nivolumab treatment</w:t>
      </w:r>
      <w:r w:rsidR="00413288" w:rsidRPr="00A84A0B">
        <w:rPr>
          <w:bCs/>
          <w:szCs w:val="22"/>
        </w:rPr>
        <w:t xml:space="preserve">. </w:t>
      </w:r>
      <w:r w:rsidR="004E4A53" w:rsidRPr="00A84A0B">
        <w:rPr>
          <w:bCs/>
          <w:szCs w:val="22"/>
        </w:rPr>
        <w:t>However, t</w:t>
      </w:r>
      <w:r w:rsidR="00413288" w:rsidRPr="00A84A0B">
        <w:rPr>
          <w:bCs/>
          <w:szCs w:val="22"/>
        </w:rPr>
        <w:t>he PBAC considered that th</w:t>
      </w:r>
      <w:r w:rsidR="004E4A53" w:rsidRPr="00A84A0B">
        <w:rPr>
          <w:bCs/>
          <w:szCs w:val="22"/>
        </w:rPr>
        <w:t>e</w:t>
      </w:r>
      <w:r w:rsidR="00413288" w:rsidRPr="00A84A0B">
        <w:rPr>
          <w:bCs/>
          <w:szCs w:val="22"/>
        </w:rPr>
        <w:t xml:space="preserve"> proposed </w:t>
      </w:r>
      <w:r w:rsidR="006C5367" w:rsidRPr="00A84A0B">
        <w:rPr>
          <w:bCs/>
          <w:szCs w:val="22"/>
        </w:rPr>
        <w:t>risk shar</w:t>
      </w:r>
      <w:r w:rsidR="00DE4242" w:rsidRPr="00A84A0B">
        <w:rPr>
          <w:bCs/>
          <w:szCs w:val="22"/>
        </w:rPr>
        <w:t>ing</w:t>
      </w:r>
      <w:r w:rsidR="006C5367" w:rsidRPr="00A84A0B">
        <w:rPr>
          <w:bCs/>
          <w:szCs w:val="22"/>
        </w:rPr>
        <w:t xml:space="preserve"> arrangement (</w:t>
      </w:r>
      <w:r w:rsidR="00413288" w:rsidRPr="00A84A0B">
        <w:rPr>
          <w:bCs/>
          <w:szCs w:val="22"/>
        </w:rPr>
        <w:t>RSA</w:t>
      </w:r>
      <w:r w:rsidR="006C5367" w:rsidRPr="00A84A0B">
        <w:rPr>
          <w:bCs/>
          <w:szCs w:val="22"/>
        </w:rPr>
        <w:t>)</w:t>
      </w:r>
      <w:r w:rsidR="00413288" w:rsidRPr="00A84A0B">
        <w:rPr>
          <w:bCs/>
          <w:szCs w:val="22"/>
        </w:rPr>
        <w:t xml:space="preserve"> for patients aged 75 years or older would adequately address</w:t>
      </w:r>
      <w:r w:rsidR="00545224" w:rsidRPr="00A84A0B">
        <w:rPr>
          <w:bCs/>
          <w:szCs w:val="22"/>
        </w:rPr>
        <w:t xml:space="preserve"> the</w:t>
      </w:r>
      <w:r w:rsidR="004E4A53" w:rsidRPr="00A84A0B">
        <w:rPr>
          <w:bCs/>
          <w:szCs w:val="22"/>
        </w:rPr>
        <w:t>se</w:t>
      </w:r>
      <w:r w:rsidR="00413288" w:rsidRPr="00A84A0B">
        <w:rPr>
          <w:bCs/>
          <w:szCs w:val="22"/>
        </w:rPr>
        <w:t xml:space="preserve"> concerns. The </w:t>
      </w:r>
      <w:r w:rsidR="009948DD" w:rsidRPr="00A84A0B">
        <w:rPr>
          <w:bCs/>
          <w:szCs w:val="22"/>
        </w:rPr>
        <w:t xml:space="preserve">PBAC </w:t>
      </w:r>
      <w:r w:rsidR="00E21E30" w:rsidRPr="00A84A0B">
        <w:rPr>
          <w:bCs/>
          <w:szCs w:val="22"/>
        </w:rPr>
        <w:t xml:space="preserve">recommended that the limit for the proportion of patients aged 75 years or older </w:t>
      </w:r>
      <w:r w:rsidR="00621F08" w:rsidRPr="00A84A0B">
        <w:rPr>
          <w:bCs/>
          <w:szCs w:val="22"/>
        </w:rPr>
        <w:t xml:space="preserve">in calculating the RSA caps </w:t>
      </w:r>
      <w:r w:rsidR="00E21E30" w:rsidRPr="00A84A0B">
        <w:rPr>
          <w:bCs/>
          <w:szCs w:val="22"/>
        </w:rPr>
        <w:t>should be</w:t>
      </w:r>
      <w:r w:rsidR="009948DD" w:rsidRPr="00A84A0B">
        <w:rPr>
          <w:bCs/>
          <w:szCs w:val="22"/>
        </w:rPr>
        <w:t xml:space="preserve"> </w:t>
      </w:r>
      <w:r w:rsidR="00653F4E">
        <w:rPr>
          <w:bCs/>
          <w:noProof/>
          <w:color w:val="000000"/>
          <w:szCs w:val="22"/>
          <w:highlight w:val="black"/>
        </w:rPr>
        <w:t>''''''''''</w:t>
      </w:r>
      <w:r w:rsidR="009948DD" w:rsidRPr="00A84A0B">
        <w:rPr>
          <w:bCs/>
          <w:szCs w:val="22"/>
        </w:rPr>
        <w:t>%.</w:t>
      </w:r>
    </w:p>
    <w:p w:rsidR="00E75A5C" w:rsidRPr="00A84A0B" w:rsidRDefault="00E75A5C" w:rsidP="005939DA">
      <w:pPr>
        <w:rPr>
          <w:rFonts w:ascii="Arial" w:hAnsi="Arial" w:cs="Arial"/>
          <w:bCs/>
          <w:sz w:val="22"/>
          <w:szCs w:val="22"/>
        </w:rPr>
      </w:pPr>
    </w:p>
    <w:p w:rsidR="0015322D" w:rsidRPr="00A84A0B" w:rsidRDefault="00465D2F" w:rsidP="005939DA">
      <w:pPr>
        <w:pStyle w:val="ListParagraph"/>
        <w:widowControl/>
        <w:numPr>
          <w:ilvl w:val="1"/>
          <w:numId w:val="1"/>
        </w:numPr>
        <w:rPr>
          <w:bCs/>
          <w:szCs w:val="22"/>
        </w:rPr>
      </w:pPr>
      <w:r w:rsidRPr="00A84A0B">
        <w:rPr>
          <w:bCs/>
          <w:szCs w:val="22"/>
        </w:rPr>
        <w:t>The PBAC reiterated that</w:t>
      </w:r>
      <w:r w:rsidR="00621F08" w:rsidRPr="00A84A0B">
        <w:rPr>
          <w:bCs/>
          <w:szCs w:val="22"/>
        </w:rPr>
        <w:t>,</w:t>
      </w:r>
      <w:r w:rsidRPr="00A84A0B">
        <w:rPr>
          <w:bCs/>
          <w:szCs w:val="22"/>
        </w:rPr>
        <w:t xml:space="preserve"> </w:t>
      </w:r>
      <w:r w:rsidR="004E4A53" w:rsidRPr="00A84A0B">
        <w:rPr>
          <w:bCs/>
          <w:szCs w:val="22"/>
        </w:rPr>
        <w:t xml:space="preserve">in addition to the RSA for patient age, </w:t>
      </w:r>
      <w:r w:rsidRPr="00A84A0B">
        <w:rPr>
          <w:bCs/>
          <w:szCs w:val="22"/>
        </w:rPr>
        <w:t xml:space="preserve">an RSA providing an overall cap on patient numbers </w:t>
      </w:r>
      <w:r w:rsidR="004E4A53" w:rsidRPr="00A84A0B">
        <w:rPr>
          <w:bCs/>
          <w:szCs w:val="22"/>
        </w:rPr>
        <w:t xml:space="preserve">and </w:t>
      </w:r>
      <w:r w:rsidR="00C41703">
        <w:rPr>
          <w:bCs/>
          <w:szCs w:val="22"/>
        </w:rPr>
        <w:t xml:space="preserve">the </w:t>
      </w:r>
      <w:r w:rsidR="006F4E3D">
        <w:rPr>
          <w:bCs/>
          <w:szCs w:val="22"/>
        </w:rPr>
        <w:t xml:space="preserve">more appropriate </w:t>
      </w:r>
      <w:r w:rsidR="00C41703">
        <w:rPr>
          <w:bCs/>
          <w:szCs w:val="22"/>
        </w:rPr>
        <w:t xml:space="preserve">dose-adjusted </w:t>
      </w:r>
      <w:r w:rsidR="004E4A53" w:rsidRPr="00A84A0B">
        <w:rPr>
          <w:bCs/>
          <w:szCs w:val="22"/>
        </w:rPr>
        <w:t>cost</w:t>
      </w:r>
      <w:r w:rsidRPr="00A84A0B">
        <w:rPr>
          <w:bCs/>
          <w:szCs w:val="22"/>
        </w:rPr>
        <w:t xml:space="preserve"> per patient with </w:t>
      </w:r>
      <w:r w:rsidRPr="00E200F3">
        <w:rPr>
          <w:bCs/>
          <w:szCs w:val="22"/>
        </w:rPr>
        <w:t>100</w:t>
      </w:r>
      <w:r w:rsidRPr="00A84A0B">
        <w:rPr>
          <w:bCs/>
          <w:szCs w:val="22"/>
        </w:rPr>
        <w:t xml:space="preserve">% rebate for utilisation over the caps would be </w:t>
      </w:r>
      <w:r w:rsidR="004E4A53" w:rsidRPr="00A84A0B">
        <w:rPr>
          <w:bCs/>
          <w:szCs w:val="22"/>
        </w:rPr>
        <w:t>required</w:t>
      </w:r>
      <w:r w:rsidRPr="00A84A0B">
        <w:rPr>
          <w:bCs/>
          <w:szCs w:val="22"/>
        </w:rPr>
        <w:t xml:space="preserve"> to address the concerns with </w:t>
      </w:r>
      <w:r w:rsidR="004E4A53" w:rsidRPr="00A84A0B">
        <w:rPr>
          <w:bCs/>
          <w:szCs w:val="22"/>
        </w:rPr>
        <w:t>use outside</w:t>
      </w:r>
      <w:r w:rsidRPr="00A84A0B">
        <w:rPr>
          <w:bCs/>
          <w:szCs w:val="22"/>
        </w:rPr>
        <w:t xml:space="preserve"> the restriction and uncertainty around treatment duration.</w:t>
      </w:r>
      <w:r w:rsidR="00586FB4" w:rsidRPr="00A84A0B">
        <w:rPr>
          <w:bCs/>
          <w:szCs w:val="22"/>
        </w:rPr>
        <w:t xml:space="preserve"> The PBAC </w:t>
      </w:r>
      <w:r w:rsidR="00D7637B">
        <w:rPr>
          <w:bCs/>
          <w:szCs w:val="22"/>
        </w:rPr>
        <w:t>also advised</w:t>
      </w:r>
      <w:r w:rsidR="00586FB4" w:rsidRPr="00A84A0B">
        <w:rPr>
          <w:bCs/>
          <w:szCs w:val="22"/>
        </w:rPr>
        <w:t xml:space="preserve"> the proposal to limit the total cost per patient</w:t>
      </w:r>
      <w:r w:rsidR="00814AA7" w:rsidRPr="00A84A0B">
        <w:rPr>
          <w:bCs/>
          <w:szCs w:val="22"/>
        </w:rPr>
        <w:t xml:space="preserve"> should also apply to grandfathered patients</w:t>
      </w:r>
      <w:r w:rsidR="00586FB4" w:rsidRPr="00A84A0B">
        <w:rPr>
          <w:bCs/>
          <w:szCs w:val="22"/>
        </w:rPr>
        <w:t xml:space="preserve"> </w:t>
      </w:r>
      <w:r w:rsidR="00CD6C64" w:rsidRPr="00A84A0B">
        <w:rPr>
          <w:bCs/>
          <w:szCs w:val="22"/>
        </w:rPr>
        <w:t>(see paragraph</w:t>
      </w:r>
      <w:r w:rsidR="00D7637B">
        <w:rPr>
          <w:bCs/>
          <w:szCs w:val="22"/>
        </w:rPr>
        <w:t>s</w:t>
      </w:r>
      <w:r w:rsidR="00CD6C64" w:rsidRPr="00A84A0B">
        <w:rPr>
          <w:bCs/>
          <w:szCs w:val="22"/>
        </w:rPr>
        <w:t xml:space="preserve"> 6.</w:t>
      </w:r>
      <w:r w:rsidR="0087404B">
        <w:rPr>
          <w:bCs/>
          <w:szCs w:val="22"/>
        </w:rPr>
        <w:t>57</w:t>
      </w:r>
      <w:r w:rsidR="00E40CA8">
        <w:rPr>
          <w:bCs/>
          <w:szCs w:val="22"/>
        </w:rPr>
        <w:t>,</w:t>
      </w:r>
      <w:r w:rsidR="00D7637B">
        <w:rPr>
          <w:bCs/>
          <w:szCs w:val="22"/>
        </w:rPr>
        <w:t xml:space="preserve"> 6.6</w:t>
      </w:r>
      <w:r w:rsidR="0087404B">
        <w:rPr>
          <w:bCs/>
          <w:szCs w:val="22"/>
        </w:rPr>
        <w:t>1</w:t>
      </w:r>
      <w:r w:rsidR="00E40CA8">
        <w:rPr>
          <w:bCs/>
          <w:szCs w:val="22"/>
        </w:rPr>
        <w:t xml:space="preserve"> and 6.6</w:t>
      </w:r>
      <w:r w:rsidR="0087404B">
        <w:rPr>
          <w:bCs/>
          <w:szCs w:val="22"/>
        </w:rPr>
        <w:t>2</w:t>
      </w:r>
      <w:r w:rsidR="00CD6C64" w:rsidRPr="00A84A0B">
        <w:rPr>
          <w:bCs/>
          <w:szCs w:val="22"/>
        </w:rPr>
        <w:t>.</w:t>
      </w:r>
    </w:p>
    <w:p w:rsidR="002C143E" w:rsidRPr="00A84A0B" w:rsidRDefault="002C143E" w:rsidP="005939DA">
      <w:pPr>
        <w:rPr>
          <w:rFonts w:ascii="Arial" w:hAnsi="Arial" w:cs="Arial"/>
          <w:bCs/>
          <w:sz w:val="22"/>
          <w:szCs w:val="22"/>
        </w:rPr>
      </w:pPr>
    </w:p>
    <w:p w:rsidR="00DC63EA" w:rsidRDefault="002C143E" w:rsidP="005939DA">
      <w:pPr>
        <w:pStyle w:val="ListParagraph"/>
        <w:widowControl/>
        <w:numPr>
          <w:ilvl w:val="1"/>
          <w:numId w:val="1"/>
        </w:numPr>
        <w:rPr>
          <w:bCs/>
          <w:szCs w:val="22"/>
        </w:rPr>
      </w:pPr>
      <w:r w:rsidRPr="00A84A0B">
        <w:rPr>
          <w:bCs/>
          <w:szCs w:val="22"/>
        </w:rPr>
        <w:t xml:space="preserve">The PBAC advised that </w:t>
      </w:r>
      <w:r w:rsidR="00347632" w:rsidRPr="00A84A0B">
        <w:rPr>
          <w:bCs/>
          <w:szCs w:val="22"/>
        </w:rPr>
        <w:t>patients should only be eligible for access to PBS subsidy through the grandfather restriction</w:t>
      </w:r>
      <w:r w:rsidR="00A2102B">
        <w:rPr>
          <w:bCs/>
          <w:szCs w:val="22"/>
        </w:rPr>
        <w:t xml:space="preserve"> </w:t>
      </w:r>
      <w:r w:rsidR="007A69B3">
        <w:rPr>
          <w:bCs/>
          <w:szCs w:val="22"/>
        </w:rPr>
        <w:t xml:space="preserve">if they </w:t>
      </w:r>
      <w:r w:rsidR="005E147B">
        <w:rPr>
          <w:bCs/>
          <w:szCs w:val="22"/>
        </w:rPr>
        <w:t>have</w:t>
      </w:r>
      <w:r w:rsidR="00347632" w:rsidRPr="00A84A0B">
        <w:rPr>
          <w:bCs/>
          <w:szCs w:val="22"/>
        </w:rPr>
        <w:t xml:space="preserve"> an</w:t>
      </w:r>
      <w:r w:rsidRPr="00A84A0B">
        <w:rPr>
          <w:bCs/>
          <w:szCs w:val="22"/>
        </w:rPr>
        <w:t xml:space="preserve"> ECOG performance-status of 0</w:t>
      </w:r>
      <w:r w:rsidR="00347632" w:rsidRPr="00A84A0B">
        <w:rPr>
          <w:bCs/>
          <w:szCs w:val="22"/>
        </w:rPr>
        <w:t xml:space="preserve"> or </w:t>
      </w:r>
      <w:r w:rsidRPr="00A84A0B">
        <w:rPr>
          <w:bCs/>
          <w:szCs w:val="22"/>
        </w:rPr>
        <w:t>1</w:t>
      </w:r>
      <w:r w:rsidR="00347632" w:rsidRPr="00A84A0B">
        <w:rPr>
          <w:bCs/>
          <w:szCs w:val="22"/>
        </w:rPr>
        <w:t xml:space="preserve"> and </w:t>
      </w:r>
      <w:r w:rsidR="00CB5044">
        <w:rPr>
          <w:bCs/>
          <w:szCs w:val="22"/>
        </w:rPr>
        <w:t xml:space="preserve">have </w:t>
      </w:r>
      <w:r w:rsidR="00347632" w:rsidRPr="00A84A0B">
        <w:rPr>
          <w:bCs/>
          <w:szCs w:val="22"/>
        </w:rPr>
        <w:t xml:space="preserve">stable or responding </w:t>
      </w:r>
      <w:r w:rsidR="006C5367" w:rsidRPr="00A84A0B">
        <w:rPr>
          <w:bCs/>
          <w:szCs w:val="22"/>
        </w:rPr>
        <w:t xml:space="preserve">disease. </w:t>
      </w:r>
      <w:r w:rsidR="009C05B0" w:rsidRPr="00A84A0B">
        <w:rPr>
          <w:bCs/>
          <w:szCs w:val="22"/>
        </w:rPr>
        <w:t>The PBAC noted that the number of patients with</w:t>
      </w:r>
      <w:r w:rsidR="00AC59F9" w:rsidRPr="00A84A0B">
        <w:rPr>
          <w:bCs/>
          <w:szCs w:val="22"/>
        </w:rPr>
        <w:t xml:space="preserve"> an</w:t>
      </w:r>
      <w:r w:rsidR="009C05B0" w:rsidRPr="00A84A0B">
        <w:rPr>
          <w:bCs/>
          <w:szCs w:val="22"/>
        </w:rPr>
        <w:t xml:space="preserve"> ECOG performance-status of 0-1 on the </w:t>
      </w:r>
      <w:r w:rsidR="006C5367" w:rsidRPr="00A84A0B">
        <w:rPr>
          <w:bCs/>
          <w:szCs w:val="22"/>
        </w:rPr>
        <w:t xml:space="preserve">sponsor’s Patient Access </w:t>
      </w:r>
      <w:r w:rsidR="006C5367" w:rsidRPr="00A84A0B">
        <w:rPr>
          <w:bCs/>
          <w:szCs w:val="22"/>
        </w:rPr>
        <w:lastRenderedPageBreak/>
        <w:t>Program</w:t>
      </w:r>
      <w:r w:rsidR="008B1C19" w:rsidRPr="00A84A0B">
        <w:rPr>
          <w:bCs/>
          <w:szCs w:val="22"/>
        </w:rPr>
        <w:t xml:space="preserve"> </w:t>
      </w:r>
      <w:r w:rsidR="009C05B0" w:rsidRPr="00A84A0B">
        <w:rPr>
          <w:bCs/>
          <w:szCs w:val="22"/>
        </w:rPr>
        <w:t xml:space="preserve">was currently unclear and recommended that the Department and sponsor </w:t>
      </w:r>
      <w:r w:rsidR="00AC59F9" w:rsidRPr="00A84A0B">
        <w:rPr>
          <w:bCs/>
          <w:szCs w:val="22"/>
        </w:rPr>
        <w:t>hold further discussions to agree on a practical</w:t>
      </w:r>
      <w:r w:rsidR="009C05B0" w:rsidRPr="00A84A0B">
        <w:rPr>
          <w:bCs/>
          <w:szCs w:val="22"/>
        </w:rPr>
        <w:t xml:space="preserve"> approach</w:t>
      </w:r>
      <w:r w:rsidR="00AC59F9" w:rsidRPr="00A84A0B">
        <w:rPr>
          <w:bCs/>
          <w:szCs w:val="22"/>
        </w:rPr>
        <w:t xml:space="preserve"> to identify the number of these patients.</w:t>
      </w:r>
    </w:p>
    <w:p w:rsidR="006F4D2A" w:rsidRPr="008C7215" w:rsidRDefault="006F4D2A" w:rsidP="005939DA">
      <w:pPr>
        <w:rPr>
          <w:bCs/>
          <w:szCs w:val="22"/>
        </w:rPr>
      </w:pPr>
    </w:p>
    <w:p w:rsidR="006F4D2A" w:rsidRPr="00522445" w:rsidRDefault="006F4D2A" w:rsidP="005939DA">
      <w:pPr>
        <w:pStyle w:val="ListParagraph"/>
        <w:widowControl/>
        <w:numPr>
          <w:ilvl w:val="1"/>
          <w:numId w:val="1"/>
        </w:numPr>
        <w:rPr>
          <w:bCs/>
          <w:szCs w:val="22"/>
        </w:rPr>
      </w:pPr>
      <w:r w:rsidRPr="00522445">
        <w:rPr>
          <w:bCs/>
          <w:szCs w:val="22"/>
        </w:rPr>
        <w:t xml:space="preserve">In making this </w:t>
      </w:r>
      <w:r w:rsidR="008C7215" w:rsidRPr="00522445">
        <w:rPr>
          <w:bCs/>
          <w:szCs w:val="22"/>
        </w:rPr>
        <w:t>recommendation,</w:t>
      </w:r>
      <w:r w:rsidRPr="00522445">
        <w:rPr>
          <w:bCs/>
          <w:szCs w:val="22"/>
        </w:rPr>
        <w:t xml:space="preserve"> the PBAC noted that the grandfather restriction for nivolumab for unresectable Stage III or Stage IV malignant melanoma has been PBS listed for almost a year and hence should be removed.</w:t>
      </w:r>
      <w:r w:rsidR="00F12280" w:rsidRPr="00522445">
        <w:rPr>
          <w:bCs/>
          <w:szCs w:val="22"/>
        </w:rPr>
        <w:t xml:space="preserve"> </w:t>
      </w:r>
      <w:r w:rsidR="00522445" w:rsidRPr="00522445">
        <w:rPr>
          <w:bCs/>
          <w:szCs w:val="22"/>
        </w:rPr>
        <w:t>The PBAC also recommended that the Administrative Advice in the initial treatment restriction should be based on that for nivolumab in melanoma to recommend a repeat scan at least 4 weeks after suspected pseudo-progression. The PBAC recommended that patients should only continue on PBS subsidised treatment if they have stable or responding disease.</w:t>
      </w:r>
    </w:p>
    <w:p w:rsidR="00D103F8" w:rsidRPr="00A84A0B" w:rsidRDefault="00D103F8" w:rsidP="005939DA">
      <w:pPr>
        <w:rPr>
          <w:rFonts w:ascii="Arial" w:hAnsi="Arial" w:cs="Arial"/>
          <w:bCs/>
          <w:sz w:val="22"/>
          <w:szCs w:val="22"/>
        </w:rPr>
      </w:pPr>
    </w:p>
    <w:p w:rsidR="00822B23" w:rsidRPr="00A84A0B" w:rsidRDefault="00822B23" w:rsidP="005939DA">
      <w:pPr>
        <w:pStyle w:val="ListParagraph"/>
        <w:widowControl/>
        <w:numPr>
          <w:ilvl w:val="1"/>
          <w:numId w:val="1"/>
        </w:numPr>
        <w:rPr>
          <w:bCs/>
          <w:szCs w:val="22"/>
        </w:rPr>
      </w:pPr>
      <w:r w:rsidRPr="00A84A0B">
        <w:rPr>
          <w:bCs/>
          <w:szCs w:val="22"/>
        </w:rPr>
        <w:t>The PBAC advised that nivolumab should be exempt from the Early Supply Rule as it currently does not apply to Section 100 Efficient Funding of Chemotherapy listings.</w:t>
      </w:r>
    </w:p>
    <w:p w:rsidR="000E173A" w:rsidRPr="00A84A0B" w:rsidRDefault="000E173A" w:rsidP="005939DA">
      <w:pPr>
        <w:rPr>
          <w:rFonts w:ascii="Arial" w:hAnsi="Arial" w:cs="Arial"/>
          <w:bCs/>
          <w:sz w:val="22"/>
          <w:szCs w:val="22"/>
        </w:rPr>
      </w:pPr>
    </w:p>
    <w:p w:rsidR="000E173A" w:rsidRPr="00A84A0B" w:rsidRDefault="000E173A" w:rsidP="005939DA">
      <w:pPr>
        <w:pStyle w:val="ListParagraph"/>
        <w:widowControl/>
        <w:numPr>
          <w:ilvl w:val="1"/>
          <w:numId w:val="1"/>
        </w:numPr>
        <w:rPr>
          <w:bCs/>
          <w:szCs w:val="22"/>
        </w:rPr>
      </w:pPr>
      <w:r w:rsidRPr="00A84A0B">
        <w:rPr>
          <w:bCs/>
          <w:szCs w:val="22"/>
        </w:rPr>
        <w:t>The PBAC advised that nivolumab is not suitable for prescribing by nurse practitioners.</w:t>
      </w:r>
    </w:p>
    <w:p w:rsidR="000E173A" w:rsidRPr="00A84A0B" w:rsidRDefault="000E173A" w:rsidP="005939DA">
      <w:pPr>
        <w:contextualSpacing/>
        <w:jc w:val="both"/>
        <w:rPr>
          <w:rFonts w:ascii="Arial" w:hAnsi="Arial" w:cs="Arial"/>
          <w:bCs/>
          <w:snapToGrid w:val="0"/>
          <w:sz w:val="22"/>
          <w:szCs w:val="22"/>
          <w:lang w:eastAsia="en-US"/>
        </w:rPr>
      </w:pPr>
    </w:p>
    <w:p w:rsidR="000E173A" w:rsidRPr="00A84A0B" w:rsidRDefault="000E173A" w:rsidP="005939DA">
      <w:pPr>
        <w:numPr>
          <w:ilvl w:val="1"/>
          <w:numId w:val="1"/>
        </w:numPr>
        <w:contextualSpacing/>
        <w:jc w:val="both"/>
        <w:rPr>
          <w:rFonts w:ascii="Arial" w:hAnsi="Arial" w:cs="Arial"/>
          <w:bCs/>
          <w:snapToGrid w:val="0"/>
          <w:sz w:val="22"/>
          <w:szCs w:val="22"/>
          <w:lang w:eastAsia="en-US"/>
        </w:rPr>
      </w:pPr>
      <w:r w:rsidRPr="00A84A0B">
        <w:rPr>
          <w:rFonts w:ascii="Arial" w:hAnsi="Arial" w:cs="Arial"/>
          <w:bCs/>
          <w:snapToGrid w:val="0"/>
          <w:sz w:val="22"/>
          <w:szCs w:val="22"/>
          <w:lang w:eastAsia="en-US"/>
        </w:rPr>
        <w:t>The PBAC noted that this submission is not eligible for an Independent Review because the PBAC has made a positive recommendation.</w:t>
      </w:r>
    </w:p>
    <w:p w:rsidR="000D507C" w:rsidRPr="00A84A0B" w:rsidRDefault="000D507C" w:rsidP="005939DA">
      <w:pPr>
        <w:jc w:val="both"/>
        <w:rPr>
          <w:rFonts w:ascii="Arial" w:hAnsi="Arial" w:cs="Arial"/>
          <w:bCs/>
          <w:snapToGrid w:val="0"/>
          <w:sz w:val="22"/>
          <w:szCs w:val="20"/>
          <w:highlight w:val="yellow"/>
        </w:rPr>
      </w:pPr>
    </w:p>
    <w:p w:rsidR="000D507C" w:rsidRPr="00A84A0B" w:rsidRDefault="000D507C" w:rsidP="005939DA">
      <w:pPr>
        <w:jc w:val="both"/>
        <w:rPr>
          <w:rFonts w:ascii="Arial" w:hAnsi="Arial" w:cs="Arial"/>
          <w:b/>
          <w:bCs/>
          <w:snapToGrid w:val="0"/>
          <w:sz w:val="22"/>
          <w:szCs w:val="20"/>
        </w:rPr>
      </w:pPr>
      <w:r w:rsidRPr="00A84A0B">
        <w:rPr>
          <w:rFonts w:ascii="Arial" w:hAnsi="Arial" w:cs="Arial"/>
          <w:b/>
          <w:bCs/>
          <w:snapToGrid w:val="0"/>
          <w:sz w:val="22"/>
          <w:szCs w:val="20"/>
        </w:rPr>
        <w:t>Outcome:</w:t>
      </w:r>
    </w:p>
    <w:p w:rsidR="000D507C" w:rsidRPr="00A84A0B" w:rsidRDefault="00234ABF" w:rsidP="005939DA">
      <w:pPr>
        <w:jc w:val="both"/>
        <w:rPr>
          <w:rFonts w:ascii="Arial" w:hAnsi="Arial" w:cs="Arial"/>
          <w:bCs/>
          <w:snapToGrid w:val="0"/>
          <w:sz w:val="22"/>
          <w:szCs w:val="20"/>
        </w:rPr>
      </w:pPr>
      <w:r w:rsidRPr="00A84A0B">
        <w:rPr>
          <w:rFonts w:ascii="Arial" w:hAnsi="Arial" w:cs="Arial"/>
          <w:bCs/>
          <w:snapToGrid w:val="0"/>
          <w:sz w:val="22"/>
          <w:szCs w:val="20"/>
        </w:rPr>
        <w:t>Recommended</w:t>
      </w:r>
    </w:p>
    <w:p w:rsidR="00301CE6" w:rsidRDefault="00301CE6" w:rsidP="005939DA">
      <w:pPr>
        <w:rPr>
          <w:rFonts w:ascii="Arial" w:hAnsi="Arial" w:cs="Arial"/>
          <w:bCs/>
          <w:snapToGrid w:val="0"/>
          <w:sz w:val="22"/>
          <w:szCs w:val="20"/>
          <w:highlight w:val="yellow"/>
        </w:rPr>
      </w:pPr>
      <w:r>
        <w:rPr>
          <w:rFonts w:ascii="Arial" w:hAnsi="Arial" w:cs="Arial"/>
          <w:bCs/>
          <w:snapToGrid w:val="0"/>
          <w:sz w:val="22"/>
          <w:szCs w:val="20"/>
          <w:highlight w:val="yellow"/>
        </w:rPr>
        <w:br w:type="page"/>
      </w:r>
    </w:p>
    <w:p w:rsidR="000D507C" w:rsidRPr="00A84A0B" w:rsidRDefault="000D507C" w:rsidP="005939DA">
      <w:pPr>
        <w:jc w:val="both"/>
        <w:rPr>
          <w:rFonts w:ascii="Arial" w:hAnsi="Arial" w:cs="Arial"/>
          <w:bCs/>
          <w:snapToGrid w:val="0"/>
          <w:sz w:val="22"/>
          <w:szCs w:val="20"/>
          <w:highlight w:val="yellow"/>
        </w:rPr>
      </w:pPr>
    </w:p>
    <w:p w:rsidR="000D507C" w:rsidRPr="00B0280B" w:rsidRDefault="000D507C" w:rsidP="005939DA">
      <w:pPr>
        <w:pStyle w:val="PBACHeading1"/>
        <w:ind w:left="709" w:hanging="709"/>
      </w:pPr>
      <w:r w:rsidRPr="00B0280B">
        <w:t>Recommended listing</w:t>
      </w:r>
    </w:p>
    <w:p w:rsidR="000D507C" w:rsidRPr="00A84A0B" w:rsidRDefault="000D507C" w:rsidP="005939DA">
      <w:pPr>
        <w:jc w:val="both"/>
        <w:rPr>
          <w:rFonts w:ascii="Arial" w:hAnsi="Arial" w:cs="Arial"/>
          <w:bCs/>
          <w:snapToGrid w:val="0"/>
          <w:sz w:val="22"/>
          <w:szCs w:val="20"/>
        </w:rPr>
      </w:pPr>
    </w:p>
    <w:p w:rsidR="00272989" w:rsidRPr="00301CE6" w:rsidRDefault="00272989" w:rsidP="005939DA">
      <w:pPr>
        <w:numPr>
          <w:ilvl w:val="1"/>
          <w:numId w:val="1"/>
        </w:numPr>
        <w:jc w:val="both"/>
        <w:rPr>
          <w:rFonts w:ascii="Arial" w:hAnsi="Arial" w:cs="Arial"/>
          <w:bCs/>
          <w:snapToGrid w:val="0"/>
          <w:sz w:val="22"/>
          <w:szCs w:val="20"/>
        </w:rPr>
      </w:pPr>
      <w:r w:rsidRPr="00A84A0B">
        <w:rPr>
          <w:rFonts w:ascii="Arial" w:hAnsi="Arial" w:cs="Arial"/>
          <w:bCs/>
          <w:snapToGrid w:val="0"/>
          <w:sz w:val="22"/>
          <w:szCs w:val="20"/>
        </w:rPr>
        <w:t>Add new item:</w:t>
      </w:r>
    </w:p>
    <w:p w:rsidR="00272989" w:rsidRPr="00A84A0B" w:rsidRDefault="00272989" w:rsidP="005939DA">
      <w:pPr>
        <w:jc w:val="both"/>
        <w:rPr>
          <w:rFonts w:ascii="Arial" w:hAnsi="Arial" w:cs="Arial"/>
          <w:snapToGrid w:val="0"/>
          <w:sz w:val="22"/>
          <w:szCs w:val="20"/>
        </w:rPr>
      </w:pPr>
    </w:p>
    <w:tbl>
      <w:tblPr>
        <w:tblW w:w="4610" w:type="pct"/>
        <w:tblInd w:w="726" w:type="dxa"/>
        <w:tblLayout w:type="fixed"/>
        <w:tblCellMar>
          <w:left w:w="28" w:type="dxa"/>
          <w:right w:w="28" w:type="dxa"/>
        </w:tblCellMar>
        <w:tblLook w:val="0000" w:firstRow="0" w:lastRow="0" w:firstColumn="0" w:lastColumn="0" w:noHBand="0" w:noVBand="0"/>
      </w:tblPr>
      <w:tblGrid>
        <w:gridCol w:w="17"/>
        <w:gridCol w:w="1887"/>
        <w:gridCol w:w="1082"/>
        <w:gridCol w:w="708"/>
        <w:gridCol w:w="476"/>
        <w:gridCol w:w="898"/>
        <w:gridCol w:w="3278"/>
        <w:gridCol w:w="28"/>
      </w:tblGrid>
      <w:tr w:rsidR="00272989" w:rsidRPr="00A84A0B" w:rsidTr="005939DA">
        <w:trPr>
          <w:cantSplit/>
          <w:trHeight w:val="471"/>
        </w:trPr>
        <w:tc>
          <w:tcPr>
            <w:tcW w:w="1783" w:type="pct"/>
            <w:gridSpan w:val="3"/>
            <w:tcBorders>
              <w:bottom w:val="single" w:sz="4" w:space="0" w:color="auto"/>
            </w:tcBorders>
          </w:tcPr>
          <w:p w:rsidR="00272989" w:rsidRPr="00A84A0B" w:rsidRDefault="00272989" w:rsidP="005939DA">
            <w:pPr>
              <w:keepNext/>
              <w:jc w:val="both"/>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t>Name, Restriction,</w:t>
            </w:r>
          </w:p>
          <w:p w:rsidR="00272989" w:rsidRPr="00A84A0B" w:rsidRDefault="00272989" w:rsidP="005939DA">
            <w:pPr>
              <w:keepNext/>
              <w:jc w:val="both"/>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t>Manner of administration and form</w:t>
            </w:r>
          </w:p>
        </w:tc>
        <w:tc>
          <w:tcPr>
            <w:tcW w:w="423" w:type="pct"/>
            <w:tcBorders>
              <w:bottom w:val="single" w:sz="4" w:space="0" w:color="auto"/>
            </w:tcBorders>
          </w:tcPr>
          <w:p w:rsidR="00272989" w:rsidRPr="00A84A0B" w:rsidRDefault="00272989" w:rsidP="005939DA">
            <w:pPr>
              <w:keepNext/>
              <w:jc w:val="center"/>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t>Max.</w:t>
            </w:r>
          </w:p>
          <w:p w:rsidR="00272989" w:rsidRPr="00A84A0B" w:rsidRDefault="00272989" w:rsidP="005939DA">
            <w:pPr>
              <w:keepNext/>
              <w:jc w:val="center"/>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t>Amt</w:t>
            </w:r>
          </w:p>
        </w:tc>
        <w:tc>
          <w:tcPr>
            <w:tcW w:w="284" w:type="pct"/>
            <w:tcBorders>
              <w:bottom w:val="single" w:sz="4" w:space="0" w:color="auto"/>
            </w:tcBorders>
          </w:tcPr>
          <w:p w:rsidR="00272989" w:rsidRPr="00A84A0B" w:rsidRDefault="00272989" w:rsidP="005939DA">
            <w:pPr>
              <w:keepNext/>
              <w:jc w:val="center"/>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t>№.of</w:t>
            </w:r>
          </w:p>
          <w:p w:rsidR="00272989" w:rsidRPr="00A84A0B" w:rsidRDefault="00272989" w:rsidP="005939DA">
            <w:pPr>
              <w:keepNext/>
              <w:jc w:val="center"/>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t>Rpts</w:t>
            </w:r>
          </w:p>
        </w:tc>
        <w:tc>
          <w:tcPr>
            <w:tcW w:w="2510" w:type="pct"/>
            <w:gridSpan w:val="3"/>
            <w:tcBorders>
              <w:bottom w:val="single" w:sz="4" w:space="0" w:color="auto"/>
            </w:tcBorders>
          </w:tcPr>
          <w:p w:rsidR="00272989" w:rsidRPr="00A84A0B" w:rsidRDefault="00272989" w:rsidP="005939DA">
            <w:pPr>
              <w:keepNext/>
              <w:jc w:val="center"/>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t>Proprietary Name and Manufacturer</w:t>
            </w:r>
          </w:p>
        </w:tc>
      </w:tr>
      <w:tr w:rsidR="00272989" w:rsidRPr="00A84A0B" w:rsidTr="005939DA">
        <w:trPr>
          <w:cantSplit/>
          <w:trHeight w:val="577"/>
        </w:trPr>
        <w:tc>
          <w:tcPr>
            <w:tcW w:w="1783" w:type="pct"/>
            <w:gridSpan w:val="3"/>
          </w:tcPr>
          <w:p w:rsidR="00272989" w:rsidRPr="00A84A0B" w:rsidRDefault="00272989" w:rsidP="005939DA">
            <w:pPr>
              <w:keepNext/>
              <w:jc w:val="both"/>
              <w:rPr>
                <w:rFonts w:ascii="Arial Narrow" w:hAnsi="Arial Narrow" w:cs="Arial"/>
                <w:snapToGrid w:val="0"/>
                <w:sz w:val="20"/>
                <w:szCs w:val="20"/>
                <w:lang w:eastAsia="en-US"/>
              </w:rPr>
            </w:pPr>
            <w:r w:rsidRPr="00A84A0B">
              <w:rPr>
                <w:rFonts w:ascii="Arial Narrow" w:hAnsi="Arial Narrow" w:cs="Arial"/>
                <w:smallCaps/>
                <w:snapToGrid w:val="0"/>
                <w:sz w:val="20"/>
                <w:szCs w:val="20"/>
                <w:lang w:eastAsia="en-US"/>
              </w:rPr>
              <w:t>nivolumab</w:t>
            </w:r>
          </w:p>
          <w:p w:rsidR="00272989" w:rsidRPr="00A84A0B" w:rsidRDefault="00272989" w:rsidP="005939DA">
            <w:pPr>
              <w:keepNext/>
              <w:jc w:val="both"/>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t>40 mg/4 mL injection, 1 x 4 mL vial</w:t>
            </w:r>
          </w:p>
          <w:p w:rsidR="00272989" w:rsidRPr="00A84A0B" w:rsidRDefault="00272989" w:rsidP="005939DA">
            <w:pPr>
              <w:keepNext/>
              <w:jc w:val="both"/>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t>100 mg/10 mL injection, 1 x 10 mL vial</w:t>
            </w:r>
          </w:p>
        </w:tc>
        <w:tc>
          <w:tcPr>
            <w:tcW w:w="423" w:type="pct"/>
          </w:tcPr>
          <w:p w:rsidR="00272989" w:rsidRPr="00A84A0B" w:rsidRDefault="00272989" w:rsidP="005939DA">
            <w:pPr>
              <w:keepNext/>
              <w:jc w:val="center"/>
              <w:rPr>
                <w:rFonts w:ascii="Arial Narrow" w:hAnsi="Arial Narrow" w:cs="Arial"/>
                <w:snapToGrid w:val="0"/>
                <w:sz w:val="20"/>
                <w:szCs w:val="20"/>
                <w:lang w:eastAsia="en-US"/>
              </w:rPr>
            </w:pPr>
          </w:p>
          <w:p w:rsidR="00272989" w:rsidRPr="00A84A0B" w:rsidRDefault="00272989" w:rsidP="005939DA">
            <w:pPr>
              <w:keepNext/>
              <w:jc w:val="center"/>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t>360 mg</w:t>
            </w:r>
          </w:p>
        </w:tc>
        <w:tc>
          <w:tcPr>
            <w:tcW w:w="284" w:type="pct"/>
          </w:tcPr>
          <w:p w:rsidR="00272989" w:rsidRPr="00A84A0B" w:rsidRDefault="00272989" w:rsidP="005939DA">
            <w:pPr>
              <w:keepNext/>
              <w:jc w:val="center"/>
              <w:rPr>
                <w:rFonts w:ascii="Arial Narrow" w:hAnsi="Arial Narrow" w:cs="Arial"/>
                <w:snapToGrid w:val="0"/>
                <w:sz w:val="20"/>
                <w:szCs w:val="20"/>
                <w:lang w:eastAsia="en-US"/>
              </w:rPr>
            </w:pPr>
          </w:p>
          <w:p w:rsidR="00272989" w:rsidRPr="00A84A0B" w:rsidRDefault="00272989" w:rsidP="005939DA">
            <w:pPr>
              <w:keepNext/>
              <w:jc w:val="center"/>
              <w:rPr>
                <w:rFonts w:ascii="Arial Narrow" w:hAnsi="Arial Narrow" w:cs="Arial"/>
                <w:snapToGrid w:val="0"/>
                <w:sz w:val="20"/>
                <w:szCs w:val="20"/>
                <w:lang w:eastAsia="en-US"/>
              </w:rPr>
            </w:pPr>
            <w:r w:rsidRPr="00A84A0B">
              <w:rPr>
                <w:rFonts w:ascii="Arial Narrow" w:hAnsi="Arial Narrow" w:cs="Arial"/>
                <w:i/>
                <w:snapToGrid w:val="0"/>
                <w:sz w:val="20"/>
                <w:szCs w:val="20"/>
                <w:lang w:eastAsia="en-US"/>
              </w:rPr>
              <w:t>8</w:t>
            </w:r>
          </w:p>
        </w:tc>
        <w:tc>
          <w:tcPr>
            <w:tcW w:w="536" w:type="pct"/>
          </w:tcPr>
          <w:p w:rsidR="00272989" w:rsidRPr="00A84A0B" w:rsidRDefault="00272989" w:rsidP="005939DA">
            <w:pPr>
              <w:keepNext/>
              <w:jc w:val="center"/>
              <w:rPr>
                <w:rFonts w:ascii="Arial Narrow" w:hAnsi="Arial Narrow" w:cs="Arial"/>
                <w:snapToGrid w:val="0"/>
                <w:sz w:val="20"/>
                <w:szCs w:val="20"/>
                <w:lang w:eastAsia="en-US"/>
              </w:rPr>
            </w:pPr>
          </w:p>
          <w:p w:rsidR="00272989" w:rsidRPr="00A84A0B" w:rsidRDefault="00272989" w:rsidP="005939DA">
            <w:pPr>
              <w:keepNext/>
              <w:jc w:val="center"/>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t>Opdivo</w:t>
            </w:r>
            <w:r w:rsidRPr="00A84A0B">
              <w:rPr>
                <w:rFonts w:ascii="Arial Narrow" w:hAnsi="Arial Narrow" w:cs="Arial"/>
                <w:snapToGrid w:val="0"/>
                <w:sz w:val="20"/>
                <w:szCs w:val="20"/>
                <w:vertAlign w:val="superscript"/>
                <w:lang w:eastAsia="en-US"/>
              </w:rPr>
              <w:t>®</w:t>
            </w:r>
          </w:p>
        </w:tc>
        <w:tc>
          <w:tcPr>
            <w:tcW w:w="1974" w:type="pct"/>
            <w:gridSpan w:val="2"/>
          </w:tcPr>
          <w:p w:rsidR="00272989" w:rsidRPr="00A84A0B" w:rsidRDefault="00272989" w:rsidP="005939DA">
            <w:pPr>
              <w:keepNext/>
              <w:jc w:val="center"/>
              <w:rPr>
                <w:rFonts w:ascii="Arial Narrow" w:hAnsi="Arial Narrow" w:cs="Arial"/>
                <w:snapToGrid w:val="0"/>
                <w:sz w:val="20"/>
                <w:szCs w:val="20"/>
                <w:lang w:eastAsia="en-US"/>
              </w:rPr>
            </w:pPr>
          </w:p>
          <w:p w:rsidR="00272989" w:rsidRPr="00A84A0B" w:rsidRDefault="00272989" w:rsidP="005939DA">
            <w:pPr>
              <w:keepNext/>
              <w:jc w:val="center"/>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t>Bristol-Myers Squibb Australia Pty Ltd (BQ)</w:t>
            </w:r>
          </w:p>
        </w:tc>
      </w:tr>
      <w:tr w:rsidR="00272989" w:rsidRPr="00A84A0B" w:rsidTr="005939DA">
        <w:trPr>
          <w:gridAfter w:val="1"/>
          <w:wAfter w:w="17" w:type="pct"/>
          <w:cantSplit/>
          <w:trHeight w:val="360"/>
        </w:trPr>
        <w:tc>
          <w:tcPr>
            <w:tcW w:w="4983" w:type="pct"/>
            <w:gridSpan w:val="7"/>
          </w:tcPr>
          <w:p w:rsidR="00272989" w:rsidRPr="00A84A0B" w:rsidRDefault="00272989" w:rsidP="005939DA">
            <w:pPr>
              <w:spacing w:after="60"/>
              <w:jc w:val="both"/>
              <w:rPr>
                <w:rFonts w:ascii="Arial Narrow" w:hAnsi="Arial Narrow" w:cs="Arial"/>
                <w:snapToGrid w:val="0"/>
                <w:sz w:val="18"/>
                <w:szCs w:val="20"/>
                <w:u w:val="single"/>
                <w:lang w:eastAsia="en-US"/>
              </w:rPr>
            </w:pPr>
          </w:p>
        </w:tc>
      </w:tr>
      <w:tr w:rsidR="00272989" w:rsidRPr="00A84A0B" w:rsidTr="005939DA">
        <w:tblPrEx>
          <w:tblCellMar>
            <w:left w:w="108" w:type="dxa"/>
            <w:right w:w="108" w:type="dxa"/>
          </w:tblCellMar>
        </w:tblPrEx>
        <w:trPr>
          <w:gridBefore w:val="1"/>
          <w:wBefore w:w="10" w:type="pct"/>
          <w:cantSplit/>
          <w:trHeight w:val="283"/>
        </w:trPr>
        <w:tc>
          <w:tcPr>
            <w:tcW w:w="1127" w:type="pct"/>
            <w:tcBorders>
              <w:top w:val="single" w:sz="4" w:space="0" w:color="auto"/>
              <w:left w:val="single" w:sz="4" w:space="0" w:color="auto"/>
              <w:bottom w:val="single" w:sz="4" w:space="0" w:color="auto"/>
              <w:right w:val="single" w:sz="4" w:space="0" w:color="auto"/>
            </w:tcBorders>
          </w:tcPr>
          <w:p w:rsidR="00272989" w:rsidRPr="00A84A0B" w:rsidRDefault="00272989" w:rsidP="005939DA">
            <w:pPr>
              <w:jc w:val="both"/>
              <w:rPr>
                <w:rFonts w:ascii="Arial Narrow" w:hAnsi="Arial Narrow" w:cs="Arial"/>
                <w:b/>
                <w:snapToGrid w:val="0"/>
                <w:sz w:val="20"/>
                <w:szCs w:val="20"/>
                <w:lang w:eastAsia="en-US"/>
              </w:rPr>
            </w:pPr>
            <w:r w:rsidRPr="00A84A0B">
              <w:rPr>
                <w:rFonts w:ascii="Arial Narrow" w:hAnsi="Arial Narrow" w:cs="Arial"/>
                <w:b/>
                <w:snapToGrid w:val="0"/>
                <w:sz w:val="20"/>
                <w:szCs w:val="20"/>
                <w:lang w:eastAsia="en-US"/>
              </w:rPr>
              <w:t>Category / Program:</w:t>
            </w:r>
          </w:p>
        </w:tc>
        <w:tc>
          <w:tcPr>
            <w:tcW w:w="3864" w:type="pct"/>
            <w:gridSpan w:val="6"/>
            <w:tcBorders>
              <w:top w:val="single" w:sz="4" w:space="0" w:color="auto"/>
              <w:left w:val="single" w:sz="4" w:space="0" w:color="auto"/>
              <w:bottom w:val="single" w:sz="4" w:space="0" w:color="auto"/>
              <w:right w:val="single" w:sz="4" w:space="0" w:color="auto"/>
            </w:tcBorders>
          </w:tcPr>
          <w:p w:rsidR="00272989" w:rsidRPr="00A84A0B" w:rsidRDefault="00272989" w:rsidP="005939DA">
            <w:pPr>
              <w:jc w:val="both"/>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t>Section 100 – Efficient funding of Chemotherapy</w:t>
            </w:r>
          </w:p>
        </w:tc>
      </w:tr>
      <w:tr w:rsidR="00272989" w:rsidRPr="00A84A0B" w:rsidTr="005939DA">
        <w:tblPrEx>
          <w:tblCellMar>
            <w:left w:w="108" w:type="dxa"/>
            <w:right w:w="108" w:type="dxa"/>
          </w:tblCellMar>
        </w:tblPrEx>
        <w:trPr>
          <w:gridBefore w:val="1"/>
          <w:wBefore w:w="10" w:type="pct"/>
          <w:cantSplit/>
          <w:trHeight w:val="283"/>
        </w:trPr>
        <w:tc>
          <w:tcPr>
            <w:tcW w:w="1127" w:type="pct"/>
            <w:tcBorders>
              <w:top w:val="single" w:sz="4" w:space="0" w:color="auto"/>
              <w:left w:val="single" w:sz="4" w:space="0" w:color="auto"/>
              <w:bottom w:val="single" w:sz="4" w:space="0" w:color="auto"/>
              <w:right w:val="single" w:sz="4" w:space="0" w:color="auto"/>
            </w:tcBorders>
          </w:tcPr>
          <w:p w:rsidR="00272989" w:rsidRPr="00A84A0B" w:rsidRDefault="00272989" w:rsidP="005939DA">
            <w:pPr>
              <w:jc w:val="both"/>
              <w:rPr>
                <w:rFonts w:ascii="Arial Narrow" w:hAnsi="Arial Narrow" w:cs="Arial"/>
                <w:b/>
                <w:snapToGrid w:val="0"/>
                <w:sz w:val="20"/>
                <w:szCs w:val="20"/>
                <w:lang w:eastAsia="en-US"/>
              </w:rPr>
            </w:pPr>
            <w:r w:rsidRPr="00A84A0B">
              <w:rPr>
                <w:rFonts w:ascii="Arial Narrow" w:hAnsi="Arial Narrow" w:cs="Arial"/>
                <w:b/>
                <w:snapToGrid w:val="0"/>
                <w:sz w:val="20"/>
                <w:szCs w:val="20"/>
                <w:lang w:eastAsia="en-US"/>
              </w:rPr>
              <w:t>Prescriber type:</w:t>
            </w:r>
          </w:p>
        </w:tc>
        <w:tc>
          <w:tcPr>
            <w:tcW w:w="3864" w:type="pct"/>
            <w:gridSpan w:val="6"/>
            <w:tcBorders>
              <w:top w:val="single" w:sz="4" w:space="0" w:color="auto"/>
              <w:left w:val="single" w:sz="4" w:space="0" w:color="auto"/>
              <w:bottom w:val="single" w:sz="4" w:space="0" w:color="auto"/>
              <w:right w:val="single" w:sz="4" w:space="0" w:color="auto"/>
            </w:tcBorders>
          </w:tcPr>
          <w:p w:rsidR="00272989" w:rsidRPr="00A84A0B" w:rsidRDefault="00272989" w:rsidP="005939DA">
            <w:pPr>
              <w:jc w:val="both"/>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fldChar w:fldCharType="begin">
                <w:ffData>
                  <w:name w:val="Check1"/>
                  <w:enabled/>
                  <w:calcOnExit w:val="0"/>
                  <w:checkBox>
                    <w:sizeAuto/>
                    <w:default w:val="0"/>
                  </w:checkBox>
                </w:ffData>
              </w:fldChar>
            </w:r>
            <w:r w:rsidRPr="00A84A0B">
              <w:rPr>
                <w:rFonts w:ascii="Arial Narrow" w:hAnsi="Arial Narrow" w:cs="Arial"/>
                <w:snapToGrid w:val="0"/>
                <w:sz w:val="20"/>
                <w:szCs w:val="20"/>
                <w:lang w:eastAsia="en-US"/>
              </w:rPr>
              <w:instrText xml:space="preserve"> FORMCHECKBOX </w:instrText>
            </w:r>
            <w:r w:rsidR="006F2FE9">
              <w:rPr>
                <w:rFonts w:ascii="Arial Narrow" w:hAnsi="Arial Narrow" w:cs="Arial"/>
                <w:snapToGrid w:val="0"/>
                <w:sz w:val="20"/>
                <w:szCs w:val="20"/>
                <w:lang w:eastAsia="en-US"/>
              </w:rPr>
            </w:r>
            <w:r w:rsidR="006F2FE9">
              <w:rPr>
                <w:rFonts w:ascii="Arial Narrow" w:hAnsi="Arial Narrow" w:cs="Arial"/>
                <w:snapToGrid w:val="0"/>
                <w:sz w:val="20"/>
                <w:szCs w:val="20"/>
                <w:lang w:eastAsia="en-US"/>
              </w:rPr>
              <w:fldChar w:fldCharType="separate"/>
            </w:r>
            <w:r w:rsidRPr="00A84A0B">
              <w:rPr>
                <w:rFonts w:ascii="Arial Narrow" w:hAnsi="Arial Narrow" w:cs="Arial"/>
                <w:snapToGrid w:val="0"/>
                <w:sz w:val="20"/>
                <w:szCs w:val="20"/>
                <w:lang w:eastAsia="en-US"/>
              </w:rPr>
              <w:fldChar w:fldCharType="end"/>
            </w:r>
            <w:r w:rsidRPr="00A84A0B">
              <w:rPr>
                <w:rFonts w:ascii="Arial Narrow" w:hAnsi="Arial Narrow" w:cs="Arial"/>
                <w:snapToGrid w:val="0"/>
                <w:sz w:val="20"/>
                <w:szCs w:val="20"/>
                <w:lang w:eastAsia="en-US"/>
              </w:rPr>
              <w:t xml:space="preserve">Dental  </w:t>
            </w:r>
            <w:r w:rsidRPr="00A84A0B">
              <w:rPr>
                <w:rFonts w:ascii="Arial Narrow" w:hAnsi="Arial Narrow" w:cs="Arial"/>
                <w:snapToGrid w:val="0"/>
                <w:sz w:val="20"/>
                <w:szCs w:val="20"/>
                <w:lang w:eastAsia="en-US"/>
              </w:rPr>
              <w:fldChar w:fldCharType="begin">
                <w:ffData>
                  <w:name w:val=""/>
                  <w:enabled/>
                  <w:calcOnExit w:val="0"/>
                  <w:checkBox>
                    <w:sizeAuto/>
                    <w:default w:val="1"/>
                  </w:checkBox>
                </w:ffData>
              </w:fldChar>
            </w:r>
            <w:r w:rsidRPr="00A84A0B">
              <w:rPr>
                <w:rFonts w:ascii="Arial Narrow" w:hAnsi="Arial Narrow" w:cs="Arial"/>
                <w:snapToGrid w:val="0"/>
                <w:sz w:val="20"/>
                <w:szCs w:val="20"/>
                <w:lang w:eastAsia="en-US"/>
              </w:rPr>
              <w:instrText xml:space="preserve"> FORMCHECKBOX </w:instrText>
            </w:r>
            <w:r w:rsidR="006F2FE9">
              <w:rPr>
                <w:rFonts w:ascii="Arial Narrow" w:hAnsi="Arial Narrow" w:cs="Arial"/>
                <w:snapToGrid w:val="0"/>
                <w:sz w:val="20"/>
                <w:szCs w:val="20"/>
                <w:lang w:eastAsia="en-US"/>
              </w:rPr>
            </w:r>
            <w:r w:rsidR="006F2FE9">
              <w:rPr>
                <w:rFonts w:ascii="Arial Narrow" w:hAnsi="Arial Narrow" w:cs="Arial"/>
                <w:snapToGrid w:val="0"/>
                <w:sz w:val="20"/>
                <w:szCs w:val="20"/>
                <w:lang w:eastAsia="en-US"/>
              </w:rPr>
              <w:fldChar w:fldCharType="separate"/>
            </w:r>
            <w:r w:rsidRPr="00A84A0B">
              <w:rPr>
                <w:rFonts w:ascii="Arial Narrow" w:hAnsi="Arial Narrow" w:cs="Arial"/>
                <w:snapToGrid w:val="0"/>
                <w:sz w:val="20"/>
                <w:szCs w:val="20"/>
                <w:lang w:eastAsia="en-US"/>
              </w:rPr>
              <w:fldChar w:fldCharType="end"/>
            </w:r>
            <w:r w:rsidRPr="00A84A0B">
              <w:rPr>
                <w:rFonts w:ascii="Arial Narrow" w:hAnsi="Arial Narrow" w:cs="Arial"/>
                <w:snapToGrid w:val="0"/>
                <w:sz w:val="20"/>
                <w:szCs w:val="20"/>
                <w:lang w:eastAsia="en-US"/>
              </w:rPr>
              <w:t xml:space="preserve">Medical Practitioners  </w:t>
            </w:r>
            <w:r w:rsidRPr="00A84A0B">
              <w:rPr>
                <w:rFonts w:ascii="Arial Narrow" w:hAnsi="Arial Narrow" w:cs="Arial"/>
                <w:snapToGrid w:val="0"/>
                <w:sz w:val="20"/>
                <w:szCs w:val="20"/>
                <w:lang w:eastAsia="en-US"/>
              </w:rPr>
              <w:fldChar w:fldCharType="begin">
                <w:ffData>
                  <w:name w:val="Check3"/>
                  <w:enabled/>
                  <w:calcOnExit w:val="0"/>
                  <w:checkBox>
                    <w:sizeAuto/>
                    <w:default w:val="0"/>
                  </w:checkBox>
                </w:ffData>
              </w:fldChar>
            </w:r>
            <w:r w:rsidRPr="00A84A0B">
              <w:rPr>
                <w:rFonts w:ascii="Arial Narrow" w:hAnsi="Arial Narrow" w:cs="Arial"/>
                <w:snapToGrid w:val="0"/>
                <w:sz w:val="20"/>
                <w:szCs w:val="20"/>
                <w:lang w:eastAsia="en-US"/>
              </w:rPr>
              <w:instrText xml:space="preserve"> FORMCHECKBOX </w:instrText>
            </w:r>
            <w:r w:rsidR="006F2FE9">
              <w:rPr>
                <w:rFonts w:ascii="Arial Narrow" w:hAnsi="Arial Narrow" w:cs="Arial"/>
                <w:snapToGrid w:val="0"/>
                <w:sz w:val="20"/>
                <w:szCs w:val="20"/>
                <w:lang w:eastAsia="en-US"/>
              </w:rPr>
            </w:r>
            <w:r w:rsidR="006F2FE9">
              <w:rPr>
                <w:rFonts w:ascii="Arial Narrow" w:hAnsi="Arial Narrow" w:cs="Arial"/>
                <w:snapToGrid w:val="0"/>
                <w:sz w:val="20"/>
                <w:szCs w:val="20"/>
                <w:lang w:eastAsia="en-US"/>
              </w:rPr>
              <w:fldChar w:fldCharType="separate"/>
            </w:r>
            <w:r w:rsidRPr="00A84A0B">
              <w:rPr>
                <w:rFonts w:ascii="Arial Narrow" w:hAnsi="Arial Narrow" w:cs="Arial"/>
                <w:snapToGrid w:val="0"/>
                <w:sz w:val="20"/>
                <w:szCs w:val="20"/>
                <w:lang w:eastAsia="en-US"/>
              </w:rPr>
              <w:fldChar w:fldCharType="end"/>
            </w:r>
            <w:r w:rsidRPr="00A84A0B">
              <w:rPr>
                <w:rFonts w:ascii="Arial Narrow" w:hAnsi="Arial Narrow" w:cs="Arial"/>
                <w:snapToGrid w:val="0"/>
                <w:sz w:val="20"/>
                <w:szCs w:val="20"/>
                <w:lang w:eastAsia="en-US"/>
              </w:rPr>
              <w:t xml:space="preserve">Nurse practitioners  </w:t>
            </w:r>
            <w:r w:rsidRPr="00A84A0B">
              <w:rPr>
                <w:rFonts w:ascii="Arial Narrow" w:hAnsi="Arial Narrow" w:cs="Arial"/>
                <w:snapToGrid w:val="0"/>
                <w:sz w:val="20"/>
                <w:szCs w:val="20"/>
                <w:lang w:eastAsia="en-US"/>
              </w:rPr>
              <w:fldChar w:fldCharType="begin">
                <w:ffData>
                  <w:name w:val=""/>
                  <w:enabled/>
                  <w:calcOnExit w:val="0"/>
                  <w:checkBox>
                    <w:sizeAuto/>
                    <w:default w:val="0"/>
                  </w:checkBox>
                </w:ffData>
              </w:fldChar>
            </w:r>
            <w:r w:rsidRPr="00A84A0B">
              <w:rPr>
                <w:rFonts w:ascii="Arial Narrow" w:hAnsi="Arial Narrow" w:cs="Arial"/>
                <w:snapToGrid w:val="0"/>
                <w:sz w:val="20"/>
                <w:szCs w:val="20"/>
                <w:lang w:eastAsia="en-US"/>
              </w:rPr>
              <w:instrText xml:space="preserve"> FORMCHECKBOX </w:instrText>
            </w:r>
            <w:r w:rsidR="006F2FE9">
              <w:rPr>
                <w:rFonts w:ascii="Arial Narrow" w:hAnsi="Arial Narrow" w:cs="Arial"/>
                <w:snapToGrid w:val="0"/>
                <w:sz w:val="20"/>
                <w:szCs w:val="20"/>
                <w:lang w:eastAsia="en-US"/>
              </w:rPr>
            </w:r>
            <w:r w:rsidR="006F2FE9">
              <w:rPr>
                <w:rFonts w:ascii="Arial Narrow" w:hAnsi="Arial Narrow" w:cs="Arial"/>
                <w:snapToGrid w:val="0"/>
                <w:sz w:val="20"/>
                <w:szCs w:val="20"/>
                <w:lang w:eastAsia="en-US"/>
              </w:rPr>
              <w:fldChar w:fldCharType="separate"/>
            </w:r>
            <w:r w:rsidRPr="00A84A0B">
              <w:rPr>
                <w:rFonts w:ascii="Arial Narrow" w:hAnsi="Arial Narrow" w:cs="Arial"/>
                <w:snapToGrid w:val="0"/>
                <w:sz w:val="20"/>
                <w:szCs w:val="20"/>
                <w:lang w:eastAsia="en-US"/>
              </w:rPr>
              <w:fldChar w:fldCharType="end"/>
            </w:r>
            <w:r w:rsidRPr="00A84A0B">
              <w:rPr>
                <w:rFonts w:ascii="Arial Narrow" w:hAnsi="Arial Narrow" w:cs="Arial"/>
                <w:snapToGrid w:val="0"/>
                <w:sz w:val="20"/>
                <w:szCs w:val="20"/>
                <w:lang w:eastAsia="en-US"/>
              </w:rPr>
              <w:t>Optometrists</w:t>
            </w:r>
          </w:p>
          <w:p w:rsidR="00272989" w:rsidRPr="00A84A0B" w:rsidRDefault="00272989" w:rsidP="005939DA">
            <w:pPr>
              <w:jc w:val="both"/>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fldChar w:fldCharType="begin">
                <w:ffData>
                  <w:name w:val="Check5"/>
                  <w:enabled/>
                  <w:calcOnExit w:val="0"/>
                  <w:checkBox>
                    <w:sizeAuto/>
                    <w:default w:val="0"/>
                  </w:checkBox>
                </w:ffData>
              </w:fldChar>
            </w:r>
            <w:r w:rsidRPr="00A84A0B">
              <w:rPr>
                <w:rFonts w:ascii="Arial Narrow" w:hAnsi="Arial Narrow" w:cs="Arial"/>
                <w:snapToGrid w:val="0"/>
                <w:sz w:val="20"/>
                <w:szCs w:val="20"/>
                <w:lang w:eastAsia="en-US"/>
              </w:rPr>
              <w:instrText xml:space="preserve"> FORMCHECKBOX </w:instrText>
            </w:r>
            <w:r w:rsidR="006F2FE9">
              <w:rPr>
                <w:rFonts w:ascii="Arial Narrow" w:hAnsi="Arial Narrow" w:cs="Arial"/>
                <w:snapToGrid w:val="0"/>
                <w:sz w:val="20"/>
                <w:szCs w:val="20"/>
                <w:lang w:eastAsia="en-US"/>
              </w:rPr>
            </w:r>
            <w:r w:rsidR="006F2FE9">
              <w:rPr>
                <w:rFonts w:ascii="Arial Narrow" w:hAnsi="Arial Narrow" w:cs="Arial"/>
                <w:snapToGrid w:val="0"/>
                <w:sz w:val="20"/>
                <w:szCs w:val="20"/>
                <w:lang w:eastAsia="en-US"/>
              </w:rPr>
              <w:fldChar w:fldCharType="separate"/>
            </w:r>
            <w:r w:rsidRPr="00A84A0B">
              <w:rPr>
                <w:rFonts w:ascii="Arial Narrow" w:hAnsi="Arial Narrow" w:cs="Arial"/>
                <w:snapToGrid w:val="0"/>
                <w:sz w:val="20"/>
                <w:szCs w:val="20"/>
                <w:lang w:eastAsia="en-US"/>
              </w:rPr>
              <w:fldChar w:fldCharType="end"/>
            </w:r>
            <w:r w:rsidRPr="00A84A0B">
              <w:rPr>
                <w:rFonts w:ascii="Arial Narrow" w:hAnsi="Arial Narrow" w:cs="Arial"/>
                <w:snapToGrid w:val="0"/>
                <w:sz w:val="20"/>
                <w:szCs w:val="20"/>
                <w:lang w:eastAsia="en-US"/>
              </w:rPr>
              <w:t>Midwives</w:t>
            </w:r>
          </w:p>
        </w:tc>
      </w:tr>
      <w:tr w:rsidR="00272989" w:rsidRPr="00A84A0B" w:rsidTr="005939DA">
        <w:tblPrEx>
          <w:tblCellMar>
            <w:left w:w="108" w:type="dxa"/>
            <w:right w:w="108" w:type="dxa"/>
          </w:tblCellMar>
        </w:tblPrEx>
        <w:trPr>
          <w:gridBefore w:val="1"/>
          <w:wBefore w:w="10" w:type="pct"/>
          <w:cantSplit/>
          <w:trHeight w:val="283"/>
        </w:trPr>
        <w:tc>
          <w:tcPr>
            <w:tcW w:w="1127" w:type="pct"/>
            <w:tcBorders>
              <w:top w:val="single" w:sz="4" w:space="0" w:color="auto"/>
              <w:left w:val="single" w:sz="4" w:space="0" w:color="auto"/>
              <w:bottom w:val="single" w:sz="4" w:space="0" w:color="auto"/>
              <w:right w:val="single" w:sz="4" w:space="0" w:color="auto"/>
            </w:tcBorders>
          </w:tcPr>
          <w:p w:rsidR="00272989" w:rsidRPr="00A84A0B" w:rsidRDefault="00272989" w:rsidP="005939DA">
            <w:pPr>
              <w:jc w:val="both"/>
              <w:rPr>
                <w:rFonts w:ascii="Arial Narrow" w:hAnsi="Arial Narrow" w:cs="Arial"/>
                <w:b/>
                <w:snapToGrid w:val="0"/>
                <w:sz w:val="20"/>
                <w:szCs w:val="20"/>
                <w:lang w:eastAsia="en-US"/>
              </w:rPr>
            </w:pPr>
            <w:r w:rsidRPr="00A84A0B">
              <w:rPr>
                <w:rFonts w:ascii="Arial Narrow" w:hAnsi="Arial Narrow" w:cs="Arial"/>
                <w:b/>
                <w:snapToGrid w:val="0"/>
                <w:sz w:val="20"/>
                <w:szCs w:val="20"/>
                <w:lang w:eastAsia="en-US"/>
              </w:rPr>
              <w:t>Episodicity:</w:t>
            </w:r>
          </w:p>
        </w:tc>
        <w:tc>
          <w:tcPr>
            <w:tcW w:w="3864" w:type="pct"/>
            <w:gridSpan w:val="6"/>
            <w:tcBorders>
              <w:top w:val="single" w:sz="4" w:space="0" w:color="auto"/>
              <w:left w:val="single" w:sz="4" w:space="0" w:color="auto"/>
              <w:bottom w:val="single" w:sz="4" w:space="0" w:color="auto"/>
              <w:right w:val="single" w:sz="4" w:space="0" w:color="auto"/>
            </w:tcBorders>
          </w:tcPr>
          <w:p w:rsidR="00272989" w:rsidRPr="00A84A0B" w:rsidRDefault="00272989" w:rsidP="005939DA">
            <w:pPr>
              <w:jc w:val="both"/>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t>-</w:t>
            </w:r>
          </w:p>
        </w:tc>
      </w:tr>
      <w:tr w:rsidR="00272989" w:rsidRPr="00A84A0B" w:rsidTr="005939DA">
        <w:tblPrEx>
          <w:tblCellMar>
            <w:left w:w="108" w:type="dxa"/>
            <w:right w:w="108" w:type="dxa"/>
          </w:tblCellMar>
        </w:tblPrEx>
        <w:trPr>
          <w:gridBefore w:val="1"/>
          <w:wBefore w:w="10" w:type="pct"/>
          <w:cantSplit/>
          <w:trHeight w:val="283"/>
        </w:trPr>
        <w:tc>
          <w:tcPr>
            <w:tcW w:w="1127" w:type="pct"/>
            <w:tcBorders>
              <w:top w:val="single" w:sz="4" w:space="0" w:color="auto"/>
              <w:left w:val="single" w:sz="4" w:space="0" w:color="auto"/>
              <w:bottom w:val="single" w:sz="4" w:space="0" w:color="auto"/>
              <w:right w:val="single" w:sz="4" w:space="0" w:color="auto"/>
            </w:tcBorders>
          </w:tcPr>
          <w:p w:rsidR="00272989" w:rsidRPr="00A84A0B" w:rsidRDefault="00272989" w:rsidP="005939DA">
            <w:pPr>
              <w:jc w:val="both"/>
              <w:rPr>
                <w:rFonts w:ascii="Arial Narrow" w:hAnsi="Arial Narrow" w:cs="Arial"/>
                <w:b/>
                <w:snapToGrid w:val="0"/>
                <w:sz w:val="20"/>
                <w:szCs w:val="20"/>
                <w:lang w:eastAsia="en-US"/>
              </w:rPr>
            </w:pPr>
            <w:r w:rsidRPr="00A84A0B">
              <w:rPr>
                <w:rFonts w:ascii="Arial Narrow" w:hAnsi="Arial Narrow" w:cs="Arial"/>
                <w:b/>
                <w:snapToGrid w:val="0"/>
                <w:sz w:val="20"/>
                <w:szCs w:val="20"/>
                <w:lang w:eastAsia="en-US"/>
              </w:rPr>
              <w:t>Severity:</w:t>
            </w:r>
          </w:p>
        </w:tc>
        <w:tc>
          <w:tcPr>
            <w:tcW w:w="3864" w:type="pct"/>
            <w:gridSpan w:val="6"/>
            <w:tcBorders>
              <w:top w:val="single" w:sz="4" w:space="0" w:color="auto"/>
              <w:left w:val="single" w:sz="4" w:space="0" w:color="auto"/>
              <w:bottom w:val="single" w:sz="4" w:space="0" w:color="auto"/>
              <w:right w:val="single" w:sz="4" w:space="0" w:color="auto"/>
            </w:tcBorders>
          </w:tcPr>
          <w:p w:rsidR="00272989" w:rsidRPr="00A84A0B" w:rsidRDefault="00272989" w:rsidP="005939DA">
            <w:pPr>
              <w:jc w:val="both"/>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t>Locally advanced or metastatic</w:t>
            </w:r>
          </w:p>
        </w:tc>
      </w:tr>
      <w:tr w:rsidR="00272989" w:rsidRPr="00A84A0B" w:rsidTr="005939DA">
        <w:tblPrEx>
          <w:tblCellMar>
            <w:left w:w="108" w:type="dxa"/>
            <w:right w:w="108" w:type="dxa"/>
          </w:tblCellMar>
        </w:tblPrEx>
        <w:trPr>
          <w:gridBefore w:val="1"/>
          <w:wBefore w:w="10" w:type="pct"/>
          <w:cantSplit/>
          <w:trHeight w:val="283"/>
        </w:trPr>
        <w:tc>
          <w:tcPr>
            <w:tcW w:w="1127" w:type="pct"/>
            <w:tcBorders>
              <w:top w:val="single" w:sz="4" w:space="0" w:color="auto"/>
              <w:left w:val="single" w:sz="4" w:space="0" w:color="auto"/>
              <w:bottom w:val="single" w:sz="4" w:space="0" w:color="auto"/>
              <w:right w:val="single" w:sz="4" w:space="0" w:color="auto"/>
            </w:tcBorders>
          </w:tcPr>
          <w:p w:rsidR="00272989" w:rsidRPr="00A84A0B" w:rsidRDefault="00272989" w:rsidP="005939DA">
            <w:pPr>
              <w:jc w:val="both"/>
              <w:rPr>
                <w:rFonts w:ascii="Arial Narrow" w:hAnsi="Arial Narrow" w:cs="Arial"/>
                <w:b/>
                <w:snapToGrid w:val="0"/>
                <w:sz w:val="20"/>
                <w:szCs w:val="20"/>
                <w:lang w:eastAsia="en-US"/>
              </w:rPr>
            </w:pPr>
            <w:r w:rsidRPr="00A84A0B">
              <w:rPr>
                <w:rFonts w:ascii="Arial Narrow" w:hAnsi="Arial Narrow" w:cs="Arial"/>
                <w:b/>
                <w:snapToGrid w:val="0"/>
                <w:sz w:val="20"/>
                <w:szCs w:val="20"/>
                <w:lang w:eastAsia="en-US"/>
              </w:rPr>
              <w:t>Condition:</w:t>
            </w:r>
          </w:p>
        </w:tc>
        <w:tc>
          <w:tcPr>
            <w:tcW w:w="3864" w:type="pct"/>
            <w:gridSpan w:val="6"/>
            <w:tcBorders>
              <w:top w:val="single" w:sz="4" w:space="0" w:color="auto"/>
              <w:left w:val="single" w:sz="4" w:space="0" w:color="auto"/>
              <w:bottom w:val="single" w:sz="4" w:space="0" w:color="auto"/>
              <w:right w:val="single" w:sz="4" w:space="0" w:color="auto"/>
            </w:tcBorders>
          </w:tcPr>
          <w:p w:rsidR="00272989" w:rsidRPr="00A84A0B" w:rsidRDefault="00272989" w:rsidP="005939DA">
            <w:pPr>
              <w:jc w:val="both"/>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t>non-small cell lung cancer</w:t>
            </w:r>
          </w:p>
        </w:tc>
      </w:tr>
      <w:tr w:rsidR="00272989" w:rsidRPr="00A84A0B" w:rsidTr="005939DA">
        <w:tblPrEx>
          <w:tblCellMar>
            <w:left w:w="108" w:type="dxa"/>
            <w:right w:w="108" w:type="dxa"/>
          </w:tblCellMar>
        </w:tblPrEx>
        <w:trPr>
          <w:gridBefore w:val="1"/>
          <w:wBefore w:w="10" w:type="pct"/>
          <w:cantSplit/>
          <w:trHeight w:val="283"/>
        </w:trPr>
        <w:tc>
          <w:tcPr>
            <w:tcW w:w="1127" w:type="pct"/>
            <w:tcBorders>
              <w:top w:val="single" w:sz="4" w:space="0" w:color="auto"/>
              <w:left w:val="single" w:sz="4" w:space="0" w:color="auto"/>
              <w:bottom w:val="single" w:sz="4" w:space="0" w:color="auto"/>
              <w:right w:val="single" w:sz="4" w:space="0" w:color="auto"/>
            </w:tcBorders>
          </w:tcPr>
          <w:p w:rsidR="00272989" w:rsidRPr="00A84A0B" w:rsidRDefault="00272989" w:rsidP="005939DA">
            <w:pPr>
              <w:jc w:val="both"/>
              <w:rPr>
                <w:rFonts w:ascii="Arial Narrow" w:hAnsi="Arial Narrow" w:cs="Arial"/>
                <w:b/>
                <w:snapToGrid w:val="0"/>
                <w:sz w:val="20"/>
                <w:szCs w:val="20"/>
                <w:lang w:eastAsia="en-US"/>
              </w:rPr>
            </w:pPr>
            <w:r w:rsidRPr="00A84A0B">
              <w:rPr>
                <w:rFonts w:ascii="Arial Narrow" w:hAnsi="Arial Narrow" w:cs="Arial"/>
                <w:b/>
                <w:snapToGrid w:val="0"/>
                <w:sz w:val="20"/>
                <w:szCs w:val="20"/>
                <w:lang w:eastAsia="en-US"/>
              </w:rPr>
              <w:t>PBS Indication:</w:t>
            </w:r>
          </w:p>
        </w:tc>
        <w:tc>
          <w:tcPr>
            <w:tcW w:w="3864" w:type="pct"/>
            <w:gridSpan w:val="6"/>
            <w:tcBorders>
              <w:top w:val="single" w:sz="4" w:space="0" w:color="auto"/>
              <w:left w:val="single" w:sz="4" w:space="0" w:color="auto"/>
              <w:bottom w:val="single" w:sz="4" w:space="0" w:color="auto"/>
              <w:right w:val="single" w:sz="4" w:space="0" w:color="auto"/>
            </w:tcBorders>
          </w:tcPr>
          <w:p w:rsidR="00272989" w:rsidRPr="00A84A0B" w:rsidRDefault="00272989" w:rsidP="005939DA">
            <w:pPr>
              <w:jc w:val="both"/>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t>Locally advanced or metastatic non-small cell lung cancer</w:t>
            </w:r>
          </w:p>
        </w:tc>
      </w:tr>
      <w:tr w:rsidR="00272989" w:rsidRPr="00A84A0B" w:rsidTr="005939DA">
        <w:tblPrEx>
          <w:tblCellMar>
            <w:left w:w="108" w:type="dxa"/>
            <w:right w:w="108" w:type="dxa"/>
          </w:tblCellMar>
        </w:tblPrEx>
        <w:trPr>
          <w:gridBefore w:val="1"/>
          <w:wBefore w:w="10" w:type="pct"/>
          <w:cantSplit/>
          <w:trHeight w:val="283"/>
        </w:trPr>
        <w:tc>
          <w:tcPr>
            <w:tcW w:w="1127" w:type="pct"/>
            <w:tcBorders>
              <w:top w:val="single" w:sz="4" w:space="0" w:color="auto"/>
              <w:left w:val="single" w:sz="4" w:space="0" w:color="auto"/>
              <w:bottom w:val="single" w:sz="4" w:space="0" w:color="auto"/>
              <w:right w:val="single" w:sz="4" w:space="0" w:color="auto"/>
            </w:tcBorders>
          </w:tcPr>
          <w:p w:rsidR="00272989" w:rsidRPr="00A84A0B" w:rsidRDefault="00272989" w:rsidP="005939DA">
            <w:pPr>
              <w:jc w:val="both"/>
              <w:rPr>
                <w:rFonts w:ascii="Arial Narrow" w:hAnsi="Arial Narrow" w:cs="Arial"/>
                <w:b/>
                <w:snapToGrid w:val="0"/>
                <w:sz w:val="20"/>
                <w:szCs w:val="20"/>
                <w:lang w:eastAsia="en-US"/>
              </w:rPr>
            </w:pPr>
            <w:r w:rsidRPr="00A84A0B">
              <w:rPr>
                <w:rFonts w:ascii="Arial Narrow" w:hAnsi="Arial Narrow" w:cs="Arial"/>
                <w:b/>
                <w:snapToGrid w:val="0"/>
                <w:sz w:val="20"/>
                <w:szCs w:val="20"/>
                <w:lang w:eastAsia="en-US"/>
              </w:rPr>
              <w:t>Treatment phase:</w:t>
            </w:r>
          </w:p>
        </w:tc>
        <w:tc>
          <w:tcPr>
            <w:tcW w:w="3864" w:type="pct"/>
            <w:gridSpan w:val="6"/>
            <w:tcBorders>
              <w:top w:val="single" w:sz="4" w:space="0" w:color="auto"/>
              <w:left w:val="single" w:sz="4" w:space="0" w:color="auto"/>
              <w:bottom w:val="single" w:sz="4" w:space="0" w:color="auto"/>
              <w:right w:val="single" w:sz="4" w:space="0" w:color="auto"/>
            </w:tcBorders>
          </w:tcPr>
          <w:p w:rsidR="00272989" w:rsidRPr="00A84A0B" w:rsidRDefault="00272989" w:rsidP="005939DA">
            <w:pPr>
              <w:jc w:val="both"/>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t>Initial treatment</w:t>
            </w:r>
          </w:p>
        </w:tc>
      </w:tr>
      <w:tr w:rsidR="00272989" w:rsidRPr="00A84A0B" w:rsidTr="005939DA">
        <w:tblPrEx>
          <w:tblCellMar>
            <w:left w:w="108" w:type="dxa"/>
            <w:right w:w="108" w:type="dxa"/>
          </w:tblCellMar>
        </w:tblPrEx>
        <w:trPr>
          <w:gridBefore w:val="1"/>
          <w:wBefore w:w="10" w:type="pct"/>
          <w:cantSplit/>
          <w:trHeight w:val="283"/>
        </w:trPr>
        <w:tc>
          <w:tcPr>
            <w:tcW w:w="1127" w:type="pct"/>
            <w:tcBorders>
              <w:top w:val="single" w:sz="4" w:space="0" w:color="auto"/>
              <w:left w:val="single" w:sz="4" w:space="0" w:color="auto"/>
              <w:bottom w:val="single" w:sz="4" w:space="0" w:color="auto"/>
              <w:right w:val="single" w:sz="4" w:space="0" w:color="auto"/>
            </w:tcBorders>
          </w:tcPr>
          <w:p w:rsidR="00272989" w:rsidRPr="00A84A0B" w:rsidRDefault="00272989" w:rsidP="005939DA">
            <w:pPr>
              <w:jc w:val="both"/>
              <w:rPr>
                <w:rFonts w:ascii="Arial Narrow" w:hAnsi="Arial Narrow" w:cs="Arial"/>
                <w:b/>
                <w:snapToGrid w:val="0"/>
                <w:sz w:val="20"/>
                <w:szCs w:val="20"/>
                <w:lang w:eastAsia="en-US"/>
              </w:rPr>
            </w:pPr>
            <w:r w:rsidRPr="00A84A0B">
              <w:rPr>
                <w:rFonts w:ascii="Arial Narrow" w:hAnsi="Arial Narrow" w:cs="Arial"/>
                <w:b/>
                <w:snapToGrid w:val="0"/>
                <w:sz w:val="20"/>
                <w:szCs w:val="20"/>
                <w:lang w:eastAsia="en-US"/>
              </w:rPr>
              <w:t>Restriction Level / Method:</w:t>
            </w:r>
          </w:p>
        </w:tc>
        <w:tc>
          <w:tcPr>
            <w:tcW w:w="3864" w:type="pct"/>
            <w:gridSpan w:val="6"/>
            <w:tcBorders>
              <w:top w:val="single" w:sz="4" w:space="0" w:color="auto"/>
              <w:left w:val="single" w:sz="4" w:space="0" w:color="auto"/>
              <w:bottom w:val="single" w:sz="4" w:space="0" w:color="auto"/>
              <w:right w:val="single" w:sz="4" w:space="0" w:color="auto"/>
            </w:tcBorders>
          </w:tcPr>
          <w:p w:rsidR="00272989" w:rsidRPr="00A84A0B" w:rsidRDefault="00272989" w:rsidP="005939DA">
            <w:pPr>
              <w:jc w:val="both"/>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fldChar w:fldCharType="begin">
                <w:ffData>
                  <w:name w:val="Check1"/>
                  <w:enabled/>
                  <w:calcOnExit w:val="0"/>
                  <w:checkBox>
                    <w:sizeAuto/>
                    <w:default w:val="0"/>
                  </w:checkBox>
                </w:ffData>
              </w:fldChar>
            </w:r>
            <w:r w:rsidRPr="00A84A0B">
              <w:rPr>
                <w:rFonts w:ascii="Arial Narrow" w:hAnsi="Arial Narrow" w:cs="Arial"/>
                <w:snapToGrid w:val="0"/>
                <w:sz w:val="20"/>
                <w:szCs w:val="20"/>
                <w:lang w:eastAsia="en-US"/>
              </w:rPr>
              <w:instrText xml:space="preserve"> FORMCHECKBOX </w:instrText>
            </w:r>
            <w:r w:rsidR="006F2FE9">
              <w:rPr>
                <w:rFonts w:ascii="Arial Narrow" w:hAnsi="Arial Narrow" w:cs="Arial"/>
                <w:snapToGrid w:val="0"/>
                <w:sz w:val="20"/>
                <w:szCs w:val="20"/>
                <w:lang w:eastAsia="en-US"/>
              </w:rPr>
            </w:r>
            <w:r w:rsidR="006F2FE9">
              <w:rPr>
                <w:rFonts w:ascii="Arial Narrow" w:hAnsi="Arial Narrow" w:cs="Arial"/>
                <w:snapToGrid w:val="0"/>
                <w:sz w:val="20"/>
                <w:szCs w:val="20"/>
                <w:lang w:eastAsia="en-US"/>
              </w:rPr>
              <w:fldChar w:fldCharType="separate"/>
            </w:r>
            <w:r w:rsidRPr="00A84A0B">
              <w:rPr>
                <w:rFonts w:ascii="Arial Narrow" w:hAnsi="Arial Narrow" w:cs="Arial"/>
                <w:snapToGrid w:val="0"/>
                <w:sz w:val="20"/>
                <w:szCs w:val="20"/>
                <w:lang w:eastAsia="en-US"/>
              </w:rPr>
              <w:fldChar w:fldCharType="end"/>
            </w:r>
            <w:r w:rsidRPr="00A84A0B">
              <w:rPr>
                <w:rFonts w:ascii="Arial Narrow" w:hAnsi="Arial Narrow" w:cs="Arial"/>
                <w:snapToGrid w:val="0"/>
                <w:sz w:val="20"/>
                <w:szCs w:val="20"/>
                <w:lang w:eastAsia="en-US"/>
              </w:rPr>
              <w:t>Restricted benefit</w:t>
            </w:r>
          </w:p>
          <w:p w:rsidR="00272989" w:rsidRPr="00A84A0B" w:rsidRDefault="00272989" w:rsidP="005939DA">
            <w:pPr>
              <w:jc w:val="both"/>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fldChar w:fldCharType="begin">
                <w:ffData>
                  <w:name w:val=""/>
                  <w:enabled/>
                  <w:calcOnExit w:val="0"/>
                  <w:checkBox>
                    <w:sizeAuto/>
                    <w:default w:val="0"/>
                  </w:checkBox>
                </w:ffData>
              </w:fldChar>
            </w:r>
            <w:r w:rsidRPr="00A84A0B">
              <w:rPr>
                <w:rFonts w:ascii="Arial Narrow" w:hAnsi="Arial Narrow" w:cs="Arial"/>
                <w:snapToGrid w:val="0"/>
                <w:sz w:val="20"/>
                <w:szCs w:val="20"/>
                <w:lang w:eastAsia="en-US"/>
              </w:rPr>
              <w:instrText xml:space="preserve"> FORMCHECKBOX </w:instrText>
            </w:r>
            <w:r w:rsidR="006F2FE9">
              <w:rPr>
                <w:rFonts w:ascii="Arial Narrow" w:hAnsi="Arial Narrow" w:cs="Arial"/>
                <w:snapToGrid w:val="0"/>
                <w:sz w:val="20"/>
                <w:szCs w:val="20"/>
                <w:lang w:eastAsia="en-US"/>
              </w:rPr>
            </w:r>
            <w:r w:rsidR="006F2FE9">
              <w:rPr>
                <w:rFonts w:ascii="Arial Narrow" w:hAnsi="Arial Narrow" w:cs="Arial"/>
                <w:snapToGrid w:val="0"/>
                <w:sz w:val="20"/>
                <w:szCs w:val="20"/>
                <w:lang w:eastAsia="en-US"/>
              </w:rPr>
              <w:fldChar w:fldCharType="separate"/>
            </w:r>
            <w:r w:rsidRPr="00A84A0B">
              <w:rPr>
                <w:rFonts w:ascii="Arial Narrow" w:hAnsi="Arial Narrow" w:cs="Arial"/>
                <w:snapToGrid w:val="0"/>
                <w:sz w:val="20"/>
                <w:szCs w:val="20"/>
                <w:lang w:eastAsia="en-US"/>
              </w:rPr>
              <w:fldChar w:fldCharType="end"/>
            </w:r>
            <w:r w:rsidRPr="00A84A0B">
              <w:rPr>
                <w:rFonts w:ascii="Arial Narrow" w:hAnsi="Arial Narrow" w:cs="Arial"/>
                <w:snapToGrid w:val="0"/>
                <w:sz w:val="20"/>
                <w:szCs w:val="20"/>
                <w:lang w:eastAsia="en-US"/>
              </w:rPr>
              <w:t>Authority Required - In Writing</w:t>
            </w:r>
          </w:p>
          <w:p w:rsidR="00272989" w:rsidRPr="00A84A0B" w:rsidRDefault="00272989" w:rsidP="005939DA">
            <w:pPr>
              <w:jc w:val="both"/>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fldChar w:fldCharType="begin">
                <w:ffData>
                  <w:name w:val="Check3"/>
                  <w:enabled/>
                  <w:calcOnExit w:val="0"/>
                  <w:checkBox>
                    <w:sizeAuto/>
                    <w:default w:val="0"/>
                  </w:checkBox>
                </w:ffData>
              </w:fldChar>
            </w:r>
            <w:r w:rsidRPr="00A84A0B">
              <w:rPr>
                <w:rFonts w:ascii="Arial Narrow" w:hAnsi="Arial Narrow" w:cs="Arial"/>
                <w:snapToGrid w:val="0"/>
                <w:sz w:val="20"/>
                <w:szCs w:val="20"/>
                <w:lang w:eastAsia="en-US"/>
              </w:rPr>
              <w:instrText xml:space="preserve"> FORMCHECKBOX </w:instrText>
            </w:r>
            <w:r w:rsidR="006F2FE9">
              <w:rPr>
                <w:rFonts w:ascii="Arial Narrow" w:hAnsi="Arial Narrow" w:cs="Arial"/>
                <w:snapToGrid w:val="0"/>
                <w:sz w:val="20"/>
                <w:szCs w:val="20"/>
                <w:lang w:eastAsia="en-US"/>
              </w:rPr>
            </w:r>
            <w:r w:rsidR="006F2FE9">
              <w:rPr>
                <w:rFonts w:ascii="Arial Narrow" w:hAnsi="Arial Narrow" w:cs="Arial"/>
                <w:snapToGrid w:val="0"/>
                <w:sz w:val="20"/>
                <w:szCs w:val="20"/>
                <w:lang w:eastAsia="en-US"/>
              </w:rPr>
              <w:fldChar w:fldCharType="separate"/>
            </w:r>
            <w:r w:rsidRPr="00A84A0B">
              <w:rPr>
                <w:rFonts w:ascii="Arial Narrow" w:hAnsi="Arial Narrow" w:cs="Arial"/>
                <w:snapToGrid w:val="0"/>
                <w:sz w:val="20"/>
                <w:szCs w:val="20"/>
                <w:lang w:eastAsia="en-US"/>
              </w:rPr>
              <w:fldChar w:fldCharType="end"/>
            </w:r>
            <w:r w:rsidRPr="00A84A0B">
              <w:rPr>
                <w:rFonts w:ascii="Arial Narrow" w:hAnsi="Arial Narrow" w:cs="Arial"/>
                <w:snapToGrid w:val="0"/>
                <w:sz w:val="20"/>
                <w:szCs w:val="20"/>
                <w:lang w:eastAsia="en-US"/>
              </w:rPr>
              <w:t>Authority Required - Telephone</w:t>
            </w:r>
          </w:p>
          <w:p w:rsidR="00272989" w:rsidRPr="00A84A0B" w:rsidRDefault="00272989" w:rsidP="005939DA">
            <w:pPr>
              <w:jc w:val="both"/>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fldChar w:fldCharType="begin">
                <w:ffData>
                  <w:name w:val=""/>
                  <w:enabled/>
                  <w:calcOnExit w:val="0"/>
                  <w:checkBox>
                    <w:sizeAuto/>
                    <w:default w:val="0"/>
                  </w:checkBox>
                </w:ffData>
              </w:fldChar>
            </w:r>
            <w:r w:rsidRPr="00A84A0B">
              <w:rPr>
                <w:rFonts w:ascii="Arial Narrow" w:hAnsi="Arial Narrow" w:cs="Arial"/>
                <w:snapToGrid w:val="0"/>
                <w:sz w:val="20"/>
                <w:szCs w:val="20"/>
                <w:lang w:eastAsia="en-US"/>
              </w:rPr>
              <w:instrText xml:space="preserve"> FORMCHECKBOX </w:instrText>
            </w:r>
            <w:r w:rsidR="006F2FE9">
              <w:rPr>
                <w:rFonts w:ascii="Arial Narrow" w:hAnsi="Arial Narrow" w:cs="Arial"/>
                <w:snapToGrid w:val="0"/>
                <w:sz w:val="20"/>
                <w:szCs w:val="20"/>
                <w:lang w:eastAsia="en-US"/>
              </w:rPr>
            </w:r>
            <w:r w:rsidR="006F2FE9">
              <w:rPr>
                <w:rFonts w:ascii="Arial Narrow" w:hAnsi="Arial Narrow" w:cs="Arial"/>
                <w:snapToGrid w:val="0"/>
                <w:sz w:val="20"/>
                <w:szCs w:val="20"/>
                <w:lang w:eastAsia="en-US"/>
              </w:rPr>
              <w:fldChar w:fldCharType="separate"/>
            </w:r>
            <w:r w:rsidRPr="00A84A0B">
              <w:rPr>
                <w:rFonts w:ascii="Arial Narrow" w:hAnsi="Arial Narrow" w:cs="Arial"/>
                <w:snapToGrid w:val="0"/>
                <w:sz w:val="20"/>
                <w:szCs w:val="20"/>
                <w:lang w:eastAsia="en-US"/>
              </w:rPr>
              <w:fldChar w:fldCharType="end"/>
            </w:r>
            <w:r w:rsidRPr="00A84A0B">
              <w:rPr>
                <w:rFonts w:ascii="Arial Narrow" w:hAnsi="Arial Narrow" w:cs="Arial"/>
                <w:snapToGrid w:val="0"/>
                <w:sz w:val="20"/>
                <w:szCs w:val="20"/>
                <w:lang w:eastAsia="en-US"/>
              </w:rPr>
              <w:t>Authority Required - Emergency</w:t>
            </w:r>
          </w:p>
          <w:p w:rsidR="00272989" w:rsidRPr="00A84A0B" w:rsidRDefault="00272989" w:rsidP="005939DA">
            <w:pPr>
              <w:jc w:val="both"/>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fldChar w:fldCharType="begin">
                <w:ffData>
                  <w:name w:val="Check5"/>
                  <w:enabled/>
                  <w:calcOnExit w:val="0"/>
                  <w:checkBox>
                    <w:sizeAuto/>
                    <w:default w:val="0"/>
                  </w:checkBox>
                </w:ffData>
              </w:fldChar>
            </w:r>
            <w:r w:rsidRPr="00A84A0B">
              <w:rPr>
                <w:rFonts w:ascii="Arial Narrow" w:hAnsi="Arial Narrow" w:cs="Arial"/>
                <w:snapToGrid w:val="0"/>
                <w:sz w:val="20"/>
                <w:szCs w:val="20"/>
                <w:lang w:eastAsia="en-US"/>
              </w:rPr>
              <w:instrText xml:space="preserve"> FORMCHECKBOX </w:instrText>
            </w:r>
            <w:r w:rsidR="006F2FE9">
              <w:rPr>
                <w:rFonts w:ascii="Arial Narrow" w:hAnsi="Arial Narrow" w:cs="Arial"/>
                <w:snapToGrid w:val="0"/>
                <w:sz w:val="20"/>
                <w:szCs w:val="20"/>
                <w:lang w:eastAsia="en-US"/>
              </w:rPr>
            </w:r>
            <w:r w:rsidR="006F2FE9">
              <w:rPr>
                <w:rFonts w:ascii="Arial Narrow" w:hAnsi="Arial Narrow" w:cs="Arial"/>
                <w:snapToGrid w:val="0"/>
                <w:sz w:val="20"/>
                <w:szCs w:val="20"/>
                <w:lang w:eastAsia="en-US"/>
              </w:rPr>
              <w:fldChar w:fldCharType="separate"/>
            </w:r>
            <w:r w:rsidRPr="00A84A0B">
              <w:rPr>
                <w:rFonts w:ascii="Arial Narrow" w:hAnsi="Arial Narrow" w:cs="Arial"/>
                <w:snapToGrid w:val="0"/>
                <w:sz w:val="20"/>
                <w:szCs w:val="20"/>
                <w:lang w:eastAsia="en-US"/>
              </w:rPr>
              <w:fldChar w:fldCharType="end"/>
            </w:r>
            <w:r w:rsidRPr="00A84A0B">
              <w:rPr>
                <w:rFonts w:ascii="Arial Narrow" w:hAnsi="Arial Narrow" w:cs="Arial"/>
                <w:snapToGrid w:val="0"/>
                <w:sz w:val="20"/>
                <w:szCs w:val="20"/>
                <w:lang w:eastAsia="en-US"/>
              </w:rPr>
              <w:t>Authority Required - Electronic</w:t>
            </w:r>
          </w:p>
          <w:p w:rsidR="00272989" w:rsidRPr="00A84A0B" w:rsidRDefault="00272989" w:rsidP="005939DA">
            <w:pPr>
              <w:jc w:val="both"/>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fldChar w:fldCharType="begin">
                <w:ffData>
                  <w:name w:val="Check5"/>
                  <w:enabled/>
                  <w:calcOnExit w:val="0"/>
                  <w:checkBox>
                    <w:sizeAuto/>
                    <w:default w:val="1"/>
                  </w:checkBox>
                </w:ffData>
              </w:fldChar>
            </w:r>
            <w:r w:rsidRPr="00A84A0B">
              <w:rPr>
                <w:rFonts w:ascii="Arial Narrow" w:hAnsi="Arial Narrow" w:cs="Arial"/>
                <w:snapToGrid w:val="0"/>
                <w:sz w:val="20"/>
                <w:szCs w:val="20"/>
                <w:lang w:eastAsia="en-US"/>
              </w:rPr>
              <w:instrText xml:space="preserve"> FORMCHECKBOX </w:instrText>
            </w:r>
            <w:r w:rsidR="006F2FE9">
              <w:rPr>
                <w:rFonts w:ascii="Arial Narrow" w:hAnsi="Arial Narrow" w:cs="Arial"/>
                <w:snapToGrid w:val="0"/>
                <w:sz w:val="20"/>
                <w:szCs w:val="20"/>
                <w:lang w:eastAsia="en-US"/>
              </w:rPr>
            </w:r>
            <w:r w:rsidR="006F2FE9">
              <w:rPr>
                <w:rFonts w:ascii="Arial Narrow" w:hAnsi="Arial Narrow" w:cs="Arial"/>
                <w:snapToGrid w:val="0"/>
                <w:sz w:val="20"/>
                <w:szCs w:val="20"/>
                <w:lang w:eastAsia="en-US"/>
              </w:rPr>
              <w:fldChar w:fldCharType="separate"/>
            </w:r>
            <w:r w:rsidRPr="00A84A0B">
              <w:rPr>
                <w:rFonts w:ascii="Arial Narrow" w:hAnsi="Arial Narrow" w:cs="Arial"/>
                <w:snapToGrid w:val="0"/>
                <w:sz w:val="20"/>
                <w:szCs w:val="20"/>
                <w:lang w:eastAsia="en-US"/>
              </w:rPr>
              <w:fldChar w:fldCharType="end"/>
            </w:r>
            <w:r w:rsidRPr="00A84A0B">
              <w:rPr>
                <w:rFonts w:ascii="Arial Narrow" w:hAnsi="Arial Narrow" w:cs="Arial"/>
                <w:snapToGrid w:val="0"/>
                <w:sz w:val="20"/>
                <w:szCs w:val="20"/>
                <w:lang w:eastAsia="en-US"/>
              </w:rPr>
              <w:t>Streamlined</w:t>
            </w:r>
          </w:p>
        </w:tc>
      </w:tr>
      <w:tr w:rsidR="00272989" w:rsidRPr="00A84A0B" w:rsidTr="005939DA">
        <w:tblPrEx>
          <w:tblCellMar>
            <w:left w:w="108" w:type="dxa"/>
            <w:right w:w="108" w:type="dxa"/>
          </w:tblCellMar>
        </w:tblPrEx>
        <w:trPr>
          <w:gridBefore w:val="1"/>
          <w:wBefore w:w="10" w:type="pct"/>
          <w:cantSplit/>
          <w:trHeight w:val="283"/>
        </w:trPr>
        <w:tc>
          <w:tcPr>
            <w:tcW w:w="1127" w:type="pct"/>
            <w:tcBorders>
              <w:top w:val="single" w:sz="4" w:space="0" w:color="auto"/>
              <w:left w:val="single" w:sz="4" w:space="0" w:color="auto"/>
              <w:bottom w:val="single" w:sz="4" w:space="0" w:color="auto"/>
              <w:right w:val="single" w:sz="4" w:space="0" w:color="auto"/>
            </w:tcBorders>
          </w:tcPr>
          <w:p w:rsidR="00272989" w:rsidRPr="00A84A0B" w:rsidRDefault="00272989" w:rsidP="005939DA">
            <w:pPr>
              <w:jc w:val="both"/>
              <w:rPr>
                <w:rFonts w:ascii="Arial Narrow" w:hAnsi="Arial Narrow" w:cs="Arial"/>
                <w:b/>
                <w:snapToGrid w:val="0"/>
                <w:sz w:val="20"/>
                <w:szCs w:val="20"/>
                <w:lang w:eastAsia="en-US"/>
              </w:rPr>
            </w:pPr>
            <w:r w:rsidRPr="00A84A0B">
              <w:rPr>
                <w:rFonts w:ascii="Arial Narrow" w:hAnsi="Arial Narrow" w:cs="Arial"/>
                <w:b/>
                <w:snapToGrid w:val="0"/>
                <w:sz w:val="20"/>
                <w:szCs w:val="20"/>
                <w:lang w:eastAsia="en-US"/>
              </w:rPr>
              <w:t>Clinical criteria:</w:t>
            </w:r>
          </w:p>
        </w:tc>
        <w:tc>
          <w:tcPr>
            <w:tcW w:w="3864" w:type="pct"/>
            <w:gridSpan w:val="6"/>
            <w:tcBorders>
              <w:top w:val="single" w:sz="4" w:space="0" w:color="auto"/>
              <w:left w:val="single" w:sz="4" w:space="0" w:color="auto"/>
              <w:bottom w:val="single" w:sz="4" w:space="0" w:color="auto"/>
              <w:right w:val="single" w:sz="4" w:space="0" w:color="auto"/>
            </w:tcBorders>
          </w:tcPr>
          <w:p w:rsidR="00272989" w:rsidRPr="00A84A0B" w:rsidRDefault="00272989" w:rsidP="005939DA">
            <w:pPr>
              <w:jc w:val="both"/>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t>Patient must not have received prior treatment with a PD-1 (programmed cell death-1) inhibitor for this condition</w:t>
            </w:r>
          </w:p>
          <w:p w:rsidR="00272989" w:rsidRPr="00A84A0B" w:rsidRDefault="00272989" w:rsidP="005939DA">
            <w:pPr>
              <w:jc w:val="both"/>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t>AND</w:t>
            </w:r>
          </w:p>
          <w:p w:rsidR="00272989" w:rsidRPr="00A84A0B" w:rsidRDefault="00272989" w:rsidP="005939DA">
            <w:pPr>
              <w:jc w:val="both"/>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t>Patient must have a WHO performance status of 0 or 1</w:t>
            </w:r>
          </w:p>
          <w:p w:rsidR="00272989" w:rsidRPr="00A84A0B" w:rsidRDefault="00272989" w:rsidP="005939DA">
            <w:pPr>
              <w:jc w:val="both"/>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t>AND</w:t>
            </w:r>
          </w:p>
          <w:p w:rsidR="00272989" w:rsidRPr="00A84A0B" w:rsidRDefault="00272989" w:rsidP="005939DA">
            <w:pPr>
              <w:jc w:val="both"/>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t>The treatment must be the sole PBS-subsidised t</w:t>
            </w:r>
            <w:r>
              <w:rPr>
                <w:rFonts w:ascii="Arial Narrow" w:hAnsi="Arial Narrow" w:cs="Arial"/>
                <w:snapToGrid w:val="0"/>
                <w:sz w:val="20"/>
                <w:szCs w:val="20"/>
                <w:lang w:eastAsia="en-US"/>
              </w:rPr>
              <w:t>reatment</w:t>
            </w:r>
            <w:r w:rsidRPr="00A84A0B">
              <w:rPr>
                <w:rFonts w:ascii="Arial Narrow" w:hAnsi="Arial Narrow" w:cs="Arial"/>
                <w:snapToGrid w:val="0"/>
                <w:sz w:val="20"/>
                <w:szCs w:val="20"/>
                <w:lang w:eastAsia="en-US"/>
              </w:rPr>
              <w:t xml:space="preserve"> for this condition</w:t>
            </w:r>
          </w:p>
          <w:p w:rsidR="00272989" w:rsidRPr="00A84A0B" w:rsidRDefault="00272989" w:rsidP="005939DA">
            <w:pPr>
              <w:jc w:val="both"/>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t>AND</w:t>
            </w:r>
          </w:p>
          <w:p w:rsidR="00272989" w:rsidRPr="00A84A0B" w:rsidRDefault="00272989" w:rsidP="005939DA">
            <w:pPr>
              <w:jc w:val="both"/>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t>The condition must have progressed on or after prior platinum based chemotherapy.</w:t>
            </w:r>
          </w:p>
        </w:tc>
      </w:tr>
      <w:tr w:rsidR="00272989" w:rsidRPr="00A84A0B" w:rsidTr="005939DA">
        <w:tblPrEx>
          <w:tblCellMar>
            <w:left w:w="108" w:type="dxa"/>
            <w:right w:w="108" w:type="dxa"/>
          </w:tblCellMar>
        </w:tblPrEx>
        <w:trPr>
          <w:gridBefore w:val="1"/>
          <w:wBefore w:w="10" w:type="pct"/>
          <w:cantSplit/>
          <w:trHeight w:val="283"/>
        </w:trPr>
        <w:tc>
          <w:tcPr>
            <w:tcW w:w="1127" w:type="pct"/>
            <w:tcBorders>
              <w:top w:val="single" w:sz="4" w:space="0" w:color="auto"/>
              <w:left w:val="single" w:sz="4" w:space="0" w:color="auto"/>
              <w:bottom w:val="single" w:sz="4" w:space="0" w:color="auto"/>
              <w:right w:val="single" w:sz="4" w:space="0" w:color="auto"/>
            </w:tcBorders>
          </w:tcPr>
          <w:p w:rsidR="00272989" w:rsidRPr="00A84A0B" w:rsidRDefault="00272989" w:rsidP="005939DA">
            <w:pPr>
              <w:jc w:val="both"/>
              <w:rPr>
                <w:rFonts w:ascii="Arial Narrow" w:hAnsi="Arial Narrow" w:cs="Arial"/>
                <w:b/>
                <w:snapToGrid w:val="0"/>
                <w:sz w:val="20"/>
                <w:szCs w:val="20"/>
                <w:lang w:eastAsia="en-US"/>
              </w:rPr>
            </w:pPr>
            <w:r w:rsidRPr="00A84A0B">
              <w:rPr>
                <w:rFonts w:ascii="Arial Narrow" w:hAnsi="Arial Narrow" w:cs="Arial"/>
                <w:b/>
                <w:snapToGrid w:val="0"/>
                <w:sz w:val="20"/>
                <w:szCs w:val="20"/>
                <w:lang w:eastAsia="en-US"/>
              </w:rPr>
              <w:t>Prescriber Instructions:</w:t>
            </w:r>
          </w:p>
        </w:tc>
        <w:tc>
          <w:tcPr>
            <w:tcW w:w="3864" w:type="pct"/>
            <w:gridSpan w:val="6"/>
            <w:tcBorders>
              <w:top w:val="single" w:sz="4" w:space="0" w:color="auto"/>
              <w:left w:val="single" w:sz="4" w:space="0" w:color="auto"/>
              <w:bottom w:val="single" w:sz="4" w:space="0" w:color="auto"/>
              <w:right w:val="single" w:sz="4" w:space="0" w:color="auto"/>
            </w:tcBorders>
          </w:tcPr>
          <w:p w:rsidR="00272989" w:rsidRPr="00A84A0B" w:rsidRDefault="00272989" w:rsidP="005939DA">
            <w:pPr>
              <w:jc w:val="both"/>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t>The patient’s body weight must be documented in the patient’s medical records at the time treatment is initiated.</w:t>
            </w:r>
          </w:p>
        </w:tc>
      </w:tr>
      <w:tr w:rsidR="00272989" w:rsidRPr="00A84A0B" w:rsidTr="005939DA">
        <w:tblPrEx>
          <w:tblCellMar>
            <w:left w:w="108" w:type="dxa"/>
            <w:right w:w="108" w:type="dxa"/>
          </w:tblCellMar>
        </w:tblPrEx>
        <w:trPr>
          <w:gridBefore w:val="1"/>
          <w:wBefore w:w="10" w:type="pct"/>
          <w:cantSplit/>
          <w:trHeight w:val="283"/>
        </w:trPr>
        <w:tc>
          <w:tcPr>
            <w:tcW w:w="1127" w:type="pct"/>
            <w:tcBorders>
              <w:top w:val="single" w:sz="4" w:space="0" w:color="auto"/>
              <w:left w:val="single" w:sz="4" w:space="0" w:color="auto"/>
              <w:bottom w:val="single" w:sz="4" w:space="0" w:color="auto"/>
              <w:right w:val="single" w:sz="4" w:space="0" w:color="auto"/>
            </w:tcBorders>
          </w:tcPr>
          <w:p w:rsidR="00272989" w:rsidRPr="00A84A0B" w:rsidRDefault="00272989" w:rsidP="005939DA">
            <w:pPr>
              <w:jc w:val="both"/>
              <w:rPr>
                <w:rFonts w:ascii="Arial Narrow" w:hAnsi="Arial Narrow" w:cs="Arial"/>
                <w:i/>
                <w:snapToGrid w:val="0"/>
                <w:sz w:val="20"/>
                <w:szCs w:val="20"/>
                <w:lang w:eastAsia="en-US"/>
              </w:rPr>
            </w:pPr>
            <w:r w:rsidRPr="00A84A0B">
              <w:rPr>
                <w:rFonts w:ascii="Arial Narrow" w:hAnsi="Arial Narrow" w:cs="Arial"/>
                <w:b/>
                <w:snapToGrid w:val="0"/>
                <w:sz w:val="20"/>
                <w:szCs w:val="20"/>
                <w:lang w:eastAsia="en-US"/>
              </w:rPr>
              <w:t>Administrative Advice:</w:t>
            </w:r>
          </w:p>
        </w:tc>
        <w:tc>
          <w:tcPr>
            <w:tcW w:w="3864" w:type="pct"/>
            <w:gridSpan w:val="6"/>
            <w:tcBorders>
              <w:top w:val="single" w:sz="4" w:space="0" w:color="auto"/>
              <w:left w:val="single" w:sz="4" w:space="0" w:color="auto"/>
              <w:bottom w:val="single" w:sz="4" w:space="0" w:color="auto"/>
              <w:right w:val="single" w:sz="4" w:space="0" w:color="auto"/>
            </w:tcBorders>
          </w:tcPr>
          <w:p w:rsidR="00272989" w:rsidRDefault="00272989" w:rsidP="005939DA">
            <w:pPr>
              <w:jc w:val="both"/>
              <w:rPr>
                <w:rFonts w:ascii="Arial Narrow" w:hAnsi="Arial Narrow"/>
                <w:sz w:val="20"/>
              </w:rPr>
            </w:pPr>
            <w:r w:rsidRPr="00600064">
              <w:rPr>
                <w:rFonts w:ascii="Arial Narrow" w:hAnsi="Arial Narrow"/>
                <w:sz w:val="20"/>
              </w:rPr>
              <w:t>In the first few months after start of immunotherapy, some patients can have a transient tumour flare with subsequent disease response. When progression is suspected, this should be confirmed through a confirmatory scan, taken at least 4 weeks later.</w:t>
            </w:r>
          </w:p>
          <w:p w:rsidR="00272989" w:rsidRDefault="00272989" w:rsidP="005939DA">
            <w:pPr>
              <w:jc w:val="both"/>
              <w:rPr>
                <w:rFonts w:ascii="Arial Narrow" w:hAnsi="Arial Narrow" w:cs="Arial"/>
                <w:snapToGrid w:val="0"/>
                <w:sz w:val="20"/>
                <w:szCs w:val="20"/>
                <w:lang w:eastAsia="en-US"/>
              </w:rPr>
            </w:pPr>
          </w:p>
          <w:p w:rsidR="00272989" w:rsidRPr="00A84A0B" w:rsidRDefault="00272989" w:rsidP="005939DA">
            <w:pPr>
              <w:jc w:val="both"/>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t>No increase in the maximum number of repeats may be authorised.</w:t>
            </w:r>
          </w:p>
          <w:p w:rsidR="00272989" w:rsidRPr="00A84A0B" w:rsidRDefault="00272989" w:rsidP="005939DA">
            <w:pPr>
              <w:jc w:val="both"/>
              <w:rPr>
                <w:rFonts w:ascii="Arial Narrow" w:hAnsi="Arial Narrow" w:cs="Arial"/>
                <w:snapToGrid w:val="0"/>
                <w:sz w:val="20"/>
                <w:szCs w:val="20"/>
                <w:lang w:eastAsia="en-US"/>
              </w:rPr>
            </w:pPr>
          </w:p>
          <w:p w:rsidR="00272989" w:rsidRPr="00A84A0B" w:rsidRDefault="00272989" w:rsidP="005939DA">
            <w:pPr>
              <w:jc w:val="both"/>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t>Special Pricing Arrangements apply.</w:t>
            </w:r>
          </w:p>
        </w:tc>
      </w:tr>
    </w:tbl>
    <w:p w:rsidR="003C32BC" w:rsidRDefault="003C32BC" w:rsidP="005939DA">
      <w:pPr>
        <w:rPr>
          <w:rFonts w:ascii="Arial" w:hAnsi="Arial" w:cs="Arial"/>
          <w:sz w:val="22"/>
          <w:szCs w:val="22"/>
        </w:rPr>
      </w:pPr>
    </w:p>
    <w:p w:rsidR="003C32BC" w:rsidRDefault="003C32BC">
      <w:pPr>
        <w:rPr>
          <w:rFonts w:ascii="Arial" w:hAnsi="Arial" w:cs="Arial"/>
          <w:sz w:val="22"/>
          <w:szCs w:val="22"/>
        </w:rPr>
      </w:pPr>
      <w:r>
        <w:rPr>
          <w:rFonts w:ascii="Arial" w:hAnsi="Arial" w:cs="Arial"/>
          <w:sz w:val="22"/>
          <w:szCs w:val="22"/>
        </w:rPr>
        <w:br w:type="page"/>
      </w:r>
    </w:p>
    <w:p w:rsidR="00272989" w:rsidRDefault="00272989" w:rsidP="005939DA">
      <w:pPr>
        <w:rPr>
          <w:rFonts w:ascii="Arial" w:hAnsi="Arial" w:cs="Arial"/>
          <w:sz w:val="22"/>
          <w:szCs w:val="22"/>
        </w:rPr>
      </w:pPr>
    </w:p>
    <w:tbl>
      <w:tblPr>
        <w:tblW w:w="4610" w:type="pct"/>
        <w:tblInd w:w="726" w:type="dxa"/>
        <w:tblLayout w:type="fixed"/>
        <w:tblCellMar>
          <w:left w:w="28" w:type="dxa"/>
          <w:right w:w="28" w:type="dxa"/>
        </w:tblCellMar>
        <w:tblLook w:val="0000" w:firstRow="0" w:lastRow="0" w:firstColumn="0" w:lastColumn="0" w:noHBand="0" w:noVBand="0"/>
      </w:tblPr>
      <w:tblGrid>
        <w:gridCol w:w="11"/>
        <w:gridCol w:w="1985"/>
        <w:gridCol w:w="990"/>
        <w:gridCol w:w="708"/>
        <w:gridCol w:w="476"/>
        <w:gridCol w:w="898"/>
        <w:gridCol w:w="3278"/>
        <w:gridCol w:w="28"/>
      </w:tblGrid>
      <w:tr w:rsidR="00272989" w:rsidRPr="00A84A0B" w:rsidTr="003C32BC">
        <w:trPr>
          <w:cantSplit/>
          <w:trHeight w:val="471"/>
        </w:trPr>
        <w:tc>
          <w:tcPr>
            <w:tcW w:w="1783" w:type="pct"/>
            <w:gridSpan w:val="3"/>
            <w:tcBorders>
              <w:bottom w:val="single" w:sz="4" w:space="0" w:color="auto"/>
            </w:tcBorders>
          </w:tcPr>
          <w:p w:rsidR="00272989" w:rsidRPr="00A84A0B" w:rsidRDefault="00272989" w:rsidP="005939DA">
            <w:pPr>
              <w:keepNext/>
              <w:jc w:val="both"/>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t>Name, Restriction,</w:t>
            </w:r>
          </w:p>
          <w:p w:rsidR="00272989" w:rsidRPr="00A84A0B" w:rsidRDefault="00272989" w:rsidP="005939DA">
            <w:pPr>
              <w:keepNext/>
              <w:jc w:val="both"/>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t>Manner of administration and form</w:t>
            </w:r>
          </w:p>
        </w:tc>
        <w:tc>
          <w:tcPr>
            <w:tcW w:w="423" w:type="pct"/>
            <w:tcBorders>
              <w:bottom w:val="single" w:sz="4" w:space="0" w:color="auto"/>
            </w:tcBorders>
          </w:tcPr>
          <w:p w:rsidR="00272989" w:rsidRPr="00A84A0B" w:rsidRDefault="00272989" w:rsidP="005939DA">
            <w:pPr>
              <w:keepNext/>
              <w:jc w:val="center"/>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t>Max.</w:t>
            </w:r>
          </w:p>
          <w:p w:rsidR="00272989" w:rsidRPr="00A84A0B" w:rsidRDefault="00272989" w:rsidP="005939DA">
            <w:pPr>
              <w:keepNext/>
              <w:jc w:val="center"/>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t>Amt</w:t>
            </w:r>
          </w:p>
        </w:tc>
        <w:tc>
          <w:tcPr>
            <w:tcW w:w="284" w:type="pct"/>
            <w:tcBorders>
              <w:bottom w:val="single" w:sz="4" w:space="0" w:color="auto"/>
            </w:tcBorders>
          </w:tcPr>
          <w:p w:rsidR="00272989" w:rsidRPr="00A84A0B" w:rsidRDefault="00272989" w:rsidP="005939DA">
            <w:pPr>
              <w:keepNext/>
              <w:jc w:val="center"/>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t>№.of</w:t>
            </w:r>
          </w:p>
          <w:p w:rsidR="00272989" w:rsidRPr="00A84A0B" w:rsidRDefault="00272989" w:rsidP="005939DA">
            <w:pPr>
              <w:keepNext/>
              <w:jc w:val="center"/>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t>Rpts</w:t>
            </w:r>
          </w:p>
        </w:tc>
        <w:tc>
          <w:tcPr>
            <w:tcW w:w="2510" w:type="pct"/>
            <w:gridSpan w:val="3"/>
            <w:tcBorders>
              <w:bottom w:val="single" w:sz="4" w:space="0" w:color="auto"/>
            </w:tcBorders>
          </w:tcPr>
          <w:p w:rsidR="00272989" w:rsidRPr="00A84A0B" w:rsidRDefault="00272989" w:rsidP="005939DA">
            <w:pPr>
              <w:keepNext/>
              <w:jc w:val="center"/>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t>Proprietary Name and Manufacturer</w:t>
            </w:r>
          </w:p>
        </w:tc>
      </w:tr>
      <w:tr w:rsidR="00272989" w:rsidRPr="00A84A0B" w:rsidTr="003C32BC">
        <w:trPr>
          <w:cantSplit/>
          <w:trHeight w:val="577"/>
        </w:trPr>
        <w:tc>
          <w:tcPr>
            <w:tcW w:w="1783" w:type="pct"/>
            <w:gridSpan w:val="3"/>
          </w:tcPr>
          <w:p w:rsidR="00272989" w:rsidRPr="00A84A0B" w:rsidRDefault="00272989" w:rsidP="005939DA">
            <w:pPr>
              <w:keepNext/>
              <w:jc w:val="both"/>
              <w:rPr>
                <w:rFonts w:ascii="Arial Narrow" w:hAnsi="Arial Narrow" w:cs="Arial"/>
                <w:snapToGrid w:val="0"/>
                <w:sz w:val="20"/>
                <w:szCs w:val="20"/>
                <w:lang w:eastAsia="en-US"/>
              </w:rPr>
            </w:pPr>
            <w:r w:rsidRPr="00A84A0B">
              <w:rPr>
                <w:rFonts w:ascii="Arial Narrow" w:hAnsi="Arial Narrow" w:cs="Arial"/>
                <w:smallCaps/>
                <w:snapToGrid w:val="0"/>
                <w:sz w:val="20"/>
                <w:szCs w:val="20"/>
                <w:lang w:eastAsia="en-US"/>
              </w:rPr>
              <w:t>nivolumab</w:t>
            </w:r>
          </w:p>
          <w:p w:rsidR="00272989" w:rsidRPr="00A84A0B" w:rsidRDefault="00272989" w:rsidP="005939DA">
            <w:pPr>
              <w:keepNext/>
              <w:jc w:val="both"/>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t>40 mg/4 mL injection, 1 x 4 mL vial</w:t>
            </w:r>
          </w:p>
          <w:p w:rsidR="00272989" w:rsidRPr="00A84A0B" w:rsidRDefault="00272989" w:rsidP="005939DA">
            <w:pPr>
              <w:keepNext/>
              <w:jc w:val="both"/>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t>100 mg/10 mL injection, 1 x 10 mL vial</w:t>
            </w:r>
          </w:p>
        </w:tc>
        <w:tc>
          <w:tcPr>
            <w:tcW w:w="423" w:type="pct"/>
          </w:tcPr>
          <w:p w:rsidR="00272989" w:rsidRPr="00A84A0B" w:rsidRDefault="00272989" w:rsidP="005939DA">
            <w:pPr>
              <w:keepNext/>
              <w:jc w:val="center"/>
              <w:rPr>
                <w:rFonts w:ascii="Arial Narrow" w:hAnsi="Arial Narrow" w:cs="Arial"/>
                <w:snapToGrid w:val="0"/>
                <w:sz w:val="20"/>
                <w:szCs w:val="20"/>
                <w:lang w:eastAsia="en-US"/>
              </w:rPr>
            </w:pPr>
          </w:p>
          <w:p w:rsidR="00272989" w:rsidRPr="00A84A0B" w:rsidRDefault="00272989" w:rsidP="005939DA">
            <w:pPr>
              <w:keepNext/>
              <w:jc w:val="center"/>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t>360 mg</w:t>
            </w:r>
          </w:p>
        </w:tc>
        <w:tc>
          <w:tcPr>
            <w:tcW w:w="284" w:type="pct"/>
          </w:tcPr>
          <w:p w:rsidR="00272989" w:rsidRPr="003C32BC" w:rsidRDefault="00272989" w:rsidP="005939DA">
            <w:pPr>
              <w:keepNext/>
              <w:jc w:val="center"/>
              <w:rPr>
                <w:rFonts w:ascii="Arial Narrow" w:hAnsi="Arial Narrow" w:cs="Arial"/>
                <w:snapToGrid w:val="0"/>
                <w:sz w:val="20"/>
                <w:szCs w:val="20"/>
                <w:lang w:eastAsia="en-US"/>
              </w:rPr>
            </w:pPr>
          </w:p>
          <w:p w:rsidR="00272989" w:rsidRPr="003C32BC" w:rsidRDefault="00272989" w:rsidP="005939DA">
            <w:pPr>
              <w:keepNext/>
              <w:jc w:val="center"/>
              <w:rPr>
                <w:rFonts w:ascii="Arial Narrow" w:hAnsi="Arial Narrow" w:cs="Arial"/>
                <w:snapToGrid w:val="0"/>
                <w:sz w:val="20"/>
                <w:szCs w:val="20"/>
                <w:lang w:eastAsia="en-US"/>
              </w:rPr>
            </w:pPr>
            <w:r w:rsidRPr="003C32BC">
              <w:rPr>
                <w:rFonts w:ascii="Arial Narrow" w:hAnsi="Arial Narrow" w:cs="Arial"/>
                <w:snapToGrid w:val="0"/>
                <w:sz w:val="20"/>
                <w:szCs w:val="20"/>
                <w:lang w:eastAsia="en-US"/>
              </w:rPr>
              <w:t>11</w:t>
            </w:r>
          </w:p>
        </w:tc>
        <w:tc>
          <w:tcPr>
            <w:tcW w:w="536" w:type="pct"/>
          </w:tcPr>
          <w:p w:rsidR="00272989" w:rsidRPr="003C32BC" w:rsidRDefault="00272989" w:rsidP="005939DA">
            <w:pPr>
              <w:keepNext/>
              <w:jc w:val="center"/>
              <w:rPr>
                <w:rFonts w:ascii="Arial Narrow" w:hAnsi="Arial Narrow" w:cs="Arial"/>
                <w:snapToGrid w:val="0"/>
                <w:sz w:val="20"/>
                <w:szCs w:val="20"/>
                <w:lang w:eastAsia="en-US"/>
              </w:rPr>
            </w:pPr>
          </w:p>
          <w:p w:rsidR="00272989" w:rsidRPr="003C32BC" w:rsidRDefault="00272989" w:rsidP="005939DA">
            <w:pPr>
              <w:keepNext/>
              <w:jc w:val="center"/>
              <w:rPr>
                <w:rFonts w:ascii="Arial Narrow" w:hAnsi="Arial Narrow" w:cs="Arial"/>
                <w:snapToGrid w:val="0"/>
                <w:sz w:val="20"/>
                <w:szCs w:val="20"/>
                <w:lang w:eastAsia="en-US"/>
              </w:rPr>
            </w:pPr>
            <w:r w:rsidRPr="003C32BC">
              <w:rPr>
                <w:rFonts w:ascii="Arial Narrow" w:hAnsi="Arial Narrow" w:cs="Arial"/>
                <w:snapToGrid w:val="0"/>
                <w:sz w:val="20"/>
                <w:szCs w:val="20"/>
                <w:lang w:eastAsia="en-US"/>
              </w:rPr>
              <w:t>Opdivo</w:t>
            </w:r>
            <w:r w:rsidRPr="003C32BC">
              <w:rPr>
                <w:rFonts w:ascii="Arial Narrow" w:hAnsi="Arial Narrow" w:cs="Arial"/>
                <w:snapToGrid w:val="0"/>
                <w:sz w:val="20"/>
                <w:szCs w:val="20"/>
                <w:vertAlign w:val="superscript"/>
                <w:lang w:eastAsia="en-US"/>
              </w:rPr>
              <w:t>®</w:t>
            </w:r>
          </w:p>
        </w:tc>
        <w:tc>
          <w:tcPr>
            <w:tcW w:w="1974" w:type="pct"/>
            <w:gridSpan w:val="2"/>
          </w:tcPr>
          <w:p w:rsidR="00272989" w:rsidRPr="00A84A0B" w:rsidRDefault="00272989" w:rsidP="005939DA">
            <w:pPr>
              <w:keepNext/>
              <w:jc w:val="center"/>
              <w:rPr>
                <w:rFonts w:ascii="Arial Narrow" w:hAnsi="Arial Narrow" w:cs="Arial"/>
                <w:snapToGrid w:val="0"/>
                <w:sz w:val="20"/>
                <w:szCs w:val="20"/>
                <w:lang w:eastAsia="en-US"/>
              </w:rPr>
            </w:pPr>
          </w:p>
          <w:p w:rsidR="00272989" w:rsidRPr="00A84A0B" w:rsidRDefault="00272989" w:rsidP="005939DA">
            <w:pPr>
              <w:keepNext/>
              <w:jc w:val="center"/>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t>Bristol-Myers Squibb Australia Pty Ltd (BQ)</w:t>
            </w:r>
          </w:p>
        </w:tc>
      </w:tr>
      <w:tr w:rsidR="00272989" w:rsidRPr="00A84A0B" w:rsidTr="003C32BC">
        <w:trPr>
          <w:gridAfter w:val="1"/>
          <w:wAfter w:w="17" w:type="pct"/>
          <w:cantSplit/>
          <w:trHeight w:val="360"/>
        </w:trPr>
        <w:tc>
          <w:tcPr>
            <w:tcW w:w="4983" w:type="pct"/>
            <w:gridSpan w:val="7"/>
          </w:tcPr>
          <w:p w:rsidR="00272989" w:rsidRPr="00A84A0B" w:rsidRDefault="00272989" w:rsidP="005939DA">
            <w:pPr>
              <w:spacing w:after="60"/>
              <w:jc w:val="both"/>
              <w:rPr>
                <w:rFonts w:ascii="Arial Narrow" w:hAnsi="Arial Narrow" w:cs="Arial"/>
                <w:snapToGrid w:val="0"/>
                <w:sz w:val="18"/>
                <w:szCs w:val="20"/>
                <w:u w:val="single"/>
                <w:lang w:eastAsia="en-US"/>
              </w:rPr>
            </w:pPr>
          </w:p>
        </w:tc>
      </w:tr>
      <w:tr w:rsidR="00272989" w:rsidRPr="00A84A0B" w:rsidTr="003C32BC">
        <w:tblPrEx>
          <w:tblCellMar>
            <w:left w:w="108" w:type="dxa"/>
            <w:right w:w="108" w:type="dxa"/>
          </w:tblCellMar>
        </w:tblPrEx>
        <w:trPr>
          <w:gridBefore w:val="1"/>
          <w:wBefore w:w="7" w:type="pct"/>
          <w:cantSplit/>
          <w:trHeight w:val="360"/>
        </w:trPr>
        <w:tc>
          <w:tcPr>
            <w:tcW w:w="1185" w:type="pct"/>
            <w:tcBorders>
              <w:top w:val="single" w:sz="4" w:space="0" w:color="auto"/>
              <w:left w:val="single" w:sz="4" w:space="0" w:color="auto"/>
              <w:bottom w:val="single" w:sz="4" w:space="0" w:color="auto"/>
              <w:right w:val="single" w:sz="4" w:space="0" w:color="auto"/>
            </w:tcBorders>
          </w:tcPr>
          <w:p w:rsidR="00272989" w:rsidRPr="00A84A0B" w:rsidRDefault="00272989" w:rsidP="005939DA">
            <w:pPr>
              <w:jc w:val="both"/>
              <w:rPr>
                <w:rFonts w:ascii="Arial Narrow" w:hAnsi="Arial Narrow" w:cs="Arial"/>
                <w:b/>
                <w:snapToGrid w:val="0"/>
                <w:sz w:val="20"/>
                <w:szCs w:val="20"/>
                <w:lang w:eastAsia="en-US"/>
              </w:rPr>
            </w:pPr>
            <w:r w:rsidRPr="00A84A0B">
              <w:rPr>
                <w:rFonts w:ascii="Arial Narrow" w:hAnsi="Arial Narrow" w:cs="Arial"/>
                <w:b/>
                <w:snapToGrid w:val="0"/>
                <w:sz w:val="20"/>
                <w:szCs w:val="20"/>
                <w:lang w:eastAsia="en-US"/>
              </w:rPr>
              <w:t>Category / Program</w:t>
            </w:r>
          </w:p>
        </w:tc>
        <w:tc>
          <w:tcPr>
            <w:tcW w:w="3808" w:type="pct"/>
            <w:gridSpan w:val="6"/>
            <w:tcBorders>
              <w:top w:val="single" w:sz="4" w:space="0" w:color="auto"/>
              <w:left w:val="single" w:sz="4" w:space="0" w:color="auto"/>
              <w:bottom w:val="single" w:sz="4" w:space="0" w:color="auto"/>
              <w:right w:val="single" w:sz="4" w:space="0" w:color="auto"/>
            </w:tcBorders>
          </w:tcPr>
          <w:p w:rsidR="00272989" w:rsidRPr="00A84A0B" w:rsidRDefault="00272989" w:rsidP="005939DA">
            <w:pPr>
              <w:jc w:val="both"/>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t>Section 100 – Efficient funding of Chemotherapy</w:t>
            </w:r>
          </w:p>
        </w:tc>
      </w:tr>
      <w:tr w:rsidR="00272989" w:rsidRPr="00A84A0B" w:rsidTr="003C32BC">
        <w:tblPrEx>
          <w:tblCellMar>
            <w:left w:w="108" w:type="dxa"/>
            <w:right w:w="108" w:type="dxa"/>
          </w:tblCellMar>
        </w:tblPrEx>
        <w:trPr>
          <w:gridBefore w:val="1"/>
          <w:wBefore w:w="7" w:type="pct"/>
          <w:cantSplit/>
          <w:trHeight w:val="360"/>
        </w:trPr>
        <w:tc>
          <w:tcPr>
            <w:tcW w:w="1185" w:type="pct"/>
            <w:tcBorders>
              <w:top w:val="single" w:sz="4" w:space="0" w:color="auto"/>
              <w:left w:val="single" w:sz="4" w:space="0" w:color="auto"/>
              <w:bottom w:val="single" w:sz="4" w:space="0" w:color="auto"/>
              <w:right w:val="single" w:sz="4" w:space="0" w:color="auto"/>
            </w:tcBorders>
          </w:tcPr>
          <w:p w:rsidR="00272989" w:rsidRPr="00A84A0B" w:rsidRDefault="00272989" w:rsidP="005939DA">
            <w:pPr>
              <w:jc w:val="both"/>
              <w:rPr>
                <w:rFonts w:ascii="Arial Narrow" w:hAnsi="Arial Narrow" w:cs="Arial"/>
                <w:b/>
                <w:snapToGrid w:val="0"/>
                <w:sz w:val="20"/>
                <w:szCs w:val="20"/>
                <w:lang w:eastAsia="en-US"/>
              </w:rPr>
            </w:pPr>
            <w:r w:rsidRPr="00A84A0B">
              <w:rPr>
                <w:rFonts w:ascii="Arial Narrow" w:hAnsi="Arial Narrow" w:cs="Arial"/>
                <w:b/>
                <w:snapToGrid w:val="0"/>
                <w:sz w:val="20"/>
                <w:szCs w:val="20"/>
                <w:lang w:eastAsia="en-US"/>
              </w:rPr>
              <w:t>Prescriber type:</w:t>
            </w:r>
          </w:p>
        </w:tc>
        <w:tc>
          <w:tcPr>
            <w:tcW w:w="3808" w:type="pct"/>
            <w:gridSpan w:val="6"/>
            <w:tcBorders>
              <w:top w:val="single" w:sz="4" w:space="0" w:color="auto"/>
              <w:left w:val="single" w:sz="4" w:space="0" w:color="auto"/>
              <w:bottom w:val="single" w:sz="4" w:space="0" w:color="auto"/>
              <w:right w:val="single" w:sz="4" w:space="0" w:color="auto"/>
            </w:tcBorders>
          </w:tcPr>
          <w:p w:rsidR="00272989" w:rsidRPr="00A84A0B" w:rsidRDefault="00272989" w:rsidP="005939DA">
            <w:pPr>
              <w:jc w:val="both"/>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fldChar w:fldCharType="begin">
                <w:ffData>
                  <w:name w:val="Check1"/>
                  <w:enabled/>
                  <w:calcOnExit w:val="0"/>
                  <w:checkBox>
                    <w:sizeAuto/>
                    <w:default w:val="0"/>
                  </w:checkBox>
                </w:ffData>
              </w:fldChar>
            </w:r>
            <w:r w:rsidRPr="00A84A0B">
              <w:rPr>
                <w:rFonts w:ascii="Arial Narrow" w:hAnsi="Arial Narrow" w:cs="Arial"/>
                <w:snapToGrid w:val="0"/>
                <w:sz w:val="20"/>
                <w:szCs w:val="20"/>
                <w:lang w:eastAsia="en-US"/>
              </w:rPr>
              <w:instrText xml:space="preserve"> FORMCHECKBOX </w:instrText>
            </w:r>
            <w:r w:rsidR="006F2FE9">
              <w:rPr>
                <w:rFonts w:ascii="Arial Narrow" w:hAnsi="Arial Narrow" w:cs="Arial"/>
                <w:snapToGrid w:val="0"/>
                <w:sz w:val="20"/>
                <w:szCs w:val="20"/>
                <w:lang w:eastAsia="en-US"/>
              </w:rPr>
            </w:r>
            <w:r w:rsidR="006F2FE9">
              <w:rPr>
                <w:rFonts w:ascii="Arial Narrow" w:hAnsi="Arial Narrow" w:cs="Arial"/>
                <w:snapToGrid w:val="0"/>
                <w:sz w:val="20"/>
                <w:szCs w:val="20"/>
                <w:lang w:eastAsia="en-US"/>
              </w:rPr>
              <w:fldChar w:fldCharType="separate"/>
            </w:r>
            <w:r w:rsidRPr="00A84A0B">
              <w:rPr>
                <w:rFonts w:ascii="Arial Narrow" w:hAnsi="Arial Narrow" w:cs="Arial"/>
                <w:snapToGrid w:val="0"/>
                <w:sz w:val="20"/>
                <w:szCs w:val="20"/>
                <w:lang w:eastAsia="en-US"/>
              </w:rPr>
              <w:fldChar w:fldCharType="end"/>
            </w:r>
            <w:r w:rsidRPr="00A84A0B">
              <w:rPr>
                <w:rFonts w:ascii="Arial Narrow" w:hAnsi="Arial Narrow" w:cs="Arial"/>
                <w:snapToGrid w:val="0"/>
                <w:sz w:val="20"/>
                <w:szCs w:val="20"/>
                <w:lang w:eastAsia="en-US"/>
              </w:rPr>
              <w:t xml:space="preserve">Dental  </w:t>
            </w:r>
            <w:r w:rsidRPr="00A84A0B">
              <w:rPr>
                <w:rFonts w:ascii="Arial Narrow" w:hAnsi="Arial Narrow" w:cs="Arial"/>
                <w:snapToGrid w:val="0"/>
                <w:sz w:val="20"/>
                <w:szCs w:val="20"/>
                <w:lang w:eastAsia="en-US"/>
              </w:rPr>
              <w:fldChar w:fldCharType="begin">
                <w:ffData>
                  <w:name w:val=""/>
                  <w:enabled/>
                  <w:calcOnExit w:val="0"/>
                  <w:checkBox>
                    <w:sizeAuto/>
                    <w:default w:val="1"/>
                  </w:checkBox>
                </w:ffData>
              </w:fldChar>
            </w:r>
            <w:r w:rsidRPr="00A84A0B">
              <w:rPr>
                <w:rFonts w:ascii="Arial Narrow" w:hAnsi="Arial Narrow" w:cs="Arial"/>
                <w:snapToGrid w:val="0"/>
                <w:sz w:val="20"/>
                <w:szCs w:val="20"/>
                <w:lang w:eastAsia="en-US"/>
              </w:rPr>
              <w:instrText xml:space="preserve"> FORMCHECKBOX </w:instrText>
            </w:r>
            <w:r w:rsidR="006F2FE9">
              <w:rPr>
                <w:rFonts w:ascii="Arial Narrow" w:hAnsi="Arial Narrow" w:cs="Arial"/>
                <w:snapToGrid w:val="0"/>
                <w:sz w:val="20"/>
                <w:szCs w:val="20"/>
                <w:lang w:eastAsia="en-US"/>
              </w:rPr>
            </w:r>
            <w:r w:rsidR="006F2FE9">
              <w:rPr>
                <w:rFonts w:ascii="Arial Narrow" w:hAnsi="Arial Narrow" w:cs="Arial"/>
                <w:snapToGrid w:val="0"/>
                <w:sz w:val="20"/>
                <w:szCs w:val="20"/>
                <w:lang w:eastAsia="en-US"/>
              </w:rPr>
              <w:fldChar w:fldCharType="separate"/>
            </w:r>
            <w:r w:rsidRPr="00A84A0B">
              <w:rPr>
                <w:rFonts w:ascii="Arial Narrow" w:hAnsi="Arial Narrow" w:cs="Arial"/>
                <w:snapToGrid w:val="0"/>
                <w:sz w:val="20"/>
                <w:szCs w:val="20"/>
                <w:lang w:eastAsia="en-US"/>
              </w:rPr>
              <w:fldChar w:fldCharType="end"/>
            </w:r>
            <w:r w:rsidRPr="00A84A0B">
              <w:rPr>
                <w:rFonts w:ascii="Arial Narrow" w:hAnsi="Arial Narrow" w:cs="Arial"/>
                <w:snapToGrid w:val="0"/>
                <w:sz w:val="20"/>
                <w:szCs w:val="20"/>
                <w:lang w:eastAsia="en-US"/>
              </w:rPr>
              <w:t xml:space="preserve">Medical Practitioners  </w:t>
            </w:r>
            <w:r w:rsidRPr="00A84A0B">
              <w:rPr>
                <w:rFonts w:ascii="Arial Narrow" w:hAnsi="Arial Narrow" w:cs="Arial"/>
                <w:snapToGrid w:val="0"/>
                <w:sz w:val="20"/>
                <w:szCs w:val="20"/>
                <w:lang w:eastAsia="en-US"/>
              </w:rPr>
              <w:fldChar w:fldCharType="begin">
                <w:ffData>
                  <w:name w:val="Check3"/>
                  <w:enabled/>
                  <w:calcOnExit w:val="0"/>
                  <w:checkBox>
                    <w:sizeAuto/>
                    <w:default w:val="0"/>
                  </w:checkBox>
                </w:ffData>
              </w:fldChar>
            </w:r>
            <w:r w:rsidRPr="00A84A0B">
              <w:rPr>
                <w:rFonts w:ascii="Arial Narrow" w:hAnsi="Arial Narrow" w:cs="Arial"/>
                <w:snapToGrid w:val="0"/>
                <w:sz w:val="20"/>
                <w:szCs w:val="20"/>
                <w:lang w:eastAsia="en-US"/>
              </w:rPr>
              <w:instrText xml:space="preserve"> FORMCHECKBOX </w:instrText>
            </w:r>
            <w:r w:rsidR="006F2FE9">
              <w:rPr>
                <w:rFonts w:ascii="Arial Narrow" w:hAnsi="Arial Narrow" w:cs="Arial"/>
                <w:snapToGrid w:val="0"/>
                <w:sz w:val="20"/>
                <w:szCs w:val="20"/>
                <w:lang w:eastAsia="en-US"/>
              </w:rPr>
            </w:r>
            <w:r w:rsidR="006F2FE9">
              <w:rPr>
                <w:rFonts w:ascii="Arial Narrow" w:hAnsi="Arial Narrow" w:cs="Arial"/>
                <w:snapToGrid w:val="0"/>
                <w:sz w:val="20"/>
                <w:szCs w:val="20"/>
                <w:lang w:eastAsia="en-US"/>
              </w:rPr>
              <w:fldChar w:fldCharType="separate"/>
            </w:r>
            <w:r w:rsidRPr="00A84A0B">
              <w:rPr>
                <w:rFonts w:ascii="Arial Narrow" w:hAnsi="Arial Narrow" w:cs="Arial"/>
                <w:snapToGrid w:val="0"/>
                <w:sz w:val="20"/>
                <w:szCs w:val="20"/>
                <w:lang w:eastAsia="en-US"/>
              </w:rPr>
              <w:fldChar w:fldCharType="end"/>
            </w:r>
            <w:r w:rsidRPr="00A84A0B">
              <w:rPr>
                <w:rFonts w:ascii="Arial Narrow" w:hAnsi="Arial Narrow" w:cs="Arial"/>
                <w:snapToGrid w:val="0"/>
                <w:sz w:val="20"/>
                <w:szCs w:val="20"/>
                <w:lang w:eastAsia="en-US"/>
              </w:rPr>
              <w:t xml:space="preserve">Nurse practitioners  </w:t>
            </w:r>
            <w:r w:rsidRPr="00A84A0B">
              <w:rPr>
                <w:rFonts w:ascii="Arial Narrow" w:hAnsi="Arial Narrow" w:cs="Arial"/>
                <w:snapToGrid w:val="0"/>
                <w:sz w:val="20"/>
                <w:szCs w:val="20"/>
                <w:lang w:eastAsia="en-US"/>
              </w:rPr>
              <w:fldChar w:fldCharType="begin">
                <w:ffData>
                  <w:name w:val=""/>
                  <w:enabled/>
                  <w:calcOnExit w:val="0"/>
                  <w:checkBox>
                    <w:sizeAuto/>
                    <w:default w:val="0"/>
                  </w:checkBox>
                </w:ffData>
              </w:fldChar>
            </w:r>
            <w:r w:rsidRPr="00A84A0B">
              <w:rPr>
                <w:rFonts w:ascii="Arial Narrow" w:hAnsi="Arial Narrow" w:cs="Arial"/>
                <w:snapToGrid w:val="0"/>
                <w:sz w:val="20"/>
                <w:szCs w:val="20"/>
                <w:lang w:eastAsia="en-US"/>
              </w:rPr>
              <w:instrText xml:space="preserve"> FORMCHECKBOX </w:instrText>
            </w:r>
            <w:r w:rsidR="006F2FE9">
              <w:rPr>
                <w:rFonts w:ascii="Arial Narrow" w:hAnsi="Arial Narrow" w:cs="Arial"/>
                <w:snapToGrid w:val="0"/>
                <w:sz w:val="20"/>
                <w:szCs w:val="20"/>
                <w:lang w:eastAsia="en-US"/>
              </w:rPr>
            </w:r>
            <w:r w:rsidR="006F2FE9">
              <w:rPr>
                <w:rFonts w:ascii="Arial Narrow" w:hAnsi="Arial Narrow" w:cs="Arial"/>
                <w:snapToGrid w:val="0"/>
                <w:sz w:val="20"/>
                <w:szCs w:val="20"/>
                <w:lang w:eastAsia="en-US"/>
              </w:rPr>
              <w:fldChar w:fldCharType="separate"/>
            </w:r>
            <w:r w:rsidRPr="00A84A0B">
              <w:rPr>
                <w:rFonts w:ascii="Arial Narrow" w:hAnsi="Arial Narrow" w:cs="Arial"/>
                <w:snapToGrid w:val="0"/>
                <w:sz w:val="20"/>
                <w:szCs w:val="20"/>
                <w:lang w:eastAsia="en-US"/>
              </w:rPr>
              <w:fldChar w:fldCharType="end"/>
            </w:r>
            <w:r w:rsidRPr="00A84A0B">
              <w:rPr>
                <w:rFonts w:ascii="Arial Narrow" w:hAnsi="Arial Narrow" w:cs="Arial"/>
                <w:snapToGrid w:val="0"/>
                <w:sz w:val="20"/>
                <w:szCs w:val="20"/>
                <w:lang w:eastAsia="en-US"/>
              </w:rPr>
              <w:t>Optometrists</w:t>
            </w:r>
          </w:p>
          <w:p w:rsidR="00272989" w:rsidRPr="00A84A0B" w:rsidRDefault="00272989" w:rsidP="005939DA">
            <w:pPr>
              <w:jc w:val="both"/>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fldChar w:fldCharType="begin">
                <w:ffData>
                  <w:name w:val="Check5"/>
                  <w:enabled/>
                  <w:calcOnExit w:val="0"/>
                  <w:checkBox>
                    <w:sizeAuto/>
                    <w:default w:val="0"/>
                  </w:checkBox>
                </w:ffData>
              </w:fldChar>
            </w:r>
            <w:r w:rsidRPr="00A84A0B">
              <w:rPr>
                <w:rFonts w:ascii="Arial Narrow" w:hAnsi="Arial Narrow" w:cs="Arial"/>
                <w:snapToGrid w:val="0"/>
                <w:sz w:val="20"/>
                <w:szCs w:val="20"/>
                <w:lang w:eastAsia="en-US"/>
              </w:rPr>
              <w:instrText xml:space="preserve"> FORMCHECKBOX </w:instrText>
            </w:r>
            <w:r w:rsidR="006F2FE9">
              <w:rPr>
                <w:rFonts w:ascii="Arial Narrow" w:hAnsi="Arial Narrow" w:cs="Arial"/>
                <w:snapToGrid w:val="0"/>
                <w:sz w:val="20"/>
                <w:szCs w:val="20"/>
                <w:lang w:eastAsia="en-US"/>
              </w:rPr>
            </w:r>
            <w:r w:rsidR="006F2FE9">
              <w:rPr>
                <w:rFonts w:ascii="Arial Narrow" w:hAnsi="Arial Narrow" w:cs="Arial"/>
                <w:snapToGrid w:val="0"/>
                <w:sz w:val="20"/>
                <w:szCs w:val="20"/>
                <w:lang w:eastAsia="en-US"/>
              </w:rPr>
              <w:fldChar w:fldCharType="separate"/>
            </w:r>
            <w:r w:rsidRPr="00A84A0B">
              <w:rPr>
                <w:rFonts w:ascii="Arial Narrow" w:hAnsi="Arial Narrow" w:cs="Arial"/>
                <w:snapToGrid w:val="0"/>
                <w:sz w:val="20"/>
                <w:szCs w:val="20"/>
                <w:lang w:eastAsia="en-US"/>
              </w:rPr>
              <w:fldChar w:fldCharType="end"/>
            </w:r>
            <w:r w:rsidRPr="00A84A0B">
              <w:rPr>
                <w:rFonts w:ascii="Arial Narrow" w:hAnsi="Arial Narrow" w:cs="Arial"/>
                <w:snapToGrid w:val="0"/>
                <w:sz w:val="20"/>
                <w:szCs w:val="20"/>
                <w:lang w:eastAsia="en-US"/>
              </w:rPr>
              <w:t>Midwives</w:t>
            </w:r>
          </w:p>
        </w:tc>
      </w:tr>
      <w:tr w:rsidR="00272989" w:rsidRPr="00A84A0B" w:rsidTr="003C32BC">
        <w:tblPrEx>
          <w:tblCellMar>
            <w:left w:w="108" w:type="dxa"/>
            <w:right w:w="108" w:type="dxa"/>
          </w:tblCellMar>
        </w:tblPrEx>
        <w:trPr>
          <w:gridBefore w:val="1"/>
          <w:wBefore w:w="7" w:type="pct"/>
          <w:cantSplit/>
          <w:trHeight w:val="360"/>
        </w:trPr>
        <w:tc>
          <w:tcPr>
            <w:tcW w:w="1185" w:type="pct"/>
            <w:tcBorders>
              <w:top w:val="single" w:sz="4" w:space="0" w:color="auto"/>
              <w:left w:val="single" w:sz="4" w:space="0" w:color="auto"/>
              <w:bottom w:val="single" w:sz="4" w:space="0" w:color="auto"/>
              <w:right w:val="single" w:sz="4" w:space="0" w:color="auto"/>
            </w:tcBorders>
          </w:tcPr>
          <w:p w:rsidR="00272989" w:rsidRPr="00A84A0B" w:rsidRDefault="00272989" w:rsidP="005939DA">
            <w:pPr>
              <w:jc w:val="both"/>
              <w:rPr>
                <w:rFonts w:ascii="Arial Narrow" w:hAnsi="Arial Narrow" w:cs="Arial"/>
                <w:b/>
                <w:snapToGrid w:val="0"/>
                <w:sz w:val="20"/>
                <w:szCs w:val="20"/>
                <w:lang w:eastAsia="en-US"/>
              </w:rPr>
            </w:pPr>
            <w:r w:rsidRPr="00A84A0B">
              <w:rPr>
                <w:rFonts w:ascii="Arial Narrow" w:hAnsi="Arial Narrow" w:cs="Arial"/>
                <w:b/>
                <w:snapToGrid w:val="0"/>
                <w:sz w:val="20"/>
                <w:szCs w:val="20"/>
                <w:lang w:eastAsia="en-US"/>
              </w:rPr>
              <w:t>Episodicity:</w:t>
            </w:r>
          </w:p>
        </w:tc>
        <w:tc>
          <w:tcPr>
            <w:tcW w:w="3808" w:type="pct"/>
            <w:gridSpan w:val="6"/>
            <w:tcBorders>
              <w:top w:val="single" w:sz="4" w:space="0" w:color="auto"/>
              <w:left w:val="single" w:sz="4" w:space="0" w:color="auto"/>
              <w:bottom w:val="single" w:sz="4" w:space="0" w:color="auto"/>
              <w:right w:val="single" w:sz="4" w:space="0" w:color="auto"/>
            </w:tcBorders>
          </w:tcPr>
          <w:p w:rsidR="00272989" w:rsidRPr="00A84A0B" w:rsidRDefault="00272989" w:rsidP="005939DA">
            <w:pPr>
              <w:jc w:val="both"/>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t>-</w:t>
            </w:r>
          </w:p>
        </w:tc>
      </w:tr>
      <w:tr w:rsidR="00272989" w:rsidRPr="00A84A0B" w:rsidTr="003C32BC">
        <w:tblPrEx>
          <w:tblCellMar>
            <w:left w:w="108" w:type="dxa"/>
            <w:right w:w="108" w:type="dxa"/>
          </w:tblCellMar>
        </w:tblPrEx>
        <w:trPr>
          <w:gridBefore w:val="1"/>
          <w:wBefore w:w="7" w:type="pct"/>
          <w:cantSplit/>
          <w:trHeight w:val="360"/>
        </w:trPr>
        <w:tc>
          <w:tcPr>
            <w:tcW w:w="1185" w:type="pct"/>
            <w:tcBorders>
              <w:top w:val="single" w:sz="4" w:space="0" w:color="auto"/>
              <w:left w:val="single" w:sz="4" w:space="0" w:color="auto"/>
              <w:bottom w:val="single" w:sz="4" w:space="0" w:color="auto"/>
              <w:right w:val="single" w:sz="4" w:space="0" w:color="auto"/>
            </w:tcBorders>
          </w:tcPr>
          <w:p w:rsidR="00272989" w:rsidRPr="00A84A0B" w:rsidRDefault="00272989" w:rsidP="005939DA">
            <w:pPr>
              <w:jc w:val="both"/>
              <w:rPr>
                <w:rFonts w:ascii="Arial Narrow" w:hAnsi="Arial Narrow" w:cs="Arial"/>
                <w:b/>
                <w:snapToGrid w:val="0"/>
                <w:sz w:val="20"/>
                <w:szCs w:val="20"/>
                <w:lang w:eastAsia="en-US"/>
              </w:rPr>
            </w:pPr>
            <w:r w:rsidRPr="00A84A0B">
              <w:rPr>
                <w:rFonts w:ascii="Arial Narrow" w:hAnsi="Arial Narrow" w:cs="Arial"/>
                <w:b/>
                <w:snapToGrid w:val="0"/>
                <w:sz w:val="20"/>
                <w:szCs w:val="20"/>
                <w:lang w:eastAsia="en-US"/>
              </w:rPr>
              <w:t>Severity:</w:t>
            </w:r>
          </w:p>
        </w:tc>
        <w:tc>
          <w:tcPr>
            <w:tcW w:w="3808" w:type="pct"/>
            <w:gridSpan w:val="6"/>
            <w:tcBorders>
              <w:top w:val="single" w:sz="4" w:space="0" w:color="auto"/>
              <w:left w:val="single" w:sz="4" w:space="0" w:color="auto"/>
              <w:bottom w:val="single" w:sz="4" w:space="0" w:color="auto"/>
              <w:right w:val="single" w:sz="4" w:space="0" w:color="auto"/>
            </w:tcBorders>
          </w:tcPr>
          <w:p w:rsidR="00272989" w:rsidRPr="00A84A0B" w:rsidRDefault="00272989" w:rsidP="005939DA">
            <w:pPr>
              <w:jc w:val="both"/>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t>Locally advanced or metastatic</w:t>
            </w:r>
          </w:p>
        </w:tc>
      </w:tr>
      <w:tr w:rsidR="00272989" w:rsidRPr="00A84A0B" w:rsidTr="003C32BC">
        <w:tblPrEx>
          <w:tblCellMar>
            <w:left w:w="108" w:type="dxa"/>
            <w:right w:w="108" w:type="dxa"/>
          </w:tblCellMar>
        </w:tblPrEx>
        <w:trPr>
          <w:gridBefore w:val="1"/>
          <w:wBefore w:w="7" w:type="pct"/>
          <w:cantSplit/>
          <w:trHeight w:val="360"/>
        </w:trPr>
        <w:tc>
          <w:tcPr>
            <w:tcW w:w="1185" w:type="pct"/>
            <w:tcBorders>
              <w:top w:val="single" w:sz="4" w:space="0" w:color="auto"/>
              <w:left w:val="single" w:sz="4" w:space="0" w:color="auto"/>
              <w:bottom w:val="single" w:sz="4" w:space="0" w:color="auto"/>
              <w:right w:val="single" w:sz="4" w:space="0" w:color="auto"/>
            </w:tcBorders>
          </w:tcPr>
          <w:p w:rsidR="00272989" w:rsidRPr="00A84A0B" w:rsidRDefault="00272989" w:rsidP="005939DA">
            <w:pPr>
              <w:jc w:val="both"/>
              <w:rPr>
                <w:rFonts w:ascii="Arial Narrow" w:hAnsi="Arial Narrow" w:cs="Arial"/>
                <w:b/>
                <w:snapToGrid w:val="0"/>
                <w:sz w:val="20"/>
                <w:szCs w:val="20"/>
                <w:lang w:eastAsia="en-US"/>
              </w:rPr>
            </w:pPr>
            <w:r w:rsidRPr="00A84A0B">
              <w:rPr>
                <w:rFonts w:ascii="Arial Narrow" w:hAnsi="Arial Narrow" w:cs="Arial"/>
                <w:b/>
                <w:snapToGrid w:val="0"/>
                <w:sz w:val="20"/>
                <w:szCs w:val="20"/>
                <w:lang w:eastAsia="en-US"/>
              </w:rPr>
              <w:t>Condition:</w:t>
            </w:r>
          </w:p>
        </w:tc>
        <w:tc>
          <w:tcPr>
            <w:tcW w:w="3808" w:type="pct"/>
            <w:gridSpan w:val="6"/>
            <w:tcBorders>
              <w:top w:val="single" w:sz="4" w:space="0" w:color="auto"/>
              <w:left w:val="single" w:sz="4" w:space="0" w:color="auto"/>
              <w:bottom w:val="single" w:sz="4" w:space="0" w:color="auto"/>
              <w:right w:val="single" w:sz="4" w:space="0" w:color="auto"/>
            </w:tcBorders>
          </w:tcPr>
          <w:p w:rsidR="00272989" w:rsidRPr="00A84A0B" w:rsidRDefault="00272989" w:rsidP="005939DA">
            <w:pPr>
              <w:jc w:val="both"/>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t>non-small cell lung cancer</w:t>
            </w:r>
          </w:p>
        </w:tc>
      </w:tr>
      <w:tr w:rsidR="00272989" w:rsidRPr="00A84A0B" w:rsidTr="003C32BC">
        <w:tblPrEx>
          <w:tblCellMar>
            <w:left w:w="108" w:type="dxa"/>
            <w:right w:w="108" w:type="dxa"/>
          </w:tblCellMar>
        </w:tblPrEx>
        <w:trPr>
          <w:gridBefore w:val="1"/>
          <w:wBefore w:w="7" w:type="pct"/>
          <w:cantSplit/>
          <w:trHeight w:val="360"/>
        </w:trPr>
        <w:tc>
          <w:tcPr>
            <w:tcW w:w="1185" w:type="pct"/>
            <w:tcBorders>
              <w:top w:val="single" w:sz="4" w:space="0" w:color="auto"/>
              <w:left w:val="single" w:sz="4" w:space="0" w:color="auto"/>
              <w:bottom w:val="single" w:sz="4" w:space="0" w:color="auto"/>
              <w:right w:val="single" w:sz="4" w:space="0" w:color="auto"/>
            </w:tcBorders>
          </w:tcPr>
          <w:p w:rsidR="00272989" w:rsidRPr="00A84A0B" w:rsidRDefault="00272989" w:rsidP="005939DA">
            <w:pPr>
              <w:jc w:val="both"/>
              <w:rPr>
                <w:rFonts w:ascii="Arial Narrow" w:hAnsi="Arial Narrow" w:cs="Arial"/>
                <w:b/>
                <w:snapToGrid w:val="0"/>
                <w:sz w:val="20"/>
                <w:szCs w:val="20"/>
                <w:lang w:eastAsia="en-US"/>
              </w:rPr>
            </w:pPr>
            <w:r w:rsidRPr="00A84A0B">
              <w:rPr>
                <w:rFonts w:ascii="Arial Narrow" w:hAnsi="Arial Narrow" w:cs="Arial"/>
                <w:b/>
                <w:snapToGrid w:val="0"/>
                <w:sz w:val="20"/>
                <w:szCs w:val="20"/>
                <w:lang w:eastAsia="en-US"/>
              </w:rPr>
              <w:t>PBS Indication:</w:t>
            </w:r>
          </w:p>
        </w:tc>
        <w:tc>
          <w:tcPr>
            <w:tcW w:w="3808" w:type="pct"/>
            <w:gridSpan w:val="6"/>
            <w:tcBorders>
              <w:top w:val="single" w:sz="4" w:space="0" w:color="auto"/>
              <w:left w:val="single" w:sz="4" w:space="0" w:color="auto"/>
              <w:bottom w:val="single" w:sz="4" w:space="0" w:color="auto"/>
              <w:right w:val="single" w:sz="4" w:space="0" w:color="auto"/>
            </w:tcBorders>
          </w:tcPr>
          <w:p w:rsidR="00272989" w:rsidRPr="00A84A0B" w:rsidRDefault="00272989" w:rsidP="005939DA">
            <w:pPr>
              <w:jc w:val="both"/>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t>Locally advanced or metastatic non-small cell lung cancer</w:t>
            </w:r>
          </w:p>
        </w:tc>
      </w:tr>
      <w:tr w:rsidR="00272989" w:rsidRPr="00A84A0B" w:rsidTr="003C32BC">
        <w:tblPrEx>
          <w:tblCellMar>
            <w:left w:w="108" w:type="dxa"/>
            <w:right w:w="108" w:type="dxa"/>
          </w:tblCellMar>
        </w:tblPrEx>
        <w:trPr>
          <w:gridBefore w:val="1"/>
          <w:wBefore w:w="7" w:type="pct"/>
          <w:cantSplit/>
          <w:trHeight w:val="360"/>
        </w:trPr>
        <w:tc>
          <w:tcPr>
            <w:tcW w:w="1185" w:type="pct"/>
            <w:tcBorders>
              <w:top w:val="single" w:sz="4" w:space="0" w:color="auto"/>
              <w:left w:val="single" w:sz="4" w:space="0" w:color="auto"/>
              <w:bottom w:val="single" w:sz="4" w:space="0" w:color="auto"/>
              <w:right w:val="single" w:sz="4" w:space="0" w:color="auto"/>
            </w:tcBorders>
          </w:tcPr>
          <w:p w:rsidR="00272989" w:rsidRPr="00A84A0B" w:rsidRDefault="00272989" w:rsidP="005939DA">
            <w:pPr>
              <w:jc w:val="both"/>
              <w:rPr>
                <w:rFonts w:ascii="Arial Narrow" w:hAnsi="Arial Narrow" w:cs="Arial"/>
                <w:i/>
                <w:snapToGrid w:val="0"/>
                <w:sz w:val="20"/>
                <w:szCs w:val="20"/>
                <w:lang w:eastAsia="en-US"/>
              </w:rPr>
            </w:pPr>
            <w:r w:rsidRPr="00A84A0B">
              <w:rPr>
                <w:rFonts w:ascii="Arial Narrow" w:hAnsi="Arial Narrow" w:cs="Arial"/>
                <w:b/>
                <w:snapToGrid w:val="0"/>
                <w:sz w:val="20"/>
                <w:szCs w:val="20"/>
                <w:lang w:eastAsia="en-US"/>
              </w:rPr>
              <w:t>Treatment phase:</w:t>
            </w:r>
          </w:p>
        </w:tc>
        <w:tc>
          <w:tcPr>
            <w:tcW w:w="3808" w:type="pct"/>
            <w:gridSpan w:val="6"/>
            <w:tcBorders>
              <w:top w:val="single" w:sz="4" w:space="0" w:color="auto"/>
              <w:left w:val="single" w:sz="4" w:space="0" w:color="auto"/>
              <w:bottom w:val="single" w:sz="4" w:space="0" w:color="auto"/>
              <w:right w:val="single" w:sz="4" w:space="0" w:color="auto"/>
            </w:tcBorders>
          </w:tcPr>
          <w:p w:rsidR="00272989" w:rsidRPr="00A84A0B" w:rsidRDefault="00272989" w:rsidP="005939DA">
            <w:pPr>
              <w:jc w:val="both"/>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t>Continuing treatment</w:t>
            </w:r>
          </w:p>
        </w:tc>
      </w:tr>
      <w:tr w:rsidR="00272989" w:rsidRPr="00A84A0B" w:rsidTr="003C32BC">
        <w:tblPrEx>
          <w:tblCellMar>
            <w:left w:w="108" w:type="dxa"/>
            <w:right w:w="108" w:type="dxa"/>
          </w:tblCellMar>
        </w:tblPrEx>
        <w:trPr>
          <w:gridBefore w:val="1"/>
          <w:wBefore w:w="7" w:type="pct"/>
          <w:cantSplit/>
          <w:trHeight w:val="360"/>
        </w:trPr>
        <w:tc>
          <w:tcPr>
            <w:tcW w:w="1185" w:type="pct"/>
            <w:tcBorders>
              <w:top w:val="single" w:sz="4" w:space="0" w:color="auto"/>
              <w:left w:val="single" w:sz="4" w:space="0" w:color="auto"/>
              <w:bottom w:val="single" w:sz="4" w:space="0" w:color="auto"/>
              <w:right w:val="single" w:sz="4" w:space="0" w:color="auto"/>
            </w:tcBorders>
          </w:tcPr>
          <w:p w:rsidR="00272989" w:rsidRPr="00A84A0B" w:rsidRDefault="00272989" w:rsidP="005939DA">
            <w:pPr>
              <w:jc w:val="both"/>
              <w:rPr>
                <w:rFonts w:ascii="Arial Narrow" w:hAnsi="Arial Narrow" w:cs="Arial"/>
                <w:b/>
                <w:snapToGrid w:val="0"/>
                <w:sz w:val="20"/>
                <w:szCs w:val="20"/>
                <w:lang w:eastAsia="en-US"/>
              </w:rPr>
            </w:pPr>
            <w:r w:rsidRPr="00A84A0B">
              <w:rPr>
                <w:rFonts w:ascii="Arial Narrow" w:hAnsi="Arial Narrow" w:cs="Arial"/>
                <w:b/>
                <w:snapToGrid w:val="0"/>
                <w:sz w:val="20"/>
                <w:szCs w:val="20"/>
                <w:lang w:eastAsia="en-US"/>
              </w:rPr>
              <w:t>Restriction Level / Method:</w:t>
            </w:r>
          </w:p>
        </w:tc>
        <w:tc>
          <w:tcPr>
            <w:tcW w:w="3808" w:type="pct"/>
            <w:gridSpan w:val="6"/>
            <w:tcBorders>
              <w:top w:val="single" w:sz="4" w:space="0" w:color="auto"/>
              <w:left w:val="single" w:sz="4" w:space="0" w:color="auto"/>
              <w:bottom w:val="single" w:sz="4" w:space="0" w:color="auto"/>
              <w:right w:val="single" w:sz="4" w:space="0" w:color="auto"/>
            </w:tcBorders>
          </w:tcPr>
          <w:p w:rsidR="00272989" w:rsidRPr="00A84A0B" w:rsidRDefault="00272989" w:rsidP="005939DA">
            <w:pPr>
              <w:jc w:val="both"/>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fldChar w:fldCharType="begin">
                <w:ffData>
                  <w:name w:val="Check1"/>
                  <w:enabled/>
                  <w:calcOnExit w:val="0"/>
                  <w:checkBox>
                    <w:sizeAuto/>
                    <w:default w:val="0"/>
                  </w:checkBox>
                </w:ffData>
              </w:fldChar>
            </w:r>
            <w:r w:rsidRPr="00A84A0B">
              <w:rPr>
                <w:rFonts w:ascii="Arial Narrow" w:hAnsi="Arial Narrow" w:cs="Arial"/>
                <w:snapToGrid w:val="0"/>
                <w:sz w:val="20"/>
                <w:szCs w:val="20"/>
                <w:lang w:eastAsia="en-US"/>
              </w:rPr>
              <w:instrText xml:space="preserve"> FORMCHECKBOX </w:instrText>
            </w:r>
            <w:r w:rsidR="006F2FE9">
              <w:rPr>
                <w:rFonts w:ascii="Arial Narrow" w:hAnsi="Arial Narrow" w:cs="Arial"/>
                <w:snapToGrid w:val="0"/>
                <w:sz w:val="20"/>
                <w:szCs w:val="20"/>
                <w:lang w:eastAsia="en-US"/>
              </w:rPr>
            </w:r>
            <w:r w:rsidR="006F2FE9">
              <w:rPr>
                <w:rFonts w:ascii="Arial Narrow" w:hAnsi="Arial Narrow" w:cs="Arial"/>
                <w:snapToGrid w:val="0"/>
                <w:sz w:val="20"/>
                <w:szCs w:val="20"/>
                <w:lang w:eastAsia="en-US"/>
              </w:rPr>
              <w:fldChar w:fldCharType="separate"/>
            </w:r>
            <w:r w:rsidRPr="00A84A0B">
              <w:rPr>
                <w:rFonts w:ascii="Arial Narrow" w:hAnsi="Arial Narrow" w:cs="Arial"/>
                <w:snapToGrid w:val="0"/>
                <w:sz w:val="20"/>
                <w:szCs w:val="20"/>
                <w:lang w:eastAsia="en-US"/>
              </w:rPr>
              <w:fldChar w:fldCharType="end"/>
            </w:r>
            <w:r w:rsidRPr="00A84A0B">
              <w:rPr>
                <w:rFonts w:ascii="Arial Narrow" w:hAnsi="Arial Narrow" w:cs="Arial"/>
                <w:snapToGrid w:val="0"/>
                <w:sz w:val="20"/>
                <w:szCs w:val="20"/>
                <w:lang w:eastAsia="en-US"/>
              </w:rPr>
              <w:t>Restricted benefit</w:t>
            </w:r>
          </w:p>
          <w:p w:rsidR="00272989" w:rsidRPr="00A84A0B" w:rsidRDefault="00272989" w:rsidP="005939DA">
            <w:pPr>
              <w:jc w:val="both"/>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fldChar w:fldCharType="begin">
                <w:ffData>
                  <w:name w:val=""/>
                  <w:enabled/>
                  <w:calcOnExit w:val="0"/>
                  <w:checkBox>
                    <w:sizeAuto/>
                    <w:default w:val="0"/>
                  </w:checkBox>
                </w:ffData>
              </w:fldChar>
            </w:r>
            <w:r w:rsidRPr="00A84A0B">
              <w:rPr>
                <w:rFonts w:ascii="Arial Narrow" w:hAnsi="Arial Narrow" w:cs="Arial"/>
                <w:snapToGrid w:val="0"/>
                <w:sz w:val="20"/>
                <w:szCs w:val="20"/>
                <w:lang w:eastAsia="en-US"/>
              </w:rPr>
              <w:instrText xml:space="preserve"> FORMCHECKBOX </w:instrText>
            </w:r>
            <w:r w:rsidR="006F2FE9">
              <w:rPr>
                <w:rFonts w:ascii="Arial Narrow" w:hAnsi="Arial Narrow" w:cs="Arial"/>
                <w:snapToGrid w:val="0"/>
                <w:sz w:val="20"/>
                <w:szCs w:val="20"/>
                <w:lang w:eastAsia="en-US"/>
              </w:rPr>
            </w:r>
            <w:r w:rsidR="006F2FE9">
              <w:rPr>
                <w:rFonts w:ascii="Arial Narrow" w:hAnsi="Arial Narrow" w:cs="Arial"/>
                <w:snapToGrid w:val="0"/>
                <w:sz w:val="20"/>
                <w:szCs w:val="20"/>
                <w:lang w:eastAsia="en-US"/>
              </w:rPr>
              <w:fldChar w:fldCharType="separate"/>
            </w:r>
            <w:r w:rsidRPr="00A84A0B">
              <w:rPr>
                <w:rFonts w:ascii="Arial Narrow" w:hAnsi="Arial Narrow" w:cs="Arial"/>
                <w:snapToGrid w:val="0"/>
                <w:sz w:val="20"/>
                <w:szCs w:val="20"/>
                <w:lang w:eastAsia="en-US"/>
              </w:rPr>
              <w:fldChar w:fldCharType="end"/>
            </w:r>
            <w:r w:rsidRPr="00A84A0B">
              <w:rPr>
                <w:rFonts w:ascii="Arial Narrow" w:hAnsi="Arial Narrow" w:cs="Arial"/>
                <w:snapToGrid w:val="0"/>
                <w:sz w:val="20"/>
                <w:szCs w:val="20"/>
                <w:lang w:eastAsia="en-US"/>
              </w:rPr>
              <w:t>Authority Required - In Writing</w:t>
            </w:r>
          </w:p>
          <w:p w:rsidR="00272989" w:rsidRPr="00A84A0B" w:rsidRDefault="00272989" w:rsidP="005939DA">
            <w:pPr>
              <w:jc w:val="both"/>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fldChar w:fldCharType="begin">
                <w:ffData>
                  <w:name w:val="Check3"/>
                  <w:enabled/>
                  <w:calcOnExit w:val="0"/>
                  <w:checkBox>
                    <w:sizeAuto/>
                    <w:default w:val="0"/>
                  </w:checkBox>
                </w:ffData>
              </w:fldChar>
            </w:r>
            <w:r w:rsidRPr="00A84A0B">
              <w:rPr>
                <w:rFonts w:ascii="Arial Narrow" w:hAnsi="Arial Narrow" w:cs="Arial"/>
                <w:snapToGrid w:val="0"/>
                <w:sz w:val="20"/>
                <w:szCs w:val="20"/>
                <w:lang w:eastAsia="en-US"/>
              </w:rPr>
              <w:instrText xml:space="preserve"> FORMCHECKBOX </w:instrText>
            </w:r>
            <w:r w:rsidR="006F2FE9">
              <w:rPr>
                <w:rFonts w:ascii="Arial Narrow" w:hAnsi="Arial Narrow" w:cs="Arial"/>
                <w:snapToGrid w:val="0"/>
                <w:sz w:val="20"/>
                <w:szCs w:val="20"/>
                <w:lang w:eastAsia="en-US"/>
              </w:rPr>
            </w:r>
            <w:r w:rsidR="006F2FE9">
              <w:rPr>
                <w:rFonts w:ascii="Arial Narrow" w:hAnsi="Arial Narrow" w:cs="Arial"/>
                <w:snapToGrid w:val="0"/>
                <w:sz w:val="20"/>
                <w:szCs w:val="20"/>
                <w:lang w:eastAsia="en-US"/>
              </w:rPr>
              <w:fldChar w:fldCharType="separate"/>
            </w:r>
            <w:r w:rsidRPr="00A84A0B">
              <w:rPr>
                <w:rFonts w:ascii="Arial Narrow" w:hAnsi="Arial Narrow" w:cs="Arial"/>
                <w:snapToGrid w:val="0"/>
                <w:sz w:val="20"/>
                <w:szCs w:val="20"/>
                <w:lang w:eastAsia="en-US"/>
              </w:rPr>
              <w:fldChar w:fldCharType="end"/>
            </w:r>
            <w:r w:rsidRPr="00A84A0B">
              <w:rPr>
                <w:rFonts w:ascii="Arial Narrow" w:hAnsi="Arial Narrow" w:cs="Arial"/>
                <w:snapToGrid w:val="0"/>
                <w:sz w:val="20"/>
                <w:szCs w:val="20"/>
                <w:lang w:eastAsia="en-US"/>
              </w:rPr>
              <w:t>Authority Required - Telephone</w:t>
            </w:r>
          </w:p>
          <w:p w:rsidR="00272989" w:rsidRPr="00A84A0B" w:rsidRDefault="00272989" w:rsidP="005939DA">
            <w:pPr>
              <w:jc w:val="both"/>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fldChar w:fldCharType="begin">
                <w:ffData>
                  <w:name w:val=""/>
                  <w:enabled/>
                  <w:calcOnExit w:val="0"/>
                  <w:checkBox>
                    <w:sizeAuto/>
                    <w:default w:val="0"/>
                  </w:checkBox>
                </w:ffData>
              </w:fldChar>
            </w:r>
            <w:r w:rsidRPr="00A84A0B">
              <w:rPr>
                <w:rFonts w:ascii="Arial Narrow" w:hAnsi="Arial Narrow" w:cs="Arial"/>
                <w:snapToGrid w:val="0"/>
                <w:sz w:val="20"/>
                <w:szCs w:val="20"/>
                <w:lang w:eastAsia="en-US"/>
              </w:rPr>
              <w:instrText xml:space="preserve"> FORMCHECKBOX </w:instrText>
            </w:r>
            <w:r w:rsidR="006F2FE9">
              <w:rPr>
                <w:rFonts w:ascii="Arial Narrow" w:hAnsi="Arial Narrow" w:cs="Arial"/>
                <w:snapToGrid w:val="0"/>
                <w:sz w:val="20"/>
                <w:szCs w:val="20"/>
                <w:lang w:eastAsia="en-US"/>
              </w:rPr>
            </w:r>
            <w:r w:rsidR="006F2FE9">
              <w:rPr>
                <w:rFonts w:ascii="Arial Narrow" w:hAnsi="Arial Narrow" w:cs="Arial"/>
                <w:snapToGrid w:val="0"/>
                <w:sz w:val="20"/>
                <w:szCs w:val="20"/>
                <w:lang w:eastAsia="en-US"/>
              </w:rPr>
              <w:fldChar w:fldCharType="separate"/>
            </w:r>
            <w:r w:rsidRPr="00A84A0B">
              <w:rPr>
                <w:rFonts w:ascii="Arial Narrow" w:hAnsi="Arial Narrow" w:cs="Arial"/>
                <w:snapToGrid w:val="0"/>
                <w:sz w:val="20"/>
                <w:szCs w:val="20"/>
                <w:lang w:eastAsia="en-US"/>
              </w:rPr>
              <w:fldChar w:fldCharType="end"/>
            </w:r>
            <w:r w:rsidRPr="00A84A0B">
              <w:rPr>
                <w:rFonts w:ascii="Arial Narrow" w:hAnsi="Arial Narrow" w:cs="Arial"/>
                <w:snapToGrid w:val="0"/>
                <w:sz w:val="20"/>
                <w:szCs w:val="20"/>
                <w:lang w:eastAsia="en-US"/>
              </w:rPr>
              <w:t>Authority Required - Emergency</w:t>
            </w:r>
          </w:p>
          <w:p w:rsidR="00272989" w:rsidRPr="00A84A0B" w:rsidRDefault="00272989" w:rsidP="005939DA">
            <w:pPr>
              <w:jc w:val="both"/>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fldChar w:fldCharType="begin">
                <w:ffData>
                  <w:name w:val="Check5"/>
                  <w:enabled/>
                  <w:calcOnExit w:val="0"/>
                  <w:checkBox>
                    <w:sizeAuto/>
                    <w:default w:val="0"/>
                  </w:checkBox>
                </w:ffData>
              </w:fldChar>
            </w:r>
            <w:r w:rsidRPr="00A84A0B">
              <w:rPr>
                <w:rFonts w:ascii="Arial Narrow" w:hAnsi="Arial Narrow" w:cs="Arial"/>
                <w:snapToGrid w:val="0"/>
                <w:sz w:val="20"/>
                <w:szCs w:val="20"/>
                <w:lang w:eastAsia="en-US"/>
              </w:rPr>
              <w:instrText xml:space="preserve"> FORMCHECKBOX </w:instrText>
            </w:r>
            <w:r w:rsidR="006F2FE9">
              <w:rPr>
                <w:rFonts w:ascii="Arial Narrow" w:hAnsi="Arial Narrow" w:cs="Arial"/>
                <w:snapToGrid w:val="0"/>
                <w:sz w:val="20"/>
                <w:szCs w:val="20"/>
                <w:lang w:eastAsia="en-US"/>
              </w:rPr>
            </w:r>
            <w:r w:rsidR="006F2FE9">
              <w:rPr>
                <w:rFonts w:ascii="Arial Narrow" w:hAnsi="Arial Narrow" w:cs="Arial"/>
                <w:snapToGrid w:val="0"/>
                <w:sz w:val="20"/>
                <w:szCs w:val="20"/>
                <w:lang w:eastAsia="en-US"/>
              </w:rPr>
              <w:fldChar w:fldCharType="separate"/>
            </w:r>
            <w:r w:rsidRPr="00A84A0B">
              <w:rPr>
                <w:rFonts w:ascii="Arial Narrow" w:hAnsi="Arial Narrow" w:cs="Arial"/>
                <w:snapToGrid w:val="0"/>
                <w:sz w:val="20"/>
                <w:szCs w:val="20"/>
                <w:lang w:eastAsia="en-US"/>
              </w:rPr>
              <w:fldChar w:fldCharType="end"/>
            </w:r>
            <w:r w:rsidRPr="00A84A0B">
              <w:rPr>
                <w:rFonts w:ascii="Arial Narrow" w:hAnsi="Arial Narrow" w:cs="Arial"/>
                <w:snapToGrid w:val="0"/>
                <w:sz w:val="20"/>
                <w:szCs w:val="20"/>
                <w:lang w:eastAsia="en-US"/>
              </w:rPr>
              <w:t>Authority Required - Electronic</w:t>
            </w:r>
          </w:p>
          <w:p w:rsidR="00272989" w:rsidRPr="00A84A0B" w:rsidRDefault="00272989" w:rsidP="005939DA">
            <w:pPr>
              <w:jc w:val="both"/>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fldChar w:fldCharType="begin">
                <w:ffData>
                  <w:name w:val="Check5"/>
                  <w:enabled/>
                  <w:calcOnExit w:val="0"/>
                  <w:checkBox>
                    <w:sizeAuto/>
                    <w:default w:val="1"/>
                  </w:checkBox>
                </w:ffData>
              </w:fldChar>
            </w:r>
            <w:r w:rsidRPr="00A84A0B">
              <w:rPr>
                <w:rFonts w:ascii="Arial Narrow" w:hAnsi="Arial Narrow" w:cs="Arial"/>
                <w:snapToGrid w:val="0"/>
                <w:sz w:val="20"/>
                <w:szCs w:val="20"/>
                <w:lang w:eastAsia="en-US"/>
              </w:rPr>
              <w:instrText xml:space="preserve"> FORMCHECKBOX </w:instrText>
            </w:r>
            <w:r w:rsidR="006F2FE9">
              <w:rPr>
                <w:rFonts w:ascii="Arial Narrow" w:hAnsi="Arial Narrow" w:cs="Arial"/>
                <w:snapToGrid w:val="0"/>
                <w:sz w:val="20"/>
                <w:szCs w:val="20"/>
                <w:lang w:eastAsia="en-US"/>
              </w:rPr>
            </w:r>
            <w:r w:rsidR="006F2FE9">
              <w:rPr>
                <w:rFonts w:ascii="Arial Narrow" w:hAnsi="Arial Narrow" w:cs="Arial"/>
                <w:snapToGrid w:val="0"/>
                <w:sz w:val="20"/>
                <w:szCs w:val="20"/>
                <w:lang w:eastAsia="en-US"/>
              </w:rPr>
              <w:fldChar w:fldCharType="separate"/>
            </w:r>
            <w:r w:rsidRPr="00A84A0B">
              <w:rPr>
                <w:rFonts w:ascii="Arial Narrow" w:hAnsi="Arial Narrow" w:cs="Arial"/>
                <w:snapToGrid w:val="0"/>
                <w:sz w:val="20"/>
                <w:szCs w:val="20"/>
                <w:lang w:eastAsia="en-US"/>
              </w:rPr>
              <w:fldChar w:fldCharType="end"/>
            </w:r>
            <w:r w:rsidRPr="00A84A0B">
              <w:rPr>
                <w:rFonts w:ascii="Arial Narrow" w:hAnsi="Arial Narrow" w:cs="Arial"/>
                <w:snapToGrid w:val="0"/>
                <w:sz w:val="20"/>
                <w:szCs w:val="20"/>
                <w:lang w:eastAsia="en-US"/>
              </w:rPr>
              <w:t>Streamlined</w:t>
            </w:r>
          </w:p>
        </w:tc>
      </w:tr>
      <w:tr w:rsidR="00272989" w:rsidRPr="00A84A0B" w:rsidTr="003C32BC">
        <w:tblPrEx>
          <w:tblCellMar>
            <w:left w:w="108" w:type="dxa"/>
            <w:right w:w="108" w:type="dxa"/>
          </w:tblCellMar>
        </w:tblPrEx>
        <w:trPr>
          <w:gridBefore w:val="1"/>
          <w:wBefore w:w="7" w:type="pct"/>
          <w:cantSplit/>
          <w:trHeight w:val="360"/>
        </w:trPr>
        <w:tc>
          <w:tcPr>
            <w:tcW w:w="1185" w:type="pct"/>
            <w:tcBorders>
              <w:top w:val="single" w:sz="4" w:space="0" w:color="auto"/>
              <w:left w:val="single" w:sz="4" w:space="0" w:color="auto"/>
              <w:bottom w:val="single" w:sz="4" w:space="0" w:color="auto"/>
              <w:right w:val="single" w:sz="4" w:space="0" w:color="auto"/>
            </w:tcBorders>
          </w:tcPr>
          <w:p w:rsidR="00272989" w:rsidRPr="00A84A0B" w:rsidRDefault="00272989" w:rsidP="005939DA">
            <w:pPr>
              <w:jc w:val="both"/>
              <w:rPr>
                <w:rFonts w:ascii="Arial Narrow" w:hAnsi="Arial Narrow" w:cs="Arial"/>
                <w:b/>
                <w:snapToGrid w:val="0"/>
                <w:sz w:val="20"/>
                <w:szCs w:val="20"/>
                <w:lang w:eastAsia="en-US"/>
              </w:rPr>
            </w:pPr>
            <w:r w:rsidRPr="00A84A0B">
              <w:rPr>
                <w:rFonts w:ascii="Arial Narrow" w:hAnsi="Arial Narrow" w:cs="Arial"/>
                <w:b/>
                <w:snapToGrid w:val="0"/>
                <w:sz w:val="20"/>
                <w:szCs w:val="20"/>
                <w:lang w:eastAsia="en-US"/>
              </w:rPr>
              <w:t>Clinical criteria:</w:t>
            </w:r>
          </w:p>
        </w:tc>
        <w:tc>
          <w:tcPr>
            <w:tcW w:w="3808" w:type="pct"/>
            <w:gridSpan w:val="6"/>
            <w:tcBorders>
              <w:top w:val="single" w:sz="4" w:space="0" w:color="auto"/>
              <w:left w:val="single" w:sz="4" w:space="0" w:color="auto"/>
              <w:bottom w:val="single" w:sz="4" w:space="0" w:color="auto"/>
              <w:right w:val="single" w:sz="4" w:space="0" w:color="auto"/>
            </w:tcBorders>
          </w:tcPr>
          <w:p w:rsidR="00272989" w:rsidRPr="00A84A0B" w:rsidRDefault="00272989" w:rsidP="005939DA">
            <w:pPr>
              <w:jc w:val="both"/>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t xml:space="preserve">Patient must have previously </w:t>
            </w:r>
            <w:r>
              <w:rPr>
                <w:rFonts w:ascii="Arial Narrow" w:hAnsi="Arial Narrow" w:cs="Arial"/>
                <w:snapToGrid w:val="0"/>
                <w:sz w:val="20"/>
                <w:szCs w:val="20"/>
                <w:lang w:eastAsia="en-US"/>
              </w:rPr>
              <w:t xml:space="preserve">received PBS-subsidised treatment with </w:t>
            </w:r>
            <w:r w:rsidRPr="00A84A0B">
              <w:rPr>
                <w:rFonts w:ascii="Arial Narrow" w:hAnsi="Arial Narrow" w:cs="Arial"/>
                <w:snapToGrid w:val="0"/>
                <w:sz w:val="20"/>
                <w:szCs w:val="20"/>
                <w:lang w:eastAsia="en-US"/>
              </w:rPr>
              <w:t>this drug for this condition</w:t>
            </w:r>
          </w:p>
          <w:p w:rsidR="00272989" w:rsidRPr="00A84A0B" w:rsidRDefault="00272989" w:rsidP="005939DA">
            <w:pPr>
              <w:jc w:val="both"/>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t>AND</w:t>
            </w:r>
          </w:p>
          <w:p w:rsidR="00272989" w:rsidRPr="00A84A0B" w:rsidRDefault="00272989" w:rsidP="005939DA">
            <w:pPr>
              <w:jc w:val="both"/>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t>The treatment must be the sole PBS-subsidised t</w:t>
            </w:r>
            <w:r>
              <w:rPr>
                <w:rFonts w:ascii="Arial Narrow" w:hAnsi="Arial Narrow" w:cs="Arial"/>
                <w:snapToGrid w:val="0"/>
                <w:sz w:val="20"/>
                <w:szCs w:val="20"/>
                <w:lang w:eastAsia="en-US"/>
              </w:rPr>
              <w:t xml:space="preserve">reatment </w:t>
            </w:r>
            <w:r w:rsidRPr="00A84A0B">
              <w:rPr>
                <w:rFonts w:ascii="Arial Narrow" w:hAnsi="Arial Narrow" w:cs="Arial"/>
                <w:snapToGrid w:val="0"/>
                <w:sz w:val="20"/>
                <w:szCs w:val="20"/>
                <w:lang w:eastAsia="en-US"/>
              </w:rPr>
              <w:t xml:space="preserve"> for this condition</w:t>
            </w:r>
          </w:p>
          <w:p w:rsidR="00272989" w:rsidRPr="00A84A0B" w:rsidRDefault="00272989" w:rsidP="005939DA">
            <w:pPr>
              <w:jc w:val="both"/>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t>AND</w:t>
            </w:r>
          </w:p>
          <w:p w:rsidR="00272989" w:rsidRPr="00A84A0B" w:rsidRDefault="00272989" w:rsidP="005939DA">
            <w:pPr>
              <w:jc w:val="both"/>
              <w:rPr>
                <w:rFonts w:ascii="Arial Narrow" w:hAnsi="Arial Narrow" w:cs="Arial"/>
                <w:strike/>
                <w:snapToGrid w:val="0"/>
                <w:sz w:val="20"/>
                <w:szCs w:val="20"/>
                <w:lang w:eastAsia="en-US"/>
              </w:rPr>
            </w:pPr>
            <w:r w:rsidRPr="00A84A0B">
              <w:rPr>
                <w:rFonts w:ascii="Arial Narrow" w:hAnsi="Arial Narrow" w:cs="Arial"/>
                <w:snapToGrid w:val="0"/>
                <w:sz w:val="20"/>
                <w:szCs w:val="20"/>
                <w:lang w:eastAsia="en-US"/>
              </w:rPr>
              <w:t>Patient must have stable or responding disease.</w:t>
            </w:r>
          </w:p>
        </w:tc>
      </w:tr>
      <w:tr w:rsidR="00272989" w:rsidRPr="00A84A0B" w:rsidTr="003C32BC">
        <w:tblPrEx>
          <w:tblCellMar>
            <w:left w:w="108" w:type="dxa"/>
            <w:right w:w="108" w:type="dxa"/>
          </w:tblCellMar>
        </w:tblPrEx>
        <w:trPr>
          <w:gridBefore w:val="1"/>
          <w:wBefore w:w="7" w:type="pct"/>
          <w:cantSplit/>
          <w:trHeight w:val="360"/>
        </w:trPr>
        <w:tc>
          <w:tcPr>
            <w:tcW w:w="1185" w:type="pct"/>
            <w:tcBorders>
              <w:top w:val="single" w:sz="4" w:space="0" w:color="auto"/>
              <w:left w:val="single" w:sz="4" w:space="0" w:color="auto"/>
              <w:bottom w:val="single" w:sz="4" w:space="0" w:color="auto"/>
              <w:right w:val="single" w:sz="4" w:space="0" w:color="auto"/>
            </w:tcBorders>
          </w:tcPr>
          <w:p w:rsidR="00272989" w:rsidRPr="00A84A0B" w:rsidRDefault="00272989" w:rsidP="005939DA">
            <w:pPr>
              <w:jc w:val="both"/>
              <w:rPr>
                <w:rFonts w:ascii="Arial Narrow" w:hAnsi="Arial Narrow" w:cs="Arial"/>
                <w:i/>
                <w:snapToGrid w:val="0"/>
                <w:sz w:val="20"/>
                <w:szCs w:val="20"/>
                <w:lang w:eastAsia="en-US"/>
              </w:rPr>
            </w:pPr>
            <w:r w:rsidRPr="00A84A0B">
              <w:rPr>
                <w:rFonts w:ascii="Arial Narrow" w:hAnsi="Arial Narrow" w:cs="Arial"/>
                <w:b/>
                <w:snapToGrid w:val="0"/>
                <w:sz w:val="20"/>
                <w:szCs w:val="20"/>
                <w:lang w:eastAsia="en-US"/>
              </w:rPr>
              <w:t>Administrative Advice:</w:t>
            </w:r>
          </w:p>
        </w:tc>
        <w:tc>
          <w:tcPr>
            <w:tcW w:w="3808" w:type="pct"/>
            <w:gridSpan w:val="6"/>
            <w:tcBorders>
              <w:top w:val="single" w:sz="4" w:space="0" w:color="auto"/>
              <w:left w:val="single" w:sz="4" w:space="0" w:color="auto"/>
              <w:bottom w:val="single" w:sz="4" w:space="0" w:color="auto"/>
              <w:right w:val="single" w:sz="4" w:space="0" w:color="auto"/>
            </w:tcBorders>
          </w:tcPr>
          <w:p w:rsidR="00272989" w:rsidRPr="00A84A0B" w:rsidRDefault="00272989" w:rsidP="005939DA">
            <w:pPr>
              <w:jc w:val="both"/>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t>No increase in the maximum number of repeats may be authorised.</w:t>
            </w:r>
          </w:p>
          <w:p w:rsidR="00272989" w:rsidRPr="00A84A0B" w:rsidRDefault="00272989" w:rsidP="005939DA">
            <w:pPr>
              <w:jc w:val="both"/>
              <w:rPr>
                <w:rFonts w:ascii="Arial Narrow" w:hAnsi="Arial Narrow" w:cs="Arial"/>
                <w:snapToGrid w:val="0"/>
                <w:sz w:val="20"/>
                <w:szCs w:val="20"/>
                <w:lang w:eastAsia="en-US"/>
              </w:rPr>
            </w:pPr>
          </w:p>
          <w:p w:rsidR="00272989" w:rsidRPr="00A84A0B" w:rsidRDefault="00272989" w:rsidP="005939DA">
            <w:pPr>
              <w:jc w:val="both"/>
              <w:rPr>
                <w:rFonts w:ascii="Arial Narrow" w:hAnsi="Arial Narrow" w:cs="Arial"/>
                <w:strike/>
                <w:snapToGrid w:val="0"/>
                <w:sz w:val="20"/>
                <w:szCs w:val="20"/>
                <w:lang w:eastAsia="en-US"/>
              </w:rPr>
            </w:pPr>
            <w:r w:rsidRPr="00A84A0B">
              <w:rPr>
                <w:rFonts w:ascii="Arial Narrow" w:hAnsi="Arial Narrow" w:cs="Arial"/>
                <w:snapToGrid w:val="0"/>
                <w:sz w:val="20"/>
                <w:szCs w:val="20"/>
                <w:lang w:eastAsia="en-US"/>
              </w:rPr>
              <w:t>Special Pricing Arrangements apply.</w:t>
            </w:r>
          </w:p>
        </w:tc>
      </w:tr>
    </w:tbl>
    <w:p w:rsidR="00272989" w:rsidRDefault="00272989" w:rsidP="005939DA">
      <w:pPr>
        <w:rPr>
          <w:rFonts w:ascii="Arial" w:hAnsi="Arial" w:cs="Arial"/>
          <w:sz w:val="22"/>
          <w:szCs w:val="22"/>
        </w:rPr>
      </w:pPr>
    </w:p>
    <w:p w:rsidR="00272989" w:rsidRDefault="00272989" w:rsidP="005939DA">
      <w:pPr>
        <w:rPr>
          <w:rFonts w:ascii="Arial" w:hAnsi="Arial" w:cs="Arial"/>
          <w:sz w:val="22"/>
          <w:szCs w:val="22"/>
        </w:rPr>
      </w:pPr>
      <w:r>
        <w:rPr>
          <w:rFonts w:ascii="Arial" w:hAnsi="Arial" w:cs="Arial"/>
          <w:sz w:val="22"/>
          <w:szCs w:val="22"/>
        </w:rPr>
        <w:br w:type="page"/>
      </w:r>
    </w:p>
    <w:p w:rsidR="00272989" w:rsidRPr="00A84A0B" w:rsidRDefault="00272989" w:rsidP="005939DA">
      <w:pPr>
        <w:rPr>
          <w:rFonts w:ascii="Arial" w:hAnsi="Arial" w:cs="Arial"/>
          <w:sz w:val="22"/>
          <w:szCs w:val="22"/>
        </w:rPr>
      </w:pPr>
    </w:p>
    <w:tbl>
      <w:tblPr>
        <w:tblW w:w="8363" w:type="dxa"/>
        <w:tblInd w:w="817" w:type="dxa"/>
        <w:tblLayout w:type="fixed"/>
        <w:tblLook w:val="0000" w:firstRow="0" w:lastRow="0" w:firstColumn="0" w:lastColumn="0" w:noHBand="0" w:noVBand="0"/>
      </w:tblPr>
      <w:tblGrid>
        <w:gridCol w:w="1985"/>
        <w:gridCol w:w="6378"/>
      </w:tblGrid>
      <w:tr w:rsidR="00272989" w:rsidRPr="00A84A0B" w:rsidTr="00CC469D">
        <w:trPr>
          <w:cantSplit/>
          <w:trHeight w:val="360"/>
        </w:trPr>
        <w:tc>
          <w:tcPr>
            <w:tcW w:w="1985" w:type="dxa"/>
            <w:tcBorders>
              <w:top w:val="single" w:sz="4" w:space="0" w:color="auto"/>
              <w:left w:val="single" w:sz="4" w:space="0" w:color="auto"/>
              <w:bottom w:val="single" w:sz="4" w:space="0" w:color="auto"/>
              <w:right w:val="single" w:sz="4" w:space="0" w:color="auto"/>
            </w:tcBorders>
          </w:tcPr>
          <w:p w:rsidR="00272989" w:rsidRPr="00A84A0B" w:rsidRDefault="00272989" w:rsidP="005939DA">
            <w:pPr>
              <w:jc w:val="both"/>
              <w:rPr>
                <w:rFonts w:ascii="Arial Narrow" w:hAnsi="Arial Narrow" w:cs="Arial"/>
                <w:b/>
                <w:snapToGrid w:val="0"/>
                <w:sz w:val="20"/>
                <w:szCs w:val="20"/>
                <w:lang w:eastAsia="en-US"/>
              </w:rPr>
            </w:pPr>
            <w:r w:rsidRPr="00A84A0B">
              <w:rPr>
                <w:rFonts w:ascii="Arial Narrow" w:hAnsi="Arial Narrow" w:cs="Arial"/>
                <w:b/>
                <w:snapToGrid w:val="0"/>
                <w:sz w:val="20"/>
                <w:szCs w:val="20"/>
                <w:lang w:eastAsia="en-US"/>
              </w:rPr>
              <w:t>Category / Program</w:t>
            </w:r>
          </w:p>
        </w:tc>
        <w:tc>
          <w:tcPr>
            <w:tcW w:w="6378" w:type="dxa"/>
            <w:tcBorders>
              <w:top w:val="single" w:sz="4" w:space="0" w:color="auto"/>
              <w:left w:val="single" w:sz="4" w:space="0" w:color="auto"/>
              <w:bottom w:val="single" w:sz="4" w:space="0" w:color="auto"/>
              <w:right w:val="single" w:sz="4" w:space="0" w:color="auto"/>
            </w:tcBorders>
          </w:tcPr>
          <w:p w:rsidR="00272989" w:rsidRPr="00A84A0B" w:rsidRDefault="00272989" w:rsidP="005939DA">
            <w:pPr>
              <w:jc w:val="both"/>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t>Section 100 – Efficient funding of Chemotherapy</w:t>
            </w:r>
          </w:p>
        </w:tc>
      </w:tr>
      <w:tr w:rsidR="00272989" w:rsidRPr="00A84A0B" w:rsidTr="00CC469D">
        <w:trPr>
          <w:cantSplit/>
          <w:trHeight w:val="360"/>
        </w:trPr>
        <w:tc>
          <w:tcPr>
            <w:tcW w:w="1985" w:type="dxa"/>
            <w:tcBorders>
              <w:top w:val="single" w:sz="4" w:space="0" w:color="auto"/>
              <w:left w:val="single" w:sz="4" w:space="0" w:color="auto"/>
              <w:bottom w:val="single" w:sz="4" w:space="0" w:color="auto"/>
              <w:right w:val="single" w:sz="4" w:space="0" w:color="auto"/>
            </w:tcBorders>
          </w:tcPr>
          <w:p w:rsidR="00272989" w:rsidRPr="00A84A0B" w:rsidRDefault="00272989" w:rsidP="005939DA">
            <w:pPr>
              <w:jc w:val="both"/>
              <w:rPr>
                <w:rFonts w:ascii="Arial Narrow" w:hAnsi="Arial Narrow" w:cs="Arial"/>
                <w:b/>
                <w:snapToGrid w:val="0"/>
                <w:sz w:val="20"/>
                <w:szCs w:val="20"/>
                <w:lang w:eastAsia="en-US"/>
              </w:rPr>
            </w:pPr>
            <w:r w:rsidRPr="00A84A0B">
              <w:rPr>
                <w:rFonts w:ascii="Arial Narrow" w:hAnsi="Arial Narrow" w:cs="Arial"/>
                <w:b/>
                <w:snapToGrid w:val="0"/>
                <w:sz w:val="20"/>
                <w:szCs w:val="20"/>
                <w:lang w:eastAsia="en-US"/>
              </w:rPr>
              <w:t>Prescriber type:</w:t>
            </w:r>
          </w:p>
        </w:tc>
        <w:tc>
          <w:tcPr>
            <w:tcW w:w="6378" w:type="dxa"/>
            <w:tcBorders>
              <w:top w:val="single" w:sz="4" w:space="0" w:color="auto"/>
              <w:left w:val="single" w:sz="4" w:space="0" w:color="auto"/>
              <w:bottom w:val="single" w:sz="4" w:space="0" w:color="auto"/>
              <w:right w:val="single" w:sz="4" w:space="0" w:color="auto"/>
            </w:tcBorders>
          </w:tcPr>
          <w:p w:rsidR="00272989" w:rsidRPr="00A84A0B" w:rsidRDefault="00272989" w:rsidP="005939DA">
            <w:pPr>
              <w:jc w:val="both"/>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fldChar w:fldCharType="begin">
                <w:ffData>
                  <w:name w:val="Check1"/>
                  <w:enabled/>
                  <w:calcOnExit w:val="0"/>
                  <w:checkBox>
                    <w:sizeAuto/>
                    <w:default w:val="0"/>
                  </w:checkBox>
                </w:ffData>
              </w:fldChar>
            </w:r>
            <w:r w:rsidRPr="00A84A0B">
              <w:rPr>
                <w:rFonts w:ascii="Arial Narrow" w:hAnsi="Arial Narrow" w:cs="Arial"/>
                <w:snapToGrid w:val="0"/>
                <w:sz w:val="20"/>
                <w:szCs w:val="20"/>
                <w:lang w:eastAsia="en-US"/>
              </w:rPr>
              <w:instrText xml:space="preserve"> FORMCHECKBOX </w:instrText>
            </w:r>
            <w:r w:rsidR="006F2FE9">
              <w:rPr>
                <w:rFonts w:ascii="Arial Narrow" w:hAnsi="Arial Narrow" w:cs="Arial"/>
                <w:snapToGrid w:val="0"/>
                <w:sz w:val="20"/>
                <w:szCs w:val="20"/>
                <w:lang w:eastAsia="en-US"/>
              </w:rPr>
            </w:r>
            <w:r w:rsidR="006F2FE9">
              <w:rPr>
                <w:rFonts w:ascii="Arial Narrow" w:hAnsi="Arial Narrow" w:cs="Arial"/>
                <w:snapToGrid w:val="0"/>
                <w:sz w:val="20"/>
                <w:szCs w:val="20"/>
                <w:lang w:eastAsia="en-US"/>
              </w:rPr>
              <w:fldChar w:fldCharType="separate"/>
            </w:r>
            <w:r w:rsidRPr="00A84A0B">
              <w:rPr>
                <w:rFonts w:ascii="Arial Narrow" w:hAnsi="Arial Narrow" w:cs="Arial"/>
                <w:snapToGrid w:val="0"/>
                <w:sz w:val="20"/>
                <w:szCs w:val="20"/>
                <w:lang w:eastAsia="en-US"/>
              </w:rPr>
              <w:fldChar w:fldCharType="end"/>
            </w:r>
            <w:r w:rsidRPr="00A84A0B">
              <w:rPr>
                <w:rFonts w:ascii="Arial Narrow" w:hAnsi="Arial Narrow" w:cs="Arial"/>
                <w:snapToGrid w:val="0"/>
                <w:sz w:val="20"/>
                <w:szCs w:val="20"/>
                <w:lang w:eastAsia="en-US"/>
              </w:rPr>
              <w:t xml:space="preserve">Dental  </w:t>
            </w:r>
            <w:r w:rsidRPr="00A84A0B">
              <w:rPr>
                <w:rFonts w:ascii="Arial Narrow" w:hAnsi="Arial Narrow" w:cs="Arial"/>
                <w:snapToGrid w:val="0"/>
                <w:sz w:val="20"/>
                <w:szCs w:val="20"/>
                <w:lang w:eastAsia="en-US"/>
              </w:rPr>
              <w:fldChar w:fldCharType="begin">
                <w:ffData>
                  <w:name w:val=""/>
                  <w:enabled/>
                  <w:calcOnExit w:val="0"/>
                  <w:checkBox>
                    <w:sizeAuto/>
                    <w:default w:val="1"/>
                  </w:checkBox>
                </w:ffData>
              </w:fldChar>
            </w:r>
            <w:r w:rsidRPr="00A84A0B">
              <w:rPr>
                <w:rFonts w:ascii="Arial Narrow" w:hAnsi="Arial Narrow" w:cs="Arial"/>
                <w:snapToGrid w:val="0"/>
                <w:sz w:val="20"/>
                <w:szCs w:val="20"/>
                <w:lang w:eastAsia="en-US"/>
              </w:rPr>
              <w:instrText xml:space="preserve"> FORMCHECKBOX </w:instrText>
            </w:r>
            <w:r w:rsidR="006F2FE9">
              <w:rPr>
                <w:rFonts w:ascii="Arial Narrow" w:hAnsi="Arial Narrow" w:cs="Arial"/>
                <w:snapToGrid w:val="0"/>
                <w:sz w:val="20"/>
                <w:szCs w:val="20"/>
                <w:lang w:eastAsia="en-US"/>
              </w:rPr>
            </w:r>
            <w:r w:rsidR="006F2FE9">
              <w:rPr>
                <w:rFonts w:ascii="Arial Narrow" w:hAnsi="Arial Narrow" w:cs="Arial"/>
                <w:snapToGrid w:val="0"/>
                <w:sz w:val="20"/>
                <w:szCs w:val="20"/>
                <w:lang w:eastAsia="en-US"/>
              </w:rPr>
              <w:fldChar w:fldCharType="separate"/>
            </w:r>
            <w:r w:rsidRPr="00A84A0B">
              <w:rPr>
                <w:rFonts w:ascii="Arial Narrow" w:hAnsi="Arial Narrow" w:cs="Arial"/>
                <w:snapToGrid w:val="0"/>
                <w:sz w:val="20"/>
                <w:szCs w:val="20"/>
                <w:lang w:eastAsia="en-US"/>
              </w:rPr>
              <w:fldChar w:fldCharType="end"/>
            </w:r>
            <w:r w:rsidRPr="00A84A0B">
              <w:rPr>
                <w:rFonts w:ascii="Arial Narrow" w:hAnsi="Arial Narrow" w:cs="Arial"/>
                <w:snapToGrid w:val="0"/>
                <w:sz w:val="20"/>
                <w:szCs w:val="20"/>
                <w:lang w:eastAsia="en-US"/>
              </w:rPr>
              <w:t xml:space="preserve">Medical Practitioners  </w:t>
            </w:r>
            <w:r w:rsidRPr="00A84A0B">
              <w:rPr>
                <w:rFonts w:ascii="Arial Narrow" w:hAnsi="Arial Narrow" w:cs="Arial"/>
                <w:snapToGrid w:val="0"/>
                <w:sz w:val="20"/>
                <w:szCs w:val="20"/>
                <w:lang w:eastAsia="en-US"/>
              </w:rPr>
              <w:fldChar w:fldCharType="begin">
                <w:ffData>
                  <w:name w:val="Check3"/>
                  <w:enabled/>
                  <w:calcOnExit w:val="0"/>
                  <w:checkBox>
                    <w:sizeAuto/>
                    <w:default w:val="0"/>
                  </w:checkBox>
                </w:ffData>
              </w:fldChar>
            </w:r>
            <w:r w:rsidRPr="00A84A0B">
              <w:rPr>
                <w:rFonts w:ascii="Arial Narrow" w:hAnsi="Arial Narrow" w:cs="Arial"/>
                <w:snapToGrid w:val="0"/>
                <w:sz w:val="20"/>
                <w:szCs w:val="20"/>
                <w:lang w:eastAsia="en-US"/>
              </w:rPr>
              <w:instrText xml:space="preserve"> FORMCHECKBOX </w:instrText>
            </w:r>
            <w:r w:rsidR="006F2FE9">
              <w:rPr>
                <w:rFonts w:ascii="Arial Narrow" w:hAnsi="Arial Narrow" w:cs="Arial"/>
                <w:snapToGrid w:val="0"/>
                <w:sz w:val="20"/>
                <w:szCs w:val="20"/>
                <w:lang w:eastAsia="en-US"/>
              </w:rPr>
            </w:r>
            <w:r w:rsidR="006F2FE9">
              <w:rPr>
                <w:rFonts w:ascii="Arial Narrow" w:hAnsi="Arial Narrow" w:cs="Arial"/>
                <w:snapToGrid w:val="0"/>
                <w:sz w:val="20"/>
                <w:szCs w:val="20"/>
                <w:lang w:eastAsia="en-US"/>
              </w:rPr>
              <w:fldChar w:fldCharType="separate"/>
            </w:r>
            <w:r w:rsidRPr="00A84A0B">
              <w:rPr>
                <w:rFonts w:ascii="Arial Narrow" w:hAnsi="Arial Narrow" w:cs="Arial"/>
                <w:snapToGrid w:val="0"/>
                <w:sz w:val="20"/>
                <w:szCs w:val="20"/>
                <w:lang w:eastAsia="en-US"/>
              </w:rPr>
              <w:fldChar w:fldCharType="end"/>
            </w:r>
            <w:r w:rsidRPr="00A84A0B">
              <w:rPr>
                <w:rFonts w:ascii="Arial Narrow" w:hAnsi="Arial Narrow" w:cs="Arial"/>
                <w:snapToGrid w:val="0"/>
                <w:sz w:val="20"/>
                <w:szCs w:val="20"/>
                <w:lang w:eastAsia="en-US"/>
              </w:rPr>
              <w:t xml:space="preserve">Nurse practitioners  </w:t>
            </w:r>
            <w:r w:rsidRPr="00A84A0B">
              <w:rPr>
                <w:rFonts w:ascii="Arial Narrow" w:hAnsi="Arial Narrow" w:cs="Arial"/>
                <w:snapToGrid w:val="0"/>
                <w:sz w:val="20"/>
                <w:szCs w:val="20"/>
                <w:lang w:eastAsia="en-US"/>
              </w:rPr>
              <w:fldChar w:fldCharType="begin">
                <w:ffData>
                  <w:name w:val=""/>
                  <w:enabled/>
                  <w:calcOnExit w:val="0"/>
                  <w:checkBox>
                    <w:sizeAuto/>
                    <w:default w:val="0"/>
                  </w:checkBox>
                </w:ffData>
              </w:fldChar>
            </w:r>
            <w:r w:rsidRPr="00A84A0B">
              <w:rPr>
                <w:rFonts w:ascii="Arial Narrow" w:hAnsi="Arial Narrow" w:cs="Arial"/>
                <w:snapToGrid w:val="0"/>
                <w:sz w:val="20"/>
                <w:szCs w:val="20"/>
                <w:lang w:eastAsia="en-US"/>
              </w:rPr>
              <w:instrText xml:space="preserve"> FORMCHECKBOX </w:instrText>
            </w:r>
            <w:r w:rsidR="006F2FE9">
              <w:rPr>
                <w:rFonts w:ascii="Arial Narrow" w:hAnsi="Arial Narrow" w:cs="Arial"/>
                <w:snapToGrid w:val="0"/>
                <w:sz w:val="20"/>
                <w:szCs w:val="20"/>
                <w:lang w:eastAsia="en-US"/>
              </w:rPr>
            </w:r>
            <w:r w:rsidR="006F2FE9">
              <w:rPr>
                <w:rFonts w:ascii="Arial Narrow" w:hAnsi="Arial Narrow" w:cs="Arial"/>
                <w:snapToGrid w:val="0"/>
                <w:sz w:val="20"/>
                <w:szCs w:val="20"/>
                <w:lang w:eastAsia="en-US"/>
              </w:rPr>
              <w:fldChar w:fldCharType="separate"/>
            </w:r>
            <w:r w:rsidRPr="00A84A0B">
              <w:rPr>
                <w:rFonts w:ascii="Arial Narrow" w:hAnsi="Arial Narrow" w:cs="Arial"/>
                <w:snapToGrid w:val="0"/>
                <w:sz w:val="20"/>
                <w:szCs w:val="20"/>
                <w:lang w:eastAsia="en-US"/>
              </w:rPr>
              <w:fldChar w:fldCharType="end"/>
            </w:r>
            <w:r w:rsidRPr="00A84A0B">
              <w:rPr>
                <w:rFonts w:ascii="Arial Narrow" w:hAnsi="Arial Narrow" w:cs="Arial"/>
                <w:snapToGrid w:val="0"/>
                <w:sz w:val="20"/>
                <w:szCs w:val="20"/>
                <w:lang w:eastAsia="en-US"/>
              </w:rPr>
              <w:t>Optometrists</w:t>
            </w:r>
          </w:p>
          <w:p w:rsidR="00272989" w:rsidRPr="00A84A0B" w:rsidRDefault="00272989" w:rsidP="005939DA">
            <w:pPr>
              <w:jc w:val="both"/>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fldChar w:fldCharType="begin">
                <w:ffData>
                  <w:name w:val="Check5"/>
                  <w:enabled/>
                  <w:calcOnExit w:val="0"/>
                  <w:checkBox>
                    <w:sizeAuto/>
                    <w:default w:val="0"/>
                  </w:checkBox>
                </w:ffData>
              </w:fldChar>
            </w:r>
            <w:r w:rsidRPr="00A84A0B">
              <w:rPr>
                <w:rFonts w:ascii="Arial Narrow" w:hAnsi="Arial Narrow" w:cs="Arial"/>
                <w:snapToGrid w:val="0"/>
                <w:sz w:val="20"/>
                <w:szCs w:val="20"/>
                <w:lang w:eastAsia="en-US"/>
              </w:rPr>
              <w:instrText xml:space="preserve"> FORMCHECKBOX </w:instrText>
            </w:r>
            <w:r w:rsidR="006F2FE9">
              <w:rPr>
                <w:rFonts w:ascii="Arial Narrow" w:hAnsi="Arial Narrow" w:cs="Arial"/>
                <w:snapToGrid w:val="0"/>
                <w:sz w:val="20"/>
                <w:szCs w:val="20"/>
                <w:lang w:eastAsia="en-US"/>
              </w:rPr>
            </w:r>
            <w:r w:rsidR="006F2FE9">
              <w:rPr>
                <w:rFonts w:ascii="Arial Narrow" w:hAnsi="Arial Narrow" w:cs="Arial"/>
                <w:snapToGrid w:val="0"/>
                <w:sz w:val="20"/>
                <w:szCs w:val="20"/>
                <w:lang w:eastAsia="en-US"/>
              </w:rPr>
              <w:fldChar w:fldCharType="separate"/>
            </w:r>
            <w:r w:rsidRPr="00A84A0B">
              <w:rPr>
                <w:rFonts w:ascii="Arial Narrow" w:hAnsi="Arial Narrow" w:cs="Arial"/>
                <w:snapToGrid w:val="0"/>
                <w:sz w:val="20"/>
                <w:szCs w:val="20"/>
                <w:lang w:eastAsia="en-US"/>
              </w:rPr>
              <w:fldChar w:fldCharType="end"/>
            </w:r>
            <w:r w:rsidRPr="00A84A0B">
              <w:rPr>
                <w:rFonts w:ascii="Arial Narrow" w:hAnsi="Arial Narrow" w:cs="Arial"/>
                <w:snapToGrid w:val="0"/>
                <w:sz w:val="20"/>
                <w:szCs w:val="20"/>
                <w:lang w:eastAsia="en-US"/>
              </w:rPr>
              <w:t>Midwives</w:t>
            </w:r>
          </w:p>
        </w:tc>
      </w:tr>
      <w:tr w:rsidR="00272989" w:rsidRPr="00A84A0B" w:rsidTr="00CC469D">
        <w:trPr>
          <w:cantSplit/>
          <w:trHeight w:val="360"/>
        </w:trPr>
        <w:tc>
          <w:tcPr>
            <w:tcW w:w="1985" w:type="dxa"/>
            <w:tcBorders>
              <w:top w:val="single" w:sz="4" w:space="0" w:color="auto"/>
              <w:left w:val="single" w:sz="4" w:space="0" w:color="auto"/>
              <w:bottom w:val="single" w:sz="4" w:space="0" w:color="auto"/>
              <w:right w:val="single" w:sz="4" w:space="0" w:color="auto"/>
            </w:tcBorders>
          </w:tcPr>
          <w:p w:rsidR="00272989" w:rsidRPr="00A84A0B" w:rsidRDefault="00272989" w:rsidP="005939DA">
            <w:pPr>
              <w:jc w:val="both"/>
              <w:rPr>
                <w:rFonts w:ascii="Arial Narrow" w:hAnsi="Arial Narrow" w:cs="Arial"/>
                <w:b/>
                <w:snapToGrid w:val="0"/>
                <w:sz w:val="20"/>
                <w:szCs w:val="20"/>
                <w:lang w:eastAsia="en-US"/>
              </w:rPr>
            </w:pPr>
            <w:r w:rsidRPr="00A84A0B">
              <w:rPr>
                <w:rFonts w:ascii="Arial Narrow" w:hAnsi="Arial Narrow" w:cs="Arial"/>
                <w:b/>
                <w:snapToGrid w:val="0"/>
                <w:sz w:val="20"/>
                <w:szCs w:val="20"/>
                <w:lang w:eastAsia="en-US"/>
              </w:rPr>
              <w:t>Episodicity:</w:t>
            </w:r>
          </w:p>
        </w:tc>
        <w:tc>
          <w:tcPr>
            <w:tcW w:w="6378" w:type="dxa"/>
            <w:tcBorders>
              <w:top w:val="single" w:sz="4" w:space="0" w:color="auto"/>
              <w:left w:val="single" w:sz="4" w:space="0" w:color="auto"/>
              <w:bottom w:val="single" w:sz="4" w:space="0" w:color="auto"/>
              <w:right w:val="single" w:sz="4" w:space="0" w:color="auto"/>
            </w:tcBorders>
          </w:tcPr>
          <w:p w:rsidR="00272989" w:rsidRPr="00A84A0B" w:rsidRDefault="00272989" w:rsidP="005939DA">
            <w:pPr>
              <w:jc w:val="both"/>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t>-</w:t>
            </w:r>
          </w:p>
        </w:tc>
      </w:tr>
      <w:tr w:rsidR="00272989" w:rsidRPr="00A84A0B" w:rsidTr="00CC469D">
        <w:trPr>
          <w:cantSplit/>
          <w:trHeight w:val="360"/>
        </w:trPr>
        <w:tc>
          <w:tcPr>
            <w:tcW w:w="1985" w:type="dxa"/>
            <w:tcBorders>
              <w:top w:val="single" w:sz="4" w:space="0" w:color="auto"/>
              <w:left w:val="single" w:sz="4" w:space="0" w:color="auto"/>
              <w:bottom w:val="single" w:sz="4" w:space="0" w:color="auto"/>
              <w:right w:val="single" w:sz="4" w:space="0" w:color="auto"/>
            </w:tcBorders>
          </w:tcPr>
          <w:p w:rsidR="00272989" w:rsidRPr="00A84A0B" w:rsidRDefault="00272989" w:rsidP="005939DA">
            <w:pPr>
              <w:jc w:val="both"/>
              <w:rPr>
                <w:rFonts w:ascii="Arial Narrow" w:hAnsi="Arial Narrow" w:cs="Arial"/>
                <w:b/>
                <w:snapToGrid w:val="0"/>
                <w:sz w:val="20"/>
                <w:szCs w:val="20"/>
                <w:lang w:eastAsia="en-US"/>
              </w:rPr>
            </w:pPr>
            <w:r w:rsidRPr="00A84A0B">
              <w:rPr>
                <w:rFonts w:ascii="Arial Narrow" w:hAnsi="Arial Narrow" w:cs="Arial"/>
                <w:b/>
                <w:snapToGrid w:val="0"/>
                <w:sz w:val="20"/>
                <w:szCs w:val="20"/>
                <w:lang w:eastAsia="en-US"/>
              </w:rPr>
              <w:t>Severity:</w:t>
            </w:r>
          </w:p>
        </w:tc>
        <w:tc>
          <w:tcPr>
            <w:tcW w:w="6378" w:type="dxa"/>
            <w:tcBorders>
              <w:top w:val="single" w:sz="4" w:space="0" w:color="auto"/>
              <w:left w:val="single" w:sz="4" w:space="0" w:color="auto"/>
              <w:bottom w:val="single" w:sz="4" w:space="0" w:color="auto"/>
              <w:right w:val="single" w:sz="4" w:space="0" w:color="auto"/>
            </w:tcBorders>
          </w:tcPr>
          <w:p w:rsidR="00272989" w:rsidRPr="00A84A0B" w:rsidRDefault="00272989" w:rsidP="005939DA">
            <w:pPr>
              <w:jc w:val="both"/>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t>Locally advanced or metastatic</w:t>
            </w:r>
          </w:p>
        </w:tc>
      </w:tr>
      <w:tr w:rsidR="00272989" w:rsidRPr="00A84A0B" w:rsidTr="00CC469D">
        <w:trPr>
          <w:cantSplit/>
          <w:trHeight w:val="360"/>
        </w:trPr>
        <w:tc>
          <w:tcPr>
            <w:tcW w:w="1985" w:type="dxa"/>
            <w:tcBorders>
              <w:top w:val="single" w:sz="4" w:space="0" w:color="auto"/>
              <w:left w:val="single" w:sz="4" w:space="0" w:color="auto"/>
              <w:bottom w:val="single" w:sz="4" w:space="0" w:color="auto"/>
              <w:right w:val="single" w:sz="4" w:space="0" w:color="auto"/>
            </w:tcBorders>
          </w:tcPr>
          <w:p w:rsidR="00272989" w:rsidRPr="00A84A0B" w:rsidRDefault="00272989" w:rsidP="005939DA">
            <w:pPr>
              <w:jc w:val="both"/>
              <w:rPr>
                <w:rFonts w:ascii="Arial Narrow" w:hAnsi="Arial Narrow" w:cs="Arial"/>
                <w:b/>
                <w:snapToGrid w:val="0"/>
                <w:sz w:val="20"/>
                <w:szCs w:val="20"/>
                <w:lang w:eastAsia="en-US"/>
              </w:rPr>
            </w:pPr>
            <w:r w:rsidRPr="00A84A0B">
              <w:rPr>
                <w:rFonts w:ascii="Arial Narrow" w:hAnsi="Arial Narrow" w:cs="Arial"/>
                <w:b/>
                <w:snapToGrid w:val="0"/>
                <w:sz w:val="20"/>
                <w:szCs w:val="20"/>
                <w:lang w:eastAsia="en-US"/>
              </w:rPr>
              <w:t>Condition:</w:t>
            </w:r>
          </w:p>
        </w:tc>
        <w:tc>
          <w:tcPr>
            <w:tcW w:w="6378" w:type="dxa"/>
            <w:tcBorders>
              <w:top w:val="single" w:sz="4" w:space="0" w:color="auto"/>
              <w:left w:val="single" w:sz="4" w:space="0" w:color="auto"/>
              <w:bottom w:val="single" w:sz="4" w:space="0" w:color="auto"/>
              <w:right w:val="single" w:sz="4" w:space="0" w:color="auto"/>
            </w:tcBorders>
          </w:tcPr>
          <w:p w:rsidR="00272989" w:rsidRPr="00A84A0B" w:rsidRDefault="00272989" w:rsidP="005939DA">
            <w:pPr>
              <w:jc w:val="both"/>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t>non-small cell lung cancer</w:t>
            </w:r>
          </w:p>
        </w:tc>
      </w:tr>
      <w:tr w:rsidR="00272989" w:rsidRPr="00A84A0B" w:rsidTr="00CC469D">
        <w:trPr>
          <w:cantSplit/>
          <w:trHeight w:val="360"/>
        </w:trPr>
        <w:tc>
          <w:tcPr>
            <w:tcW w:w="1985" w:type="dxa"/>
            <w:tcBorders>
              <w:top w:val="single" w:sz="4" w:space="0" w:color="auto"/>
              <w:left w:val="single" w:sz="4" w:space="0" w:color="auto"/>
              <w:bottom w:val="single" w:sz="4" w:space="0" w:color="auto"/>
              <w:right w:val="single" w:sz="4" w:space="0" w:color="auto"/>
            </w:tcBorders>
          </w:tcPr>
          <w:p w:rsidR="00272989" w:rsidRPr="00A84A0B" w:rsidRDefault="00272989" w:rsidP="005939DA">
            <w:pPr>
              <w:jc w:val="both"/>
              <w:rPr>
                <w:rFonts w:ascii="Arial Narrow" w:hAnsi="Arial Narrow" w:cs="Arial"/>
                <w:b/>
                <w:snapToGrid w:val="0"/>
                <w:sz w:val="20"/>
                <w:szCs w:val="20"/>
                <w:lang w:eastAsia="en-US"/>
              </w:rPr>
            </w:pPr>
            <w:r w:rsidRPr="00A84A0B">
              <w:rPr>
                <w:rFonts w:ascii="Arial Narrow" w:hAnsi="Arial Narrow" w:cs="Arial"/>
                <w:b/>
                <w:snapToGrid w:val="0"/>
                <w:sz w:val="20"/>
                <w:szCs w:val="20"/>
                <w:lang w:eastAsia="en-US"/>
              </w:rPr>
              <w:t>PBS Indication:</w:t>
            </w:r>
          </w:p>
        </w:tc>
        <w:tc>
          <w:tcPr>
            <w:tcW w:w="6378" w:type="dxa"/>
            <w:tcBorders>
              <w:top w:val="single" w:sz="4" w:space="0" w:color="auto"/>
              <w:left w:val="single" w:sz="4" w:space="0" w:color="auto"/>
              <w:bottom w:val="single" w:sz="4" w:space="0" w:color="auto"/>
              <w:right w:val="single" w:sz="4" w:space="0" w:color="auto"/>
            </w:tcBorders>
          </w:tcPr>
          <w:p w:rsidR="00272989" w:rsidRPr="00A84A0B" w:rsidRDefault="00272989" w:rsidP="005939DA">
            <w:pPr>
              <w:jc w:val="both"/>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t>Locally advanced or metastatic non-small cell lung cancer</w:t>
            </w:r>
          </w:p>
        </w:tc>
      </w:tr>
      <w:tr w:rsidR="00272989" w:rsidRPr="00A84A0B" w:rsidTr="00CC469D">
        <w:trPr>
          <w:cantSplit/>
          <w:trHeight w:val="360"/>
        </w:trPr>
        <w:tc>
          <w:tcPr>
            <w:tcW w:w="1985" w:type="dxa"/>
            <w:tcBorders>
              <w:top w:val="single" w:sz="4" w:space="0" w:color="auto"/>
              <w:left w:val="single" w:sz="4" w:space="0" w:color="auto"/>
              <w:bottom w:val="single" w:sz="4" w:space="0" w:color="auto"/>
              <w:right w:val="single" w:sz="4" w:space="0" w:color="auto"/>
            </w:tcBorders>
          </w:tcPr>
          <w:p w:rsidR="00272989" w:rsidRPr="00A84A0B" w:rsidRDefault="00272989" w:rsidP="005939DA">
            <w:pPr>
              <w:jc w:val="both"/>
              <w:rPr>
                <w:rFonts w:ascii="Arial Narrow" w:hAnsi="Arial Narrow" w:cs="Arial"/>
                <w:i/>
                <w:snapToGrid w:val="0"/>
                <w:sz w:val="20"/>
                <w:szCs w:val="20"/>
                <w:lang w:eastAsia="en-US"/>
              </w:rPr>
            </w:pPr>
            <w:r w:rsidRPr="00A84A0B">
              <w:rPr>
                <w:rFonts w:ascii="Arial Narrow" w:hAnsi="Arial Narrow" w:cs="Arial"/>
                <w:b/>
                <w:snapToGrid w:val="0"/>
                <w:sz w:val="20"/>
                <w:szCs w:val="20"/>
                <w:lang w:eastAsia="en-US"/>
              </w:rPr>
              <w:t>Treatment phase:</w:t>
            </w:r>
          </w:p>
        </w:tc>
        <w:tc>
          <w:tcPr>
            <w:tcW w:w="6378" w:type="dxa"/>
            <w:tcBorders>
              <w:top w:val="single" w:sz="4" w:space="0" w:color="auto"/>
              <w:left w:val="single" w:sz="4" w:space="0" w:color="auto"/>
              <w:bottom w:val="single" w:sz="4" w:space="0" w:color="auto"/>
              <w:right w:val="single" w:sz="4" w:space="0" w:color="auto"/>
            </w:tcBorders>
          </w:tcPr>
          <w:p w:rsidR="00272989" w:rsidRPr="00A84A0B" w:rsidRDefault="00272989" w:rsidP="005939DA">
            <w:pPr>
              <w:jc w:val="both"/>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t xml:space="preserve">Grandfathering treatment </w:t>
            </w:r>
          </w:p>
        </w:tc>
      </w:tr>
      <w:tr w:rsidR="00272989" w:rsidRPr="00A84A0B" w:rsidTr="00CC469D">
        <w:trPr>
          <w:cantSplit/>
          <w:trHeight w:val="360"/>
        </w:trPr>
        <w:tc>
          <w:tcPr>
            <w:tcW w:w="1985" w:type="dxa"/>
            <w:tcBorders>
              <w:top w:val="single" w:sz="4" w:space="0" w:color="auto"/>
              <w:left w:val="single" w:sz="4" w:space="0" w:color="auto"/>
              <w:bottom w:val="single" w:sz="4" w:space="0" w:color="auto"/>
              <w:right w:val="single" w:sz="4" w:space="0" w:color="auto"/>
            </w:tcBorders>
          </w:tcPr>
          <w:p w:rsidR="00272989" w:rsidRPr="00A84A0B" w:rsidRDefault="00272989" w:rsidP="005939DA">
            <w:pPr>
              <w:jc w:val="both"/>
              <w:rPr>
                <w:rFonts w:ascii="Arial Narrow" w:hAnsi="Arial Narrow" w:cs="Arial"/>
                <w:b/>
                <w:snapToGrid w:val="0"/>
                <w:sz w:val="20"/>
                <w:szCs w:val="20"/>
                <w:lang w:eastAsia="en-US"/>
              </w:rPr>
            </w:pPr>
            <w:r w:rsidRPr="00A84A0B">
              <w:rPr>
                <w:rFonts w:ascii="Arial Narrow" w:hAnsi="Arial Narrow" w:cs="Arial"/>
                <w:b/>
                <w:snapToGrid w:val="0"/>
                <w:sz w:val="20"/>
                <w:szCs w:val="20"/>
                <w:lang w:eastAsia="en-US"/>
              </w:rPr>
              <w:t>Restriction Level / Method:</w:t>
            </w:r>
          </w:p>
        </w:tc>
        <w:tc>
          <w:tcPr>
            <w:tcW w:w="6378" w:type="dxa"/>
            <w:tcBorders>
              <w:top w:val="single" w:sz="4" w:space="0" w:color="auto"/>
              <w:left w:val="single" w:sz="4" w:space="0" w:color="auto"/>
              <w:bottom w:val="single" w:sz="4" w:space="0" w:color="auto"/>
              <w:right w:val="single" w:sz="4" w:space="0" w:color="auto"/>
            </w:tcBorders>
          </w:tcPr>
          <w:p w:rsidR="00272989" w:rsidRPr="00A84A0B" w:rsidRDefault="00272989" w:rsidP="005939DA">
            <w:pPr>
              <w:jc w:val="both"/>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fldChar w:fldCharType="begin">
                <w:ffData>
                  <w:name w:val="Check1"/>
                  <w:enabled/>
                  <w:calcOnExit w:val="0"/>
                  <w:checkBox>
                    <w:sizeAuto/>
                    <w:default w:val="0"/>
                  </w:checkBox>
                </w:ffData>
              </w:fldChar>
            </w:r>
            <w:r w:rsidRPr="00A84A0B">
              <w:rPr>
                <w:rFonts w:ascii="Arial Narrow" w:hAnsi="Arial Narrow" w:cs="Arial"/>
                <w:snapToGrid w:val="0"/>
                <w:sz w:val="20"/>
                <w:szCs w:val="20"/>
                <w:lang w:eastAsia="en-US"/>
              </w:rPr>
              <w:instrText xml:space="preserve"> FORMCHECKBOX </w:instrText>
            </w:r>
            <w:r w:rsidR="006F2FE9">
              <w:rPr>
                <w:rFonts w:ascii="Arial Narrow" w:hAnsi="Arial Narrow" w:cs="Arial"/>
                <w:snapToGrid w:val="0"/>
                <w:sz w:val="20"/>
                <w:szCs w:val="20"/>
                <w:lang w:eastAsia="en-US"/>
              </w:rPr>
            </w:r>
            <w:r w:rsidR="006F2FE9">
              <w:rPr>
                <w:rFonts w:ascii="Arial Narrow" w:hAnsi="Arial Narrow" w:cs="Arial"/>
                <w:snapToGrid w:val="0"/>
                <w:sz w:val="20"/>
                <w:szCs w:val="20"/>
                <w:lang w:eastAsia="en-US"/>
              </w:rPr>
              <w:fldChar w:fldCharType="separate"/>
            </w:r>
            <w:r w:rsidRPr="00A84A0B">
              <w:rPr>
                <w:rFonts w:ascii="Arial Narrow" w:hAnsi="Arial Narrow" w:cs="Arial"/>
                <w:snapToGrid w:val="0"/>
                <w:sz w:val="20"/>
                <w:szCs w:val="20"/>
                <w:lang w:eastAsia="en-US"/>
              </w:rPr>
              <w:fldChar w:fldCharType="end"/>
            </w:r>
            <w:r w:rsidRPr="00A84A0B">
              <w:rPr>
                <w:rFonts w:ascii="Arial Narrow" w:hAnsi="Arial Narrow" w:cs="Arial"/>
                <w:snapToGrid w:val="0"/>
                <w:sz w:val="20"/>
                <w:szCs w:val="20"/>
                <w:lang w:eastAsia="en-US"/>
              </w:rPr>
              <w:t>Restricted benefit</w:t>
            </w:r>
          </w:p>
          <w:p w:rsidR="00272989" w:rsidRPr="00A84A0B" w:rsidRDefault="00272989" w:rsidP="005939DA">
            <w:pPr>
              <w:jc w:val="both"/>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fldChar w:fldCharType="begin">
                <w:ffData>
                  <w:name w:val=""/>
                  <w:enabled/>
                  <w:calcOnExit w:val="0"/>
                  <w:checkBox>
                    <w:sizeAuto/>
                    <w:default w:val="0"/>
                  </w:checkBox>
                </w:ffData>
              </w:fldChar>
            </w:r>
            <w:r w:rsidRPr="00A84A0B">
              <w:rPr>
                <w:rFonts w:ascii="Arial Narrow" w:hAnsi="Arial Narrow" w:cs="Arial"/>
                <w:snapToGrid w:val="0"/>
                <w:sz w:val="20"/>
                <w:szCs w:val="20"/>
                <w:lang w:eastAsia="en-US"/>
              </w:rPr>
              <w:instrText xml:space="preserve"> FORMCHECKBOX </w:instrText>
            </w:r>
            <w:r w:rsidR="006F2FE9">
              <w:rPr>
                <w:rFonts w:ascii="Arial Narrow" w:hAnsi="Arial Narrow" w:cs="Arial"/>
                <w:snapToGrid w:val="0"/>
                <w:sz w:val="20"/>
                <w:szCs w:val="20"/>
                <w:lang w:eastAsia="en-US"/>
              </w:rPr>
            </w:r>
            <w:r w:rsidR="006F2FE9">
              <w:rPr>
                <w:rFonts w:ascii="Arial Narrow" w:hAnsi="Arial Narrow" w:cs="Arial"/>
                <w:snapToGrid w:val="0"/>
                <w:sz w:val="20"/>
                <w:szCs w:val="20"/>
                <w:lang w:eastAsia="en-US"/>
              </w:rPr>
              <w:fldChar w:fldCharType="separate"/>
            </w:r>
            <w:r w:rsidRPr="00A84A0B">
              <w:rPr>
                <w:rFonts w:ascii="Arial Narrow" w:hAnsi="Arial Narrow" w:cs="Arial"/>
                <w:snapToGrid w:val="0"/>
                <w:sz w:val="20"/>
                <w:szCs w:val="20"/>
                <w:lang w:eastAsia="en-US"/>
              </w:rPr>
              <w:fldChar w:fldCharType="end"/>
            </w:r>
            <w:r w:rsidRPr="00A84A0B">
              <w:rPr>
                <w:rFonts w:ascii="Arial Narrow" w:hAnsi="Arial Narrow" w:cs="Arial"/>
                <w:snapToGrid w:val="0"/>
                <w:sz w:val="20"/>
                <w:szCs w:val="20"/>
                <w:lang w:eastAsia="en-US"/>
              </w:rPr>
              <w:t>Authority Required - In Writing</w:t>
            </w:r>
          </w:p>
          <w:p w:rsidR="00272989" w:rsidRPr="00A84A0B" w:rsidRDefault="00272989" w:rsidP="005939DA">
            <w:pPr>
              <w:jc w:val="both"/>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fldChar w:fldCharType="begin">
                <w:ffData>
                  <w:name w:val="Check3"/>
                  <w:enabled/>
                  <w:calcOnExit w:val="0"/>
                  <w:checkBox>
                    <w:sizeAuto/>
                    <w:default w:val="0"/>
                  </w:checkBox>
                </w:ffData>
              </w:fldChar>
            </w:r>
            <w:r w:rsidRPr="00A84A0B">
              <w:rPr>
                <w:rFonts w:ascii="Arial Narrow" w:hAnsi="Arial Narrow" w:cs="Arial"/>
                <w:snapToGrid w:val="0"/>
                <w:sz w:val="20"/>
                <w:szCs w:val="20"/>
                <w:lang w:eastAsia="en-US"/>
              </w:rPr>
              <w:instrText xml:space="preserve"> FORMCHECKBOX </w:instrText>
            </w:r>
            <w:r w:rsidR="006F2FE9">
              <w:rPr>
                <w:rFonts w:ascii="Arial Narrow" w:hAnsi="Arial Narrow" w:cs="Arial"/>
                <w:snapToGrid w:val="0"/>
                <w:sz w:val="20"/>
                <w:szCs w:val="20"/>
                <w:lang w:eastAsia="en-US"/>
              </w:rPr>
            </w:r>
            <w:r w:rsidR="006F2FE9">
              <w:rPr>
                <w:rFonts w:ascii="Arial Narrow" w:hAnsi="Arial Narrow" w:cs="Arial"/>
                <w:snapToGrid w:val="0"/>
                <w:sz w:val="20"/>
                <w:szCs w:val="20"/>
                <w:lang w:eastAsia="en-US"/>
              </w:rPr>
              <w:fldChar w:fldCharType="separate"/>
            </w:r>
            <w:r w:rsidRPr="00A84A0B">
              <w:rPr>
                <w:rFonts w:ascii="Arial Narrow" w:hAnsi="Arial Narrow" w:cs="Arial"/>
                <w:snapToGrid w:val="0"/>
                <w:sz w:val="20"/>
                <w:szCs w:val="20"/>
                <w:lang w:eastAsia="en-US"/>
              </w:rPr>
              <w:fldChar w:fldCharType="end"/>
            </w:r>
            <w:r w:rsidRPr="00A84A0B">
              <w:rPr>
                <w:rFonts w:ascii="Arial Narrow" w:hAnsi="Arial Narrow" w:cs="Arial"/>
                <w:snapToGrid w:val="0"/>
                <w:sz w:val="20"/>
                <w:szCs w:val="20"/>
                <w:lang w:eastAsia="en-US"/>
              </w:rPr>
              <w:t>Authority Required - Telephone</w:t>
            </w:r>
          </w:p>
          <w:p w:rsidR="00272989" w:rsidRPr="00A84A0B" w:rsidRDefault="00272989" w:rsidP="005939DA">
            <w:pPr>
              <w:jc w:val="both"/>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fldChar w:fldCharType="begin">
                <w:ffData>
                  <w:name w:val=""/>
                  <w:enabled/>
                  <w:calcOnExit w:val="0"/>
                  <w:checkBox>
                    <w:sizeAuto/>
                    <w:default w:val="0"/>
                  </w:checkBox>
                </w:ffData>
              </w:fldChar>
            </w:r>
            <w:r w:rsidRPr="00A84A0B">
              <w:rPr>
                <w:rFonts w:ascii="Arial Narrow" w:hAnsi="Arial Narrow" w:cs="Arial"/>
                <w:snapToGrid w:val="0"/>
                <w:sz w:val="20"/>
                <w:szCs w:val="20"/>
                <w:lang w:eastAsia="en-US"/>
              </w:rPr>
              <w:instrText xml:space="preserve"> FORMCHECKBOX </w:instrText>
            </w:r>
            <w:r w:rsidR="006F2FE9">
              <w:rPr>
                <w:rFonts w:ascii="Arial Narrow" w:hAnsi="Arial Narrow" w:cs="Arial"/>
                <w:snapToGrid w:val="0"/>
                <w:sz w:val="20"/>
                <w:szCs w:val="20"/>
                <w:lang w:eastAsia="en-US"/>
              </w:rPr>
            </w:r>
            <w:r w:rsidR="006F2FE9">
              <w:rPr>
                <w:rFonts w:ascii="Arial Narrow" w:hAnsi="Arial Narrow" w:cs="Arial"/>
                <w:snapToGrid w:val="0"/>
                <w:sz w:val="20"/>
                <w:szCs w:val="20"/>
                <w:lang w:eastAsia="en-US"/>
              </w:rPr>
              <w:fldChar w:fldCharType="separate"/>
            </w:r>
            <w:r w:rsidRPr="00A84A0B">
              <w:rPr>
                <w:rFonts w:ascii="Arial Narrow" w:hAnsi="Arial Narrow" w:cs="Arial"/>
                <w:snapToGrid w:val="0"/>
                <w:sz w:val="20"/>
                <w:szCs w:val="20"/>
                <w:lang w:eastAsia="en-US"/>
              </w:rPr>
              <w:fldChar w:fldCharType="end"/>
            </w:r>
            <w:r w:rsidRPr="00A84A0B">
              <w:rPr>
                <w:rFonts w:ascii="Arial Narrow" w:hAnsi="Arial Narrow" w:cs="Arial"/>
                <w:snapToGrid w:val="0"/>
                <w:sz w:val="20"/>
                <w:szCs w:val="20"/>
                <w:lang w:eastAsia="en-US"/>
              </w:rPr>
              <w:t>Authority Required - Emergency</w:t>
            </w:r>
          </w:p>
          <w:p w:rsidR="00272989" w:rsidRPr="00A84A0B" w:rsidRDefault="00272989" w:rsidP="005939DA">
            <w:pPr>
              <w:jc w:val="both"/>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fldChar w:fldCharType="begin">
                <w:ffData>
                  <w:name w:val="Check5"/>
                  <w:enabled/>
                  <w:calcOnExit w:val="0"/>
                  <w:checkBox>
                    <w:sizeAuto/>
                    <w:default w:val="0"/>
                  </w:checkBox>
                </w:ffData>
              </w:fldChar>
            </w:r>
            <w:r w:rsidRPr="00A84A0B">
              <w:rPr>
                <w:rFonts w:ascii="Arial Narrow" w:hAnsi="Arial Narrow" w:cs="Arial"/>
                <w:snapToGrid w:val="0"/>
                <w:sz w:val="20"/>
                <w:szCs w:val="20"/>
                <w:lang w:eastAsia="en-US"/>
              </w:rPr>
              <w:instrText xml:space="preserve"> FORMCHECKBOX </w:instrText>
            </w:r>
            <w:r w:rsidR="006F2FE9">
              <w:rPr>
                <w:rFonts w:ascii="Arial Narrow" w:hAnsi="Arial Narrow" w:cs="Arial"/>
                <w:snapToGrid w:val="0"/>
                <w:sz w:val="20"/>
                <w:szCs w:val="20"/>
                <w:lang w:eastAsia="en-US"/>
              </w:rPr>
            </w:r>
            <w:r w:rsidR="006F2FE9">
              <w:rPr>
                <w:rFonts w:ascii="Arial Narrow" w:hAnsi="Arial Narrow" w:cs="Arial"/>
                <w:snapToGrid w:val="0"/>
                <w:sz w:val="20"/>
                <w:szCs w:val="20"/>
                <w:lang w:eastAsia="en-US"/>
              </w:rPr>
              <w:fldChar w:fldCharType="separate"/>
            </w:r>
            <w:r w:rsidRPr="00A84A0B">
              <w:rPr>
                <w:rFonts w:ascii="Arial Narrow" w:hAnsi="Arial Narrow" w:cs="Arial"/>
                <w:snapToGrid w:val="0"/>
                <w:sz w:val="20"/>
                <w:szCs w:val="20"/>
                <w:lang w:eastAsia="en-US"/>
              </w:rPr>
              <w:fldChar w:fldCharType="end"/>
            </w:r>
            <w:r w:rsidRPr="00A84A0B">
              <w:rPr>
                <w:rFonts w:ascii="Arial Narrow" w:hAnsi="Arial Narrow" w:cs="Arial"/>
                <w:snapToGrid w:val="0"/>
                <w:sz w:val="20"/>
                <w:szCs w:val="20"/>
                <w:lang w:eastAsia="en-US"/>
              </w:rPr>
              <w:t>Authority Required - Electronic</w:t>
            </w:r>
          </w:p>
          <w:p w:rsidR="00272989" w:rsidRPr="00A84A0B" w:rsidRDefault="00272989" w:rsidP="005939DA">
            <w:pPr>
              <w:jc w:val="both"/>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fldChar w:fldCharType="begin">
                <w:ffData>
                  <w:name w:val="Check5"/>
                  <w:enabled/>
                  <w:calcOnExit w:val="0"/>
                  <w:checkBox>
                    <w:sizeAuto/>
                    <w:default w:val="1"/>
                  </w:checkBox>
                </w:ffData>
              </w:fldChar>
            </w:r>
            <w:r w:rsidRPr="00A84A0B">
              <w:rPr>
                <w:rFonts w:ascii="Arial Narrow" w:hAnsi="Arial Narrow" w:cs="Arial"/>
                <w:snapToGrid w:val="0"/>
                <w:sz w:val="20"/>
                <w:szCs w:val="20"/>
                <w:lang w:eastAsia="en-US"/>
              </w:rPr>
              <w:instrText xml:space="preserve"> FORMCHECKBOX </w:instrText>
            </w:r>
            <w:r w:rsidR="006F2FE9">
              <w:rPr>
                <w:rFonts w:ascii="Arial Narrow" w:hAnsi="Arial Narrow" w:cs="Arial"/>
                <w:snapToGrid w:val="0"/>
                <w:sz w:val="20"/>
                <w:szCs w:val="20"/>
                <w:lang w:eastAsia="en-US"/>
              </w:rPr>
            </w:r>
            <w:r w:rsidR="006F2FE9">
              <w:rPr>
                <w:rFonts w:ascii="Arial Narrow" w:hAnsi="Arial Narrow" w:cs="Arial"/>
                <w:snapToGrid w:val="0"/>
                <w:sz w:val="20"/>
                <w:szCs w:val="20"/>
                <w:lang w:eastAsia="en-US"/>
              </w:rPr>
              <w:fldChar w:fldCharType="separate"/>
            </w:r>
            <w:r w:rsidRPr="00A84A0B">
              <w:rPr>
                <w:rFonts w:ascii="Arial Narrow" w:hAnsi="Arial Narrow" w:cs="Arial"/>
                <w:snapToGrid w:val="0"/>
                <w:sz w:val="20"/>
                <w:szCs w:val="20"/>
                <w:lang w:eastAsia="en-US"/>
              </w:rPr>
              <w:fldChar w:fldCharType="end"/>
            </w:r>
            <w:r w:rsidRPr="00A84A0B">
              <w:rPr>
                <w:rFonts w:ascii="Arial Narrow" w:hAnsi="Arial Narrow" w:cs="Arial"/>
                <w:snapToGrid w:val="0"/>
                <w:sz w:val="20"/>
                <w:szCs w:val="20"/>
                <w:lang w:eastAsia="en-US"/>
              </w:rPr>
              <w:t>Streamlined</w:t>
            </w:r>
          </w:p>
        </w:tc>
      </w:tr>
      <w:tr w:rsidR="00272989" w:rsidRPr="00A84A0B" w:rsidTr="00CC469D">
        <w:trPr>
          <w:cantSplit/>
          <w:trHeight w:val="360"/>
        </w:trPr>
        <w:tc>
          <w:tcPr>
            <w:tcW w:w="1985" w:type="dxa"/>
            <w:tcBorders>
              <w:top w:val="single" w:sz="4" w:space="0" w:color="auto"/>
              <w:left w:val="single" w:sz="4" w:space="0" w:color="auto"/>
              <w:bottom w:val="single" w:sz="4" w:space="0" w:color="auto"/>
              <w:right w:val="single" w:sz="4" w:space="0" w:color="auto"/>
            </w:tcBorders>
          </w:tcPr>
          <w:p w:rsidR="00272989" w:rsidRPr="00A84A0B" w:rsidRDefault="00272989" w:rsidP="005939DA">
            <w:pPr>
              <w:jc w:val="both"/>
              <w:rPr>
                <w:rFonts w:ascii="Arial Narrow" w:hAnsi="Arial Narrow" w:cs="Arial"/>
                <w:b/>
                <w:snapToGrid w:val="0"/>
                <w:sz w:val="20"/>
                <w:szCs w:val="20"/>
                <w:lang w:eastAsia="en-US"/>
              </w:rPr>
            </w:pPr>
            <w:r w:rsidRPr="00A84A0B">
              <w:rPr>
                <w:rFonts w:ascii="Arial Narrow" w:hAnsi="Arial Narrow" w:cs="Arial"/>
                <w:b/>
                <w:snapToGrid w:val="0"/>
                <w:sz w:val="20"/>
                <w:szCs w:val="20"/>
                <w:lang w:eastAsia="en-US"/>
              </w:rPr>
              <w:t>Clinical criteria:</w:t>
            </w:r>
          </w:p>
        </w:tc>
        <w:tc>
          <w:tcPr>
            <w:tcW w:w="6378" w:type="dxa"/>
            <w:tcBorders>
              <w:top w:val="single" w:sz="4" w:space="0" w:color="auto"/>
              <w:left w:val="single" w:sz="4" w:space="0" w:color="auto"/>
              <w:bottom w:val="single" w:sz="4" w:space="0" w:color="auto"/>
              <w:right w:val="single" w:sz="4" w:space="0" w:color="auto"/>
            </w:tcBorders>
          </w:tcPr>
          <w:p w:rsidR="00272989" w:rsidRPr="00A84A0B" w:rsidRDefault="00272989" w:rsidP="005939DA">
            <w:pPr>
              <w:jc w:val="both"/>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t xml:space="preserve">Patient must have received treatment with </w:t>
            </w:r>
            <w:r>
              <w:rPr>
                <w:rFonts w:ascii="Arial Narrow" w:hAnsi="Arial Narrow" w:cs="Arial"/>
                <w:snapToGrid w:val="0"/>
                <w:sz w:val="20"/>
                <w:szCs w:val="20"/>
                <w:lang w:eastAsia="en-US"/>
              </w:rPr>
              <w:t xml:space="preserve">this drug </w:t>
            </w:r>
            <w:r w:rsidRPr="00A84A0B">
              <w:rPr>
                <w:rFonts w:ascii="Arial Narrow" w:hAnsi="Arial Narrow" w:cs="Arial"/>
                <w:snapToGrid w:val="0"/>
                <w:sz w:val="20"/>
                <w:szCs w:val="20"/>
                <w:lang w:eastAsia="en-US"/>
              </w:rPr>
              <w:t>for this condition prior to &lt;listing date&gt;</w:t>
            </w:r>
          </w:p>
          <w:p w:rsidR="00272989" w:rsidRPr="00A84A0B" w:rsidRDefault="00272989" w:rsidP="005939DA">
            <w:pPr>
              <w:jc w:val="both"/>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t>AND</w:t>
            </w:r>
          </w:p>
          <w:p w:rsidR="00272989" w:rsidRPr="00A84A0B" w:rsidRDefault="00272989" w:rsidP="005939DA">
            <w:pPr>
              <w:jc w:val="both"/>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t>The treatment must be the sole PBS-subsidised t</w:t>
            </w:r>
            <w:r>
              <w:rPr>
                <w:rFonts w:ascii="Arial Narrow" w:hAnsi="Arial Narrow" w:cs="Arial"/>
                <w:snapToGrid w:val="0"/>
                <w:sz w:val="20"/>
                <w:szCs w:val="20"/>
                <w:lang w:eastAsia="en-US"/>
              </w:rPr>
              <w:t>reatment</w:t>
            </w:r>
            <w:r w:rsidRPr="00A84A0B">
              <w:rPr>
                <w:rFonts w:ascii="Arial Narrow" w:hAnsi="Arial Narrow" w:cs="Arial"/>
                <w:snapToGrid w:val="0"/>
                <w:sz w:val="20"/>
                <w:szCs w:val="20"/>
                <w:lang w:eastAsia="en-US"/>
              </w:rPr>
              <w:t xml:space="preserve"> for this condition</w:t>
            </w:r>
          </w:p>
          <w:p w:rsidR="00272989" w:rsidRDefault="00272989" w:rsidP="005939DA">
            <w:pPr>
              <w:jc w:val="both"/>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t>AND</w:t>
            </w:r>
          </w:p>
          <w:p w:rsidR="00272989" w:rsidRPr="00A84A0B" w:rsidRDefault="00272989" w:rsidP="005939DA">
            <w:pPr>
              <w:jc w:val="both"/>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t>Patient must have stable or responding disease</w:t>
            </w:r>
          </w:p>
          <w:p w:rsidR="00272989" w:rsidRPr="00A84A0B" w:rsidRDefault="00272989" w:rsidP="005939DA">
            <w:pPr>
              <w:jc w:val="both"/>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t>AND</w:t>
            </w:r>
          </w:p>
          <w:p w:rsidR="00272989" w:rsidRPr="00A84A0B" w:rsidRDefault="00272989" w:rsidP="005939DA">
            <w:pPr>
              <w:jc w:val="both"/>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t>Patient must have a WHO performance status of 0 or 1</w:t>
            </w:r>
          </w:p>
        </w:tc>
      </w:tr>
      <w:tr w:rsidR="00272989" w:rsidRPr="00A84A0B" w:rsidTr="00CC469D">
        <w:trPr>
          <w:cantSplit/>
          <w:trHeight w:val="360"/>
        </w:trPr>
        <w:tc>
          <w:tcPr>
            <w:tcW w:w="1985" w:type="dxa"/>
            <w:tcBorders>
              <w:top w:val="single" w:sz="4" w:space="0" w:color="auto"/>
              <w:left w:val="single" w:sz="4" w:space="0" w:color="auto"/>
              <w:bottom w:val="single" w:sz="4" w:space="0" w:color="auto"/>
              <w:right w:val="single" w:sz="4" w:space="0" w:color="auto"/>
            </w:tcBorders>
          </w:tcPr>
          <w:p w:rsidR="00272989" w:rsidRPr="000063D5" w:rsidRDefault="00272989" w:rsidP="005939DA">
            <w:pPr>
              <w:jc w:val="both"/>
              <w:rPr>
                <w:rFonts w:ascii="Arial Narrow" w:hAnsi="Arial Narrow" w:cs="Arial"/>
                <w:b/>
                <w:snapToGrid w:val="0"/>
                <w:sz w:val="20"/>
                <w:szCs w:val="20"/>
                <w:lang w:eastAsia="en-US"/>
              </w:rPr>
            </w:pPr>
            <w:r w:rsidRPr="000063D5">
              <w:rPr>
                <w:rFonts w:ascii="Arial Narrow" w:hAnsi="Arial Narrow" w:cs="Arial"/>
                <w:b/>
                <w:snapToGrid w:val="0"/>
                <w:sz w:val="20"/>
                <w:szCs w:val="20"/>
                <w:lang w:eastAsia="en-US"/>
              </w:rPr>
              <w:t>Prescriber Instructions</w:t>
            </w:r>
          </w:p>
        </w:tc>
        <w:tc>
          <w:tcPr>
            <w:tcW w:w="6378" w:type="dxa"/>
            <w:tcBorders>
              <w:top w:val="single" w:sz="4" w:space="0" w:color="auto"/>
              <w:left w:val="single" w:sz="4" w:space="0" w:color="auto"/>
              <w:bottom w:val="single" w:sz="4" w:space="0" w:color="auto"/>
              <w:right w:val="single" w:sz="4" w:space="0" w:color="auto"/>
            </w:tcBorders>
          </w:tcPr>
          <w:p w:rsidR="00272989" w:rsidRPr="00A84A0B" w:rsidRDefault="00272989" w:rsidP="005939DA">
            <w:pPr>
              <w:jc w:val="both"/>
              <w:rPr>
                <w:rFonts w:ascii="Arial Narrow" w:hAnsi="Arial Narrow" w:cs="Arial"/>
                <w:snapToGrid w:val="0"/>
                <w:sz w:val="20"/>
                <w:szCs w:val="20"/>
                <w:lang w:eastAsia="en-US"/>
              </w:rPr>
            </w:pPr>
            <w:r>
              <w:rPr>
                <w:rFonts w:ascii="Arial Narrow" w:hAnsi="Arial Narrow" w:cs="Arial"/>
                <w:snapToGrid w:val="0"/>
                <w:sz w:val="20"/>
                <w:szCs w:val="20"/>
                <w:lang w:eastAsia="en-US"/>
              </w:rPr>
              <w:t>A p</w:t>
            </w:r>
            <w:r w:rsidRPr="007010F4">
              <w:rPr>
                <w:rFonts w:ascii="Arial Narrow" w:hAnsi="Arial Narrow" w:cs="Arial"/>
                <w:snapToGrid w:val="0"/>
                <w:sz w:val="20"/>
                <w:szCs w:val="20"/>
                <w:lang w:eastAsia="en-US"/>
              </w:rPr>
              <w:t>atient may qualify for PBS-subsidised treatment under this restriction once only. For continuing PBS-subsidised treatment, a Grandfathered patient must qualify under the Continuing treatment criteria.</w:t>
            </w:r>
          </w:p>
        </w:tc>
      </w:tr>
      <w:tr w:rsidR="00272989" w:rsidRPr="00A84A0B" w:rsidTr="00CC469D">
        <w:trPr>
          <w:cantSplit/>
          <w:trHeight w:val="360"/>
        </w:trPr>
        <w:tc>
          <w:tcPr>
            <w:tcW w:w="1985" w:type="dxa"/>
            <w:tcBorders>
              <w:top w:val="single" w:sz="4" w:space="0" w:color="auto"/>
              <w:left w:val="single" w:sz="4" w:space="0" w:color="auto"/>
              <w:bottom w:val="single" w:sz="4" w:space="0" w:color="auto"/>
              <w:right w:val="single" w:sz="4" w:space="0" w:color="auto"/>
            </w:tcBorders>
          </w:tcPr>
          <w:p w:rsidR="00272989" w:rsidRPr="00A84A0B" w:rsidRDefault="00272989" w:rsidP="005939DA">
            <w:pPr>
              <w:jc w:val="both"/>
              <w:rPr>
                <w:rFonts w:ascii="Arial Narrow" w:hAnsi="Arial Narrow" w:cs="Arial"/>
                <w:i/>
                <w:snapToGrid w:val="0"/>
                <w:sz w:val="20"/>
                <w:szCs w:val="20"/>
                <w:lang w:eastAsia="en-US"/>
              </w:rPr>
            </w:pPr>
            <w:r w:rsidRPr="00A84A0B">
              <w:rPr>
                <w:rFonts w:ascii="Arial Narrow" w:hAnsi="Arial Narrow" w:cs="Arial"/>
                <w:b/>
                <w:snapToGrid w:val="0"/>
                <w:sz w:val="20"/>
                <w:szCs w:val="20"/>
                <w:lang w:eastAsia="en-US"/>
              </w:rPr>
              <w:t>Administrative Advice:</w:t>
            </w:r>
          </w:p>
        </w:tc>
        <w:tc>
          <w:tcPr>
            <w:tcW w:w="6378" w:type="dxa"/>
            <w:tcBorders>
              <w:top w:val="single" w:sz="4" w:space="0" w:color="auto"/>
              <w:left w:val="single" w:sz="4" w:space="0" w:color="auto"/>
              <w:bottom w:val="single" w:sz="4" w:space="0" w:color="auto"/>
              <w:right w:val="single" w:sz="4" w:space="0" w:color="auto"/>
            </w:tcBorders>
          </w:tcPr>
          <w:p w:rsidR="00272989" w:rsidRPr="00A84A0B" w:rsidRDefault="00272989" w:rsidP="005939DA">
            <w:pPr>
              <w:jc w:val="both"/>
              <w:rPr>
                <w:rFonts w:ascii="Arial Narrow" w:hAnsi="Arial Narrow" w:cs="Arial"/>
                <w:snapToGrid w:val="0"/>
                <w:sz w:val="20"/>
                <w:szCs w:val="20"/>
                <w:lang w:eastAsia="en-US"/>
              </w:rPr>
            </w:pPr>
            <w:r w:rsidRPr="00A84A0B">
              <w:rPr>
                <w:rFonts w:ascii="Arial Narrow" w:hAnsi="Arial Narrow" w:cs="Arial"/>
                <w:snapToGrid w:val="0"/>
                <w:sz w:val="20"/>
                <w:szCs w:val="20"/>
                <w:lang w:eastAsia="en-US"/>
              </w:rPr>
              <w:t>No increase in the maximum number of repeats may be authorised.</w:t>
            </w:r>
          </w:p>
          <w:p w:rsidR="00272989" w:rsidRPr="00A84A0B" w:rsidRDefault="00272989" w:rsidP="005939DA">
            <w:pPr>
              <w:jc w:val="both"/>
              <w:rPr>
                <w:rFonts w:ascii="Arial Narrow" w:hAnsi="Arial Narrow" w:cs="Arial"/>
                <w:snapToGrid w:val="0"/>
                <w:sz w:val="20"/>
                <w:szCs w:val="20"/>
                <w:lang w:eastAsia="en-US"/>
              </w:rPr>
            </w:pPr>
          </w:p>
          <w:p w:rsidR="00272989" w:rsidRPr="00A84A0B" w:rsidRDefault="00272989" w:rsidP="005939DA">
            <w:pPr>
              <w:jc w:val="both"/>
              <w:rPr>
                <w:rFonts w:ascii="Arial Narrow" w:hAnsi="Arial Narrow" w:cs="Arial"/>
                <w:strike/>
                <w:snapToGrid w:val="0"/>
                <w:sz w:val="20"/>
                <w:szCs w:val="20"/>
                <w:lang w:eastAsia="en-US"/>
              </w:rPr>
            </w:pPr>
            <w:r w:rsidRPr="00A84A0B">
              <w:rPr>
                <w:rFonts w:ascii="Arial Narrow" w:hAnsi="Arial Narrow" w:cs="Arial"/>
                <w:snapToGrid w:val="0"/>
                <w:sz w:val="20"/>
                <w:szCs w:val="20"/>
                <w:lang w:eastAsia="en-US"/>
              </w:rPr>
              <w:t>Special Pricing Arrangements apply.</w:t>
            </w:r>
          </w:p>
        </w:tc>
      </w:tr>
    </w:tbl>
    <w:p w:rsidR="00460843" w:rsidRDefault="00460843" w:rsidP="005939DA">
      <w:pPr>
        <w:rPr>
          <w:rFonts w:ascii="Arial" w:hAnsi="Arial" w:cs="Arial"/>
          <w:sz w:val="22"/>
          <w:szCs w:val="22"/>
        </w:rPr>
      </w:pPr>
    </w:p>
    <w:p w:rsidR="005939DA" w:rsidRDefault="005939DA" w:rsidP="005939DA">
      <w:pPr>
        <w:rPr>
          <w:rFonts w:ascii="Arial" w:hAnsi="Arial" w:cs="Arial"/>
          <w:sz w:val="22"/>
          <w:szCs w:val="22"/>
        </w:rPr>
      </w:pPr>
    </w:p>
    <w:p w:rsidR="0096359A" w:rsidRPr="00B0280B" w:rsidRDefault="0096359A" w:rsidP="005939DA">
      <w:pPr>
        <w:pStyle w:val="PBACHeading1"/>
        <w:ind w:left="709" w:hanging="709"/>
      </w:pPr>
      <w:r w:rsidRPr="00485DD3">
        <w:t>Context for Decision</w:t>
      </w:r>
    </w:p>
    <w:p w:rsidR="0096359A" w:rsidRDefault="0096359A" w:rsidP="005939DA">
      <w:pPr>
        <w:ind w:left="426"/>
        <w:jc w:val="both"/>
        <w:rPr>
          <w:rFonts w:ascii="Arial" w:hAnsi="Arial" w:cs="Arial"/>
          <w:sz w:val="22"/>
        </w:rPr>
      </w:pPr>
    </w:p>
    <w:p w:rsidR="005939DA" w:rsidRDefault="0096359A" w:rsidP="005939DA">
      <w:pPr>
        <w:jc w:val="both"/>
        <w:rPr>
          <w:rFonts w:ascii="Arial" w:hAnsi="Arial" w:cs="Arial"/>
          <w:sz w:val="22"/>
        </w:rPr>
      </w:pPr>
      <w:r w:rsidRPr="004304F6">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810CD9" w:rsidRDefault="00810CD9" w:rsidP="005939DA">
      <w:pPr>
        <w:jc w:val="both"/>
        <w:rPr>
          <w:rFonts w:ascii="Arial" w:hAnsi="Arial" w:cs="Arial"/>
          <w:sz w:val="22"/>
        </w:rPr>
      </w:pPr>
    </w:p>
    <w:p w:rsidR="00810CD9" w:rsidRDefault="00810CD9" w:rsidP="005939DA">
      <w:pPr>
        <w:jc w:val="both"/>
        <w:rPr>
          <w:rFonts w:ascii="Arial" w:hAnsi="Arial" w:cs="Arial"/>
          <w:sz w:val="22"/>
        </w:rPr>
      </w:pPr>
    </w:p>
    <w:p w:rsidR="0096359A" w:rsidRPr="00B0280B" w:rsidRDefault="0096359A" w:rsidP="005939DA">
      <w:pPr>
        <w:pStyle w:val="PBACHeading1"/>
        <w:ind w:left="709" w:hanging="709"/>
      </w:pPr>
      <w:r w:rsidRPr="00485DD3">
        <w:t>Sponsor’s Comment</w:t>
      </w:r>
    </w:p>
    <w:p w:rsidR="0096359A" w:rsidRDefault="0096359A" w:rsidP="005939DA">
      <w:pPr>
        <w:ind w:left="426"/>
        <w:jc w:val="both"/>
        <w:rPr>
          <w:rFonts w:ascii="Arial" w:hAnsi="Arial" w:cs="Arial"/>
          <w:bCs/>
          <w:sz w:val="22"/>
          <w:highlight w:val="yellow"/>
          <w:lang w:val="en-GB"/>
        </w:rPr>
      </w:pPr>
    </w:p>
    <w:p w:rsidR="0096359A" w:rsidRPr="00A84A0B" w:rsidRDefault="00770FE6" w:rsidP="005939DA">
      <w:pPr>
        <w:jc w:val="both"/>
        <w:rPr>
          <w:rFonts w:ascii="Arial" w:hAnsi="Arial" w:cs="Arial"/>
          <w:sz w:val="22"/>
          <w:szCs w:val="22"/>
        </w:rPr>
      </w:pPr>
      <w:r w:rsidRPr="002723E6">
        <w:rPr>
          <w:rFonts w:ascii="Arial" w:hAnsi="Arial" w:cs="Arial"/>
          <w:sz w:val="22"/>
          <w:szCs w:val="22"/>
        </w:rPr>
        <w:t>The sponsor acknowledges the collaborative work of all stakeholders pre and post the positive PBAC recommendation and looks forward to eligible Australian patients being able to access nivolumab via the PBS in the near future.</w:t>
      </w:r>
    </w:p>
    <w:sectPr w:rsidR="0096359A" w:rsidRPr="00A84A0B" w:rsidSect="00C27B58">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12B8E6D" w15:done="0"/>
  <w15:commentEx w15:paraId="1981B6CC" w15:done="0"/>
  <w15:commentEx w15:paraId="5D175968" w15:done="0"/>
  <w15:commentEx w15:paraId="12F7F8A8" w15:done="0"/>
  <w15:commentEx w15:paraId="547BC400" w15:done="0"/>
  <w15:commentEx w15:paraId="54ECB10F" w15:done="0"/>
  <w15:commentEx w15:paraId="749A2FCE" w15:done="0"/>
  <w15:commentEx w15:paraId="56C0352D" w15:done="0"/>
  <w15:commentEx w15:paraId="3784FD16" w15:done="0"/>
  <w15:commentEx w15:paraId="6E763D94" w15:done="0"/>
  <w15:commentEx w15:paraId="4350E0E2" w15:done="0"/>
  <w15:commentEx w15:paraId="5D00F450" w15:done="0"/>
  <w15:commentEx w15:paraId="1FA876A3" w15:done="0"/>
  <w15:commentEx w15:paraId="38D248E3" w15:done="0"/>
  <w15:commentEx w15:paraId="51151A07" w15:done="0"/>
  <w15:commentEx w15:paraId="4850603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F4E" w:rsidRDefault="00653F4E">
      <w:r>
        <w:separator/>
      </w:r>
    </w:p>
  </w:endnote>
  <w:endnote w:type="continuationSeparator" w:id="0">
    <w:p w:rsidR="00653F4E" w:rsidRDefault="00653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SFUITex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50015D" w:rsidTr="005A3173">
      <w:trPr>
        <w:trHeight w:val="151"/>
      </w:trPr>
      <w:tc>
        <w:tcPr>
          <w:tcW w:w="2250" w:type="pct"/>
          <w:tcBorders>
            <w:top w:val="nil"/>
            <w:left w:val="nil"/>
            <w:bottom w:val="single" w:sz="4" w:space="0" w:color="4F81BD"/>
            <w:right w:val="nil"/>
          </w:tcBorders>
        </w:tcPr>
        <w:p w:rsidR="0050015D" w:rsidRPr="005A3173" w:rsidRDefault="0050015D" w:rsidP="005A3173">
          <w:pPr>
            <w:pStyle w:val="Header"/>
            <w:spacing w:line="276" w:lineRule="auto"/>
            <w:rPr>
              <w:rFonts w:ascii="Calibri" w:eastAsia="MS Gothic" w:hAnsi="Calibri"/>
              <w:b/>
              <w:bCs/>
              <w:color w:val="4F81BD"/>
            </w:rPr>
          </w:pPr>
        </w:p>
      </w:tc>
      <w:tc>
        <w:tcPr>
          <w:tcW w:w="500" w:type="pct"/>
          <w:vMerge w:val="restart"/>
          <w:noWrap/>
          <w:vAlign w:val="center"/>
          <w:hideMark/>
        </w:tcPr>
        <w:p w:rsidR="0050015D" w:rsidRPr="005A3173" w:rsidRDefault="0050015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50015D" w:rsidRPr="005A3173" w:rsidRDefault="0050015D" w:rsidP="005A3173">
          <w:pPr>
            <w:pStyle w:val="Header"/>
            <w:spacing w:line="276" w:lineRule="auto"/>
            <w:rPr>
              <w:rFonts w:ascii="Calibri" w:eastAsia="MS Gothic" w:hAnsi="Calibri"/>
              <w:b/>
              <w:bCs/>
              <w:color w:val="4F81BD"/>
            </w:rPr>
          </w:pPr>
        </w:p>
      </w:tc>
    </w:tr>
    <w:tr w:rsidR="0050015D" w:rsidTr="005A3173">
      <w:trPr>
        <w:trHeight w:val="150"/>
      </w:trPr>
      <w:tc>
        <w:tcPr>
          <w:tcW w:w="2250" w:type="pct"/>
          <w:tcBorders>
            <w:top w:val="single" w:sz="4" w:space="0" w:color="4F81BD"/>
            <w:left w:val="nil"/>
            <w:bottom w:val="nil"/>
            <w:right w:val="nil"/>
          </w:tcBorders>
        </w:tcPr>
        <w:p w:rsidR="0050015D" w:rsidRPr="005A3173" w:rsidRDefault="0050015D" w:rsidP="005A3173">
          <w:pPr>
            <w:pStyle w:val="Header"/>
            <w:spacing w:line="276" w:lineRule="auto"/>
            <w:rPr>
              <w:rFonts w:ascii="Calibri" w:eastAsia="MS Gothic" w:hAnsi="Calibri"/>
              <w:b/>
              <w:bCs/>
              <w:color w:val="4F81BD"/>
            </w:rPr>
          </w:pPr>
        </w:p>
      </w:tc>
      <w:tc>
        <w:tcPr>
          <w:tcW w:w="0" w:type="auto"/>
          <w:vMerge/>
          <w:vAlign w:val="center"/>
          <w:hideMark/>
        </w:tcPr>
        <w:p w:rsidR="0050015D" w:rsidRPr="005A3173" w:rsidRDefault="0050015D" w:rsidP="005A3173">
          <w:pPr>
            <w:rPr>
              <w:rFonts w:ascii="Calibri" w:hAnsi="Calibri"/>
              <w:color w:val="365F91"/>
              <w:sz w:val="22"/>
              <w:szCs w:val="22"/>
            </w:rPr>
          </w:pPr>
        </w:p>
      </w:tc>
      <w:tc>
        <w:tcPr>
          <w:tcW w:w="2250" w:type="pct"/>
          <w:tcBorders>
            <w:top w:val="single" w:sz="4" w:space="0" w:color="4F81BD"/>
            <w:left w:val="nil"/>
            <w:bottom w:val="nil"/>
            <w:right w:val="nil"/>
          </w:tcBorders>
        </w:tcPr>
        <w:p w:rsidR="0050015D" w:rsidRPr="005A3173" w:rsidRDefault="0050015D" w:rsidP="005A3173">
          <w:pPr>
            <w:pStyle w:val="Header"/>
            <w:spacing w:line="276" w:lineRule="auto"/>
            <w:rPr>
              <w:rFonts w:ascii="Calibri" w:eastAsia="MS Gothic" w:hAnsi="Calibri"/>
              <w:b/>
              <w:bCs/>
              <w:color w:val="4F81BD"/>
            </w:rPr>
          </w:pPr>
        </w:p>
      </w:tc>
    </w:tr>
  </w:tbl>
  <w:p w:rsidR="0050015D" w:rsidRDefault="0050015D"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39</w:t>
    </w:r>
    <w:r>
      <w:rPr>
        <w:rStyle w:val="PageNumber"/>
      </w:rPr>
      <w:fldChar w:fldCharType="end"/>
    </w:r>
  </w:p>
  <w:p w:rsidR="0050015D" w:rsidRDefault="0050015D">
    <w:pPr>
      <w:pStyle w:val="Footer"/>
    </w:pPr>
  </w:p>
  <w:p w:rsidR="0050015D" w:rsidRDefault="0050015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016915"/>
      <w:docPartObj>
        <w:docPartGallery w:val="Page Numbers (Bottom of Page)"/>
        <w:docPartUnique/>
      </w:docPartObj>
    </w:sdtPr>
    <w:sdtEndPr>
      <w:rPr>
        <w:rFonts w:ascii="Arial" w:hAnsi="Arial" w:cs="Arial"/>
        <w:noProof/>
        <w:sz w:val="20"/>
        <w:szCs w:val="20"/>
      </w:rPr>
    </w:sdtEndPr>
    <w:sdtContent>
      <w:p w:rsidR="0050015D" w:rsidRPr="00651169" w:rsidRDefault="0050015D" w:rsidP="00D34FF6">
        <w:pPr>
          <w:pStyle w:val="Footer"/>
          <w:ind w:left="360"/>
          <w:jc w:val="center"/>
          <w:rPr>
            <w:rFonts w:ascii="Arial" w:hAnsi="Arial" w:cs="Arial"/>
            <w:sz w:val="20"/>
            <w:szCs w:val="20"/>
          </w:rPr>
        </w:pPr>
        <w:r w:rsidRPr="00651169">
          <w:rPr>
            <w:rFonts w:ascii="Arial" w:hAnsi="Arial" w:cs="Arial"/>
            <w:sz w:val="20"/>
            <w:szCs w:val="20"/>
          </w:rPr>
          <w:fldChar w:fldCharType="begin"/>
        </w:r>
        <w:r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6F2FE9">
          <w:rPr>
            <w:rFonts w:ascii="Arial" w:hAnsi="Arial" w:cs="Arial"/>
            <w:noProof/>
            <w:sz w:val="20"/>
            <w:szCs w:val="20"/>
          </w:rPr>
          <w:t>4</w:t>
        </w:r>
        <w:r w:rsidRPr="00651169">
          <w:rPr>
            <w:rFonts w:ascii="Arial" w:hAnsi="Arial" w:cs="Arial"/>
            <w:noProof/>
            <w:sz w:val="20"/>
            <w:szCs w:val="20"/>
          </w:rPr>
          <w:fldChar w:fldCharType="end"/>
        </w:r>
      </w:p>
    </w:sdtContent>
  </w:sdt>
  <w:p w:rsidR="0050015D" w:rsidRPr="00A73AA0" w:rsidRDefault="0050015D" w:rsidP="00A73A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50015D" w:rsidTr="005A3173">
      <w:trPr>
        <w:trHeight w:val="151"/>
      </w:trPr>
      <w:tc>
        <w:tcPr>
          <w:tcW w:w="2250" w:type="pct"/>
          <w:tcBorders>
            <w:top w:val="nil"/>
            <w:left w:val="nil"/>
            <w:bottom w:val="single" w:sz="4" w:space="0" w:color="4F81BD"/>
            <w:right w:val="nil"/>
          </w:tcBorders>
        </w:tcPr>
        <w:p w:rsidR="0050015D" w:rsidRPr="005A3173" w:rsidRDefault="0050015D" w:rsidP="005A3173">
          <w:pPr>
            <w:pStyle w:val="Header"/>
            <w:spacing w:line="276" w:lineRule="auto"/>
            <w:rPr>
              <w:rFonts w:ascii="Calibri" w:eastAsia="MS Gothic" w:hAnsi="Calibri"/>
              <w:b/>
              <w:bCs/>
              <w:color w:val="4F81BD"/>
            </w:rPr>
          </w:pPr>
        </w:p>
      </w:tc>
      <w:tc>
        <w:tcPr>
          <w:tcW w:w="500" w:type="pct"/>
          <w:vMerge w:val="restart"/>
          <w:noWrap/>
          <w:vAlign w:val="center"/>
          <w:hideMark/>
        </w:tcPr>
        <w:p w:rsidR="0050015D" w:rsidRPr="005A3173" w:rsidRDefault="0050015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50015D" w:rsidRPr="005A3173" w:rsidRDefault="0050015D" w:rsidP="005A3173">
          <w:pPr>
            <w:pStyle w:val="Header"/>
            <w:spacing w:line="276" w:lineRule="auto"/>
            <w:rPr>
              <w:rFonts w:ascii="Calibri" w:eastAsia="MS Gothic" w:hAnsi="Calibri"/>
              <w:b/>
              <w:bCs/>
              <w:color w:val="4F81BD"/>
            </w:rPr>
          </w:pPr>
        </w:p>
      </w:tc>
    </w:tr>
    <w:tr w:rsidR="0050015D" w:rsidTr="005A3173">
      <w:trPr>
        <w:trHeight w:val="150"/>
      </w:trPr>
      <w:tc>
        <w:tcPr>
          <w:tcW w:w="2250" w:type="pct"/>
          <w:tcBorders>
            <w:top w:val="single" w:sz="4" w:space="0" w:color="4F81BD"/>
            <w:left w:val="nil"/>
            <w:bottom w:val="nil"/>
            <w:right w:val="nil"/>
          </w:tcBorders>
        </w:tcPr>
        <w:p w:rsidR="0050015D" w:rsidRPr="005A3173" w:rsidRDefault="0050015D" w:rsidP="005A3173">
          <w:pPr>
            <w:pStyle w:val="Header"/>
            <w:spacing w:line="276" w:lineRule="auto"/>
            <w:rPr>
              <w:rFonts w:ascii="Calibri" w:eastAsia="MS Gothic" w:hAnsi="Calibri"/>
              <w:b/>
              <w:bCs/>
              <w:color w:val="4F81BD"/>
            </w:rPr>
          </w:pPr>
        </w:p>
      </w:tc>
      <w:tc>
        <w:tcPr>
          <w:tcW w:w="0" w:type="auto"/>
          <w:vMerge/>
          <w:vAlign w:val="center"/>
          <w:hideMark/>
        </w:tcPr>
        <w:p w:rsidR="0050015D" w:rsidRPr="005A3173" w:rsidRDefault="0050015D" w:rsidP="005A3173">
          <w:pPr>
            <w:rPr>
              <w:rFonts w:ascii="Calibri" w:hAnsi="Calibri"/>
              <w:color w:val="365F91"/>
              <w:sz w:val="22"/>
              <w:szCs w:val="22"/>
            </w:rPr>
          </w:pPr>
        </w:p>
      </w:tc>
      <w:tc>
        <w:tcPr>
          <w:tcW w:w="2250" w:type="pct"/>
          <w:tcBorders>
            <w:top w:val="single" w:sz="4" w:space="0" w:color="4F81BD"/>
            <w:left w:val="nil"/>
            <w:bottom w:val="nil"/>
            <w:right w:val="nil"/>
          </w:tcBorders>
        </w:tcPr>
        <w:p w:rsidR="0050015D" w:rsidRPr="005A3173" w:rsidRDefault="0050015D"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50015D" w:rsidTr="005A3173">
      <w:trPr>
        <w:trHeight w:val="151"/>
      </w:trPr>
      <w:tc>
        <w:tcPr>
          <w:tcW w:w="2250" w:type="pct"/>
          <w:tcBorders>
            <w:top w:val="nil"/>
            <w:left w:val="nil"/>
            <w:bottom w:val="single" w:sz="4" w:space="0" w:color="4F81BD"/>
            <w:right w:val="nil"/>
          </w:tcBorders>
        </w:tcPr>
        <w:p w:rsidR="0050015D" w:rsidRPr="005A3173" w:rsidRDefault="0050015D" w:rsidP="005A3173">
          <w:pPr>
            <w:pStyle w:val="Header"/>
            <w:spacing w:line="276" w:lineRule="auto"/>
            <w:rPr>
              <w:rFonts w:ascii="Calibri" w:eastAsia="MS Gothic" w:hAnsi="Calibri"/>
              <w:b/>
              <w:bCs/>
              <w:color w:val="4F81BD"/>
            </w:rPr>
          </w:pPr>
        </w:p>
      </w:tc>
      <w:tc>
        <w:tcPr>
          <w:tcW w:w="500" w:type="pct"/>
          <w:vMerge w:val="restart"/>
          <w:noWrap/>
          <w:vAlign w:val="center"/>
          <w:hideMark/>
        </w:tcPr>
        <w:p w:rsidR="0050015D" w:rsidRPr="005A3173" w:rsidRDefault="0050015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50015D" w:rsidRPr="005A3173" w:rsidRDefault="0050015D" w:rsidP="005A3173">
          <w:pPr>
            <w:pStyle w:val="Header"/>
            <w:spacing w:line="276" w:lineRule="auto"/>
            <w:rPr>
              <w:rFonts w:ascii="Calibri" w:eastAsia="MS Gothic" w:hAnsi="Calibri"/>
              <w:b/>
              <w:bCs/>
              <w:color w:val="4F81BD"/>
            </w:rPr>
          </w:pPr>
        </w:p>
      </w:tc>
    </w:tr>
    <w:tr w:rsidR="0050015D" w:rsidTr="005A3173">
      <w:trPr>
        <w:trHeight w:val="150"/>
      </w:trPr>
      <w:tc>
        <w:tcPr>
          <w:tcW w:w="2250" w:type="pct"/>
          <w:tcBorders>
            <w:top w:val="single" w:sz="4" w:space="0" w:color="4F81BD"/>
            <w:left w:val="nil"/>
            <w:bottom w:val="nil"/>
            <w:right w:val="nil"/>
          </w:tcBorders>
        </w:tcPr>
        <w:p w:rsidR="0050015D" w:rsidRPr="005A3173" w:rsidRDefault="0050015D" w:rsidP="005A3173">
          <w:pPr>
            <w:pStyle w:val="Header"/>
            <w:spacing w:line="276" w:lineRule="auto"/>
            <w:rPr>
              <w:rFonts w:ascii="Calibri" w:eastAsia="MS Gothic" w:hAnsi="Calibri"/>
              <w:b/>
              <w:bCs/>
              <w:color w:val="4F81BD"/>
            </w:rPr>
          </w:pPr>
        </w:p>
      </w:tc>
      <w:tc>
        <w:tcPr>
          <w:tcW w:w="0" w:type="auto"/>
          <w:vMerge/>
          <w:vAlign w:val="center"/>
          <w:hideMark/>
        </w:tcPr>
        <w:p w:rsidR="0050015D" w:rsidRPr="005A3173" w:rsidRDefault="0050015D" w:rsidP="005A3173">
          <w:pPr>
            <w:rPr>
              <w:rFonts w:ascii="Calibri" w:hAnsi="Calibri"/>
              <w:color w:val="365F91"/>
              <w:sz w:val="22"/>
              <w:szCs w:val="22"/>
            </w:rPr>
          </w:pPr>
        </w:p>
      </w:tc>
      <w:tc>
        <w:tcPr>
          <w:tcW w:w="2250" w:type="pct"/>
          <w:tcBorders>
            <w:top w:val="single" w:sz="4" w:space="0" w:color="4F81BD"/>
            <w:left w:val="nil"/>
            <w:bottom w:val="nil"/>
            <w:right w:val="nil"/>
          </w:tcBorders>
        </w:tcPr>
        <w:p w:rsidR="0050015D" w:rsidRPr="005A3173" w:rsidRDefault="0050015D" w:rsidP="005A3173">
          <w:pPr>
            <w:pStyle w:val="Header"/>
            <w:spacing w:line="276" w:lineRule="auto"/>
            <w:rPr>
              <w:rFonts w:ascii="Calibri" w:eastAsia="MS Gothic" w:hAnsi="Calibri"/>
              <w:b/>
              <w:bCs/>
              <w:color w:val="4F81BD"/>
            </w:rPr>
          </w:pPr>
        </w:p>
      </w:tc>
    </w:tr>
  </w:tbl>
  <w:p w:rsidR="0050015D" w:rsidRPr="007C0F57" w:rsidRDefault="0050015D"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39</w:t>
    </w:r>
    <w:r>
      <w:rPr>
        <w:rStyle w:val="PageNumber"/>
      </w:rPr>
      <w:fldChar w:fldCharType="end"/>
    </w:r>
    <w:r w:rsidRPr="007C0F57">
      <w:rPr>
        <w:b/>
        <w:i/>
        <w:sz w:val="20"/>
        <w:szCs w:val="20"/>
      </w:rPr>
      <w:t>BAC Meeting</w:t>
    </w:r>
  </w:p>
  <w:p w:rsidR="0050015D" w:rsidRPr="007C0F57" w:rsidRDefault="0050015D" w:rsidP="007C0F57">
    <w:pPr>
      <w:pStyle w:val="Footer"/>
      <w:jc w:val="center"/>
      <w:rPr>
        <w:b/>
        <w:i/>
        <w:sz w:val="20"/>
        <w:szCs w:val="20"/>
      </w:rPr>
    </w:pPr>
    <w:r w:rsidRPr="007C0F57">
      <w:rPr>
        <w:b/>
        <w:i/>
        <w:sz w:val="20"/>
        <w:szCs w:val="20"/>
      </w:rPr>
      <w:t>Commercial-in-Confidence</w:t>
    </w:r>
  </w:p>
  <w:p w:rsidR="0050015D" w:rsidRDefault="0050015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F4E" w:rsidRDefault="00653F4E">
      <w:r>
        <w:separator/>
      </w:r>
    </w:p>
  </w:footnote>
  <w:footnote w:type="continuationSeparator" w:id="0">
    <w:p w:rsidR="00653F4E" w:rsidRDefault="00653F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50015D" w:rsidRPr="008E0D90" w:rsidTr="00A06225">
      <w:trPr>
        <w:trHeight w:val="151"/>
      </w:trPr>
      <w:tc>
        <w:tcPr>
          <w:tcW w:w="2389" w:type="pct"/>
          <w:tcBorders>
            <w:top w:val="nil"/>
            <w:left w:val="nil"/>
            <w:bottom w:val="single" w:sz="4" w:space="0" w:color="4F81BD"/>
            <w:right w:val="nil"/>
          </w:tcBorders>
        </w:tcPr>
        <w:p w:rsidR="0050015D" w:rsidRPr="00A06225" w:rsidRDefault="0050015D">
          <w:pPr>
            <w:pStyle w:val="Header"/>
            <w:spacing w:line="276" w:lineRule="auto"/>
            <w:rPr>
              <w:rFonts w:ascii="Cambria" w:eastAsia="MS Gothic" w:hAnsi="Cambria"/>
              <w:b/>
              <w:bCs/>
              <w:color w:val="4F81BD"/>
            </w:rPr>
          </w:pPr>
        </w:p>
      </w:tc>
      <w:tc>
        <w:tcPr>
          <w:tcW w:w="333" w:type="pct"/>
          <w:vMerge w:val="restart"/>
          <w:noWrap/>
          <w:vAlign w:val="center"/>
          <w:hideMark/>
        </w:tcPr>
        <w:p w:rsidR="0050015D" w:rsidRPr="00A06225" w:rsidRDefault="0050015D"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50015D" w:rsidRPr="00A06225" w:rsidRDefault="0050015D">
          <w:pPr>
            <w:pStyle w:val="Header"/>
            <w:spacing w:line="276" w:lineRule="auto"/>
            <w:rPr>
              <w:rFonts w:ascii="Cambria" w:eastAsia="MS Gothic" w:hAnsi="Cambria"/>
              <w:b/>
              <w:bCs/>
              <w:color w:val="4F81BD"/>
            </w:rPr>
          </w:pPr>
        </w:p>
      </w:tc>
    </w:tr>
    <w:tr w:rsidR="0050015D" w:rsidRPr="008E0D90" w:rsidTr="00A06225">
      <w:trPr>
        <w:trHeight w:val="150"/>
      </w:trPr>
      <w:tc>
        <w:tcPr>
          <w:tcW w:w="2389" w:type="pct"/>
          <w:tcBorders>
            <w:top w:val="single" w:sz="4" w:space="0" w:color="4F81BD"/>
            <w:left w:val="nil"/>
            <w:bottom w:val="nil"/>
            <w:right w:val="nil"/>
          </w:tcBorders>
        </w:tcPr>
        <w:p w:rsidR="0050015D" w:rsidRPr="00A06225" w:rsidRDefault="0050015D">
          <w:pPr>
            <w:pStyle w:val="Header"/>
            <w:spacing w:line="276" w:lineRule="auto"/>
            <w:rPr>
              <w:rFonts w:ascii="Cambria" w:eastAsia="MS Gothic" w:hAnsi="Cambria"/>
              <w:b/>
              <w:bCs/>
              <w:color w:val="4F81BD"/>
            </w:rPr>
          </w:pPr>
        </w:p>
      </w:tc>
      <w:tc>
        <w:tcPr>
          <w:tcW w:w="0" w:type="auto"/>
          <w:vMerge/>
          <w:vAlign w:val="center"/>
          <w:hideMark/>
        </w:tcPr>
        <w:p w:rsidR="0050015D" w:rsidRPr="00A06225" w:rsidRDefault="0050015D">
          <w:pPr>
            <w:rPr>
              <w:rFonts w:ascii="Cambria" w:hAnsi="Cambria"/>
              <w:color w:val="4F81BD"/>
              <w:sz w:val="22"/>
              <w:szCs w:val="22"/>
            </w:rPr>
          </w:pPr>
        </w:p>
      </w:tc>
      <w:tc>
        <w:tcPr>
          <w:tcW w:w="2278" w:type="pct"/>
          <w:tcBorders>
            <w:top w:val="single" w:sz="4" w:space="0" w:color="4F81BD"/>
            <w:left w:val="nil"/>
            <w:bottom w:val="nil"/>
            <w:right w:val="nil"/>
          </w:tcBorders>
        </w:tcPr>
        <w:p w:rsidR="0050015D" w:rsidRPr="00A06225" w:rsidRDefault="0050015D">
          <w:pPr>
            <w:pStyle w:val="Header"/>
            <w:spacing w:line="276" w:lineRule="auto"/>
            <w:rPr>
              <w:rFonts w:ascii="Cambria" w:eastAsia="MS Gothic" w:hAnsi="Cambria"/>
              <w:b/>
              <w:bCs/>
              <w:color w:val="4F81BD"/>
            </w:rPr>
          </w:pPr>
        </w:p>
      </w:tc>
    </w:tr>
  </w:tbl>
  <w:p w:rsidR="0050015D" w:rsidRDefault="0050015D">
    <w:pPr>
      <w:pStyle w:val="Header"/>
    </w:pPr>
  </w:p>
  <w:p w:rsidR="0050015D" w:rsidRDefault="0050015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15D" w:rsidRPr="00FA74B6" w:rsidRDefault="0050015D" w:rsidP="0096359A">
    <w:pPr>
      <w:widowControl w:val="0"/>
      <w:tabs>
        <w:tab w:val="center" w:pos="4513"/>
        <w:tab w:val="right" w:pos="9026"/>
      </w:tabs>
      <w:jc w:val="center"/>
      <w:rPr>
        <w:rFonts w:ascii="Arial" w:hAnsi="Arial" w:cs="Arial"/>
        <w:i/>
        <w:snapToGrid w:val="0"/>
        <w:color w:val="808080"/>
        <w:sz w:val="22"/>
        <w:szCs w:val="20"/>
        <w:lang w:eastAsia="en-US"/>
      </w:rPr>
    </w:pPr>
    <w:r>
      <w:rPr>
        <w:rFonts w:ascii="Arial" w:hAnsi="Arial" w:cs="Arial"/>
        <w:i/>
        <w:snapToGrid w:val="0"/>
        <w:color w:val="808080"/>
        <w:sz w:val="22"/>
        <w:szCs w:val="20"/>
        <w:lang w:eastAsia="en-US"/>
      </w:rPr>
      <w:t>Public Summary Document</w:t>
    </w:r>
    <w:r w:rsidRPr="00FA74B6">
      <w:rPr>
        <w:rFonts w:ascii="Arial" w:hAnsi="Arial" w:cs="Arial"/>
        <w:i/>
        <w:snapToGrid w:val="0"/>
        <w:color w:val="808080"/>
        <w:sz w:val="22"/>
        <w:szCs w:val="20"/>
        <w:lang w:eastAsia="en-US"/>
      </w:rPr>
      <w:t xml:space="preserve"> – March 2017 PBAC Meeting</w:t>
    </w:r>
  </w:p>
  <w:p w:rsidR="0050015D" w:rsidRDefault="0050015D"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F4E" w:rsidRDefault="00653F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pStyle w:val="Heading1"/>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AB1638F"/>
    <w:multiLevelType w:val="hybridMultilevel"/>
    <w:tmpl w:val="C916F64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B2409A6"/>
    <w:multiLevelType w:val="hybridMultilevel"/>
    <w:tmpl w:val="93AEE672"/>
    <w:lvl w:ilvl="0" w:tplc="30D82E14">
      <w:start w:val="1"/>
      <w:numFmt w:val="lowerRoman"/>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C4271A1"/>
    <w:multiLevelType w:val="hybridMultilevel"/>
    <w:tmpl w:val="D8E21380"/>
    <w:lvl w:ilvl="0" w:tplc="384E755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4BD406B"/>
    <w:multiLevelType w:val="hybridMultilevel"/>
    <w:tmpl w:val="3296FE34"/>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6">
    <w:nsid w:val="1CD01238"/>
    <w:multiLevelType w:val="multilevel"/>
    <w:tmpl w:val="22D25C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208A086F"/>
    <w:multiLevelType w:val="hybridMultilevel"/>
    <w:tmpl w:val="8B20C02C"/>
    <w:lvl w:ilvl="0" w:tplc="8D125DF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D3920EA"/>
    <w:multiLevelType w:val="hybridMultilevel"/>
    <w:tmpl w:val="C8D2C2E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nsid w:val="2EC14C33"/>
    <w:multiLevelType w:val="hybridMultilevel"/>
    <w:tmpl w:val="F7869A22"/>
    <w:lvl w:ilvl="0" w:tplc="5228285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F157CC3"/>
    <w:multiLevelType w:val="hybridMultilevel"/>
    <w:tmpl w:val="424A9468"/>
    <w:lvl w:ilvl="0" w:tplc="F3F6AF2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E580005"/>
    <w:multiLevelType w:val="hybridMultilevel"/>
    <w:tmpl w:val="B726A85C"/>
    <w:lvl w:ilvl="0" w:tplc="5052E9E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F8923D2"/>
    <w:multiLevelType w:val="hybridMultilevel"/>
    <w:tmpl w:val="72CC88D4"/>
    <w:lvl w:ilvl="0" w:tplc="EDBAABF6">
      <w:start w:val="2"/>
      <w:numFmt w:val="bullet"/>
      <w:lvlText w:val="-"/>
      <w:lvlJc w:val="left"/>
      <w:pPr>
        <w:ind w:left="1803" w:hanging="360"/>
      </w:pPr>
      <w:rPr>
        <w:rFonts w:ascii="Arial" w:eastAsia="Times New Roman" w:hAnsi="Arial" w:cs="Arial" w:hint="default"/>
      </w:rPr>
    </w:lvl>
    <w:lvl w:ilvl="1" w:tplc="0C090003" w:tentative="1">
      <w:start w:val="1"/>
      <w:numFmt w:val="bullet"/>
      <w:lvlText w:val="o"/>
      <w:lvlJc w:val="left"/>
      <w:pPr>
        <w:ind w:left="2523" w:hanging="360"/>
      </w:pPr>
      <w:rPr>
        <w:rFonts w:ascii="Courier New" w:hAnsi="Courier New" w:cs="Courier New" w:hint="default"/>
      </w:rPr>
    </w:lvl>
    <w:lvl w:ilvl="2" w:tplc="0C090005" w:tentative="1">
      <w:start w:val="1"/>
      <w:numFmt w:val="bullet"/>
      <w:lvlText w:val=""/>
      <w:lvlJc w:val="left"/>
      <w:pPr>
        <w:ind w:left="3243" w:hanging="360"/>
      </w:pPr>
      <w:rPr>
        <w:rFonts w:ascii="Wingdings" w:hAnsi="Wingdings" w:hint="default"/>
      </w:rPr>
    </w:lvl>
    <w:lvl w:ilvl="3" w:tplc="0C090001" w:tentative="1">
      <w:start w:val="1"/>
      <w:numFmt w:val="bullet"/>
      <w:lvlText w:val=""/>
      <w:lvlJc w:val="left"/>
      <w:pPr>
        <w:ind w:left="3963" w:hanging="360"/>
      </w:pPr>
      <w:rPr>
        <w:rFonts w:ascii="Symbol" w:hAnsi="Symbol" w:hint="default"/>
      </w:rPr>
    </w:lvl>
    <w:lvl w:ilvl="4" w:tplc="0C090003" w:tentative="1">
      <w:start w:val="1"/>
      <w:numFmt w:val="bullet"/>
      <w:lvlText w:val="o"/>
      <w:lvlJc w:val="left"/>
      <w:pPr>
        <w:ind w:left="4683" w:hanging="360"/>
      </w:pPr>
      <w:rPr>
        <w:rFonts w:ascii="Courier New" w:hAnsi="Courier New" w:cs="Courier New" w:hint="default"/>
      </w:rPr>
    </w:lvl>
    <w:lvl w:ilvl="5" w:tplc="0C090005" w:tentative="1">
      <w:start w:val="1"/>
      <w:numFmt w:val="bullet"/>
      <w:lvlText w:val=""/>
      <w:lvlJc w:val="left"/>
      <w:pPr>
        <w:ind w:left="5403" w:hanging="360"/>
      </w:pPr>
      <w:rPr>
        <w:rFonts w:ascii="Wingdings" w:hAnsi="Wingdings" w:hint="default"/>
      </w:rPr>
    </w:lvl>
    <w:lvl w:ilvl="6" w:tplc="0C090001" w:tentative="1">
      <w:start w:val="1"/>
      <w:numFmt w:val="bullet"/>
      <w:lvlText w:val=""/>
      <w:lvlJc w:val="left"/>
      <w:pPr>
        <w:ind w:left="6123" w:hanging="360"/>
      </w:pPr>
      <w:rPr>
        <w:rFonts w:ascii="Symbol" w:hAnsi="Symbol" w:hint="default"/>
      </w:rPr>
    </w:lvl>
    <w:lvl w:ilvl="7" w:tplc="0C090003" w:tentative="1">
      <w:start w:val="1"/>
      <w:numFmt w:val="bullet"/>
      <w:lvlText w:val="o"/>
      <w:lvlJc w:val="left"/>
      <w:pPr>
        <w:ind w:left="6843" w:hanging="360"/>
      </w:pPr>
      <w:rPr>
        <w:rFonts w:ascii="Courier New" w:hAnsi="Courier New" w:cs="Courier New" w:hint="default"/>
      </w:rPr>
    </w:lvl>
    <w:lvl w:ilvl="8" w:tplc="0C090005" w:tentative="1">
      <w:start w:val="1"/>
      <w:numFmt w:val="bullet"/>
      <w:lvlText w:val=""/>
      <w:lvlJc w:val="left"/>
      <w:pPr>
        <w:ind w:left="7563" w:hanging="360"/>
      </w:pPr>
      <w:rPr>
        <w:rFonts w:ascii="Wingdings" w:hAnsi="Wingdings" w:hint="default"/>
      </w:rPr>
    </w:lvl>
  </w:abstractNum>
  <w:abstractNum w:abstractNumId="13">
    <w:nsid w:val="462C43A7"/>
    <w:multiLevelType w:val="hybridMultilevel"/>
    <w:tmpl w:val="5E007ACC"/>
    <w:lvl w:ilvl="0" w:tplc="46D48EA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505F07C2"/>
    <w:multiLevelType w:val="hybridMultilevel"/>
    <w:tmpl w:val="850CA0EA"/>
    <w:lvl w:ilvl="0" w:tplc="2048E35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17D7CB7"/>
    <w:multiLevelType w:val="hybridMultilevel"/>
    <w:tmpl w:val="A4E43796"/>
    <w:lvl w:ilvl="0" w:tplc="AD0EA24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63B908B5"/>
    <w:multiLevelType w:val="hybridMultilevel"/>
    <w:tmpl w:val="64126678"/>
    <w:lvl w:ilvl="0" w:tplc="5DD88DC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64931ECC"/>
    <w:multiLevelType w:val="hybridMultilevel"/>
    <w:tmpl w:val="4134C872"/>
    <w:lvl w:ilvl="0" w:tplc="FED4949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64BB25D3"/>
    <w:multiLevelType w:val="hybridMultilevel"/>
    <w:tmpl w:val="8E46805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nsid w:val="65553EE4"/>
    <w:multiLevelType w:val="hybridMultilevel"/>
    <w:tmpl w:val="C4EC1086"/>
    <w:lvl w:ilvl="0" w:tplc="91803D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747A36CE"/>
    <w:multiLevelType w:val="hybridMultilevel"/>
    <w:tmpl w:val="621076D0"/>
    <w:lvl w:ilvl="0" w:tplc="2ECE06EC">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nsid w:val="75C973CD"/>
    <w:multiLevelType w:val="hybridMultilevel"/>
    <w:tmpl w:val="A2BCA7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84D033C"/>
    <w:multiLevelType w:val="multilevel"/>
    <w:tmpl w:val="23D05698"/>
    <w:lvl w:ilvl="0">
      <w:start w:val="1"/>
      <w:numFmt w:val="decimal"/>
      <w:pStyle w:val="PBACHeading1"/>
      <w:lvlText w:val="%1"/>
      <w:lvlJc w:val="left"/>
      <w:pPr>
        <w:ind w:left="1288" w:hanging="720"/>
      </w:pPr>
      <w:rPr>
        <w:rFonts w:hint="default"/>
        <w:b/>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7BF243CD"/>
    <w:multiLevelType w:val="hybridMultilevel"/>
    <w:tmpl w:val="824E7134"/>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num w:numId="1">
    <w:abstractNumId w:val="22"/>
  </w:num>
  <w:num w:numId="2">
    <w:abstractNumId w:val="1"/>
  </w:num>
  <w:num w:numId="3">
    <w:abstractNumId w:val="0"/>
  </w:num>
  <w:num w:numId="4">
    <w:abstractNumId w:val="21"/>
  </w:num>
  <w:num w:numId="5">
    <w:abstractNumId w:val="2"/>
  </w:num>
  <w:num w:numId="6">
    <w:abstractNumId w:val="14"/>
  </w:num>
  <w:num w:numId="7">
    <w:abstractNumId w:val="13"/>
  </w:num>
  <w:num w:numId="8">
    <w:abstractNumId w:val="11"/>
  </w:num>
  <w:num w:numId="9">
    <w:abstractNumId w:val="17"/>
  </w:num>
  <w:num w:numId="10">
    <w:abstractNumId w:val="7"/>
  </w:num>
  <w:num w:numId="11">
    <w:abstractNumId w:val="9"/>
  </w:num>
  <w:num w:numId="12">
    <w:abstractNumId w:val="19"/>
  </w:num>
  <w:num w:numId="13">
    <w:abstractNumId w:val="10"/>
  </w:num>
  <w:num w:numId="14">
    <w:abstractNumId w:val="16"/>
  </w:num>
  <w:num w:numId="15">
    <w:abstractNumId w:val="4"/>
  </w:num>
  <w:num w:numId="16">
    <w:abstractNumId w:val="5"/>
  </w:num>
  <w:num w:numId="17">
    <w:abstractNumId w:val="15"/>
  </w:num>
  <w:num w:numId="18">
    <w:abstractNumId w:val="12"/>
  </w:num>
  <w:num w:numId="19">
    <w:abstractNumId w:val="23"/>
  </w:num>
  <w:num w:numId="20">
    <w:abstractNumId w:val="20"/>
  </w:num>
  <w:num w:numId="21">
    <w:abstractNumId w:val="3"/>
  </w:num>
  <w:num w:numId="22">
    <w:abstractNumId w:val="8"/>
  </w:num>
  <w:num w:numId="23">
    <w:abstractNumId w:val="18"/>
  </w:num>
  <w:num w:numId="24">
    <w:abstractNumId w:val="6"/>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22"/>
  </w:num>
  <w:num w:numId="32">
    <w:abstractNumId w:val="22"/>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byn Ward">
    <w15:presenceInfo w15:providerId="Windows Live" w15:userId="2f8c0452c87ad3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003A"/>
    <w:rsid w:val="000025AD"/>
    <w:rsid w:val="00003AFD"/>
    <w:rsid w:val="0000528F"/>
    <w:rsid w:val="000063D5"/>
    <w:rsid w:val="00007118"/>
    <w:rsid w:val="00007D60"/>
    <w:rsid w:val="0001565D"/>
    <w:rsid w:val="00020392"/>
    <w:rsid w:val="00024398"/>
    <w:rsid w:val="0002464A"/>
    <w:rsid w:val="00025390"/>
    <w:rsid w:val="00026EAE"/>
    <w:rsid w:val="00030467"/>
    <w:rsid w:val="00030D9E"/>
    <w:rsid w:val="0003106B"/>
    <w:rsid w:val="00032DF4"/>
    <w:rsid w:val="00032FCE"/>
    <w:rsid w:val="000333E8"/>
    <w:rsid w:val="00033BAB"/>
    <w:rsid w:val="0003534A"/>
    <w:rsid w:val="00035639"/>
    <w:rsid w:val="00037A32"/>
    <w:rsid w:val="000421A1"/>
    <w:rsid w:val="0004240E"/>
    <w:rsid w:val="000438F7"/>
    <w:rsid w:val="00044DC8"/>
    <w:rsid w:val="00045E26"/>
    <w:rsid w:val="00050F92"/>
    <w:rsid w:val="000514B5"/>
    <w:rsid w:val="0005451C"/>
    <w:rsid w:val="00057A91"/>
    <w:rsid w:val="00060E64"/>
    <w:rsid w:val="00066755"/>
    <w:rsid w:val="00070A3F"/>
    <w:rsid w:val="00072330"/>
    <w:rsid w:val="00072E0A"/>
    <w:rsid w:val="00075109"/>
    <w:rsid w:val="000756E8"/>
    <w:rsid w:val="00077143"/>
    <w:rsid w:val="000827FF"/>
    <w:rsid w:val="0008796B"/>
    <w:rsid w:val="000906EF"/>
    <w:rsid w:val="000916BA"/>
    <w:rsid w:val="00091CFA"/>
    <w:rsid w:val="00092202"/>
    <w:rsid w:val="000969AD"/>
    <w:rsid w:val="0009722B"/>
    <w:rsid w:val="000A3389"/>
    <w:rsid w:val="000A3FC3"/>
    <w:rsid w:val="000A5CDD"/>
    <w:rsid w:val="000A69D6"/>
    <w:rsid w:val="000B3294"/>
    <w:rsid w:val="000B3B16"/>
    <w:rsid w:val="000B50E9"/>
    <w:rsid w:val="000B558D"/>
    <w:rsid w:val="000B622A"/>
    <w:rsid w:val="000B6FE5"/>
    <w:rsid w:val="000C0E99"/>
    <w:rsid w:val="000C228B"/>
    <w:rsid w:val="000C6996"/>
    <w:rsid w:val="000C7812"/>
    <w:rsid w:val="000D23BA"/>
    <w:rsid w:val="000D507C"/>
    <w:rsid w:val="000D539A"/>
    <w:rsid w:val="000D53F6"/>
    <w:rsid w:val="000D69CB"/>
    <w:rsid w:val="000E173A"/>
    <w:rsid w:val="000E2DC6"/>
    <w:rsid w:val="000E681E"/>
    <w:rsid w:val="000E718B"/>
    <w:rsid w:val="000F1AE9"/>
    <w:rsid w:val="000F289A"/>
    <w:rsid w:val="000F4E6A"/>
    <w:rsid w:val="000F5BEA"/>
    <w:rsid w:val="0010090F"/>
    <w:rsid w:val="00105DA3"/>
    <w:rsid w:val="001064AC"/>
    <w:rsid w:val="00107EC5"/>
    <w:rsid w:val="001107BF"/>
    <w:rsid w:val="00111235"/>
    <w:rsid w:val="0011159E"/>
    <w:rsid w:val="00112E7A"/>
    <w:rsid w:val="00114582"/>
    <w:rsid w:val="001152B6"/>
    <w:rsid w:val="0011582C"/>
    <w:rsid w:val="00116AE1"/>
    <w:rsid w:val="00123B39"/>
    <w:rsid w:val="0012417C"/>
    <w:rsid w:val="00125C21"/>
    <w:rsid w:val="00126760"/>
    <w:rsid w:val="00130525"/>
    <w:rsid w:val="00132AED"/>
    <w:rsid w:val="00142395"/>
    <w:rsid w:val="00142714"/>
    <w:rsid w:val="00143042"/>
    <w:rsid w:val="00143C26"/>
    <w:rsid w:val="00143EAB"/>
    <w:rsid w:val="001452ED"/>
    <w:rsid w:val="00147C16"/>
    <w:rsid w:val="00150559"/>
    <w:rsid w:val="0015322D"/>
    <w:rsid w:val="00160F6E"/>
    <w:rsid w:val="00161B81"/>
    <w:rsid w:val="00166462"/>
    <w:rsid w:val="0017131C"/>
    <w:rsid w:val="0017162B"/>
    <w:rsid w:val="00174284"/>
    <w:rsid w:val="00177E70"/>
    <w:rsid w:val="00180E6A"/>
    <w:rsid w:val="001817E3"/>
    <w:rsid w:val="001830CE"/>
    <w:rsid w:val="00183D4F"/>
    <w:rsid w:val="001860E5"/>
    <w:rsid w:val="0018643B"/>
    <w:rsid w:val="001914AA"/>
    <w:rsid w:val="0019303F"/>
    <w:rsid w:val="0019441E"/>
    <w:rsid w:val="001960A6"/>
    <w:rsid w:val="00196307"/>
    <w:rsid w:val="00196BAA"/>
    <w:rsid w:val="00196CB5"/>
    <w:rsid w:val="001A14D4"/>
    <w:rsid w:val="001A3115"/>
    <w:rsid w:val="001A33EA"/>
    <w:rsid w:val="001A3EB8"/>
    <w:rsid w:val="001A4249"/>
    <w:rsid w:val="001A72DE"/>
    <w:rsid w:val="001B017F"/>
    <w:rsid w:val="001B0279"/>
    <w:rsid w:val="001B051D"/>
    <w:rsid w:val="001B05BC"/>
    <w:rsid w:val="001B0F96"/>
    <w:rsid w:val="001B169A"/>
    <w:rsid w:val="001B28D3"/>
    <w:rsid w:val="001B5129"/>
    <w:rsid w:val="001B6561"/>
    <w:rsid w:val="001B6DEB"/>
    <w:rsid w:val="001B7266"/>
    <w:rsid w:val="001C1195"/>
    <w:rsid w:val="001C15F5"/>
    <w:rsid w:val="001C3D98"/>
    <w:rsid w:val="001C4563"/>
    <w:rsid w:val="001D5B18"/>
    <w:rsid w:val="001E2F5F"/>
    <w:rsid w:val="001E35A6"/>
    <w:rsid w:val="001E437E"/>
    <w:rsid w:val="001E55E0"/>
    <w:rsid w:val="001F152B"/>
    <w:rsid w:val="001F3A8D"/>
    <w:rsid w:val="0020268F"/>
    <w:rsid w:val="0020365E"/>
    <w:rsid w:val="00204259"/>
    <w:rsid w:val="0020609C"/>
    <w:rsid w:val="00210294"/>
    <w:rsid w:val="00210432"/>
    <w:rsid w:val="00211004"/>
    <w:rsid w:val="00213CFB"/>
    <w:rsid w:val="00220D61"/>
    <w:rsid w:val="00222C61"/>
    <w:rsid w:val="0022628E"/>
    <w:rsid w:val="002305B7"/>
    <w:rsid w:val="00230D9A"/>
    <w:rsid w:val="00232ACC"/>
    <w:rsid w:val="00233D95"/>
    <w:rsid w:val="00234ABF"/>
    <w:rsid w:val="00235BB0"/>
    <w:rsid w:val="00252361"/>
    <w:rsid w:val="00256AF0"/>
    <w:rsid w:val="00261D86"/>
    <w:rsid w:val="002631AD"/>
    <w:rsid w:val="00263208"/>
    <w:rsid w:val="00263AA1"/>
    <w:rsid w:val="00263C2E"/>
    <w:rsid w:val="00271BA1"/>
    <w:rsid w:val="0027217D"/>
    <w:rsid w:val="0027234F"/>
    <w:rsid w:val="002723E6"/>
    <w:rsid w:val="00272989"/>
    <w:rsid w:val="002770C8"/>
    <w:rsid w:val="00277505"/>
    <w:rsid w:val="002876E5"/>
    <w:rsid w:val="002915CD"/>
    <w:rsid w:val="00292560"/>
    <w:rsid w:val="00293776"/>
    <w:rsid w:val="0029458F"/>
    <w:rsid w:val="002945D2"/>
    <w:rsid w:val="00294904"/>
    <w:rsid w:val="002954E7"/>
    <w:rsid w:val="00296F70"/>
    <w:rsid w:val="00297BE7"/>
    <w:rsid w:val="002A081C"/>
    <w:rsid w:val="002A104C"/>
    <w:rsid w:val="002A4960"/>
    <w:rsid w:val="002A5BEB"/>
    <w:rsid w:val="002A60B8"/>
    <w:rsid w:val="002A66DA"/>
    <w:rsid w:val="002B0651"/>
    <w:rsid w:val="002B1AE6"/>
    <w:rsid w:val="002B30F8"/>
    <w:rsid w:val="002B4A22"/>
    <w:rsid w:val="002C00E5"/>
    <w:rsid w:val="002C0190"/>
    <w:rsid w:val="002C143E"/>
    <w:rsid w:val="002C1AF8"/>
    <w:rsid w:val="002C212F"/>
    <w:rsid w:val="002C35B2"/>
    <w:rsid w:val="002C7A02"/>
    <w:rsid w:val="002C7B69"/>
    <w:rsid w:val="002C7DF5"/>
    <w:rsid w:val="002D07F8"/>
    <w:rsid w:val="002D3C23"/>
    <w:rsid w:val="002E1497"/>
    <w:rsid w:val="002E3153"/>
    <w:rsid w:val="002E4EC0"/>
    <w:rsid w:val="002E52DF"/>
    <w:rsid w:val="002E72CA"/>
    <w:rsid w:val="002E7EC5"/>
    <w:rsid w:val="002F0882"/>
    <w:rsid w:val="002F394C"/>
    <w:rsid w:val="002F48C3"/>
    <w:rsid w:val="002F737E"/>
    <w:rsid w:val="00300AD6"/>
    <w:rsid w:val="00301CE6"/>
    <w:rsid w:val="00307826"/>
    <w:rsid w:val="00311AC7"/>
    <w:rsid w:val="00311EBF"/>
    <w:rsid w:val="00324ECB"/>
    <w:rsid w:val="003266E6"/>
    <w:rsid w:val="00326E79"/>
    <w:rsid w:val="00332BF7"/>
    <w:rsid w:val="00332EB4"/>
    <w:rsid w:val="003367EF"/>
    <w:rsid w:val="003370D5"/>
    <w:rsid w:val="00340749"/>
    <w:rsid w:val="00341AE4"/>
    <w:rsid w:val="0034352D"/>
    <w:rsid w:val="00347632"/>
    <w:rsid w:val="003507FC"/>
    <w:rsid w:val="003532D9"/>
    <w:rsid w:val="003543FC"/>
    <w:rsid w:val="0035501C"/>
    <w:rsid w:val="003559AC"/>
    <w:rsid w:val="00356AEF"/>
    <w:rsid w:val="003579C2"/>
    <w:rsid w:val="00357ACB"/>
    <w:rsid w:val="00360903"/>
    <w:rsid w:val="00362C16"/>
    <w:rsid w:val="00362D1D"/>
    <w:rsid w:val="00364C7E"/>
    <w:rsid w:val="0037154E"/>
    <w:rsid w:val="0037263D"/>
    <w:rsid w:val="00373939"/>
    <w:rsid w:val="0037712B"/>
    <w:rsid w:val="0038429B"/>
    <w:rsid w:val="00384CEB"/>
    <w:rsid w:val="0038574A"/>
    <w:rsid w:val="00385FAC"/>
    <w:rsid w:val="003872CF"/>
    <w:rsid w:val="003924B2"/>
    <w:rsid w:val="00392527"/>
    <w:rsid w:val="00392E6B"/>
    <w:rsid w:val="0039782C"/>
    <w:rsid w:val="00397910"/>
    <w:rsid w:val="003A1930"/>
    <w:rsid w:val="003A1A97"/>
    <w:rsid w:val="003A5B4A"/>
    <w:rsid w:val="003A78FB"/>
    <w:rsid w:val="003B18BC"/>
    <w:rsid w:val="003B23C5"/>
    <w:rsid w:val="003B2A75"/>
    <w:rsid w:val="003B31E3"/>
    <w:rsid w:val="003B60B0"/>
    <w:rsid w:val="003C068E"/>
    <w:rsid w:val="003C32BC"/>
    <w:rsid w:val="003C3451"/>
    <w:rsid w:val="003C3EA4"/>
    <w:rsid w:val="003C5A18"/>
    <w:rsid w:val="003C6043"/>
    <w:rsid w:val="003D4726"/>
    <w:rsid w:val="003D4AC4"/>
    <w:rsid w:val="003D5AC5"/>
    <w:rsid w:val="003D5F5B"/>
    <w:rsid w:val="003D63B7"/>
    <w:rsid w:val="003E29EE"/>
    <w:rsid w:val="003E2B1B"/>
    <w:rsid w:val="003E468B"/>
    <w:rsid w:val="003E5BA8"/>
    <w:rsid w:val="003E5EB5"/>
    <w:rsid w:val="003E6658"/>
    <w:rsid w:val="003F5C8C"/>
    <w:rsid w:val="003F77E7"/>
    <w:rsid w:val="003F7E7D"/>
    <w:rsid w:val="00401FE3"/>
    <w:rsid w:val="00402941"/>
    <w:rsid w:val="00402F8F"/>
    <w:rsid w:val="00403EAD"/>
    <w:rsid w:val="00403F09"/>
    <w:rsid w:val="00404F57"/>
    <w:rsid w:val="00411500"/>
    <w:rsid w:val="00413288"/>
    <w:rsid w:val="00420CED"/>
    <w:rsid w:val="0042364A"/>
    <w:rsid w:val="004312EA"/>
    <w:rsid w:val="00437723"/>
    <w:rsid w:val="0044075B"/>
    <w:rsid w:val="004418B1"/>
    <w:rsid w:val="00444F92"/>
    <w:rsid w:val="004465BD"/>
    <w:rsid w:val="004466B2"/>
    <w:rsid w:val="00450C98"/>
    <w:rsid w:val="00452721"/>
    <w:rsid w:val="00460525"/>
    <w:rsid w:val="00460843"/>
    <w:rsid w:val="00462CA1"/>
    <w:rsid w:val="00464A00"/>
    <w:rsid w:val="00465D2F"/>
    <w:rsid w:val="00466AAC"/>
    <w:rsid w:val="00466ADA"/>
    <w:rsid w:val="004734D7"/>
    <w:rsid w:val="00473BB0"/>
    <w:rsid w:val="00475004"/>
    <w:rsid w:val="00476245"/>
    <w:rsid w:val="00481FA5"/>
    <w:rsid w:val="00483900"/>
    <w:rsid w:val="00485940"/>
    <w:rsid w:val="004909BF"/>
    <w:rsid w:val="00491868"/>
    <w:rsid w:val="004A02C9"/>
    <w:rsid w:val="004A0FB6"/>
    <w:rsid w:val="004A2484"/>
    <w:rsid w:val="004A2CF0"/>
    <w:rsid w:val="004A4D16"/>
    <w:rsid w:val="004A58DC"/>
    <w:rsid w:val="004A5A85"/>
    <w:rsid w:val="004A6969"/>
    <w:rsid w:val="004A6C59"/>
    <w:rsid w:val="004B08AF"/>
    <w:rsid w:val="004B0BF8"/>
    <w:rsid w:val="004B3B72"/>
    <w:rsid w:val="004B5640"/>
    <w:rsid w:val="004C0C70"/>
    <w:rsid w:val="004C1980"/>
    <w:rsid w:val="004C1BD7"/>
    <w:rsid w:val="004C217F"/>
    <w:rsid w:val="004C35E6"/>
    <w:rsid w:val="004C6829"/>
    <w:rsid w:val="004C691D"/>
    <w:rsid w:val="004C7BEF"/>
    <w:rsid w:val="004D4231"/>
    <w:rsid w:val="004D640C"/>
    <w:rsid w:val="004D7B1D"/>
    <w:rsid w:val="004E09BC"/>
    <w:rsid w:val="004E4A53"/>
    <w:rsid w:val="004E5D2D"/>
    <w:rsid w:val="004E692D"/>
    <w:rsid w:val="004F1A03"/>
    <w:rsid w:val="004F4F47"/>
    <w:rsid w:val="004F6736"/>
    <w:rsid w:val="004F6B27"/>
    <w:rsid w:val="004F7494"/>
    <w:rsid w:val="004F7A0B"/>
    <w:rsid w:val="0050015D"/>
    <w:rsid w:val="00501365"/>
    <w:rsid w:val="00501554"/>
    <w:rsid w:val="0050312A"/>
    <w:rsid w:val="00505130"/>
    <w:rsid w:val="00511750"/>
    <w:rsid w:val="0051282A"/>
    <w:rsid w:val="00514CD7"/>
    <w:rsid w:val="005205F0"/>
    <w:rsid w:val="005215B6"/>
    <w:rsid w:val="00522445"/>
    <w:rsid w:val="005303C5"/>
    <w:rsid w:val="005319B2"/>
    <w:rsid w:val="00532C74"/>
    <w:rsid w:val="00532D61"/>
    <w:rsid w:val="0053383D"/>
    <w:rsid w:val="00534E2E"/>
    <w:rsid w:val="005356B7"/>
    <w:rsid w:val="0053648A"/>
    <w:rsid w:val="00536558"/>
    <w:rsid w:val="00540620"/>
    <w:rsid w:val="00542A10"/>
    <w:rsid w:val="00542AAE"/>
    <w:rsid w:val="00544552"/>
    <w:rsid w:val="00545224"/>
    <w:rsid w:val="00563452"/>
    <w:rsid w:val="00563C35"/>
    <w:rsid w:val="00566BCB"/>
    <w:rsid w:val="005705B6"/>
    <w:rsid w:val="005706FB"/>
    <w:rsid w:val="00575093"/>
    <w:rsid w:val="00576B8D"/>
    <w:rsid w:val="00576EBD"/>
    <w:rsid w:val="00581932"/>
    <w:rsid w:val="00583A19"/>
    <w:rsid w:val="00585693"/>
    <w:rsid w:val="00586FB4"/>
    <w:rsid w:val="00587969"/>
    <w:rsid w:val="00592FC7"/>
    <w:rsid w:val="005932FE"/>
    <w:rsid w:val="005935BA"/>
    <w:rsid w:val="005939DA"/>
    <w:rsid w:val="00593C37"/>
    <w:rsid w:val="005963BB"/>
    <w:rsid w:val="0059662A"/>
    <w:rsid w:val="005A00E3"/>
    <w:rsid w:val="005A1D6D"/>
    <w:rsid w:val="005A1E08"/>
    <w:rsid w:val="005A3173"/>
    <w:rsid w:val="005A3223"/>
    <w:rsid w:val="005A3DA3"/>
    <w:rsid w:val="005A52C4"/>
    <w:rsid w:val="005B0487"/>
    <w:rsid w:val="005B347A"/>
    <w:rsid w:val="005B3889"/>
    <w:rsid w:val="005B38B1"/>
    <w:rsid w:val="005B477B"/>
    <w:rsid w:val="005B569B"/>
    <w:rsid w:val="005B587C"/>
    <w:rsid w:val="005B6EC1"/>
    <w:rsid w:val="005C28F9"/>
    <w:rsid w:val="005C5405"/>
    <w:rsid w:val="005D03AB"/>
    <w:rsid w:val="005D2ED9"/>
    <w:rsid w:val="005D5017"/>
    <w:rsid w:val="005E0BA0"/>
    <w:rsid w:val="005E147B"/>
    <w:rsid w:val="005E43EF"/>
    <w:rsid w:val="005E684B"/>
    <w:rsid w:val="005E7F13"/>
    <w:rsid w:val="005F0900"/>
    <w:rsid w:val="005F5DCA"/>
    <w:rsid w:val="005F7387"/>
    <w:rsid w:val="00601A91"/>
    <w:rsid w:val="00602BA3"/>
    <w:rsid w:val="00603997"/>
    <w:rsid w:val="00603DAE"/>
    <w:rsid w:val="006064F9"/>
    <w:rsid w:val="006067CC"/>
    <w:rsid w:val="006102C5"/>
    <w:rsid w:val="00610DAB"/>
    <w:rsid w:val="00613A73"/>
    <w:rsid w:val="00614159"/>
    <w:rsid w:val="00614EFF"/>
    <w:rsid w:val="0061542E"/>
    <w:rsid w:val="00615553"/>
    <w:rsid w:val="00617C00"/>
    <w:rsid w:val="00621F08"/>
    <w:rsid w:val="006230CD"/>
    <w:rsid w:val="00625191"/>
    <w:rsid w:val="006263BF"/>
    <w:rsid w:val="0062748A"/>
    <w:rsid w:val="00627572"/>
    <w:rsid w:val="006304FD"/>
    <w:rsid w:val="00630A2C"/>
    <w:rsid w:val="00635385"/>
    <w:rsid w:val="00637D2D"/>
    <w:rsid w:val="006407AE"/>
    <w:rsid w:val="00641F5E"/>
    <w:rsid w:val="00642341"/>
    <w:rsid w:val="00642A6A"/>
    <w:rsid w:val="00644EB8"/>
    <w:rsid w:val="006469BA"/>
    <w:rsid w:val="0065097E"/>
    <w:rsid w:val="00651169"/>
    <w:rsid w:val="00651539"/>
    <w:rsid w:val="00652E70"/>
    <w:rsid w:val="00653D69"/>
    <w:rsid w:val="00653F4E"/>
    <w:rsid w:val="00654985"/>
    <w:rsid w:val="0065625A"/>
    <w:rsid w:val="00656AA3"/>
    <w:rsid w:val="006573E9"/>
    <w:rsid w:val="0066304F"/>
    <w:rsid w:val="00663512"/>
    <w:rsid w:val="00663BC9"/>
    <w:rsid w:val="0066474A"/>
    <w:rsid w:val="00664C1F"/>
    <w:rsid w:val="00667112"/>
    <w:rsid w:val="00670A76"/>
    <w:rsid w:val="006711AA"/>
    <w:rsid w:val="00671A0A"/>
    <w:rsid w:val="00671F26"/>
    <w:rsid w:val="00672B57"/>
    <w:rsid w:val="00675622"/>
    <w:rsid w:val="0067596C"/>
    <w:rsid w:val="00675C09"/>
    <w:rsid w:val="00681042"/>
    <w:rsid w:val="00683EE9"/>
    <w:rsid w:val="00687D98"/>
    <w:rsid w:val="006906DB"/>
    <w:rsid w:val="00695478"/>
    <w:rsid w:val="0069673B"/>
    <w:rsid w:val="006A0A21"/>
    <w:rsid w:val="006A12A5"/>
    <w:rsid w:val="006A130A"/>
    <w:rsid w:val="006A3A98"/>
    <w:rsid w:val="006A4051"/>
    <w:rsid w:val="006A4E35"/>
    <w:rsid w:val="006B0D94"/>
    <w:rsid w:val="006B1A85"/>
    <w:rsid w:val="006B485D"/>
    <w:rsid w:val="006B4DB2"/>
    <w:rsid w:val="006B6160"/>
    <w:rsid w:val="006B72BB"/>
    <w:rsid w:val="006C0B37"/>
    <w:rsid w:val="006C2339"/>
    <w:rsid w:val="006C2DA0"/>
    <w:rsid w:val="006C302E"/>
    <w:rsid w:val="006C37D7"/>
    <w:rsid w:val="006C41D1"/>
    <w:rsid w:val="006C5367"/>
    <w:rsid w:val="006C708E"/>
    <w:rsid w:val="006D0185"/>
    <w:rsid w:val="006D0290"/>
    <w:rsid w:val="006D0B5F"/>
    <w:rsid w:val="006D16FC"/>
    <w:rsid w:val="006D38A9"/>
    <w:rsid w:val="006D6EC7"/>
    <w:rsid w:val="006F054B"/>
    <w:rsid w:val="006F1BB9"/>
    <w:rsid w:val="006F2FE9"/>
    <w:rsid w:val="006F4D2A"/>
    <w:rsid w:val="006F4E3D"/>
    <w:rsid w:val="006F5125"/>
    <w:rsid w:val="0070107A"/>
    <w:rsid w:val="007010F4"/>
    <w:rsid w:val="007069E8"/>
    <w:rsid w:val="0070745D"/>
    <w:rsid w:val="00707811"/>
    <w:rsid w:val="00712294"/>
    <w:rsid w:val="0071352C"/>
    <w:rsid w:val="00715508"/>
    <w:rsid w:val="007174BB"/>
    <w:rsid w:val="00717B80"/>
    <w:rsid w:val="00721FAC"/>
    <w:rsid w:val="00725C56"/>
    <w:rsid w:val="007272B3"/>
    <w:rsid w:val="007276A1"/>
    <w:rsid w:val="007306DC"/>
    <w:rsid w:val="00730CB7"/>
    <w:rsid w:val="007405B5"/>
    <w:rsid w:val="00742CD5"/>
    <w:rsid w:val="0074420F"/>
    <w:rsid w:val="00744544"/>
    <w:rsid w:val="00744E1E"/>
    <w:rsid w:val="00751988"/>
    <w:rsid w:val="007545F7"/>
    <w:rsid w:val="0076420C"/>
    <w:rsid w:val="00765D90"/>
    <w:rsid w:val="00767FFE"/>
    <w:rsid w:val="00770FE6"/>
    <w:rsid w:val="00771242"/>
    <w:rsid w:val="00771EE8"/>
    <w:rsid w:val="007753C2"/>
    <w:rsid w:val="007776B0"/>
    <w:rsid w:val="00777AA0"/>
    <w:rsid w:val="0078136E"/>
    <w:rsid w:val="00782F47"/>
    <w:rsid w:val="007838B8"/>
    <w:rsid w:val="007848C1"/>
    <w:rsid w:val="00785725"/>
    <w:rsid w:val="00790B7F"/>
    <w:rsid w:val="00792154"/>
    <w:rsid w:val="0079293E"/>
    <w:rsid w:val="0079430F"/>
    <w:rsid w:val="00795505"/>
    <w:rsid w:val="007A0DC6"/>
    <w:rsid w:val="007A69B3"/>
    <w:rsid w:val="007A79BF"/>
    <w:rsid w:val="007B32BE"/>
    <w:rsid w:val="007B4A91"/>
    <w:rsid w:val="007B592A"/>
    <w:rsid w:val="007B7EDA"/>
    <w:rsid w:val="007C018D"/>
    <w:rsid w:val="007C0F57"/>
    <w:rsid w:val="007C0F83"/>
    <w:rsid w:val="007C29AC"/>
    <w:rsid w:val="007C40B6"/>
    <w:rsid w:val="007C445A"/>
    <w:rsid w:val="007C503E"/>
    <w:rsid w:val="007C729F"/>
    <w:rsid w:val="007D1678"/>
    <w:rsid w:val="007D5FF4"/>
    <w:rsid w:val="007D6F0C"/>
    <w:rsid w:val="007D7B48"/>
    <w:rsid w:val="007E0CAC"/>
    <w:rsid w:val="007E1D28"/>
    <w:rsid w:val="007E7EE8"/>
    <w:rsid w:val="007F10FC"/>
    <w:rsid w:val="007F2641"/>
    <w:rsid w:val="007F27B8"/>
    <w:rsid w:val="007F3130"/>
    <w:rsid w:val="007F4B7E"/>
    <w:rsid w:val="007F5229"/>
    <w:rsid w:val="007F5575"/>
    <w:rsid w:val="007F5B97"/>
    <w:rsid w:val="007F65E5"/>
    <w:rsid w:val="007F7C36"/>
    <w:rsid w:val="007F7E28"/>
    <w:rsid w:val="00800F14"/>
    <w:rsid w:val="0080189B"/>
    <w:rsid w:val="008041BC"/>
    <w:rsid w:val="00806184"/>
    <w:rsid w:val="0080672C"/>
    <w:rsid w:val="00806796"/>
    <w:rsid w:val="00810CD9"/>
    <w:rsid w:val="00811189"/>
    <w:rsid w:val="00811265"/>
    <w:rsid w:val="00814AA7"/>
    <w:rsid w:val="0081501E"/>
    <w:rsid w:val="008151D6"/>
    <w:rsid w:val="00822B23"/>
    <w:rsid w:val="00823F50"/>
    <w:rsid w:val="00824A2A"/>
    <w:rsid w:val="00826F6D"/>
    <w:rsid w:val="00830CBD"/>
    <w:rsid w:val="0083103F"/>
    <w:rsid w:val="008315C6"/>
    <w:rsid w:val="00835AAE"/>
    <w:rsid w:val="00836F88"/>
    <w:rsid w:val="00840ABA"/>
    <w:rsid w:val="00842836"/>
    <w:rsid w:val="00843C4C"/>
    <w:rsid w:val="00845349"/>
    <w:rsid w:val="0085145E"/>
    <w:rsid w:val="00851551"/>
    <w:rsid w:val="00855C4D"/>
    <w:rsid w:val="00856DDD"/>
    <w:rsid w:val="00857EE9"/>
    <w:rsid w:val="0086009D"/>
    <w:rsid w:val="00861F03"/>
    <w:rsid w:val="00863C8A"/>
    <w:rsid w:val="00863E68"/>
    <w:rsid w:val="008717A0"/>
    <w:rsid w:val="00871E5C"/>
    <w:rsid w:val="008720C2"/>
    <w:rsid w:val="0087404B"/>
    <w:rsid w:val="00882085"/>
    <w:rsid w:val="00882FE1"/>
    <w:rsid w:val="00882FF7"/>
    <w:rsid w:val="00883188"/>
    <w:rsid w:val="00884B0D"/>
    <w:rsid w:val="00886421"/>
    <w:rsid w:val="0088746A"/>
    <w:rsid w:val="0089263C"/>
    <w:rsid w:val="0089327A"/>
    <w:rsid w:val="00893EDB"/>
    <w:rsid w:val="0089431F"/>
    <w:rsid w:val="00897D58"/>
    <w:rsid w:val="008A0E8C"/>
    <w:rsid w:val="008A12B2"/>
    <w:rsid w:val="008A1956"/>
    <w:rsid w:val="008A337B"/>
    <w:rsid w:val="008A420A"/>
    <w:rsid w:val="008A4937"/>
    <w:rsid w:val="008A50F1"/>
    <w:rsid w:val="008A7BFD"/>
    <w:rsid w:val="008B1581"/>
    <w:rsid w:val="008B1C19"/>
    <w:rsid w:val="008B2969"/>
    <w:rsid w:val="008B7DF0"/>
    <w:rsid w:val="008C08C6"/>
    <w:rsid w:val="008C4ECC"/>
    <w:rsid w:val="008C7215"/>
    <w:rsid w:val="008C735C"/>
    <w:rsid w:val="008C757C"/>
    <w:rsid w:val="008C7E0A"/>
    <w:rsid w:val="008D1B5C"/>
    <w:rsid w:val="008D3C82"/>
    <w:rsid w:val="008D410A"/>
    <w:rsid w:val="008D447E"/>
    <w:rsid w:val="008D7A41"/>
    <w:rsid w:val="008D7C34"/>
    <w:rsid w:val="008D7F55"/>
    <w:rsid w:val="008E13BF"/>
    <w:rsid w:val="008E3680"/>
    <w:rsid w:val="008E5870"/>
    <w:rsid w:val="008E6AEB"/>
    <w:rsid w:val="008F1434"/>
    <w:rsid w:val="008F29AE"/>
    <w:rsid w:val="008F3C1F"/>
    <w:rsid w:val="008F5B45"/>
    <w:rsid w:val="008F7355"/>
    <w:rsid w:val="008F7A39"/>
    <w:rsid w:val="0090038F"/>
    <w:rsid w:val="009067B7"/>
    <w:rsid w:val="00913F6D"/>
    <w:rsid w:val="00917DCB"/>
    <w:rsid w:val="00924A12"/>
    <w:rsid w:val="00925427"/>
    <w:rsid w:val="00930115"/>
    <w:rsid w:val="00930937"/>
    <w:rsid w:val="00933E6C"/>
    <w:rsid w:val="00934104"/>
    <w:rsid w:val="009344CA"/>
    <w:rsid w:val="00935E1C"/>
    <w:rsid w:val="009365EE"/>
    <w:rsid w:val="00940492"/>
    <w:rsid w:val="00942160"/>
    <w:rsid w:val="00944A2A"/>
    <w:rsid w:val="00944BD4"/>
    <w:rsid w:val="009477B6"/>
    <w:rsid w:val="0095146F"/>
    <w:rsid w:val="00954A0C"/>
    <w:rsid w:val="00954CBA"/>
    <w:rsid w:val="00954DB2"/>
    <w:rsid w:val="00956958"/>
    <w:rsid w:val="00957237"/>
    <w:rsid w:val="009578BC"/>
    <w:rsid w:val="009602C5"/>
    <w:rsid w:val="00962223"/>
    <w:rsid w:val="0096359A"/>
    <w:rsid w:val="00966BB5"/>
    <w:rsid w:val="00974C21"/>
    <w:rsid w:val="009810A1"/>
    <w:rsid w:val="00993CD6"/>
    <w:rsid w:val="009948DD"/>
    <w:rsid w:val="00994C18"/>
    <w:rsid w:val="009A1C73"/>
    <w:rsid w:val="009A6676"/>
    <w:rsid w:val="009B0F67"/>
    <w:rsid w:val="009B3920"/>
    <w:rsid w:val="009B3C3C"/>
    <w:rsid w:val="009B54FB"/>
    <w:rsid w:val="009C0428"/>
    <w:rsid w:val="009C05B0"/>
    <w:rsid w:val="009C0B11"/>
    <w:rsid w:val="009C10A4"/>
    <w:rsid w:val="009C5603"/>
    <w:rsid w:val="009C58BE"/>
    <w:rsid w:val="009C703C"/>
    <w:rsid w:val="009D1982"/>
    <w:rsid w:val="009D3CAA"/>
    <w:rsid w:val="009D5154"/>
    <w:rsid w:val="009D6881"/>
    <w:rsid w:val="009E5C4C"/>
    <w:rsid w:val="009F0942"/>
    <w:rsid w:val="009F0D84"/>
    <w:rsid w:val="009F4759"/>
    <w:rsid w:val="009F4E46"/>
    <w:rsid w:val="009F5B65"/>
    <w:rsid w:val="009F5F2E"/>
    <w:rsid w:val="009F69CB"/>
    <w:rsid w:val="00A01963"/>
    <w:rsid w:val="00A02DF0"/>
    <w:rsid w:val="00A04ED7"/>
    <w:rsid w:val="00A06225"/>
    <w:rsid w:val="00A128E6"/>
    <w:rsid w:val="00A13812"/>
    <w:rsid w:val="00A17DD5"/>
    <w:rsid w:val="00A2102B"/>
    <w:rsid w:val="00A21783"/>
    <w:rsid w:val="00A2182E"/>
    <w:rsid w:val="00A23793"/>
    <w:rsid w:val="00A26A26"/>
    <w:rsid w:val="00A37C8D"/>
    <w:rsid w:val="00A41981"/>
    <w:rsid w:val="00A42166"/>
    <w:rsid w:val="00A44F8D"/>
    <w:rsid w:val="00A5052B"/>
    <w:rsid w:val="00A5273B"/>
    <w:rsid w:val="00A53A9D"/>
    <w:rsid w:val="00A54969"/>
    <w:rsid w:val="00A55FEE"/>
    <w:rsid w:val="00A57D73"/>
    <w:rsid w:val="00A60167"/>
    <w:rsid w:val="00A62C1A"/>
    <w:rsid w:val="00A6426D"/>
    <w:rsid w:val="00A657EC"/>
    <w:rsid w:val="00A66661"/>
    <w:rsid w:val="00A666EE"/>
    <w:rsid w:val="00A66A18"/>
    <w:rsid w:val="00A70622"/>
    <w:rsid w:val="00A70977"/>
    <w:rsid w:val="00A70F1B"/>
    <w:rsid w:val="00A72712"/>
    <w:rsid w:val="00A7295F"/>
    <w:rsid w:val="00A73AA0"/>
    <w:rsid w:val="00A77613"/>
    <w:rsid w:val="00A77DB1"/>
    <w:rsid w:val="00A800E7"/>
    <w:rsid w:val="00A82B21"/>
    <w:rsid w:val="00A8390C"/>
    <w:rsid w:val="00A84A0B"/>
    <w:rsid w:val="00A928BD"/>
    <w:rsid w:val="00A92FB9"/>
    <w:rsid w:val="00A95389"/>
    <w:rsid w:val="00AA2D61"/>
    <w:rsid w:val="00AA4D1C"/>
    <w:rsid w:val="00AA6F69"/>
    <w:rsid w:val="00AA7705"/>
    <w:rsid w:val="00AB01E2"/>
    <w:rsid w:val="00AC193C"/>
    <w:rsid w:val="00AC4439"/>
    <w:rsid w:val="00AC5206"/>
    <w:rsid w:val="00AC59F9"/>
    <w:rsid w:val="00AD0B0F"/>
    <w:rsid w:val="00AD1B2F"/>
    <w:rsid w:val="00AD6D74"/>
    <w:rsid w:val="00AE11A5"/>
    <w:rsid w:val="00AE13E2"/>
    <w:rsid w:val="00AE2703"/>
    <w:rsid w:val="00AE521C"/>
    <w:rsid w:val="00AF0E83"/>
    <w:rsid w:val="00AF1518"/>
    <w:rsid w:val="00AF5650"/>
    <w:rsid w:val="00AF630E"/>
    <w:rsid w:val="00AF68CC"/>
    <w:rsid w:val="00B01AE1"/>
    <w:rsid w:val="00B025A3"/>
    <w:rsid w:val="00B0280B"/>
    <w:rsid w:val="00B03FF7"/>
    <w:rsid w:val="00B06ADA"/>
    <w:rsid w:val="00B1059E"/>
    <w:rsid w:val="00B11293"/>
    <w:rsid w:val="00B118BD"/>
    <w:rsid w:val="00B128E8"/>
    <w:rsid w:val="00B205AA"/>
    <w:rsid w:val="00B22E84"/>
    <w:rsid w:val="00B232FF"/>
    <w:rsid w:val="00B23A08"/>
    <w:rsid w:val="00B25F75"/>
    <w:rsid w:val="00B2712B"/>
    <w:rsid w:val="00B3063F"/>
    <w:rsid w:val="00B31AF7"/>
    <w:rsid w:val="00B3335F"/>
    <w:rsid w:val="00B345F7"/>
    <w:rsid w:val="00B403D5"/>
    <w:rsid w:val="00B42469"/>
    <w:rsid w:val="00B43E90"/>
    <w:rsid w:val="00B467DC"/>
    <w:rsid w:val="00B50DFB"/>
    <w:rsid w:val="00B53DF7"/>
    <w:rsid w:val="00B54C49"/>
    <w:rsid w:val="00B56118"/>
    <w:rsid w:val="00B6031A"/>
    <w:rsid w:val="00B65D98"/>
    <w:rsid w:val="00B6773F"/>
    <w:rsid w:val="00B67A95"/>
    <w:rsid w:val="00B67CEC"/>
    <w:rsid w:val="00B71630"/>
    <w:rsid w:val="00B736BF"/>
    <w:rsid w:val="00B801BA"/>
    <w:rsid w:val="00B84DE6"/>
    <w:rsid w:val="00B863D5"/>
    <w:rsid w:val="00B92D4F"/>
    <w:rsid w:val="00B943F0"/>
    <w:rsid w:val="00B949FE"/>
    <w:rsid w:val="00B95751"/>
    <w:rsid w:val="00B96175"/>
    <w:rsid w:val="00BA2594"/>
    <w:rsid w:val="00BA777A"/>
    <w:rsid w:val="00BB1798"/>
    <w:rsid w:val="00BB22CA"/>
    <w:rsid w:val="00BB3835"/>
    <w:rsid w:val="00BB69F5"/>
    <w:rsid w:val="00BB7EC3"/>
    <w:rsid w:val="00BC03AA"/>
    <w:rsid w:val="00BC1B0B"/>
    <w:rsid w:val="00BC4B9A"/>
    <w:rsid w:val="00BC53C6"/>
    <w:rsid w:val="00BC6EFB"/>
    <w:rsid w:val="00BC7A52"/>
    <w:rsid w:val="00BD2373"/>
    <w:rsid w:val="00BD5AE9"/>
    <w:rsid w:val="00BD5E09"/>
    <w:rsid w:val="00BD643B"/>
    <w:rsid w:val="00BD6B66"/>
    <w:rsid w:val="00BD784C"/>
    <w:rsid w:val="00BE3D69"/>
    <w:rsid w:val="00BE3FEB"/>
    <w:rsid w:val="00BE505D"/>
    <w:rsid w:val="00BE6FF6"/>
    <w:rsid w:val="00BE75E4"/>
    <w:rsid w:val="00BF2E95"/>
    <w:rsid w:val="00BF2FD8"/>
    <w:rsid w:val="00BF4CB6"/>
    <w:rsid w:val="00BF5E28"/>
    <w:rsid w:val="00BF7C48"/>
    <w:rsid w:val="00C00DA7"/>
    <w:rsid w:val="00C02129"/>
    <w:rsid w:val="00C03E8A"/>
    <w:rsid w:val="00C04F8D"/>
    <w:rsid w:val="00C05B1A"/>
    <w:rsid w:val="00C11DF5"/>
    <w:rsid w:val="00C12768"/>
    <w:rsid w:val="00C135DC"/>
    <w:rsid w:val="00C14293"/>
    <w:rsid w:val="00C171AA"/>
    <w:rsid w:val="00C17DFB"/>
    <w:rsid w:val="00C217D9"/>
    <w:rsid w:val="00C21D07"/>
    <w:rsid w:val="00C27B58"/>
    <w:rsid w:val="00C3331F"/>
    <w:rsid w:val="00C343D5"/>
    <w:rsid w:val="00C3504A"/>
    <w:rsid w:val="00C35140"/>
    <w:rsid w:val="00C353B4"/>
    <w:rsid w:val="00C35996"/>
    <w:rsid w:val="00C35C0F"/>
    <w:rsid w:val="00C36407"/>
    <w:rsid w:val="00C36F0D"/>
    <w:rsid w:val="00C41703"/>
    <w:rsid w:val="00C41B4A"/>
    <w:rsid w:val="00C45110"/>
    <w:rsid w:val="00C5028B"/>
    <w:rsid w:val="00C51CDA"/>
    <w:rsid w:val="00C51FC8"/>
    <w:rsid w:val="00C5342C"/>
    <w:rsid w:val="00C603D4"/>
    <w:rsid w:val="00C6062C"/>
    <w:rsid w:val="00C61370"/>
    <w:rsid w:val="00C6256A"/>
    <w:rsid w:val="00C654DB"/>
    <w:rsid w:val="00C711B8"/>
    <w:rsid w:val="00C72298"/>
    <w:rsid w:val="00C7268C"/>
    <w:rsid w:val="00C72C75"/>
    <w:rsid w:val="00C72E4F"/>
    <w:rsid w:val="00C764A6"/>
    <w:rsid w:val="00C857FC"/>
    <w:rsid w:val="00C85C2A"/>
    <w:rsid w:val="00C8651A"/>
    <w:rsid w:val="00C86917"/>
    <w:rsid w:val="00C91449"/>
    <w:rsid w:val="00C92D10"/>
    <w:rsid w:val="00C94C50"/>
    <w:rsid w:val="00C97876"/>
    <w:rsid w:val="00C9793E"/>
    <w:rsid w:val="00CA08EC"/>
    <w:rsid w:val="00CA0B1C"/>
    <w:rsid w:val="00CA3DC9"/>
    <w:rsid w:val="00CA7345"/>
    <w:rsid w:val="00CB0E35"/>
    <w:rsid w:val="00CB5044"/>
    <w:rsid w:val="00CB590F"/>
    <w:rsid w:val="00CB6E7D"/>
    <w:rsid w:val="00CB7442"/>
    <w:rsid w:val="00CC469D"/>
    <w:rsid w:val="00CC5AD3"/>
    <w:rsid w:val="00CD0560"/>
    <w:rsid w:val="00CD126D"/>
    <w:rsid w:val="00CD47C2"/>
    <w:rsid w:val="00CD6C64"/>
    <w:rsid w:val="00CD7057"/>
    <w:rsid w:val="00CE10C4"/>
    <w:rsid w:val="00CE27B5"/>
    <w:rsid w:val="00CE3E9C"/>
    <w:rsid w:val="00CE4F41"/>
    <w:rsid w:val="00CE563A"/>
    <w:rsid w:val="00CE5F9E"/>
    <w:rsid w:val="00CE6C7A"/>
    <w:rsid w:val="00CE6E32"/>
    <w:rsid w:val="00D02899"/>
    <w:rsid w:val="00D0321E"/>
    <w:rsid w:val="00D0797A"/>
    <w:rsid w:val="00D10255"/>
    <w:rsid w:val="00D103F8"/>
    <w:rsid w:val="00D1455A"/>
    <w:rsid w:val="00D149FB"/>
    <w:rsid w:val="00D168FA"/>
    <w:rsid w:val="00D20BA3"/>
    <w:rsid w:val="00D21010"/>
    <w:rsid w:val="00D217DD"/>
    <w:rsid w:val="00D21A9D"/>
    <w:rsid w:val="00D23363"/>
    <w:rsid w:val="00D259E5"/>
    <w:rsid w:val="00D30524"/>
    <w:rsid w:val="00D3138B"/>
    <w:rsid w:val="00D31FDE"/>
    <w:rsid w:val="00D32294"/>
    <w:rsid w:val="00D3280C"/>
    <w:rsid w:val="00D32D67"/>
    <w:rsid w:val="00D3406A"/>
    <w:rsid w:val="00D345FD"/>
    <w:rsid w:val="00D34FF6"/>
    <w:rsid w:val="00D3598E"/>
    <w:rsid w:val="00D37B58"/>
    <w:rsid w:val="00D40BEF"/>
    <w:rsid w:val="00D43732"/>
    <w:rsid w:val="00D4651B"/>
    <w:rsid w:val="00D469B2"/>
    <w:rsid w:val="00D47F3F"/>
    <w:rsid w:val="00D55E5F"/>
    <w:rsid w:val="00D56586"/>
    <w:rsid w:val="00D609C3"/>
    <w:rsid w:val="00D61C0C"/>
    <w:rsid w:val="00D631BE"/>
    <w:rsid w:val="00D63F5D"/>
    <w:rsid w:val="00D71793"/>
    <w:rsid w:val="00D741EB"/>
    <w:rsid w:val="00D75B96"/>
    <w:rsid w:val="00D7637B"/>
    <w:rsid w:val="00D84934"/>
    <w:rsid w:val="00D84AC8"/>
    <w:rsid w:val="00D86D7B"/>
    <w:rsid w:val="00D90AA4"/>
    <w:rsid w:val="00D90EA6"/>
    <w:rsid w:val="00D91271"/>
    <w:rsid w:val="00D936E0"/>
    <w:rsid w:val="00DA1796"/>
    <w:rsid w:val="00DA2CB5"/>
    <w:rsid w:val="00DA34C9"/>
    <w:rsid w:val="00DA42A4"/>
    <w:rsid w:val="00DA4BAC"/>
    <w:rsid w:val="00DC05D1"/>
    <w:rsid w:val="00DC3061"/>
    <w:rsid w:val="00DC34A8"/>
    <w:rsid w:val="00DC600B"/>
    <w:rsid w:val="00DC63EA"/>
    <w:rsid w:val="00DD1862"/>
    <w:rsid w:val="00DD32F5"/>
    <w:rsid w:val="00DD48D5"/>
    <w:rsid w:val="00DE4242"/>
    <w:rsid w:val="00DE6D27"/>
    <w:rsid w:val="00DE7047"/>
    <w:rsid w:val="00DF0BB9"/>
    <w:rsid w:val="00DF217D"/>
    <w:rsid w:val="00DF26A7"/>
    <w:rsid w:val="00DF35F8"/>
    <w:rsid w:val="00DF3835"/>
    <w:rsid w:val="00DF3CBC"/>
    <w:rsid w:val="00DF57B4"/>
    <w:rsid w:val="00DF5AEE"/>
    <w:rsid w:val="00E00BC2"/>
    <w:rsid w:val="00E013E3"/>
    <w:rsid w:val="00E01FCD"/>
    <w:rsid w:val="00E068FF"/>
    <w:rsid w:val="00E12D59"/>
    <w:rsid w:val="00E13D61"/>
    <w:rsid w:val="00E15627"/>
    <w:rsid w:val="00E164B3"/>
    <w:rsid w:val="00E16910"/>
    <w:rsid w:val="00E16D0F"/>
    <w:rsid w:val="00E17E49"/>
    <w:rsid w:val="00E200F3"/>
    <w:rsid w:val="00E205ED"/>
    <w:rsid w:val="00E21E30"/>
    <w:rsid w:val="00E22EDF"/>
    <w:rsid w:val="00E268B2"/>
    <w:rsid w:val="00E26DB9"/>
    <w:rsid w:val="00E313F7"/>
    <w:rsid w:val="00E3224D"/>
    <w:rsid w:val="00E32791"/>
    <w:rsid w:val="00E35C4F"/>
    <w:rsid w:val="00E40CA8"/>
    <w:rsid w:val="00E42EFC"/>
    <w:rsid w:val="00E4476D"/>
    <w:rsid w:val="00E44BE0"/>
    <w:rsid w:val="00E4590F"/>
    <w:rsid w:val="00E4760A"/>
    <w:rsid w:val="00E518BE"/>
    <w:rsid w:val="00E52825"/>
    <w:rsid w:val="00E537C1"/>
    <w:rsid w:val="00E56305"/>
    <w:rsid w:val="00E65E54"/>
    <w:rsid w:val="00E65FEC"/>
    <w:rsid w:val="00E678C4"/>
    <w:rsid w:val="00E67EE1"/>
    <w:rsid w:val="00E71603"/>
    <w:rsid w:val="00E718B4"/>
    <w:rsid w:val="00E75A5C"/>
    <w:rsid w:val="00E76846"/>
    <w:rsid w:val="00E80155"/>
    <w:rsid w:val="00E8202A"/>
    <w:rsid w:val="00E839AE"/>
    <w:rsid w:val="00E84268"/>
    <w:rsid w:val="00E848C0"/>
    <w:rsid w:val="00E84E17"/>
    <w:rsid w:val="00E8728E"/>
    <w:rsid w:val="00E87965"/>
    <w:rsid w:val="00E911D7"/>
    <w:rsid w:val="00E91B96"/>
    <w:rsid w:val="00E91CDF"/>
    <w:rsid w:val="00E91F83"/>
    <w:rsid w:val="00E941A1"/>
    <w:rsid w:val="00E955A3"/>
    <w:rsid w:val="00E9587E"/>
    <w:rsid w:val="00E95CE3"/>
    <w:rsid w:val="00EA1344"/>
    <w:rsid w:val="00EA2825"/>
    <w:rsid w:val="00EA3E5C"/>
    <w:rsid w:val="00EA62FD"/>
    <w:rsid w:val="00EA75D6"/>
    <w:rsid w:val="00EB2978"/>
    <w:rsid w:val="00EB5088"/>
    <w:rsid w:val="00EB565D"/>
    <w:rsid w:val="00EC4951"/>
    <w:rsid w:val="00EC59D8"/>
    <w:rsid w:val="00EC7ADE"/>
    <w:rsid w:val="00ED09EB"/>
    <w:rsid w:val="00ED1644"/>
    <w:rsid w:val="00ED2593"/>
    <w:rsid w:val="00ED25AE"/>
    <w:rsid w:val="00ED70F8"/>
    <w:rsid w:val="00ED71B5"/>
    <w:rsid w:val="00ED7B7C"/>
    <w:rsid w:val="00EE2758"/>
    <w:rsid w:val="00EF340E"/>
    <w:rsid w:val="00EF4009"/>
    <w:rsid w:val="00EF44A0"/>
    <w:rsid w:val="00EF4FED"/>
    <w:rsid w:val="00EF5FEF"/>
    <w:rsid w:val="00EF6721"/>
    <w:rsid w:val="00EF7382"/>
    <w:rsid w:val="00F01119"/>
    <w:rsid w:val="00F01A7A"/>
    <w:rsid w:val="00F01F72"/>
    <w:rsid w:val="00F02742"/>
    <w:rsid w:val="00F037A7"/>
    <w:rsid w:val="00F042D5"/>
    <w:rsid w:val="00F050BD"/>
    <w:rsid w:val="00F05657"/>
    <w:rsid w:val="00F1000B"/>
    <w:rsid w:val="00F12280"/>
    <w:rsid w:val="00F1269C"/>
    <w:rsid w:val="00F1315D"/>
    <w:rsid w:val="00F13546"/>
    <w:rsid w:val="00F13FD2"/>
    <w:rsid w:val="00F1531D"/>
    <w:rsid w:val="00F15354"/>
    <w:rsid w:val="00F16B54"/>
    <w:rsid w:val="00F208AA"/>
    <w:rsid w:val="00F21416"/>
    <w:rsid w:val="00F234A8"/>
    <w:rsid w:val="00F25578"/>
    <w:rsid w:val="00F258E5"/>
    <w:rsid w:val="00F300BC"/>
    <w:rsid w:val="00F322C3"/>
    <w:rsid w:val="00F32999"/>
    <w:rsid w:val="00F3334E"/>
    <w:rsid w:val="00F41F6E"/>
    <w:rsid w:val="00F50EC4"/>
    <w:rsid w:val="00F51F33"/>
    <w:rsid w:val="00F55E97"/>
    <w:rsid w:val="00F55F37"/>
    <w:rsid w:val="00F579C0"/>
    <w:rsid w:val="00F57A6D"/>
    <w:rsid w:val="00F6208D"/>
    <w:rsid w:val="00F63240"/>
    <w:rsid w:val="00F638CC"/>
    <w:rsid w:val="00F643DF"/>
    <w:rsid w:val="00F64637"/>
    <w:rsid w:val="00F64CC1"/>
    <w:rsid w:val="00F67F32"/>
    <w:rsid w:val="00F72195"/>
    <w:rsid w:val="00F74DA3"/>
    <w:rsid w:val="00F76873"/>
    <w:rsid w:val="00F77139"/>
    <w:rsid w:val="00F77267"/>
    <w:rsid w:val="00F8247A"/>
    <w:rsid w:val="00F8460B"/>
    <w:rsid w:val="00F87B4F"/>
    <w:rsid w:val="00F900CF"/>
    <w:rsid w:val="00F9070C"/>
    <w:rsid w:val="00F93BED"/>
    <w:rsid w:val="00F9629A"/>
    <w:rsid w:val="00F968ED"/>
    <w:rsid w:val="00FA0D40"/>
    <w:rsid w:val="00FA5883"/>
    <w:rsid w:val="00FA59B4"/>
    <w:rsid w:val="00FA5A2B"/>
    <w:rsid w:val="00FA6055"/>
    <w:rsid w:val="00FA69DF"/>
    <w:rsid w:val="00FA7302"/>
    <w:rsid w:val="00FA74B6"/>
    <w:rsid w:val="00FB2411"/>
    <w:rsid w:val="00FB322F"/>
    <w:rsid w:val="00FB442F"/>
    <w:rsid w:val="00FB578F"/>
    <w:rsid w:val="00FC1929"/>
    <w:rsid w:val="00FC230F"/>
    <w:rsid w:val="00FC35F4"/>
    <w:rsid w:val="00FC561F"/>
    <w:rsid w:val="00FC5B46"/>
    <w:rsid w:val="00FD0269"/>
    <w:rsid w:val="00FD1626"/>
    <w:rsid w:val="00FD19CF"/>
    <w:rsid w:val="00FD23C4"/>
    <w:rsid w:val="00FE0E94"/>
    <w:rsid w:val="00FE3505"/>
    <w:rsid w:val="00FF00BD"/>
    <w:rsid w:val="00FF1ED4"/>
    <w:rsid w:val="00FF2801"/>
    <w:rsid w:val="00FF2CA6"/>
    <w:rsid w:val="00FF380A"/>
    <w:rsid w:val="00FF65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uiPriority="39"/>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3"/>
      </w:numPr>
      <w:tabs>
        <w:tab w:val="clear" w:pos="643"/>
      </w:tabs>
      <w:ind w:left="720" w:hanging="720"/>
      <w:outlineLvl w:val="0"/>
    </w:pPr>
    <w:rPr>
      <w:b/>
      <w:szCs w:val="22"/>
    </w:rPr>
  </w:style>
  <w:style w:type="paragraph" w:styleId="Heading2">
    <w:name w:val="heading 2"/>
    <w:basedOn w:val="Normal"/>
    <w:next w:val="Normal"/>
    <w:link w:val="Heading2Char"/>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Table Gridbeth"/>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aliases w:val="PBAC Paragraph Char"/>
    <w:link w:val="Subtitle"/>
    <w:semiHidden/>
    <w:rPr>
      <w:lang w:val="en-AU" w:eastAsia="en-US" w:bidi="ar-SA"/>
    </w:rPr>
  </w:style>
  <w:style w:type="paragraph" w:styleId="Subtitle">
    <w:name w:val="Subtitle"/>
    <w:aliases w:val="PBAC Paragraph"/>
    <w:basedOn w:val="Normal"/>
    <w:link w:val="SubtitleChar"/>
    <w:uiPriority w:val="11"/>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
      </w:numPr>
      <w:outlineLvl w:val="0"/>
    </w:pPr>
    <w:rPr>
      <w:rFonts w:ascii="Arial" w:hAnsi="Arial" w:cs="Arial"/>
      <w:b/>
      <w:snapToGrid w:val="0"/>
      <w:sz w:val="22"/>
      <w:szCs w:val="22"/>
      <w:lang w:eastAsia="en-US"/>
    </w:rPr>
  </w:style>
  <w:style w:type="paragraph" w:customStyle="1" w:styleId="PBACheading10">
    <w:name w:val="PBAC heading 1"/>
    <w:qFormat/>
    <w:rsid w:val="00F01A7A"/>
    <w:pPr>
      <w:ind w:left="720" w:hanging="720"/>
    </w:pPr>
    <w:rPr>
      <w:rFonts w:ascii="Arial" w:hAnsi="Arial" w:cs="Arial"/>
      <w:snapToGrid w:val="0"/>
      <w:sz w:val="22"/>
      <w:szCs w:val="22"/>
      <w:lang w:eastAsia="en-US"/>
    </w:rPr>
  </w:style>
  <w:style w:type="paragraph" w:customStyle="1" w:styleId="TableFooter">
    <w:name w:val="Table Footer"/>
    <w:basedOn w:val="Normal"/>
    <w:uiPriority w:val="4"/>
    <w:qFormat/>
    <w:rsid w:val="003B60B0"/>
    <w:pPr>
      <w:widowControl w:val="0"/>
      <w:jc w:val="both"/>
    </w:pPr>
    <w:rPr>
      <w:rFonts w:ascii="Arial Narrow" w:hAnsi="Arial Narrow" w:cs="Arial"/>
      <w:snapToGrid w:val="0"/>
      <w:sz w:val="18"/>
      <w:szCs w:val="20"/>
      <w:lang w:eastAsia="en-US"/>
    </w:rPr>
  </w:style>
  <w:style w:type="paragraph" w:styleId="FootnoteText">
    <w:name w:val="footnote text"/>
    <w:basedOn w:val="Normal"/>
    <w:link w:val="FootnoteTextChar"/>
    <w:uiPriority w:val="99"/>
    <w:semiHidden/>
    <w:unhideWhenUsed/>
    <w:rsid w:val="003B60B0"/>
    <w:pPr>
      <w:widowControl w:val="0"/>
      <w:jc w:val="both"/>
    </w:pPr>
    <w:rPr>
      <w:rFonts w:ascii="Arial" w:hAnsi="Arial" w:cs="Arial"/>
      <w:snapToGrid w:val="0"/>
      <w:sz w:val="20"/>
      <w:szCs w:val="20"/>
      <w:lang w:eastAsia="en-US"/>
    </w:rPr>
  </w:style>
  <w:style w:type="character" w:customStyle="1" w:styleId="FootnoteTextChar">
    <w:name w:val="Footnote Text Char"/>
    <w:basedOn w:val="DefaultParagraphFont"/>
    <w:link w:val="FootnoteText"/>
    <w:uiPriority w:val="99"/>
    <w:semiHidden/>
    <w:rsid w:val="003B60B0"/>
    <w:rPr>
      <w:rFonts w:ascii="Arial" w:hAnsi="Arial" w:cs="Arial"/>
      <w:snapToGrid w:val="0"/>
      <w:lang w:eastAsia="en-US"/>
    </w:rPr>
  </w:style>
  <w:style w:type="character" w:styleId="FootnoteReference">
    <w:name w:val="footnote reference"/>
    <w:basedOn w:val="DefaultParagraphFont"/>
    <w:semiHidden/>
    <w:unhideWhenUsed/>
    <w:rsid w:val="003B60B0"/>
    <w:rPr>
      <w:vertAlign w:val="superscript"/>
    </w:rPr>
  </w:style>
  <w:style w:type="paragraph" w:customStyle="1" w:styleId="TableText0">
    <w:name w:val="TableText"/>
    <w:basedOn w:val="Normal"/>
    <w:link w:val="TableTextChar"/>
    <w:uiPriority w:val="99"/>
    <w:qFormat/>
    <w:rsid w:val="00030467"/>
    <w:pPr>
      <w:keepNext/>
      <w:spacing w:before="40" w:after="40"/>
    </w:pPr>
    <w:rPr>
      <w:rFonts w:ascii="Arial Narrow" w:hAnsi="Arial Narrow" w:cs="Arial Narrow"/>
      <w:sz w:val="20"/>
      <w:szCs w:val="20"/>
      <w:lang w:eastAsia="en-US"/>
    </w:rPr>
  </w:style>
  <w:style w:type="character" w:customStyle="1" w:styleId="TableTextChar">
    <w:name w:val="TableText Char"/>
    <w:link w:val="TableText0"/>
    <w:uiPriority w:val="99"/>
    <w:rsid w:val="00030467"/>
    <w:rPr>
      <w:rFonts w:ascii="Arial Narrow" w:hAnsi="Arial Narrow" w:cs="Arial Narrow"/>
      <w:lang w:eastAsia="en-US"/>
    </w:rPr>
  </w:style>
  <w:style w:type="character" w:styleId="PlaceholderText">
    <w:name w:val="Placeholder Text"/>
    <w:basedOn w:val="DefaultParagraphFont"/>
    <w:uiPriority w:val="99"/>
    <w:unhideWhenUsed/>
    <w:rsid w:val="00296F70"/>
    <w:rPr>
      <w:color w:val="808080"/>
    </w:rPr>
  </w:style>
  <w:style w:type="character" w:customStyle="1" w:styleId="s1">
    <w:name w:val="s1"/>
    <w:basedOn w:val="DefaultParagraphFont"/>
    <w:rsid w:val="004418B1"/>
    <w:rPr>
      <w:rFonts w:ascii=".SFUIText" w:hAnsi=".SFUIText" w:hint="default"/>
      <w:b w:val="0"/>
      <w:bCs w:val="0"/>
      <w:i w:val="0"/>
      <w:iCs w:val="0"/>
      <w:sz w:val="34"/>
      <w:szCs w:val="34"/>
    </w:rPr>
  </w:style>
  <w:style w:type="character" w:customStyle="1" w:styleId="Heading2Char">
    <w:name w:val="Heading 2 Char"/>
    <w:basedOn w:val="DefaultParagraphFont"/>
    <w:link w:val="Heading2"/>
    <w:rsid w:val="00654985"/>
    <w:rPr>
      <w:rFonts w:ascii="Arial" w:hAnsi="Arial"/>
      <w:b/>
      <w:i/>
      <w:sz w:val="22"/>
      <w:szCs w:val="24"/>
    </w:rPr>
  </w:style>
  <w:style w:type="paragraph" w:customStyle="1" w:styleId="BodyText1">
    <w:name w:val="Body Text1"/>
    <w:basedOn w:val="Normal"/>
    <w:link w:val="BodytextChar"/>
    <w:uiPriority w:val="99"/>
    <w:qFormat/>
    <w:rsid w:val="00F968ED"/>
    <w:pPr>
      <w:widowControl w:val="0"/>
      <w:spacing w:after="240" w:line="360" w:lineRule="auto"/>
    </w:pPr>
    <w:rPr>
      <w:rFonts w:ascii="Arial" w:hAnsi="Arial"/>
      <w:sz w:val="22"/>
      <w:szCs w:val="18"/>
    </w:rPr>
  </w:style>
  <w:style w:type="character" w:customStyle="1" w:styleId="BodytextChar">
    <w:name w:val="Body text Char"/>
    <w:link w:val="BodyText1"/>
    <w:uiPriority w:val="99"/>
    <w:locked/>
    <w:rsid w:val="00F968ED"/>
    <w:rPr>
      <w:rFonts w:ascii="Arial" w:hAnsi="Arial"/>
      <w:sz w:val="22"/>
      <w:szCs w:val="18"/>
    </w:rPr>
  </w:style>
  <w:style w:type="paragraph" w:styleId="Revision">
    <w:name w:val="Revision"/>
    <w:hidden/>
    <w:uiPriority w:val="71"/>
    <w:semiHidden/>
    <w:rsid w:val="00364C7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uiPriority="39"/>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3"/>
      </w:numPr>
      <w:tabs>
        <w:tab w:val="clear" w:pos="643"/>
      </w:tabs>
      <w:ind w:left="720" w:hanging="720"/>
      <w:outlineLvl w:val="0"/>
    </w:pPr>
    <w:rPr>
      <w:b/>
      <w:szCs w:val="22"/>
    </w:rPr>
  </w:style>
  <w:style w:type="paragraph" w:styleId="Heading2">
    <w:name w:val="heading 2"/>
    <w:basedOn w:val="Normal"/>
    <w:next w:val="Normal"/>
    <w:link w:val="Heading2Char"/>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Table Gridbeth"/>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aliases w:val="PBAC Paragraph Char"/>
    <w:link w:val="Subtitle"/>
    <w:semiHidden/>
    <w:rPr>
      <w:lang w:val="en-AU" w:eastAsia="en-US" w:bidi="ar-SA"/>
    </w:rPr>
  </w:style>
  <w:style w:type="paragraph" w:styleId="Subtitle">
    <w:name w:val="Subtitle"/>
    <w:aliases w:val="PBAC Paragraph"/>
    <w:basedOn w:val="Normal"/>
    <w:link w:val="SubtitleChar"/>
    <w:uiPriority w:val="11"/>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
      </w:numPr>
      <w:outlineLvl w:val="0"/>
    </w:pPr>
    <w:rPr>
      <w:rFonts w:ascii="Arial" w:hAnsi="Arial" w:cs="Arial"/>
      <w:b/>
      <w:snapToGrid w:val="0"/>
      <w:sz w:val="22"/>
      <w:szCs w:val="22"/>
      <w:lang w:eastAsia="en-US"/>
    </w:rPr>
  </w:style>
  <w:style w:type="paragraph" w:customStyle="1" w:styleId="PBACheading10">
    <w:name w:val="PBAC heading 1"/>
    <w:qFormat/>
    <w:rsid w:val="00F01A7A"/>
    <w:pPr>
      <w:ind w:left="720" w:hanging="720"/>
    </w:pPr>
    <w:rPr>
      <w:rFonts w:ascii="Arial" w:hAnsi="Arial" w:cs="Arial"/>
      <w:snapToGrid w:val="0"/>
      <w:sz w:val="22"/>
      <w:szCs w:val="22"/>
      <w:lang w:eastAsia="en-US"/>
    </w:rPr>
  </w:style>
  <w:style w:type="paragraph" w:customStyle="1" w:styleId="TableFooter">
    <w:name w:val="Table Footer"/>
    <w:basedOn w:val="Normal"/>
    <w:uiPriority w:val="4"/>
    <w:qFormat/>
    <w:rsid w:val="003B60B0"/>
    <w:pPr>
      <w:widowControl w:val="0"/>
      <w:jc w:val="both"/>
    </w:pPr>
    <w:rPr>
      <w:rFonts w:ascii="Arial Narrow" w:hAnsi="Arial Narrow" w:cs="Arial"/>
      <w:snapToGrid w:val="0"/>
      <w:sz w:val="18"/>
      <w:szCs w:val="20"/>
      <w:lang w:eastAsia="en-US"/>
    </w:rPr>
  </w:style>
  <w:style w:type="paragraph" w:styleId="FootnoteText">
    <w:name w:val="footnote text"/>
    <w:basedOn w:val="Normal"/>
    <w:link w:val="FootnoteTextChar"/>
    <w:uiPriority w:val="99"/>
    <w:semiHidden/>
    <w:unhideWhenUsed/>
    <w:rsid w:val="003B60B0"/>
    <w:pPr>
      <w:widowControl w:val="0"/>
      <w:jc w:val="both"/>
    </w:pPr>
    <w:rPr>
      <w:rFonts w:ascii="Arial" w:hAnsi="Arial" w:cs="Arial"/>
      <w:snapToGrid w:val="0"/>
      <w:sz w:val="20"/>
      <w:szCs w:val="20"/>
      <w:lang w:eastAsia="en-US"/>
    </w:rPr>
  </w:style>
  <w:style w:type="character" w:customStyle="1" w:styleId="FootnoteTextChar">
    <w:name w:val="Footnote Text Char"/>
    <w:basedOn w:val="DefaultParagraphFont"/>
    <w:link w:val="FootnoteText"/>
    <w:uiPriority w:val="99"/>
    <w:semiHidden/>
    <w:rsid w:val="003B60B0"/>
    <w:rPr>
      <w:rFonts w:ascii="Arial" w:hAnsi="Arial" w:cs="Arial"/>
      <w:snapToGrid w:val="0"/>
      <w:lang w:eastAsia="en-US"/>
    </w:rPr>
  </w:style>
  <w:style w:type="character" w:styleId="FootnoteReference">
    <w:name w:val="footnote reference"/>
    <w:basedOn w:val="DefaultParagraphFont"/>
    <w:semiHidden/>
    <w:unhideWhenUsed/>
    <w:rsid w:val="003B60B0"/>
    <w:rPr>
      <w:vertAlign w:val="superscript"/>
    </w:rPr>
  </w:style>
  <w:style w:type="paragraph" w:customStyle="1" w:styleId="TableText0">
    <w:name w:val="TableText"/>
    <w:basedOn w:val="Normal"/>
    <w:link w:val="TableTextChar"/>
    <w:uiPriority w:val="99"/>
    <w:qFormat/>
    <w:rsid w:val="00030467"/>
    <w:pPr>
      <w:keepNext/>
      <w:spacing w:before="40" w:after="40"/>
    </w:pPr>
    <w:rPr>
      <w:rFonts w:ascii="Arial Narrow" w:hAnsi="Arial Narrow" w:cs="Arial Narrow"/>
      <w:sz w:val="20"/>
      <w:szCs w:val="20"/>
      <w:lang w:eastAsia="en-US"/>
    </w:rPr>
  </w:style>
  <w:style w:type="character" w:customStyle="1" w:styleId="TableTextChar">
    <w:name w:val="TableText Char"/>
    <w:link w:val="TableText0"/>
    <w:uiPriority w:val="99"/>
    <w:rsid w:val="00030467"/>
    <w:rPr>
      <w:rFonts w:ascii="Arial Narrow" w:hAnsi="Arial Narrow" w:cs="Arial Narrow"/>
      <w:lang w:eastAsia="en-US"/>
    </w:rPr>
  </w:style>
  <w:style w:type="character" w:styleId="PlaceholderText">
    <w:name w:val="Placeholder Text"/>
    <w:basedOn w:val="DefaultParagraphFont"/>
    <w:uiPriority w:val="99"/>
    <w:unhideWhenUsed/>
    <w:rsid w:val="00296F70"/>
    <w:rPr>
      <w:color w:val="808080"/>
    </w:rPr>
  </w:style>
  <w:style w:type="character" w:customStyle="1" w:styleId="s1">
    <w:name w:val="s1"/>
    <w:basedOn w:val="DefaultParagraphFont"/>
    <w:rsid w:val="004418B1"/>
    <w:rPr>
      <w:rFonts w:ascii=".SFUIText" w:hAnsi=".SFUIText" w:hint="default"/>
      <w:b w:val="0"/>
      <w:bCs w:val="0"/>
      <w:i w:val="0"/>
      <w:iCs w:val="0"/>
      <w:sz w:val="34"/>
      <w:szCs w:val="34"/>
    </w:rPr>
  </w:style>
  <w:style w:type="character" w:customStyle="1" w:styleId="Heading2Char">
    <w:name w:val="Heading 2 Char"/>
    <w:basedOn w:val="DefaultParagraphFont"/>
    <w:link w:val="Heading2"/>
    <w:rsid w:val="00654985"/>
    <w:rPr>
      <w:rFonts w:ascii="Arial" w:hAnsi="Arial"/>
      <w:b/>
      <w:i/>
      <w:sz w:val="22"/>
      <w:szCs w:val="24"/>
    </w:rPr>
  </w:style>
  <w:style w:type="paragraph" w:customStyle="1" w:styleId="BodyText1">
    <w:name w:val="Body Text1"/>
    <w:basedOn w:val="Normal"/>
    <w:link w:val="BodytextChar"/>
    <w:uiPriority w:val="99"/>
    <w:qFormat/>
    <w:rsid w:val="00F968ED"/>
    <w:pPr>
      <w:widowControl w:val="0"/>
      <w:spacing w:after="240" w:line="360" w:lineRule="auto"/>
    </w:pPr>
    <w:rPr>
      <w:rFonts w:ascii="Arial" w:hAnsi="Arial"/>
      <w:sz w:val="22"/>
      <w:szCs w:val="18"/>
    </w:rPr>
  </w:style>
  <w:style w:type="character" w:customStyle="1" w:styleId="BodytextChar">
    <w:name w:val="Body text Char"/>
    <w:link w:val="BodyText1"/>
    <w:uiPriority w:val="99"/>
    <w:locked/>
    <w:rsid w:val="00F968ED"/>
    <w:rPr>
      <w:rFonts w:ascii="Arial" w:hAnsi="Arial"/>
      <w:sz w:val="22"/>
      <w:szCs w:val="18"/>
    </w:rPr>
  </w:style>
  <w:style w:type="paragraph" w:styleId="Revision">
    <w:name w:val="Revision"/>
    <w:hidden/>
    <w:uiPriority w:val="71"/>
    <w:semiHidden/>
    <w:rsid w:val="00364C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55859336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88341764">
      <w:bodyDiv w:val="1"/>
      <w:marLeft w:val="0"/>
      <w:marRight w:val="0"/>
      <w:marTop w:val="0"/>
      <w:marBottom w:val="0"/>
      <w:divBdr>
        <w:top w:val="none" w:sz="0" w:space="0" w:color="auto"/>
        <w:left w:val="none" w:sz="0" w:space="0" w:color="auto"/>
        <w:bottom w:val="none" w:sz="0" w:space="0" w:color="auto"/>
        <w:right w:val="none" w:sz="0" w:space="0" w:color="auto"/>
      </w:divBdr>
    </w:div>
    <w:div w:id="929117087">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202971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tmp"/><Relationship Id="rId14" Type="http://schemas.openxmlformats.org/officeDocument/2006/relationships/footer" Target="footer2.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B727E-2A68-4CBF-A00C-3B27908DA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12191</Words>
  <Characters>68181</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2017-06-27T00:40:00Z</dcterms:created>
  <dcterms:modified xsi:type="dcterms:W3CDTF">2017-06-27T00:47:00Z</dcterms:modified>
</cp:coreProperties>
</file>