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0D5FE2" w:rsidRDefault="008608CD" w:rsidP="0090754F">
      <w:pPr>
        <w:pStyle w:val="Heading1"/>
        <w:jc w:val="left"/>
        <w:rPr>
          <w:sz w:val="28"/>
        </w:rPr>
      </w:pPr>
      <w:bookmarkStart w:id="0" w:name="_Toc471212084"/>
      <w:bookmarkStart w:id="1" w:name="_GoBack"/>
      <w:bookmarkEnd w:id="1"/>
      <w:r w:rsidRPr="000D5FE2">
        <w:rPr>
          <w:sz w:val="28"/>
        </w:rPr>
        <w:t>7</w:t>
      </w:r>
      <w:r w:rsidR="00B60939" w:rsidRPr="000D5FE2">
        <w:rPr>
          <w:sz w:val="28"/>
        </w:rPr>
        <w:t>.</w:t>
      </w:r>
      <w:r w:rsidR="00B109E4">
        <w:rPr>
          <w:sz w:val="28"/>
        </w:rPr>
        <w:t>0</w:t>
      </w:r>
      <w:r w:rsidRPr="000D5FE2">
        <w:rPr>
          <w:sz w:val="28"/>
        </w:rPr>
        <w:t>2</w:t>
      </w:r>
      <w:r w:rsidR="00B60939" w:rsidRPr="000D5FE2">
        <w:rPr>
          <w:sz w:val="28"/>
        </w:rPr>
        <w:tab/>
      </w:r>
      <w:r w:rsidR="008D1284" w:rsidRPr="000D5FE2">
        <w:rPr>
          <w:sz w:val="28"/>
        </w:rPr>
        <w:t>ENZALUTAMIDE</w:t>
      </w:r>
      <w:proofErr w:type="gramStart"/>
      <w:r w:rsidR="0090754F">
        <w:rPr>
          <w:sz w:val="28"/>
        </w:rPr>
        <w:t>,</w:t>
      </w:r>
      <w:proofErr w:type="gramEnd"/>
      <w:r w:rsidR="0090754F">
        <w:rPr>
          <w:sz w:val="28"/>
        </w:rPr>
        <w:br/>
      </w:r>
      <w:r w:rsidR="00AA6EFB">
        <w:rPr>
          <w:caps w:val="0"/>
          <w:sz w:val="28"/>
        </w:rPr>
        <w:t>C</w:t>
      </w:r>
      <w:r w:rsidR="008D1284" w:rsidRPr="000D5FE2">
        <w:rPr>
          <w:caps w:val="0"/>
          <w:sz w:val="28"/>
        </w:rPr>
        <w:t>apsule</w:t>
      </w:r>
      <w:r w:rsidR="00B60939" w:rsidRPr="000D5FE2">
        <w:rPr>
          <w:sz w:val="28"/>
        </w:rPr>
        <w:t xml:space="preserve"> </w:t>
      </w:r>
      <w:r w:rsidR="008D1284" w:rsidRPr="000D5FE2">
        <w:rPr>
          <w:caps w:val="0"/>
          <w:sz w:val="28"/>
        </w:rPr>
        <w:t>40</w:t>
      </w:r>
      <w:r w:rsidR="00AA6EFB">
        <w:rPr>
          <w:caps w:val="0"/>
          <w:sz w:val="28"/>
        </w:rPr>
        <w:t xml:space="preserve"> </w:t>
      </w:r>
      <w:r w:rsidR="008D1284" w:rsidRPr="000D5FE2">
        <w:rPr>
          <w:caps w:val="0"/>
          <w:sz w:val="28"/>
        </w:rPr>
        <w:t>mg</w:t>
      </w:r>
      <w:r w:rsidR="00B60939" w:rsidRPr="000D5FE2">
        <w:rPr>
          <w:sz w:val="28"/>
        </w:rPr>
        <w:t>,</w:t>
      </w:r>
      <w:r w:rsidR="0090754F">
        <w:rPr>
          <w:sz w:val="28"/>
        </w:rPr>
        <w:t xml:space="preserve"> </w:t>
      </w:r>
      <w:r w:rsidR="0090754F">
        <w:rPr>
          <w:sz w:val="28"/>
        </w:rPr>
        <w:br/>
      </w:r>
      <w:r w:rsidR="008D1284" w:rsidRPr="000D5FE2">
        <w:rPr>
          <w:caps w:val="0"/>
          <w:sz w:val="28"/>
        </w:rPr>
        <w:t>Xtandi</w:t>
      </w:r>
      <w:r w:rsidR="00B60939" w:rsidRPr="000D5FE2">
        <w:rPr>
          <w:sz w:val="28"/>
          <w:vertAlign w:val="superscript"/>
        </w:rPr>
        <w:t>®</w:t>
      </w:r>
      <w:r w:rsidR="00B60939" w:rsidRPr="000D5FE2">
        <w:rPr>
          <w:sz w:val="28"/>
        </w:rPr>
        <w:t xml:space="preserve">, </w:t>
      </w:r>
      <w:proofErr w:type="spellStart"/>
      <w:r w:rsidR="008D1284" w:rsidRPr="000D5FE2">
        <w:rPr>
          <w:caps w:val="0"/>
          <w:sz w:val="28"/>
        </w:rPr>
        <w:t>Astellas</w:t>
      </w:r>
      <w:proofErr w:type="spellEnd"/>
      <w:r w:rsidR="00B60939" w:rsidRPr="000D5FE2">
        <w:rPr>
          <w:sz w:val="28"/>
        </w:rPr>
        <w:t>.</w:t>
      </w:r>
      <w:bookmarkEnd w:id="0"/>
    </w:p>
    <w:p w:rsidR="00B60939" w:rsidRPr="000D5FE2" w:rsidRDefault="00B60939" w:rsidP="00577717"/>
    <w:p w:rsidR="002B1DBA" w:rsidRPr="000D5FE2" w:rsidRDefault="002B1DBA" w:rsidP="00577717"/>
    <w:p w:rsidR="00E705AF" w:rsidRPr="000D5FE2" w:rsidRDefault="00E705AF" w:rsidP="00E705AF">
      <w:pPr>
        <w:pStyle w:val="PBACheading1"/>
        <w:rPr>
          <w:b/>
        </w:rPr>
      </w:pPr>
      <w:bookmarkStart w:id="2" w:name="_Toc471212086"/>
      <w:r w:rsidRPr="000D5FE2">
        <w:rPr>
          <w:b/>
        </w:rPr>
        <w:t>Purpose of Application</w:t>
      </w:r>
      <w:bookmarkEnd w:id="2"/>
    </w:p>
    <w:p w:rsidR="00E705AF" w:rsidRPr="000D5FE2" w:rsidRDefault="00E705AF" w:rsidP="00E705AF">
      <w:pPr>
        <w:rPr>
          <w:szCs w:val="22"/>
        </w:rPr>
      </w:pPr>
    </w:p>
    <w:p w:rsidR="00E705AF" w:rsidRPr="000D5FE2" w:rsidRDefault="00E705AF" w:rsidP="00EB23C1">
      <w:pPr>
        <w:pStyle w:val="ListParagraph"/>
        <w:widowControl/>
        <w:numPr>
          <w:ilvl w:val="1"/>
          <w:numId w:val="2"/>
        </w:numPr>
        <w:rPr>
          <w:szCs w:val="22"/>
        </w:rPr>
      </w:pPr>
      <w:r w:rsidRPr="000D5FE2">
        <w:t xml:space="preserve">This resubmission requested an Authority </w:t>
      </w:r>
      <w:proofErr w:type="gramStart"/>
      <w:r w:rsidRPr="000D5FE2">
        <w:t>Required</w:t>
      </w:r>
      <w:proofErr w:type="gramEnd"/>
      <w:r w:rsidRPr="000D5FE2">
        <w:t xml:space="preserve"> listing for enzalutamide for treatment of metastatic castration-resistance prostate cancer (mCRPC) in “asymptomatic” patient</w:t>
      </w:r>
      <w:r w:rsidR="00B52622" w:rsidRPr="000D5FE2">
        <w:t>s</w:t>
      </w:r>
      <w:r w:rsidRPr="000D5FE2">
        <w:t xml:space="preserve"> who have not yet had docetaxel.  The November 2015 submission of enzalutamide was for both ‘asymptomatic’ and ‘symptomatic’ patients in a similar setting.</w:t>
      </w:r>
    </w:p>
    <w:p w:rsidR="00E705AF" w:rsidRPr="000D5FE2" w:rsidRDefault="00E705AF" w:rsidP="00E705AF">
      <w:pPr>
        <w:pStyle w:val="ListParagraph"/>
        <w:widowControl/>
      </w:pPr>
    </w:p>
    <w:p w:rsidR="00A77944" w:rsidRPr="000D5FE2" w:rsidRDefault="00A77944" w:rsidP="00E705AF">
      <w:pPr>
        <w:pStyle w:val="ListParagraph"/>
        <w:widowControl/>
      </w:pPr>
    </w:p>
    <w:p w:rsidR="00E705AF" w:rsidRPr="000D5FE2" w:rsidRDefault="00E705AF" w:rsidP="00E705AF">
      <w:pPr>
        <w:pStyle w:val="PBACheading1"/>
        <w:rPr>
          <w:b/>
        </w:rPr>
      </w:pPr>
      <w:bookmarkStart w:id="3" w:name="_Toc471212087"/>
      <w:r w:rsidRPr="000D5FE2">
        <w:rPr>
          <w:b/>
        </w:rPr>
        <w:t>Requested listing</w:t>
      </w:r>
      <w:bookmarkEnd w:id="3"/>
    </w:p>
    <w:p w:rsidR="007D5F8C" w:rsidRPr="000D5FE2" w:rsidRDefault="007D5F8C" w:rsidP="00AA6EFB"/>
    <w:p w:rsidR="007D5F8C" w:rsidRPr="000D5FE2" w:rsidRDefault="007D5F8C" w:rsidP="00AA6EFB">
      <w:pPr>
        <w:pStyle w:val="ListParagraph"/>
        <w:widowControl/>
        <w:numPr>
          <w:ilvl w:val="1"/>
          <w:numId w:val="2"/>
        </w:numPr>
        <w:rPr>
          <w:rFonts w:eastAsia="SimSun"/>
        </w:rPr>
      </w:pPr>
      <w:r w:rsidRPr="000D5FE2">
        <w:rPr>
          <w:rFonts w:eastAsia="SimSun"/>
        </w:rPr>
        <w:t>Suggestions and additions proposed by the Secretariat to the requested listing are added in italics and suggested deletions are crossed out with strikethrough.</w:t>
      </w:r>
    </w:p>
    <w:p w:rsidR="003D4763" w:rsidRDefault="003D4763">
      <w:pPr>
        <w:widowControl/>
        <w:jc w:val="left"/>
      </w:pPr>
      <w:r>
        <w:br w:type="page"/>
      </w:r>
    </w:p>
    <w:p w:rsidR="00183784" w:rsidRPr="000D5FE2" w:rsidRDefault="00183784" w:rsidP="00AA6EFB"/>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7D5F8C" w:rsidRPr="000D5FE2" w:rsidTr="007D5F8C">
        <w:trPr>
          <w:cantSplit/>
          <w:trHeight w:val="471"/>
        </w:trPr>
        <w:tc>
          <w:tcPr>
            <w:tcW w:w="3261" w:type="dxa"/>
            <w:gridSpan w:val="2"/>
            <w:tcBorders>
              <w:bottom w:val="single" w:sz="4" w:space="0" w:color="auto"/>
            </w:tcBorders>
          </w:tcPr>
          <w:p w:rsidR="007D5F8C" w:rsidRPr="000D5FE2" w:rsidRDefault="007D5F8C" w:rsidP="007D5F8C">
            <w:pPr>
              <w:keepNext/>
              <w:ind w:left="-108"/>
              <w:rPr>
                <w:rFonts w:ascii="Arial Narrow" w:hAnsi="Arial Narrow"/>
                <w:sz w:val="20"/>
              </w:rPr>
            </w:pPr>
            <w:r w:rsidRPr="000D5FE2">
              <w:rPr>
                <w:rFonts w:ascii="Arial Narrow" w:hAnsi="Arial Narrow"/>
                <w:sz w:val="20"/>
              </w:rPr>
              <w:t>Name, Restriction,</w:t>
            </w:r>
          </w:p>
          <w:p w:rsidR="007D5F8C" w:rsidRPr="000D5FE2" w:rsidRDefault="007D5F8C" w:rsidP="007D5F8C">
            <w:pPr>
              <w:keepNext/>
              <w:ind w:left="-108"/>
              <w:rPr>
                <w:rFonts w:ascii="Arial Narrow" w:hAnsi="Arial Narrow"/>
                <w:sz w:val="20"/>
              </w:rPr>
            </w:pPr>
            <w:r w:rsidRPr="000D5FE2">
              <w:rPr>
                <w:rFonts w:ascii="Arial Narrow" w:hAnsi="Arial Narrow"/>
                <w:sz w:val="20"/>
              </w:rPr>
              <w:t>Manner of administration and form</w:t>
            </w:r>
          </w:p>
        </w:tc>
        <w:tc>
          <w:tcPr>
            <w:tcW w:w="567" w:type="dxa"/>
            <w:tcBorders>
              <w:bottom w:val="single" w:sz="4" w:space="0" w:color="auto"/>
            </w:tcBorders>
          </w:tcPr>
          <w:p w:rsidR="007D5F8C" w:rsidRPr="000D5FE2" w:rsidRDefault="007D5F8C" w:rsidP="007D5F8C">
            <w:pPr>
              <w:keepNext/>
              <w:ind w:left="-108"/>
              <w:rPr>
                <w:rFonts w:ascii="Arial Narrow" w:hAnsi="Arial Narrow"/>
                <w:sz w:val="20"/>
              </w:rPr>
            </w:pPr>
            <w:r w:rsidRPr="000D5FE2">
              <w:rPr>
                <w:rFonts w:ascii="Arial Narrow" w:hAnsi="Arial Narrow"/>
                <w:sz w:val="20"/>
              </w:rPr>
              <w:t>Max.</w:t>
            </w:r>
          </w:p>
          <w:p w:rsidR="007D5F8C" w:rsidRPr="000D5FE2" w:rsidRDefault="007D5F8C" w:rsidP="007D5F8C">
            <w:pPr>
              <w:keepNext/>
              <w:ind w:left="-108"/>
              <w:rPr>
                <w:rFonts w:ascii="Arial Narrow" w:hAnsi="Arial Narrow"/>
                <w:sz w:val="20"/>
              </w:rPr>
            </w:pPr>
            <w:r w:rsidRPr="000D5FE2">
              <w:rPr>
                <w:rFonts w:ascii="Arial Narrow" w:hAnsi="Arial Narrow"/>
                <w:sz w:val="20"/>
              </w:rPr>
              <w:t>Qty</w:t>
            </w:r>
          </w:p>
        </w:tc>
        <w:tc>
          <w:tcPr>
            <w:tcW w:w="850" w:type="dxa"/>
            <w:tcBorders>
              <w:bottom w:val="single" w:sz="4" w:space="0" w:color="auto"/>
            </w:tcBorders>
          </w:tcPr>
          <w:p w:rsidR="007D5F8C" w:rsidRPr="000D5FE2" w:rsidRDefault="007D5F8C" w:rsidP="007D5F8C">
            <w:pPr>
              <w:keepNext/>
              <w:ind w:left="-108"/>
              <w:rPr>
                <w:rFonts w:ascii="Arial Narrow" w:hAnsi="Arial Narrow"/>
                <w:sz w:val="20"/>
              </w:rPr>
            </w:pPr>
            <w:r w:rsidRPr="000D5FE2">
              <w:rPr>
                <w:rFonts w:ascii="Arial Narrow" w:hAnsi="Arial Narrow"/>
                <w:sz w:val="20"/>
              </w:rPr>
              <w:t>№.of</w:t>
            </w:r>
          </w:p>
          <w:p w:rsidR="007D5F8C" w:rsidRPr="000D5FE2" w:rsidRDefault="007D5F8C" w:rsidP="007D5F8C">
            <w:pPr>
              <w:keepNext/>
              <w:ind w:left="-108"/>
              <w:rPr>
                <w:rFonts w:ascii="Arial Narrow" w:hAnsi="Arial Narrow"/>
                <w:sz w:val="20"/>
              </w:rPr>
            </w:pPr>
            <w:r w:rsidRPr="000D5FE2">
              <w:rPr>
                <w:rFonts w:ascii="Arial Narrow" w:hAnsi="Arial Narrow"/>
                <w:sz w:val="20"/>
              </w:rPr>
              <w:t>Rpts</w:t>
            </w:r>
          </w:p>
        </w:tc>
        <w:tc>
          <w:tcPr>
            <w:tcW w:w="1701" w:type="dxa"/>
            <w:tcBorders>
              <w:bottom w:val="single" w:sz="4" w:space="0" w:color="auto"/>
            </w:tcBorders>
          </w:tcPr>
          <w:p w:rsidR="007D5F8C" w:rsidRPr="000D5FE2" w:rsidRDefault="007D5F8C" w:rsidP="007D5F8C">
            <w:pPr>
              <w:keepNext/>
              <w:ind w:left="-108"/>
              <w:rPr>
                <w:rFonts w:ascii="Arial Narrow" w:hAnsi="Arial Narrow"/>
                <w:sz w:val="20"/>
              </w:rPr>
            </w:pPr>
            <w:r w:rsidRPr="000D5FE2">
              <w:rPr>
                <w:rFonts w:ascii="Arial Narrow" w:hAnsi="Arial Narrow"/>
                <w:sz w:val="20"/>
              </w:rPr>
              <w:t>Dispensed Price for Max. Qty</w:t>
            </w:r>
          </w:p>
        </w:tc>
        <w:tc>
          <w:tcPr>
            <w:tcW w:w="2835" w:type="dxa"/>
            <w:gridSpan w:val="2"/>
            <w:tcBorders>
              <w:bottom w:val="single" w:sz="4" w:space="0" w:color="auto"/>
            </w:tcBorders>
          </w:tcPr>
          <w:p w:rsidR="007D5F8C" w:rsidRPr="000D5FE2" w:rsidRDefault="007D5F8C" w:rsidP="007D5F8C">
            <w:pPr>
              <w:keepNext/>
              <w:rPr>
                <w:rFonts w:ascii="Arial Narrow" w:hAnsi="Arial Narrow"/>
                <w:sz w:val="20"/>
              </w:rPr>
            </w:pPr>
            <w:r w:rsidRPr="000D5FE2">
              <w:rPr>
                <w:rFonts w:ascii="Arial Narrow" w:hAnsi="Arial Narrow"/>
                <w:sz w:val="20"/>
              </w:rPr>
              <w:t>Proprietary Name and Manufacturer</w:t>
            </w:r>
          </w:p>
        </w:tc>
      </w:tr>
      <w:tr w:rsidR="007D5F8C" w:rsidRPr="000D5FE2" w:rsidTr="007D5F8C">
        <w:trPr>
          <w:cantSplit/>
          <w:trHeight w:val="577"/>
        </w:trPr>
        <w:tc>
          <w:tcPr>
            <w:tcW w:w="3261" w:type="dxa"/>
            <w:gridSpan w:val="2"/>
          </w:tcPr>
          <w:p w:rsidR="007D5F8C" w:rsidRPr="000D5FE2" w:rsidRDefault="007D5F8C" w:rsidP="007D5F8C">
            <w:pPr>
              <w:keepNext/>
              <w:ind w:left="-108"/>
              <w:rPr>
                <w:rFonts w:ascii="Arial Narrow" w:hAnsi="Arial Narrow"/>
                <w:sz w:val="20"/>
              </w:rPr>
            </w:pPr>
            <w:r w:rsidRPr="000D5FE2">
              <w:rPr>
                <w:rFonts w:ascii="Arial Narrow" w:hAnsi="Arial Narrow"/>
                <w:smallCaps/>
                <w:sz w:val="20"/>
              </w:rPr>
              <w:t>ENZALUTAMIDE</w:t>
            </w:r>
          </w:p>
          <w:p w:rsidR="007D5F8C" w:rsidRPr="000D5FE2" w:rsidRDefault="007D5F8C" w:rsidP="007D5F8C">
            <w:pPr>
              <w:keepNext/>
              <w:ind w:left="-108"/>
              <w:rPr>
                <w:rFonts w:ascii="Arial Narrow" w:hAnsi="Arial Narrow"/>
                <w:sz w:val="20"/>
              </w:rPr>
            </w:pPr>
            <w:r w:rsidRPr="000D5FE2">
              <w:rPr>
                <w:rFonts w:ascii="Arial Narrow" w:hAnsi="Arial Narrow"/>
                <w:sz w:val="20"/>
              </w:rPr>
              <w:t>capsule, 40 mg, 112</w:t>
            </w:r>
          </w:p>
        </w:tc>
        <w:tc>
          <w:tcPr>
            <w:tcW w:w="567" w:type="dxa"/>
          </w:tcPr>
          <w:p w:rsidR="007D5F8C" w:rsidRPr="000D5FE2" w:rsidRDefault="007D5F8C" w:rsidP="007D5F8C">
            <w:pPr>
              <w:keepNext/>
              <w:ind w:left="-108"/>
              <w:rPr>
                <w:rFonts w:ascii="Arial Narrow" w:hAnsi="Arial Narrow"/>
                <w:sz w:val="20"/>
              </w:rPr>
            </w:pPr>
          </w:p>
          <w:p w:rsidR="007D5F8C" w:rsidRPr="000D5FE2" w:rsidRDefault="007D5F8C" w:rsidP="007D5F8C">
            <w:pPr>
              <w:keepNext/>
              <w:ind w:left="-108"/>
              <w:rPr>
                <w:rFonts w:ascii="Arial Narrow" w:hAnsi="Arial Narrow"/>
                <w:sz w:val="20"/>
              </w:rPr>
            </w:pPr>
            <w:r w:rsidRPr="000D5FE2">
              <w:rPr>
                <w:rFonts w:ascii="Arial Narrow" w:hAnsi="Arial Narrow"/>
                <w:sz w:val="20"/>
              </w:rPr>
              <w:t>1</w:t>
            </w:r>
          </w:p>
        </w:tc>
        <w:tc>
          <w:tcPr>
            <w:tcW w:w="850" w:type="dxa"/>
          </w:tcPr>
          <w:p w:rsidR="007D5F8C" w:rsidRPr="000D5FE2" w:rsidRDefault="007D5F8C" w:rsidP="007D5F8C">
            <w:pPr>
              <w:keepNext/>
              <w:ind w:left="-108"/>
              <w:rPr>
                <w:rFonts w:ascii="Arial Narrow" w:hAnsi="Arial Narrow"/>
                <w:sz w:val="20"/>
              </w:rPr>
            </w:pPr>
          </w:p>
          <w:p w:rsidR="007D5F8C" w:rsidRPr="000D5FE2" w:rsidRDefault="007D5F8C" w:rsidP="007D5F8C">
            <w:pPr>
              <w:keepNext/>
              <w:ind w:left="-108"/>
              <w:rPr>
                <w:rFonts w:ascii="Arial Narrow" w:hAnsi="Arial Narrow"/>
                <w:sz w:val="20"/>
              </w:rPr>
            </w:pPr>
            <w:r w:rsidRPr="000D5FE2">
              <w:rPr>
                <w:rFonts w:ascii="Arial Narrow" w:hAnsi="Arial Narrow"/>
                <w:sz w:val="20"/>
              </w:rPr>
              <w:t>2</w:t>
            </w:r>
          </w:p>
        </w:tc>
        <w:tc>
          <w:tcPr>
            <w:tcW w:w="1701" w:type="dxa"/>
          </w:tcPr>
          <w:p w:rsidR="007D5F8C" w:rsidRPr="000D5FE2" w:rsidRDefault="007D5F8C" w:rsidP="007D5F8C">
            <w:pPr>
              <w:keepNext/>
              <w:ind w:left="-108"/>
              <w:rPr>
                <w:rFonts w:ascii="Arial Narrow" w:hAnsi="Arial Narrow"/>
                <w:sz w:val="20"/>
              </w:rPr>
            </w:pPr>
          </w:p>
          <w:p w:rsidR="007D5F8C" w:rsidRPr="000D5FE2" w:rsidRDefault="007D5F8C" w:rsidP="007D5F8C">
            <w:pPr>
              <w:keepNext/>
              <w:ind w:left="-108"/>
              <w:rPr>
                <w:rFonts w:ascii="Arial Narrow" w:hAnsi="Arial Narrow"/>
                <w:sz w:val="20"/>
              </w:rPr>
            </w:pPr>
            <w:r w:rsidRPr="000D5FE2">
              <w:rPr>
                <w:rFonts w:ascii="Arial Narrow" w:hAnsi="Arial Narrow"/>
                <w:sz w:val="20"/>
              </w:rPr>
              <w:t>$</w:t>
            </w:r>
            <w:r w:rsidRPr="00351942">
              <w:rPr>
                <w:rFonts w:ascii="Arial Narrow" w:hAnsi="Arial Narrow"/>
                <w:sz w:val="20"/>
              </w:rPr>
              <w:t>3,701.18</w:t>
            </w:r>
            <w:r w:rsidRPr="000D5FE2">
              <w:rPr>
                <w:rFonts w:ascii="Arial Narrow" w:hAnsi="Arial Narrow"/>
                <w:sz w:val="20"/>
              </w:rPr>
              <w:t xml:space="preserve"> (</w:t>
            </w:r>
            <w:r w:rsidR="008F3ECF">
              <w:rPr>
                <w:rFonts w:ascii="Arial Narrow" w:hAnsi="Arial Narrow"/>
                <w:sz w:val="20"/>
              </w:rPr>
              <w:t>publis</w:t>
            </w:r>
            <w:r w:rsidR="009E5482">
              <w:rPr>
                <w:rFonts w:ascii="Arial Narrow" w:hAnsi="Arial Narrow"/>
                <w:sz w:val="20"/>
              </w:rPr>
              <w:t>h</w:t>
            </w:r>
            <w:r w:rsidR="008F3ECF">
              <w:rPr>
                <w:rFonts w:ascii="Arial Narrow" w:hAnsi="Arial Narrow"/>
                <w:sz w:val="20"/>
              </w:rPr>
              <w:t>ed</w:t>
            </w:r>
            <w:r w:rsidRPr="000D5FE2">
              <w:rPr>
                <w:rFonts w:ascii="Arial Narrow" w:hAnsi="Arial Narrow"/>
                <w:sz w:val="20"/>
              </w:rPr>
              <w:t>)</w:t>
            </w:r>
          </w:p>
          <w:p w:rsidR="007D5F8C" w:rsidRPr="000D5FE2" w:rsidRDefault="007D5F8C" w:rsidP="00612882">
            <w:pPr>
              <w:keepNext/>
              <w:ind w:left="-108"/>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r w:rsidRPr="000D5FE2">
              <w:rPr>
                <w:rFonts w:ascii="Arial Narrow" w:hAnsi="Arial Narrow"/>
                <w:sz w:val="20"/>
              </w:rPr>
              <w:t xml:space="preserve"> (</w:t>
            </w:r>
            <w:r w:rsidR="00612882">
              <w:rPr>
                <w:rFonts w:ascii="Arial Narrow" w:hAnsi="Arial Narrow"/>
                <w:sz w:val="20"/>
              </w:rPr>
              <w:t>effective</w:t>
            </w:r>
            <w:r w:rsidRPr="000D5FE2">
              <w:rPr>
                <w:rFonts w:ascii="Arial Narrow" w:hAnsi="Arial Narrow"/>
                <w:sz w:val="20"/>
              </w:rPr>
              <w:t>)</w:t>
            </w:r>
          </w:p>
        </w:tc>
        <w:tc>
          <w:tcPr>
            <w:tcW w:w="1559" w:type="dxa"/>
          </w:tcPr>
          <w:p w:rsidR="007D5F8C" w:rsidRPr="000D5FE2" w:rsidRDefault="007D5F8C" w:rsidP="007D5F8C">
            <w:pPr>
              <w:keepNext/>
              <w:rPr>
                <w:rFonts w:ascii="Arial Narrow" w:hAnsi="Arial Narrow"/>
                <w:sz w:val="20"/>
              </w:rPr>
            </w:pPr>
          </w:p>
          <w:p w:rsidR="007D5F8C" w:rsidRPr="000D5FE2" w:rsidRDefault="007D5F8C" w:rsidP="007D5F8C">
            <w:pPr>
              <w:keepNext/>
              <w:rPr>
                <w:rFonts w:ascii="Arial Narrow" w:hAnsi="Arial Narrow"/>
                <w:sz w:val="20"/>
              </w:rPr>
            </w:pPr>
            <w:r w:rsidRPr="000D5FE2">
              <w:rPr>
                <w:rFonts w:ascii="Arial Narrow" w:hAnsi="Arial Narrow"/>
                <w:sz w:val="20"/>
              </w:rPr>
              <w:t>Xtandi</w:t>
            </w:r>
          </w:p>
        </w:tc>
        <w:tc>
          <w:tcPr>
            <w:tcW w:w="1276" w:type="dxa"/>
          </w:tcPr>
          <w:p w:rsidR="007D5F8C" w:rsidRPr="000D5FE2" w:rsidRDefault="007D5F8C" w:rsidP="007D5F8C">
            <w:pPr>
              <w:keepNext/>
              <w:rPr>
                <w:rFonts w:ascii="Arial Narrow" w:hAnsi="Arial Narrow"/>
                <w:sz w:val="20"/>
              </w:rPr>
            </w:pPr>
          </w:p>
          <w:p w:rsidR="007D5F8C" w:rsidRPr="000D5FE2" w:rsidRDefault="007D5F8C" w:rsidP="007D5F8C">
            <w:pPr>
              <w:keepNext/>
              <w:rPr>
                <w:rFonts w:ascii="Arial Narrow" w:hAnsi="Arial Narrow"/>
                <w:sz w:val="20"/>
              </w:rPr>
            </w:pPr>
            <w:proofErr w:type="spellStart"/>
            <w:r w:rsidRPr="000D5FE2">
              <w:rPr>
                <w:rFonts w:ascii="Arial Narrow" w:hAnsi="Arial Narrow"/>
                <w:sz w:val="20"/>
              </w:rPr>
              <w:t>Astellas</w:t>
            </w:r>
            <w:proofErr w:type="spellEnd"/>
            <w:r w:rsidRPr="000D5FE2">
              <w:rPr>
                <w:rFonts w:ascii="Arial Narrow" w:hAnsi="Arial Narrow"/>
                <w:sz w:val="20"/>
              </w:rPr>
              <w:t xml:space="preserve"> Pharma</w:t>
            </w:r>
          </w:p>
        </w:tc>
      </w:tr>
      <w:tr w:rsidR="007D5F8C" w:rsidRPr="000D5FE2" w:rsidTr="007D5F8C">
        <w:trPr>
          <w:cantSplit/>
          <w:trHeight w:val="360"/>
        </w:trPr>
        <w:tc>
          <w:tcPr>
            <w:tcW w:w="9214" w:type="dxa"/>
            <w:gridSpan w:val="7"/>
            <w:tcBorders>
              <w:bottom w:val="single" w:sz="4" w:space="0" w:color="auto"/>
            </w:tcBorders>
          </w:tcPr>
          <w:p w:rsidR="007D5F8C" w:rsidRPr="000D5FE2" w:rsidRDefault="007D5F8C" w:rsidP="007D5F8C">
            <w:pPr>
              <w:rPr>
                <w:rFonts w:ascii="Arial Narrow" w:hAnsi="Arial Narrow"/>
                <w:sz w:val="20"/>
              </w:rPr>
            </w:pP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b/>
                <w:sz w:val="20"/>
              </w:rPr>
            </w:pPr>
            <w:r w:rsidRPr="000D5FE2">
              <w:rPr>
                <w:rFonts w:ascii="Arial Narrow" w:hAnsi="Arial Narrow"/>
                <w:b/>
                <w:sz w:val="20"/>
              </w:rPr>
              <w:t xml:space="preserve">Category / </w:t>
            </w:r>
          </w:p>
          <w:p w:rsidR="007D5F8C" w:rsidRPr="000D5FE2" w:rsidRDefault="007D5F8C" w:rsidP="007D5F8C">
            <w:pPr>
              <w:rPr>
                <w:rFonts w:ascii="Arial Narrow" w:hAnsi="Arial Narrow"/>
                <w:b/>
                <w:sz w:val="20"/>
              </w:rPr>
            </w:pPr>
            <w:r w:rsidRPr="000D5FE2">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sz w:val="20"/>
              </w:rPr>
            </w:pPr>
            <w:r w:rsidRPr="000D5FE2">
              <w:rPr>
                <w:rFonts w:ascii="Arial Narrow" w:hAnsi="Arial Narrow"/>
                <w:sz w:val="20"/>
              </w:rPr>
              <w:t>GENERAL – General Schedule (Code GE)</w:t>
            </w:r>
          </w:p>
          <w:p w:rsidR="007D5F8C" w:rsidRPr="000D5FE2" w:rsidRDefault="007D5F8C" w:rsidP="007D5F8C">
            <w:pPr>
              <w:rPr>
                <w:rFonts w:ascii="Arial Narrow" w:hAnsi="Arial Narrow"/>
                <w:sz w:val="20"/>
              </w:rPr>
            </w:pP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b/>
                <w:sz w:val="20"/>
              </w:rPr>
            </w:pPr>
            <w:r w:rsidRPr="000D5FE2">
              <w:rPr>
                <w:rFonts w:ascii="Arial Narrow" w:hAnsi="Arial Narrow"/>
                <w:b/>
                <w:sz w:val="20"/>
              </w:rPr>
              <w:t>Prescriber type:</w:t>
            </w:r>
          </w:p>
          <w:p w:rsidR="007D5F8C" w:rsidRPr="000D5FE2" w:rsidRDefault="007D5F8C" w:rsidP="007D5F8C">
            <w:pPr>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sz w:val="20"/>
              </w:rPr>
            </w:pPr>
            <w:r w:rsidRPr="000D5FE2">
              <w:rPr>
                <w:rFonts w:ascii="Arial Narrow" w:hAnsi="Arial Narrow"/>
                <w:sz w:val="20"/>
              </w:rPr>
              <w:fldChar w:fldCharType="begin">
                <w:ffData>
                  <w:name w:val="Check1"/>
                  <w:enabled/>
                  <w:calcOnExit w:val="0"/>
                  <w:checkBox>
                    <w:sizeAuto/>
                    <w:default w:val="0"/>
                  </w:checkBox>
                </w:ffData>
              </w:fldChar>
            </w:r>
            <w:r w:rsidRPr="000D5FE2">
              <w:rPr>
                <w:rFonts w:ascii="Arial Narrow" w:hAnsi="Arial Narrow"/>
                <w:sz w:val="20"/>
              </w:rPr>
              <w:instrText xml:space="preserve"> 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r w:rsidRPr="000D5FE2">
              <w:rPr>
                <w:rFonts w:ascii="Arial Narrow" w:hAnsi="Arial Narrow"/>
                <w:sz w:val="20"/>
              </w:rPr>
              <w:t xml:space="preserve">Dental  </w:t>
            </w:r>
            <w:r w:rsidRPr="000D5FE2">
              <w:rPr>
                <w:rFonts w:ascii="Arial Narrow" w:hAnsi="Arial Narrow"/>
                <w:sz w:val="20"/>
              </w:rPr>
              <w:fldChar w:fldCharType="begin">
                <w:ffData>
                  <w:name w:val=""/>
                  <w:enabled/>
                  <w:calcOnExit w:val="0"/>
                  <w:checkBox>
                    <w:sizeAuto/>
                    <w:default w:val="1"/>
                  </w:checkBox>
                </w:ffData>
              </w:fldChar>
            </w:r>
            <w:r w:rsidRPr="000D5FE2">
              <w:rPr>
                <w:rFonts w:ascii="Arial Narrow" w:hAnsi="Arial Narrow"/>
                <w:sz w:val="20"/>
              </w:rPr>
              <w:instrText xml:space="preserve"> 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r w:rsidRPr="000D5FE2">
              <w:rPr>
                <w:rFonts w:ascii="Arial Narrow" w:hAnsi="Arial Narrow"/>
                <w:sz w:val="20"/>
              </w:rPr>
              <w:t xml:space="preserve">Medical Practitioners  </w:t>
            </w:r>
            <w:r w:rsidRPr="000D5FE2">
              <w:rPr>
                <w:rFonts w:ascii="Arial Narrow" w:hAnsi="Arial Narrow"/>
                <w:sz w:val="20"/>
              </w:rPr>
              <w:fldChar w:fldCharType="begin">
                <w:ffData>
                  <w:name w:val="Check3"/>
                  <w:enabled/>
                  <w:calcOnExit w:val="0"/>
                  <w:checkBox>
                    <w:sizeAuto/>
                    <w:default w:val="0"/>
                  </w:checkBox>
                </w:ffData>
              </w:fldChar>
            </w:r>
            <w:r w:rsidRPr="000D5FE2">
              <w:rPr>
                <w:rFonts w:ascii="Arial Narrow" w:hAnsi="Arial Narrow"/>
                <w:sz w:val="20"/>
              </w:rPr>
              <w:instrText xml:space="preserve"> 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r w:rsidRPr="000D5FE2">
              <w:rPr>
                <w:rFonts w:ascii="Arial Narrow" w:hAnsi="Arial Narrow"/>
                <w:sz w:val="20"/>
              </w:rPr>
              <w:t xml:space="preserve">Nurse practitioners  </w:t>
            </w:r>
            <w:r w:rsidRPr="000D5FE2">
              <w:rPr>
                <w:rFonts w:ascii="Arial Narrow" w:hAnsi="Arial Narrow"/>
                <w:sz w:val="20"/>
              </w:rPr>
              <w:fldChar w:fldCharType="begin">
                <w:ffData>
                  <w:name w:val=""/>
                  <w:enabled/>
                  <w:calcOnExit w:val="0"/>
                  <w:checkBox>
                    <w:sizeAuto/>
                    <w:default w:val="0"/>
                  </w:checkBox>
                </w:ffData>
              </w:fldChar>
            </w:r>
            <w:r w:rsidRPr="000D5FE2">
              <w:rPr>
                <w:rFonts w:ascii="Arial Narrow" w:hAnsi="Arial Narrow"/>
                <w:sz w:val="20"/>
              </w:rPr>
              <w:instrText xml:space="preserve"> 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r w:rsidRPr="000D5FE2">
              <w:rPr>
                <w:rFonts w:ascii="Arial Narrow" w:hAnsi="Arial Narrow"/>
                <w:sz w:val="20"/>
              </w:rPr>
              <w:t>Optometrists</w:t>
            </w:r>
          </w:p>
          <w:p w:rsidR="007D5F8C" w:rsidRPr="000D5FE2" w:rsidRDefault="007D5F8C" w:rsidP="007D5F8C">
            <w:pPr>
              <w:rPr>
                <w:rFonts w:ascii="Arial Narrow" w:hAnsi="Arial Narrow"/>
                <w:sz w:val="20"/>
              </w:rPr>
            </w:pPr>
            <w:r w:rsidRPr="000D5FE2">
              <w:rPr>
                <w:rFonts w:ascii="Arial Narrow" w:hAnsi="Arial Narrow"/>
                <w:sz w:val="20"/>
              </w:rPr>
              <w:fldChar w:fldCharType="begin">
                <w:ffData>
                  <w:name w:val="Check5"/>
                  <w:enabled/>
                  <w:calcOnExit w:val="0"/>
                  <w:checkBox>
                    <w:sizeAuto/>
                    <w:default w:val="0"/>
                  </w:checkBox>
                </w:ffData>
              </w:fldChar>
            </w:r>
            <w:r w:rsidRPr="000D5FE2">
              <w:rPr>
                <w:rFonts w:ascii="Arial Narrow" w:hAnsi="Arial Narrow"/>
                <w:sz w:val="20"/>
              </w:rPr>
              <w:instrText xml:space="preserve"> 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r w:rsidRPr="000D5FE2">
              <w:rPr>
                <w:rFonts w:ascii="Arial Narrow" w:hAnsi="Arial Narrow"/>
                <w:sz w:val="20"/>
              </w:rPr>
              <w:t>Midwives</w:t>
            </w: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b/>
                <w:sz w:val="20"/>
              </w:rPr>
            </w:pPr>
            <w:r w:rsidRPr="000D5FE2">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sz w:val="20"/>
              </w:rPr>
            </w:pPr>
            <w:r w:rsidRPr="000D5FE2">
              <w:rPr>
                <w:rFonts w:ascii="Arial Narrow" w:hAnsi="Arial Narrow"/>
                <w:sz w:val="20"/>
              </w:rPr>
              <w:t>-</w:t>
            </w: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b/>
                <w:sz w:val="20"/>
              </w:rPr>
            </w:pPr>
            <w:r w:rsidRPr="000D5FE2">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sz w:val="20"/>
              </w:rPr>
            </w:pPr>
            <w:r w:rsidRPr="000D5FE2">
              <w:rPr>
                <w:rFonts w:ascii="Arial Narrow" w:hAnsi="Arial Narrow"/>
                <w:sz w:val="20"/>
              </w:rPr>
              <w:t>Castration resistant metastatic</w:t>
            </w: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b/>
                <w:sz w:val="20"/>
              </w:rPr>
            </w:pPr>
            <w:r w:rsidRPr="000D5FE2">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sz w:val="20"/>
              </w:rPr>
            </w:pPr>
            <w:r w:rsidRPr="000D5FE2">
              <w:rPr>
                <w:rFonts w:ascii="Arial Narrow" w:hAnsi="Arial Narrow"/>
                <w:strike/>
                <w:sz w:val="20"/>
              </w:rPr>
              <w:t>Castration-resistant metastatic</w:t>
            </w:r>
            <w:r w:rsidRPr="000D5FE2">
              <w:rPr>
                <w:rFonts w:ascii="Arial Narrow" w:hAnsi="Arial Narrow"/>
                <w:sz w:val="20"/>
              </w:rPr>
              <w:t xml:space="preserve"> Carcinoma of the prostate</w:t>
            </w: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b/>
                <w:sz w:val="20"/>
              </w:rPr>
            </w:pPr>
            <w:r w:rsidRPr="000D5FE2">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sz w:val="20"/>
              </w:rPr>
            </w:pPr>
            <w:r w:rsidRPr="000D5FE2">
              <w:rPr>
                <w:rFonts w:ascii="Arial Narrow" w:hAnsi="Arial Narrow"/>
                <w:sz w:val="20"/>
              </w:rPr>
              <w:t>Castration-resistant metastatic carcinoma of the prostate</w:t>
            </w: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1B2AFB">
            <w:pPr>
              <w:rPr>
                <w:rFonts w:ascii="Arial Narrow" w:hAnsi="Arial Narrow"/>
                <w:i/>
                <w:sz w:val="20"/>
              </w:rPr>
            </w:pPr>
            <w:r w:rsidRPr="000D5FE2">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sz w:val="20"/>
              </w:rPr>
            </w:pPr>
            <w:r w:rsidRPr="000D5FE2">
              <w:rPr>
                <w:rFonts w:ascii="Arial Narrow" w:hAnsi="Arial Narrow"/>
                <w:sz w:val="20"/>
              </w:rPr>
              <w:t>Initial and continuing</w:t>
            </w: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b/>
                <w:sz w:val="20"/>
              </w:rPr>
            </w:pPr>
            <w:r w:rsidRPr="000D5FE2">
              <w:rPr>
                <w:rFonts w:ascii="Arial Narrow" w:hAnsi="Arial Narrow"/>
                <w:b/>
                <w:sz w:val="20"/>
              </w:rPr>
              <w:t>Restriction Level / Method:</w:t>
            </w:r>
          </w:p>
          <w:p w:rsidR="007D5F8C" w:rsidRPr="000D5FE2" w:rsidRDefault="007D5F8C" w:rsidP="007D5F8C">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sz w:val="20"/>
              </w:rPr>
            </w:pPr>
            <w:r w:rsidRPr="000D5FE2">
              <w:rPr>
                <w:rFonts w:ascii="Arial Narrow" w:hAnsi="Arial Narrow"/>
                <w:sz w:val="20"/>
              </w:rPr>
              <w:fldChar w:fldCharType="begin">
                <w:ffData>
                  <w:name w:val="Check1"/>
                  <w:enabled/>
                  <w:calcOnExit w:val="0"/>
                  <w:checkBox>
                    <w:sizeAuto/>
                    <w:default w:val="0"/>
                  </w:checkBox>
                </w:ffData>
              </w:fldChar>
            </w:r>
            <w:r w:rsidRPr="000D5FE2">
              <w:rPr>
                <w:rFonts w:ascii="Arial Narrow" w:hAnsi="Arial Narrow"/>
                <w:sz w:val="20"/>
              </w:rPr>
              <w:instrText xml:space="preserve"> 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r w:rsidRPr="000D5FE2">
              <w:rPr>
                <w:rFonts w:ascii="Arial Narrow" w:hAnsi="Arial Narrow"/>
                <w:sz w:val="20"/>
              </w:rPr>
              <w:t>Restricted benefit</w:t>
            </w:r>
          </w:p>
          <w:p w:rsidR="007D5F8C" w:rsidRPr="000D5FE2" w:rsidRDefault="007D5F8C" w:rsidP="007D5F8C">
            <w:pPr>
              <w:rPr>
                <w:rFonts w:ascii="Arial Narrow" w:hAnsi="Arial Narrow"/>
                <w:sz w:val="20"/>
              </w:rPr>
            </w:pPr>
            <w:r w:rsidRPr="000D5FE2">
              <w:rPr>
                <w:rFonts w:ascii="Arial Narrow" w:hAnsi="Arial Narrow"/>
                <w:sz w:val="20"/>
              </w:rPr>
              <w:fldChar w:fldCharType="begin">
                <w:ffData>
                  <w:name w:val=""/>
                  <w:enabled/>
                  <w:calcOnExit w:val="0"/>
                  <w:checkBox>
                    <w:sizeAuto/>
                    <w:default w:val="1"/>
                  </w:checkBox>
                </w:ffData>
              </w:fldChar>
            </w:r>
            <w:r w:rsidRPr="000D5FE2">
              <w:rPr>
                <w:rFonts w:ascii="Arial Narrow" w:hAnsi="Arial Narrow"/>
                <w:sz w:val="20"/>
              </w:rPr>
              <w:instrText xml:space="preserve"> 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r w:rsidRPr="000D5FE2">
              <w:rPr>
                <w:rFonts w:ascii="Arial Narrow" w:hAnsi="Arial Narrow"/>
                <w:sz w:val="20"/>
              </w:rPr>
              <w:t>Authority Required - In Writing</w:t>
            </w:r>
          </w:p>
          <w:p w:rsidR="007D5F8C" w:rsidRPr="000D5FE2" w:rsidRDefault="007D5F8C" w:rsidP="007D5F8C">
            <w:pPr>
              <w:rPr>
                <w:rFonts w:ascii="Arial Narrow" w:hAnsi="Arial Narrow"/>
                <w:sz w:val="20"/>
              </w:rPr>
            </w:pPr>
            <w:r w:rsidRPr="000D5FE2">
              <w:rPr>
                <w:rFonts w:ascii="Arial Narrow" w:hAnsi="Arial Narrow"/>
                <w:sz w:val="20"/>
              </w:rPr>
              <w:fldChar w:fldCharType="begin">
                <w:ffData>
                  <w:name w:val="Check3"/>
                  <w:enabled/>
                  <w:calcOnExit w:val="0"/>
                  <w:checkBox>
                    <w:sizeAuto/>
                    <w:default w:val="1"/>
                  </w:checkBox>
                </w:ffData>
              </w:fldChar>
            </w:r>
            <w:r w:rsidRPr="000D5FE2">
              <w:rPr>
                <w:rFonts w:ascii="Arial Narrow" w:hAnsi="Arial Narrow"/>
                <w:sz w:val="20"/>
              </w:rPr>
              <w:instrText xml:space="preserve"> </w:instrText>
            </w:r>
            <w:bookmarkStart w:id="4" w:name="Check3"/>
            <w:r w:rsidRPr="000D5FE2">
              <w:rPr>
                <w:rFonts w:ascii="Arial Narrow" w:hAnsi="Arial Narrow"/>
                <w:sz w:val="20"/>
              </w:rPr>
              <w:instrText xml:space="preserve">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bookmarkEnd w:id="4"/>
            <w:r w:rsidRPr="000D5FE2">
              <w:rPr>
                <w:rFonts w:ascii="Arial Narrow" w:hAnsi="Arial Narrow"/>
                <w:sz w:val="20"/>
              </w:rPr>
              <w:t>Authority Required - Telephone</w:t>
            </w:r>
          </w:p>
          <w:p w:rsidR="007D5F8C" w:rsidRPr="000D5FE2" w:rsidRDefault="007D5F8C" w:rsidP="007D5F8C">
            <w:pPr>
              <w:rPr>
                <w:rFonts w:ascii="Arial Narrow" w:hAnsi="Arial Narrow"/>
                <w:sz w:val="20"/>
              </w:rPr>
            </w:pPr>
            <w:r w:rsidRPr="000D5FE2">
              <w:rPr>
                <w:rFonts w:ascii="Arial Narrow" w:hAnsi="Arial Narrow"/>
                <w:sz w:val="20"/>
              </w:rPr>
              <w:fldChar w:fldCharType="begin">
                <w:ffData>
                  <w:name w:val=""/>
                  <w:enabled/>
                  <w:calcOnExit w:val="0"/>
                  <w:checkBox>
                    <w:sizeAuto/>
                    <w:default w:val="1"/>
                  </w:checkBox>
                </w:ffData>
              </w:fldChar>
            </w:r>
            <w:r w:rsidRPr="000D5FE2">
              <w:rPr>
                <w:rFonts w:ascii="Arial Narrow" w:hAnsi="Arial Narrow"/>
                <w:sz w:val="20"/>
              </w:rPr>
              <w:instrText xml:space="preserve"> 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r w:rsidRPr="000D5FE2">
              <w:rPr>
                <w:rFonts w:ascii="Arial Narrow" w:hAnsi="Arial Narrow"/>
                <w:sz w:val="20"/>
              </w:rPr>
              <w:t>Authority Required – Emergency</w:t>
            </w:r>
          </w:p>
          <w:p w:rsidR="007D5F8C" w:rsidRPr="000D5FE2" w:rsidRDefault="007D5F8C" w:rsidP="007D5F8C">
            <w:pPr>
              <w:rPr>
                <w:rFonts w:ascii="Arial Narrow" w:hAnsi="Arial Narrow"/>
                <w:sz w:val="20"/>
              </w:rPr>
            </w:pPr>
            <w:r w:rsidRPr="000D5FE2">
              <w:rPr>
                <w:rFonts w:ascii="Arial Narrow" w:hAnsi="Arial Narrow"/>
                <w:sz w:val="20"/>
              </w:rPr>
              <w:fldChar w:fldCharType="begin">
                <w:ffData>
                  <w:name w:val="Check5"/>
                  <w:enabled/>
                  <w:calcOnExit w:val="0"/>
                  <w:checkBox>
                    <w:sizeAuto/>
                    <w:default w:val="1"/>
                  </w:checkBox>
                </w:ffData>
              </w:fldChar>
            </w:r>
            <w:r w:rsidRPr="000D5FE2">
              <w:rPr>
                <w:rFonts w:ascii="Arial Narrow" w:hAnsi="Arial Narrow"/>
                <w:sz w:val="20"/>
              </w:rPr>
              <w:instrText xml:space="preserve"> </w:instrText>
            </w:r>
            <w:bookmarkStart w:id="5" w:name="Check5"/>
            <w:r w:rsidRPr="000D5FE2">
              <w:rPr>
                <w:rFonts w:ascii="Arial Narrow" w:hAnsi="Arial Narrow"/>
                <w:sz w:val="20"/>
              </w:rPr>
              <w:instrText xml:space="preserve">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bookmarkEnd w:id="5"/>
            <w:r w:rsidRPr="000D5FE2">
              <w:rPr>
                <w:rFonts w:ascii="Arial Narrow" w:hAnsi="Arial Narrow"/>
                <w:sz w:val="20"/>
              </w:rPr>
              <w:t>Authority Required - Electronic</w:t>
            </w:r>
          </w:p>
          <w:p w:rsidR="007D5F8C" w:rsidRPr="000D5FE2" w:rsidRDefault="007D5F8C" w:rsidP="007D5F8C">
            <w:pPr>
              <w:rPr>
                <w:rFonts w:ascii="Arial Narrow" w:hAnsi="Arial Narrow"/>
                <w:sz w:val="20"/>
              </w:rPr>
            </w:pPr>
            <w:r w:rsidRPr="000D5FE2">
              <w:rPr>
                <w:rFonts w:ascii="Arial Narrow" w:hAnsi="Arial Narrow"/>
                <w:sz w:val="20"/>
              </w:rPr>
              <w:fldChar w:fldCharType="begin">
                <w:ffData>
                  <w:name w:val="Check5"/>
                  <w:enabled/>
                  <w:calcOnExit w:val="0"/>
                  <w:checkBox>
                    <w:sizeAuto/>
                    <w:default w:val="0"/>
                  </w:checkBox>
                </w:ffData>
              </w:fldChar>
            </w:r>
            <w:r w:rsidRPr="000D5FE2">
              <w:rPr>
                <w:rFonts w:ascii="Arial Narrow" w:hAnsi="Arial Narrow"/>
                <w:sz w:val="20"/>
              </w:rPr>
              <w:instrText xml:space="preserve"> FORMCHECKBOX </w:instrText>
            </w:r>
            <w:r w:rsidR="002E4C9B">
              <w:rPr>
                <w:rFonts w:ascii="Arial Narrow" w:hAnsi="Arial Narrow"/>
                <w:sz w:val="20"/>
              </w:rPr>
            </w:r>
            <w:r w:rsidR="002E4C9B">
              <w:rPr>
                <w:rFonts w:ascii="Arial Narrow" w:hAnsi="Arial Narrow"/>
                <w:sz w:val="20"/>
              </w:rPr>
              <w:fldChar w:fldCharType="separate"/>
            </w:r>
            <w:r w:rsidRPr="000D5FE2">
              <w:rPr>
                <w:rFonts w:ascii="Arial Narrow" w:hAnsi="Arial Narrow"/>
                <w:sz w:val="20"/>
              </w:rPr>
              <w:fldChar w:fldCharType="end"/>
            </w:r>
            <w:r w:rsidRPr="000D5FE2">
              <w:rPr>
                <w:rFonts w:ascii="Arial Narrow" w:hAnsi="Arial Narrow"/>
                <w:sz w:val="20"/>
              </w:rPr>
              <w:t>Streamlined</w:t>
            </w: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5B5304">
            <w:pPr>
              <w:rPr>
                <w:rFonts w:ascii="Arial Narrow" w:hAnsi="Arial Narrow"/>
                <w:sz w:val="20"/>
              </w:rPr>
            </w:pPr>
            <w:r w:rsidRPr="000D5FE2">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5B5304">
            <w:pPr>
              <w:rPr>
                <w:rFonts w:ascii="Arial Narrow" w:hAnsi="Arial Narrow"/>
                <w:sz w:val="20"/>
              </w:rPr>
            </w:pPr>
            <w:r w:rsidRPr="000D5FE2">
              <w:rPr>
                <w:rFonts w:ascii="Arial Narrow" w:hAnsi="Arial Narrow"/>
                <w:sz w:val="20"/>
              </w:rPr>
              <w:t xml:space="preserve">The treatment must not be used in combination with chemotherapy </w:t>
            </w: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b/>
                <w:sz w:val="20"/>
              </w:rPr>
            </w:pPr>
            <w:r w:rsidRPr="000D5FE2">
              <w:rPr>
                <w:rFonts w:ascii="Arial Narrow" w:hAnsi="Arial Narrow"/>
                <w:b/>
                <w:sz w:val="20"/>
              </w:rPr>
              <w:t>Clinical criteria:</w:t>
            </w:r>
          </w:p>
          <w:p w:rsidR="007D5F8C" w:rsidRPr="000D5FE2" w:rsidRDefault="007D5F8C" w:rsidP="007D5F8C">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strike/>
                <w:sz w:val="20"/>
              </w:rPr>
            </w:pPr>
            <w:r w:rsidRPr="000D5FE2">
              <w:rPr>
                <w:rFonts w:ascii="Arial Narrow" w:hAnsi="Arial Narrow"/>
                <w:strike/>
                <w:sz w:val="20"/>
              </w:rPr>
              <w:t>Patient must not have had prior treatment with docetaxel</w:t>
            </w:r>
          </w:p>
          <w:p w:rsidR="007D5F8C" w:rsidRPr="000D5FE2" w:rsidRDefault="007D5F8C" w:rsidP="007D5F8C">
            <w:pPr>
              <w:rPr>
                <w:rFonts w:ascii="Arial Narrow" w:hAnsi="Arial Narrow"/>
                <w:strike/>
                <w:sz w:val="20"/>
              </w:rPr>
            </w:pPr>
            <w:r w:rsidRPr="000D5FE2">
              <w:rPr>
                <w:rFonts w:ascii="Arial Narrow" w:hAnsi="Arial Narrow"/>
                <w:strike/>
                <w:sz w:val="20"/>
              </w:rPr>
              <w:t>AND</w:t>
            </w:r>
          </w:p>
          <w:p w:rsidR="007D5F8C" w:rsidRPr="000D5FE2" w:rsidRDefault="007D5F8C" w:rsidP="007D5F8C">
            <w:pPr>
              <w:rPr>
                <w:rFonts w:ascii="Arial Narrow" w:hAnsi="Arial Narrow"/>
                <w:sz w:val="20"/>
              </w:rPr>
            </w:pPr>
            <w:r w:rsidRPr="000D5FE2">
              <w:rPr>
                <w:rFonts w:ascii="Arial Narrow" w:hAnsi="Arial Narrow"/>
                <w:sz w:val="20"/>
              </w:rPr>
              <w:t>Patient must have a WHO performance status of 1 or less</w:t>
            </w:r>
          </w:p>
          <w:p w:rsidR="007D5F8C" w:rsidRPr="000D5FE2" w:rsidRDefault="007D5F8C" w:rsidP="007D5F8C">
            <w:pPr>
              <w:rPr>
                <w:rFonts w:ascii="Arial Narrow" w:hAnsi="Arial Narrow"/>
                <w:sz w:val="20"/>
              </w:rPr>
            </w:pPr>
            <w:r w:rsidRPr="000D5FE2">
              <w:rPr>
                <w:rFonts w:ascii="Arial Narrow" w:hAnsi="Arial Narrow"/>
                <w:sz w:val="20"/>
              </w:rPr>
              <w:t>AND</w:t>
            </w:r>
          </w:p>
          <w:p w:rsidR="007D5F8C" w:rsidRPr="000D5FE2" w:rsidRDefault="007D5F8C" w:rsidP="007D5F8C">
            <w:pPr>
              <w:rPr>
                <w:rFonts w:ascii="Arial Narrow" w:hAnsi="Arial Narrow"/>
                <w:sz w:val="20"/>
              </w:rPr>
            </w:pPr>
            <w:r w:rsidRPr="000D5FE2">
              <w:rPr>
                <w:rFonts w:ascii="Arial Narrow" w:hAnsi="Arial Narrow"/>
                <w:sz w:val="20"/>
              </w:rPr>
              <w:t xml:space="preserve">Patients must not have evidence of cancer related pain which requires the use of opioid medications </w:t>
            </w:r>
          </w:p>
          <w:p w:rsidR="007D5F8C" w:rsidRPr="000D5FE2" w:rsidRDefault="007D5F8C" w:rsidP="007D5F8C">
            <w:pPr>
              <w:rPr>
                <w:rFonts w:ascii="Arial Narrow" w:hAnsi="Arial Narrow"/>
                <w:sz w:val="20"/>
              </w:rPr>
            </w:pPr>
            <w:r w:rsidRPr="000D5FE2">
              <w:rPr>
                <w:rFonts w:ascii="Arial Narrow" w:hAnsi="Arial Narrow"/>
                <w:sz w:val="20"/>
              </w:rPr>
              <w:t>AND</w:t>
            </w:r>
          </w:p>
          <w:p w:rsidR="007D5F8C" w:rsidRPr="000D5FE2" w:rsidRDefault="007D5F8C" w:rsidP="005B5304">
            <w:pPr>
              <w:rPr>
                <w:rFonts w:ascii="Arial Narrow" w:hAnsi="Arial Narrow"/>
                <w:sz w:val="20"/>
              </w:rPr>
            </w:pPr>
            <w:r w:rsidRPr="000D5FE2">
              <w:rPr>
                <w:rFonts w:ascii="Arial Narrow" w:hAnsi="Arial Narrow"/>
                <w:sz w:val="20"/>
              </w:rPr>
              <w:t>Patient must not have received prior treatment with abiraterone</w:t>
            </w:r>
          </w:p>
        </w:tc>
      </w:tr>
      <w:tr w:rsidR="007D5F8C" w:rsidRPr="000D5FE2" w:rsidTr="007D5F8C">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5F8C" w:rsidRPr="000D5FE2" w:rsidRDefault="007D5F8C" w:rsidP="007D5F8C">
            <w:pPr>
              <w:rPr>
                <w:rFonts w:ascii="Arial Narrow" w:hAnsi="Arial Narrow"/>
                <w:b/>
                <w:sz w:val="20"/>
              </w:rPr>
            </w:pPr>
            <w:r w:rsidRPr="000D5FE2">
              <w:rPr>
                <w:rFonts w:ascii="Arial Narrow" w:hAnsi="Arial Narrow"/>
                <w:b/>
                <w:sz w:val="20"/>
              </w:rPr>
              <w:t>Administrative Advice</w:t>
            </w:r>
          </w:p>
          <w:p w:rsidR="007D5F8C" w:rsidRPr="000D5FE2" w:rsidRDefault="007D5F8C" w:rsidP="007D5F8C">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7D5F8C" w:rsidRPr="000D5FE2" w:rsidRDefault="007D5F8C" w:rsidP="007D5F8C">
            <w:pPr>
              <w:spacing w:line="276" w:lineRule="auto"/>
              <w:contextualSpacing/>
              <w:rPr>
                <w:rFonts w:ascii="Arial Narrow" w:hAnsi="Arial Narrow"/>
                <w:sz w:val="20"/>
              </w:rPr>
            </w:pPr>
            <w:r w:rsidRPr="000D5FE2">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7D5F8C" w:rsidRPr="000D5FE2" w:rsidRDefault="007D5F8C" w:rsidP="007D5F8C">
            <w:pPr>
              <w:spacing w:line="276" w:lineRule="auto"/>
              <w:contextualSpacing/>
              <w:rPr>
                <w:rFonts w:ascii="Arial Narrow" w:hAnsi="Arial Narrow"/>
                <w:sz w:val="20"/>
              </w:rPr>
            </w:pPr>
          </w:p>
          <w:p w:rsidR="007D5F8C" w:rsidRPr="000D5FE2" w:rsidRDefault="007D5F8C" w:rsidP="007D5F8C">
            <w:pPr>
              <w:spacing w:line="276" w:lineRule="auto"/>
              <w:contextualSpacing/>
              <w:rPr>
                <w:rFonts w:ascii="Arial Narrow" w:hAnsi="Arial Narrow"/>
                <w:sz w:val="20"/>
              </w:rPr>
            </w:pPr>
            <w:r w:rsidRPr="000D5FE2">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7D5F8C" w:rsidRPr="000D5FE2" w:rsidRDefault="007D5F8C" w:rsidP="007D5F8C">
            <w:pPr>
              <w:spacing w:line="276" w:lineRule="auto"/>
              <w:contextualSpacing/>
              <w:rPr>
                <w:rFonts w:ascii="Arial Narrow" w:hAnsi="Arial Narrow"/>
                <w:sz w:val="20"/>
              </w:rPr>
            </w:pPr>
          </w:p>
          <w:p w:rsidR="007D5F8C" w:rsidRPr="000D5FE2" w:rsidRDefault="007D5F8C" w:rsidP="007D5F8C">
            <w:pPr>
              <w:spacing w:line="276" w:lineRule="auto"/>
              <w:contextualSpacing/>
              <w:rPr>
                <w:rFonts w:ascii="Arial Narrow" w:hAnsi="Arial Narrow"/>
                <w:sz w:val="20"/>
              </w:rPr>
            </w:pPr>
            <w:r w:rsidRPr="000D5FE2">
              <w:rPr>
                <w:rFonts w:ascii="Arial Narrow" w:hAnsi="Arial Narrow"/>
                <w:sz w:val="20"/>
              </w:rPr>
              <w:t xml:space="preserve">Applications for authority to prescribe should be forwarded to: </w:t>
            </w:r>
          </w:p>
          <w:p w:rsidR="007D5F8C" w:rsidRPr="000D5FE2" w:rsidRDefault="007D5F8C" w:rsidP="007D5F8C">
            <w:pPr>
              <w:spacing w:line="276" w:lineRule="auto"/>
              <w:contextualSpacing/>
              <w:rPr>
                <w:rFonts w:ascii="Arial Narrow" w:hAnsi="Arial Narrow"/>
                <w:sz w:val="20"/>
              </w:rPr>
            </w:pPr>
            <w:r w:rsidRPr="000D5FE2">
              <w:rPr>
                <w:rFonts w:ascii="Arial Narrow" w:hAnsi="Arial Narrow"/>
                <w:sz w:val="20"/>
              </w:rPr>
              <w:t>Department of Human Services</w:t>
            </w:r>
          </w:p>
          <w:p w:rsidR="007D5F8C" w:rsidRPr="000D5FE2" w:rsidRDefault="007D5F8C" w:rsidP="007D5F8C">
            <w:pPr>
              <w:spacing w:line="276" w:lineRule="auto"/>
              <w:contextualSpacing/>
              <w:rPr>
                <w:rFonts w:ascii="Arial Narrow" w:hAnsi="Arial Narrow"/>
                <w:sz w:val="20"/>
              </w:rPr>
            </w:pPr>
            <w:r w:rsidRPr="000D5FE2">
              <w:rPr>
                <w:rFonts w:ascii="Arial Narrow" w:hAnsi="Arial Narrow"/>
                <w:sz w:val="20"/>
              </w:rPr>
              <w:t xml:space="preserve">Prior Written Approval of Complex Drugs </w:t>
            </w:r>
          </w:p>
          <w:p w:rsidR="007D5F8C" w:rsidRPr="000D5FE2" w:rsidRDefault="007D5F8C" w:rsidP="007D5F8C">
            <w:pPr>
              <w:spacing w:line="276" w:lineRule="auto"/>
              <w:contextualSpacing/>
              <w:rPr>
                <w:rFonts w:ascii="Arial Narrow" w:hAnsi="Arial Narrow"/>
                <w:sz w:val="20"/>
              </w:rPr>
            </w:pPr>
            <w:r w:rsidRPr="000D5FE2">
              <w:rPr>
                <w:rFonts w:ascii="Arial Narrow" w:hAnsi="Arial Narrow"/>
                <w:sz w:val="20"/>
              </w:rPr>
              <w:t xml:space="preserve">Reply Paid 9826 </w:t>
            </w:r>
          </w:p>
          <w:p w:rsidR="007D5F8C" w:rsidRPr="000D5FE2" w:rsidRDefault="007D5F8C" w:rsidP="007D5F8C">
            <w:pPr>
              <w:spacing w:line="276" w:lineRule="auto"/>
              <w:contextualSpacing/>
              <w:rPr>
                <w:rFonts w:ascii="Arial Narrow" w:hAnsi="Arial Narrow"/>
                <w:sz w:val="20"/>
              </w:rPr>
            </w:pPr>
            <w:r w:rsidRPr="000D5FE2">
              <w:rPr>
                <w:rFonts w:ascii="Arial Narrow" w:hAnsi="Arial Narrow"/>
                <w:sz w:val="20"/>
              </w:rPr>
              <w:t xml:space="preserve">GPO Box 9826 </w:t>
            </w:r>
          </w:p>
          <w:p w:rsidR="007D5F8C" w:rsidRPr="000D5FE2" w:rsidRDefault="007D5F8C" w:rsidP="007D5F8C">
            <w:pPr>
              <w:rPr>
                <w:rFonts w:ascii="Arial Narrow" w:hAnsi="Arial Narrow"/>
                <w:sz w:val="20"/>
              </w:rPr>
            </w:pPr>
            <w:r w:rsidRPr="000D5FE2">
              <w:rPr>
                <w:rFonts w:ascii="Arial Narrow" w:hAnsi="Arial Narrow"/>
                <w:sz w:val="20"/>
              </w:rPr>
              <w:t>HOBART TAS 7001</w:t>
            </w:r>
          </w:p>
        </w:tc>
      </w:tr>
    </w:tbl>
    <w:p w:rsidR="00E705AF" w:rsidRPr="000D5FE2" w:rsidRDefault="00E705AF" w:rsidP="00E705AF"/>
    <w:p w:rsidR="00E705AF" w:rsidRPr="008A445B" w:rsidRDefault="00E705AF" w:rsidP="00EB23C1">
      <w:pPr>
        <w:pStyle w:val="ListParagraph"/>
        <w:widowControl/>
        <w:numPr>
          <w:ilvl w:val="1"/>
          <w:numId w:val="3"/>
        </w:numPr>
        <w:rPr>
          <w:iCs/>
        </w:rPr>
      </w:pPr>
      <w:r w:rsidRPr="000D5FE2">
        <w:rPr>
          <w:szCs w:val="22"/>
        </w:rPr>
        <w:t xml:space="preserve">The basis for </w:t>
      </w:r>
      <w:r w:rsidR="00A81A7F" w:rsidRPr="000D5FE2">
        <w:rPr>
          <w:szCs w:val="22"/>
        </w:rPr>
        <w:t xml:space="preserve">this </w:t>
      </w:r>
      <w:r w:rsidRPr="000D5FE2">
        <w:rPr>
          <w:szCs w:val="22"/>
        </w:rPr>
        <w:t>proposed listing was cost-effectiveness versus watchful waiting (which included hormonal manipulations with first-generation anti-androgens).</w:t>
      </w:r>
      <w:r w:rsidR="00873CD4" w:rsidRPr="000D5FE2">
        <w:rPr>
          <w:szCs w:val="22"/>
        </w:rPr>
        <w:t xml:space="preserve"> </w:t>
      </w:r>
      <w:r w:rsidRPr="000D5FE2">
        <w:rPr>
          <w:szCs w:val="22"/>
        </w:rPr>
        <w:t xml:space="preserve">Enzalutamide is already listed on the PBS for mCRPC patients post docetaxel </w:t>
      </w:r>
      <w:r w:rsidRPr="000D5FE2">
        <w:rPr>
          <w:szCs w:val="22"/>
        </w:rPr>
        <w:lastRenderedPageBreak/>
        <w:t xml:space="preserve">treatment and for patients who are judged to be unsuitable for docetaxel.  The proposed restriction is identical to the current listings of enzalutamide in terms of maximum quantities, </w:t>
      </w:r>
      <w:r w:rsidR="00773FB8" w:rsidRPr="000D5FE2">
        <w:rPr>
          <w:szCs w:val="22"/>
        </w:rPr>
        <w:t xml:space="preserve">number of repeats </w:t>
      </w:r>
      <w:r w:rsidRPr="000D5FE2">
        <w:rPr>
          <w:szCs w:val="22"/>
        </w:rPr>
        <w:t xml:space="preserve">and the published price.  The resubmission </w:t>
      </w:r>
      <w:r w:rsidR="00F917FD" w:rsidRPr="000D5FE2">
        <w:rPr>
          <w:szCs w:val="22"/>
        </w:rPr>
        <w:t xml:space="preserve">did </w:t>
      </w:r>
      <w:r w:rsidRPr="000D5FE2">
        <w:rPr>
          <w:szCs w:val="22"/>
        </w:rPr>
        <w:t>however propose a lower effective price ($</w:t>
      </w:r>
      <w:r w:rsidR="009278D7">
        <w:rPr>
          <w:noProof/>
          <w:color w:val="000000"/>
          <w:szCs w:val="22"/>
          <w:highlight w:val="black"/>
        </w:rPr>
        <w:t>'''''''''''''''''''</w:t>
      </w:r>
      <w:r w:rsidRPr="000D5FE2">
        <w:rPr>
          <w:szCs w:val="22"/>
        </w:rPr>
        <w:t xml:space="preserve"> DPMQ) for the new population.  The </w:t>
      </w:r>
      <w:r w:rsidR="00A81A7F" w:rsidRPr="000D5FE2">
        <w:rPr>
          <w:szCs w:val="22"/>
        </w:rPr>
        <w:t xml:space="preserve">effective </w:t>
      </w:r>
      <w:r w:rsidRPr="000D5FE2">
        <w:rPr>
          <w:szCs w:val="22"/>
        </w:rPr>
        <w:t xml:space="preserve">DPMQ for </w:t>
      </w:r>
      <w:r w:rsidR="00773FB8" w:rsidRPr="000D5FE2">
        <w:rPr>
          <w:szCs w:val="22"/>
        </w:rPr>
        <w:t xml:space="preserve">the </w:t>
      </w:r>
      <w:r w:rsidRPr="000D5FE2">
        <w:rPr>
          <w:szCs w:val="22"/>
        </w:rPr>
        <w:t xml:space="preserve">existing listing </w:t>
      </w:r>
      <w:r w:rsidR="00F917FD" w:rsidRPr="000D5FE2">
        <w:rPr>
          <w:szCs w:val="22"/>
        </w:rPr>
        <w:t>would</w:t>
      </w:r>
      <w:r w:rsidRPr="000D5FE2">
        <w:rPr>
          <w:szCs w:val="22"/>
        </w:rPr>
        <w:t xml:space="preserve"> remain unchanged ($</w:t>
      </w:r>
      <w:r w:rsidR="009278D7">
        <w:rPr>
          <w:noProof/>
          <w:color w:val="000000"/>
          <w:szCs w:val="22"/>
          <w:highlight w:val="black"/>
        </w:rPr>
        <w:t>'''''''''''''''''''''</w:t>
      </w:r>
      <w:r w:rsidRPr="000D5FE2">
        <w:rPr>
          <w:szCs w:val="22"/>
        </w:rPr>
        <w:t xml:space="preserve"> DPMQ).</w:t>
      </w:r>
    </w:p>
    <w:p w:rsidR="008A445B" w:rsidRPr="000D5FE2" w:rsidRDefault="008A445B" w:rsidP="008A445B">
      <w:pPr>
        <w:pStyle w:val="ListParagraph"/>
        <w:widowControl/>
        <w:rPr>
          <w:iCs/>
        </w:rPr>
      </w:pPr>
    </w:p>
    <w:p w:rsidR="00CC320C" w:rsidRPr="000D5FE2" w:rsidRDefault="00CC320C" w:rsidP="00CC320C">
      <w:pPr>
        <w:pStyle w:val="ListParagraph"/>
        <w:widowControl/>
        <w:numPr>
          <w:ilvl w:val="1"/>
          <w:numId w:val="3"/>
        </w:numPr>
        <w:rPr>
          <w:iCs/>
        </w:rPr>
      </w:pPr>
      <w:r w:rsidRPr="000D5FE2">
        <w:rPr>
          <w:iCs/>
        </w:rPr>
        <w:t xml:space="preserve">The PBAC noted a further </w:t>
      </w:r>
      <w:r w:rsidR="009278D7">
        <w:rPr>
          <w:iCs/>
          <w:noProof/>
          <w:color w:val="000000"/>
          <w:highlight w:val="black"/>
        </w:rPr>
        <w:t>'''''''</w:t>
      </w:r>
      <w:r w:rsidRPr="000D5FE2">
        <w:rPr>
          <w:iCs/>
        </w:rPr>
        <w:t xml:space="preserve">% price reduction was offered in the Pre-PBAC response, resulting in a proposed effective </w:t>
      </w:r>
      <w:r w:rsidR="00556E2A" w:rsidRPr="000D5FE2">
        <w:rPr>
          <w:iCs/>
        </w:rPr>
        <w:t xml:space="preserve">DPMQ </w:t>
      </w:r>
      <w:r w:rsidRPr="000D5FE2">
        <w:rPr>
          <w:iCs/>
        </w:rPr>
        <w:t>in the new setting of $</w:t>
      </w:r>
      <w:r w:rsidR="009278D7">
        <w:rPr>
          <w:iCs/>
          <w:noProof/>
          <w:color w:val="000000"/>
          <w:highlight w:val="black"/>
        </w:rPr>
        <w:t>''''''''''''''''''''</w:t>
      </w:r>
      <w:r w:rsidRPr="000D5FE2">
        <w:rPr>
          <w:iCs/>
        </w:rPr>
        <w:t>.</w:t>
      </w:r>
    </w:p>
    <w:p w:rsidR="00E705AF" w:rsidRPr="000D5FE2" w:rsidRDefault="00E705AF" w:rsidP="00E705AF">
      <w:pPr>
        <w:pStyle w:val="ListParagraph"/>
        <w:rPr>
          <w:iCs/>
        </w:rPr>
      </w:pPr>
    </w:p>
    <w:p w:rsidR="00F4532F" w:rsidRPr="000D5FE2" w:rsidRDefault="00773FB8" w:rsidP="00EB23C1">
      <w:pPr>
        <w:pStyle w:val="ListParagraph"/>
        <w:widowControl/>
        <w:numPr>
          <w:ilvl w:val="1"/>
          <w:numId w:val="3"/>
        </w:numPr>
        <w:rPr>
          <w:iCs/>
          <w:szCs w:val="22"/>
        </w:rPr>
      </w:pPr>
      <w:r w:rsidRPr="000D5FE2">
        <w:rPr>
          <w:szCs w:val="22"/>
        </w:rPr>
        <w:t>There are a</w:t>
      </w:r>
      <w:r w:rsidR="00F917FD" w:rsidRPr="000D5FE2">
        <w:rPr>
          <w:szCs w:val="22"/>
        </w:rPr>
        <w:t xml:space="preserve"> number of differences in this</w:t>
      </w:r>
      <w:r w:rsidR="00E705AF" w:rsidRPr="000D5FE2">
        <w:rPr>
          <w:szCs w:val="22"/>
        </w:rPr>
        <w:t xml:space="preserve"> requested restriction compared to the </w:t>
      </w:r>
      <w:r w:rsidRPr="000D5FE2">
        <w:rPr>
          <w:szCs w:val="22"/>
        </w:rPr>
        <w:t xml:space="preserve">requested restriction in the </w:t>
      </w:r>
      <w:r w:rsidR="00E705AF" w:rsidRPr="000D5FE2">
        <w:rPr>
          <w:szCs w:val="22"/>
        </w:rPr>
        <w:t xml:space="preserve">November 2015 submission: </w:t>
      </w:r>
      <w:proofErr w:type="spellStart"/>
      <w:r w:rsidR="00E705AF" w:rsidRPr="000D5FE2">
        <w:rPr>
          <w:szCs w:val="22"/>
        </w:rPr>
        <w:t>i</w:t>
      </w:r>
      <w:proofErr w:type="spellEnd"/>
      <w:r w:rsidR="00E705AF" w:rsidRPr="000D5FE2">
        <w:rPr>
          <w:szCs w:val="22"/>
        </w:rPr>
        <w:t>) the resubmission specifically precluded access by symptomatic patients, eligible “asymptomatic” patients are to be identified via a lack of opioid use for pain and a WHO performance status of 1 or less (previously 2 or less) and ii) a separate stopping rule requiring patients to stop treatment post disease progressio</w:t>
      </w:r>
      <w:r w:rsidR="006460F8" w:rsidRPr="000D5FE2">
        <w:rPr>
          <w:szCs w:val="22"/>
        </w:rPr>
        <w:t xml:space="preserve">n was removed. </w:t>
      </w:r>
      <w:r w:rsidR="00E705AF" w:rsidRPr="000D5FE2">
        <w:rPr>
          <w:szCs w:val="22"/>
        </w:rPr>
        <w:t>These have important implications for clinical practice and PBS utilisation.</w:t>
      </w:r>
      <w:r w:rsidR="00F4532F" w:rsidRPr="000D5FE2">
        <w:rPr>
          <w:szCs w:val="22"/>
        </w:rPr>
        <w:t xml:space="preserve"> </w:t>
      </w:r>
      <w:r w:rsidR="00F4532F" w:rsidRPr="000D5FE2">
        <w:rPr>
          <w:iCs/>
          <w:szCs w:val="22"/>
        </w:rPr>
        <w:t xml:space="preserve">The Pre-Sub-Committee Response (PSCR) stated that the stopping criteria was </w:t>
      </w:r>
      <w:r w:rsidR="00C2424C">
        <w:rPr>
          <w:iCs/>
          <w:szCs w:val="22"/>
        </w:rPr>
        <w:t>inadvertently</w:t>
      </w:r>
      <w:r w:rsidR="00C2424C" w:rsidRPr="000D5FE2">
        <w:rPr>
          <w:iCs/>
          <w:szCs w:val="22"/>
        </w:rPr>
        <w:t xml:space="preserve"> </w:t>
      </w:r>
      <w:r w:rsidR="00F4532F" w:rsidRPr="000D5FE2">
        <w:rPr>
          <w:iCs/>
          <w:szCs w:val="22"/>
        </w:rPr>
        <w:t xml:space="preserve">omitted from the proposed restriction; the sponsor agreed that </w:t>
      </w:r>
      <w:r w:rsidR="00C2424C">
        <w:rPr>
          <w:iCs/>
          <w:szCs w:val="22"/>
        </w:rPr>
        <w:t>stopping criteria</w:t>
      </w:r>
      <w:r w:rsidR="00C2424C" w:rsidRPr="000D5FE2">
        <w:rPr>
          <w:iCs/>
          <w:szCs w:val="22"/>
        </w:rPr>
        <w:t xml:space="preserve"> </w:t>
      </w:r>
      <w:r w:rsidR="00F4532F" w:rsidRPr="000D5FE2">
        <w:rPr>
          <w:iCs/>
          <w:szCs w:val="22"/>
        </w:rPr>
        <w:t>should be included and based upon the definition of progression in the PREVAIL trial.</w:t>
      </w:r>
    </w:p>
    <w:p w:rsidR="00E705AF" w:rsidRPr="000D5FE2" w:rsidRDefault="00E705AF" w:rsidP="00E705AF"/>
    <w:p w:rsidR="003F72B5" w:rsidRPr="000D5FE2" w:rsidRDefault="003F72B5" w:rsidP="00EB23C1">
      <w:pPr>
        <w:pStyle w:val="ListParagraph"/>
        <w:widowControl/>
        <w:numPr>
          <w:ilvl w:val="1"/>
          <w:numId w:val="3"/>
        </w:numPr>
        <w:rPr>
          <w:szCs w:val="22"/>
        </w:rPr>
      </w:pPr>
      <w:r w:rsidRPr="000D5FE2">
        <w:rPr>
          <w:szCs w:val="22"/>
        </w:rPr>
        <w:t xml:space="preserve">The proposed restriction </w:t>
      </w:r>
      <w:r w:rsidR="007028CD" w:rsidRPr="000D5FE2">
        <w:rPr>
          <w:szCs w:val="22"/>
        </w:rPr>
        <w:t>identifie</w:t>
      </w:r>
      <w:r w:rsidRPr="000D5FE2">
        <w:rPr>
          <w:szCs w:val="22"/>
        </w:rPr>
        <w:t xml:space="preserve">s ‘asymptomatic’ patients by a lack of opioid use for pain. </w:t>
      </w:r>
      <w:r w:rsidR="007028CD" w:rsidRPr="000D5FE2">
        <w:rPr>
          <w:szCs w:val="22"/>
        </w:rPr>
        <w:t>The ESC considered this definition of ‘asymptomatic’ was vague, open to clinician interpretation and</w:t>
      </w:r>
      <w:r w:rsidR="00EC4C47" w:rsidRPr="000D5FE2">
        <w:rPr>
          <w:szCs w:val="22"/>
        </w:rPr>
        <w:t>, if used as a basis for restriction,</w:t>
      </w:r>
      <w:r w:rsidR="007028CD" w:rsidRPr="000D5FE2">
        <w:rPr>
          <w:szCs w:val="22"/>
        </w:rPr>
        <w:t xml:space="preserve"> could distort clinical practice by delaying opioid use. I</w:t>
      </w:r>
      <w:r w:rsidRPr="000D5FE2">
        <w:rPr>
          <w:szCs w:val="22"/>
        </w:rPr>
        <w:t>n contrast</w:t>
      </w:r>
      <w:r w:rsidR="007028CD" w:rsidRPr="000D5FE2">
        <w:rPr>
          <w:szCs w:val="22"/>
        </w:rPr>
        <w:t>,</w:t>
      </w:r>
      <w:r w:rsidRPr="000D5FE2">
        <w:rPr>
          <w:szCs w:val="22"/>
        </w:rPr>
        <w:t xml:space="preserve"> the definition used in the </w:t>
      </w:r>
      <w:r w:rsidR="007028CD" w:rsidRPr="000D5FE2">
        <w:rPr>
          <w:szCs w:val="22"/>
        </w:rPr>
        <w:t xml:space="preserve">PREVAIL trial </w:t>
      </w:r>
      <w:r w:rsidRPr="000D5FE2">
        <w:rPr>
          <w:szCs w:val="22"/>
        </w:rPr>
        <w:t xml:space="preserve">was a pain score of &lt;4 on the Brief Pain Inventory. The sponsor’s </w:t>
      </w:r>
      <w:proofErr w:type="gramStart"/>
      <w:r w:rsidRPr="000D5FE2">
        <w:rPr>
          <w:szCs w:val="22"/>
        </w:rPr>
        <w:t>PSCR  stated</w:t>
      </w:r>
      <w:proofErr w:type="gramEnd"/>
      <w:r w:rsidRPr="000D5FE2">
        <w:rPr>
          <w:szCs w:val="22"/>
        </w:rPr>
        <w:t xml:space="preserve"> that the Brief Pain Inventory is not routinely used in Australia, and that the use of opioid medication is a practical and measurable alternative, as it can be determined by the Department of Human Services (DHS) at the time of the initial authority application. The ESC did not consider this request of DHS would be reasonable or effective, and the use of opioids in this population may or may not relate specifically to cancer pain.</w:t>
      </w:r>
    </w:p>
    <w:p w:rsidR="00556E2A" w:rsidRPr="000D5FE2" w:rsidRDefault="00556E2A" w:rsidP="00556E2A">
      <w:pPr>
        <w:pStyle w:val="ListParagraph"/>
        <w:rPr>
          <w:szCs w:val="22"/>
        </w:rPr>
      </w:pPr>
    </w:p>
    <w:p w:rsidR="00556E2A" w:rsidRPr="000D5FE2" w:rsidRDefault="00556E2A" w:rsidP="00EB23C1">
      <w:pPr>
        <w:pStyle w:val="ListParagraph"/>
        <w:widowControl/>
        <w:numPr>
          <w:ilvl w:val="1"/>
          <w:numId w:val="3"/>
        </w:numPr>
        <w:rPr>
          <w:szCs w:val="22"/>
        </w:rPr>
      </w:pPr>
      <w:r w:rsidRPr="000D5FE2">
        <w:rPr>
          <w:szCs w:val="22"/>
        </w:rPr>
        <w:t>The PBAC considered treatment should not be restricted to asymptomatic patients.</w:t>
      </w:r>
    </w:p>
    <w:p w:rsidR="003F72B5" w:rsidRPr="000D5FE2" w:rsidRDefault="003F72B5" w:rsidP="003F72B5">
      <w:pPr>
        <w:pStyle w:val="ListParagraph"/>
        <w:widowControl/>
        <w:rPr>
          <w:szCs w:val="22"/>
        </w:rPr>
      </w:pPr>
    </w:p>
    <w:p w:rsidR="00C92224" w:rsidRPr="000D5FE2" w:rsidRDefault="00C92224" w:rsidP="00C92224">
      <w:pPr>
        <w:ind w:firstLine="720"/>
        <w:rPr>
          <w:bCs/>
          <w:szCs w:val="22"/>
        </w:rPr>
      </w:pPr>
      <w:r w:rsidRPr="000D5FE2">
        <w:rPr>
          <w:bCs/>
          <w:i/>
          <w:szCs w:val="22"/>
        </w:rPr>
        <w:t>For more detail on PBAC’s view, see section 7 “PBAC outcome”</w:t>
      </w:r>
    </w:p>
    <w:p w:rsidR="00C92224" w:rsidRPr="000D5FE2" w:rsidRDefault="00C92224" w:rsidP="003F72B5">
      <w:pPr>
        <w:pStyle w:val="ListParagraph"/>
        <w:widowControl/>
        <w:rPr>
          <w:szCs w:val="22"/>
        </w:rPr>
      </w:pPr>
    </w:p>
    <w:p w:rsidR="00C92224" w:rsidRPr="000D5FE2" w:rsidRDefault="00C92224" w:rsidP="003F72B5">
      <w:pPr>
        <w:pStyle w:val="ListParagraph"/>
        <w:widowControl/>
        <w:rPr>
          <w:szCs w:val="22"/>
        </w:rPr>
      </w:pPr>
    </w:p>
    <w:p w:rsidR="00E705AF" w:rsidRPr="000D5FE2" w:rsidRDefault="00E705AF" w:rsidP="00E705AF">
      <w:pPr>
        <w:pStyle w:val="PBACheading1"/>
      </w:pPr>
      <w:bookmarkStart w:id="6" w:name="_Toc471212088"/>
      <w:r w:rsidRPr="000D5FE2">
        <w:rPr>
          <w:b/>
        </w:rPr>
        <w:t>Background</w:t>
      </w:r>
      <w:bookmarkEnd w:id="6"/>
    </w:p>
    <w:p w:rsidR="00E705AF" w:rsidRPr="000D5FE2" w:rsidRDefault="00E705AF" w:rsidP="00E705AF">
      <w:pPr>
        <w:rPr>
          <w:szCs w:val="22"/>
        </w:rPr>
      </w:pPr>
    </w:p>
    <w:p w:rsidR="00E705AF" w:rsidRPr="000D5FE2" w:rsidRDefault="00A77944" w:rsidP="00EB23C1">
      <w:pPr>
        <w:pStyle w:val="ListParagraph"/>
        <w:widowControl/>
        <w:numPr>
          <w:ilvl w:val="1"/>
          <w:numId w:val="2"/>
        </w:numPr>
      </w:pPr>
      <w:r w:rsidRPr="000D5FE2">
        <w:rPr>
          <w:b/>
          <w:bCs/>
          <w:szCs w:val="22"/>
        </w:rPr>
        <w:t xml:space="preserve">TGA status at time of </w:t>
      </w:r>
      <w:r w:rsidR="00783FC5" w:rsidRPr="000D5FE2">
        <w:rPr>
          <w:b/>
          <w:bCs/>
          <w:szCs w:val="22"/>
        </w:rPr>
        <w:t>PBAC consideration</w:t>
      </w:r>
      <w:r w:rsidRPr="000D5FE2">
        <w:rPr>
          <w:b/>
          <w:bCs/>
          <w:szCs w:val="22"/>
        </w:rPr>
        <w:t>:</w:t>
      </w:r>
      <w:r w:rsidRPr="000D5FE2">
        <w:rPr>
          <w:bCs/>
          <w:szCs w:val="22"/>
        </w:rPr>
        <w:t xml:space="preserve"> </w:t>
      </w:r>
      <w:r w:rsidR="00E705AF" w:rsidRPr="000D5FE2">
        <w:rPr>
          <w:szCs w:val="22"/>
        </w:rPr>
        <w:t>enzalutamide was TGA registered on 1</w:t>
      </w:r>
      <w:r w:rsidR="00C97301" w:rsidRPr="000D5FE2">
        <w:rPr>
          <w:szCs w:val="22"/>
        </w:rPr>
        <w:t xml:space="preserve"> July </w:t>
      </w:r>
      <w:r w:rsidR="00E705AF" w:rsidRPr="000D5FE2">
        <w:rPr>
          <w:szCs w:val="22"/>
        </w:rPr>
        <w:t xml:space="preserve">2014 for the treatment of </w:t>
      </w:r>
      <w:r w:rsidR="00CC320C" w:rsidRPr="000D5FE2">
        <w:rPr>
          <w:szCs w:val="22"/>
        </w:rPr>
        <w:t xml:space="preserve">patients with </w:t>
      </w:r>
      <w:r w:rsidR="00E705AF" w:rsidRPr="000D5FE2">
        <w:rPr>
          <w:szCs w:val="22"/>
        </w:rPr>
        <w:t xml:space="preserve">metastatic castration resistant prostate cancer </w:t>
      </w:r>
      <w:r w:rsidR="00CC320C" w:rsidRPr="000D5FE2">
        <w:t>who have previously received docetaxel</w:t>
      </w:r>
      <w:r w:rsidR="00E705AF" w:rsidRPr="000D5FE2">
        <w:rPr>
          <w:szCs w:val="22"/>
        </w:rPr>
        <w:t>, and on 13</w:t>
      </w:r>
      <w:r w:rsidR="00C97301" w:rsidRPr="000D5FE2">
        <w:rPr>
          <w:szCs w:val="22"/>
        </w:rPr>
        <w:t xml:space="preserve"> November </w:t>
      </w:r>
      <w:r w:rsidR="00E705AF" w:rsidRPr="000D5FE2">
        <w:rPr>
          <w:szCs w:val="22"/>
        </w:rPr>
        <w:t xml:space="preserve">2015 for the treatment of metastatic castration resistant prostate cancer </w:t>
      </w:r>
      <w:r w:rsidR="00CC320C" w:rsidRPr="000D5FE2">
        <w:t>following failure of androgen deprivation therapy for patients in whom chemotherapy is not yet indicated</w:t>
      </w:r>
      <w:r w:rsidR="00E705AF" w:rsidRPr="000D5FE2">
        <w:rPr>
          <w:szCs w:val="22"/>
        </w:rPr>
        <w:t>.</w:t>
      </w:r>
    </w:p>
    <w:p w:rsidR="00E705AF" w:rsidRPr="000D5FE2" w:rsidRDefault="00E705AF" w:rsidP="00E705AF">
      <w:pPr>
        <w:pStyle w:val="ListParagraph"/>
        <w:widowControl/>
      </w:pPr>
    </w:p>
    <w:p w:rsidR="00E705AF" w:rsidRPr="000D5FE2" w:rsidRDefault="00E705AF" w:rsidP="00EB23C1">
      <w:pPr>
        <w:pStyle w:val="ListParagraph"/>
        <w:widowControl/>
        <w:numPr>
          <w:ilvl w:val="1"/>
          <w:numId w:val="2"/>
        </w:numPr>
        <w:rPr>
          <w:szCs w:val="22"/>
        </w:rPr>
      </w:pPr>
      <w:r w:rsidRPr="000D5FE2">
        <w:rPr>
          <w:szCs w:val="22"/>
        </w:rPr>
        <w:t>Enzalutamide is currently PBS-listed for mCRPC where the patient</w:t>
      </w:r>
    </w:p>
    <w:p w:rsidR="00E705AF" w:rsidRPr="000D5FE2" w:rsidRDefault="00E705AF" w:rsidP="00CF3A43">
      <w:pPr>
        <w:pStyle w:val="ListParagraph"/>
        <w:widowControl/>
        <w:numPr>
          <w:ilvl w:val="0"/>
          <w:numId w:val="5"/>
        </w:numPr>
        <w:ind w:left="993" w:hanging="284"/>
        <w:rPr>
          <w:szCs w:val="22"/>
        </w:rPr>
      </w:pPr>
      <w:r w:rsidRPr="000D5FE2">
        <w:rPr>
          <w:szCs w:val="22"/>
        </w:rPr>
        <w:t>has failed treatment with docetaxel due to resistance or intolerance; OR</w:t>
      </w:r>
    </w:p>
    <w:p w:rsidR="00E705AF" w:rsidRPr="000D5FE2" w:rsidRDefault="00E705AF" w:rsidP="00CF3A43">
      <w:pPr>
        <w:pStyle w:val="ListParagraph"/>
        <w:widowControl/>
        <w:numPr>
          <w:ilvl w:val="0"/>
          <w:numId w:val="5"/>
        </w:numPr>
        <w:ind w:left="993" w:hanging="284"/>
        <w:rPr>
          <w:szCs w:val="22"/>
        </w:rPr>
      </w:pPr>
      <w:proofErr w:type="gramStart"/>
      <w:r w:rsidRPr="000D5FE2">
        <w:rPr>
          <w:szCs w:val="22"/>
        </w:rPr>
        <w:t>is</w:t>
      </w:r>
      <w:proofErr w:type="gramEnd"/>
      <w:r w:rsidRPr="000D5FE2">
        <w:rPr>
          <w:szCs w:val="22"/>
        </w:rPr>
        <w:t xml:space="preserve"> unsuitable for docetaxel treatment on the basis of predicted intolerance to docetaxel.</w:t>
      </w:r>
    </w:p>
    <w:p w:rsidR="00E705AF" w:rsidRPr="000D5FE2" w:rsidRDefault="00E705AF" w:rsidP="00E705AF">
      <w:pPr>
        <w:widowControl/>
        <w:ind w:left="709"/>
        <w:rPr>
          <w:iCs/>
          <w:szCs w:val="22"/>
        </w:rPr>
      </w:pPr>
      <w:r w:rsidRPr="000D5FE2">
        <w:rPr>
          <w:iCs/>
          <w:szCs w:val="22"/>
        </w:rPr>
        <w:lastRenderedPageBreak/>
        <w:t>Abiraterone currently has an identical listing, and each of the listings include wording precluding use of one after the other unless the patient develops intolerance at a severity necessitating permanent treatment withdrawal.</w:t>
      </w:r>
    </w:p>
    <w:p w:rsidR="00E705AF" w:rsidRPr="000D5FE2" w:rsidRDefault="00E705AF" w:rsidP="00E705AF">
      <w:pPr>
        <w:pStyle w:val="ListParagraph"/>
        <w:rPr>
          <w:szCs w:val="22"/>
        </w:rPr>
      </w:pPr>
    </w:p>
    <w:p w:rsidR="00E705AF" w:rsidRPr="000D5FE2" w:rsidRDefault="00E705AF" w:rsidP="00EB23C1">
      <w:pPr>
        <w:pStyle w:val="ListParagraph"/>
        <w:widowControl/>
        <w:numPr>
          <w:ilvl w:val="1"/>
          <w:numId w:val="2"/>
        </w:numPr>
        <w:ind w:left="709"/>
        <w:rPr>
          <w:iCs/>
        </w:rPr>
      </w:pPr>
      <w:r w:rsidRPr="000D5FE2">
        <w:rPr>
          <w:szCs w:val="22"/>
        </w:rPr>
        <w:t>The PBAC ha</w:t>
      </w:r>
      <w:r w:rsidR="00F25233" w:rsidRPr="000D5FE2">
        <w:rPr>
          <w:szCs w:val="22"/>
        </w:rPr>
        <w:t>d</w:t>
      </w:r>
      <w:r w:rsidRPr="000D5FE2">
        <w:rPr>
          <w:szCs w:val="22"/>
        </w:rPr>
        <w:t xml:space="preserve"> previously considered and rejected a submission for enzalutamide in November 2015 for the treatment of asymptomatic and symptomatic chemotherapy-naïve patients with mCRPC. The basis of the submission was on a claim of overall survival benefit for enzalutamide. </w:t>
      </w:r>
      <w:r w:rsidRPr="000D5FE2">
        <w:rPr>
          <w:iCs/>
        </w:rPr>
        <w:t xml:space="preserve">A submission for abiraterone in a comparable population was previously </w:t>
      </w:r>
      <w:r w:rsidRPr="000D5FE2">
        <w:rPr>
          <w:iCs/>
          <w:szCs w:val="22"/>
        </w:rPr>
        <w:t>considered</w:t>
      </w:r>
      <w:r w:rsidRPr="000D5FE2">
        <w:rPr>
          <w:iCs/>
        </w:rPr>
        <w:t xml:space="preserve"> and rejected by the PBAC in July 2014.</w:t>
      </w:r>
    </w:p>
    <w:p w:rsidR="00E705AF" w:rsidRPr="000D5FE2" w:rsidRDefault="00E705AF" w:rsidP="00E705AF">
      <w:pPr>
        <w:pStyle w:val="ListParagraph"/>
        <w:widowControl/>
        <w:rPr>
          <w:szCs w:val="22"/>
        </w:rPr>
      </w:pPr>
    </w:p>
    <w:p w:rsidR="00A52405" w:rsidRPr="000D5FE2" w:rsidRDefault="00E705AF" w:rsidP="00EB23C1">
      <w:pPr>
        <w:numPr>
          <w:ilvl w:val="1"/>
          <w:numId w:val="2"/>
        </w:numPr>
        <w:contextualSpacing/>
        <w:rPr>
          <w:bCs/>
          <w:szCs w:val="22"/>
        </w:rPr>
      </w:pPr>
      <w:r w:rsidRPr="000D5FE2">
        <w:rPr>
          <w:szCs w:val="22"/>
        </w:rPr>
        <w:t xml:space="preserve">The PBAC rejected the previous submission because it considered </w:t>
      </w:r>
      <w:r w:rsidR="00A52405" w:rsidRPr="000D5FE2">
        <w:rPr>
          <w:bCs/>
          <w:szCs w:val="22"/>
        </w:rPr>
        <w:t>the purpose of treatment would be to maintain a better quality of life for longer by either:</w:t>
      </w:r>
    </w:p>
    <w:p w:rsidR="00A52405" w:rsidRPr="000D5FE2" w:rsidRDefault="00A52405" w:rsidP="00EB23C1">
      <w:pPr>
        <w:pStyle w:val="ListParagraph"/>
        <w:numPr>
          <w:ilvl w:val="0"/>
          <w:numId w:val="11"/>
        </w:numPr>
        <w:ind w:left="1134" w:hanging="425"/>
        <w:rPr>
          <w:bCs/>
          <w:szCs w:val="22"/>
        </w:rPr>
      </w:pPr>
      <w:r w:rsidRPr="000D5FE2">
        <w:rPr>
          <w:bCs/>
          <w:szCs w:val="22"/>
        </w:rPr>
        <w:t xml:space="preserve">In asymptomatic patients – delaying symptoms </w:t>
      </w:r>
      <w:r w:rsidRPr="000D5FE2">
        <w:t>from</w:t>
      </w:r>
      <w:r w:rsidRPr="000D5FE2">
        <w:rPr>
          <w:bCs/>
          <w:szCs w:val="22"/>
        </w:rPr>
        <w:t xml:space="preserve"> developing, or</w:t>
      </w:r>
    </w:p>
    <w:p w:rsidR="00A52405" w:rsidRPr="000D5FE2" w:rsidRDefault="00A52405" w:rsidP="00EB23C1">
      <w:pPr>
        <w:pStyle w:val="ListParagraph"/>
        <w:numPr>
          <w:ilvl w:val="0"/>
          <w:numId w:val="11"/>
        </w:numPr>
        <w:ind w:left="1134" w:hanging="425"/>
        <w:rPr>
          <w:bCs/>
          <w:szCs w:val="22"/>
        </w:rPr>
      </w:pPr>
      <w:r w:rsidRPr="000D5FE2">
        <w:rPr>
          <w:bCs/>
          <w:szCs w:val="22"/>
        </w:rPr>
        <w:t>In symptomatic patients considered suitable for docetaxel – delaying the toxicities of chemotherapy.</w:t>
      </w:r>
    </w:p>
    <w:p w:rsidR="00EC4C47" w:rsidRPr="000D5FE2" w:rsidRDefault="00EC4C47" w:rsidP="00EC4C47">
      <w:pPr>
        <w:pStyle w:val="ListParagraph"/>
        <w:ind w:left="1134"/>
        <w:rPr>
          <w:bCs/>
          <w:szCs w:val="22"/>
        </w:rPr>
      </w:pPr>
    </w:p>
    <w:p w:rsidR="008711A6" w:rsidRPr="000D5FE2" w:rsidRDefault="00A52405" w:rsidP="00EB23C1">
      <w:pPr>
        <w:numPr>
          <w:ilvl w:val="1"/>
          <w:numId w:val="2"/>
        </w:numPr>
        <w:contextualSpacing/>
      </w:pPr>
      <w:r w:rsidRPr="000D5FE2">
        <w:rPr>
          <w:bCs/>
          <w:szCs w:val="22"/>
        </w:rPr>
        <w:t xml:space="preserve">Neither of these patient groups would be considered to benefit substantially in survival </w:t>
      </w:r>
      <w:r w:rsidRPr="000D5FE2">
        <w:rPr>
          <w:szCs w:val="22"/>
        </w:rPr>
        <w:t>from</w:t>
      </w:r>
      <w:r w:rsidRPr="000D5FE2">
        <w:rPr>
          <w:bCs/>
          <w:szCs w:val="22"/>
        </w:rPr>
        <w:t xml:space="preserve"> the earlier treatment with novel hormonal therapies</w:t>
      </w:r>
      <w:r w:rsidR="00023D8D" w:rsidRPr="000D5FE2">
        <w:rPr>
          <w:bCs/>
          <w:szCs w:val="22"/>
        </w:rPr>
        <w:t xml:space="preserve">. </w:t>
      </w:r>
      <w:r w:rsidRPr="000D5FE2">
        <w:rPr>
          <w:bCs/>
          <w:szCs w:val="22"/>
        </w:rPr>
        <w:t xml:space="preserve">This is in contrast to the entire basis of the </w:t>
      </w:r>
      <w:r w:rsidR="00EC4C47" w:rsidRPr="000D5FE2">
        <w:rPr>
          <w:bCs/>
          <w:szCs w:val="22"/>
        </w:rPr>
        <w:t xml:space="preserve">previous </w:t>
      </w:r>
      <w:r w:rsidRPr="000D5FE2">
        <w:rPr>
          <w:bCs/>
          <w:szCs w:val="22"/>
        </w:rPr>
        <w:t>submission which was a claim of overall survival advantage.</w:t>
      </w:r>
      <w:r w:rsidR="0038079B" w:rsidRPr="000D5FE2">
        <w:rPr>
          <w:bCs/>
          <w:szCs w:val="22"/>
        </w:rPr>
        <w:t xml:space="preserve"> </w:t>
      </w:r>
      <w:r w:rsidR="008711A6" w:rsidRPr="000D5FE2">
        <w:rPr>
          <w:iCs/>
        </w:rPr>
        <w:t xml:space="preserve">However, </w:t>
      </w:r>
      <w:r w:rsidR="008711A6" w:rsidRPr="000D5FE2">
        <w:t>by focussing only on the asymptomatic patients, the resubmission does not reflect the</w:t>
      </w:r>
      <w:r w:rsidR="008711A6" w:rsidRPr="000D5FE2">
        <w:rPr>
          <w:iCs/>
        </w:rPr>
        <w:t xml:space="preserve"> intent of the PBAC recommendation. This raises a number of issues</w:t>
      </w:r>
      <w:r w:rsidR="008711A6" w:rsidRPr="000D5FE2">
        <w:t xml:space="preserve">: </w:t>
      </w:r>
    </w:p>
    <w:p w:rsidR="008711A6" w:rsidRPr="000D5FE2" w:rsidRDefault="008711A6" w:rsidP="00EB23C1">
      <w:pPr>
        <w:pStyle w:val="ListParagraph"/>
        <w:numPr>
          <w:ilvl w:val="1"/>
          <w:numId w:val="12"/>
        </w:numPr>
        <w:ind w:left="1134" w:hanging="425"/>
      </w:pPr>
      <w:r w:rsidRPr="000D5FE2">
        <w:t>how “asymptomatic” is defined for the purposes of the restriction and whether this may distort clinical practice (e</w:t>
      </w:r>
      <w:r w:rsidR="00422F58" w:rsidRPr="000D5FE2">
        <w:t>.</w:t>
      </w:r>
      <w:r w:rsidRPr="000D5FE2">
        <w:t>g</w:t>
      </w:r>
      <w:r w:rsidR="00422F58" w:rsidRPr="000D5FE2">
        <w:t>.</w:t>
      </w:r>
      <w:r w:rsidRPr="000D5FE2">
        <w:t xml:space="preserve"> by delaying opioid use)</w:t>
      </w:r>
    </w:p>
    <w:p w:rsidR="008711A6" w:rsidRPr="000D5FE2" w:rsidRDefault="008711A6" w:rsidP="00EB23C1">
      <w:pPr>
        <w:pStyle w:val="ListParagraph"/>
        <w:numPr>
          <w:ilvl w:val="1"/>
          <w:numId w:val="12"/>
        </w:numPr>
        <w:ind w:left="1134" w:hanging="425"/>
      </w:pPr>
      <w:r w:rsidRPr="000D5FE2">
        <w:t xml:space="preserve">the reasoning for denying symptomatic patients this clinical option </w:t>
      </w:r>
    </w:p>
    <w:p w:rsidR="008711A6" w:rsidRPr="000D5FE2" w:rsidRDefault="008711A6" w:rsidP="00EB23C1">
      <w:pPr>
        <w:pStyle w:val="ListParagraph"/>
        <w:numPr>
          <w:ilvl w:val="1"/>
          <w:numId w:val="12"/>
        </w:numPr>
        <w:ind w:left="1134" w:hanging="425"/>
      </w:pPr>
      <w:r w:rsidRPr="000D5FE2">
        <w:t>the applicability of the PREVAIL trial</w:t>
      </w:r>
      <w:r w:rsidR="00D51623" w:rsidRPr="000D5FE2">
        <w:t xml:space="preserve"> population</w:t>
      </w:r>
      <w:r w:rsidRPr="000D5FE2">
        <w:t xml:space="preserve"> (a large proportion of patients were using opioid medications by the end of PREVAIL, and they continued treatment until disease progression</w:t>
      </w:r>
      <w:r w:rsidR="00D51623" w:rsidRPr="000D5FE2">
        <w:t xml:space="preserve">; </w:t>
      </w:r>
      <w:r w:rsidR="00D51623" w:rsidRPr="000D5FE2">
        <w:rPr>
          <w:iCs/>
        </w:rPr>
        <w:t>up to 39.4% and 34.8% in the enzalutamide and placebo arms, respectively</w:t>
      </w:r>
      <w:r w:rsidRPr="000D5FE2">
        <w:t>)</w:t>
      </w:r>
    </w:p>
    <w:p w:rsidR="008711A6" w:rsidRPr="000D5FE2" w:rsidRDefault="008711A6" w:rsidP="00EB23C1">
      <w:pPr>
        <w:pStyle w:val="ListParagraph"/>
        <w:numPr>
          <w:ilvl w:val="1"/>
          <w:numId w:val="12"/>
        </w:numPr>
        <w:ind w:left="1134" w:hanging="425"/>
      </w:pPr>
      <w:proofErr w:type="gramStart"/>
      <w:r w:rsidRPr="000D5FE2">
        <w:t>the</w:t>
      </w:r>
      <w:proofErr w:type="gramEnd"/>
      <w:r w:rsidRPr="000D5FE2">
        <w:t xml:space="preserve"> modelled benefit for asymptomatic patients being based on time to cytotoxic chemotherapy, rather than occurrence of symptoms. </w:t>
      </w:r>
    </w:p>
    <w:p w:rsidR="00A52405" w:rsidRPr="000D5FE2" w:rsidRDefault="00A52405" w:rsidP="00A52405">
      <w:pPr>
        <w:ind w:left="709"/>
        <w:rPr>
          <w:bCs/>
          <w:szCs w:val="22"/>
        </w:rPr>
      </w:pPr>
    </w:p>
    <w:p w:rsidR="00E705AF" w:rsidRPr="000D5FE2" w:rsidRDefault="00E705AF" w:rsidP="00EB23C1">
      <w:pPr>
        <w:pStyle w:val="ListParagraph"/>
        <w:widowControl/>
        <w:numPr>
          <w:ilvl w:val="1"/>
          <w:numId w:val="2"/>
        </w:numPr>
        <w:rPr>
          <w:szCs w:val="22"/>
        </w:rPr>
      </w:pPr>
      <w:r w:rsidRPr="000D5FE2">
        <w:rPr>
          <w:szCs w:val="22"/>
        </w:rPr>
        <w:t>A summary of the previous and current submissions is presented in Table 1.</w:t>
      </w:r>
    </w:p>
    <w:p w:rsidR="00E705AF" w:rsidRPr="000D5FE2" w:rsidRDefault="00E705AF" w:rsidP="00E705AF"/>
    <w:p w:rsidR="00E705AF" w:rsidRPr="000D5FE2" w:rsidRDefault="00E705AF" w:rsidP="00E705AF">
      <w:pPr>
        <w:ind w:firstLine="720"/>
        <w:rPr>
          <w:rStyle w:val="CommentReference"/>
        </w:rPr>
      </w:pPr>
      <w:r w:rsidRPr="000D5FE2">
        <w:rPr>
          <w:rStyle w:val="CommentReference"/>
        </w:rPr>
        <w:t>Table 1: Summary of the previous 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5387"/>
        <w:gridCol w:w="2064"/>
      </w:tblGrid>
      <w:tr w:rsidR="00E705AF" w:rsidRPr="000D5FE2" w:rsidTr="00473018">
        <w:trPr>
          <w:trHeight w:val="220"/>
          <w:tblHeader/>
        </w:trPr>
        <w:tc>
          <w:tcPr>
            <w:tcW w:w="992" w:type="dxa"/>
          </w:tcPr>
          <w:p w:rsidR="00E705AF" w:rsidRPr="000D5FE2" w:rsidRDefault="00E705AF" w:rsidP="00473018">
            <w:pPr>
              <w:jc w:val="left"/>
              <w:rPr>
                <w:rFonts w:ascii="Arial Narrow" w:hAnsi="Arial Narrow"/>
                <w:sz w:val="19"/>
                <w:szCs w:val="19"/>
              </w:rPr>
            </w:pPr>
          </w:p>
        </w:tc>
        <w:tc>
          <w:tcPr>
            <w:tcW w:w="5387" w:type="dxa"/>
            <w:vAlign w:val="center"/>
          </w:tcPr>
          <w:p w:rsidR="00E705AF" w:rsidRPr="000D5FE2" w:rsidRDefault="00E705AF" w:rsidP="00473018">
            <w:pPr>
              <w:jc w:val="center"/>
              <w:rPr>
                <w:rFonts w:ascii="Arial Narrow" w:hAnsi="Arial Narrow"/>
                <w:b/>
                <w:sz w:val="19"/>
                <w:szCs w:val="19"/>
              </w:rPr>
            </w:pPr>
            <w:r w:rsidRPr="000D5FE2">
              <w:rPr>
                <w:rFonts w:ascii="Arial Narrow" w:hAnsi="Arial Narrow"/>
                <w:b/>
                <w:sz w:val="19"/>
                <w:szCs w:val="19"/>
              </w:rPr>
              <w:t>Enzalutamide November 2015</w:t>
            </w:r>
          </w:p>
        </w:tc>
        <w:tc>
          <w:tcPr>
            <w:tcW w:w="2064" w:type="dxa"/>
            <w:vAlign w:val="center"/>
          </w:tcPr>
          <w:p w:rsidR="00E705AF" w:rsidRPr="000D5FE2" w:rsidRDefault="00E705AF" w:rsidP="00931FFD">
            <w:pPr>
              <w:jc w:val="center"/>
              <w:rPr>
                <w:rFonts w:ascii="Arial Narrow" w:hAnsi="Arial Narrow"/>
                <w:b/>
                <w:sz w:val="19"/>
                <w:szCs w:val="19"/>
              </w:rPr>
            </w:pPr>
            <w:r w:rsidRPr="000D5FE2">
              <w:rPr>
                <w:rFonts w:ascii="Arial Narrow" w:hAnsi="Arial Narrow"/>
                <w:b/>
                <w:sz w:val="19"/>
                <w:szCs w:val="19"/>
              </w:rPr>
              <w:t>Current resubmission</w:t>
            </w:r>
          </w:p>
        </w:tc>
      </w:tr>
      <w:tr w:rsidR="00E705AF" w:rsidRPr="000D5FE2" w:rsidTr="00473018">
        <w:trPr>
          <w:trHeight w:val="104"/>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Requested PBS listing</w:t>
            </w:r>
          </w:p>
        </w:tc>
        <w:tc>
          <w:tcPr>
            <w:tcW w:w="5387"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Asymptomatic and symptomatic chemotherapy naïve mCRPC</w:t>
            </w:r>
            <w:r w:rsidRPr="000D5FE2">
              <w:rPr>
                <w:rFonts w:ascii="Arial Narrow" w:hAnsi="Arial Narrow"/>
                <w:b/>
                <w:sz w:val="19"/>
                <w:szCs w:val="19"/>
              </w:rPr>
              <w:t xml:space="preserve"> </w:t>
            </w:r>
          </w:p>
        </w:tc>
        <w:tc>
          <w:tcPr>
            <w:tcW w:w="2064"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Asymptomatic chemotherapy naïve mCRPC</w:t>
            </w:r>
          </w:p>
        </w:tc>
      </w:tr>
      <w:tr w:rsidR="00E705AF" w:rsidRPr="000D5FE2" w:rsidTr="00473018">
        <w:trPr>
          <w:trHeight w:val="422"/>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Requested price</w:t>
            </w:r>
          </w:p>
        </w:tc>
        <w:tc>
          <w:tcPr>
            <w:tcW w:w="5387"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w:t>
            </w:r>
            <w:r w:rsidR="009278D7">
              <w:rPr>
                <w:rFonts w:ascii="Arial Narrow" w:hAnsi="Arial Narrow"/>
                <w:noProof/>
                <w:color w:val="000000"/>
                <w:sz w:val="19"/>
                <w:szCs w:val="19"/>
                <w:highlight w:val="black"/>
              </w:rPr>
              <w:t>''''''''''''''''''''</w:t>
            </w:r>
            <w:r w:rsidRPr="000D5FE2">
              <w:rPr>
                <w:rFonts w:ascii="Arial Narrow" w:hAnsi="Arial Narrow"/>
                <w:sz w:val="19"/>
                <w:szCs w:val="19"/>
              </w:rPr>
              <w:t xml:space="preserve"> (DPMQ, effective price); </w:t>
            </w:r>
            <w:r w:rsidR="00DE6CEC" w:rsidRPr="000D5FE2">
              <w:rPr>
                <w:rFonts w:ascii="Arial Narrow" w:hAnsi="Arial Narrow"/>
                <w:sz w:val="19"/>
                <w:szCs w:val="19"/>
              </w:rPr>
              <w:t>Same as for the current (post docetaxel listing) listing</w:t>
            </w:r>
            <w:r w:rsidRPr="000D5FE2">
              <w:rPr>
                <w:rFonts w:ascii="Arial Narrow" w:hAnsi="Arial Narrow"/>
                <w:sz w:val="19"/>
                <w:szCs w:val="19"/>
              </w:rPr>
              <w:t>.</w:t>
            </w:r>
          </w:p>
        </w:tc>
        <w:tc>
          <w:tcPr>
            <w:tcW w:w="2064"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w:t>
            </w:r>
            <w:r w:rsidR="009278D7">
              <w:rPr>
                <w:rFonts w:ascii="Arial Narrow" w:hAnsi="Arial Narrow"/>
                <w:noProof/>
                <w:color w:val="000000"/>
                <w:sz w:val="19"/>
                <w:szCs w:val="19"/>
                <w:highlight w:val="black"/>
              </w:rPr>
              <w:t>'''''''''''''''''''</w:t>
            </w:r>
            <w:r w:rsidRPr="000D5FE2">
              <w:rPr>
                <w:rFonts w:ascii="Arial Narrow" w:hAnsi="Arial Narrow"/>
                <w:sz w:val="19"/>
                <w:szCs w:val="19"/>
              </w:rPr>
              <w:t xml:space="preserve"> (DPMQ, effective price); no change to current listing DPMQ effective price.</w:t>
            </w:r>
          </w:p>
          <w:p w:rsidR="000C1F64" w:rsidRPr="000D5FE2" w:rsidRDefault="000C1F64" w:rsidP="00473018">
            <w:pPr>
              <w:jc w:val="left"/>
              <w:rPr>
                <w:rFonts w:ascii="Arial Narrow" w:hAnsi="Arial Narrow"/>
                <w:sz w:val="19"/>
                <w:szCs w:val="19"/>
              </w:rPr>
            </w:pPr>
            <w:r w:rsidRPr="000D5FE2">
              <w:rPr>
                <w:rFonts w:ascii="Arial Narrow" w:hAnsi="Arial Narrow"/>
                <w:sz w:val="19"/>
                <w:szCs w:val="19"/>
              </w:rPr>
              <w:t>Pre-PBAC effective price proposed: $</w:t>
            </w:r>
            <w:r w:rsidR="009278D7">
              <w:rPr>
                <w:rFonts w:ascii="Arial Narrow" w:hAnsi="Arial Narrow"/>
                <w:noProof/>
                <w:color w:val="000000"/>
                <w:sz w:val="19"/>
                <w:szCs w:val="19"/>
                <w:highlight w:val="black"/>
              </w:rPr>
              <w:t>'''''''''''''''''''''</w:t>
            </w:r>
            <w:r w:rsidRPr="000D5FE2">
              <w:rPr>
                <w:rFonts w:ascii="Arial Narrow" w:hAnsi="Arial Narrow"/>
                <w:sz w:val="19"/>
                <w:szCs w:val="19"/>
              </w:rPr>
              <w:t>.</w:t>
            </w:r>
          </w:p>
        </w:tc>
      </w:tr>
      <w:tr w:rsidR="00E705AF" w:rsidRPr="000D5FE2" w:rsidTr="00473018">
        <w:trPr>
          <w:trHeight w:val="642"/>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Main comparator</w:t>
            </w:r>
          </w:p>
        </w:tc>
        <w:tc>
          <w:tcPr>
            <w:tcW w:w="5387"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Watchful waiting and docetaxel (and abiraterone if listed for same indication)</w:t>
            </w:r>
            <w:r w:rsidR="00976D7A">
              <w:rPr>
                <w:rFonts w:ascii="Arial Narrow" w:hAnsi="Arial Narrow"/>
                <w:sz w:val="19"/>
                <w:szCs w:val="19"/>
              </w:rPr>
              <w:t xml:space="preserve">, </w:t>
            </w:r>
            <w:r w:rsidRPr="000D5FE2">
              <w:rPr>
                <w:rFonts w:ascii="Arial Narrow" w:hAnsi="Arial Narrow"/>
                <w:sz w:val="19"/>
                <w:szCs w:val="19"/>
              </w:rPr>
              <w:t>depending on symptom status and disease progression.</w:t>
            </w:r>
          </w:p>
          <w:p w:rsidR="00E705AF" w:rsidRPr="000D5FE2" w:rsidRDefault="00E705AF" w:rsidP="00473018">
            <w:pPr>
              <w:jc w:val="left"/>
              <w:rPr>
                <w:rFonts w:ascii="Arial Narrow" w:hAnsi="Arial Narrow"/>
                <w:sz w:val="19"/>
                <w:szCs w:val="19"/>
              </w:rPr>
            </w:pPr>
            <w:r w:rsidRPr="000D5FE2">
              <w:rPr>
                <w:rFonts w:ascii="Arial Narrow" w:hAnsi="Arial Narrow"/>
                <w:b/>
                <w:sz w:val="19"/>
                <w:szCs w:val="19"/>
              </w:rPr>
              <w:t>PBAC Comment:</w:t>
            </w:r>
            <w:r w:rsidRPr="000D5FE2">
              <w:rPr>
                <w:rFonts w:ascii="Arial Narrow" w:hAnsi="Arial Narrow"/>
                <w:sz w:val="19"/>
                <w:szCs w:val="19"/>
              </w:rPr>
              <w:t xml:space="preserve"> watchful waiting is appropriate for asymptomatic patients; and docetaxel is appropriate for symptomatic patients (Paragraph 7.1).</w:t>
            </w:r>
          </w:p>
        </w:tc>
        <w:tc>
          <w:tcPr>
            <w:tcW w:w="2064"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Watchful waiting for asymptomatic patients.</w:t>
            </w:r>
          </w:p>
        </w:tc>
      </w:tr>
      <w:tr w:rsidR="00E705AF" w:rsidRPr="000D5FE2" w:rsidTr="00473018">
        <w:trPr>
          <w:trHeight w:val="860"/>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Clinical evidence</w:t>
            </w:r>
          </w:p>
        </w:tc>
        <w:tc>
          <w:tcPr>
            <w:tcW w:w="5387"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 xml:space="preserve">Seven RCTs: Enzalutamide in PREVAIL (N=1717); abiraterone in COU-AA-302 (N=1088); docetaxel in TAX-327 (N=672) and Ye 2013 (N=220); mitozantrone in </w:t>
            </w:r>
            <w:proofErr w:type="spellStart"/>
            <w:r w:rsidRPr="000D5FE2">
              <w:rPr>
                <w:rFonts w:ascii="Arial Narrow" w:hAnsi="Arial Narrow"/>
                <w:sz w:val="19"/>
                <w:szCs w:val="19"/>
              </w:rPr>
              <w:t>Tannock</w:t>
            </w:r>
            <w:proofErr w:type="spellEnd"/>
            <w:r w:rsidRPr="000D5FE2">
              <w:rPr>
                <w:rFonts w:ascii="Arial Narrow" w:hAnsi="Arial Narrow"/>
                <w:sz w:val="19"/>
                <w:szCs w:val="19"/>
              </w:rPr>
              <w:t xml:space="preserve"> 1996 (N=161), </w:t>
            </w:r>
            <w:proofErr w:type="spellStart"/>
            <w:r w:rsidRPr="000D5FE2">
              <w:rPr>
                <w:rFonts w:ascii="Arial Narrow" w:hAnsi="Arial Narrow"/>
                <w:sz w:val="19"/>
                <w:szCs w:val="19"/>
              </w:rPr>
              <w:t>Kantoff</w:t>
            </w:r>
            <w:proofErr w:type="spellEnd"/>
            <w:r w:rsidRPr="000D5FE2">
              <w:rPr>
                <w:rFonts w:ascii="Arial Narrow" w:hAnsi="Arial Narrow"/>
                <w:sz w:val="19"/>
                <w:szCs w:val="19"/>
              </w:rPr>
              <w:t xml:space="preserve"> 1999 (N=242) and Berry 2002 (N=119).</w:t>
            </w:r>
          </w:p>
          <w:p w:rsidR="00E705AF" w:rsidRPr="000D5FE2" w:rsidRDefault="00E705AF" w:rsidP="00473018">
            <w:pPr>
              <w:jc w:val="left"/>
              <w:rPr>
                <w:rFonts w:ascii="Arial Narrow" w:hAnsi="Arial Narrow"/>
                <w:sz w:val="19"/>
                <w:szCs w:val="19"/>
              </w:rPr>
            </w:pPr>
            <w:r w:rsidRPr="000D5FE2">
              <w:rPr>
                <w:rFonts w:ascii="Arial Narrow" w:hAnsi="Arial Narrow"/>
                <w:b/>
                <w:sz w:val="19"/>
                <w:szCs w:val="19"/>
              </w:rPr>
              <w:t>PBAC Comment:</w:t>
            </w:r>
            <w:r w:rsidRPr="000D5FE2">
              <w:rPr>
                <w:rFonts w:ascii="Arial Narrow" w:hAnsi="Arial Narrow"/>
                <w:sz w:val="19"/>
                <w:szCs w:val="19"/>
              </w:rPr>
              <w:t xml:space="preserve"> All of the trials generally have low risk of bias with respect </w:t>
            </w:r>
            <w:r w:rsidRPr="000D5FE2">
              <w:rPr>
                <w:rFonts w:ascii="Arial Narrow" w:hAnsi="Arial Narrow"/>
                <w:sz w:val="19"/>
                <w:szCs w:val="19"/>
              </w:rPr>
              <w:lastRenderedPageBreak/>
              <w:t>to the outcome overall survival (Paragraph 6.8).</w:t>
            </w:r>
          </w:p>
        </w:tc>
        <w:tc>
          <w:tcPr>
            <w:tcW w:w="2064"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lastRenderedPageBreak/>
              <w:t>One RCT: PREVAIL (N=1717)</w:t>
            </w:r>
          </w:p>
        </w:tc>
      </w:tr>
      <w:tr w:rsidR="00E705AF" w:rsidRPr="000D5FE2" w:rsidTr="00473018">
        <w:trPr>
          <w:trHeight w:val="1064"/>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lastRenderedPageBreak/>
              <w:t>Key effectiveness data</w:t>
            </w:r>
          </w:p>
        </w:tc>
        <w:tc>
          <w:tcPr>
            <w:tcW w:w="5387"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 xml:space="preserve">To control for subsequent treatment in </w:t>
            </w:r>
            <w:proofErr w:type="gramStart"/>
            <w:r w:rsidRPr="000D5FE2">
              <w:rPr>
                <w:rFonts w:ascii="Arial Narrow" w:hAnsi="Arial Narrow"/>
                <w:sz w:val="19"/>
                <w:szCs w:val="19"/>
              </w:rPr>
              <w:t>PREVAIL,</w:t>
            </w:r>
            <w:proofErr w:type="gramEnd"/>
            <w:r w:rsidRPr="000D5FE2">
              <w:rPr>
                <w:rFonts w:ascii="Arial Narrow" w:hAnsi="Arial Narrow"/>
                <w:sz w:val="19"/>
                <w:szCs w:val="19"/>
              </w:rPr>
              <w:t xml:space="preserve"> two adjustments to PREVAIL data were made using the IPCW method. Both made a moderate impact on overall survival in favour of enzalutamide: </w:t>
            </w:r>
          </w:p>
          <w:p w:rsidR="00E705AF" w:rsidRPr="000D5FE2" w:rsidRDefault="00E705AF" w:rsidP="00EB23C1">
            <w:pPr>
              <w:pStyle w:val="ListParagraph"/>
              <w:numPr>
                <w:ilvl w:val="0"/>
                <w:numId w:val="6"/>
              </w:numPr>
              <w:ind w:left="256" w:hanging="181"/>
              <w:jc w:val="left"/>
              <w:rPr>
                <w:rFonts w:ascii="Arial Narrow" w:hAnsi="Arial Narrow"/>
                <w:sz w:val="19"/>
                <w:szCs w:val="19"/>
              </w:rPr>
            </w:pPr>
            <w:r w:rsidRPr="000D5FE2">
              <w:rPr>
                <w:rFonts w:ascii="Arial Narrow" w:hAnsi="Arial Narrow"/>
                <w:sz w:val="19"/>
                <w:szCs w:val="19"/>
              </w:rPr>
              <w:t>ITT, HR = 0.767 (95%CI: 0.666, 0.882)</w:t>
            </w:r>
          </w:p>
          <w:p w:rsidR="00E705AF" w:rsidRPr="000D5FE2" w:rsidRDefault="00E705AF" w:rsidP="00EB23C1">
            <w:pPr>
              <w:pStyle w:val="ListParagraph"/>
              <w:numPr>
                <w:ilvl w:val="0"/>
                <w:numId w:val="6"/>
              </w:numPr>
              <w:ind w:left="256" w:hanging="181"/>
              <w:jc w:val="left"/>
              <w:rPr>
                <w:rFonts w:ascii="Arial Narrow" w:hAnsi="Arial Narrow"/>
                <w:sz w:val="19"/>
                <w:szCs w:val="19"/>
              </w:rPr>
            </w:pPr>
            <w:r w:rsidRPr="000D5FE2">
              <w:rPr>
                <w:rFonts w:ascii="Arial Narrow" w:hAnsi="Arial Narrow"/>
                <w:sz w:val="19"/>
                <w:szCs w:val="19"/>
              </w:rPr>
              <w:t>IPCW (doc is not a switch), HR = 0.660 (95%CI: 0.565, 0.772)</w:t>
            </w:r>
          </w:p>
          <w:p w:rsidR="00E705AF" w:rsidRPr="000D5FE2" w:rsidRDefault="00E705AF" w:rsidP="00EB23C1">
            <w:pPr>
              <w:pStyle w:val="ListParagraph"/>
              <w:numPr>
                <w:ilvl w:val="0"/>
                <w:numId w:val="6"/>
              </w:numPr>
              <w:ind w:left="256" w:hanging="181"/>
              <w:jc w:val="left"/>
              <w:rPr>
                <w:rFonts w:ascii="Arial Narrow" w:hAnsi="Arial Narrow"/>
                <w:sz w:val="19"/>
                <w:szCs w:val="19"/>
              </w:rPr>
            </w:pPr>
            <w:r w:rsidRPr="000D5FE2">
              <w:rPr>
                <w:rFonts w:ascii="Arial Narrow" w:hAnsi="Arial Narrow"/>
                <w:sz w:val="19"/>
                <w:szCs w:val="19"/>
              </w:rPr>
              <w:t>IPCW (doc is a switch), HR = 0.470 (95%CI: 0.341, 0.592)</w:t>
            </w:r>
          </w:p>
          <w:p w:rsidR="00E705AF" w:rsidRPr="000D5FE2" w:rsidRDefault="00E705AF" w:rsidP="00473018">
            <w:pPr>
              <w:jc w:val="left"/>
              <w:rPr>
                <w:rFonts w:ascii="Arial Narrow" w:hAnsi="Arial Narrow"/>
                <w:sz w:val="19"/>
                <w:szCs w:val="19"/>
              </w:rPr>
            </w:pPr>
            <w:r w:rsidRPr="000D5FE2">
              <w:rPr>
                <w:rFonts w:ascii="Arial Narrow" w:hAnsi="Arial Narrow"/>
                <w:sz w:val="19"/>
                <w:szCs w:val="19"/>
              </w:rPr>
              <w:t>Adjusted data were used for the nominated comparators:</w:t>
            </w:r>
          </w:p>
          <w:p w:rsidR="00E705AF" w:rsidRPr="000D5FE2" w:rsidRDefault="00E705AF" w:rsidP="00EB23C1">
            <w:pPr>
              <w:pStyle w:val="ListParagraph"/>
              <w:numPr>
                <w:ilvl w:val="0"/>
                <w:numId w:val="6"/>
              </w:numPr>
              <w:ind w:left="256" w:hanging="181"/>
              <w:jc w:val="left"/>
              <w:rPr>
                <w:rFonts w:ascii="Arial Narrow" w:hAnsi="Arial Narrow"/>
                <w:sz w:val="19"/>
                <w:szCs w:val="19"/>
              </w:rPr>
            </w:pPr>
            <w:r w:rsidRPr="000D5FE2">
              <w:rPr>
                <w:rFonts w:ascii="Arial Narrow" w:hAnsi="Arial Narrow"/>
                <w:sz w:val="19"/>
                <w:szCs w:val="19"/>
              </w:rPr>
              <w:t>Watchful waiting: PREVAIL IPCW (doc is not a switch)</w:t>
            </w:r>
          </w:p>
          <w:p w:rsidR="00E705AF" w:rsidRPr="000D5FE2" w:rsidRDefault="00E705AF" w:rsidP="00EB23C1">
            <w:pPr>
              <w:pStyle w:val="ListParagraph"/>
              <w:numPr>
                <w:ilvl w:val="0"/>
                <w:numId w:val="6"/>
              </w:numPr>
              <w:ind w:left="256" w:hanging="181"/>
              <w:jc w:val="left"/>
              <w:rPr>
                <w:rFonts w:ascii="Arial Narrow" w:hAnsi="Arial Narrow"/>
                <w:sz w:val="19"/>
                <w:szCs w:val="19"/>
              </w:rPr>
            </w:pPr>
            <w:r w:rsidRPr="000D5FE2">
              <w:rPr>
                <w:rFonts w:ascii="Arial Narrow" w:hAnsi="Arial Narrow"/>
                <w:sz w:val="19"/>
                <w:szCs w:val="19"/>
              </w:rPr>
              <w:t>Docetaxel: Indirect comparison of PREVAIL IPCW (doc is a switch) v meta-analysis of TAX-327 and Ye 2013; indirect HR = 0.66 (0.47, 0.92)</w:t>
            </w:r>
          </w:p>
          <w:p w:rsidR="00E705AF" w:rsidRPr="000D5FE2" w:rsidRDefault="00E705AF" w:rsidP="00473018">
            <w:pPr>
              <w:jc w:val="left"/>
              <w:rPr>
                <w:rFonts w:ascii="Arial Narrow" w:hAnsi="Arial Narrow"/>
                <w:sz w:val="19"/>
                <w:szCs w:val="19"/>
              </w:rPr>
            </w:pPr>
            <w:r w:rsidRPr="000D5FE2">
              <w:rPr>
                <w:rFonts w:ascii="Arial Narrow" w:hAnsi="Arial Narrow"/>
                <w:b/>
                <w:sz w:val="19"/>
                <w:szCs w:val="19"/>
              </w:rPr>
              <w:t>PBAC Comment:</w:t>
            </w:r>
            <w:r w:rsidRPr="000D5FE2">
              <w:rPr>
                <w:rFonts w:ascii="Arial Narrow" w:hAnsi="Arial Narrow"/>
                <w:sz w:val="19"/>
                <w:szCs w:val="19"/>
              </w:rPr>
              <w:t xml:space="preserve"> Adjusting for switching for watchful waiting and the indirect comparison for docetaxel were not appropriate, favouring enzalutamide (Paragraphs 6.14 and 7.5). No evidence was presented that the order in which enzalutamide or docetaxel are used in a treatment algorithm results in treatment modification to support the contention that enzalutamide to docetaxel is superior to docetaxel to enzalutamide (Paragraph 6.18). Given patients would not benefit substantially in survival, the PBAC considered the impact on quality of life from delaying disease symptoms (such as pain, fractures, and spinal cord compression) and delaying toxicities from chemotherapy were of most relevance to this patient population (Paragraphs 7.2 and 7.6).</w:t>
            </w:r>
          </w:p>
        </w:tc>
        <w:tc>
          <w:tcPr>
            <w:tcW w:w="2064"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Given PREVAIL does not inform the current and proposed treatment algorithms, and in light of PBAC comments regarding the clinical claim, the submission focused on secondary quality of life outcomes in PREVAIL.  The outcome modelled was time to initiation of cytotoxic chemotherapy:</w:t>
            </w:r>
          </w:p>
          <w:p w:rsidR="00E705AF" w:rsidRPr="000D5FE2" w:rsidRDefault="00E705AF" w:rsidP="00EB23C1">
            <w:pPr>
              <w:pStyle w:val="ListParagraph"/>
              <w:numPr>
                <w:ilvl w:val="0"/>
                <w:numId w:val="6"/>
              </w:numPr>
              <w:ind w:left="256" w:hanging="181"/>
              <w:jc w:val="left"/>
              <w:rPr>
                <w:rFonts w:ascii="Arial Narrow" w:hAnsi="Arial Narrow"/>
                <w:sz w:val="19"/>
                <w:szCs w:val="19"/>
              </w:rPr>
            </w:pPr>
            <w:r w:rsidRPr="000D5FE2">
              <w:rPr>
                <w:rFonts w:ascii="Arial Narrow" w:hAnsi="Arial Narrow"/>
                <w:sz w:val="19"/>
                <w:szCs w:val="19"/>
              </w:rPr>
              <w:t>ITT, HR=0.349 (95%CI: 0.303, 0.403)</w:t>
            </w:r>
          </w:p>
          <w:p w:rsidR="00E705AF" w:rsidRPr="000D5FE2" w:rsidRDefault="00E705AF" w:rsidP="00473018">
            <w:pPr>
              <w:jc w:val="left"/>
              <w:rPr>
                <w:rFonts w:ascii="Arial Narrow" w:hAnsi="Arial Narrow"/>
                <w:sz w:val="19"/>
                <w:szCs w:val="19"/>
              </w:rPr>
            </w:pPr>
          </w:p>
        </w:tc>
      </w:tr>
      <w:tr w:rsidR="00E705AF" w:rsidRPr="000D5FE2" w:rsidTr="00473018">
        <w:trPr>
          <w:trHeight w:val="88"/>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Key safety data</w:t>
            </w:r>
          </w:p>
        </w:tc>
        <w:tc>
          <w:tcPr>
            <w:tcW w:w="5387"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No safety concerns.</w:t>
            </w:r>
          </w:p>
          <w:p w:rsidR="00E705AF" w:rsidRPr="000D5FE2" w:rsidRDefault="00E705AF" w:rsidP="00473018">
            <w:pPr>
              <w:jc w:val="left"/>
              <w:rPr>
                <w:rFonts w:ascii="Arial Narrow" w:hAnsi="Arial Narrow"/>
                <w:bCs/>
                <w:sz w:val="19"/>
                <w:szCs w:val="19"/>
              </w:rPr>
            </w:pPr>
            <w:r w:rsidRPr="000D5FE2">
              <w:rPr>
                <w:rFonts w:ascii="Arial Narrow" w:hAnsi="Arial Narrow"/>
                <w:b/>
                <w:sz w:val="19"/>
                <w:szCs w:val="19"/>
              </w:rPr>
              <w:t>PBAC Comment:</w:t>
            </w:r>
            <w:r w:rsidRPr="000D5FE2">
              <w:rPr>
                <w:rFonts w:ascii="Arial Narrow" w:hAnsi="Arial Narrow"/>
                <w:bCs/>
                <w:sz w:val="19"/>
                <w:szCs w:val="19"/>
              </w:rPr>
              <w:t xml:space="preserve"> None.</w:t>
            </w:r>
          </w:p>
        </w:tc>
        <w:tc>
          <w:tcPr>
            <w:tcW w:w="2064"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No safety concerns.</w:t>
            </w:r>
          </w:p>
        </w:tc>
      </w:tr>
      <w:tr w:rsidR="00E705AF" w:rsidRPr="000D5FE2" w:rsidTr="00473018">
        <w:trPr>
          <w:trHeight w:val="860"/>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Clinical claim</w:t>
            </w:r>
          </w:p>
        </w:tc>
        <w:tc>
          <w:tcPr>
            <w:tcW w:w="5387"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 xml:space="preserve">Enzalutamide superior effectiveness in terms of overall survival compared to watchful waiting and docetaxel; non-inferior safety to watchful waiting but </w:t>
            </w:r>
            <w:r w:rsidR="00225B6A" w:rsidRPr="000D5FE2">
              <w:rPr>
                <w:rFonts w:ascii="Arial Narrow" w:hAnsi="Arial Narrow"/>
                <w:sz w:val="19"/>
                <w:szCs w:val="19"/>
              </w:rPr>
              <w:t xml:space="preserve">superior </w:t>
            </w:r>
            <w:r w:rsidRPr="000D5FE2">
              <w:rPr>
                <w:rFonts w:ascii="Arial Narrow" w:hAnsi="Arial Narrow"/>
                <w:sz w:val="19"/>
                <w:szCs w:val="19"/>
              </w:rPr>
              <w:t>safety to docetaxel.</w:t>
            </w:r>
          </w:p>
          <w:p w:rsidR="00E705AF" w:rsidRPr="000D5FE2" w:rsidRDefault="00E705AF" w:rsidP="00473018">
            <w:pPr>
              <w:jc w:val="left"/>
              <w:rPr>
                <w:rFonts w:ascii="Arial Narrow" w:hAnsi="Arial Narrow"/>
                <w:sz w:val="19"/>
                <w:szCs w:val="19"/>
              </w:rPr>
            </w:pPr>
            <w:r w:rsidRPr="000D5FE2">
              <w:rPr>
                <w:rFonts w:ascii="Arial Narrow" w:hAnsi="Arial Narrow"/>
                <w:b/>
                <w:sz w:val="19"/>
                <w:szCs w:val="19"/>
              </w:rPr>
              <w:t>PBAC Comment:</w:t>
            </w:r>
            <w:r w:rsidRPr="000D5FE2">
              <w:rPr>
                <w:rFonts w:ascii="Arial Narrow" w:hAnsi="Arial Narrow"/>
                <w:sz w:val="19"/>
                <w:szCs w:val="19"/>
              </w:rPr>
              <w:t xml:space="preserve"> The PBAC considered, in light of input from clinicians and consumers, patients would </w:t>
            </w:r>
            <w:r w:rsidRPr="000D5FE2">
              <w:rPr>
                <w:rFonts w:ascii="Arial Narrow" w:hAnsi="Arial Narrow"/>
                <w:sz w:val="19"/>
                <w:szCs w:val="19"/>
                <w:u w:val="single"/>
              </w:rPr>
              <w:t>not</w:t>
            </w:r>
            <w:r w:rsidRPr="000D5FE2">
              <w:rPr>
                <w:rFonts w:ascii="Arial Narrow" w:hAnsi="Arial Narrow"/>
                <w:sz w:val="19"/>
                <w:szCs w:val="19"/>
              </w:rPr>
              <w:t xml:space="preserve"> benefit substantially in survival from earlier treatment with enzalutamide [in a treatment algorithm], </w:t>
            </w:r>
            <w:r w:rsidR="00F25233" w:rsidRPr="000D5FE2">
              <w:rPr>
                <w:rFonts w:ascii="Arial Narrow" w:hAnsi="Arial Narrow"/>
                <w:sz w:val="19"/>
                <w:szCs w:val="19"/>
              </w:rPr>
              <w:t xml:space="preserve">this is </w:t>
            </w:r>
            <w:r w:rsidRPr="000D5FE2">
              <w:rPr>
                <w:rFonts w:ascii="Arial Narrow" w:hAnsi="Arial Narrow"/>
                <w:sz w:val="19"/>
                <w:szCs w:val="19"/>
              </w:rPr>
              <w:t>in contrast</w:t>
            </w:r>
            <w:r w:rsidR="00F25233" w:rsidRPr="000D5FE2">
              <w:rPr>
                <w:rFonts w:ascii="Arial Narrow" w:hAnsi="Arial Narrow"/>
                <w:sz w:val="19"/>
                <w:szCs w:val="19"/>
              </w:rPr>
              <w:t xml:space="preserve"> to</w:t>
            </w:r>
            <w:r w:rsidRPr="000D5FE2">
              <w:rPr>
                <w:rFonts w:ascii="Arial Narrow" w:hAnsi="Arial Narrow"/>
                <w:sz w:val="19"/>
                <w:szCs w:val="19"/>
              </w:rPr>
              <w:t xml:space="preserve"> the entire basis of the submission (Paragraph 7.3). The goal of earlier treatment is to maintain better quality of life for longer.  For asymptomatic patients, the benefit is delaying symptoms from developing; for symptomatic patients, the benefit is delaying the toxicities of chemotherapy (Paragraph 7.2).</w:t>
            </w:r>
          </w:p>
        </w:tc>
        <w:tc>
          <w:tcPr>
            <w:tcW w:w="2064"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Enzalutamide superior effectiveness in terms of quality of life, pain progression, delaying subsequent treatment and progressive disease compared to watchful waiting; non-inferior safety to watchful waiting.</w:t>
            </w:r>
          </w:p>
        </w:tc>
      </w:tr>
      <w:tr w:rsidR="00E705AF" w:rsidRPr="000D5FE2" w:rsidTr="00473018">
        <w:trPr>
          <w:trHeight w:val="1298"/>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Economic evaluation</w:t>
            </w:r>
          </w:p>
        </w:tc>
        <w:tc>
          <w:tcPr>
            <w:tcW w:w="5387"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Cost-utility models comparing algorithms:</w:t>
            </w:r>
          </w:p>
          <w:p w:rsidR="00E705AF" w:rsidRPr="000D5FE2" w:rsidRDefault="00E705AF" w:rsidP="00EB23C1">
            <w:pPr>
              <w:pStyle w:val="ListParagraph"/>
              <w:numPr>
                <w:ilvl w:val="0"/>
                <w:numId w:val="6"/>
              </w:numPr>
              <w:ind w:left="256" w:hanging="181"/>
              <w:jc w:val="left"/>
              <w:rPr>
                <w:rFonts w:ascii="Arial Narrow" w:hAnsi="Arial Narrow"/>
                <w:sz w:val="19"/>
                <w:szCs w:val="19"/>
              </w:rPr>
            </w:pPr>
            <w:r w:rsidRPr="000D5FE2">
              <w:rPr>
                <w:rFonts w:ascii="Arial Narrow" w:hAnsi="Arial Narrow"/>
                <w:sz w:val="19"/>
                <w:szCs w:val="19"/>
              </w:rPr>
              <w:t xml:space="preserve">Analysis A (enzalutamide → docetaxel → palliative care versus watchful waiting → docetaxel → palliative care), </w:t>
            </w:r>
            <w:r w:rsidR="009E6768">
              <w:rPr>
                <w:rFonts w:ascii="Arial Narrow" w:hAnsi="Arial Narrow"/>
                <w:sz w:val="19"/>
                <w:szCs w:val="19"/>
              </w:rPr>
              <w:t>$45,000/QALY - $75,000</w:t>
            </w:r>
            <w:r w:rsidRPr="000D5FE2">
              <w:rPr>
                <w:rFonts w:ascii="Arial Narrow" w:hAnsi="Arial Narrow"/>
                <w:sz w:val="19"/>
                <w:szCs w:val="19"/>
              </w:rPr>
              <w:t>/QALY (10 years).</w:t>
            </w:r>
          </w:p>
          <w:p w:rsidR="00E705AF" w:rsidRPr="000D5FE2" w:rsidRDefault="00E705AF" w:rsidP="00EB23C1">
            <w:pPr>
              <w:pStyle w:val="ListParagraph"/>
              <w:numPr>
                <w:ilvl w:val="0"/>
                <w:numId w:val="6"/>
              </w:numPr>
              <w:ind w:left="256" w:hanging="181"/>
              <w:jc w:val="left"/>
              <w:rPr>
                <w:rFonts w:ascii="Arial Narrow" w:hAnsi="Arial Narrow"/>
                <w:b/>
                <w:sz w:val="19"/>
                <w:szCs w:val="19"/>
              </w:rPr>
            </w:pPr>
            <w:r w:rsidRPr="000D5FE2">
              <w:rPr>
                <w:rFonts w:ascii="Arial Narrow" w:hAnsi="Arial Narrow"/>
                <w:sz w:val="19"/>
                <w:szCs w:val="19"/>
              </w:rPr>
              <w:t xml:space="preserve">Analysis C (enzalutamide → docetaxel → palliative care versus docetaxel → abiraterone → palliative care), </w:t>
            </w:r>
            <w:r w:rsidR="00627ED2">
              <w:rPr>
                <w:rFonts w:ascii="Arial Narrow" w:hAnsi="Arial Narrow"/>
                <w:sz w:val="19"/>
                <w:szCs w:val="19"/>
              </w:rPr>
              <w:t>$45,000/QALY - $75,000</w:t>
            </w:r>
            <w:r w:rsidR="00627ED2" w:rsidRPr="000D5FE2">
              <w:rPr>
                <w:rFonts w:ascii="Arial Narrow" w:hAnsi="Arial Narrow"/>
                <w:sz w:val="19"/>
                <w:szCs w:val="19"/>
              </w:rPr>
              <w:t>/</w:t>
            </w:r>
            <w:r w:rsidRPr="000D5FE2">
              <w:rPr>
                <w:rFonts w:ascii="Arial Narrow" w:hAnsi="Arial Narrow"/>
                <w:sz w:val="19"/>
                <w:szCs w:val="19"/>
              </w:rPr>
              <w:t>QALY (10 years).</w:t>
            </w:r>
          </w:p>
          <w:p w:rsidR="00E705AF" w:rsidRPr="000D5FE2" w:rsidRDefault="00E705AF" w:rsidP="00473018">
            <w:pPr>
              <w:jc w:val="left"/>
              <w:rPr>
                <w:rFonts w:ascii="Arial Narrow" w:hAnsi="Arial Narrow"/>
                <w:sz w:val="19"/>
                <w:szCs w:val="19"/>
              </w:rPr>
            </w:pPr>
            <w:r w:rsidRPr="000D5FE2">
              <w:rPr>
                <w:rFonts w:ascii="Arial Narrow" w:hAnsi="Arial Narrow"/>
                <w:b/>
                <w:sz w:val="19"/>
                <w:szCs w:val="19"/>
              </w:rPr>
              <w:t>PBAC Comment:</w:t>
            </w:r>
            <w:r w:rsidRPr="000D5FE2">
              <w:rPr>
                <w:rFonts w:ascii="Arial Narrow" w:hAnsi="Arial Narrow"/>
                <w:sz w:val="19"/>
                <w:szCs w:val="19"/>
              </w:rPr>
              <w:t xml:space="preserve"> The models were driven by assumptions about progression free survival which were not justified, and the PBAC did not consider Analysis A or C appropriately reflect the value (</w:t>
            </w:r>
            <w:r w:rsidR="002D732E" w:rsidRPr="000D5FE2">
              <w:rPr>
                <w:rFonts w:ascii="Arial Narrow" w:hAnsi="Arial Narrow"/>
                <w:sz w:val="19"/>
                <w:szCs w:val="19"/>
              </w:rPr>
              <w:t>i.e.</w:t>
            </w:r>
            <w:r w:rsidRPr="000D5FE2">
              <w:rPr>
                <w:rFonts w:ascii="Arial Narrow" w:hAnsi="Arial Narrow"/>
                <w:sz w:val="19"/>
                <w:szCs w:val="19"/>
              </w:rPr>
              <w:t>, not overall survival) of early enzalutamide [in a treatment algorithm] (Paragraph 7.7).</w:t>
            </w:r>
          </w:p>
        </w:tc>
        <w:tc>
          <w:tcPr>
            <w:tcW w:w="2064"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 xml:space="preserve">Cost-utility model comparing algorithm: enzalutamide → docetaxel → best supportive care versus watchful waiting → docetaxel → enzalutamide or abiraterone, </w:t>
            </w:r>
            <w:r w:rsidR="006613BA">
              <w:rPr>
                <w:rFonts w:ascii="Arial Narrow" w:hAnsi="Arial Narrow"/>
                <w:sz w:val="19"/>
                <w:szCs w:val="19"/>
              </w:rPr>
              <w:t>$45,000/QALY - $75,000</w:t>
            </w:r>
            <w:r w:rsidRPr="000D5FE2">
              <w:rPr>
                <w:rFonts w:ascii="Arial Narrow" w:hAnsi="Arial Narrow"/>
                <w:sz w:val="19"/>
                <w:szCs w:val="19"/>
              </w:rPr>
              <w:t>/QALY (10 years).</w:t>
            </w:r>
            <w:r w:rsidRPr="000D5FE2">
              <w:rPr>
                <w:rFonts w:ascii="Arial Narrow" w:hAnsi="Arial Narrow"/>
                <w:b/>
                <w:sz w:val="19"/>
                <w:szCs w:val="19"/>
              </w:rPr>
              <w:t xml:space="preserve"> </w:t>
            </w:r>
          </w:p>
        </w:tc>
      </w:tr>
      <w:tr w:rsidR="00E705AF" w:rsidRPr="000D5FE2" w:rsidTr="00473018">
        <w:trPr>
          <w:trHeight w:val="453"/>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Number of scripts</w:t>
            </w:r>
          </w:p>
        </w:tc>
        <w:tc>
          <w:tcPr>
            <w:tcW w:w="5387" w:type="dxa"/>
          </w:tcPr>
          <w:p w:rsidR="00E705AF" w:rsidRPr="000D5FE2" w:rsidRDefault="006613BA" w:rsidP="00473018">
            <w:pPr>
              <w:jc w:val="left"/>
              <w:rPr>
                <w:rFonts w:ascii="Arial Narrow" w:hAnsi="Arial Narrow"/>
                <w:sz w:val="19"/>
                <w:szCs w:val="19"/>
              </w:rPr>
            </w:pPr>
            <w:r>
              <w:rPr>
                <w:rFonts w:ascii="Arial Narrow" w:hAnsi="Arial Narrow"/>
                <w:sz w:val="19"/>
                <w:szCs w:val="19"/>
              </w:rPr>
              <w:t>10,000 – 50,000</w:t>
            </w:r>
            <w:r w:rsidR="00E705AF" w:rsidRPr="000D5FE2">
              <w:rPr>
                <w:rFonts w:ascii="Arial Narrow" w:hAnsi="Arial Narrow"/>
                <w:sz w:val="19"/>
                <w:szCs w:val="19"/>
              </w:rPr>
              <w:t xml:space="preserve"> scripts in Year 1 increasing to </w:t>
            </w:r>
            <w:r>
              <w:rPr>
                <w:rFonts w:ascii="Arial Narrow" w:hAnsi="Arial Narrow"/>
                <w:sz w:val="19"/>
                <w:szCs w:val="19"/>
              </w:rPr>
              <w:t>10,000 to 50,000</w:t>
            </w:r>
            <w:r w:rsidR="00E705AF" w:rsidRPr="000D5FE2">
              <w:rPr>
                <w:rFonts w:ascii="Arial Narrow" w:hAnsi="Arial Narrow"/>
                <w:sz w:val="19"/>
                <w:szCs w:val="19"/>
              </w:rPr>
              <w:t xml:space="preserve"> scripts in Year 5.</w:t>
            </w:r>
          </w:p>
          <w:p w:rsidR="00E705AF" w:rsidRPr="000D5FE2" w:rsidRDefault="00E705AF" w:rsidP="00473018">
            <w:pPr>
              <w:jc w:val="left"/>
              <w:rPr>
                <w:rFonts w:ascii="Arial Narrow" w:hAnsi="Arial Narrow"/>
                <w:sz w:val="19"/>
                <w:szCs w:val="19"/>
              </w:rPr>
            </w:pPr>
            <w:r w:rsidRPr="000D5FE2">
              <w:rPr>
                <w:rFonts w:ascii="Arial Narrow" w:hAnsi="Arial Narrow"/>
                <w:b/>
                <w:sz w:val="19"/>
                <w:szCs w:val="19"/>
              </w:rPr>
              <w:t>PBAC Comment:</w:t>
            </w:r>
            <w:r w:rsidRPr="000D5FE2">
              <w:rPr>
                <w:rFonts w:ascii="Arial Narrow" w:hAnsi="Arial Narrow"/>
                <w:sz w:val="19"/>
                <w:szCs w:val="19"/>
              </w:rPr>
              <w:t xml:space="preserve"> DUSC considered the eligible population (</w:t>
            </w:r>
            <w:r w:rsidRPr="000D5FE2">
              <w:rPr>
                <w:rFonts w:ascii="Arial Narrow" w:hAnsi="Arial Narrow"/>
                <w:i/>
                <w:iCs/>
                <w:sz w:val="19"/>
                <w:szCs w:val="19"/>
              </w:rPr>
              <w:t>and hence number of scripts</w:t>
            </w:r>
            <w:r w:rsidRPr="000D5FE2">
              <w:rPr>
                <w:rFonts w:ascii="Arial Narrow" w:hAnsi="Arial Narrow"/>
                <w:sz w:val="19"/>
                <w:szCs w:val="19"/>
              </w:rPr>
              <w:t>) was likely underestimated (Paragraph 6.38).</w:t>
            </w:r>
          </w:p>
        </w:tc>
        <w:tc>
          <w:tcPr>
            <w:tcW w:w="2064" w:type="dxa"/>
          </w:tcPr>
          <w:p w:rsidR="00E705AF" w:rsidRPr="000D5FE2" w:rsidRDefault="006613BA" w:rsidP="006613BA">
            <w:pPr>
              <w:jc w:val="left"/>
              <w:rPr>
                <w:rFonts w:ascii="Arial Narrow" w:hAnsi="Arial Narrow"/>
                <w:sz w:val="19"/>
                <w:szCs w:val="19"/>
              </w:rPr>
            </w:pPr>
            <w:r>
              <w:rPr>
                <w:rFonts w:ascii="Arial Narrow" w:hAnsi="Arial Narrow"/>
                <w:sz w:val="19"/>
                <w:szCs w:val="19"/>
              </w:rPr>
              <w:t>10,000 to 50,000</w:t>
            </w:r>
            <w:r w:rsidR="00E705AF" w:rsidRPr="000D5FE2">
              <w:rPr>
                <w:rFonts w:ascii="Arial Narrow" w:hAnsi="Arial Narrow"/>
                <w:sz w:val="19"/>
                <w:szCs w:val="19"/>
              </w:rPr>
              <w:t xml:space="preserve"> scripts in Year 1 increasing to </w:t>
            </w:r>
            <w:r>
              <w:rPr>
                <w:rFonts w:ascii="Arial Narrow" w:hAnsi="Arial Narrow"/>
                <w:sz w:val="19"/>
                <w:szCs w:val="19"/>
              </w:rPr>
              <w:t>50,000 to 100,000</w:t>
            </w:r>
            <w:r w:rsidR="00E705AF" w:rsidRPr="000D5FE2">
              <w:rPr>
                <w:rFonts w:ascii="Arial Narrow" w:hAnsi="Arial Narrow"/>
                <w:sz w:val="19"/>
                <w:szCs w:val="19"/>
              </w:rPr>
              <w:t xml:space="preserve"> scripts in Year 5.</w:t>
            </w:r>
          </w:p>
        </w:tc>
      </w:tr>
      <w:tr w:rsidR="00E705AF" w:rsidRPr="000D5FE2" w:rsidTr="00473018">
        <w:trPr>
          <w:trHeight w:val="619"/>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Estimated cost to PBS</w:t>
            </w:r>
          </w:p>
        </w:tc>
        <w:tc>
          <w:tcPr>
            <w:tcW w:w="5387" w:type="dxa"/>
          </w:tcPr>
          <w:p w:rsidR="00E705AF" w:rsidRPr="000D5FE2" w:rsidRDefault="00862EC7" w:rsidP="00473018">
            <w:pPr>
              <w:jc w:val="left"/>
              <w:rPr>
                <w:rFonts w:ascii="Arial Narrow" w:hAnsi="Arial Narrow"/>
                <w:sz w:val="19"/>
                <w:szCs w:val="19"/>
              </w:rPr>
            </w:pPr>
            <w:r>
              <w:rPr>
                <w:rFonts w:ascii="Arial Narrow" w:hAnsi="Arial Narrow"/>
                <w:sz w:val="19"/>
                <w:szCs w:val="19"/>
              </w:rPr>
              <w:t>$10 - $20 million</w:t>
            </w:r>
            <w:r w:rsidR="00E705AF" w:rsidRPr="000D5FE2">
              <w:rPr>
                <w:rFonts w:ascii="Arial Narrow" w:hAnsi="Arial Narrow"/>
                <w:sz w:val="19"/>
                <w:szCs w:val="19"/>
              </w:rPr>
              <w:t xml:space="preserve"> in Year 1 increasing to </w:t>
            </w:r>
            <w:r>
              <w:rPr>
                <w:rFonts w:ascii="Arial Narrow" w:hAnsi="Arial Narrow"/>
                <w:sz w:val="19"/>
                <w:szCs w:val="19"/>
              </w:rPr>
              <w:t>$30 - $60 million</w:t>
            </w:r>
            <w:r w:rsidR="00E705AF" w:rsidRPr="000D5FE2">
              <w:rPr>
                <w:rFonts w:ascii="Arial Narrow" w:hAnsi="Arial Narrow"/>
                <w:sz w:val="19"/>
                <w:szCs w:val="19"/>
              </w:rPr>
              <w:t xml:space="preserve"> in Year 5 for a total of </w:t>
            </w:r>
            <w:r>
              <w:rPr>
                <w:rFonts w:ascii="Arial Narrow" w:hAnsi="Arial Narrow"/>
                <w:sz w:val="19"/>
                <w:szCs w:val="19"/>
              </w:rPr>
              <w:t>more than $100 million</w:t>
            </w:r>
            <w:r w:rsidR="00E705AF" w:rsidRPr="000D5FE2">
              <w:rPr>
                <w:rFonts w:ascii="Arial Narrow" w:hAnsi="Arial Narrow"/>
                <w:sz w:val="19"/>
                <w:szCs w:val="19"/>
              </w:rPr>
              <w:t xml:space="preserve"> over the first 5 years of listing.</w:t>
            </w:r>
          </w:p>
          <w:p w:rsidR="00E705AF" w:rsidRPr="000D5FE2" w:rsidRDefault="00E705AF" w:rsidP="00473018">
            <w:pPr>
              <w:jc w:val="left"/>
              <w:rPr>
                <w:rFonts w:ascii="Arial Narrow" w:hAnsi="Arial Narrow"/>
                <w:sz w:val="19"/>
                <w:szCs w:val="19"/>
              </w:rPr>
            </w:pPr>
            <w:r w:rsidRPr="000D5FE2">
              <w:rPr>
                <w:rFonts w:ascii="Arial Narrow" w:hAnsi="Arial Narrow"/>
                <w:b/>
                <w:sz w:val="19"/>
                <w:szCs w:val="19"/>
              </w:rPr>
              <w:t>PBAC Comment:</w:t>
            </w:r>
            <w:r w:rsidRPr="000D5FE2">
              <w:rPr>
                <w:rFonts w:ascii="Arial Narrow" w:hAnsi="Arial Narrow"/>
                <w:sz w:val="19"/>
                <w:szCs w:val="19"/>
              </w:rPr>
              <w:t xml:space="preserve"> DUSC considered the financial estimates model was poorly structured and did not adequately inform the budget impact estimates </w:t>
            </w:r>
            <w:r w:rsidRPr="000D5FE2">
              <w:rPr>
                <w:rFonts w:ascii="Arial Narrow" w:hAnsi="Arial Narrow"/>
                <w:sz w:val="19"/>
                <w:szCs w:val="19"/>
              </w:rPr>
              <w:lastRenderedPageBreak/>
              <w:t>(Paragraph 6.38).</w:t>
            </w:r>
          </w:p>
        </w:tc>
        <w:tc>
          <w:tcPr>
            <w:tcW w:w="2064" w:type="dxa"/>
          </w:tcPr>
          <w:p w:rsidR="00E705AF" w:rsidRPr="000D5FE2" w:rsidRDefault="00584017" w:rsidP="00584017">
            <w:pPr>
              <w:jc w:val="left"/>
              <w:rPr>
                <w:rFonts w:ascii="Arial Narrow" w:hAnsi="Arial Narrow"/>
                <w:sz w:val="19"/>
                <w:szCs w:val="19"/>
              </w:rPr>
            </w:pPr>
            <w:r>
              <w:rPr>
                <w:rFonts w:ascii="Arial Narrow" w:hAnsi="Arial Narrow"/>
                <w:sz w:val="19"/>
                <w:szCs w:val="19"/>
              </w:rPr>
              <w:lastRenderedPageBreak/>
              <w:t>$30 - $60 million</w:t>
            </w:r>
            <w:r w:rsidR="00E705AF" w:rsidRPr="000D5FE2">
              <w:rPr>
                <w:rFonts w:ascii="Arial Narrow" w:hAnsi="Arial Narrow"/>
                <w:sz w:val="19"/>
                <w:szCs w:val="19"/>
              </w:rPr>
              <w:t xml:space="preserve"> in Year 1 decreasing to </w:t>
            </w:r>
            <w:r>
              <w:rPr>
                <w:rFonts w:ascii="Arial Narrow" w:hAnsi="Arial Narrow"/>
                <w:sz w:val="19"/>
                <w:szCs w:val="19"/>
              </w:rPr>
              <w:t>$20 - $30 million</w:t>
            </w:r>
            <w:r w:rsidR="00E705AF" w:rsidRPr="000D5FE2">
              <w:rPr>
                <w:rFonts w:ascii="Arial Narrow" w:hAnsi="Arial Narrow"/>
                <w:sz w:val="19"/>
                <w:szCs w:val="19"/>
              </w:rPr>
              <w:t xml:space="preserve"> in Year 5 for a total of </w:t>
            </w:r>
            <w:r>
              <w:rPr>
                <w:rFonts w:ascii="Arial Narrow" w:hAnsi="Arial Narrow"/>
                <w:sz w:val="19"/>
                <w:szCs w:val="19"/>
              </w:rPr>
              <w:t>more than $100 million</w:t>
            </w:r>
            <w:r w:rsidR="00E705AF" w:rsidRPr="000D5FE2">
              <w:rPr>
                <w:rFonts w:ascii="Arial Narrow" w:hAnsi="Arial Narrow"/>
                <w:sz w:val="19"/>
                <w:szCs w:val="19"/>
              </w:rPr>
              <w:t xml:space="preserve"> over </w:t>
            </w:r>
            <w:r w:rsidR="00E705AF" w:rsidRPr="000D5FE2">
              <w:rPr>
                <w:rFonts w:ascii="Arial Narrow" w:hAnsi="Arial Narrow"/>
                <w:sz w:val="19"/>
                <w:szCs w:val="19"/>
              </w:rPr>
              <w:lastRenderedPageBreak/>
              <w:t>the first 5 years of listing.</w:t>
            </w:r>
          </w:p>
        </w:tc>
      </w:tr>
      <w:tr w:rsidR="00E705AF" w:rsidRPr="000D5FE2" w:rsidTr="00473018">
        <w:trPr>
          <w:trHeight w:val="438"/>
        </w:trPr>
        <w:tc>
          <w:tcPr>
            <w:tcW w:w="992" w:type="dxa"/>
          </w:tcPr>
          <w:p w:rsidR="00E705AF" w:rsidRPr="000D5FE2" w:rsidRDefault="00E705AF" w:rsidP="00473018">
            <w:pPr>
              <w:jc w:val="left"/>
              <w:rPr>
                <w:rFonts w:ascii="Arial Narrow" w:hAnsi="Arial Narrow"/>
                <w:sz w:val="19"/>
                <w:szCs w:val="19"/>
              </w:rPr>
            </w:pPr>
            <w:r w:rsidRPr="000D5FE2">
              <w:rPr>
                <w:rFonts w:ascii="Arial Narrow" w:hAnsi="Arial Narrow"/>
              </w:rPr>
              <w:lastRenderedPageBreak/>
              <w:br w:type="page"/>
            </w:r>
            <w:r w:rsidRPr="000D5FE2">
              <w:rPr>
                <w:rFonts w:ascii="Arial Narrow" w:hAnsi="Arial Narrow"/>
                <w:sz w:val="19"/>
                <w:szCs w:val="19"/>
              </w:rPr>
              <w:t>PBAC decision</w:t>
            </w:r>
          </w:p>
        </w:tc>
        <w:tc>
          <w:tcPr>
            <w:tcW w:w="5387"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 xml:space="preserve">Reject. </w:t>
            </w:r>
          </w:p>
        </w:tc>
        <w:tc>
          <w:tcPr>
            <w:tcW w:w="2064" w:type="dxa"/>
          </w:tcPr>
          <w:p w:rsidR="00E705AF" w:rsidRPr="000D5FE2" w:rsidRDefault="00E705AF" w:rsidP="00473018">
            <w:pPr>
              <w:jc w:val="left"/>
              <w:rPr>
                <w:rFonts w:ascii="Arial Narrow" w:hAnsi="Arial Narrow"/>
                <w:sz w:val="19"/>
                <w:szCs w:val="19"/>
              </w:rPr>
            </w:pPr>
            <w:r w:rsidRPr="000D5FE2">
              <w:rPr>
                <w:rFonts w:ascii="Arial Narrow" w:hAnsi="Arial Narrow"/>
                <w:sz w:val="19"/>
                <w:szCs w:val="19"/>
              </w:rPr>
              <w:t>-</w:t>
            </w:r>
          </w:p>
        </w:tc>
      </w:tr>
    </w:tbl>
    <w:p w:rsidR="00E705AF" w:rsidRPr="000D5FE2" w:rsidRDefault="00E705AF" w:rsidP="00873CD4">
      <w:pPr>
        <w:pStyle w:val="TableFooter"/>
        <w:ind w:left="709" w:firstLine="11"/>
      </w:pPr>
      <w:r w:rsidRPr="000D5FE2">
        <w:t>Source: Compiled during the evaluation</w:t>
      </w:r>
      <w:r w:rsidR="00873CD4" w:rsidRPr="000D5FE2">
        <w:t xml:space="preserve"> using PBAC minutes November 2015 and the current enzalutamide submission, March 2017.</w:t>
      </w:r>
    </w:p>
    <w:p w:rsidR="00E705AF" w:rsidRPr="000D5FE2" w:rsidRDefault="00E705AF" w:rsidP="00E705AF"/>
    <w:p w:rsidR="00C92224" w:rsidRPr="000D5FE2" w:rsidRDefault="00C92224" w:rsidP="00C92224">
      <w:pPr>
        <w:ind w:firstLine="720"/>
        <w:rPr>
          <w:bCs/>
          <w:szCs w:val="22"/>
        </w:rPr>
      </w:pPr>
      <w:r w:rsidRPr="000D5FE2">
        <w:rPr>
          <w:bCs/>
          <w:i/>
          <w:szCs w:val="22"/>
        </w:rPr>
        <w:t>For more detail on PBAC’s view, see section 7 “PBAC outcome”</w:t>
      </w:r>
    </w:p>
    <w:p w:rsidR="00C92224" w:rsidRDefault="00C92224" w:rsidP="00E705AF"/>
    <w:p w:rsidR="008A445B" w:rsidRPr="000D5FE2" w:rsidRDefault="008A445B" w:rsidP="00E705AF"/>
    <w:p w:rsidR="00E705AF" w:rsidRPr="000D5FE2" w:rsidRDefault="00E705AF" w:rsidP="00E705AF">
      <w:pPr>
        <w:pStyle w:val="PBACheading1"/>
        <w:rPr>
          <w:b/>
        </w:rPr>
      </w:pPr>
      <w:bookmarkStart w:id="7" w:name="_Toc471212089"/>
      <w:r w:rsidRPr="000D5FE2">
        <w:rPr>
          <w:b/>
        </w:rPr>
        <w:t>Clinical place for the proposed therapy</w:t>
      </w:r>
      <w:bookmarkEnd w:id="7"/>
    </w:p>
    <w:p w:rsidR="00E705AF" w:rsidRPr="000D5FE2" w:rsidRDefault="00E705AF" w:rsidP="00E705AF">
      <w:pPr>
        <w:rPr>
          <w:szCs w:val="22"/>
        </w:rPr>
      </w:pPr>
    </w:p>
    <w:p w:rsidR="00E705AF" w:rsidRPr="000D5FE2" w:rsidRDefault="00E705AF" w:rsidP="00EB23C1">
      <w:pPr>
        <w:pStyle w:val="ListParagraph"/>
        <w:widowControl/>
        <w:numPr>
          <w:ilvl w:val="1"/>
          <w:numId w:val="2"/>
        </w:numPr>
        <w:rPr>
          <w:szCs w:val="22"/>
        </w:rPr>
      </w:pPr>
      <w:r w:rsidRPr="000D5FE2">
        <w:t xml:space="preserve">Metastatic castrate resistant prostate cancer (mCRPC) is an advanced cancer of the prostate gland that has spread to the lymph nodes, bones or other organs of the body and is no longer sensitive to hormonal castration (surgical or medical).  The submission proposed that upon diagnosis, asymptomatic patients in Australia would undergo a period of </w:t>
      </w:r>
      <w:r w:rsidR="000852EC" w:rsidRPr="000D5FE2">
        <w:t>watchful waiting</w:t>
      </w:r>
      <w:r w:rsidRPr="000D5FE2">
        <w:t xml:space="preserve"> (including hormonal manipulation with first-generation anti-androgens), unless the patient is not suitable for chemotherapy</w:t>
      </w:r>
      <w:r w:rsidR="001D24D9" w:rsidRPr="000D5FE2">
        <w:t>,</w:t>
      </w:r>
      <w:r w:rsidRPr="000D5FE2">
        <w:t xml:space="preserve"> i</w:t>
      </w:r>
      <w:r w:rsidR="003D5EAC" w:rsidRPr="000D5FE2">
        <w:t>n</w:t>
      </w:r>
      <w:r w:rsidRPr="000D5FE2">
        <w:t xml:space="preserve"> which case enzalutamide may be initiated.  Once symptoms develop, patients who are suitable for chemotherapy will receive docetaxel, post docetaxel they are then eligible for other PBS listed treatments such as cabazitaxel, enzalutamide or abiraterone (all these treatments have demonstrated benefits in patient survival).  If enzalutamide is to be listed as requested, it will replace </w:t>
      </w:r>
      <w:r w:rsidR="000852EC" w:rsidRPr="000D5FE2">
        <w:t>watchful waiting</w:t>
      </w:r>
      <w:r w:rsidRPr="000D5FE2">
        <w:t xml:space="preserve"> in ‘asymptomatic’ patients who are not already eligible for PBS enzalutamide treatment (however post docetaxel enzalutamide/abiraterone will then be precluded).</w:t>
      </w:r>
    </w:p>
    <w:p w:rsidR="00E705AF" w:rsidRPr="000D5FE2" w:rsidRDefault="00E705AF" w:rsidP="00E705AF">
      <w:pPr>
        <w:pStyle w:val="ListParagraph"/>
        <w:widowControl/>
        <w:rPr>
          <w:szCs w:val="22"/>
        </w:rPr>
      </w:pPr>
    </w:p>
    <w:p w:rsidR="00E705AF" w:rsidRPr="000D5FE2" w:rsidRDefault="000C1F64" w:rsidP="00EB23C1">
      <w:pPr>
        <w:pStyle w:val="ListParagraph"/>
        <w:widowControl/>
        <w:numPr>
          <w:ilvl w:val="1"/>
          <w:numId w:val="2"/>
        </w:numPr>
        <w:rPr>
          <w:szCs w:val="22"/>
        </w:rPr>
      </w:pPr>
      <w:r w:rsidRPr="000D5FE2">
        <w:t>The ESC noted t</w:t>
      </w:r>
      <w:r w:rsidR="00E705AF" w:rsidRPr="000D5FE2">
        <w:t xml:space="preserve">he treatment landscape for advanced prostate cancer is rapidly evolving and the treatment decisions are complex and depend on clinical factors, for example docetaxel may be recommended for asymptomatic patients with </w:t>
      </w:r>
      <w:r w:rsidR="00E705AF" w:rsidRPr="000D5FE2">
        <w:rPr>
          <w:iCs/>
        </w:rPr>
        <w:t>rapidly progressing disease and may also be used even earlier</w:t>
      </w:r>
      <w:r w:rsidR="00B43D0A" w:rsidRPr="000D5FE2">
        <w:rPr>
          <w:iCs/>
        </w:rPr>
        <w:t xml:space="preserve"> in</w:t>
      </w:r>
      <w:r w:rsidR="00E705AF" w:rsidRPr="000D5FE2">
        <w:rPr>
          <w:iCs/>
        </w:rPr>
        <w:t xml:space="preserve"> the algorithm in patients with hormone-sensitive metastatic disease given results of recent trials.</w:t>
      </w:r>
    </w:p>
    <w:p w:rsidR="00BF3E7A" w:rsidRPr="000D5FE2" w:rsidRDefault="00BF3E7A" w:rsidP="00BF3E7A">
      <w:pPr>
        <w:pStyle w:val="ListParagraph"/>
        <w:rPr>
          <w:szCs w:val="22"/>
        </w:rPr>
      </w:pPr>
    </w:p>
    <w:p w:rsidR="00BF3E7A" w:rsidRPr="000D5FE2" w:rsidRDefault="00A96CF0" w:rsidP="00EB23C1">
      <w:pPr>
        <w:pStyle w:val="ListParagraph"/>
        <w:widowControl/>
        <w:numPr>
          <w:ilvl w:val="1"/>
          <w:numId w:val="2"/>
        </w:numPr>
        <w:rPr>
          <w:szCs w:val="22"/>
        </w:rPr>
      </w:pPr>
      <w:r w:rsidRPr="000D5FE2">
        <w:rPr>
          <w:szCs w:val="22"/>
        </w:rPr>
        <w:t>The ESC noted that no clinical reasoning was provided for excluding symptomatic patients, and that it creates inequity, particularly as the PBAC previously considered symptomatic patients could benefit from delaying the toxicities of chemotherapy.</w:t>
      </w:r>
      <w:r w:rsidR="005833FB" w:rsidRPr="000D5FE2">
        <w:rPr>
          <w:szCs w:val="22"/>
        </w:rPr>
        <w:t xml:space="preserve"> </w:t>
      </w:r>
      <w:r w:rsidR="00C75919" w:rsidRPr="000D5FE2">
        <w:rPr>
          <w:szCs w:val="22"/>
        </w:rPr>
        <w:t xml:space="preserve">The sponsor’s </w:t>
      </w:r>
      <w:proofErr w:type="gramStart"/>
      <w:r w:rsidR="00C75919" w:rsidRPr="000D5FE2">
        <w:rPr>
          <w:szCs w:val="22"/>
        </w:rPr>
        <w:t xml:space="preserve">PSCR </w:t>
      </w:r>
      <w:r w:rsidR="007D5F8C" w:rsidRPr="000D5FE2">
        <w:rPr>
          <w:szCs w:val="22"/>
        </w:rPr>
        <w:t xml:space="preserve"> </w:t>
      </w:r>
      <w:r w:rsidR="00C75919" w:rsidRPr="000D5FE2">
        <w:rPr>
          <w:szCs w:val="22"/>
        </w:rPr>
        <w:t>stated</w:t>
      </w:r>
      <w:proofErr w:type="gramEnd"/>
      <w:r w:rsidR="00C75919" w:rsidRPr="000D5FE2">
        <w:rPr>
          <w:szCs w:val="22"/>
        </w:rPr>
        <w:t xml:space="preserve"> that there are no clinical data available for the clinical effectiveness of enzalutamide for the treatment of symptomatic patients prior to chemotherapy.</w:t>
      </w:r>
    </w:p>
    <w:p w:rsidR="00EB59A2" w:rsidRPr="000D5FE2" w:rsidRDefault="00EB59A2" w:rsidP="00EB59A2">
      <w:pPr>
        <w:pStyle w:val="ListParagraph"/>
        <w:rPr>
          <w:szCs w:val="22"/>
        </w:rPr>
      </w:pPr>
    </w:p>
    <w:p w:rsidR="00C92224" w:rsidRPr="000D5FE2" w:rsidRDefault="00C92224" w:rsidP="00C92224">
      <w:pPr>
        <w:ind w:firstLine="720"/>
        <w:rPr>
          <w:bCs/>
          <w:szCs w:val="22"/>
        </w:rPr>
      </w:pPr>
      <w:r w:rsidRPr="000D5FE2">
        <w:rPr>
          <w:bCs/>
          <w:i/>
          <w:szCs w:val="22"/>
        </w:rPr>
        <w:t>For more detail on PBAC’s view, see section 7 “PBAC outcome”</w:t>
      </w:r>
    </w:p>
    <w:p w:rsidR="00C92224" w:rsidRDefault="00C92224" w:rsidP="00E705AF">
      <w:pPr>
        <w:pStyle w:val="ListParagraph"/>
        <w:ind w:left="0"/>
        <w:rPr>
          <w:szCs w:val="22"/>
        </w:rPr>
      </w:pPr>
    </w:p>
    <w:p w:rsidR="008A445B" w:rsidRPr="000D5FE2" w:rsidRDefault="008A445B" w:rsidP="00E705AF">
      <w:pPr>
        <w:pStyle w:val="ListParagraph"/>
        <w:ind w:left="0"/>
        <w:rPr>
          <w:szCs w:val="22"/>
        </w:rPr>
      </w:pPr>
    </w:p>
    <w:p w:rsidR="00E705AF" w:rsidRPr="000D5FE2" w:rsidRDefault="00E705AF" w:rsidP="00E705AF">
      <w:pPr>
        <w:pStyle w:val="PBACheading1"/>
        <w:rPr>
          <w:b/>
        </w:rPr>
      </w:pPr>
      <w:bookmarkStart w:id="8" w:name="_Toc471212090"/>
      <w:r w:rsidRPr="000D5FE2">
        <w:rPr>
          <w:b/>
        </w:rPr>
        <w:t>Comparator</w:t>
      </w:r>
      <w:bookmarkEnd w:id="8"/>
    </w:p>
    <w:p w:rsidR="00E705AF" w:rsidRPr="000D5FE2" w:rsidRDefault="00E705AF" w:rsidP="00E705AF"/>
    <w:p w:rsidR="00E705AF" w:rsidRPr="000D5FE2" w:rsidRDefault="00E705AF" w:rsidP="00EB23C1">
      <w:pPr>
        <w:pStyle w:val="ListParagraph"/>
        <w:widowControl/>
        <w:numPr>
          <w:ilvl w:val="1"/>
          <w:numId w:val="2"/>
        </w:numPr>
        <w:rPr>
          <w:szCs w:val="22"/>
        </w:rPr>
      </w:pPr>
      <w:r w:rsidRPr="000D5FE2">
        <w:t>The submission nominated watchful waiting</w:t>
      </w:r>
      <w:r w:rsidR="007028CD" w:rsidRPr="000D5FE2">
        <w:t xml:space="preserve"> </w:t>
      </w:r>
      <w:r w:rsidRPr="000D5FE2">
        <w:t xml:space="preserve">as the comparator. </w:t>
      </w:r>
      <w:r w:rsidR="000852EC" w:rsidRPr="000D5FE2">
        <w:rPr>
          <w:szCs w:val="22"/>
        </w:rPr>
        <w:t xml:space="preserve">The ESC </w:t>
      </w:r>
      <w:r w:rsidR="00DE4E01" w:rsidRPr="000D5FE2">
        <w:rPr>
          <w:szCs w:val="22"/>
        </w:rPr>
        <w:t xml:space="preserve">considered this comparator would be better </w:t>
      </w:r>
      <w:r w:rsidR="000852EC" w:rsidRPr="000D5FE2">
        <w:rPr>
          <w:szCs w:val="22"/>
        </w:rPr>
        <w:t>descri</w:t>
      </w:r>
      <w:r w:rsidR="00DE4E01" w:rsidRPr="000D5FE2">
        <w:rPr>
          <w:szCs w:val="22"/>
        </w:rPr>
        <w:t>bed as ‘active surveillance’</w:t>
      </w:r>
      <w:r w:rsidR="000852EC" w:rsidRPr="000D5FE2">
        <w:rPr>
          <w:szCs w:val="22"/>
        </w:rPr>
        <w:t xml:space="preserve"> </w:t>
      </w:r>
      <w:r w:rsidR="00DE4E01" w:rsidRPr="000D5FE2">
        <w:rPr>
          <w:szCs w:val="22"/>
        </w:rPr>
        <w:t xml:space="preserve">rather </w:t>
      </w:r>
      <w:r w:rsidR="000852EC" w:rsidRPr="000D5FE2">
        <w:rPr>
          <w:szCs w:val="22"/>
        </w:rPr>
        <w:t xml:space="preserve">than ‘watchful waiting’ given the patients are closely monitored and </w:t>
      </w:r>
      <w:r w:rsidR="00DE4E01" w:rsidRPr="000D5FE2">
        <w:rPr>
          <w:szCs w:val="22"/>
        </w:rPr>
        <w:t xml:space="preserve">receive medical interventions, such as </w:t>
      </w:r>
      <w:r w:rsidR="000852EC" w:rsidRPr="000D5FE2">
        <w:rPr>
          <w:szCs w:val="22"/>
        </w:rPr>
        <w:t>anti-androgen</w:t>
      </w:r>
      <w:r w:rsidR="00DE4E01" w:rsidRPr="000D5FE2">
        <w:rPr>
          <w:szCs w:val="22"/>
        </w:rPr>
        <w:t xml:space="preserve"> deprivation therapy</w:t>
      </w:r>
      <w:r w:rsidR="000852EC" w:rsidRPr="000D5FE2">
        <w:rPr>
          <w:szCs w:val="22"/>
        </w:rPr>
        <w:t xml:space="preserve">. </w:t>
      </w:r>
      <w:r w:rsidRPr="000D5FE2">
        <w:rPr>
          <w:iCs/>
        </w:rPr>
        <w:t xml:space="preserve">The PBAC had previously considered enzalutamide versus </w:t>
      </w:r>
      <w:r w:rsidR="000852EC" w:rsidRPr="000D5FE2">
        <w:rPr>
          <w:iCs/>
        </w:rPr>
        <w:t>watchful waiting</w:t>
      </w:r>
      <w:r w:rsidRPr="000D5FE2">
        <w:rPr>
          <w:iCs/>
        </w:rPr>
        <w:t xml:space="preserve"> to be </w:t>
      </w:r>
      <w:r w:rsidR="00B43D0A" w:rsidRPr="000D5FE2">
        <w:rPr>
          <w:iCs/>
        </w:rPr>
        <w:t xml:space="preserve">the </w:t>
      </w:r>
      <w:r w:rsidRPr="000D5FE2">
        <w:rPr>
          <w:iCs/>
        </w:rPr>
        <w:t xml:space="preserve">appropriate comparison for asymptomatic patients (and enzalutamide versus docetaxel for symptomatic </w:t>
      </w:r>
      <w:r w:rsidRPr="000D5FE2">
        <w:rPr>
          <w:iCs/>
        </w:rPr>
        <w:lastRenderedPageBreak/>
        <w:t xml:space="preserve">patients). The PBAC </w:t>
      </w:r>
      <w:r w:rsidR="000C1F64" w:rsidRPr="000D5FE2">
        <w:rPr>
          <w:iCs/>
        </w:rPr>
        <w:t>had previously stated being</w:t>
      </w:r>
      <w:r w:rsidRPr="000D5FE2">
        <w:rPr>
          <w:iCs/>
        </w:rPr>
        <w:t xml:space="preserve"> interested in the change in the treatment algorithm, specifically enzalutamide before docetaxel versus enzalutamide after docetaxel. The re</w:t>
      </w:r>
      <w:r w:rsidRPr="000D5FE2">
        <w:rPr>
          <w:iCs/>
          <w:szCs w:val="22"/>
        </w:rPr>
        <w:t xml:space="preserve">submission presented </w:t>
      </w:r>
      <w:r w:rsidR="00B43D0A" w:rsidRPr="000D5FE2">
        <w:rPr>
          <w:iCs/>
          <w:szCs w:val="22"/>
        </w:rPr>
        <w:t>a modelled comparison</w:t>
      </w:r>
      <w:r w:rsidRPr="000D5FE2">
        <w:rPr>
          <w:iCs/>
          <w:szCs w:val="22"/>
        </w:rPr>
        <w:t xml:space="preserve"> between two treatment algorithms: enzalutamide → docetaxel → best supportive care versus </w:t>
      </w:r>
      <w:r w:rsidR="000852EC" w:rsidRPr="000D5FE2">
        <w:rPr>
          <w:iCs/>
          <w:szCs w:val="22"/>
        </w:rPr>
        <w:t>watchful waiting</w:t>
      </w:r>
      <w:r w:rsidRPr="000D5FE2">
        <w:rPr>
          <w:iCs/>
          <w:szCs w:val="22"/>
        </w:rPr>
        <w:t xml:space="preserve"> → docetaxel → enzalutamide or abiraterone.</w:t>
      </w:r>
    </w:p>
    <w:p w:rsidR="001D24D9" w:rsidRPr="000D5FE2" w:rsidRDefault="001D24D9" w:rsidP="001D24D9">
      <w:pPr>
        <w:widowControl/>
        <w:rPr>
          <w:szCs w:val="22"/>
        </w:rPr>
      </w:pPr>
    </w:p>
    <w:p w:rsidR="00A5502F" w:rsidRPr="000D5FE2" w:rsidRDefault="001D24D9" w:rsidP="00EB23C1">
      <w:pPr>
        <w:pStyle w:val="ListParagraph"/>
        <w:widowControl/>
        <w:numPr>
          <w:ilvl w:val="1"/>
          <w:numId w:val="2"/>
        </w:numPr>
      </w:pPr>
      <w:r w:rsidRPr="000D5FE2">
        <w:t xml:space="preserve">The ESC agreed that </w:t>
      </w:r>
      <w:r w:rsidR="000852EC" w:rsidRPr="000D5FE2">
        <w:t xml:space="preserve">watchful waiting (or </w:t>
      </w:r>
      <w:r w:rsidRPr="000D5FE2">
        <w:t>active surveillance</w:t>
      </w:r>
      <w:r w:rsidR="000852EC" w:rsidRPr="000D5FE2">
        <w:t>)</w:t>
      </w:r>
      <w:r w:rsidRPr="000D5FE2">
        <w:t xml:space="preserve"> was the appropriate </w:t>
      </w:r>
      <w:r w:rsidRPr="000D5FE2">
        <w:rPr>
          <w:szCs w:val="22"/>
        </w:rPr>
        <w:t>comparator</w:t>
      </w:r>
      <w:r w:rsidRPr="000D5FE2">
        <w:t xml:space="preserve"> for this submission.</w:t>
      </w:r>
      <w:r w:rsidR="00A5502F" w:rsidRPr="000D5FE2">
        <w:t xml:space="preserve"> </w:t>
      </w:r>
      <w:r w:rsidR="00A5502F" w:rsidRPr="000D5FE2">
        <w:rPr>
          <w:iCs/>
        </w:rPr>
        <w:t xml:space="preserve">The intention may be that treatment with enzalutamide before chemotherapy would preclude treatment with enzalutamide or abiraterone after chemotherapy, however, the ESC noted clinical </w:t>
      </w:r>
      <w:r w:rsidR="00A5502F" w:rsidRPr="000D5FE2">
        <w:t>trials are underway for re-treatment with enzalutamide, both pre-chemotherapy and post-chemotherapy (</w:t>
      </w:r>
      <w:r w:rsidR="005B7C96" w:rsidRPr="000D5FE2">
        <w:t>NCT02116582)</w:t>
      </w:r>
      <w:r w:rsidR="00A5502F" w:rsidRPr="000D5FE2">
        <w:t xml:space="preserve">. The current PBS listing for enzalutamide states ‘patient must not receive PBS-subsidised treatment with this drug if progressive disease develops while on this drug’; this could be open to interpretation for re-treatment. The algorithm will potentially be </w:t>
      </w:r>
      <w:r w:rsidR="00A5502F" w:rsidRPr="000D5FE2">
        <w:rPr>
          <w:iCs/>
          <w:szCs w:val="22"/>
        </w:rPr>
        <w:t xml:space="preserve">enzalutamide </w:t>
      </w:r>
      <w:r w:rsidR="00A5502F" w:rsidRPr="000D5FE2">
        <w:rPr>
          <w:iCs/>
          <w:szCs w:val="22"/>
        </w:rPr>
        <w:sym w:font="Symbol" w:char="F0AE"/>
      </w:r>
      <w:r w:rsidR="00A5502F" w:rsidRPr="000D5FE2">
        <w:rPr>
          <w:iCs/>
          <w:szCs w:val="22"/>
        </w:rPr>
        <w:t xml:space="preserve"> docetaxel </w:t>
      </w:r>
      <w:r w:rsidR="00A5502F" w:rsidRPr="000D5FE2">
        <w:rPr>
          <w:iCs/>
          <w:szCs w:val="22"/>
        </w:rPr>
        <w:sym w:font="Symbol" w:char="F0AE"/>
      </w:r>
      <w:r w:rsidR="00A5502F" w:rsidRPr="000D5FE2">
        <w:rPr>
          <w:iCs/>
          <w:szCs w:val="22"/>
        </w:rPr>
        <w:t xml:space="preserve"> abiraterone (or </w:t>
      </w:r>
      <w:r w:rsidR="00023D8D" w:rsidRPr="000D5FE2">
        <w:rPr>
          <w:iCs/>
          <w:szCs w:val="22"/>
        </w:rPr>
        <w:t>enzalutamide</w:t>
      </w:r>
      <w:r w:rsidR="00A5502F" w:rsidRPr="000D5FE2">
        <w:rPr>
          <w:iCs/>
          <w:szCs w:val="22"/>
        </w:rPr>
        <w:t>).</w:t>
      </w:r>
    </w:p>
    <w:p w:rsidR="00A5502F" w:rsidRPr="000D5FE2" w:rsidRDefault="00A5502F" w:rsidP="00A5502F">
      <w:pPr>
        <w:pStyle w:val="ListParagraph"/>
        <w:snapToGrid w:val="0"/>
        <w:spacing w:line="20" w:lineRule="atLeast"/>
        <w:ind w:left="284"/>
      </w:pPr>
    </w:p>
    <w:p w:rsidR="00C92224" w:rsidRPr="000D5FE2" w:rsidRDefault="00C92224" w:rsidP="00C92224">
      <w:pPr>
        <w:ind w:firstLine="720"/>
        <w:rPr>
          <w:bCs/>
          <w:szCs w:val="22"/>
        </w:rPr>
      </w:pPr>
      <w:r w:rsidRPr="000D5FE2">
        <w:rPr>
          <w:bCs/>
          <w:i/>
          <w:szCs w:val="22"/>
        </w:rPr>
        <w:t>For more detail on PBAC’s view, see section 7 “PBAC outcome”</w:t>
      </w:r>
    </w:p>
    <w:p w:rsidR="00A77944" w:rsidRPr="000D5FE2" w:rsidRDefault="00A77944" w:rsidP="00E705AF"/>
    <w:p w:rsidR="00C92224" w:rsidRPr="000D5FE2" w:rsidRDefault="00C92224" w:rsidP="00E705AF"/>
    <w:p w:rsidR="00E705AF" w:rsidRPr="000D5FE2" w:rsidRDefault="00E705AF" w:rsidP="00E705AF">
      <w:pPr>
        <w:pStyle w:val="PBACheading1"/>
        <w:rPr>
          <w:b/>
        </w:rPr>
      </w:pPr>
      <w:bookmarkStart w:id="9" w:name="_Toc471212091"/>
      <w:r w:rsidRPr="000D5FE2">
        <w:rPr>
          <w:b/>
        </w:rPr>
        <w:t>Consideration of the evidence</w:t>
      </w:r>
      <w:bookmarkEnd w:id="9"/>
    </w:p>
    <w:p w:rsidR="00E705AF" w:rsidRPr="000D5FE2" w:rsidRDefault="00E705AF" w:rsidP="00E705AF">
      <w:pPr>
        <w:widowControl/>
        <w:rPr>
          <w:b/>
          <w:szCs w:val="22"/>
        </w:rPr>
      </w:pPr>
    </w:p>
    <w:p w:rsidR="00565864" w:rsidRPr="008A445B" w:rsidRDefault="00565864" w:rsidP="008A445B">
      <w:pPr>
        <w:pStyle w:val="Heading2"/>
        <w:rPr>
          <w:i/>
        </w:rPr>
      </w:pPr>
      <w:r w:rsidRPr="008A445B">
        <w:rPr>
          <w:i/>
        </w:rPr>
        <w:t>Sponsor hearing</w:t>
      </w:r>
    </w:p>
    <w:p w:rsidR="00565864" w:rsidRPr="000D5FE2" w:rsidRDefault="00565864" w:rsidP="00565864">
      <w:pPr>
        <w:rPr>
          <w:bCs/>
          <w:szCs w:val="22"/>
        </w:rPr>
      </w:pPr>
    </w:p>
    <w:p w:rsidR="00565864" w:rsidRPr="000D5FE2" w:rsidRDefault="00565864" w:rsidP="00EB23C1">
      <w:pPr>
        <w:widowControl/>
        <w:numPr>
          <w:ilvl w:val="1"/>
          <w:numId w:val="2"/>
        </w:numPr>
        <w:jc w:val="left"/>
        <w:rPr>
          <w:bCs/>
          <w:szCs w:val="22"/>
        </w:rPr>
      </w:pPr>
      <w:r w:rsidRPr="000D5FE2">
        <w:rPr>
          <w:bCs/>
          <w:szCs w:val="22"/>
        </w:rPr>
        <w:t>There was no hearing for this item.</w:t>
      </w:r>
    </w:p>
    <w:p w:rsidR="00565864" w:rsidRPr="000D5FE2" w:rsidRDefault="00565864" w:rsidP="00565864">
      <w:pPr>
        <w:rPr>
          <w:bCs/>
          <w:szCs w:val="22"/>
          <w:highlight w:val="yellow"/>
        </w:rPr>
      </w:pPr>
    </w:p>
    <w:p w:rsidR="00565864" w:rsidRPr="008A445B" w:rsidRDefault="00565864" w:rsidP="008A445B">
      <w:pPr>
        <w:pStyle w:val="Heading2"/>
        <w:rPr>
          <w:i/>
        </w:rPr>
      </w:pPr>
      <w:r w:rsidRPr="008A445B">
        <w:rPr>
          <w:i/>
        </w:rPr>
        <w:t>Consumer comments</w:t>
      </w:r>
    </w:p>
    <w:p w:rsidR="00565864" w:rsidRPr="000D5FE2" w:rsidRDefault="00565864" w:rsidP="00565864">
      <w:pPr>
        <w:rPr>
          <w:b/>
          <w:bCs/>
          <w:szCs w:val="22"/>
        </w:rPr>
      </w:pPr>
    </w:p>
    <w:p w:rsidR="00147E14" w:rsidRPr="000D5FE2" w:rsidRDefault="00147E14" w:rsidP="004F4502">
      <w:pPr>
        <w:widowControl/>
        <w:numPr>
          <w:ilvl w:val="1"/>
          <w:numId w:val="2"/>
        </w:numPr>
        <w:rPr>
          <w:bCs/>
          <w:szCs w:val="22"/>
        </w:rPr>
      </w:pPr>
      <w:r w:rsidRPr="000D5FE2">
        <w:rPr>
          <w:bCs/>
          <w:szCs w:val="22"/>
        </w:rPr>
        <w:t xml:space="preserve">The PBAC noted and welcomed the input from individuals (90), health care professionals (7) and organisations (1) via the Consumer Comments facility on the PBS website. The comments described a range of potential benefits of treatment with enzalutamide prior to chemotherapy, including delaying </w:t>
      </w:r>
      <w:r w:rsidR="002A5762" w:rsidRPr="000D5FE2">
        <w:rPr>
          <w:bCs/>
          <w:szCs w:val="22"/>
        </w:rPr>
        <w:t xml:space="preserve">disease progression, providing another treatment option for elderly and/or frail men who can’t tolerate chemotherapy, delaying </w:t>
      </w:r>
      <w:r w:rsidRPr="000D5FE2">
        <w:rPr>
          <w:bCs/>
          <w:szCs w:val="22"/>
        </w:rPr>
        <w:t>the toxicity associated with chemotherapy</w:t>
      </w:r>
      <w:r w:rsidR="00BE5236" w:rsidRPr="000D5FE2">
        <w:rPr>
          <w:bCs/>
          <w:szCs w:val="22"/>
        </w:rPr>
        <w:t xml:space="preserve"> and the time spent away from family and friend during chemotherapy treatments</w:t>
      </w:r>
      <w:r w:rsidRPr="000D5FE2">
        <w:rPr>
          <w:bCs/>
          <w:szCs w:val="22"/>
        </w:rPr>
        <w:t xml:space="preserve">, </w:t>
      </w:r>
      <w:r w:rsidR="002A5762" w:rsidRPr="000D5FE2">
        <w:rPr>
          <w:bCs/>
          <w:szCs w:val="22"/>
        </w:rPr>
        <w:t>enhancing quality of life</w:t>
      </w:r>
      <w:r w:rsidR="004F4502" w:rsidRPr="000D5FE2">
        <w:rPr>
          <w:bCs/>
          <w:szCs w:val="22"/>
        </w:rPr>
        <w:t xml:space="preserve"> and</w:t>
      </w:r>
      <w:r w:rsidRPr="000D5FE2">
        <w:rPr>
          <w:bCs/>
          <w:szCs w:val="22"/>
        </w:rPr>
        <w:t xml:space="preserve"> extending life</w:t>
      </w:r>
      <w:r w:rsidR="000C1F64" w:rsidRPr="000D5FE2">
        <w:rPr>
          <w:bCs/>
          <w:szCs w:val="22"/>
        </w:rPr>
        <w:t>.</w:t>
      </w:r>
    </w:p>
    <w:p w:rsidR="008F0051" w:rsidRPr="000D5FE2" w:rsidRDefault="008F0051" w:rsidP="008F0051">
      <w:pPr>
        <w:widowControl/>
        <w:ind w:left="720"/>
        <w:jc w:val="left"/>
        <w:rPr>
          <w:bCs/>
          <w:szCs w:val="22"/>
        </w:rPr>
      </w:pPr>
    </w:p>
    <w:p w:rsidR="008F0051" w:rsidRPr="000D5FE2" w:rsidRDefault="008F0051" w:rsidP="008F0051">
      <w:pPr>
        <w:pStyle w:val="ListParagraph"/>
        <w:widowControl/>
        <w:numPr>
          <w:ilvl w:val="1"/>
          <w:numId w:val="2"/>
        </w:numPr>
        <w:snapToGrid w:val="0"/>
      </w:pPr>
      <w:r w:rsidRPr="000D5FE2">
        <w:t xml:space="preserve">The Medical Oncology Group of Australia (MOGA) also expressed its support for the </w:t>
      </w:r>
      <w:r w:rsidR="00CF0F59" w:rsidRPr="000D5FE2">
        <w:t>enzalutamide</w:t>
      </w:r>
      <w:r w:rsidRPr="000D5FE2">
        <w:t xml:space="preserve"> submission, on the basis of </w:t>
      </w:r>
      <w:r w:rsidR="00CF0F59" w:rsidRPr="000D5FE2">
        <w:t>the survival and progression-free survival benefits in the PREVAIL trial</w:t>
      </w:r>
      <w:r w:rsidRPr="000D5FE2">
        <w:t xml:space="preserve">. The PBAC noted that MOGA presented the European Society for Medical Oncology Magnitude of Clinical Benefit Scale (ESMO-MCBS) for </w:t>
      </w:r>
      <w:r w:rsidR="00CF0F59" w:rsidRPr="000D5FE2">
        <w:t>enzalutamide</w:t>
      </w:r>
      <w:r w:rsidRPr="000D5FE2">
        <w:t xml:space="preserve">, which was limited to </w:t>
      </w:r>
      <w:r w:rsidR="00CF0F59" w:rsidRPr="000D5FE2">
        <w:t>3</w:t>
      </w:r>
      <w:r w:rsidRPr="000D5FE2">
        <w:t xml:space="preserve"> (out of a maximum of 5, where 5 and 4 represent the grades with substantial improvement)</w:t>
      </w:r>
      <w:r w:rsidRPr="000D5FE2">
        <w:rPr>
          <w:vertAlign w:val="superscript"/>
        </w:rPr>
        <w:footnoteReference w:customMarkFollows="1" w:id="1"/>
        <w:t>[1]</w:t>
      </w:r>
      <w:r w:rsidRPr="000D5FE2">
        <w:t xml:space="preserve">, based on a comparison with </w:t>
      </w:r>
      <w:r w:rsidR="00CF0F59" w:rsidRPr="000D5FE2">
        <w:t>placebo</w:t>
      </w:r>
      <w:r w:rsidRPr="000D5FE2">
        <w:t xml:space="preserve">. </w:t>
      </w:r>
    </w:p>
    <w:p w:rsidR="007251FC" w:rsidRPr="000D5FE2" w:rsidRDefault="007251FC" w:rsidP="00631FA7">
      <w:pPr>
        <w:widowControl/>
        <w:jc w:val="left"/>
        <w:rPr>
          <w:bCs/>
          <w:szCs w:val="22"/>
        </w:rPr>
      </w:pPr>
    </w:p>
    <w:p w:rsidR="000C1F64" w:rsidRPr="000D5FE2" w:rsidRDefault="007251FC" w:rsidP="004F4502">
      <w:pPr>
        <w:widowControl/>
        <w:numPr>
          <w:ilvl w:val="1"/>
          <w:numId w:val="2"/>
        </w:numPr>
        <w:rPr>
          <w:bCs/>
          <w:szCs w:val="22"/>
        </w:rPr>
      </w:pPr>
      <w:r w:rsidRPr="000D5FE2">
        <w:rPr>
          <w:bCs/>
          <w:szCs w:val="22"/>
        </w:rPr>
        <w:t xml:space="preserve">The PBAC recalled </w:t>
      </w:r>
      <w:r w:rsidR="00BE5236" w:rsidRPr="000D5FE2">
        <w:rPr>
          <w:bCs/>
          <w:szCs w:val="22"/>
        </w:rPr>
        <w:t xml:space="preserve">during </w:t>
      </w:r>
      <w:r w:rsidRPr="000D5FE2">
        <w:rPr>
          <w:bCs/>
          <w:szCs w:val="22"/>
        </w:rPr>
        <w:t xml:space="preserve">the sponsor hearing in </w:t>
      </w:r>
      <w:r w:rsidR="00BE5236" w:rsidRPr="000D5FE2">
        <w:rPr>
          <w:bCs/>
          <w:szCs w:val="22"/>
        </w:rPr>
        <w:t xml:space="preserve">November </w:t>
      </w:r>
      <w:r w:rsidRPr="000D5FE2">
        <w:rPr>
          <w:bCs/>
          <w:szCs w:val="22"/>
        </w:rPr>
        <w:t xml:space="preserve">2015 </w:t>
      </w:r>
      <w:r w:rsidRPr="000D5FE2">
        <w:t xml:space="preserve">the goal of earlier treatment with the novel hormonal therapies (enzalutamide or abiraterone) was </w:t>
      </w:r>
      <w:r w:rsidRPr="000D5FE2">
        <w:lastRenderedPageBreak/>
        <w:t>discussed as delaying symptom development and chemotherapy toxicities, rather than improving survival.</w:t>
      </w:r>
    </w:p>
    <w:p w:rsidR="00565864" w:rsidRPr="000D5FE2" w:rsidRDefault="00565864" w:rsidP="00E705AF">
      <w:pPr>
        <w:widowControl/>
        <w:rPr>
          <w:b/>
          <w:szCs w:val="22"/>
        </w:rPr>
      </w:pPr>
    </w:p>
    <w:p w:rsidR="00E705AF" w:rsidRPr="000D5FE2" w:rsidRDefault="00E705AF" w:rsidP="00E705AF">
      <w:pPr>
        <w:pStyle w:val="Heading2"/>
        <w:rPr>
          <w:i/>
        </w:rPr>
      </w:pPr>
      <w:bookmarkStart w:id="10" w:name="_Toc471212092"/>
      <w:r w:rsidRPr="000D5FE2">
        <w:rPr>
          <w:i/>
        </w:rPr>
        <w:t>Clinical trials</w:t>
      </w:r>
      <w:bookmarkEnd w:id="10"/>
    </w:p>
    <w:p w:rsidR="00E705AF" w:rsidRPr="000D5FE2" w:rsidRDefault="00E705AF" w:rsidP="00E705AF">
      <w:pPr>
        <w:rPr>
          <w:szCs w:val="22"/>
        </w:rPr>
      </w:pPr>
    </w:p>
    <w:p w:rsidR="00E705AF" w:rsidRPr="000D5FE2" w:rsidRDefault="00E705AF" w:rsidP="00EB23C1">
      <w:pPr>
        <w:pStyle w:val="ListParagraph"/>
        <w:widowControl/>
        <w:numPr>
          <w:ilvl w:val="1"/>
          <w:numId w:val="2"/>
        </w:numPr>
        <w:rPr>
          <w:szCs w:val="22"/>
        </w:rPr>
      </w:pPr>
      <w:r w:rsidRPr="000D5FE2">
        <w:t xml:space="preserve">The resubmission was based on one head-to-head trial comparing enzalutamide to placebo for watchful waiting (PREVAIL, n=1717). </w:t>
      </w:r>
      <w:r w:rsidRPr="000D5FE2">
        <w:rPr>
          <w:iCs/>
        </w:rPr>
        <w:t xml:space="preserve">This trial was presented in the previous submission to support a comparison with watchful waiting; other trials </w:t>
      </w:r>
      <w:r w:rsidR="00773FB8" w:rsidRPr="000D5FE2">
        <w:rPr>
          <w:iCs/>
        </w:rPr>
        <w:t xml:space="preserve">included in the previous submission </w:t>
      </w:r>
      <w:r w:rsidRPr="000D5FE2">
        <w:rPr>
          <w:iCs/>
        </w:rPr>
        <w:t>to facilitate comparisons with docetaxel and abiraterone were excluded.</w:t>
      </w:r>
    </w:p>
    <w:p w:rsidR="004F4502" w:rsidRPr="000D5FE2" w:rsidRDefault="004F4502" w:rsidP="004F4502">
      <w:pPr>
        <w:pStyle w:val="ListParagraph"/>
        <w:widowControl/>
        <w:rPr>
          <w:szCs w:val="22"/>
        </w:rPr>
      </w:pPr>
    </w:p>
    <w:p w:rsidR="00E705AF" w:rsidRPr="000D5FE2" w:rsidRDefault="00E705AF" w:rsidP="00EB23C1">
      <w:pPr>
        <w:pStyle w:val="ListParagraph"/>
        <w:widowControl/>
        <w:numPr>
          <w:ilvl w:val="1"/>
          <w:numId w:val="2"/>
        </w:numPr>
        <w:rPr>
          <w:szCs w:val="22"/>
        </w:rPr>
      </w:pPr>
      <w:r w:rsidRPr="000D5FE2">
        <w:rPr>
          <w:szCs w:val="22"/>
        </w:rPr>
        <w:t>Details of the trial presented in the resubmission are provided in the table below.</w:t>
      </w:r>
    </w:p>
    <w:p w:rsidR="00E705AF" w:rsidRPr="000D5FE2" w:rsidRDefault="00E705AF" w:rsidP="00EB59A2">
      <w:pPr>
        <w:widowControl/>
        <w:rPr>
          <w:szCs w:val="22"/>
        </w:rPr>
      </w:pPr>
    </w:p>
    <w:p w:rsidR="00E705AF" w:rsidRPr="000D5FE2" w:rsidRDefault="00E705AF" w:rsidP="001D24D9">
      <w:pPr>
        <w:keepNext/>
        <w:widowControl/>
        <w:ind w:firstLine="720"/>
        <w:rPr>
          <w:rStyle w:val="CommentReference"/>
        </w:rPr>
      </w:pPr>
      <w:r w:rsidRPr="000D5FE2">
        <w:rPr>
          <w:rStyle w:val="CommentReference"/>
        </w:rPr>
        <w:t>Table 2: Trial and associated reports presented in the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7"/>
        <w:gridCol w:w="5569"/>
        <w:gridCol w:w="1809"/>
      </w:tblGrid>
      <w:tr w:rsidR="00E705AF" w:rsidRPr="000D5FE2" w:rsidTr="00473018">
        <w:trPr>
          <w:tblHeader/>
        </w:trPr>
        <w:tc>
          <w:tcPr>
            <w:tcW w:w="579" w:type="pct"/>
            <w:tcBorders>
              <w:top w:val="single" w:sz="4" w:space="0" w:color="auto"/>
              <w:left w:val="single" w:sz="4" w:space="0" w:color="auto"/>
              <w:bottom w:val="single" w:sz="4" w:space="0" w:color="auto"/>
              <w:right w:val="single" w:sz="4" w:space="0" w:color="auto"/>
            </w:tcBorders>
          </w:tcPr>
          <w:p w:rsidR="00E705AF" w:rsidRPr="000D5FE2" w:rsidRDefault="00E705AF" w:rsidP="00EB59A2">
            <w:pPr>
              <w:widowControl/>
              <w:jc w:val="left"/>
              <w:rPr>
                <w:rFonts w:ascii="Arial Narrow" w:hAnsi="Arial Narrow"/>
                <w:b/>
                <w:sz w:val="20"/>
              </w:rPr>
            </w:pPr>
            <w:r w:rsidRPr="000D5FE2">
              <w:rPr>
                <w:rFonts w:ascii="Arial Narrow" w:hAnsi="Arial Narrow"/>
                <w:b/>
                <w:sz w:val="20"/>
              </w:rPr>
              <w:t>Trial ID</w:t>
            </w:r>
          </w:p>
        </w:tc>
        <w:tc>
          <w:tcPr>
            <w:tcW w:w="3337" w:type="pct"/>
            <w:tcBorders>
              <w:top w:val="single" w:sz="4" w:space="0" w:color="auto"/>
              <w:left w:val="single" w:sz="4" w:space="0" w:color="auto"/>
              <w:bottom w:val="single" w:sz="4" w:space="0" w:color="auto"/>
              <w:right w:val="single" w:sz="4" w:space="0" w:color="auto"/>
            </w:tcBorders>
          </w:tcPr>
          <w:p w:rsidR="00E705AF" w:rsidRPr="000D5FE2" w:rsidRDefault="00E705AF" w:rsidP="00EB59A2">
            <w:pPr>
              <w:widowControl/>
              <w:jc w:val="center"/>
              <w:rPr>
                <w:rFonts w:ascii="Arial Narrow" w:hAnsi="Arial Narrow"/>
                <w:b/>
                <w:sz w:val="20"/>
              </w:rPr>
            </w:pPr>
            <w:r w:rsidRPr="000D5FE2">
              <w:rPr>
                <w:rFonts w:ascii="Arial Narrow" w:hAnsi="Arial Narrow"/>
                <w:b/>
                <w:sz w:val="20"/>
              </w:rPr>
              <w:t>Protocol title/ Publication title</w:t>
            </w:r>
          </w:p>
        </w:tc>
        <w:tc>
          <w:tcPr>
            <w:tcW w:w="1084" w:type="pct"/>
            <w:tcBorders>
              <w:top w:val="single" w:sz="4" w:space="0" w:color="auto"/>
              <w:left w:val="single" w:sz="4" w:space="0" w:color="auto"/>
              <w:bottom w:val="single" w:sz="4" w:space="0" w:color="auto"/>
              <w:right w:val="single" w:sz="4" w:space="0" w:color="auto"/>
            </w:tcBorders>
          </w:tcPr>
          <w:p w:rsidR="00E705AF" w:rsidRPr="000D5FE2" w:rsidRDefault="00E705AF" w:rsidP="00EB59A2">
            <w:pPr>
              <w:widowControl/>
              <w:jc w:val="center"/>
              <w:rPr>
                <w:rFonts w:ascii="Arial Narrow" w:hAnsi="Arial Narrow"/>
                <w:b/>
                <w:sz w:val="20"/>
              </w:rPr>
            </w:pPr>
            <w:r w:rsidRPr="000D5FE2">
              <w:rPr>
                <w:rFonts w:ascii="Arial Narrow" w:hAnsi="Arial Narrow"/>
                <w:b/>
                <w:sz w:val="20"/>
              </w:rPr>
              <w:t>Publication citation</w:t>
            </w:r>
          </w:p>
        </w:tc>
      </w:tr>
      <w:tr w:rsidR="00E705AF" w:rsidRPr="000D5FE2" w:rsidTr="00473018">
        <w:tc>
          <w:tcPr>
            <w:tcW w:w="5000" w:type="pct"/>
            <w:gridSpan w:val="3"/>
          </w:tcPr>
          <w:p w:rsidR="00E705AF" w:rsidRPr="000D5FE2" w:rsidRDefault="00E705AF" w:rsidP="004F4502">
            <w:pPr>
              <w:widowControl/>
              <w:jc w:val="left"/>
              <w:rPr>
                <w:rFonts w:ascii="Arial Narrow" w:hAnsi="Arial Narrow"/>
                <w:b/>
                <w:sz w:val="20"/>
              </w:rPr>
            </w:pPr>
            <w:r w:rsidRPr="000D5FE2">
              <w:rPr>
                <w:rFonts w:ascii="Arial Narrow" w:hAnsi="Arial Narrow"/>
                <w:b/>
                <w:sz w:val="20"/>
              </w:rPr>
              <w:t>Direct randomised trial</w:t>
            </w:r>
          </w:p>
        </w:tc>
      </w:tr>
      <w:tr w:rsidR="00E705AF" w:rsidRPr="000D5FE2" w:rsidTr="00473018">
        <w:trPr>
          <w:trHeight w:val="848"/>
        </w:trPr>
        <w:tc>
          <w:tcPr>
            <w:tcW w:w="579" w:type="pct"/>
            <w:vMerge w:val="restart"/>
            <w:tcBorders>
              <w:bottom w:val="single" w:sz="4" w:space="0" w:color="auto"/>
            </w:tcBorders>
            <w:vAlign w:val="center"/>
          </w:tcPr>
          <w:p w:rsidR="00E705AF" w:rsidRPr="000D5FE2" w:rsidRDefault="00E705AF" w:rsidP="00EB59A2">
            <w:pPr>
              <w:widowControl/>
              <w:jc w:val="left"/>
              <w:rPr>
                <w:rFonts w:ascii="Arial Narrow" w:hAnsi="Arial Narrow"/>
                <w:sz w:val="20"/>
              </w:rPr>
            </w:pPr>
            <w:r w:rsidRPr="000D5FE2">
              <w:rPr>
                <w:rFonts w:ascii="Arial Narrow" w:hAnsi="Arial Narrow"/>
                <w:sz w:val="20"/>
              </w:rPr>
              <w:t>PREVAIL</w:t>
            </w:r>
          </w:p>
        </w:tc>
        <w:tc>
          <w:tcPr>
            <w:tcW w:w="3337" w:type="pct"/>
            <w:tcBorders>
              <w:bottom w:val="single" w:sz="4" w:space="0" w:color="auto"/>
            </w:tcBorders>
          </w:tcPr>
          <w:p w:rsidR="00E705AF" w:rsidRPr="000D5FE2" w:rsidRDefault="00E705AF" w:rsidP="00EB59A2">
            <w:pPr>
              <w:widowControl/>
              <w:jc w:val="left"/>
              <w:rPr>
                <w:rFonts w:ascii="Arial Narrow" w:hAnsi="Arial Narrow"/>
                <w:b/>
                <w:sz w:val="20"/>
              </w:rPr>
            </w:pPr>
            <w:r w:rsidRPr="000D5FE2">
              <w:rPr>
                <w:rFonts w:ascii="Arial Narrow" w:hAnsi="Arial Narrow"/>
                <w:sz w:val="20"/>
              </w:rPr>
              <w:t>PREVAIL clinical study report FINAL: A multinational Phase 3, randomized, double-blind, placebo-controlled efficacy and safety study of oral MDV3100 in chemotherapy-naïve patients with progressive metastatic prostate cancer who have failed androgen deprivation therapy</w:t>
            </w:r>
          </w:p>
        </w:tc>
        <w:tc>
          <w:tcPr>
            <w:tcW w:w="1084" w:type="pct"/>
            <w:tcBorders>
              <w:bottom w:val="single" w:sz="4" w:space="0" w:color="auto"/>
            </w:tcBorders>
          </w:tcPr>
          <w:p w:rsidR="00E705AF" w:rsidRPr="000D5FE2" w:rsidRDefault="00E705AF" w:rsidP="00EB59A2">
            <w:pPr>
              <w:widowControl/>
              <w:jc w:val="left"/>
              <w:rPr>
                <w:rFonts w:ascii="Arial Narrow" w:hAnsi="Arial Narrow"/>
                <w:sz w:val="20"/>
              </w:rPr>
            </w:pPr>
            <w:r w:rsidRPr="000D5FE2">
              <w:rPr>
                <w:rFonts w:ascii="Arial Narrow" w:hAnsi="Arial Narrow"/>
                <w:sz w:val="20"/>
              </w:rPr>
              <w:t xml:space="preserve">28 February 2014 </w:t>
            </w:r>
          </w:p>
          <w:p w:rsidR="00E705AF" w:rsidRPr="000D5FE2" w:rsidRDefault="00E705AF" w:rsidP="00EB59A2">
            <w:pPr>
              <w:widowControl/>
              <w:jc w:val="left"/>
              <w:rPr>
                <w:rFonts w:ascii="Arial Narrow" w:hAnsi="Arial Narrow"/>
                <w:b/>
                <w:sz w:val="20"/>
              </w:rPr>
            </w:pPr>
            <w:r w:rsidRPr="000D5FE2">
              <w:rPr>
                <w:rFonts w:ascii="Arial Narrow" w:hAnsi="Arial Narrow"/>
                <w:sz w:val="20"/>
              </w:rPr>
              <w:t>(Data cut off 16 Sept 2013)</w:t>
            </w:r>
          </w:p>
        </w:tc>
      </w:tr>
      <w:tr w:rsidR="00E705AF" w:rsidRPr="000D5FE2" w:rsidTr="00473018">
        <w:tc>
          <w:tcPr>
            <w:tcW w:w="579" w:type="pct"/>
            <w:vMerge/>
          </w:tcPr>
          <w:p w:rsidR="00E705AF" w:rsidRPr="000D5FE2" w:rsidRDefault="00E705AF" w:rsidP="00EB59A2">
            <w:pPr>
              <w:widowControl/>
              <w:jc w:val="left"/>
              <w:rPr>
                <w:rFonts w:ascii="Arial Narrow" w:hAnsi="Arial Narrow"/>
                <w:sz w:val="20"/>
              </w:rPr>
            </w:pPr>
          </w:p>
        </w:tc>
        <w:tc>
          <w:tcPr>
            <w:tcW w:w="3337" w:type="pct"/>
          </w:tcPr>
          <w:p w:rsidR="00E705AF" w:rsidRPr="000D5FE2" w:rsidRDefault="00E705AF" w:rsidP="00EB59A2">
            <w:pPr>
              <w:widowControl/>
              <w:jc w:val="left"/>
              <w:rPr>
                <w:rFonts w:ascii="Arial Narrow" w:hAnsi="Arial Narrow"/>
                <w:sz w:val="20"/>
              </w:rPr>
            </w:pPr>
            <w:r w:rsidRPr="000D5FE2">
              <w:rPr>
                <w:rFonts w:ascii="Arial Narrow" w:hAnsi="Arial Narrow"/>
                <w:sz w:val="20"/>
              </w:rPr>
              <w:t>PREVAIL addendum report FINAL: A multinational Phase 3, randomized, double-blind, placebo-controlled efficacy and safety study of oral MDV3100 in chemotherapy-naïve patients with progressive metastatic prostate cancer who have failed androgen deprivation therapy</w:t>
            </w:r>
          </w:p>
        </w:tc>
        <w:tc>
          <w:tcPr>
            <w:tcW w:w="1084" w:type="pct"/>
          </w:tcPr>
          <w:p w:rsidR="00E705AF" w:rsidRPr="000D5FE2" w:rsidRDefault="00E705AF" w:rsidP="00EB59A2">
            <w:pPr>
              <w:widowControl/>
              <w:jc w:val="left"/>
              <w:rPr>
                <w:rFonts w:ascii="Arial Narrow" w:hAnsi="Arial Narrow"/>
                <w:sz w:val="20"/>
              </w:rPr>
            </w:pPr>
            <w:r w:rsidRPr="000D5FE2">
              <w:rPr>
                <w:rFonts w:ascii="Arial Narrow" w:hAnsi="Arial Narrow"/>
                <w:sz w:val="20"/>
              </w:rPr>
              <w:t>19 December 2014</w:t>
            </w:r>
          </w:p>
          <w:p w:rsidR="00E705AF" w:rsidRPr="000D5FE2" w:rsidRDefault="00E705AF" w:rsidP="00EB59A2">
            <w:pPr>
              <w:widowControl/>
              <w:jc w:val="left"/>
              <w:rPr>
                <w:rFonts w:ascii="Arial Narrow" w:hAnsi="Arial Narrow"/>
                <w:i/>
                <w:iCs/>
                <w:sz w:val="20"/>
              </w:rPr>
            </w:pPr>
            <w:r w:rsidRPr="000D5FE2">
              <w:rPr>
                <w:rFonts w:ascii="Arial Narrow" w:hAnsi="Arial Narrow"/>
                <w:sz w:val="20"/>
              </w:rPr>
              <w:t>(Data cut off 1 Jan 2014)</w:t>
            </w:r>
          </w:p>
        </w:tc>
      </w:tr>
      <w:tr w:rsidR="00E705AF" w:rsidRPr="000D5FE2" w:rsidTr="00473018">
        <w:tc>
          <w:tcPr>
            <w:tcW w:w="579" w:type="pct"/>
            <w:vMerge/>
          </w:tcPr>
          <w:p w:rsidR="00E705AF" w:rsidRPr="000D5FE2" w:rsidRDefault="00E705AF" w:rsidP="00EB59A2">
            <w:pPr>
              <w:widowControl/>
              <w:jc w:val="left"/>
              <w:rPr>
                <w:rFonts w:ascii="Arial Narrow" w:hAnsi="Arial Narrow"/>
                <w:sz w:val="20"/>
              </w:rPr>
            </w:pPr>
          </w:p>
        </w:tc>
        <w:tc>
          <w:tcPr>
            <w:tcW w:w="3337" w:type="pct"/>
          </w:tcPr>
          <w:p w:rsidR="00E705AF" w:rsidRPr="000D5FE2" w:rsidRDefault="00E705AF" w:rsidP="00EB59A2">
            <w:pPr>
              <w:widowControl/>
              <w:jc w:val="left"/>
              <w:rPr>
                <w:rFonts w:ascii="Arial Narrow" w:hAnsi="Arial Narrow"/>
                <w:sz w:val="20"/>
              </w:rPr>
            </w:pPr>
            <w:r w:rsidRPr="000D5FE2">
              <w:rPr>
                <w:rFonts w:ascii="Arial Narrow" w:hAnsi="Arial Narrow"/>
                <w:sz w:val="20"/>
              </w:rPr>
              <w:t xml:space="preserve">Beer TM, et al. Enzalutamide in metastatic prostate cancer before chemotherapy. </w:t>
            </w:r>
          </w:p>
        </w:tc>
        <w:tc>
          <w:tcPr>
            <w:tcW w:w="1084" w:type="pct"/>
          </w:tcPr>
          <w:p w:rsidR="00E705AF" w:rsidRPr="000D5FE2" w:rsidRDefault="00E705AF" w:rsidP="00EB59A2">
            <w:pPr>
              <w:widowControl/>
              <w:jc w:val="left"/>
              <w:rPr>
                <w:rFonts w:ascii="Arial Narrow" w:hAnsi="Arial Narrow"/>
                <w:i/>
                <w:iCs/>
                <w:sz w:val="20"/>
              </w:rPr>
            </w:pPr>
            <w:r w:rsidRPr="000D5FE2">
              <w:rPr>
                <w:rFonts w:ascii="Arial Narrow" w:hAnsi="Arial Narrow"/>
                <w:i/>
                <w:sz w:val="20"/>
              </w:rPr>
              <w:t>New England Journal of Medicine</w:t>
            </w:r>
            <w:r w:rsidRPr="000D5FE2">
              <w:rPr>
                <w:rFonts w:ascii="Arial Narrow" w:hAnsi="Arial Narrow"/>
                <w:sz w:val="20"/>
              </w:rPr>
              <w:t xml:space="preserve"> 2014; 371 (5):424-433</w:t>
            </w:r>
          </w:p>
        </w:tc>
      </w:tr>
      <w:tr w:rsidR="00E705AF" w:rsidRPr="000D5FE2" w:rsidTr="00473018">
        <w:tc>
          <w:tcPr>
            <w:tcW w:w="579" w:type="pct"/>
            <w:vMerge/>
          </w:tcPr>
          <w:p w:rsidR="00E705AF" w:rsidRPr="000D5FE2" w:rsidRDefault="00E705AF" w:rsidP="00EB59A2">
            <w:pPr>
              <w:widowControl/>
              <w:jc w:val="left"/>
              <w:rPr>
                <w:rFonts w:ascii="Arial Narrow" w:hAnsi="Arial Narrow"/>
                <w:sz w:val="20"/>
              </w:rPr>
            </w:pPr>
          </w:p>
        </w:tc>
        <w:tc>
          <w:tcPr>
            <w:tcW w:w="3337" w:type="pct"/>
          </w:tcPr>
          <w:p w:rsidR="00E705AF" w:rsidRPr="000D5FE2" w:rsidRDefault="00E705AF" w:rsidP="00EB59A2">
            <w:pPr>
              <w:widowControl/>
              <w:jc w:val="left"/>
              <w:rPr>
                <w:rFonts w:ascii="Arial Narrow" w:hAnsi="Arial Narrow"/>
                <w:sz w:val="20"/>
              </w:rPr>
            </w:pPr>
            <w:r w:rsidRPr="000D5FE2">
              <w:rPr>
                <w:rFonts w:ascii="Arial Narrow" w:hAnsi="Arial Narrow"/>
                <w:sz w:val="20"/>
              </w:rPr>
              <w:t xml:space="preserve">Beer TM, et al. Enzalutamide in Men with Chemotherapy-naïve Metastatic Castration-resistant Prostate Cancer: Extended Analysis of the Phase 3 PREVAIL Study. </w:t>
            </w:r>
          </w:p>
        </w:tc>
        <w:tc>
          <w:tcPr>
            <w:tcW w:w="1084" w:type="pct"/>
          </w:tcPr>
          <w:p w:rsidR="00E705AF" w:rsidRPr="000D5FE2" w:rsidRDefault="00E705AF" w:rsidP="00EB59A2">
            <w:pPr>
              <w:widowControl/>
              <w:jc w:val="left"/>
              <w:rPr>
                <w:rFonts w:ascii="Arial Narrow" w:hAnsi="Arial Narrow"/>
                <w:i/>
                <w:iCs/>
                <w:sz w:val="20"/>
              </w:rPr>
            </w:pPr>
            <w:r w:rsidRPr="000D5FE2">
              <w:rPr>
                <w:rFonts w:ascii="Arial Narrow" w:hAnsi="Arial Narrow"/>
                <w:i/>
                <w:sz w:val="20"/>
              </w:rPr>
              <w:t>European Urology</w:t>
            </w:r>
            <w:r w:rsidRPr="000D5FE2">
              <w:rPr>
                <w:rFonts w:ascii="Arial Narrow" w:hAnsi="Arial Narrow"/>
                <w:sz w:val="20"/>
              </w:rPr>
              <w:t xml:space="preserve"> 2016; (article in press)</w:t>
            </w:r>
          </w:p>
        </w:tc>
      </w:tr>
      <w:tr w:rsidR="00E705AF" w:rsidRPr="000D5FE2" w:rsidTr="00473018">
        <w:tc>
          <w:tcPr>
            <w:tcW w:w="579" w:type="pct"/>
            <w:vMerge/>
          </w:tcPr>
          <w:p w:rsidR="00E705AF" w:rsidRPr="000D5FE2" w:rsidRDefault="00E705AF" w:rsidP="00EB59A2">
            <w:pPr>
              <w:widowControl/>
              <w:jc w:val="left"/>
              <w:rPr>
                <w:rFonts w:ascii="Arial Narrow" w:hAnsi="Arial Narrow"/>
                <w:sz w:val="20"/>
              </w:rPr>
            </w:pPr>
          </w:p>
        </w:tc>
        <w:tc>
          <w:tcPr>
            <w:tcW w:w="3337" w:type="pct"/>
          </w:tcPr>
          <w:p w:rsidR="00E705AF" w:rsidRPr="000D5FE2" w:rsidRDefault="00E705AF" w:rsidP="00EB59A2">
            <w:pPr>
              <w:widowControl/>
              <w:jc w:val="left"/>
              <w:rPr>
                <w:rFonts w:ascii="Arial Narrow" w:hAnsi="Arial Narrow"/>
                <w:sz w:val="20"/>
              </w:rPr>
            </w:pPr>
            <w:proofErr w:type="spellStart"/>
            <w:r w:rsidRPr="000D5FE2">
              <w:rPr>
                <w:rFonts w:ascii="Arial Narrow" w:hAnsi="Arial Narrow"/>
                <w:sz w:val="20"/>
              </w:rPr>
              <w:t>Loriot</w:t>
            </w:r>
            <w:proofErr w:type="spellEnd"/>
            <w:r w:rsidRPr="000D5FE2">
              <w:rPr>
                <w:rFonts w:ascii="Arial Narrow" w:hAnsi="Arial Narrow"/>
                <w:sz w:val="20"/>
              </w:rPr>
              <w:t xml:space="preserve"> Y, et al. Effect of enzalutamide on health-related quality of life, pain, and skeletal-related events in asymptomatic and minimally symptomatic, chemotherapy-naive patients with metastatic castration-resistant prostate cancer (PREVAIL): Results from a randomised, phase 3 trial. </w:t>
            </w:r>
          </w:p>
        </w:tc>
        <w:tc>
          <w:tcPr>
            <w:tcW w:w="1084" w:type="pct"/>
          </w:tcPr>
          <w:p w:rsidR="00E705AF" w:rsidRPr="000D5FE2" w:rsidRDefault="00E705AF" w:rsidP="00EB59A2">
            <w:pPr>
              <w:widowControl/>
              <w:jc w:val="left"/>
              <w:rPr>
                <w:rFonts w:ascii="Arial Narrow" w:hAnsi="Arial Narrow"/>
                <w:i/>
                <w:iCs/>
                <w:sz w:val="20"/>
              </w:rPr>
            </w:pPr>
            <w:r w:rsidRPr="000D5FE2">
              <w:rPr>
                <w:rFonts w:ascii="Arial Narrow" w:hAnsi="Arial Narrow"/>
                <w:i/>
                <w:sz w:val="20"/>
              </w:rPr>
              <w:t>The Lancet Oncology</w:t>
            </w:r>
            <w:r w:rsidRPr="000D5FE2">
              <w:rPr>
                <w:rFonts w:ascii="Arial Narrow" w:hAnsi="Arial Narrow"/>
                <w:sz w:val="20"/>
              </w:rPr>
              <w:t xml:space="preserve"> 2015; 16 (5):509-521</w:t>
            </w:r>
          </w:p>
        </w:tc>
      </w:tr>
    </w:tbl>
    <w:p w:rsidR="00E705AF" w:rsidRPr="000D5FE2" w:rsidRDefault="00E705AF" w:rsidP="00E705AF">
      <w:pPr>
        <w:pStyle w:val="TableFooter"/>
        <w:ind w:firstLine="709"/>
      </w:pPr>
      <w:r w:rsidRPr="000D5FE2">
        <w:t>Source: Table B.2-3, pp42-45 of the submission</w:t>
      </w:r>
    </w:p>
    <w:p w:rsidR="00E705AF" w:rsidRPr="000D5FE2" w:rsidRDefault="00E705AF" w:rsidP="00E705AF">
      <w:pPr>
        <w:widowControl/>
        <w:rPr>
          <w:szCs w:val="22"/>
        </w:rPr>
      </w:pPr>
    </w:p>
    <w:p w:rsidR="00E705AF" w:rsidRPr="000D5FE2" w:rsidRDefault="00E705AF" w:rsidP="00EB23C1">
      <w:pPr>
        <w:pStyle w:val="ListParagraph"/>
        <w:widowControl/>
        <w:numPr>
          <w:ilvl w:val="1"/>
          <w:numId w:val="2"/>
        </w:numPr>
        <w:tabs>
          <w:tab w:val="left" w:pos="210"/>
        </w:tabs>
        <w:rPr>
          <w:szCs w:val="22"/>
        </w:rPr>
      </w:pPr>
      <w:r w:rsidRPr="000D5FE2">
        <w:rPr>
          <w:szCs w:val="22"/>
        </w:rPr>
        <w:t>The key features of the direct randomised trial are summarised in the table below.</w:t>
      </w:r>
    </w:p>
    <w:p w:rsidR="00E705AF" w:rsidRPr="000D5FE2" w:rsidRDefault="00E705AF" w:rsidP="00E705AF">
      <w:pPr>
        <w:widowControl/>
        <w:rPr>
          <w:szCs w:val="22"/>
        </w:rPr>
      </w:pPr>
    </w:p>
    <w:p w:rsidR="00E705AF" w:rsidRPr="000D5FE2" w:rsidRDefault="00E705AF" w:rsidP="00E705AF">
      <w:pPr>
        <w:ind w:firstLine="720"/>
        <w:rPr>
          <w:rStyle w:val="CommentReference"/>
        </w:rPr>
      </w:pPr>
      <w:r w:rsidRPr="000D5FE2">
        <w:rPr>
          <w:rStyle w:val="CommentReference"/>
        </w:rPr>
        <w:t>Table 3: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4"/>
        <w:gridCol w:w="572"/>
        <w:gridCol w:w="1000"/>
        <w:gridCol w:w="713"/>
        <w:gridCol w:w="2285"/>
        <w:gridCol w:w="1427"/>
        <w:gridCol w:w="1524"/>
      </w:tblGrid>
      <w:tr w:rsidR="00E705AF" w:rsidRPr="000D5FE2" w:rsidTr="00473018">
        <w:tc>
          <w:tcPr>
            <w:tcW w:w="494" w:type="pct"/>
            <w:shd w:val="clear" w:color="auto" w:fill="auto"/>
            <w:vAlign w:val="center"/>
          </w:tcPr>
          <w:p w:rsidR="00E705AF" w:rsidRPr="000D5FE2" w:rsidRDefault="00E705AF" w:rsidP="00473018">
            <w:pPr>
              <w:jc w:val="left"/>
              <w:rPr>
                <w:rFonts w:ascii="Arial Narrow" w:hAnsi="Arial Narrow"/>
                <w:b/>
                <w:sz w:val="20"/>
              </w:rPr>
            </w:pPr>
            <w:r w:rsidRPr="000D5FE2">
              <w:rPr>
                <w:rFonts w:ascii="Arial Narrow" w:hAnsi="Arial Narrow"/>
                <w:b/>
                <w:sz w:val="20"/>
              </w:rPr>
              <w:t>Trial</w:t>
            </w:r>
          </w:p>
        </w:tc>
        <w:tc>
          <w:tcPr>
            <w:tcW w:w="343" w:type="pct"/>
            <w:shd w:val="clear" w:color="auto" w:fill="auto"/>
            <w:vAlign w:val="center"/>
          </w:tcPr>
          <w:p w:rsidR="00E705AF" w:rsidRPr="000D5FE2" w:rsidRDefault="00E705AF" w:rsidP="00473018">
            <w:pPr>
              <w:jc w:val="center"/>
              <w:rPr>
                <w:rFonts w:ascii="Arial Narrow" w:hAnsi="Arial Narrow"/>
                <w:b/>
                <w:sz w:val="20"/>
              </w:rPr>
            </w:pPr>
            <w:r w:rsidRPr="000D5FE2">
              <w:rPr>
                <w:rFonts w:ascii="Arial Narrow" w:hAnsi="Arial Narrow"/>
                <w:b/>
                <w:sz w:val="20"/>
              </w:rPr>
              <w:t>N</w:t>
            </w:r>
          </w:p>
        </w:tc>
        <w:tc>
          <w:tcPr>
            <w:tcW w:w="599" w:type="pct"/>
            <w:shd w:val="clear" w:color="auto" w:fill="auto"/>
            <w:vAlign w:val="center"/>
          </w:tcPr>
          <w:p w:rsidR="00E705AF" w:rsidRPr="000D5FE2" w:rsidRDefault="00E705AF" w:rsidP="00473018">
            <w:pPr>
              <w:jc w:val="center"/>
              <w:rPr>
                <w:rFonts w:ascii="Arial Narrow" w:hAnsi="Arial Narrow"/>
                <w:b/>
                <w:sz w:val="20"/>
              </w:rPr>
            </w:pPr>
            <w:r w:rsidRPr="000D5FE2">
              <w:rPr>
                <w:rFonts w:ascii="Arial Narrow" w:hAnsi="Arial Narrow"/>
                <w:b/>
                <w:sz w:val="20"/>
              </w:rPr>
              <w:t>Design/ duration</w:t>
            </w:r>
          </w:p>
        </w:tc>
        <w:tc>
          <w:tcPr>
            <w:tcW w:w="427" w:type="pct"/>
            <w:shd w:val="clear" w:color="auto" w:fill="auto"/>
            <w:vAlign w:val="center"/>
          </w:tcPr>
          <w:p w:rsidR="00E705AF" w:rsidRPr="000D5FE2" w:rsidRDefault="00E705AF" w:rsidP="00473018">
            <w:pPr>
              <w:jc w:val="center"/>
              <w:rPr>
                <w:rFonts w:ascii="Arial Narrow" w:hAnsi="Arial Narrow"/>
                <w:b/>
                <w:sz w:val="20"/>
              </w:rPr>
            </w:pPr>
            <w:r w:rsidRPr="000D5FE2">
              <w:rPr>
                <w:rFonts w:ascii="Arial Narrow" w:hAnsi="Arial Narrow"/>
                <w:b/>
                <w:sz w:val="20"/>
              </w:rPr>
              <w:t>Risk of bias</w:t>
            </w:r>
          </w:p>
        </w:tc>
        <w:tc>
          <w:tcPr>
            <w:tcW w:w="1369" w:type="pct"/>
            <w:shd w:val="clear" w:color="auto" w:fill="auto"/>
            <w:vAlign w:val="center"/>
          </w:tcPr>
          <w:p w:rsidR="00E705AF" w:rsidRPr="000D5FE2" w:rsidRDefault="00E705AF" w:rsidP="00473018">
            <w:pPr>
              <w:jc w:val="center"/>
              <w:rPr>
                <w:rFonts w:ascii="Arial Narrow" w:hAnsi="Arial Narrow"/>
                <w:b/>
                <w:sz w:val="20"/>
              </w:rPr>
            </w:pPr>
            <w:r w:rsidRPr="000D5FE2">
              <w:rPr>
                <w:rFonts w:ascii="Arial Narrow" w:hAnsi="Arial Narrow"/>
                <w:b/>
                <w:sz w:val="20"/>
              </w:rPr>
              <w:t>Patient population</w:t>
            </w:r>
          </w:p>
        </w:tc>
        <w:tc>
          <w:tcPr>
            <w:tcW w:w="855" w:type="pct"/>
            <w:shd w:val="clear" w:color="auto" w:fill="auto"/>
            <w:vAlign w:val="center"/>
          </w:tcPr>
          <w:p w:rsidR="00E705AF" w:rsidRPr="000D5FE2" w:rsidRDefault="00E705AF" w:rsidP="00473018">
            <w:pPr>
              <w:jc w:val="center"/>
              <w:rPr>
                <w:rFonts w:ascii="Arial Narrow" w:hAnsi="Arial Narrow"/>
                <w:b/>
                <w:sz w:val="20"/>
              </w:rPr>
            </w:pPr>
            <w:r w:rsidRPr="000D5FE2">
              <w:rPr>
                <w:rFonts w:ascii="Arial Narrow" w:hAnsi="Arial Narrow"/>
                <w:b/>
                <w:sz w:val="20"/>
              </w:rPr>
              <w:t>Outcome(s)</w:t>
            </w:r>
          </w:p>
        </w:tc>
        <w:tc>
          <w:tcPr>
            <w:tcW w:w="913" w:type="pct"/>
            <w:shd w:val="clear" w:color="auto" w:fill="auto"/>
            <w:vAlign w:val="center"/>
          </w:tcPr>
          <w:p w:rsidR="00E705AF" w:rsidRPr="000D5FE2" w:rsidRDefault="00E705AF" w:rsidP="00473018">
            <w:pPr>
              <w:jc w:val="center"/>
              <w:rPr>
                <w:rFonts w:ascii="Arial Narrow" w:hAnsi="Arial Narrow"/>
                <w:b/>
                <w:sz w:val="20"/>
              </w:rPr>
            </w:pPr>
            <w:r w:rsidRPr="000D5FE2">
              <w:rPr>
                <w:rFonts w:ascii="Arial Narrow" w:hAnsi="Arial Narrow"/>
                <w:b/>
                <w:sz w:val="20"/>
              </w:rPr>
              <w:t>Use in modelled evaluation</w:t>
            </w:r>
          </w:p>
        </w:tc>
      </w:tr>
      <w:tr w:rsidR="00E705AF" w:rsidRPr="000D5FE2" w:rsidTr="00473018">
        <w:tc>
          <w:tcPr>
            <w:tcW w:w="5000" w:type="pct"/>
            <w:gridSpan w:val="7"/>
            <w:shd w:val="clear" w:color="auto" w:fill="auto"/>
            <w:vAlign w:val="center"/>
          </w:tcPr>
          <w:p w:rsidR="00E705AF" w:rsidRPr="000D5FE2" w:rsidRDefault="00E705AF" w:rsidP="00473018">
            <w:pPr>
              <w:jc w:val="left"/>
              <w:rPr>
                <w:rFonts w:ascii="Arial Narrow" w:hAnsi="Arial Narrow"/>
                <w:b/>
                <w:sz w:val="20"/>
              </w:rPr>
            </w:pPr>
            <w:r w:rsidRPr="000D5FE2">
              <w:rPr>
                <w:rFonts w:ascii="Arial Narrow" w:hAnsi="Arial Narrow"/>
                <w:b/>
                <w:sz w:val="20"/>
              </w:rPr>
              <w:t>Enzalutamide ± prednisolone versus placebo ± prednisolone</w:t>
            </w:r>
          </w:p>
        </w:tc>
      </w:tr>
      <w:tr w:rsidR="00E705AF" w:rsidRPr="000D5FE2" w:rsidTr="00473018">
        <w:tc>
          <w:tcPr>
            <w:tcW w:w="494"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PREVAIL</w:t>
            </w:r>
          </w:p>
        </w:tc>
        <w:tc>
          <w:tcPr>
            <w:tcW w:w="343" w:type="pct"/>
            <w:shd w:val="clear" w:color="auto" w:fill="auto"/>
            <w:vAlign w:val="center"/>
          </w:tcPr>
          <w:p w:rsidR="00E705AF" w:rsidRPr="000D5FE2" w:rsidRDefault="00E705AF" w:rsidP="00473018">
            <w:pPr>
              <w:jc w:val="center"/>
              <w:rPr>
                <w:rFonts w:ascii="Arial Narrow" w:hAnsi="Arial Narrow"/>
                <w:sz w:val="20"/>
              </w:rPr>
            </w:pPr>
            <w:r w:rsidRPr="000D5FE2">
              <w:rPr>
                <w:rFonts w:ascii="Arial Narrow" w:hAnsi="Arial Narrow"/>
                <w:sz w:val="20"/>
              </w:rPr>
              <w:t>1717</w:t>
            </w:r>
          </w:p>
        </w:tc>
        <w:tc>
          <w:tcPr>
            <w:tcW w:w="599" w:type="pct"/>
            <w:shd w:val="clear" w:color="auto" w:fill="auto"/>
            <w:vAlign w:val="center"/>
          </w:tcPr>
          <w:p w:rsidR="00E705AF" w:rsidRPr="000D5FE2" w:rsidRDefault="00E705AF" w:rsidP="00473018">
            <w:pPr>
              <w:jc w:val="center"/>
              <w:rPr>
                <w:rFonts w:ascii="Arial Narrow" w:hAnsi="Arial Narrow"/>
                <w:sz w:val="20"/>
              </w:rPr>
            </w:pPr>
            <w:r w:rsidRPr="000D5FE2">
              <w:rPr>
                <w:rFonts w:ascii="Arial Narrow" w:hAnsi="Arial Narrow"/>
                <w:sz w:val="20"/>
              </w:rPr>
              <w:t>R, DB, PG, PC / 31.0mths (final)</w:t>
            </w:r>
          </w:p>
        </w:tc>
        <w:tc>
          <w:tcPr>
            <w:tcW w:w="427" w:type="pct"/>
            <w:shd w:val="clear" w:color="auto" w:fill="auto"/>
            <w:vAlign w:val="center"/>
          </w:tcPr>
          <w:p w:rsidR="00E705AF" w:rsidRPr="000D5FE2" w:rsidRDefault="00E705AF" w:rsidP="00473018">
            <w:pPr>
              <w:jc w:val="center"/>
              <w:rPr>
                <w:rFonts w:ascii="Arial Narrow" w:hAnsi="Arial Narrow"/>
                <w:sz w:val="20"/>
              </w:rPr>
            </w:pPr>
            <w:proofErr w:type="spellStart"/>
            <w:r w:rsidRPr="000D5FE2">
              <w:rPr>
                <w:rFonts w:ascii="Arial Narrow" w:hAnsi="Arial Narrow"/>
                <w:sz w:val="20"/>
              </w:rPr>
              <w:t>Low</w:t>
            </w:r>
            <w:r w:rsidRPr="000D5FE2">
              <w:rPr>
                <w:rFonts w:ascii="Arial Narrow" w:hAnsi="Arial Narrow"/>
                <w:sz w:val="20"/>
                <w:vertAlign w:val="superscript"/>
              </w:rPr>
              <w:t>a</w:t>
            </w:r>
            <w:proofErr w:type="spellEnd"/>
          </w:p>
        </w:tc>
        <w:tc>
          <w:tcPr>
            <w:tcW w:w="1369" w:type="pct"/>
            <w:shd w:val="clear" w:color="auto" w:fill="auto"/>
            <w:vAlign w:val="center"/>
          </w:tcPr>
          <w:p w:rsidR="00E705AF" w:rsidRPr="000D5FE2" w:rsidRDefault="00E705AF" w:rsidP="00473018">
            <w:pPr>
              <w:jc w:val="center"/>
              <w:rPr>
                <w:rFonts w:ascii="Arial Narrow" w:hAnsi="Arial Narrow"/>
                <w:sz w:val="20"/>
              </w:rPr>
            </w:pPr>
            <w:r w:rsidRPr="000D5FE2">
              <w:rPr>
                <w:rFonts w:ascii="Arial Narrow" w:hAnsi="Arial Narrow"/>
                <w:sz w:val="20"/>
              </w:rPr>
              <w:t xml:space="preserve">mCRPC; asymptomatic or mildly symptomatic; chemotherapy naive </w:t>
            </w:r>
          </w:p>
        </w:tc>
        <w:tc>
          <w:tcPr>
            <w:tcW w:w="855" w:type="pct"/>
            <w:shd w:val="clear" w:color="auto" w:fill="auto"/>
            <w:vAlign w:val="center"/>
          </w:tcPr>
          <w:p w:rsidR="00E705AF" w:rsidRPr="000D5FE2" w:rsidRDefault="00E705AF" w:rsidP="00473018">
            <w:pPr>
              <w:jc w:val="center"/>
              <w:rPr>
                <w:rFonts w:ascii="Arial Narrow" w:hAnsi="Arial Narrow"/>
                <w:sz w:val="20"/>
              </w:rPr>
            </w:pPr>
            <w:r w:rsidRPr="000D5FE2">
              <w:rPr>
                <w:rFonts w:ascii="Arial Narrow" w:hAnsi="Arial Narrow"/>
                <w:sz w:val="20"/>
              </w:rPr>
              <w:t xml:space="preserve">Co-primary: </w:t>
            </w:r>
          </w:p>
          <w:p w:rsidR="00E705AF" w:rsidRPr="000D5FE2" w:rsidRDefault="00E705AF" w:rsidP="00473018">
            <w:pPr>
              <w:jc w:val="center"/>
              <w:rPr>
                <w:rFonts w:ascii="Arial Narrow" w:hAnsi="Arial Narrow"/>
                <w:sz w:val="20"/>
              </w:rPr>
            </w:pPr>
            <w:r w:rsidRPr="000D5FE2">
              <w:rPr>
                <w:rFonts w:ascii="Arial Narrow" w:hAnsi="Arial Narrow"/>
                <w:sz w:val="20"/>
              </w:rPr>
              <w:t xml:space="preserve">OS, </w:t>
            </w:r>
            <w:proofErr w:type="spellStart"/>
            <w:r w:rsidRPr="000D5FE2">
              <w:rPr>
                <w:rFonts w:ascii="Arial Narrow" w:hAnsi="Arial Narrow"/>
                <w:sz w:val="20"/>
              </w:rPr>
              <w:t>rPFS</w:t>
            </w:r>
            <w:proofErr w:type="spellEnd"/>
          </w:p>
        </w:tc>
        <w:tc>
          <w:tcPr>
            <w:tcW w:w="913" w:type="pct"/>
            <w:shd w:val="clear" w:color="auto" w:fill="auto"/>
            <w:vAlign w:val="center"/>
          </w:tcPr>
          <w:p w:rsidR="00E705AF" w:rsidRPr="000D5FE2" w:rsidRDefault="000B469E" w:rsidP="00473018">
            <w:pPr>
              <w:jc w:val="center"/>
              <w:rPr>
                <w:rFonts w:ascii="Arial Narrow" w:hAnsi="Arial Narrow"/>
                <w:sz w:val="20"/>
              </w:rPr>
            </w:pPr>
            <w:r w:rsidRPr="000D5FE2">
              <w:rPr>
                <w:rFonts w:ascii="Arial Narrow" w:hAnsi="Arial Narrow"/>
                <w:sz w:val="20"/>
              </w:rPr>
              <w:t>Time to initiation of cytotoxic chemotherapy</w:t>
            </w:r>
          </w:p>
        </w:tc>
      </w:tr>
    </w:tbl>
    <w:p w:rsidR="00E705AF" w:rsidRPr="000D5FE2" w:rsidRDefault="00E705AF" w:rsidP="000B469E">
      <w:pPr>
        <w:pStyle w:val="TableFooter"/>
        <w:ind w:left="720"/>
      </w:pPr>
      <w:r w:rsidRPr="000D5FE2">
        <w:t xml:space="preserve">R=randomised; DB=double blind; PG=parallel group; PC=placebo-controlled; OS=overall survival; </w:t>
      </w:r>
      <w:proofErr w:type="spellStart"/>
      <w:r w:rsidRPr="000D5FE2">
        <w:t>rPFS</w:t>
      </w:r>
      <w:proofErr w:type="spellEnd"/>
      <w:r w:rsidRPr="000D5FE2">
        <w:t>=radiographic progression-free survival.</w:t>
      </w:r>
    </w:p>
    <w:p w:rsidR="00E705AF" w:rsidRPr="000D5FE2" w:rsidRDefault="00E705AF" w:rsidP="00E705AF">
      <w:pPr>
        <w:tabs>
          <w:tab w:val="left" w:pos="142"/>
          <w:tab w:val="left" w:pos="993"/>
        </w:tabs>
        <w:ind w:left="709"/>
        <w:rPr>
          <w:rFonts w:ascii="Arial Narrow" w:hAnsi="Arial Narrow"/>
          <w:sz w:val="18"/>
        </w:rPr>
      </w:pPr>
      <w:proofErr w:type="gramStart"/>
      <w:r w:rsidRPr="000D5FE2">
        <w:rPr>
          <w:rFonts w:ascii="Arial Narrow" w:hAnsi="Arial Narrow"/>
          <w:sz w:val="18"/>
          <w:vertAlign w:val="superscript"/>
        </w:rPr>
        <w:t>a</w:t>
      </w:r>
      <w:proofErr w:type="gramEnd"/>
      <w:r w:rsidRPr="000D5FE2">
        <w:rPr>
          <w:rFonts w:ascii="Arial Narrow" w:hAnsi="Arial Narrow"/>
          <w:sz w:val="18"/>
          <w:vertAlign w:val="superscript"/>
        </w:rPr>
        <w:tab/>
      </w:r>
      <w:r w:rsidRPr="000D5FE2">
        <w:rPr>
          <w:rFonts w:ascii="Arial Narrow" w:hAnsi="Arial Narrow"/>
          <w:sz w:val="18"/>
        </w:rPr>
        <w:t>placebo cross-over after interim analysis</w:t>
      </w:r>
    </w:p>
    <w:p w:rsidR="00E705AF" w:rsidRPr="000D5FE2" w:rsidRDefault="00E705AF" w:rsidP="00E705AF">
      <w:pPr>
        <w:pStyle w:val="TableFooter"/>
        <w:ind w:firstLine="720"/>
      </w:pPr>
      <w:r w:rsidRPr="000D5FE2">
        <w:t>Source: compiled during the evaluation</w:t>
      </w:r>
    </w:p>
    <w:p w:rsidR="00E705AF" w:rsidRPr="000D5FE2" w:rsidRDefault="00E705AF" w:rsidP="00E705AF">
      <w:pPr>
        <w:rPr>
          <w:szCs w:val="22"/>
        </w:rPr>
      </w:pPr>
    </w:p>
    <w:p w:rsidR="003476A6" w:rsidRPr="008A445B" w:rsidRDefault="00DE4E01" w:rsidP="00CF0F59">
      <w:pPr>
        <w:pStyle w:val="ListParagraph"/>
        <w:widowControl/>
        <w:numPr>
          <w:ilvl w:val="1"/>
          <w:numId w:val="2"/>
        </w:numPr>
        <w:tabs>
          <w:tab w:val="left" w:pos="210"/>
        </w:tabs>
        <w:rPr>
          <w:b/>
          <w:i/>
        </w:rPr>
      </w:pPr>
      <w:bookmarkStart w:id="11" w:name="_Toc471212093"/>
      <w:r w:rsidRPr="000D5FE2">
        <w:rPr>
          <w:szCs w:val="22"/>
        </w:rPr>
        <w:t>The</w:t>
      </w:r>
      <w:r w:rsidRPr="000D5FE2">
        <w:rPr>
          <w:iCs/>
        </w:rPr>
        <w:t xml:space="preserve"> ESC noted that the PREVAIL ITT population may not be applicable to the proposed PBS population, as PREVAIL may have included patients </w:t>
      </w:r>
      <w:r w:rsidR="00F20216" w:rsidRPr="000D5FE2">
        <w:rPr>
          <w:iCs/>
        </w:rPr>
        <w:t>un</w:t>
      </w:r>
      <w:r w:rsidR="0038079B" w:rsidRPr="000D5FE2">
        <w:rPr>
          <w:iCs/>
        </w:rPr>
        <w:t xml:space="preserve">suitable for chemotherapy </w:t>
      </w:r>
      <w:r w:rsidR="00F20216" w:rsidRPr="000D5FE2">
        <w:rPr>
          <w:iCs/>
        </w:rPr>
        <w:t>and thus</w:t>
      </w:r>
      <w:r w:rsidR="0038079B" w:rsidRPr="000D5FE2">
        <w:rPr>
          <w:iCs/>
        </w:rPr>
        <w:t xml:space="preserve"> eligible for enzalutamide under the current PBS listings</w:t>
      </w:r>
      <w:r w:rsidRPr="000D5FE2">
        <w:rPr>
          <w:iCs/>
        </w:rPr>
        <w:t xml:space="preserve">. The </w:t>
      </w:r>
      <w:proofErr w:type="gramStart"/>
      <w:r w:rsidRPr="000D5FE2">
        <w:rPr>
          <w:iCs/>
        </w:rPr>
        <w:lastRenderedPageBreak/>
        <w:t>PSCR  states</w:t>
      </w:r>
      <w:proofErr w:type="gramEnd"/>
      <w:r w:rsidRPr="000D5FE2">
        <w:rPr>
          <w:iCs/>
        </w:rPr>
        <w:t xml:space="preserve"> that while the PREVAIL trial did not exclude patients unsuitable for chemotherapy, only 4.7% of the ITT population did not receive cytotoxic chemotherapy as subsequent treatment. It is unknown whether these patients were unsuitable for chemotherapy, but the sponsor argued that given it was only a small proportion of the total ITT population, the ITT population as a whole can be considered to be applicable to the proposed PBS restriction.</w:t>
      </w:r>
    </w:p>
    <w:p w:rsidR="008A445B" w:rsidRPr="000D5FE2" w:rsidRDefault="008A445B" w:rsidP="008A445B">
      <w:pPr>
        <w:pStyle w:val="ListParagraph"/>
        <w:widowControl/>
        <w:tabs>
          <w:tab w:val="left" w:pos="210"/>
        </w:tabs>
        <w:rPr>
          <w:b/>
          <w:i/>
        </w:rPr>
      </w:pPr>
    </w:p>
    <w:p w:rsidR="00E705AF" w:rsidRPr="000D5FE2" w:rsidRDefault="00E705AF" w:rsidP="00E705AF">
      <w:pPr>
        <w:pStyle w:val="Heading2"/>
        <w:rPr>
          <w:i/>
        </w:rPr>
      </w:pPr>
      <w:r w:rsidRPr="000D5FE2">
        <w:rPr>
          <w:i/>
        </w:rPr>
        <w:t>Comparative effectiveness</w:t>
      </w:r>
      <w:bookmarkEnd w:id="11"/>
    </w:p>
    <w:p w:rsidR="00E705AF" w:rsidRPr="000D5FE2" w:rsidRDefault="00E705AF" w:rsidP="00E705AF">
      <w:pPr>
        <w:rPr>
          <w:szCs w:val="22"/>
        </w:rPr>
      </w:pPr>
    </w:p>
    <w:p w:rsidR="00E705AF" w:rsidRPr="000D5FE2" w:rsidRDefault="00E705AF" w:rsidP="00EB23C1">
      <w:pPr>
        <w:pStyle w:val="ListParagraph"/>
        <w:widowControl/>
        <w:numPr>
          <w:ilvl w:val="1"/>
          <w:numId w:val="2"/>
        </w:numPr>
        <w:tabs>
          <w:tab w:val="left" w:pos="210"/>
        </w:tabs>
        <w:rPr>
          <w:szCs w:val="22"/>
        </w:rPr>
      </w:pPr>
      <w:r w:rsidRPr="000D5FE2">
        <w:t xml:space="preserve">In its consideration of the previous submission, the PBAC considered chemotherapy-naïve patients would not benefit substantially in survival from earlier treatment with enzalutamide in a treatment algorithm, which was not captured by the comparison presented in PREVAIL. </w:t>
      </w:r>
      <w:r w:rsidR="00BE5236" w:rsidRPr="000D5FE2">
        <w:t>In November 2015, t</w:t>
      </w:r>
      <w:r w:rsidRPr="000D5FE2">
        <w:t>he PBAC considered the overall survival gain of 4 months in PREVAIL did not represent a significant gain in survival compared to enzalutamide in the post-docetaxel setting (4.8 months in AFFIRM); but noted the differences in study designs and severity of patients in the trials in making this comparison.</w:t>
      </w:r>
    </w:p>
    <w:p w:rsidR="00E705AF" w:rsidRPr="000D5FE2" w:rsidRDefault="00E705AF" w:rsidP="00E705AF">
      <w:pPr>
        <w:pStyle w:val="ListParagraph"/>
        <w:widowControl/>
        <w:tabs>
          <w:tab w:val="left" w:pos="210"/>
        </w:tabs>
        <w:rPr>
          <w:szCs w:val="22"/>
        </w:rPr>
      </w:pPr>
    </w:p>
    <w:p w:rsidR="00E705AF" w:rsidRPr="000D5FE2" w:rsidRDefault="00BE5236" w:rsidP="00EB23C1">
      <w:pPr>
        <w:pStyle w:val="ListParagraph"/>
        <w:widowControl/>
        <w:numPr>
          <w:ilvl w:val="1"/>
          <w:numId w:val="2"/>
        </w:numPr>
        <w:tabs>
          <w:tab w:val="left" w:pos="210"/>
        </w:tabs>
        <w:rPr>
          <w:szCs w:val="22"/>
        </w:rPr>
      </w:pPr>
      <w:r w:rsidRPr="000D5FE2">
        <w:t>In November 2015, t</w:t>
      </w:r>
      <w:r w:rsidR="00E705AF" w:rsidRPr="000D5FE2">
        <w:t xml:space="preserve">he PBAC considered the purpose of earlier treatment with enzalutamide was maintaining quality of life for longer by </w:t>
      </w:r>
      <w:proofErr w:type="spellStart"/>
      <w:r w:rsidR="00E705AF" w:rsidRPr="000D5FE2">
        <w:t>i</w:t>
      </w:r>
      <w:proofErr w:type="spellEnd"/>
      <w:r w:rsidR="00E705AF" w:rsidRPr="000D5FE2">
        <w:t>) delaying disease symptoms (such as pain, fractures and spinal cord compression) and ii) delaying or reducing time with toxicities from chemotherapy.  The former was considered of most relevance to an asymptomatic population.</w:t>
      </w:r>
    </w:p>
    <w:p w:rsidR="00E705AF" w:rsidRPr="000D5FE2" w:rsidRDefault="00E705AF" w:rsidP="00E705AF">
      <w:pPr>
        <w:widowControl/>
        <w:tabs>
          <w:tab w:val="left" w:pos="210"/>
        </w:tabs>
        <w:rPr>
          <w:szCs w:val="22"/>
        </w:rPr>
      </w:pPr>
    </w:p>
    <w:p w:rsidR="00E705AF" w:rsidRPr="000D5FE2" w:rsidRDefault="00E705AF" w:rsidP="00EB23C1">
      <w:pPr>
        <w:pStyle w:val="ListParagraph"/>
        <w:widowControl/>
        <w:numPr>
          <w:ilvl w:val="1"/>
          <w:numId w:val="2"/>
        </w:numPr>
        <w:tabs>
          <w:tab w:val="left" w:pos="210"/>
        </w:tabs>
        <w:rPr>
          <w:szCs w:val="22"/>
        </w:rPr>
      </w:pPr>
      <w:r w:rsidRPr="000D5FE2">
        <w:rPr>
          <w:szCs w:val="22"/>
        </w:rPr>
        <w:t>Table</w:t>
      </w:r>
      <w:r w:rsidR="000F4C32" w:rsidRPr="000D5FE2">
        <w:rPr>
          <w:szCs w:val="22"/>
        </w:rPr>
        <w:t xml:space="preserve"> </w:t>
      </w:r>
      <w:r w:rsidRPr="000D5FE2">
        <w:rPr>
          <w:szCs w:val="22"/>
        </w:rPr>
        <w:t xml:space="preserve">4 presents a summary of results for secondary and exploratory (post-hoc) outcomes in PREVAIL that related to </w:t>
      </w:r>
      <w:proofErr w:type="spellStart"/>
      <w:r w:rsidRPr="000D5FE2">
        <w:rPr>
          <w:szCs w:val="22"/>
        </w:rPr>
        <w:t>i</w:t>
      </w:r>
      <w:proofErr w:type="spellEnd"/>
      <w:r w:rsidRPr="000D5FE2">
        <w:rPr>
          <w:szCs w:val="22"/>
        </w:rPr>
        <w:t xml:space="preserve">) delaying subsequent treatment, ii) health-related quality of life and delaying symptoms, iii) pain progression and iv) delaying disease progression. These were mostly secondary and </w:t>
      </w:r>
      <w:proofErr w:type="gramStart"/>
      <w:r w:rsidRPr="000D5FE2">
        <w:rPr>
          <w:szCs w:val="22"/>
        </w:rPr>
        <w:t>exploratory (post-hoc) outcomes from the trial as the primary intention of the trial was</w:t>
      </w:r>
      <w:proofErr w:type="gramEnd"/>
      <w:r w:rsidRPr="000D5FE2">
        <w:rPr>
          <w:szCs w:val="22"/>
        </w:rPr>
        <w:t xml:space="preserve"> to determine a difference in survival </w:t>
      </w:r>
      <w:r w:rsidR="00931FFD" w:rsidRPr="000D5FE2">
        <w:rPr>
          <w:szCs w:val="22"/>
        </w:rPr>
        <w:t>for</w:t>
      </w:r>
      <w:r w:rsidRPr="000D5FE2">
        <w:rPr>
          <w:szCs w:val="22"/>
        </w:rPr>
        <w:t xml:space="preserve"> enzalutamide versus placebo as first line treatment in asymptomatic chemotherapy naïve men.</w:t>
      </w:r>
    </w:p>
    <w:p w:rsidR="003D4763" w:rsidRDefault="003D4763">
      <w:pPr>
        <w:widowControl/>
        <w:jc w:val="left"/>
        <w:rPr>
          <w:szCs w:val="22"/>
        </w:rPr>
      </w:pPr>
      <w:r>
        <w:rPr>
          <w:szCs w:val="22"/>
        </w:rPr>
        <w:br w:type="page"/>
      </w:r>
    </w:p>
    <w:p w:rsidR="00E705AF" w:rsidRPr="000D5FE2" w:rsidRDefault="00E705AF" w:rsidP="00E705AF">
      <w:pPr>
        <w:rPr>
          <w:szCs w:val="22"/>
        </w:rPr>
      </w:pPr>
    </w:p>
    <w:p w:rsidR="00E705AF" w:rsidRPr="000D5FE2" w:rsidRDefault="00E705AF" w:rsidP="00EB59A2">
      <w:pPr>
        <w:keepNext/>
        <w:widowControl/>
        <w:ind w:left="720"/>
        <w:rPr>
          <w:rStyle w:val="CommentReference"/>
        </w:rPr>
      </w:pPr>
      <w:r w:rsidRPr="000D5FE2">
        <w:rPr>
          <w:rStyle w:val="CommentReference"/>
        </w:rPr>
        <w:t xml:space="preserve">Table 4: Results of PREVAIL that relate to </w:t>
      </w:r>
      <w:proofErr w:type="spellStart"/>
      <w:r w:rsidRPr="000D5FE2">
        <w:rPr>
          <w:rStyle w:val="CommentReference"/>
        </w:rPr>
        <w:t>i</w:t>
      </w:r>
      <w:proofErr w:type="spellEnd"/>
      <w:r w:rsidRPr="000D5FE2">
        <w:rPr>
          <w:rStyle w:val="CommentReference"/>
        </w:rPr>
        <w:t>) delaying subsequent treatment, ii) health-related quality of life and delaying symptoms, iii) pain progression and iv) delaying disease progression.</w:t>
      </w:r>
    </w:p>
    <w:tbl>
      <w:tblPr>
        <w:tblStyle w:val="TableGrid"/>
        <w:tblW w:w="0" w:type="auto"/>
        <w:tblInd w:w="704" w:type="dxa"/>
        <w:tblCellMar>
          <w:left w:w="28" w:type="dxa"/>
          <w:right w:w="28" w:type="dxa"/>
        </w:tblCellMar>
        <w:tblLook w:val="04A0" w:firstRow="1" w:lastRow="0" w:firstColumn="1" w:lastColumn="0" w:noHBand="0" w:noVBand="1"/>
        <w:tblCaption w:val="Table 4: Results of PREVAIL that relate to i) delaying subsequent treatment, ii) health-related quality of life and delaying symptoms, iii) pain progression and iv) delaying disease progression"/>
      </w:tblPr>
      <w:tblGrid>
        <w:gridCol w:w="1876"/>
        <w:gridCol w:w="1384"/>
        <w:gridCol w:w="1418"/>
        <w:gridCol w:w="1701"/>
        <w:gridCol w:w="1843"/>
      </w:tblGrid>
      <w:tr w:rsidR="00E705AF" w:rsidRPr="000D5FE2" w:rsidTr="00976D7A">
        <w:trPr>
          <w:tblHeader/>
        </w:trPr>
        <w:tc>
          <w:tcPr>
            <w:tcW w:w="1876" w:type="dxa"/>
            <w:vMerge w:val="restart"/>
            <w:vAlign w:val="center"/>
          </w:tcPr>
          <w:p w:rsidR="00E705AF" w:rsidRPr="000D5FE2" w:rsidRDefault="00E705AF" w:rsidP="00EB59A2">
            <w:pPr>
              <w:widowControl/>
              <w:rPr>
                <w:rStyle w:val="CommentReference"/>
                <w:szCs w:val="20"/>
              </w:rPr>
            </w:pPr>
            <w:r w:rsidRPr="000D5FE2">
              <w:rPr>
                <w:rFonts w:ascii="Arial Narrow" w:hAnsi="Arial Narrow"/>
                <w:b/>
                <w:sz w:val="20"/>
              </w:rPr>
              <w:t>Outcome</w:t>
            </w:r>
          </w:p>
        </w:tc>
        <w:tc>
          <w:tcPr>
            <w:tcW w:w="2802" w:type="dxa"/>
            <w:gridSpan w:val="2"/>
            <w:vAlign w:val="center"/>
          </w:tcPr>
          <w:p w:rsidR="00E705AF" w:rsidRPr="000D5FE2" w:rsidRDefault="00E705AF" w:rsidP="00EB59A2">
            <w:pPr>
              <w:widowControl/>
              <w:jc w:val="center"/>
              <w:rPr>
                <w:rStyle w:val="CommentReference"/>
                <w:szCs w:val="20"/>
              </w:rPr>
            </w:pPr>
            <w:r w:rsidRPr="000D5FE2">
              <w:rPr>
                <w:rFonts w:ascii="Arial Narrow" w:hAnsi="Arial Narrow"/>
                <w:b/>
                <w:sz w:val="20"/>
              </w:rPr>
              <w:t>Median time, months (95%CI)</w:t>
            </w:r>
          </w:p>
        </w:tc>
        <w:tc>
          <w:tcPr>
            <w:tcW w:w="1701" w:type="dxa"/>
            <w:vMerge w:val="restart"/>
            <w:vAlign w:val="center"/>
          </w:tcPr>
          <w:p w:rsidR="00E705AF" w:rsidRPr="000D5FE2" w:rsidRDefault="00E705AF" w:rsidP="00EB59A2">
            <w:pPr>
              <w:keepNext/>
              <w:widowControl/>
              <w:jc w:val="center"/>
              <w:rPr>
                <w:rFonts w:ascii="Arial Narrow" w:hAnsi="Arial Narrow"/>
                <w:b/>
                <w:sz w:val="20"/>
              </w:rPr>
            </w:pPr>
            <w:r w:rsidRPr="000D5FE2">
              <w:rPr>
                <w:rFonts w:ascii="Arial Narrow" w:hAnsi="Arial Narrow"/>
                <w:b/>
                <w:sz w:val="20"/>
              </w:rPr>
              <w:t>Absolute difference,</w:t>
            </w:r>
          </w:p>
          <w:p w:rsidR="00E705AF" w:rsidRPr="000D5FE2" w:rsidRDefault="00E705AF" w:rsidP="00EB59A2">
            <w:pPr>
              <w:widowControl/>
              <w:jc w:val="center"/>
              <w:rPr>
                <w:rStyle w:val="CommentReference"/>
                <w:szCs w:val="20"/>
              </w:rPr>
            </w:pPr>
            <w:r w:rsidRPr="000D5FE2">
              <w:rPr>
                <w:rFonts w:ascii="Arial Narrow" w:hAnsi="Arial Narrow"/>
                <w:b/>
                <w:sz w:val="20"/>
              </w:rPr>
              <w:t>months (95% CI)</w:t>
            </w:r>
          </w:p>
        </w:tc>
        <w:tc>
          <w:tcPr>
            <w:tcW w:w="1843" w:type="dxa"/>
            <w:vMerge w:val="restart"/>
            <w:vAlign w:val="center"/>
          </w:tcPr>
          <w:p w:rsidR="00E705AF" w:rsidRPr="000D5FE2" w:rsidRDefault="00E705AF" w:rsidP="00EB59A2">
            <w:pPr>
              <w:widowControl/>
              <w:jc w:val="center"/>
              <w:rPr>
                <w:rStyle w:val="CommentReference"/>
                <w:szCs w:val="20"/>
              </w:rPr>
            </w:pPr>
            <w:r w:rsidRPr="000D5FE2">
              <w:rPr>
                <w:rFonts w:ascii="Arial Narrow" w:hAnsi="Arial Narrow"/>
                <w:b/>
                <w:sz w:val="20"/>
              </w:rPr>
              <w:t>Relative difference HR (95% CI)</w:t>
            </w:r>
          </w:p>
        </w:tc>
      </w:tr>
      <w:tr w:rsidR="00E705AF" w:rsidRPr="000D5FE2" w:rsidTr="00976D7A">
        <w:trPr>
          <w:tblHeader/>
        </w:trPr>
        <w:tc>
          <w:tcPr>
            <w:tcW w:w="1876" w:type="dxa"/>
            <w:vMerge/>
          </w:tcPr>
          <w:p w:rsidR="00E705AF" w:rsidRPr="000D5FE2" w:rsidRDefault="00E705AF" w:rsidP="00EB59A2">
            <w:pPr>
              <w:widowControl/>
              <w:rPr>
                <w:rStyle w:val="CommentReference"/>
                <w:szCs w:val="20"/>
              </w:rPr>
            </w:pPr>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b/>
                <w:sz w:val="20"/>
              </w:rPr>
              <w:t>Enzalutamide</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b/>
                <w:sz w:val="20"/>
              </w:rPr>
              <w:t>Placebo</w:t>
            </w:r>
          </w:p>
        </w:tc>
        <w:tc>
          <w:tcPr>
            <w:tcW w:w="1701" w:type="dxa"/>
            <w:vMerge/>
          </w:tcPr>
          <w:p w:rsidR="00E705AF" w:rsidRPr="000D5FE2" w:rsidRDefault="00E705AF" w:rsidP="00EB59A2">
            <w:pPr>
              <w:widowControl/>
              <w:rPr>
                <w:rStyle w:val="CommentReference"/>
                <w:szCs w:val="20"/>
              </w:rPr>
            </w:pPr>
          </w:p>
        </w:tc>
        <w:tc>
          <w:tcPr>
            <w:tcW w:w="1843" w:type="dxa"/>
            <w:vMerge/>
          </w:tcPr>
          <w:p w:rsidR="00E705AF" w:rsidRPr="000D5FE2" w:rsidRDefault="00E705AF" w:rsidP="00EB59A2">
            <w:pPr>
              <w:widowControl/>
              <w:rPr>
                <w:rStyle w:val="CommentReference"/>
                <w:szCs w:val="20"/>
              </w:rPr>
            </w:pPr>
          </w:p>
        </w:tc>
      </w:tr>
      <w:tr w:rsidR="00E705AF" w:rsidRPr="000D5FE2" w:rsidTr="00976D7A">
        <w:tc>
          <w:tcPr>
            <w:tcW w:w="1876" w:type="dxa"/>
            <w:vAlign w:val="center"/>
          </w:tcPr>
          <w:p w:rsidR="00E705AF" w:rsidRPr="000D5FE2" w:rsidRDefault="00E705AF" w:rsidP="00EB59A2">
            <w:pPr>
              <w:widowControl/>
              <w:jc w:val="left"/>
              <w:rPr>
                <w:rStyle w:val="CommentReference"/>
                <w:szCs w:val="20"/>
              </w:rPr>
            </w:pPr>
            <w:r w:rsidRPr="000D5FE2">
              <w:rPr>
                <w:rFonts w:ascii="Arial Narrow" w:hAnsi="Arial Narrow"/>
                <w:sz w:val="20"/>
              </w:rPr>
              <w:t>Time to initiation of cytotoxic chemotherapy</w:t>
            </w:r>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28.0 (25.8,NYR)</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10.8 (9.7,12.2)</w:t>
            </w:r>
          </w:p>
        </w:tc>
        <w:tc>
          <w:tcPr>
            <w:tcW w:w="1701"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17.2 months</w:t>
            </w:r>
          </w:p>
        </w:tc>
        <w:tc>
          <w:tcPr>
            <w:tcW w:w="1843"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0.349 (0.303, 0.403)</w:t>
            </w:r>
          </w:p>
        </w:tc>
      </w:tr>
      <w:tr w:rsidR="00E705AF" w:rsidRPr="000D5FE2" w:rsidTr="00976D7A">
        <w:tc>
          <w:tcPr>
            <w:tcW w:w="1876" w:type="dxa"/>
            <w:vAlign w:val="center"/>
          </w:tcPr>
          <w:p w:rsidR="00E705AF" w:rsidRPr="000D5FE2" w:rsidRDefault="00E705AF" w:rsidP="00EB59A2">
            <w:pPr>
              <w:widowControl/>
              <w:jc w:val="left"/>
              <w:rPr>
                <w:rStyle w:val="CommentReference"/>
                <w:szCs w:val="20"/>
                <w:vertAlign w:val="superscript"/>
              </w:rPr>
            </w:pPr>
            <w:r w:rsidRPr="000D5FE2">
              <w:rPr>
                <w:rFonts w:ascii="Arial Narrow" w:hAnsi="Arial Narrow"/>
                <w:sz w:val="20"/>
              </w:rPr>
              <w:t xml:space="preserve">Time to post-baseline antineoplastic </w:t>
            </w:r>
            <w:proofErr w:type="spellStart"/>
            <w:r w:rsidRPr="000D5FE2">
              <w:rPr>
                <w:rFonts w:ascii="Arial Narrow" w:hAnsi="Arial Narrow"/>
                <w:sz w:val="20"/>
              </w:rPr>
              <w:t>therapy</w:t>
            </w:r>
            <w:r w:rsidR="00902296" w:rsidRPr="000D5FE2">
              <w:rPr>
                <w:rFonts w:ascii="Arial Narrow" w:hAnsi="Arial Narrow"/>
                <w:sz w:val="20"/>
                <w:vertAlign w:val="superscript"/>
              </w:rPr>
              <w:t>d</w:t>
            </w:r>
            <w:proofErr w:type="spellEnd"/>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22.8 (20.5,25.2)</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7.4 (6.6,8.2)</w:t>
            </w:r>
          </w:p>
        </w:tc>
        <w:tc>
          <w:tcPr>
            <w:tcW w:w="1701"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15.4 months</w:t>
            </w:r>
          </w:p>
        </w:tc>
        <w:tc>
          <w:tcPr>
            <w:tcW w:w="1843"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0.273 (0.240, 0.311)</w:t>
            </w:r>
          </w:p>
        </w:tc>
      </w:tr>
      <w:tr w:rsidR="00E705AF" w:rsidRPr="000D5FE2" w:rsidTr="00976D7A">
        <w:tc>
          <w:tcPr>
            <w:tcW w:w="1876" w:type="dxa"/>
            <w:vAlign w:val="center"/>
          </w:tcPr>
          <w:p w:rsidR="00E705AF" w:rsidRPr="000D5FE2" w:rsidRDefault="00E705AF" w:rsidP="00EB59A2">
            <w:pPr>
              <w:widowControl/>
              <w:jc w:val="left"/>
              <w:rPr>
                <w:rStyle w:val="CommentReference"/>
                <w:szCs w:val="20"/>
              </w:rPr>
            </w:pPr>
            <w:r w:rsidRPr="000D5FE2">
              <w:rPr>
                <w:rFonts w:ascii="Arial Narrow" w:hAnsi="Arial Narrow"/>
                <w:sz w:val="20"/>
              </w:rPr>
              <w:t>Time to deterioration of FACT-P (total score)</w:t>
            </w:r>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11.3 (11.1,13.9)</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5.6 (5.5, 5.6)</w:t>
            </w:r>
          </w:p>
        </w:tc>
        <w:tc>
          <w:tcPr>
            <w:tcW w:w="1701"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5.7 months</w:t>
            </w:r>
          </w:p>
        </w:tc>
        <w:tc>
          <w:tcPr>
            <w:tcW w:w="1843"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0.625 (0.542, 0.720)</w:t>
            </w:r>
          </w:p>
        </w:tc>
      </w:tr>
      <w:tr w:rsidR="00E705AF" w:rsidRPr="000D5FE2" w:rsidTr="00976D7A">
        <w:tc>
          <w:tcPr>
            <w:tcW w:w="1876" w:type="dxa"/>
            <w:vAlign w:val="center"/>
          </w:tcPr>
          <w:p w:rsidR="00E705AF" w:rsidRPr="000D5FE2" w:rsidRDefault="00E705AF" w:rsidP="00EB59A2">
            <w:pPr>
              <w:widowControl/>
              <w:jc w:val="left"/>
              <w:rPr>
                <w:rStyle w:val="CommentReference"/>
                <w:szCs w:val="20"/>
              </w:rPr>
            </w:pPr>
            <w:r w:rsidRPr="000D5FE2">
              <w:rPr>
                <w:rFonts w:ascii="Arial Narrow" w:hAnsi="Arial Narrow"/>
                <w:sz w:val="20"/>
              </w:rPr>
              <w:t>Time to deterioration of FACT-P (pain scores)</w:t>
            </w:r>
            <w:r w:rsidRPr="000D5FE2">
              <w:rPr>
                <w:rFonts w:ascii="Arial Narrow" w:hAnsi="Arial Narrow"/>
                <w:sz w:val="20"/>
                <w:vertAlign w:val="superscript"/>
              </w:rPr>
              <w:t>a</w:t>
            </w:r>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8.3 (NR)</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2.8 (NR)</w:t>
            </w:r>
          </w:p>
        </w:tc>
        <w:tc>
          <w:tcPr>
            <w:tcW w:w="1701"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5.5 months</w:t>
            </w:r>
          </w:p>
        </w:tc>
        <w:tc>
          <w:tcPr>
            <w:tcW w:w="1843"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0.58 (0.51, 0.67)</w:t>
            </w:r>
          </w:p>
        </w:tc>
      </w:tr>
      <w:tr w:rsidR="00E705AF" w:rsidRPr="000D5FE2" w:rsidTr="00976D7A">
        <w:tc>
          <w:tcPr>
            <w:tcW w:w="1876" w:type="dxa"/>
            <w:vAlign w:val="center"/>
          </w:tcPr>
          <w:p w:rsidR="00E705AF" w:rsidRPr="000D5FE2" w:rsidRDefault="00E705AF" w:rsidP="00EB59A2">
            <w:pPr>
              <w:widowControl/>
              <w:jc w:val="left"/>
              <w:rPr>
                <w:rStyle w:val="CommentReference"/>
                <w:szCs w:val="20"/>
              </w:rPr>
            </w:pPr>
            <w:r w:rsidRPr="000D5FE2">
              <w:rPr>
                <w:rFonts w:ascii="Arial Narrow" w:hAnsi="Arial Narrow"/>
                <w:sz w:val="20"/>
              </w:rPr>
              <w:t xml:space="preserve">Time to EQ-5D utility index </w:t>
            </w:r>
            <w:proofErr w:type="spellStart"/>
            <w:r w:rsidRPr="000D5FE2">
              <w:rPr>
                <w:rFonts w:ascii="Arial Narrow" w:hAnsi="Arial Narrow"/>
                <w:sz w:val="20"/>
              </w:rPr>
              <w:t>deterioration</w:t>
            </w:r>
            <w:r w:rsidRPr="000D5FE2">
              <w:rPr>
                <w:rFonts w:ascii="Arial Narrow" w:hAnsi="Arial Narrow"/>
                <w:sz w:val="20"/>
                <w:vertAlign w:val="superscript"/>
              </w:rPr>
              <w:t>a</w:t>
            </w:r>
            <w:proofErr w:type="spellEnd"/>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19.2 (NR)</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11.1 (NR)</w:t>
            </w:r>
          </w:p>
        </w:tc>
        <w:tc>
          <w:tcPr>
            <w:tcW w:w="1701"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8.1 months</w:t>
            </w:r>
          </w:p>
        </w:tc>
        <w:tc>
          <w:tcPr>
            <w:tcW w:w="1843"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0.62 (0.52, 0.72)</w:t>
            </w:r>
          </w:p>
        </w:tc>
      </w:tr>
      <w:tr w:rsidR="00E705AF" w:rsidRPr="000D5FE2" w:rsidTr="00976D7A">
        <w:tc>
          <w:tcPr>
            <w:tcW w:w="1876" w:type="dxa"/>
            <w:vAlign w:val="center"/>
          </w:tcPr>
          <w:p w:rsidR="00E705AF" w:rsidRPr="000D5FE2" w:rsidRDefault="00E705AF" w:rsidP="00EB59A2">
            <w:pPr>
              <w:widowControl/>
              <w:jc w:val="left"/>
              <w:rPr>
                <w:rStyle w:val="CommentReference"/>
                <w:szCs w:val="20"/>
              </w:rPr>
            </w:pPr>
            <w:r w:rsidRPr="000D5FE2">
              <w:rPr>
                <w:rFonts w:ascii="Arial Narrow" w:hAnsi="Arial Narrow"/>
                <w:sz w:val="20"/>
              </w:rPr>
              <w:t xml:space="preserve">Time to EQ-5D VAS </w:t>
            </w:r>
            <w:proofErr w:type="spellStart"/>
            <w:r w:rsidRPr="000D5FE2">
              <w:rPr>
                <w:rFonts w:ascii="Arial Narrow" w:hAnsi="Arial Narrow"/>
                <w:sz w:val="20"/>
              </w:rPr>
              <w:t>deterioration</w:t>
            </w:r>
            <w:r w:rsidRPr="000D5FE2">
              <w:rPr>
                <w:rFonts w:ascii="Arial Narrow" w:hAnsi="Arial Narrow"/>
                <w:sz w:val="20"/>
                <w:vertAlign w:val="superscript"/>
              </w:rPr>
              <w:t>a</w:t>
            </w:r>
            <w:proofErr w:type="spellEnd"/>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22.1 (NR)</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13.8 (NR)</w:t>
            </w:r>
          </w:p>
        </w:tc>
        <w:tc>
          <w:tcPr>
            <w:tcW w:w="1701"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8.3 months</w:t>
            </w:r>
          </w:p>
        </w:tc>
        <w:tc>
          <w:tcPr>
            <w:tcW w:w="1843"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0.67 (0.56, 0.80)</w:t>
            </w:r>
          </w:p>
        </w:tc>
      </w:tr>
      <w:tr w:rsidR="00E705AF" w:rsidRPr="000D5FE2" w:rsidTr="00976D7A">
        <w:tc>
          <w:tcPr>
            <w:tcW w:w="1876" w:type="dxa"/>
            <w:vAlign w:val="center"/>
          </w:tcPr>
          <w:p w:rsidR="00E705AF" w:rsidRPr="000D5FE2" w:rsidRDefault="00E705AF" w:rsidP="00EB59A2">
            <w:pPr>
              <w:widowControl/>
              <w:jc w:val="left"/>
              <w:rPr>
                <w:rStyle w:val="CommentReference"/>
                <w:szCs w:val="20"/>
              </w:rPr>
            </w:pPr>
            <w:r w:rsidRPr="000D5FE2">
              <w:rPr>
                <w:rFonts w:ascii="Arial Narrow" w:hAnsi="Arial Narrow"/>
                <w:sz w:val="20"/>
              </w:rPr>
              <w:t>Radiographic progression free survival^</w:t>
            </w:r>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NR (13.8,NYR)</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3.9 (3.7,5.4)</w:t>
            </w:r>
          </w:p>
        </w:tc>
        <w:tc>
          <w:tcPr>
            <w:tcW w:w="1701"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NYR</w:t>
            </w:r>
          </w:p>
        </w:tc>
        <w:tc>
          <w:tcPr>
            <w:tcW w:w="1843"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0.186 (0.149, 0.231)</w:t>
            </w:r>
          </w:p>
        </w:tc>
      </w:tr>
      <w:tr w:rsidR="00E705AF" w:rsidRPr="000D5FE2" w:rsidTr="00976D7A">
        <w:tc>
          <w:tcPr>
            <w:tcW w:w="1876" w:type="dxa"/>
            <w:vAlign w:val="center"/>
          </w:tcPr>
          <w:p w:rsidR="00E705AF" w:rsidRPr="000D5FE2" w:rsidRDefault="00E705AF" w:rsidP="00EB59A2">
            <w:pPr>
              <w:widowControl/>
              <w:jc w:val="left"/>
              <w:rPr>
                <w:rStyle w:val="CommentReference"/>
                <w:szCs w:val="20"/>
              </w:rPr>
            </w:pPr>
            <w:r w:rsidRPr="000D5FE2">
              <w:rPr>
                <w:rFonts w:ascii="Arial Narrow" w:hAnsi="Arial Narrow"/>
                <w:sz w:val="20"/>
              </w:rPr>
              <w:t>Time to first skeletal-related event</w:t>
            </w:r>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31.1 (29.5,NYR)</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31.3 (23.9,NYR)</w:t>
            </w:r>
          </w:p>
        </w:tc>
        <w:tc>
          <w:tcPr>
            <w:tcW w:w="1701" w:type="dxa"/>
            <w:vAlign w:val="center"/>
          </w:tcPr>
          <w:p w:rsidR="00E705AF" w:rsidRPr="000D5FE2" w:rsidRDefault="00E705AF" w:rsidP="00EB59A2">
            <w:pPr>
              <w:widowControl/>
              <w:jc w:val="center"/>
              <w:rPr>
                <w:rStyle w:val="CommentReference"/>
                <w:szCs w:val="20"/>
                <w:vertAlign w:val="superscript"/>
              </w:rPr>
            </w:pPr>
            <w:r w:rsidRPr="000D5FE2">
              <w:rPr>
                <w:rFonts w:ascii="Arial Narrow" w:hAnsi="Arial Narrow"/>
                <w:sz w:val="20"/>
              </w:rPr>
              <w:t xml:space="preserve">-0.2 </w:t>
            </w:r>
            <w:proofErr w:type="spellStart"/>
            <w:r w:rsidRPr="000D5FE2">
              <w:rPr>
                <w:rFonts w:ascii="Arial Narrow" w:hAnsi="Arial Narrow"/>
                <w:sz w:val="20"/>
              </w:rPr>
              <w:t>months</w:t>
            </w:r>
            <w:r w:rsidR="00C816AB" w:rsidRPr="000D5FE2">
              <w:rPr>
                <w:rFonts w:ascii="Arial Narrow" w:hAnsi="Arial Narrow"/>
                <w:sz w:val="20"/>
                <w:vertAlign w:val="superscript"/>
              </w:rPr>
              <w:t>b</w:t>
            </w:r>
            <w:proofErr w:type="spellEnd"/>
          </w:p>
        </w:tc>
        <w:tc>
          <w:tcPr>
            <w:tcW w:w="1843"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0.718 (0.610, 0.844)</w:t>
            </w:r>
          </w:p>
        </w:tc>
      </w:tr>
      <w:tr w:rsidR="00E705AF" w:rsidRPr="000D5FE2" w:rsidTr="00976D7A">
        <w:tc>
          <w:tcPr>
            <w:tcW w:w="1876" w:type="dxa"/>
            <w:vAlign w:val="center"/>
          </w:tcPr>
          <w:p w:rsidR="00E705AF" w:rsidRPr="000D5FE2" w:rsidRDefault="00E705AF" w:rsidP="00EB59A2">
            <w:pPr>
              <w:widowControl/>
              <w:jc w:val="left"/>
              <w:rPr>
                <w:rStyle w:val="CommentReference"/>
                <w:szCs w:val="20"/>
              </w:rPr>
            </w:pPr>
            <w:r w:rsidRPr="000D5FE2">
              <w:rPr>
                <w:rFonts w:ascii="Arial Narrow" w:hAnsi="Arial Narrow"/>
                <w:sz w:val="20"/>
              </w:rPr>
              <w:t>Time to PSA progression</w:t>
            </w:r>
          </w:p>
        </w:tc>
        <w:tc>
          <w:tcPr>
            <w:tcW w:w="1384"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11.2 (11.1,13.7)</w:t>
            </w:r>
          </w:p>
        </w:tc>
        <w:tc>
          <w:tcPr>
            <w:tcW w:w="1418"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2.8 (2.8,2.9)</w:t>
            </w:r>
          </w:p>
        </w:tc>
        <w:tc>
          <w:tcPr>
            <w:tcW w:w="1701"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8.4 months</w:t>
            </w:r>
          </w:p>
        </w:tc>
        <w:tc>
          <w:tcPr>
            <w:tcW w:w="1843" w:type="dxa"/>
            <w:vAlign w:val="center"/>
          </w:tcPr>
          <w:p w:rsidR="00E705AF" w:rsidRPr="000D5FE2" w:rsidRDefault="00E705AF" w:rsidP="00EB59A2">
            <w:pPr>
              <w:widowControl/>
              <w:jc w:val="center"/>
              <w:rPr>
                <w:rStyle w:val="CommentReference"/>
                <w:szCs w:val="20"/>
              </w:rPr>
            </w:pPr>
            <w:r w:rsidRPr="000D5FE2">
              <w:rPr>
                <w:rFonts w:ascii="Arial Narrow" w:hAnsi="Arial Narrow"/>
                <w:sz w:val="20"/>
              </w:rPr>
              <w:t>0.169 (0.147, 0.195)</w:t>
            </w:r>
          </w:p>
        </w:tc>
      </w:tr>
      <w:tr w:rsidR="00345063" w:rsidRPr="000D5FE2" w:rsidTr="00976D7A">
        <w:tc>
          <w:tcPr>
            <w:tcW w:w="1876" w:type="dxa"/>
            <w:vAlign w:val="center"/>
          </w:tcPr>
          <w:p w:rsidR="00345063" w:rsidRPr="000D5FE2" w:rsidRDefault="00345063" w:rsidP="00EB59A2">
            <w:pPr>
              <w:widowControl/>
              <w:jc w:val="left"/>
              <w:rPr>
                <w:rFonts w:ascii="Arial Narrow" w:hAnsi="Arial Narrow"/>
                <w:sz w:val="20"/>
              </w:rPr>
            </w:pPr>
            <w:r w:rsidRPr="000D5FE2">
              <w:rPr>
                <w:rFonts w:ascii="Arial Narrow" w:hAnsi="Arial Narrow"/>
                <w:sz w:val="20"/>
              </w:rPr>
              <w:t>Time to treatment discontinuation</w:t>
            </w:r>
          </w:p>
        </w:tc>
        <w:tc>
          <w:tcPr>
            <w:tcW w:w="1384" w:type="dxa"/>
            <w:vAlign w:val="center"/>
          </w:tcPr>
          <w:p w:rsidR="00345063" w:rsidRPr="000D5FE2" w:rsidRDefault="009278D7" w:rsidP="0006542C">
            <w:pPr>
              <w:widowControl/>
              <w:ind w:left="-137" w:right="-61" w:hanging="5"/>
              <w:jc w:val="center"/>
              <w:rPr>
                <w:rFonts w:ascii="Arial Narrow" w:hAnsi="Arial Narrow"/>
                <w:sz w:val="20"/>
              </w:rPr>
            </w:pPr>
            <w:r>
              <w:rPr>
                <w:rFonts w:ascii="Arial Narrow" w:hAnsi="Arial Narrow"/>
                <w:noProof/>
                <w:color w:val="000000"/>
                <w:sz w:val="20"/>
                <w:highlight w:val="black"/>
              </w:rPr>
              <w:t>'''''''''''</w:t>
            </w:r>
            <w:r w:rsidR="0006542C" w:rsidRPr="000D5FE2">
              <w:rPr>
                <w:rFonts w:ascii="Arial Narrow" w:hAnsi="Arial Narrow"/>
                <w:sz w:val="20"/>
                <w:vertAlign w:val="superscript"/>
              </w:rPr>
              <w:t>c</w:t>
            </w:r>
            <w:r w:rsidR="0006542C" w:rsidRPr="000D5FE2">
              <w:rPr>
                <w:rFonts w:ascii="Arial Narrow" w:hAnsi="Arial Narrow"/>
                <w:sz w:val="20"/>
              </w:rPr>
              <w:t xml:space="preserve"> (</w:t>
            </w:r>
            <w:r>
              <w:rPr>
                <w:rFonts w:ascii="Arial Narrow" w:hAnsi="Arial Narrow"/>
                <w:noProof/>
                <w:color w:val="000000"/>
                <w:sz w:val="20"/>
                <w:highlight w:val="black"/>
              </w:rPr>
              <w:t>''''''''''''</w:t>
            </w:r>
            <w:r w:rsidR="0006542C" w:rsidRPr="000D5FE2">
              <w:rPr>
                <w:rFonts w:ascii="Arial Narrow" w:hAnsi="Arial Narrow"/>
                <w:sz w:val="20"/>
              </w:rPr>
              <w:t xml:space="preserve">, </w:t>
            </w:r>
            <w:r>
              <w:rPr>
                <w:rFonts w:ascii="Arial Narrow" w:hAnsi="Arial Narrow"/>
                <w:noProof/>
                <w:color w:val="000000"/>
                <w:sz w:val="20"/>
                <w:highlight w:val="black"/>
              </w:rPr>
              <w:t>''''''''''</w:t>
            </w:r>
            <w:r w:rsidR="0006542C" w:rsidRPr="000D5FE2">
              <w:rPr>
                <w:rFonts w:ascii="Arial Narrow" w:hAnsi="Arial Narrow"/>
                <w:sz w:val="20"/>
              </w:rPr>
              <w:t xml:space="preserve">) </w:t>
            </w:r>
          </w:p>
        </w:tc>
        <w:tc>
          <w:tcPr>
            <w:tcW w:w="1418" w:type="dxa"/>
            <w:vAlign w:val="center"/>
          </w:tcPr>
          <w:p w:rsidR="00345063" w:rsidRPr="000D5FE2" w:rsidRDefault="009278D7" w:rsidP="00EB59A2">
            <w:pPr>
              <w:widowControl/>
              <w:jc w:val="center"/>
              <w:rPr>
                <w:rFonts w:ascii="Arial Narrow" w:hAnsi="Arial Narrow"/>
                <w:sz w:val="20"/>
              </w:rPr>
            </w:pPr>
            <w:r>
              <w:rPr>
                <w:rFonts w:ascii="Arial Narrow" w:hAnsi="Arial Narrow"/>
                <w:noProof/>
                <w:color w:val="000000"/>
                <w:sz w:val="20"/>
                <w:highlight w:val="black"/>
              </w:rPr>
              <w:t>'''''''''</w:t>
            </w:r>
            <w:r w:rsidR="0006542C" w:rsidRPr="000D5FE2">
              <w:rPr>
                <w:rFonts w:ascii="Arial Narrow" w:hAnsi="Arial Narrow"/>
                <w:sz w:val="20"/>
              </w:rPr>
              <w:t xml:space="preserve"> (</w:t>
            </w:r>
            <w:r>
              <w:rPr>
                <w:rFonts w:ascii="Arial Narrow" w:hAnsi="Arial Narrow"/>
                <w:noProof/>
                <w:color w:val="000000"/>
                <w:sz w:val="20"/>
                <w:highlight w:val="black"/>
              </w:rPr>
              <w:t>'''''''''</w:t>
            </w:r>
            <w:r w:rsidR="0006542C" w:rsidRPr="000D5FE2">
              <w:rPr>
                <w:rFonts w:ascii="Arial Narrow" w:hAnsi="Arial Narrow"/>
                <w:sz w:val="20"/>
              </w:rPr>
              <w:t xml:space="preserve">, </w:t>
            </w:r>
            <w:r>
              <w:rPr>
                <w:rFonts w:ascii="Arial Narrow" w:hAnsi="Arial Narrow"/>
                <w:noProof/>
                <w:color w:val="000000"/>
                <w:sz w:val="20"/>
                <w:highlight w:val="black"/>
              </w:rPr>
              <w:t>'''''''</w:t>
            </w:r>
            <w:r w:rsidR="0006542C" w:rsidRPr="000D5FE2">
              <w:rPr>
                <w:rFonts w:ascii="Arial Narrow" w:hAnsi="Arial Narrow"/>
                <w:sz w:val="20"/>
              </w:rPr>
              <w:t>)</w:t>
            </w:r>
          </w:p>
        </w:tc>
        <w:tc>
          <w:tcPr>
            <w:tcW w:w="1701" w:type="dxa"/>
            <w:vAlign w:val="center"/>
          </w:tcPr>
          <w:p w:rsidR="00345063" w:rsidRPr="009278D7" w:rsidRDefault="009278D7" w:rsidP="00EB59A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843" w:type="dxa"/>
            <w:vAlign w:val="center"/>
          </w:tcPr>
          <w:p w:rsidR="00345063" w:rsidRPr="000D5FE2" w:rsidRDefault="009278D7" w:rsidP="00EB59A2">
            <w:pPr>
              <w:widowControl/>
              <w:jc w:val="center"/>
              <w:rPr>
                <w:rFonts w:ascii="Arial Narrow" w:hAnsi="Arial Narrow"/>
                <w:sz w:val="20"/>
              </w:rPr>
            </w:pPr>
            <w:r>
              <w:rPr>
                <w:rFonts w:ascii="Arial Narrow" w:hAnsi="Arial Narrow"/>
                <w:noProof/>
                <w:color w:val="000000"/>
                <w:sz w:val="20"/>
                <w:highlight w:val="black"/>
              </w:rPr>
              <w:t>''''''''''''''</w:t>
            </w:r>
            <w:r w:rsidR="00345063" w:rsidRPr="000D5FE2">
              <w:rPr>
                <w:rFonts w:ascii="Arial Narrow" w:hAnsi="Arial Narrow"/>
                <w:sz w:val="20"/>
              </w:rPr>
              <w:t xml:space="preserve"> (</w:t>
            </w:r>
            <w:r>
              <w:rPr>
                <w:rFonts w:ascii="Arial Narrow" w:hAnsi="Arial Narrow"/>
                <w:noProof/>
                <w:color w:val="000000"/>
                <w:sz w:val="20"/>
                <w:highlight w:val="black"/>
              </w:rPr>
              <w:t>'''''''''''''''</w:t>
            </w:r>
            <w:r w:rsidR="00345063" w:rsidRPr="000D5FE2">
              <w:rPr>
                <w:rFonts w:ascii="Arial Narrow" w:hAnsi="Arial Narrow"/>
                <w:sz w:val="20"/>
              </w:rPr>
              <w:t xml:space="preserve">, </w:t>
            </w:r>
            <w:r>
              <w:rPr>
                <w:rFonts w:ascii="Arial Narrow" w:hAnsi="Arial Narrow"/>
                <w:noProof/>
                <w:color w:val="000000"/>
                <w:sz w:val="20"/>
                <w:highlight w:val="black"/>
              </w:rPr>
              <w:t>''''''''''''</w:t>
            </w:r>
            <w:r w:rsidR="00345063" w:rsidRPr="000D5FE2">
              <w:rPr>
                <w:rFonts w:ascii="Arial Narrow" w:hAnsi="Arial Narrow"/>
                <w:sz w:val="20"/>
              </w:rPr>
              <w:t>)</w:t>
            </w:r>
          </w:p>
        </w:tc>
      </w:tr>
    </w:tbl>
    <w:p w:rsidR="00C06BAF" w:rsidRPr="000D5FE2" w:rsidRDefault="00D41486" w:rsidP="00EB59A2">
      <w:pPr>
        <w:pStyle w:val="TableFooter"/>
        <w:widowControl/>
        <w:ind w:left="720"/>
        <w:rPr>
          <w:vertAlign w:val="superscript"/>
        </w:rPr>
      </w:pPr>
      <w:r w:rsidRPr="000D5FE2">
        <w:t xml:space="preserve">Abbreviations: </w:t>
      </w:r>
      <w:r w:rsidR="00C06BAF" w:rsidRPr="000D5FE2">
        <w:t>PSA</w:t>
      </w:r>
      <w:r w:rsidR="002C23C9" w:rsidRPr="000D5FE2">
        <w:rPr>
          <w:vertAlign w:val="superscript"/>
        </w:rPr>
        <w:t>=</w:t>
      </w:r>
      <w:r w:rsidR="00C06BAF" w:rsidRPr="000D5FE2">
        <w:t>prostate surface antigen</w:t>
      </w:r>
      <w:r w:rsidR="002C23C9" w:rsidRPr="000D5FE2">
        <w:t>; VAS=visual analogue scale; FACT-P=functional assessment of cancer therapy – prostate</w:t>
      </w:r>
      <w:r w:rsidRPr="000D5FE2">
        <w:t>, NYR=not yet reached, NR=not reported.</w:t>
      </w:r>
    </w:p>
    <w:p w:rsidR="00E705AF" w:rsidRPr="000D5FE2" w:rsidRDefault="00E705AF" w:rsidP="00EB59A2">
      <w:pPr>
        <w:pStyle w:val="TableFooter"/>
        <w:widowControl/>
        <w:tabs>
          <w:tab w:val="left" w:pos="851"/>
        </w:tabs>
        <w:ind w:firstLine="720"/>
      </w:pPr>
      <w:proofErr w:type="gramStart"/>
      <w:r w:rsidRPr="000D5FE2">
        <w:rPr>
          <w:vertAlign w:val="superscript"/>
        </w:rPr>
        <w:t>a</w:t>
      </w:r>
      <w:proofErr w:type="gramEnd"/>
      <w:r w:rsidR="009F2E6F" w:rsidRPr="000D5FE2">
        <w:rPr>
          <w:vertAlign w:val="superscript"/>
        </w:rPr>
        <w:tab/>
      </w:r>
      <w:r w:rsidRPr="000D5FE2">
        <w:t xml:space="preserve">post-hoc analysis by </w:t>
      </w:r>
      <w:proofErr w:type="spellStart"/>
      <w:r w:rsidRPr="000D5FE2">
        <w:t>Loriet</w:t>
      </w:r>
      <w:proofErr w:type="spellEnd"/>
      <w:r w:rsidRPr="000D5FE2">
        <w:t xml:space="preserve"> et al (2015) ^this was a co-primary outcome.</w:t>
      </w:r>
    </w:p>
    <w:p w:rsidR="00C816AB" w:rsidRPr="000D5FE2" w:rsidRDefault="00C816AB" w:rsidP="00EB59A2">
      <w:pPr>
        <w:pStyle w:val="TableFooter"/>
        <w:widowControl/>
        <w:tabs>
          <w:tab w:val="left" w:pos="851"/>
        </w:tabs>
        <w:ind w:left="851" w:hanging="131"/>
      </w:pPr>
      <w:proofErr w:type="gramStart"/>
      <w:r w:rsidRPr="000D5FE2">
        <w:rPr>
          <w:vertAlign w:val="superscript"/>
        </w:rPr>
        <w:t>b</w:t>
      </w:r>
      <w:proofErr w:type="gramEnd"/>
      <w:r w:rsidR="009F2E6F" w:rsidRPr="000D5FE2">
        <w:rPr>
          <w:vertAlign w:val="superscript"/>
        </w:rPr>
        <w:tab/>
      </w:r>
      <w:r w:rsidR="00F65BDF" w:rsidRPr="000D5FE2">
        <w:t>few patients remained at risk when medians were reached; 25</w:t>
      </w:r>
      <w:r w:rsidR="00F65BDF" w:rsidRPr="000D5FE2">
        <w:rPr>
          <w:vertAlign w:val="superscript"/>
        </w:rPr>
        <w:t>th</w:t>
      </w:r>
      <w:r w:rsidR="00F65BDF" w:rsidRPr="000D5FE2">
        <w:t xml:space="preserve"> percentile results were 16.6 months versus 10.1 months in favour of enzalutamide; the hazard ratio indicated a statistically significant 28% reduction in risk of event.</w:t>
      </w:r>
    </w:p>
    <w:p w:rsidR="00A12898" w:rsidRPr="000D5FE2" w:rsidRDefault="00A12898" w:rsidP="00EB59A2">
      <w:pPr>
        <w:pStyle w:val="TableFooter"/>
        <w:widowControl/>
        <w:tabs>
          <w:tab w:val="left" w:pos="851"/>
        </w:tabs>
        <w:ind w:firstLine="720"/>
      </w:pPr>
      <w:proofErr w:type="gramStart"/>
      <w:r w:rsidRPr="000D5FE2">
        <w:rPr>
          <w:vertAlign w:val="superscript"/>
        </w:rPr>
        <w:t>c</w:t>
      </w:r>
      <w:proofErr w:type="gramEnd"/>
      <w:r w:rsidRPr="000D5FE2">
        <w:tab/>
      </w:r>
      <w:r w:rsidR="00C368D2" w:rsidRPr="000D5FE2">
        <w:t xml:space="preserve">estimate </w:t>
      </w:r>
      <w:r w:rsidRPr="000D5FE2">
        <w:t xml:space="preserve">differs slightly to median treatment duration </w:t>
      </w:r>
      <w:r w:rsidR="00C368D2" w:rsidRPr="000D5FE2">
        <w:t>reported in PREVAIL</w:t>
      </w:r>
    </w:p>
    <w:p w:rsidR="00902296" w:rsidRPr="000D5FE2" w:rsidRDefault="00902296" w:rsidP="00EB59A2">
      <w:pPr>
        <w:pStyle w:val="TableFooter"/>
        <w:widowControl/>
        <w:tabs>
          <w:tab w:val="left" w:pos="851"/>
        </w:tabs>
        <w:ind w:firstLine="720"/>
      </w:pPr>
      <w:proofErr w:type="gramStart"/>
      <w:r w:rsidRPr="000D5FE2">
        <w:rPr>
          <w:vertAlign w:val="superscript"/>
        </w:rPr>
        <w:t>d</w:t>
      </w:r>
      <w:proofErr w:type="gramEnd"/>
      <w:r w:rsidRPr="000D5FE2">
        <w:rPr>
          <w:vertAlign w:val="superscript"/>
        </w:rPr>
        <w:tab/>
      </w:r>
      <w:r w:rsidRPr="000D5FE2">
        <w:t>include both cytotoxic chemotherapy and non-cytotoxic therapies.</w:t>
      </w:r>
    </w:p>
    <w:p w:rsidR="00E705AF" w:rsidRPr="000D5FE2" w:rsidRDefault="00E705AF" w:rsidP="00EB59A2">
      <w:pPr>
        <w:pStyle w:val="TableFooter"/>
        <w:widowControl/>
        <w:ind w:firstLine="720"/>
      </w:pPr>
      <w:r w:rsidRPr="000D5FE2">
        <w:t>Source: constructed during the evaluation from source</w:t>
      </w:r>
      <w:r w:rsidR="00D41486" w:rsidRPr="000D5FE2">
        <w:t>s</w:t>
      </w:r>
      <w:r w:rsidRPr="000D5FE2">
        <w:t xml:space="preserve"> presented in the submission.</w:t>
      </w:r>
    </w:p>
    <w:p w:rsidR="003C5C5D" w:rsidRPr="000D5FE2" w:rsidRDefault="003C5C5D" w:rsidP="003C5C5D">
      <w:pPr>
        <w:pStyle w:val="ListParagraph"/>
        <w:rPr>
          <w:szCs w:val="22"/>
        </w:rPr>
      </w:pPr>
    </w:p>
    <w:p w:rsidR="00E01CB2" w:rsidRPr="000D5FE2" w:rsidRDefault="003C5C5D" w:rsidP="00EB23C1">
      <w:pPr>
        <w:pStyle w:val="ListParagraph"/>
        <w:numPr>
          <w:ilvl w:val="1"/>
          <w:numId w:val="2"/>
        </w:numPr>
        <w:rPr>
          <w:szCs w:val="22"/>
        </w:rPr>
      </w:pPr>
      <w:r w:rsidRPr="000D5FE2">
        <w:rPr>
          <w:szCs w:val="22"/>
        </w:rPr>
        <w:t>The ESC noted that time to initiation of cytoto</w:t>
      </w:r>
      <w:r w:rsidR="001F0B39" w:rsidRPr="000D5FE2">
        <w:rPr>
          <w:szCs w:val="22"/>
        </w:rPr>
        <w:t>xic chemotherapy is</w:t>
      </w:r>
      <w:r w:rsidRPr="000D5FE2">
        <w:rPr>
          <w:szCs w:val="22"/>
        </w:rPr>
        <w:t xml:space="preserve"> the outcome</w:t>
      </w:r>
      <w:r w:rsidR="001F0B39" w:rsidRPr="000D5FE2">
        <w:rPr>
          <w:szCs w:val="22"/>
        </w:rPr>
        <w:t xml:space="preserve"> relied on for the modelled economic evaluation.</w:t>
      </w:r>
      <w:r w:rsidRPr="000D5FE2">
        <w:rPr>
          <w:szCs w:val="22"/>
        </w:rPr>
        <w:t xml:space="preserve"> </w:t>
      </w:r>
      <w:r w:rsidR="001F0B39" w:rsidRPr="000D5FE2">
        <w:rPr>
          <w:szCs w:val="22"/>
        </w:rPr>
        <w:t xml:space="preserve">Given the PBAC had considered that the focus of any comparison between enzalutamide and watchful waiting should be on differences in the time to development of symptoms, time to initiation of cytotoxic chemotherapy may not capture the benefits of earlier enzalutamide treatment in asymptomatic patients. </w:t>
      </w:r>
      <w:r w:rsidR="00E01CB2" w:rsidRPr="000D5FE2">
        <w:rPr>
          <w:szCs w:val="22"/>
        </w:rPr>
        <w:t xml:space="preserve">Additional relevant outcomes for assessing time to development of symptoms </w:t>
      </w:r>
      <w:r w:rsidR="00E01CB2" w:rsidRPr="000D5FE2">
        <w:t>may include time to deterioration of FACT-P (pain scores) and time to first skeletal-related event</w:t>
      </w:r>
      <w:r w:rsidR="00E01CB2" w:rsidRPr="000D5FE2">
        <w:rPr>
          <w:szCs w:val="22"/>
        </w:rPr>
        <w:t xml:space="preserve">. </w:t>
      </w:r>
      <w:r w:rsidR="0091099F" w:rsidRPr="000D5FE2">
        <w:rPr>
          <w:iCs/>
        </w:rPr>
        <w:t xml:space="preserve">The </w:t>
      </w:r>
      <w:proofErr w:type="gramStart"/>
      <w:r w:rsidR="0091099F" w:rsidRPr="000D5FE2">
        <w:rPr>
          <w:iCs/>
        </w:rPr>
        <w:t>PSCR  stated</w:t>
      </w:r>
      <w:proofErr w:type="gramEnd"/>
      <w:r w:rsidR="0091099F" w:rsidRPr="000D5FE2">
        <w:rPr>
          <w:iCs/>
        </w:rPr>
        <w:t xml:space="preserve"> that patients were required to demonstrate radiographic disease progression or a skeletal event prior to chemotherapy, and therefore time to chemotherapy is an appropriate surrogate measure for time to development of symptoms.</w:t>
      </w:r>
    </w:p>
    <w:p w:rsidR="00E01CB2" w:rsidRPr="000D5FE2" w:rsidRDefault="00E01CB2" w:rsidP="00E01CB2">
      <w:pPr>
        <w:pStyle w:val="ListParagraph"/>
        <w:rPr>
          <w:szCs w:val="22"/>
        </w:rPr>
      </w:pPr>
    </w:p>
    <w:p w:rsidR="00E01CB2" w:rsidRPr="000D5FE2" w:rsidRDefault="001F0B39" w:rsidP="00EB23C1">
      <w:pPr>
        <w:pStyle w:val="ListParagraph"/>
        <w:numPr>
          <w:ilvl w:val="1"/>
          <w:numId w:val="2"/>
        </w:numPr>
        <w:rPr>
          <w:szCs w:val="22"/>
        </w:rPr>
      </w:pPr>
      <w:r w:rsidRPr="000D5FE2">
        <w:rPr>
          <w:szCs w:val="22"/>
        </w:rPr>
        <w:t xml:space="preserve">The median gain of 17.2 months for </w:t>
      </w:r>
      <w:r w:rsidR="00E01CB2" w:rsidRPr="000D5FE2">
        <w:rPr>
          <w:szCs w:val="22"/>
        </w:rPr>
        <w:t>time to initiation of cytotoxic chemotherapy</w:t>
      </w:r>
      <w:r w:rsidRPr="000D5FE2">
        <w:rPr>
          <w:szCs w:val="22"/>
        </w:rPr>
        <w:t xml:space="preserve"> is </w:t>
      </w:r>
      <w:r w:rsidR="00931FFD" w:rsidRPr="000D5FE2">
        <w:rPr>
          <w:szCs w:val="22"/>
        </w:rPr>
        <w:t>much longer</w:t>
      </w:r>
      <w:r w:rsidRPr="000D5FE2">
        <w:rPr>
          <w:szCs w:val="22"/>
        </w:rPr>
        <w:t xml:space="preserve"> than </w:t>
      </w:r>
      <w:r w:rsidR="00A6378A" w:rsidRPr="000D5FE2">
        <w:rPr>
          <w:szCs w:val="22"/>
        </w:rPr>
        <w:t xml:space="preserve">for </w:t>
      </w:r>
      <w:r w:rsidR="00E01CB2" w:rsidRPr="000D5FE2">
        <w:rPr>
          <w:szCs w:val="22"/>
        </w:rPr>
        <w:t>both</w:t>
      </w:r>
      <w:r w:rsidR="00931FFD" w:rsidRPr="000D5FE2">
        <w:rPr>
          <w:szCs w:val="22"/>
        </w:rPr>
        <w:t xml:space="preserve"> the gain in</w:t>
      </w:r>
      <w:r w:rsidRPr="000D5FE2">
        <w:rPr>
          <w:szCs w:val="22"/>
        </w:rPr>
        <w:t xml:space="preserve"> time to deterioration of FACT-P (pain scores) (5.5 months) and </w:t>
      </w:r>
      <w:r w:rsidR="003C5C5D" w:rsidRPr="000D5FE2">
        <w:rPr>
          <w:szCs w:val="22"/>
        </w:rPr>
        <w:t xml:space="preserve">time to </w:t>
      </w:r>
      <w:r w:rsidRPr="000D5FE2">
        <w:rPr>
          <w:szCs w:val="22"/>
        </w:rPr>
        <w:t>first skeletal-related event (6.5 months at the 25</w:t>
      </w:r>
      <w:r w:rsidRPr="000D5FE2">
        <w:rPr>
          <w:szCs w:val="22"/>
          <w:vertAlign w:val="superscript"/>
        </w:rPr>
        <w:t>th</w:t>
      </w:r>
      <w:r w:rsidRPr="000D5FE2">
        <w:rPr>
          <w:szCs w:val="22"/>
        </w:rPr>
        <w:t xml:space="preserve"> percentile, with few patients remaining at risk when medians were reached)</w:t>
      </w:r>
      <w:r w:rsidR="00E01CB2" w:rsidRPr="000D5FE2">
        <w:rPr>
          <w:szCs w:val="22"/>
        </w:rPr>
        <w:t>.</w:t>
      </w:r>
      <w:r w:rsidRPr="000D5FE2">
        <w:rPr>
          <w:szCs w:val="22"/>
        </w:rPr>
        <w:t xml:space="preserve"> </w:t>
      </w:r>
      <w:r w:rsidR="00E01CB2" w:rsidRPr="000D5FE2">
        <w:rPr>
          <w:szCs w:val="22"/>
        </w:rPr>
        <w:t>This indicates</w:t>
      </w:r>
      <w:r w:rsidRPr="000D5FE2">
        <w:rPr>
          <w:szCs w:val="22"/>
        </w:rPr>
        <w:t xml:space="preserve"> </w:t>
      </w:r>
      <w:r w:rsidR="00E01CB2" w:rsidRPr="000D5FE2">
        <w:rPr>
          <w:szCs w:val="22"/>
        </w:rPr>
        <w:t xml:space="preserve">patients may spend considerable time in pain prior to commencing chemotherapy, and in clinical </w:t>
      </w:r>
      <w:r w:rsidR="000D5FE2" w:rsidRPr="000D5FE2">
        <w:rPr>
          <w:szCs w:val="22"/>
        </w:rPr>
        <w:t>practice,</w:t>
      </w:r>
      <w:r w:rsidR="00E01CB2" w:rsidRPr="000D5FE2">
        <w:rPr>
          <w:szCs w:val="22"/>
        </w:rPr>
        <w:t xml:space="preserve"> patients may also experience some relief in symptoms from </w:t>
      </w:r>
      <w:r w:rsidR="003C02CA" w:rsidRPr="000D5FE2">
        <w:rPr>
          <w:szCs w:val="22"/>
        </w:rPr>
        <w:t>radiotherapy</w:t>
      </w:r>
      <w:r w:rsidR="00E01CB2" w:rsidRPr="000D5FE2">
        <w:rPr>
          <w:szCs w:val="22"/>
        </w:rPr>
        <w:t>.</w:t>
      </w:r>
    </w:p>
    <w:p w:rsidR="003C5C5D" w:rsidRPr="000D5FE2" w:rsidRDefault="003C5C5D" w:rsidP="00E01CB2">
      <w:pPr>
        <w:pStyle w:val="ListParagraph"/>
        <w:widowControl/>
        <w:rPr>
          <w:szCs w:val="22"/>
        </w:rPr>
      </w:pPr>
    </w:p>
    <w:p w:rsidR="00E705AF" w:rsidRPr="000D5FE2" w:rsidRDefault="00E705AF" w:rsidP="003D4763">
      <w:pPr>
        <w:pStyle w:val="Heading2"/>
        <w:keepNext/>
        <w:rPr>
          <w:i/>
        </w:rPr>
      </w:pPr>
      <w:bookmarkStart w:id="12" w:name="_Toc471212094"/>
      <w:r w:rsidRPr="000D5FE2">
        <w:rPr>
          <w:i/>
        </w:rPr>
        <w:t>Comparative harms</w:t>
      </w:r>
      <w:bookmarkEnd w:id="12"/>
    </w:p>
    <w:p w:rsidR="00E705AF" w:rsidRPr="000D5FE2" w:rsidRDefault="00E705AF" w:rsidP="00E705AF">
      <w:pPr>
        <w:ind w:left="720" w:hanging="720"/>
        <w:rPr>
          <w:szCs w:val="22"/>
        </w:rPr>
      </w:pPr>
    </w:p>
    <w:p w:rsidR="00E705AF" w:rsidRPr="000D5FE2" w:rsidRDefault="00E705AF" w:rsidP="00EB23C1">
      <w:pPr>
        <w:pStyle w:val="ListParagraph"/>
        <w:widowControl/>
        <w:numPr>
          <w:ilvl w:val="1"/>
          <w:numId w:val="2"/>
        </w:numPr>
      </w:pPr>
      <w:r w:rsidRPr="000D5FE2">
        <w:t>The safety data reported for the PREVAIL trial remains unchanged from the previous submission. A statistically significant greater proportion of patients treated with enzalutamide compared with placebo experienced (RR [95% CI)]:</w:t>
      </w:r>
    </w:p>
    <w:p w:rsidR="00E705AF" w:rsidRPr="000D5FE2" w:rsidRDefault="00E705AF" w:rsidP="00EB23C1">
      <w:pPr>
        <w:pStyle w:val="ListParagraph"/>
        <w:numPr>
          <w:ilvl w:val="0"/>
          <w:numId w:val="8"/>
        </w:numPr>
        <w:ind w:left="993" w:hanging="284"/>
      </w:pPr>
      <w:r w:rsidRPr="000D5FE2">
        <w:t>Any adverse event: 1.04 [1.02, 1.06];</w:t>
      </w:r>
    </w:p>
    <w:p w:rsidR="00E705AF" w:rsidRPr="000D5FE2" w:rsidRDefault="00E705AF" w:rsidP="00EB23C1">
      <w:pPr>
        <w:pStyle w:val="ListParagraph"/>
        <w:numPr>
          <w:ilvl w:val="0"/>
          <w:numId w:val="8"/>
        </w:numPr>
        <w:ind w:left="993" w:hanging="284"/>
      </w:pPr>
      <w:r w:rsidRPr="000D5FE2">
        <w:t>Any grade ≥3 adverse event: 1.16 [1.03, 1.30]; and</w:t>
      </w:r>
    </w:p>
    <w:p w:rsidR="00E705AF" w:rsidRPr="000D5FE2" w:rsidRDefault="00E705AF" w:rsidP="00EB23C1">
      <w:pPr>
        <w:pStyle w:val="ListParagraph"/>
        <w:numPr>
          <w:ilvl w:val="0"/>
          <w:numId w:val="8"/>
        </w:numPr>
        <w:ind w:left="993" w:hanging="284"/>
      </w:pPr>
      <w:r w:rsidRPr="000D5FE2">
        <w:t>Any serious adverse event: 1.20 [1.03, 1.39].</w:t>
      </w:r>
    </w:p>
    <w:p w:rsidR="00E705AF" w:rsidRPr="000D5FE2" w:rsidRDefault="00E705AF" w:rsidP="00E705AF">
      <w:pPr>
        <w:pStyle w:val="ListParagraph"/>
        <w:widowControl/>
      </w:pPr>
      <w:r w:rsidRPr="000D5FE2">
        <w:t>Statistically significantly fewer patients treated with enzalutamide experienced any adverse event leading to permanent discontinuation compared with placebo (0.66 [0.55, 0.80]).</w:t>
      </w:r>
    </w:p>
    <w:p w:rsidR="00E705AF" w:rsidRPr="000D5FE2" w:rsidRDefault="00E705AF" w:rsidP="00E705AF">
      <w:pPr>
        <w:widowControl/>
      </w:pPr>
    </w:p>
    <w:p w:rsidR="00E705AF" w:rsidRPr="000D5FE2" w:rsidRDefault="00E705AF" w:rsidP="00EB23C1">
      <w:pPr>
        <w:pStyle w:val="ListParagraph"/>
        <w:widowControl/>
        <w:numPr>
          <w:ilvl w:val="1"/>
          <w:numId w:val="2"/>
        </w:numPr>
      </w:pPr>
      <w:r w:rsidRPr="000D5FE2">
        <w:t>Among those treated with enzalutamide, specific adverse events occurring more frequently within the first 90 days included hot flush (2.02 [1.50, 2.73]) and hypertension (3.07 [1.82, 5.17]) and those occurring less frequently within the first 90 days included back pain (0.61 [0.46, 0.81]) and decreased appetite (0.66 [0.48, 0.90]), compared with those treated with placebo.</w:t>
      </w:r>
    </w:p>
    <w:p w:rsidR="00E705AF" w:rsidRPr="000D5FE2" w:rsidRDefault="00E705AF" w:rsidP="00E705AF">
      <w:pPr>
        <w:pStyle w:val="ListParagraph"/>
        <w:ind w:left="0"/>
        <w:rPr>
          <w:szCs w:val="22"/>
        </w:rPr>
      </w:pPr>
    </w:p>
    <w:p w:rsidR="00E705AF" w:rsidRPr="000D5FE2" w:rsidRDefault="00E705AF" w:rsidP="00E705AF">
      <w:pPr>
        <w:pStyle w:val="Heading2"/>
        <w:rPr>
          <w:i/>
          <w:szCs w:val="22"/>
        </w:rPr>
      </w:pPr>
      <w:bookmarkStart w:id="13" w:name="_Toc471212095"/>
      <w:r w:rsidRPr="000D5FE2">
        <w:rPr>
          <w:i/>
        </w:rPr>
        <w:t>Benefits/harms</w:t>
      </w:r>
      <w:bookmarkEnd w:id="13"/>
    </w:p>
    <w:p w:rsidR="00E705AF" w:rsidRPr="000D5FE2" w:rsidRDefault="00E705AF" w:rsidP="00E705AF">
      <w:pPr>
        <w:pStyle w:val="ListParagraph"/>
        <w:ind w:left="0"/>
        <w:rPr>
          <w:szCs w:val="22"/>
        </w:rPr>
      </w:pPr>
    </w:p>
    <w:p w:rsidR="006F21F2" w:rsidRPr="000D5FE2" w:rsidRDefault="00E705AF" w:rsidP="00EB23C1">
      <w:pPr>
        <w:pStyle w:val="ListParagraph"/>
        <w:widowControl/>
        <w:numPr>
          <w:ilvl w:val="1"/>
          <w:numId w:val="2"/>
        </w:numPr>
      </w:pPr>
      <w:r w:rsidRPr="000D5FE2">
        <w:rPr>
          <w:szCs w:val="22"/>
        </w:rPr>
        <w:t>The trial evidence presented in the submission does not specifically provide a comparison of the current (</w:t>
      </w:r>
      <w:r w:rsidR="002D732E" w:rsidRPr="000D5FE2">
        <w:rPr>
          <w:szCs w:val="22"/>
        </w:rPr>
        <w:t>i.e.</w:t>
      </w:r>
      <w:r w:rsidRPr="000D5FE2">
        <w:rPr>
          <w:szCs w:val="22"/>
        </w:rPr>
        <w:t>, enzalutamide after docetaxel) versus proposed (enzalutamide before docetaxel)</w:t>
      </w:r>
      <w:r w:rsidR="00A5497B" w:rsidRPr="000D5FE2">
        <w:rPr>
          <w:szCs w:val="22"/>
        </w:rPr>
        <w:t xml:space="preserve"> clinical management </w:t>
      </w:r>
      <w:r w:rsidRPr="000D5FE2">
        <w:rPr>
          <w:szCs w:val="22"/>
        </w:rPr>
        <w:t>algorithms</w:t>
      </w:r>
      <w:r w:rsidR="00E4010F" w:rsidRPr="000D5FE2">
        <w:rPr>
          <w:szCs w:val="22"/>
        </w:rPr>
        <w:t>,</w:t>
      </w:r>
      <w:r w:rsidRPr="000D5FE2">
        <w:rPr>
          <w:szCs w:val="22"/>
        </w:rPr>
        <w:t xml:space="preserve"> which was of interest to the PBAC</w:t>
      </w:r>
      <w:r w:rsidR="002D732E" w:rsidRPr="000D5FE2">
        <w:rPr>
          <w:szCs w:val="22"/>
        </w:rPr>
        <w:t xml:space="preserve">. </w:t>
      </w:r>
      <w:r w:rsidR="00B43D0A" w:rsidRPr="000D5FE2">
        <w:rPr>
          <w:szCs w:val="22"/>
        </w:rPr>
        <w:t>However</w:t>
      </w:r>
      <w:r w:rsidR="00631E1F" w:rsidRPr="000D5FE2">
        <w:rPr>
          <w:szCs w:val="22"/>
        </w:rPr>
        <w:t xml:space="preserve">, </w:t>
      </w:r>
      <w:r w:rsidR="006F21F2" w:rsidRPr="000D5FE2">
        <w:t>on the basis of direct evidence presented by the resubmission</w:t>
      </w:r>
      <w:r w:rsidR="00744296" w:rsidRPr="000D5FE2">
        <w:rPr>
          <w:szCs w:val="22"/>
        </w:rPr>
        <w:t xml:space="preserve"> </w:t>
      </w:r>
      <w:r w:rsidR="006F21F2" w:rsidRPr="000D5FE2">
        <w:t>the comparison of enzalutamide and watchful waiting, or ‘placebo’</w:t>
      </w:r>
      <w:r w:rsidR="00D01394" w:rsidRPr="000D5FE2">
        <w:t>,</w:t>
      </w:r>
      <w:r w:rsidR="006F21F2" w:rsidRPr="000D5FE2">
        <w:t xml:space="preserve"> </w:t>
      </w:r>
      <w:r w:rsidR="00C52A6E" w:rsidRPr="000D5FE2">
        <w:t xml:space="preserve">in the PREVAIL trial </w:t>
      </w:r>
      <w:r w:rsidR="00A6378A" w:rsidRPr="000D5FE2">
        <w:t>in asymptomatic or mildly symptomatic, chemotherapy naïve mCRP</w:t>
      </w:r>
      <w:r w:rsidR="00AD43F3" w:rsidRPr="000D5FE2">
        <w:t>C</w:t>
      </w:r>
      <w:r w:rsidR="00A6378A" w:rsidRPr="000D5FE2">
        <w:t xml:space="preserve"> patients over a maximum duration of exposure of 31 months </w:t>
      </w:r>
      <w:r w:rsidR="006F21F2" w:rsidRPr="000D5FE2">
        <w:t>resulted in</w:t>
      </w:r>
      <w:r w:rsidR="007174FC" w:rsidRPr="000D5FE2">
        <w:t xml:space="preserve"> significant increase</w:t>
      </w:r>
      <w:r w:rsidR="00744296" w:rsidRPr="000D5FE2">
        <w:t>s</w:t>
      </w:r>
      <w:r w:rsidR="007174FC" w:rsidRPr="000D5FE2">
        <w:t xml:space="preserve"> in</w:t>
      </w:r>
      <w:r w:rsidR="00D01394" w:rsidRPr="000D5FE2">
        <w:t xml:space="preserve"> additional time</w:t>
      </w:r>
      <w:r w:rsidR="006F21F2" w:rsidRPr="000D5FE2">
        <w:t>:</w:t>
      </w:r>
    </w:p>
    <w:p w:rsidR="00052CC7" w:rsidRPr="000D5FE2" w:rsidRDefault="00052CC7" w:rsidP="00EB23C1">
      <w:pPr>
        <w:pStyle w:val="ListParagraph"/>
        <w:widowControl/>
        <w:numPr>
          <w:ilvl w:val="0"/>
          <w:numId w:val="1"/>
        </w:numPr>
        <w:ind w:left="1134" w:hanging="283"/>
      </w:pPr>
      <w:r w:rsidRPr="000D5FE2">
        <w:t xml:space="preserve">before </w:t>
      </w:r>
      <w:r w:rsidRPr="000D5FE2">
        <w:rPr>
          <w:szCs w:val="22"/>
        </w:rPr>
        <w:t>initiation of cytotoxic chemotherap</w:t>
      </w:r>
      <w:r w:rsidRPr="000D5FE2">
        <w:t>y (median of approximately 17.2 months)</w:t>
      </w:r>
    </w:p>
    <w:p w:rsidR="003C02CA" w:rsidRPr="000D5FE2" w:rsidRDefault="003C02CA" w:rsidP="00EB23C1">
      <w:pPr>
        <w:pStyle w:val="ListParagraph"/>
        <w:widowControl/>
        <w:numPr>
          <w:ilvl w:val="0"/>
          <w:numId w:val="1"/>
        </w:numPr>
        <w:ind w:left="1134" w:hanging="283"/>
      </w:pPr>
      <w:r w:rsidRPr="000D5FE2">
        <w:t>before onset of cancer pain (median of approximately 5.5 months)</w:t>
      </w:r>
    </w:p>
    <w:p w:rsidR="00052CC7" w:rsidRPr="000D5FE2" w:rsidRDefault="00052CC7" w:rsidP="00EB23C1">
      <w:pPr>
        <w:pStyle w:val="ListParagraph"/>
        <w:widowControl/>
        <w:numPr>
          <w:ilvl w:val="0"/>
          <w:numId w:val="1"/>
        </w:numPr>
        <w:ind w:left="1134" w:hanging="283"/>
      </w:pPr>
      <w:proofErr w:type="gramStart"/>
      <w:r w:rsidRPr="000D5FE2">
        <w:t>on</w:t>
      </w:r>
      <w:proofErr w:type="gramEnd"/>
      <w:r w:rsidRPr="000D5FE2">
        <w:t xml:space="preserve"> treatment</w:t>
      </w:r>
      <w:r w:rsidR="00DE6CEC" w:rsidRPr="000D5FE2">
        <w:t xml:space="preserve"> (either enzalutamide or placebo)</w:t>
      </w:r>
      <w:r w:rsidRPr="000D5FE2">
        <w:t>, which may be related to time to ‘disease progression’ (median of approximately 13.1 months)</w:t>
      </w:r>
      <w:r w:rsidR="003A710D" w:rsidRPr="000D5FE2">
        <w:t>.</w:t>
      </w:r>
    </w:p>
    <w:p w:rsidR="00744296" w:rsidRPr="000D5FE2" w:rsidRDefault="00744296" w:rsidP="00FE04A0">
      <w:pPr>
        <w:rPr>
          <w:highlight w:val="yellow"/>
        </w:rPr>
      </w:pPr>
    </w:p>
    <w:p w:rsidR="00E705AF" w:rsidRPr="000D5FE2" w:rsidRDefault="00E705AF" w:rsidP="00E705AF">
      <w:pPr>
        <w:pStyle w:val="Heading2"/>
        <w:rPr>
          <w:i/>
        </w:rPr>
      </w:pPr>
      <w:bookmarkStart w:id="14" w:name="_Toc471212096"/>
      <w:r w:rsidRPr="000D5FE2">
        <w:rPr>
          <w:i/>
        </w:rPr>
        <w:t>Clinical claim</w:t>
      </w:r>
      <w:bookmarkEnd w:id="14"/>
    </w:p>
    <w:p w:rsidR="00E705AF" w:rsidRPr="000D5FE2" w:rsidRDefault="00E705AF" w:rsidP="00E705AF">
      <w:pPr>
        <w:pStyle w:val="BodyText"/>
      </w:pPr>
    </w:p>
    <w:p w:rsidR="00E705AF" w:rsidRPr="000D5FE2" w:rsidRDefault="00E705AF" w:rsidP="00EB23C1">
      <w:pPr>
        <w:pStyle w:val="ListParagraph"/>
        <w:widowControl/>
        <w:numPr>
          <w:ilvl w:val="1"/>
          <w:numId w:val="2"/>
        </w:numPr>
      </w:pPr>
      <w:r w:rsidRPr="000D5FE2">
        <w:t xml:space="preserve">The submission described enzalutamide as superior in terms of comparative effectiveness and non-inferior in terms of comparative safety over placebo (for watchful waiting) in asymptomatic chemotherapy-naïve men with mCRPC. Although the trial evidence in PREVAIL does not specifically provide a comparison of the current and proposed algorithms, the results of PREVAIL </w:t>
      </w:r>
      <w:r w:rsidR="00B64D0A" w:rsidRPr="000D5FE2">
        <w:t xml:space="preserve">were claimed to </w:t>
      </w:r>
      <w:r w:rsidRPr="000D5FE2">
        <w:t xml:space="preserve">support that as a first line treatment until disease progression (ignoring effects of subsequent therapies and survival benefits) enzalutamide versus placebo in asymptomatic </w:t>
      </w:r>
      <w:r w:rsidR="00B43D0A" w:rsidRPr="000D5FE2">
        <w:t xml:space="preserve">chemotherapy naïve patient </w:t>
      </w:r>
      <w:r w:rsidRPr="000D5FE2">
        <w:t xml:space="preserve">mCRPC </w:t>
      </w:r>
      <w:r w:rsidR="003C17E6" w:rsidRPr="000D5FE2">
        <w:t>may</w:t>
      </w:r>
      <w:r w:rsidRPr="000D5FE2">
        <w:t>:</w:t>
      </w:r>
    </w:p>
    <w:p w:rsidR="00E705AF" w:rsidRPr="000D5FE2" w:rsidRDefault="00E705AF" w:rsidP="00EB23C1">
      <w:pPr>
        <w:pStyle w:val="ListParagraph"/>
        <w:widowControl/>
        <w:numPr>
          <w:ilvl w:val="4"/>
          <w:numId w:val="10"/>
        </w:numPr>
        <w:tabs>
          <w:tab w:val="left" w:pos="851"/>
        </w:tabs>
        <w:ind w:hanging="229"/>
      </w:pPr>
      <w:r w:rsidRPr="000D5FE2">
        <w:t>Delay subsequent treatment</w:t>
      </w:r>
      <w:r w:rsidR="003C17E6" w:rsidRPr="000D5FE2">
        <w:t>,</w:t>
      </w:r>
      <w:r w:rsidRPr="000D5FE2">
        <w:t xml:space="preserve"> including delaying time to initiation of cytotoxic chemotherapy and time to first post-baseline antineoplastic therapy;</w:t>
      </w:r>
    </w:p>
    <w:p w:rsidR="00E705AF" w:rsidRPr="000D5FE2" w:rsidRDefault="00E705AF" w:rsidP="00EB23C1">
      <w:pPr>
        <w:pStyle w:val="ListParagraph"/>
        <w:widowControl/>
        <w:numPr>
          <w:ilvl w:val="4"/>
          <w:numId w:val="10"/>
        </w:numPr>
        <w:tabs>
          <w:tab w:val="left" w:pos="851"/>
        </w:tabs>
        <w:ind w:hanging="229"/>
      </w:pPr>
      <w:r w:rsidRPr="000D5FE2">
        <w:t>Improve quality of life and delay symptoms as measured by EQ-5D and FACT-P instruments;</w:t>
      </w:r>
    </w:p>
    <w:p w:rsidR="00E705AF" w:rsidRPr="000D5FE2" w:rsidRDefault="00E705AF" w:rsidP="00EB23C1">
      <w:pPr>
        <w:pStyle w:val="ListParagraph"/>
        <w:widowControl/>
        <w:numPr>
          <w:ilvl w:val="4"/>
          <w:numId w:val="10"/>
        </w:numPr>
        <w:tabs>
          <w:tab w:val="left" w:pos="851"/>
        </w:tabs>
        <w:ind w:hanging="229"/>
      </w:pPr>
      <w:r w:rsidRPr="000D5FE2">
        <w:t>Delay onset of cancer pain</w:t>
      </w:r>
      <w:r w:rsidR="00AD43F3" w:rsidRPr="000D5FE2">
        <w:t>;</w:t>
      </w:r>
    </w:p>
    <w:p w:rsidR="00E705AF" w:rsidRPr="000D5FE2" w:rsidRDefault="00E705AF" w:rsidP="00EB23C1">
      <w:pPr>
        <w:pStyle w:val="ListParagraph"/>
        <w:widowControl/>
        <w:numPr>
          <w:ilvl w:val="4"/>
          <w:numId w:val="10"/>
        </w:numPr>
        <w:tabs>
          <w:tab w:val="left" w:pos="851"/>
        </w:tabs>
        <w:ind w:hanging="229"/>
      </w:pPr>
      <w:r w:rsidRPr="000D5FE2">
        <w:lastRenderedPageBreak/>
        <w:t>Delay disease progression as measured by radiographic progression free survival, time to skeletal-related events, time to prostate surface antigen (PSA) progression, PSA response and best overall tissue response.</w:t>
      </w:r>
    </w:p>
    <w:p w:rsidR="00E705AF" w:rsidRPr="000D5FE2" w:rsidRDefault="00E705AF" w:rsidP="00E705AF">
      <w:pPr>
        <w:pStyle w:val="ListParagraph"/>
        <w:ind w:left="1440" w:hanging="720"/>
      </w:pPr>
    </w:p>
    <w:p w:rsidR="00E705AF" w:rsidRPr="000D5FE2" w:rsidRDefault="00E705AF" w:rsidP="00EB23C1">
      <w:pPr>
        <w:pStyle w:val="ListParagraph"/>
        <w:widowControl/>
        <w:numPr>
          <w:ilvl w:val="1"/>
          <w:numId w:val="2"/>
        </w:numPr>
        <w:rPr>
          <w:szCs w:val="22"/>
        </w:rPr>
      </w:pPr>
      <w:r w:rsidRPr="000D5FE2">
        <w:rPr>
          <w:szCs w:val="22"/>
        </w:rPr>
        <w:t>The submission also described enzalutamide as non-inferior in terms of comparative safety over placebo (for watchful waiting), however a claim of inferior comparative safety of enzalutamide compared with placebo may be more appropriate as a statistically significantly greater proportion of those treated with enzalutamide experienced any, any grade ≥3 and any serious adverse event, compared with placebo.</w:t>
      </w:r>
    </w:p>
    <w:p w:rsidR="00565864" w:rsidRPr="000D5FE2" w:rsidRDefault="00565864" w:rsidP="00AA6EFB"/>
    <w:p w:rsidR="00565864" w:rsidRPr="000D5FE2" w:rsidRDefault="00565864" w:rsidP="00EB23C1">
      <w:pPr>
        <w:pStyle w:val="ListParagraph"/>
        <w:widowControl/>
        <w:numPr>
          <w:ilvl w:val="1"/>
          <w:numId w:val="2"/>
        </w:numPr>
        <w:jc w:val="left"/>
        <w:rPr>
          <w:bCs/>
        </w:rPr>
      </w:pPr>
      <w:r w:rsidRPr="000D5FE2">
        <w:rPr>
          <w:bCs/>
          <w:szCs w:val="22"/>
        </w:rPr>
        <w:t>The PBAC considered that the claim of superior comparative effectiveness was reasonable.</w:t>
      </w:r>
    </w:p>
    <w:p w:rsidR="00565864" w:rsidRPr="000D5FE2" w:rsidRDefault="00565864" w:rsidP="00565864">
      <w:pPr>
        <w:pStyle w:val="ListParagraph"/>
        <w:rPr>
          <w:bCs/>
          <w:szCs w:val="22"/>
        </w:rPr>
      </w:pPr>
    </w:p>
    <w:p w:rsidR="00565864" w:rsidRPr="000D5FE2" w:rsidRDefault="00565864" w:rsidP="00EB23C1">
      <w:pPr>
        <w:pStyle w:val="ListParagraph"/>
        <w:widowControl/>
        <w:numPr>
          <w:ilvl w:val="1"/>
          <w:numId w:val="2"/>
        </w:numPr>
        <w:rPr>
          <w:szCs w:val="22"/>
        </w:rPr>
      </w:pPr>
      <w:r w:rsidRPr="000D5FE2">
        <w:rPr>
          <w:szCs w:val="22"/>
        </w:rPr>
        <w:t xml:space="preserve">The PBAC </w:t>
      </w:r>
      <w:r w:rsidR="003475C5" w:rsidRPr="000D5FE2">
        <w:rPr>
          <w:szCs w:val="22"/>
        </w:rPr>
        <w:t>noted the statistically significantly greater proportion of adverse events with enzalutamide. However, the harms from enzalutamide treatment were considered manageable</w:t>
      </w:r>
      <w:r w:rsidRPr="000D5FE2">
        <w:rPr>
          <w:szCs w:val="22"/>
        </w:rPr>
        <w:t>.</w:t>
      </w:r>
    </w:p>
    <w:p w:rsidR="00E705AF" w:rsidRPr="000D5FE2" w:rsidRDefault="00E705AF" w:rsidP="00E705AF">
      <w:pPr>
        <w:pStyle w:val="ListParagraph"/>
        <w:widowControl/>
        <w:rPr>
          <w:i/>
          <w:szCs w:val="22"/>
        </w:rPr>
      </w:pPr>
    </w:p>
    <w:p w:rsidR="00E705AF" w:rsidRPr="000D5FE2" w:rsidRDefault="00E705AF" w:rsidP="00E705AF">
      <w:pPr>
        <w:pStyle w:val="Heading2"/>
        <w:rPr>
          <w:i/>
        </w:rPr>
      </w:pPr>
      <w:bookmarkStart w:id="15" w:name="_Toc471212097"/>
      <w:r w:rsidRPr="000D5FE2">
        <w:rPr>
          <w:i/>
        </w:rPr>
        <w:t>Economic analysis</w:t>
      </w:r>
      <w:bookmarkEnd w:id="15"/>
      <w:r w:rsidRPr="000D5FE2">
        <w:rPr>
          <w:i/>
        </w:rPr>
        <w:t xml:space="preserve"> </w:t>
      </w:r>
    </w:p>
    <w:p w:rsidR="00D63CB1" w:rsidRPr="00D63CB1" w:rsidRDefault="00D63CB1" w:rsidP="00D63CB1">
      <w:pPr>
        <w:widowControl/>
        <w:rPr>
          <w:szCs w:val="22"/>
        </w:rPr>
      </w:pPr>
    </w:p>
    <w:p w:rsidR="00E705AF" w:rsidRPr="000D5FE2" w:rsidRDefault="00E705AF" w:rsidP="00EB23C1">
      <w:pPr>
        <w:pStyle w:val="ListParagraph"/>
        <w:widowControl/>
        <w:numPr>
          <w:ilvl w:val="1"/>
          <w:numId w:val="2"/>
        </w:numPr>
        <w:rPr>
          <w:szCs w:val="22"/>
        </w:rPr>
      </w:pPr>
      <w:r w:rsidRPr="000D5FE2">
        <w:t>The submission presented an updated modelled economic analysis to estimate the incremental cost-effectiveness of enzalutamide before docetaxel without watchful waiting (proposed algorithm) compared with enzalutamide or abiraterone after docetaxel with watchful waiting (current algorithm)</w:t>
      </w:r>
      <w:r w:rsidR="00AC6B8E" w:rsidRPr="000D5FE2">
        <w:t xml:space="preserve"> based on the ITT population of PREVAIL</w:t>
      </w:r>
      <w:r w:rsidR="005833FB" w:rsidRPr="000D5FE2">
        <w:t xml:space="preserve"> (Figure 1)</w:t>
      </w:r>
      <w:r w:rsidR="00AC6B8E" w:rsidRPr="000D5FE2">
        <w:t>:</w:t>
      </w:r>
    </w:p>
    <w:p w:rsidR="005833FB" w:rsidRPr="000D5FE2" w:rsidRDefault="005833FB" w:rsidP="005833FB">
      <w:pPr>
        <w:widowControl/>
        <w:rPr>
          <w:szCs w:val="22"/>
        </w:rPr>
      </w:pPr>
    </w:p>
    <w:p w:rsidR="005833FB" w:rsidRPr="000D5FE2" w:rsidRDefault="005833FB" w:rsidP="006E57F9">
      <w:pPr>
        <w:ind w:firstLine="720"/>
        <w:rPr>
          <w:rStyle w:val="CommentReference"/>
        </w:rPr>
      </w:pPr>
      <w:r w:rsidRPr="000D5FE2">
        <w:rPr>
          <w:rStyle w:val="CommentReference"/>
        </w:rPr>
        <w:t>Figure 1: Comparison of treatment algorithms in the economic evaluation</w:t>
      </w:r>
    </w:p>
    <w:p w:rsidR="00E705AF" w:rsidRPr="000D5FE2" w:rsidRDefault="00E705AF" w:rsidP="00E705AF">
      <w:pPr>
        <w:pStyle w:val="ListParagraph"/>
        <w:widowControl/>
        <w:rPr>
          <w:szCs w:val="22"/>
        </w:rPr>
      </w:pPr>
      <w:r w:rsidRPr="000D5FE2">
        <w:rPr>
          <w:noProof/>
          <w:szCs w:val="22"/>
          <w:lang w:eastAsia="en-AU"/>
        </w:rPr>
        <w:drawing>
          <wp:inline distT="0" distB="0" distL="0" distR="0" wp14:anchorId="344DFEA3" wp14:editId="4429A92C">
            <wp:extent cx="5276850" cy="539876"/>
            <wp:effectExtent l="0" t="0" r="0" b="0"/>
            <wp:docPr id="112" name="Picture 112" title="Figure 1: Comparison of treatment algorithms in the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8887" cy="543154"/>
                    </a:xfrm>
                    <a:prstGeom prst="rect">
                      <a:avLst/>
                    </a:prstGeom>
                    <a:noFill/>
                  </pic:spPr>
                </pic:pic>
              </a:graphicData>
            </a:graphic>
          </wp:inline>
        </w:drawing>
      </w:r>
    </w:p>
    <w:p w:rsidR="00E705AF" w:rsidRPr="000D5FE2" w:rsidRDefault="00E705AF" w:rsidP="00E705AF">
      <w:pPr>
        <w:pStyle w:val="ListParagraph"/>
        <w:widowControl/>
        <w:rPr>
          <w:szCs w:val="22"/>
        </w:rPr>
      </w:pPr>
    </w:p>
    <w:p w:rsidR="00E705AF" w:rsidRPr="000D5FE2" w:rsidRDefault="00E705AF" w:rsidP="00EB23C1">
      <w:pPr>
        <w:pStyle w:val="ListParagraph"/>
        <w:widowControl/>
        <w:numPr>
          <w:ilvl w:val="1"/>
          <w:numId w:val="2"/>
        </w:numPr>
        <w:rPr>
          <w:szCs w:val="22"/>
        </w:rPr>
      </w:pPr>
      <w:r w:rsidRPr="000D5FE2">
        <w:t xml:space="preserve">Table 5 provides a summary of the model structure. </w:t>
      </w:r>
    </w:p>
    <w:p w:rsidR="003D4763" w:rsidRDefault="003D4763">
      <w:pPr>
        <w:widowControl/>
        <w:jc w:val="left"/>
        <w:rPr>
          <w:szCs w:val="22"/>
        </w:rPr>
      </w:pPr>
      <w:r>
        <w:rPr>
          <w:szCs w:val="22"/>
        </w:rPr>
        <w:br w:type="page"/>
      </w:r>
    </w:p>
    <w:p w:rsidR="00E705AF" w:rsidRPr="000D5FE2" w:rsidRDefault="00E705AF" w:rsidP="00E705AF">
      <w:pPr>
        <w:widowControl/>
        <w:rPr>
          <w:szCs w:val="22"/>
        </w:rPr>
      </w:pPr>
    </w:p>
    <w:p w:rsidR="00E705AF" w:rsidRPr="000D5FE2" w:rsidRDefault="00E705AF" w:rsidP="00E705AF">
      <w:pPr>
        <w:ind w:firstLine="720"/>
        <w:rPr>
          <w:rStyle w:val="CommentReference"/>
        </w:rPr>
      </w:pPr>
      <w:r w:rsidRPr="000D5FE2">
        <w:rPr>
          <w:rStyle w:val="CommentReference"/>
        </w:rPr>
        <w:t>Table 5: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0"/>
        <w:gridCol w:w="5665"/>
      </w:tblGrid>
      <w:tr w:rsidR="00E705AF" w:rsidRPr="000D5FE2" w:rsidTr="00473018">
        <w:trPr>
          <w:tblHeader/>
        </w:trPr>
        <w:tc>
          <w:tcPr>
            <w:tcW w:w="1606" w:type="pct"/>
            <w:shd w:val="clear" w:color="auto" w:fill="auto"/>
            <w:vAlign w:val="center"/>
          </w:tcPr>
          <w:p w:rsidR="00E705AF" w:rsidRPr="000D5FE2" w:rsidRDefault="00E705AF" w:rsidP="00473018">
            <w:pPr>
              <w:jc w:val="left"/>
              <w:rPr>
                <w:rFonts w:ascii="Arial Narrow" w:hAnsi="Arial Narrow"/>
                <w:b/>
                <w:sz w:val="20"/>
              </w:rPr>
            </w:pPr>
            <w:r w:rsidRPr="000D5FE2">
              <w:rPr>
                <w:rFonts w:ascii="Arial Narrow" w:hAnsi="Arial Narrow"/>
                <w:b/>
                <w:sz w:val="20"/>
              </w:rPr>
              <w:t>Component</w:t>
            </w:r>
          </w:p>
        </w:tc>
        <w:tc>
          <w:tcPr>
            <w:tcW w:w="3394" w:type="pct"/>
            <w:shd w:val="clear" w:color="auto" w:fill="auto"/>
            <w:vAlign w:val="center"/>
          </w:tcPr>
          <w:p w:rsidR="00E705AF" w:rsidRPr="000D5FE2" w:rsidRDefault="00E705AF" w:rsidP="00473018">
            <w:pPr>
              <w:jc w:val="center"/>
              <w:rPr>
                <w:rFonts w:ascii="Arial Narrow" w:hAnsi="Arial Narrow"/>
                <w:b/>
                <w:sz w:val="20"/>
              </w:rPr>
            </w:pPr>
            <w:r w:rsidRPr="000D5FE2">
              <w:rPr>
                <w:rFonts w:ascii="Arial Narrow" w:hAnsi="Arial Narrow"/>
                <w:b/>
                <w:sz w:val="20"/>
              </w:rPr>
              <w:t>Summary</w:t>
            </w:r>
          </w:p>
        </w:tc>
      </w:tr>
      <w:tr w:rsidR="00E705AF" w:rsidRPr="000D5FE2" w:rsidTr="00473018">
        <w:tc>
          <w:tcPr>
            <w:tcW w:w="1606"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Time horizon</w:t>
            </w:r>
          </w:p>
        </w:tc>
        <w:tc>
          <w:tcPr>
            <w:tcW w:w="3394"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10 years in the model base case versus maximum of 44 months of survival data in PREVAIL</w:t>
            </w:r>
          </w:p>
        </w:tc>
      </w:tr>
      <w:tr w:rsidR="00E705AF" w:rsidRPr="000D5FE2" w:rsidTr="00473018">
        <w:tc>
          <w:tcPr>
            <w:tcW w:w="1606"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Outcomes</w:t>
            </w:r>
          </w:p>
        </w:tc>
        <w:tc>
          <w:tcPr>
            <w:tcW w:w="3394"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QALYs</w:t>
            </w:r>
          </w:p>
        </w:tc>
      </w:tr>
      <w:tr w:rsidR="00E705AF" w:rsidRPr="000D5FE2" w:rsidTr="00473018">
        <w:tc>
          <w:tcPr>
            <w:tcW w:w="1606"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Methods used to generate results</w:t>
            </w:r>
          </w:p>
        </w:tc>
        <w:tc>
          <w:tcPr>
            <w:tcW w:w="3394"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Cohort expected value analysis</w:t>
            </w:r>
          </w:p>
        </w:tc>
      </w:tr>
      <w:tr w:rsidR="00E705AF" w:rsidRPr="000D5FE2" w:rsidTr="00473018">
        <w:tc>
          <w:tcPr>
            <w:tcW w:w="1606"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Health states</w:t>
            </w:r>
          </w:p>
        </w:tc>
        <w:tc>
          <w:tcPr>
            <w:tcW w:w="3394" w:type="pct"/>
            <w:shd w:val="clear" w:color="auto" w:fill="auto"/>
            <w:vAlign w:val="center"/>
          </w:tcPr>
          <w:p w:rsidR="00E705AF" w:rsidRPr="000D5FE2" w:rsidRDefault="00E705AF" w:rsidP="003C17E6">
            <w:pPr>
              <w:jc w:val="left"/>
              <w:rPr>
                <w:rFonts w:ascii="Arial Narrow" w:hAnsi="Arial Narrow"/>
                <w:sz w:val="20"/>
              </w:rPr>
            </w:pPr>
            <w:r w:rsidRPr="000D5FE2">
              <w:rPr>
                <w:rFonts w:ascii="Arial Narrow" w:hAnsi="Arial Narrow"/>
                <w:sz w:val="20"/>
              </w:rPr>
              <w:t>A Markov model w</w:t>
            </w:r>
            <w:r w:rsidR="003C17E6" w:rsidRPr="000D5FE2">
              <w:rPr>
                <w:rFonts w:ascii="Arial Narrow" w:hAnsi="Arial Narrow"/>
                <w:sz w:val="20"/>
              </w:rPr>
              <w:t xml:space="preserve">ith three </w:t>
            </w:r>
            <w:proofErr w:type="gramStart"/>
            <w:r w:rsidR="003C17E6" w:rsidRPr="000D5FE2">
              <w:rPr>
                <w:rFonts w:ascii="Arial Narrow" w:hAnsi="Arial Narrow"/>
                <w:sz w:val="20"/>
              </w:rPr>
              <w:t>alive</w:t>
            </w:r>
            <w:proofErr w:type="gramEnd"/>
            <w:r w:rsidR="003C17E6" w:rsidRPr="000D5FE2">
              <w:rPr>
                <w:rFonts w:ascii="Arial Narrow" w:hAnsi="Arial Narrow"/>
                <w:sz w:val="20"/>
              </w:rPr>
              <w:t xml:space="preserve"> health states was</w:t>
            </w:r>
            <w:r w:rsidRPr="000D5FE2">
              <w:rPr>
                <w:rFonts w:ascii="Arial Narrow" w:hAnsi="Arial Narrow"/>
                <w:sz w:val="20"/>
              </w:rPr>
              <w:t xml:space="preserve"> presented. Patients enter the model in “Alive on first treatment” and may transition to a subsequent treatment tunnel state.  Patients </w:t>
            </w:r>
            <w:r w:rsidR="003C17E6" w:rsidRPr="000D5FE2">
              <w:rPr>
                <w:rFonts w:ascii="Arial Narrow" w:hAnsi="Arial Narrow"/>
                <w:sz w:val="20"/>
              </w:rPr>
              <w:t>we</w:t>
            </w:r>
            <w:r w:rsidRPr="000D5FE2">
              <w:rPr>
                <w:rFonts w:ascii="Arial Narrow" w:hAnsi="Arial Narrow"/>
                <w:sz w:val="20"/>
              </w:rPr>
              <w:t>re assumed to commence second-line docetaxel for the first 6 months of the tunnel state (“Alive on second treatment”) before transitioning to the third-line therapy thereafter (“Alive on third treatment”). Patients may transition to “Dead” during any cycle of the model.</w:t>
            </w:r>
          </w:p>
        </w:tc>
      </w:tr>
      <w:tr w:rsidR="00E705AF" w:rsidRPr="000D5FE2" w:rsidTr="00473018">
        <w:tc>
          <w:tcPr>
            <w:tcW w:w="1606"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Cycle length</w:t>
            </w:r>
          </w:p>
        </w:tc>
        <w:tc>
          <w:tcPr>
            <w:tcW w:w="3394"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1 month</w:t>
            </w:r>
          </w:p>
        </w:tc>
      </w:tr>
      <w:tr w:rsidR="00E705AF" w:rsidRPr="000D5FE2" w:rsidTr="00473018">
        <w:tc>
          <w:tcPr>
            <w:tcW w:w="1606"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Half cycle correction</w:t>
            </w:r>
          </w:p>
        </w:tc>
        <w:tc>
          <w:tcPr>
            <w:tcW w:w="3394"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Yes</w:t>
            </w:r>
          </w:p>
        </w:tc>
      </w:tr>
      <w:tr w:rsidR="00E705AF" w:rsidRPr="000D5FE2" w:rsidTr="00473018">
        <w:tc>
          <w:tcPr>
            <w:tcW w:w="1606"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Discount rate</w:t>
            </w:r>
          </w:p>
        </w:tc>
        <w:tc>
          <w:tcPr>
            <w:tcW w:w="3394"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5% for costs and outcomes</w:t>
            </w:r>
          </w:p>
        </w:tc>
      </w:tr>
      <w:tr w:rsidR="00E705AF" w:rsidRPr="000D5FE2" w:rsidTr="00473018">
        <w:tc>
          <w:tcPr>
            <w:tcW w:w="1606"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Transition probabilities</w:t>
            </w:r>
          </w:p>
        </w:tc>
        <w:tc>
          <w:tcPr>
            <w:tcW w:w="3394" w:type="pct"/>
            <w:shd w:val="clear" w:color="auto" w:fill="auto"/>
            <w:vAlign w:val="center"/>
          </w:tcPr>
          <w:p w:rsidR="00E705AF" w:rsidRPr="000D5FE2" w:rsidRDefault="003C17E6" w:rsidP="00473018">
            <w:pPr>
              <w:jc w:val="left"/>
              <w:rPr>
                <w:rFonts w:ascii="Arial Narrow" w:hAnsi="Arial Narrow"/>
                <w:sz w:val="20"/>
              </w:rPr>
            </w:pPr>
            <w:r w:rsidRPr="000D5FE2">
              <w:rPr>
                <w:rFonts w:ascii="Arial Narrow" w:hAnsi="Arial Narrow"/>
                <w:sz w:val="20"/>
              </w:rPr>
              <w:t>The model assumed</w:t>
            </w:r>
            <w:r w:rsidR="00E705AF" w:rsidRPr="000D5FE2">
              <w:rPr>
                <w:rFonts w:ascii="Arial Narrow" w:hAnsi="Arial Narrow"/>
                <w:sz w:val="20"/>
              </w:rPr>
              <w:t xml:space="preserve"> patients in both arms of the model have equ</w:t>
            </w:r>
            <w:r w:rsidRPr="000D5FE2">
              <w:rPr>
                <w:rFonts w:ascii="Arial Narrow" w:hAnsi="Arial Narrow"/>
                <w:sz w:val="20"/>
              </w:rPr>
              <w:t>ivalent survival, derived from overall survival (O</w:t>
            </w:r>
            <w:r w:rsidR="00E705AF" w:rsidRPr="000D5FE2">
              <w:rPr>
                <w:rFonts w:ascii="Arial Narrow" w:hAnsi="Arial Narrow"/>
                <w:sz w:val="20"/>
              </w:rPr>
              <w:t>S</w:t>
            </w:r>
            <w:r w:rsidRPr="000D5FE2">
              <w:rPr>
                <w:rFonts w:ascii="Arial Narrow" w:hAnsi="Arial Narrow"/>
                <w:sz w:val="20"/>
              </w:rPr>
              <w:t>)</w:t>
            </w:r>
            <w:r w:rsidR="00E705AF" w:rsidRPr="000D5FE2">
              <w:rPr>
                <w:rFonts w:ascii="Arial Narrow" w:hAnsi="Arial Narrow"/>
                <w:sz w:val="20"/>
              </w:rPr>
              <w:t xml:space="preserve"> in the enzalutamide arm of PREVAIL.  The transition to the subs</w:t>
            </w:r>
            <w:r w:rsidRPr="000D5FE2">
              <w:rPr>
                <w:rFonts w:ascii="Arial Narrow" w:hAnsi="Arial Narrow"/>
                <w:sz w:val="20"/>
              </w:rPr>
              <w:t>equent treatment tunnel state was</w:t>
            </w:r>
            <w:r w:rsidR="00E705AF" w:rsidRPr="000D5FE2">
              <w:rPr>
                <w:rFonts w:ascii="Arial Narrow" w:hAnsi="Arial Narrow"/>
                <w:sz w:val="20"/>
              </w:rPr>
              <w:t xml:space="preserve"> informed by the time to initiation of cytotoxi</w:t>
            </w:r>
            <w:r w:rsidRPr="000D5FE2">
              <w:rPr>
                <w:rFonts w:ascii="Arial Narrow" w:hAnsi="Arial Narrow"/>
                <w:sz w:val="20"/>
              </w:rPr>
              <w:t>c chemotherapy in PREVAIL and was</w:t>
            </w:r>
            <w:r w:rsidR="00E705AF" w:rsidRPr="000D5FE2">
              <w:rPr>
                <w:rFonts w:ascii="Arial Narrow" w:hAnsi="Arial Narrow"/>
                <w:sz w:val="20"/>
              </w:rPr>
              <w:t xml:space="preserve"> the treatment effect in the model. </w:t>
            </w:r>
          </w:p>
        </w:tc>
      </w:tr>
    </w:tbl>
    <w:p w:rsidR="00E705AF" w:rsidRPr="000D5FE2" w:rsidRDefault="00E705AF" w:rsidP="00E705AF">
      <w:pPr>
        <w:pStyle w:val="TableFooter"/>
        <w:ind w:firstLine="720"/>
      </w:pPr>
      <w:r w:rsidRPr="000D5FE2">
        <w:t>Source: compiled during the evaluation</w:t>
      </w:r>
    </w:p>
    <w:p w:rsidR="00E705AF" w:rsidRPr="000D5FE2" w:rsidRDefault="00E705AF" w:rsidP="00E705AF">
      <w:pPr>
        <w:widowControl/>
        <w:rPr>
          <w:szCs w:val="22"/>
        </w:rPr>
      </w:pPr>
    </w:p>
    <w:p w:rsidR="00E705AF" w:rsidRPr="000D5FE2" w:rsidRDefault="00E705AF" w:rsidP="00EB23C1">
      <w:pPr>
        <w:pStyle w:val="ListParagraph"/>
        <w:widowControl/>
        <w:numPr>
          <w:ilvl w:val="1"/>
          <w:numId w:val="2"/>
        </w:numPr>
        <w:rPr>
          <w:szCs w:val="22"/>
        </w:rPr>
      </w:pPr>
      <w:r w:rsidRPr="000D5FE2">
        <w:t xml:space="preserve">Figure </w:t>
      </w:r>
      <w:r w:rsidR="005833FB" w:rsidRPr="000D5FE2">
        <w:t>2</w:t>
      </w:r>
      <w:r w:rsidRPr="000D5FE2">
        <w:t xml:space="preserve"> summarises the mean years (not discounted) on treatment and the proportion of patients who received one- two- and three- lines of treatment in the model.  </w:t>
      </w:r>
      <w:r w:rsidRPr="000D5FE2">
        <w:rPr>
          <w:iCs/>
        </w:rPr>
        <w:t>Although mean overall survival was assumed equivalent, the mean time on treatment and proportions who received subsequent therapies varied across arms; the model implied that enzalutamide will both displace and replace docetaxel.</w:t>
      </w:r>
      <w:r w:rsidR="00C83E06" w:rsidRPr="000D5FE2">
        <w:rPr>
          <w:i/>
          <w:iCs/>
        </w:rPr>
        <w:t xml:space="preserve"> </w:t>
      </w:r>
    </w:p>
    <w:p w:rsidR="00E705AF" w:rsidRPr="000D5FE2" w:rsidRDefault="00E705AF" w:rsidP="00CA6904">
      <w:pPr>
        <w:pStyle w:val="ListParagraph"/>
        <w:widowControl/>
      </w:pPr>
    </w:p>
    <w:p w:rsidR="00E705AF" w:rsidRPr="000D5FE2" w:rsidRDefault="00E705AF" w:rsidP="004F3CED">
      <w:pPr>
        <w:keepNext/>
        <w:ind w:left="720"/>
        <w:rPr>
          <w:szCs w:val="22"/>
        </w:rPr>
      </w:pPr>
      <w:r w:rsidRPr="000D5FE2">
        <w:rPr>
          <w:rStyle w:val="CommentReference"/>
        </w:rPr>
        <w:t xml:space="preserve">Figure </w:t>
      </w:r>
      <w:r w:rsidR="005833FB" w:rsidRPr="000D5FE2">
        <w:rPr>
          <w:rStyle w:val="CommentReference"/>
        </w:rPr>
        <w:t>2</w:t>
      </w:r>
      <w:r w:rsidRPr="000D5FE2">
        <w:rPr>
          <w:rStyle w:val="CommentReference"/>
        </w:rPr>
        <w:t>: Mean years (not discounted) and proportion of patients on treatment (≡in health states) by model arm and treatments received</w:t>
      </w:r>
    </w:p>
    <w:p w:rsidR="009D51C9" w:rsidRPr="000D5FE2" w:rsidRDefault="000E5344" w:rsidP="00A77944">
      <w:pPr>
        <w:ind w:left="709"/>
        <w:rPr>
          <w:rFonts w:ascii="Arial Narrow" w:hAnsi="Arial Narrow"/>
          <w:sz w:val="18"/>
          <w:szCs w:val="18"/>
        </w:rPr>
      </w:pPr>
      <w:r>
        <w:rPr>
          <w:noProof/>
          <w:snapToGrid/>
          <w:szCs w:val="22"/>
          <w:lang w:eastAsia="en-AU"/>
        </w:rPr>
        <w:drawing>
          <wp:inline distT="0" distB="0" distL="0" distR="0" wp14:anchorId="1A1FB9CE" wp14:editId="69F41D1F">
            <wp:extent cx="5309870" cy="2334895"/>
            <wp:effectExtent l="0" t="0" r="5080" b="8255"/>
            <wp:docPr id="1" name="Picture 1" title="Figure 2: Mean years (not discounted) and proportion of patients on treatment (≡in health states) by model arm and treatments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9870" cy="2334895"/>
                    </a:xfrm>
                    <a:prstGeom prst="rect">
                      <a:avLst/>
                    </a:prstGeom>
                    <a:noFill/>
                  </pic:spPr>
                </pic:pic>
              </a:graphicData>
            </a:graphic>
          </wp:inline>
        </w:drawing>
      </w:r>
    </w:p>
    <w:p w:rsidR="00E705AF" w:rsidRPr="000D5FE2" w:rsidRDefault="00E705AF" w:rsidP="00A77944">
      <w:pPr>
        <w:ind w:left="709"/>
        <w:rPr>
          <w:rFonts w:ascii="Arial Narrow" w:hAnsi="Arial Narrow"/>
          <w:sz w:val="18"/>
          <w:szCs w:val="18"/>
        </w:rPr>
      </w:pPr>
      <w:bookmarkStart w:id="16" w:name="_Toc469344721"/>
      <w:bookmarkStart w:id="17" w:name="_Toc471212099"/>
      <w:r w:rsidRPr="000D5FE2">
        <w:rPr>
          <w:rFonts w:ascii="Arial Narrow" w:hAnsi="Arial Narrow"/>
          <w:sz w:val="18"/>
          <w:szCs w:val="18"/>
        </w:rPr>
        <w:t xml:space="preserve">Legend: progression through three </w:t>
      </w:r>
      <w:proofErr w:type="gramStart"/>
      <w:r w:rsidRPr="000D5FE2">
        <w:rPr>
          <w:rFonts w:ascii="Arial Narrow" w:hAnsi="Arial Narrow"/>
          <w:sz w:val="18"/>
          <w:szCs w:val="18"/>
        </w:rPr>
        <w:t>alive</w:t>
      </w:r>
      <w:proofErr w:type="gramEnd"/>
      <w:r w:rsidRPr="000D5FE2">
        <w:rPr>
          <w:rFonts w:ascii="Arial Narrow" w:hAnsi="Arial Narrow"/>
          <w:sz w:val="18"/>
          <w:szCs w:val="18"/>
        </w:rPr>
        <w:t xml:space="preserve"> health states, alive on first treatment (light blue/</w:t>
      </w:r>
      <w:r w:rsidR="009D51C9" w:rsidRPr="000D5FE2">
        <w:rPr>
          <w:rFonts w:ascii="Arial Narrow" w:hAnsi="Arial Narrow"/>
          <w:sz w:val="18"/>
          <w:szCs w:val="18"/>
        </w:rPr>
        <w:t>orange</w:t>
      </w:r>
      <w:r w:rsidRPr="000D5FE2">
        <w:rPr>
          <w:rFonts w:ascii="Arial Narrow" w:hAnsi="Arial Narrow"/>
          <w:sz w:val="18"/>
          <w:szCs w:val="18"/>
        </w:rPr>
        <w:t>) → alive on second treatment (dark blue/</w:t>
      </w:r>
      <w:r w:rsidR="009D51C9" w:rsidRPr="000D5FE2">
        <w:rPr>
          <w:rFonts w:ascii="Arial Narrow" w:hAnsi="Arial Narrow"/>
          <w:sz w:val="18"/>
          <w:szCs w:val="18"/>
        </w:rPr>
        <w:t>orange</w:t>
      </w:r>
      <w:r w:rsidRPr="000D5FE2">
        <w:rPr>
          <w:rFonts w:ascii="Arial Narrow" w:hAnsi="Arial Narrow"/>
          <w:sz w:val="18"/>
          <w:szCs w:val="18"/>
        </w:rPr>
        <w:t>) → alive on third treatment (pale blue/</w:t>
      </w:r>
      <w:r w:rsidR="009D51C9" w:rsidRPr="000D5FE2">
        <w:rPr>
          <w:rFonts w:ascii="Arial Narrow" w:hAnsi="Arial Narrow"/>
          <w:sz w:val="18"/>
          <w:szCs w:val="18"/>
        </w:rPr>
        <w:t>orange</w:t>
      </w:r>
      <w:r w:rsidRPr="000D5FE2">
        <w:rPr>
          <w:rFonts w:ascii="Arial Narrow" w:hAnsi="Arial Narrow"/>
          <w:sz w:val="18"/>
          <w:szCs w:val="18"/>
        </w:rPr>
        <w:t>)</w:t>
      </w:r>
      <w:bookmarkEnd w:id="16"/>
      <w:bookmarkEnd w:id="17"/>
    </w:p>
    <w:p w:rsidR="00E705AF" w:rsidRPr="000D5FE2" w:rsidRDefault="00E705AF" w:rsidP="00A77944">
      <w:pPr>
        <w:ind w:left="709"/>
        <w:rPr>
          <w:rFonts w:ascii="Arial Narrow" w:hAnsi="Arial Narrow"/>
          <w:sz w:val="18"/>
          <w:szCs w:val="18"/>
        </w:rPr>
      </w:pPr>
      <w:bookmarkStart w:id="18" w:name="_Toc469344722"/>
      <w:bookmarkStart w:id="19" w:name="_Toc471212100"/>
      <w:r w:rsidRPr="000D5FE2">
        <w:rPr>
          <w:rFonts w:ascii="Arial Narrow" w:hAnsi="Arial Narrow"/>
          <w:sz w:val="18"/>
          <w:szCs w:val="18"/>
        </w:rPr>
        <w:t>Source: constructed during the evaluation</w:t>
      </w:r>
      <w:bookmarkEnd w:id="18"/>
      <w:bookmarkEnd w:id="19"/>
    </w:p>
    <w:p w:rsidR="000E5344" w:rsidRPr="000D5FE2" w:rsidRDefault="000E5344" w:rsidP="00CA6904">
      <w:pPr>
        <w:widowControl/>
        <w:rPr>
          <w:szCs w:val="22"/>
        </w:rPr>
      </w:pPr>
    </w:p>
    <w:p w:rsidR="00CB5454" w:rsidRPr="000D5FE2" w:rsidRDefault="00CB5454" w:rsidP="00EB23C1">
      <w:pPr>
        <w:pStyle w:val="ListParagraph"/>
        <w:widowControl/>
        <w:numPr>
          <w:ilvl w:val="1"/>
          <w:numId w:val="2"/>
        </w:numPr>
        <w:rPr>
          <w:szCs w:val="22"/>
        </w:rPr>
      </w:pPr>
      <w:r w:rsidRPr="000D5FE2">
        <w:rPr>
          <w:szCs w:val="22"/>
        </w:rPr>
        <w:t>The PREVAIL trial data has been repurposed to provide a measure of quality of life benefit from delayed cytotoxic chemotherapy, using time in the different treatments as a proxy for progression.</w:t>
      </w:r>
    </w:p>
    <w:p w:rsidR="00CB5454" w:rsidRPr="000D5FE2" w:rsidRDefault="00CB5454" w:rsidP="00CB5454">
      <w:pPr>
        <w:pStyle w:val="ListParagraph"/>
        <w:widowControl/>
        <w:rPr>
          <w:szCs w:val="22"/>
        </w:rPr>
      </w:pPr>
    </w:p>
    <w:p w:rsidR="00C83E06" w:rsidRPr="000D5FE2" w:rsidRDefault="00C83E06" w:rsidP="00EB23C1">
      <w:pPr>
        <w:pStyle w:val="ListParagraph"/>
        <w:widowControl/>
        <w:numPr>
          <w:ilvl w:val="1"/>
          <w:numId w:val="2"/>
        </w:numPr>
        <w:rPr>
          <w:szCs w:val="22"/>
        </w:rPr>
      </w:pPr>
      <w:r w:rsidRPr="000D5FE2">
        <w:rPr>
          <w:szCs w:val="22"/>
        </w:rPr>
        <w:t xml:space="preserve">The modelled economic evaluation </w:t>
      </w:r>
      <w:r w:rsidR="00BC04C3" w:rsidRPr="000D5FE2">
        <w:rPr>
          <w:szCs w:val="22"/>
        </w:rPr>
        <w:t>(based on the time to chemotherapy outcome in PREVAIL</w:t>
      </w:r>
      <w:r w:rsidR="0032562C" w:rsidRPr="000D5FE2">
        <w:rPr>
          <w:szCs w:val="22"/>
        </w:rPr>
        <w:t xml:space="preserve"> ITT</w:t>
      </w:r>
      <w:r w:rsidR="00BC04C3" w:rsidRPr="000D5FE2">
        <w:rPr>
          <w:szCs w:val="22"/>
        </w:rPr>
        <w:t xml:space="preserve">) </w:t>
      </w:r>
      <w:r w:rsidRPr="000D5FE2">
        <w:rPr>
          <w:szCs w:val="22"/>
        </w:rPr>
        <w:t xml:space="preserve">predicted that the average delay in time to </w:t>
      </w:r>
      <w:r w:rsidR="00BC04C3" w:rsidRPr="000D5FE2">
        <w:rPr>
          <w:szCs w:val="22"/>
        </w:rPr>
        <w:t xml:space="preserve">disease progression </w:t>
      </w:r>
      <w:r w:rsidRPr="000D5FE2">
        <w:rPr>
          <w:szCs w:val="22"/>
        </w:rPr>
        <w:t>is 9.4 months for enzalutamide versus watchful waiting over the estimated mean survival of 40.1</w:t>
      </w:r>
      <w:r w:rsidR="003C25C4" w:rsidRPr="000D5FE2">
        <w:rPr>
          <w:szCs w:val="22"/>
        </w:rPr>
        <w:t xml:space="preserve"> </w:t>
      </w:r>
      <w:r w:rsidRPr="000D5FE2">
        <w:rPr>
          <w:szCs w:val="22"/>
        </w:rPr>
        <w:t>months.</w:t>
      </w:r>
      <w:r w:rsidR="0032562C" w:rsidRPr="000D5FE2">
        <w:rPr>
          <w:szCs w:val="22"/>
        </w:rPr>
        <w:t xml:space="preserve"> Table 6 presents a comparison of the mean time on </w:t>
      </w:r>
      <w:r w:rsidR="00FD4CFF" w:rsidRPr="000D5FE2">
        <w:rPr>
          <w:szCs w:val="22"/>
        </w:rPr>
        <w:t>treatment</w:t>
      </w:r>
      <w:r w:rsidR="0032562C" w:rsidRPr="000D5FE2">
        <w:rPr>
          <w:szCs w:val="22"/>
        </w:rPr>
        <w:t xml:space="preserve"> in the </w:t>
      </w:r>
      <w:r w:rsidR="00124040" w:rsidRPr="000D5FE2">
        <w:rPr>
          <w:szCs w:val="22"/>
        </w:rPr>
        <w:t xml:space="preserve">economic </w:t>
      </w:r>
      <w:r w:rsidR="0032562C" w:rsidRPr="000D5FE2">
        <w:rPr>
          <w:szCs w:val="22"/>
        </w:rPr>
        <w:t>model and trial evidence</w:t>
      </w:r>
      <w:r w:rsidR="00FD4CFF" w:rsidRPr="000D5FE2">
        <w:rPr>
          <w:szCs w:val="22"/>
        </w:rPr>
        <w:t>, before and after docetaxel; time on enzalutamide after docetaxel may have been significantly overestimated in the model.</w:t>
      </w:r>
    </w:p>
    <w:p w:rsidR="0032562C" w:rsidRPr="000D5FE2" w:rsidRDefault="0032562C" w:rsidP="00FE04A0"/>
    <w:p w:rsidR="0032562C" w:rsidRPr="000D5FE2" w:rsidRDefault="0032562C" w:rsidP="009246EC">
      <w:pPr>
        <w:ind w:left="720"/>
        <w:rPr>
          <w:rStyle w:val="CommentReference"/>
        </w:rPr>
      </w:pPr>
      <w:r w:rsidRPr="000D5FE2">
        <w:rPr>
          <w:rStyle w:val="CommentReference"/>
        </w:rPr>
        <w:t>Table 6</w:t>
      </w:r>
      <w:r w:rsidR="004A31A2" w:rsidRPr="000D5FE2">
        <w:rPr>
          <w:rStyle w:val="CommentReference"/>
        </w:rPr>
        <w:t xml:space="preserve">: </w:t>
      </w:r>
      <w:r w:rsidR="003C25C4" w:rsidRPr="000D5FE2">
        <w:rPr>
          <w:rStyle w:val="CommentReference"/>
        </w:rPr>
        <w:t>Av</w:t>
      </w:r>
      <w:r w:rsidR="009C0C31" w:rsidRPr="000D5FE2">
        <w:rPr>
          <w:rStyle w:val="CommentReference"/>
        </w:rPr>
        <w:t xml:space="preserve">erage </w:t>
      </w:r>
      <w:r w:rsidR="00124040" w:rsidRPr="000D5FE2">
        <w:rPr>
          <w:rStyle w:val="CommentReference"/>
        </w:rPr>
        <w:t xml:space="preserve">time on </w:t>
      </w:r>
      <w:r w:rsidR="009C0C31" w:rsidRPr="000D5FE2">
        <w:rPr>
          <w:rStyle w:val="CommentReference"/>
        </w:rPr>
        <w:t>treatment</w:t>
      </w:r>
      <w:r w:rsidR="009246EC" w:rsidRPr="000D5FE2">
        <w:rPr>
          <w:rStyle w:val="CommentReference"/>
        </w:rPr>
        <w:t xml:space="preserve"> reported in the clinical evidence and predicted by the model, before and after docetaxel </w:t>
      </w:r>
    </w:p>
    <w:tbl>
      <w:tblPr>
        <w:tblStyle w:val="TableGrid"/>
        <w:tblW w:w="0" w:type="auto"/>
        <w:tblInd w:w="737" w:type="dxa"/>
        <w:tblCellMar>
          <w:left w:w="28" w:type="dxa"/>
          <w:right w:w="28" w:type="dxa"/>
        </w:tblCellMar>
        <w:tblLook w:val="04A0" w:firstRow="1" w:lastRow="0" w:firstColumn="1" w:lastColumn="0" w:noHBand="0" w:noVBand="1"/>
        <w:tblCaption w:val="Table 6: Average time on treatment reported in the clinical evidence and predicted by the model, before and after docetaxel "/>
      </w:tblPr>
      <w:tblGrid>
        <w:gridCol w:w="1236"/>
        <w:gridCol w:w="749"/>
        <w:gridCol w:w="2268"/>
        <w:gridCol w:w="2268"/>
        <w:gridCol w:w="1824"/>
      </w:tblGrid>
      <w:tr w:rsidR="00F368B6" w:rsidRPr="000D5FE2" w:rsidTr="000373A3">
        <w:trPr>
          <w:tblHeader/>
        </w:trPr>
        <w:tc>
          <w:tcPr>
            <w:tcW w:w="1236" w:type="dxa"/>
            <w:vMerge w:val="restart"/>
          </w:tcPr>
          <w:p w:rsidR="00F368B6" w:rsidRPr="000D5FE2" w:rsidRDefault="00F368B6" w:rsidP="0032562C">
            <w:pPr>
              <w:rPr>
                <w:rStyle w:val="CommentReference"/>
                <w:b w:val="0"/>
                <w:bCs/>
              </w:rPr>
            </w:pPr>
          </w:p>
        </w:tc>
        <w:tc>
          <w:tcPr>
            <w:tcW w:w="5285" w:type="dxa"/>
            <w:gridSpan w:val="3"/>
          </w:tcPr>
          <w:p w:rsidR="00F368B6" w:rsidRPr="000D5FE2" w:rsidRDefault="00F368B6" w:rsidP="00124040">
            <w:pPr>
              <w:jc w:val="center"/>
              <w:rPr>
                <w:rStyle w:val="CommentReference"/>
                <w:b w:val="0"/>
                <w:bCs/>
              </w:rPr>
            </w:pPr>
            <w:r w:rsidRPr="000D5FE2">
              <w:rPr>
                <w:rStyle w:val="CommentReference"/>
                <w:b w:val="0"/>
                <w:bCs/>
              </w:rPr>
              <w:t>Trial evidence</w:t>
            </w:r>
          </w:p>
        </w:tc>
        <w:tc>
          <w:tcPr>
            <w:tcW w:w="1824" w:type="dxa"/>
            <w:vMerge w:val="restart"/>
            <w:vAlign w:val="center"/>
          </w:tcPr>
          <w:p w:rsidR="00A42A76" w:rsidRPr="000D5FE2" w:rsidRDefault="00F368B6" w:rsidP="00124040">
            <w:pPr>
              <w:jc w:val="center"/>
              <w:rPr>
                <w:rStyle w:val="CommentReference"/>
                <w:b w:val="0"/>
                <w:bCs/>
              </w:rPr>
            </w:pPr>
            <w:r w:rsidRPr="000D5FE2">
              <w:rPr>
                <w:rStyle w:val="CommentReference"/>
                <w:b w:val="0"/>
                <w:bCs/>
              </w:rPr>
              <w:t xml:space="preserve">Economic model </w:t>
            </w:r>
          </w:p>
          <w:p w:rsidR="00F368B6" w:rsidRPr="000D5FE2" w:rsidRDefault="00F368B6" w:rsidP="00124040">
            <w:pPr>
              <w:jc w:val="center"/>
              <w:rPr>
                <w:rStyle w:val="CommentReference"/>
                <w:b w:val="0"/>
                <w:bCs/>
              </w:rPr>
            </w:pPr>
            <w:r w:rsidRPr="000D5FE2">
              <w:rPr>
                <w:rStyle w:val="CommentReference"/>
                <w:b w:val="0"/>
                <w:bCs/>
              </w:rPr>
              <w:t>(Sections D and E)</w:t>
            </w:r>
          </w:p>
        </w:tc>
      </w:tr>
      <w:tr w:rsidR="00F368B6" w:rsidRPr="000D5FE2" w:rsidTr="000373A3">
        <w:trPr>
          <w:tblHeader/>
        </w:trPr>
        <w:tc>
          <w:tcPr>
            <w:tcW w:w="1236" w:type="dxa"/>
            <w:vMerge/>
          </w:tcPr>
          <w:p w:rsidR="00F368B6" w:rsidRPr="000D5FE2" w:rsidRDefault="00F368B6" w:rsidP="0032562C">
            <w:pPr>
              <w:rPr>
                <w:rStyle w:val="CommentReference"/>
                <w:b w:val="0"/>
                <w:bCs/>
              </w:rPr>
            </w:pPr>
          </w:p>
        </w:tc>
        <w:tc>
          <w:tcPr>
            <w:tcW w:w="749" w:type="dxa"/>
          </w:tcPr>
          <w:p w:rsidR="00F368B6" w:rsidRPr="000D5FE2" w:rsidRDefault="00F368B6" w:rsidP="00124040">
            <w:pPr>
              <w:jc w:val="center"/>
              <w:rPr>
                <w:rStyle w:val="CommentReference"/>
                <w:b w:val="0"/>
                <w:bCs/>
              </w:rPr>
            </w:pPr>
            <w:r w:rsidRPr="000D5FE2">
              <w:rPr>
                <w:rStyle w:val="CommentReference"/>
                <w:b w:val="0"/>
                <w:bCs/>
              </w:rPr>
              <w:t>Source</w:t>
            </w:r>
          </w:p>
        </w:tc>
        <w:tc>
          <w:tcPr>
            <w:tcW w:w="2268" w:type="dxa"/>
            <w:vAlign w:val="center"/>
          </w:tcPr>
          <w:p w:rsidR="00F368B6" w:rsidRPr="000D5FE2" w:rsidRDefault="00A12898" w:rsidP="009246EC">
            <w:pPr>
              <w:jc w:val="center"/>
              <w:rPr>
                <w:rStyle w:val="CommentReference"/>
                <w:b w:val="0"/>
                <w:bCs/>
              </w:rPr>
            </w:pPr>
            <w:r w:rsidRPr="000D5FE2">
              <w:rPr>
                <w:rStyle w:val="CommentReference"/>
                <w:b w:val="0"/>
                <w:bCs/>
              </w:rPr>
              <w:t>Treatment duration (Safety)</w:t>
            </w:r>
          </w:p>
        </w:tc>
        <w:tc>
          <w:tcPr>
            <w:tcW w:w="2268" w:type="dxa"/>
            <w:vAlign w:val="center"/>
          </w:tcPr>
          <w:p w:rsidR="00F368B6" w:rsidRPr="000D5FE2" w:rsidRDefault="00F368B6" w:rsidP="00124040">
            <w:pPr>
              <w:jc w:val="center"/>
              <w:rPr>
                <w:rStyle w:val="CommentReference"/>
                <w:b w:val="0"/>
                <w:bCs/>
              </w:rPr>
            </w:pPr>
            <w:r w:rsidRPr="000D5FE2">
              <w:rPr>
                <w:rStyle w:val="CommentReference"/>
                <w:b w:val="0"/>
                <w:bCs/>
              </w:rPr>
              <w:t>Time to chemotherapy</w:t>
            </w:r>
            <w:r w:rsidR="00A12898" w:rsidRPr="000D5FE2">
              <w:rPr>
                <w:rStyle w:val="CommentReference"/>
                <w:b w:val="0"/>
                <w:bCs/>
              </w:rPr>
              <w:t xml:space="preserve"> (ITT)</w:t>
            </w:r>
          </w:p>
        </w:tc>
        <w:tc>
          <w:tcPr>
            <w:tcW w:w="1824" w:type="dxa"/>
            <w:vMerge/>
          </w:tcPr>
          <w:p w:rsidR="00F368B6" w:rsidRPr="000D5FE2" w:rsidRDefault="00F368B6" w:rsidP="0032562C">
            <w:pPr>
              <w:rPr>
                <w:rStyle w:val="CommentReference"/>
                <w:b w:val="0"/>
                <w:bCs/>
              </w:rPr>
            </w:pPr>
          </w:p>
        </w:tc>
      </w:tr>
      <w:tr w:rsidR="0010478C" w:rsidRPr="000D5FE2" w:rsidTr="0010478C">
        <w:tc>
          <w:tcPr>
            <w:tcW w:w="8345" w:type="dxa"/>
            <w:gridSpan w:val="5"/>
            <w:vAlign w:val="center"/>
          </w:tcPr>
          <w:p w:rsidR="0010478C" w:rsidRPr="000D5FE2" w:rsidRDefault="0010478C" w:rsidP="0010478C">
            <w:pPr>
              <w:jc w:val="left"/>
              <w:rPr>
                <w:rStyle w:val="CommentReference"/>
              </w:rPr>
            </w:pPr>
            <w:r w:rsidRPr="000D5FE2">
              <w:rPr>
                <w:rStyle w:val="CommentReference"/>
              </w:rPr>
              <w:t>Pre-docetaxel</w:t>
            </w:r>
          </w:p>
        </w:tc>
      </w:tr>
      <w:tr w:rsidR="0010478C" w:rsidRPr="000D5FE2" w:rsidTr="00A12898">
        <w:tc>
          <w:tcPr>
            <w:tcW w:w="1236" w:type="dxa"/>
            <w:vAlign w:val="center"/>
          </w:tcPr>
          <w:p w:rsidR="0010478C" w:rsidRPr="000D5FE2" w:rsidRDefault="0010478C" w:rsidP="00A42A76">
            <w:pPr>
              <w:jc w:val="left"/>
              <w:rPr>
                <w:rStyle w:val="CommentReference"/>
                <w:b w:val="0"/>
                <w:bCs/>
              </w:rPr>
            </w:pPr>
            <w:r w:rsidRPr="000D5FE2">
              <w:rPr>
                <w:rStyle w:val="CommentReference"/>
                <w:b w:val="0"/>
                <w:bCs/>
              </w:rPr>
              <w:t xml:space="preserve">Enzalutamide </w:t>
            </w:r>
          </w:p>
        </w:tc>
        <w:tc>
          <w:tcPr>
            <w:tcW w:w="749" w:type="dxa"/>
            <w:vMerge w:val="restart"/>
            <w:vAlign w:val="center"/>
          </w:tcPr>
          <w:p w:rsidR="0010478C" w:rsidRPr="000D5FE2" w:rsidRDefault="0010478C" w:rsidP="00A42A76">
            <w:pPr>
              <w:jc w:val="center"/>
              <w:rPr>
                <w:rStyle w:val="CommentReference"/>
                <w:b w:val="0"/>
                <w:bCs/>
              </w:rPr>
            </w:pPr>
            <w:r w:rsidRPr="000D5FE2">
              <w:rPr>
                <w:rStyle w:val="CommentReference"/>
                <w:b w:val="0"/>
                <w:bCs/>
              </w:rPr>
              <w:t>PREVAIL</w:t>
            </w:r>
          </w:p>
        </w:tc>
        <w:tc>
          <w:tcPr>
            <w:tcW w:w="2268" w:type="dxa"/>
            <w:vAlign w:val="center"/>
          </w:tcPr>
          <w:p w:rsidR="0010478C" w:rsidRPr="000D5FE2" w:rsidRDefault="0010478C" w:rsidP="00F368B6">
            <w:pPr>
              <w:jc w:val="center"/>
              <w:rPr>
                <w:rStyle w:val="CommentReference"/>
                <w:b w:val="0"/>
                <w:bCs/>
              </w:rPr>
            </w:pPr>
            <w:r w:rsidRPr="000D5FE2">
              <w:rPr>
                <w:rStyle w:val="CommentReference"/>
                <w:b w:val="0"/>
                <w:bCs/>
              </w:rPr>
              <w:t>16.6 months (median);</w:t>
            </w:r>
          </w:p>
          <w:p w:rsidR="0010478C" w:rsidRPr="000D5FE2" w:rsidRDefault="0010478C" w:rsidP="00F368B6">
            <w:pPr>
              <w:jc w:val="center"/>
              <w:rPr>
                <w:rStyle w:val="CommentReference"/>
                <w:b w:val="0"/>
                <w:bCs/>
              </w:rPr>
            </w:pPr>
            <w:r w:rsidRPr="000D5FE2">
              <w:rPr>
                <w:rStyle w:val="CommentReference"/>
                <w:b w:val="0"/>
                <w:bCs/>
              </w:rPr>
              <w:t>15.8 months (mean)</w:t>
            </w:r>
          </w:p>
        </w:tc>
        <w:tc>
          <w:tcPr>
            <w:tcW w:w="2268" w:type="dxa"/>
            <w:vAlign w:val="center"/>
          </w:tcPr>
          <w:p w:rsidR="0010478C" w:rsidRPr="000D5FE2" w:rsidRDefault="0010478C" w:rsidP="00F368B6">
            <w:pPr>
              <w:jc w:val="center"/>
              <w:rPr>
                <w:rStyle w:val="CommentReference"/>
                <w:b w:val="0"/>
                <w:bCs/>
                <w:vertAlign w:val="superscript"/>
              </w:rPr>
            </w:pPr>
            <w:r w:rsidRPr="000D5FE2">
              <w:rPr>
                <w:rStyle w:val="CommentReference"/>
                <w:b w:val="0"/>
                <w:bCs/>
              </w:rPr>
              <w:t>28.0 months (median)</w:t>
            </w:r>
            <w:r w:rsidRPr="000D5FE2">
              <w:rPr>
                <w:rStyle w:val="CommentReference"/>
                <w:b w:val="0"/>
                <w:bCs/>
                <w:vertAlign w:val="superscript"/>
              </w:rPr>
              <w:t>a</w:t>
            </w:r>
          </w:p>
        </w:tc>
        <w:tc>
          <w:tcPr>
            <w:tcW w:w="1824" w:type="dxa"/>
            <w:vAlign w:val="center"/>
          </w:tcPr>
          <w:p w:rsidR="0010478C" w:rsidRPr="00B63D9E" w:rsidRDefault="009278D7" w:rsidP="009246EC">
            <w:pPr>
              <w:jc w:val="center"/>
              <w:rPr>
                <w:rStyle w:val="CommentReference"/>
                <w:b w:val="0"/>
                <w:bCs/>
              </w:rPr>
            </w:pPr>
            <w:r>
              <w:rPr>
                <w:rStyle w:val="CommentReference"/>
                <w:b w:val="0"/>
                <w:bCs/>
                <w:noProof/>
                <w:color w:val="000000"/>
                <w:highlight w:val="black"/>
              </w:rPr>
              <w:t>''''''''''</w:t>
            </w:r>
            <w:r w:rsidR="0010478C" w:rsidRPr="00B63D9E">
              <w:rPr>
                <w:rStyle w:val="CommentReference"/>
                <w:b w:val="0"/>
                <w:bCs/>
              </w:rPr>
              <w:t xml:space="preserve"> months (median);</w:t>
            </w:r>
          </w:p>
          <w:p w:rsidR="0010478C" w:rsidRPr="009278D7" w:rsidRDefault="009278D7" w:rsidP="00F368B6">
            <w:pPr>
              <w:jc w:val="center"/>
              <w:rPr>
                <w:rStyle w:val="CommentReference"/>
                <w:b w:val="0"/>
                <w:bCs/>
              </w:rPr>
            </w:pPr>
            <w:r>
              <w:rPr>
                <w:rStyle w:val="CommentReference"/>
                <w:b w:val="0"/>
                <w:bCs/>
                <w:noProof/>
                <w:color w:val="000000"/>
                <w:highlight w:val="black"/>
              </w:rPr>
              <w:t xml:space="preserve">'''''''''' </w:t>
            </w:r>
            <w:r w:rsidR="0010478C" w:rsidRPr="00B63D9E">
              <w:rPr>
                <w:rStyle w:val="CommentReference"/>
                <w:b w:val="0"/>
                <w:bCs/>
              </w:rPr>
              <w:t>months (mean)</w:t>
            </w:r>
          </w:p>
        </w:tc>
      </w:tr>
      <w:tr w:rsidR="0010478C" w:rsidRPr="000D5FE2" w:rsidTr="00A12898">
        <w:tc>
          <w:tcPr>
            <w:tcW w:w="1236" w:type="dxa"/>
            <w:vAlign w:val="center"/>
          </w:tcPr>
          <w:p w:rsidR="0010478C" w:rsidRPr="000D5FE2" w:rsidRDefault="0010478C" w:rsidP="00A42A76">
            <w:pPr>
              <w:jc w:val="left"/>
              <w:rPr>
                <w:rStyle w:val="CommentReference"/>
                <w:b w:val="0"/>
                <w:bCs/>
              </w:rPr>
            </w:pPr>
            <w:r w:rsidRPr="000D5FE2">
              <w:rPr>
                <w:rStyle w:val="CommentReference"/>
                <w:b w:val="0"/>
                <w:bCs/>
              </w:rPr>
              <w:t>Placebo / watchful waiting</w:t>
            </w:r>
          </w:p>
        </w:tc>
        <w:tc>
          <w:tcPr>
            <w:tcW w:w="749" w:type="dxa"/>
            <w:vMerge/>
            <w:vAlign w:val="center"/>
          </w:tcPr>
          <w:p w:rsidR="0010478C" w:rsidRPr="000D5FE2" w:rsidRDefault="0010478C" w:rsidP="00A42A76">
            <w:pPr>
              <w:jc w:val="center"/>
              <w:rPr>
                <w:rStyle w:val="CommentReference"/>
                <w:b w:val="0"/>
                <w:bCs/>
              </w:rPr>
            </w:pPr>
          </w:p>
        </w:tc>
        <w:tc>
          <w:tcPr>
            <w:tcW w:w="2268" w:type="dxa"/>
            <w:vAlign w:val="center"/>
          </w:tcPr>
          <w:p w:rsidR="0010478C" w:rsidRPr="000D5FE2" w:rsidRDefault="009246EC" w:rsidP="00F368B6">
            <w:pPr>
              <w:jc w:val="center"/>
              <w:rPr>
                <w:rStyle w:val="CommentReference"/>
                <w:b w:val="0"/>
                <w:bCs/>
              </w:rPr>
            </w:pPr>
            <w:r w:rsidRPr="000D5FE2">
              <w:rPr>
                <w:rStyle w:val="CommentReference"/>
                <w:b w:val="0"/>
                <w:bCs/>
              </w:rPr>
              <w:t>4.6 months (median);</w:t>
            </w:r>
          </w:p>
          <w:p w:rsidR="009246EC" w:rsidRPr="000D5FE2" w:rsidRDefault="009246EC" w:rsidP="00F368B6">
            <w:pPr>
              <w:jc w:val="center"/>
              <w:rPr>
                <w:rStyle w:val="CommentReference"/>
                <w:b w:val="0"/>
                <w:bCs/>
              </w:rPr>
            </w:pPr>
            <w:r w:rsidRPr="000D5FE2">
              <w:rPr>
                <w:rStyle w:val="CommentReference"/>
                <w:b w:val="0"/>
                <w:bCs/>
              </w:rPr>
              <w:t>7.0 months (mean)</w:t>
            </w:r>
          </w:p>
        </w:tc>
        <w:tc>
          <w:tcPr>
            <w:tcW w:w="2268" w:type="dxa"/>
            <w:vAlign w:val="center"/>
          </w:tcPr>
          <w:p w:rsidR="0010478C" w:rsidRPr="000D5FE2" w:rsidRDefault="00D00E94" w:rsidP="00F368B6">
            <w:pPr>
              <w:jc w:val="center"/>
              <w:rPr>
                <w:rStyle w:val="CommentReference"/>
                <w:b w:val="0"/>
                <w:bCs/>
                <w:vertAlign w:val="superscript"/>
              </w:rPr>
            </w:pPr>
            <w:r w:rsidRPr="000D5FE2">
              <w:rPr>
                <w:rStyle w:val="CommentReference"/>
                <w:b w:val="0"/>
                <w:bCs/>
              </w:rPr>
              <w:t>10.8 months (median)</w:t>
            </w:r>
            <w:r w:rsidRPr="000D5FE2">
              <w:rPr>
                <w:rStyle w:val="CommentReference"/>
                <w:b w:val="0"/>
                <w:bCs/>
                <w:vertAlign w:val="superscript"/>
              </w:rPr>
              <w:t>a</w:t>
            </w:r>
          </w:p>
        </w:tc>
        <w:tc>
          <w:tcPr>
            <w:tcW w:w="1824" w:type="dxa"/>
            <w:vAlign w:val="center"/>
          </w:tcPr>
          <w:p w:rsidR="0010478C" w:rsidRPr="009278D7" w:rsidRDefault="009278D7" w:rsidP="00F368B6">
            <w:pPr>
              <w:jc w:val="center"/>
              <w:rPr>
                <w:rStyle w:val="CommentReference"/>
                <w:b w:val="0"/>
                <w:bCs/>
              </w:rPr>
            </w:pPr>
            <w:r>
              <w:rPr>
                <w:rStyle w:val="CommentReference"/>
                <w:b w:val="0"/>
                <w:bCs/>
                <w:noProof/>
                <w:color w:val="000000"/>
                <w:highlight w:val="black"/>
              </w:rPr>
              <w:t>''''''''''</w:t>
            </w:r>
            <w:r w:rsidR="0010478C" w:rsidRPr="00B63D9E">
              <w:rPr>
                <w:rStyle w:val="CommentReference"/>
                <w:b w:val="0"/>
                <w:bCs/>
              </w:rPr>
              <w:t xml:space="preserve"> months (median);</w:t>
            </w:r>
          </w:p>
          <w:p w:rsidR="0010478C" w:rsidRPr="009278D7" w:rsidRDefault="009278D7" w:rsidP="00F368B6">
            <w:pPr>
              <w:jc w:val="center"/>
              <w:rPr>
                <w:rStyle w:val="CommentReference"/>
                <w:b w:val="0"/>
                <w:bCs/>
              </w:rPr>
            </w:pPr>
            <w:r>
              <w:rPr>
                <w:rStyle w:val="CommentReference"/>
                <w:b w:val="0"/>
                <w:bCs/>
                <w:noProof/>
                <w:color w:val="000000"/>
                <w:highlight w:val="black"/>
              </w:rPr>
              <w:t xml:space="preserve">''''''''''' </w:t>
            </w:r>
            <w:r w:rsidR="00565EC8" w:rsidRPr="00B63D9E">
              <w:rPr>
                <w:rStyle w:val="CommentReference"/>
                <w:b w:val="0"/>
                <w:bCs/>
              </w:rPr>
              <w:t>months (mean)</w:t>
            </w:r>
          </w:p>
        </w:tc>
      </w:tr>
      <w:tr w:rsidR="0010478C" w:rsidRPr="000D5FE2" w:rsidTr="0010478C">
        <w:tc>
          <w:tcPr>
            <w:tcW w:w="8345" w:type="dxa"/>
            <w:gridSpan w:val="5"/>
            <w:vAlign w:val="center"/>
          </w:tcPr>
          <w:p w:rsidR="0010478C" w:rsidRPr="009278D7" w:rsidRDefault="0010478C" w:rsidP="0010478C">
            <w:pPr>
              <w:jc w:val="left"/>
              <w:rPr>
                <w:rStyle w:val="CommentReference"/>
              </w:rPr>
            </w:pPr>
            <w:r w:rsidRPr="001570FD">
              <w:rPr>
                <w:rStyle w:val="CommentReference"/>
              </w:rPr>
              <w:t>Post-docetaxel</w:t>
            </w:r>
          </w:p>
        </w:tc>
      </w:tr>
      <w:tr w:rsidR="00D00E94" w:rsidRPr="000D5FE2" w:rsidTr="00A12898">
        <w:tc>
          <w:tcPr>
            <w:tcW w:w="1236" w:type="dxa"/>
            <w:vAlign w:val="center"/>
          </w:tcPr>
          <w:p w:rsidR="00D00E94" w:rsidRPr="000D5FE2" w:rsidRDefault="00D00E94" w:rsidP="00A42A76">
            <w:pPr>
              <w:jc w:val="left"/>
              <w:rPr>
                <w:rStyle w:val="CommentReference"/>
                <w:b w:val="0"/>
                <w:bCs/>
              </w:rPr>
            </w:pPr>
            <w:r w:rsidRPr="000D5FE2">
              <w:rPr>
                <w:rStyle w:val="CommentReference"/>
                <w:b w:val="0"/>
                <w:bCs/>
              </w:rPr>
              <w:t>Enzalutamide</w:t>
            </w:r>
          </w:p>
        </w:tc>
        <w:tc>
          <w:tcPr>
            <w:tcW w:w="749" w:type="dxa"/>
            <w:vMerge w:val="restart"/>
            <w:vAlign w:val="center"/>
          </w:tcPr>
          <w:p w:rsidR="00D00E94" w:rsidRPr="000D5FE2" w:rsidRDefault="00D00E94" w:rsidP="00A42A76">
            <w:pPr>
              <w:jc w:val="center"/>
              <w:rPr>
                <w:rStyle w:val="CommentReference"/>
                <w:b w:val="0"/>
                <w:bCs/>
              </w:rPr>
            </w:pPr>
            <w:r w:rsidRPr="000D5FE2">
              <w:rPr>
                <w:rStyle w:val="CommentReference"/>
                <w:b w:val="0"/>
                <w:bCs/>
              </w:rPr>
              <w:t>AFFIRM</w:t>
            </w:r>
          </w:p>
        </w:tc>
        <w:tc>
          <w:tcPr>
            <w:tcW w:w="2268" w:type="dxa"/>
            <w:vAlign w:val="center"/>
          </w:tcPr>
          <w:p w:rsidR="00D00E94" w:rsidRPr="000D5FE2" w:rsidRDefault="00D00E94" w:rsidP="00F368B6">
            <w:pPr>
              <w:jc w:val="center"/>
              <w:rPr>
                <w:rStyle w:val="CommentReference"/>
                <w:b w:val="0"/>
                <w:bCs/>
              </w:rPr>
            </w:pPr>
            <w:r w:rsidRPr="000D5FE2">
              <w:rPr>
                <w:rStyle w:val="CommentReference"/>
                <w:b w:val="0"/>
                <w:bCs/>
              </w:rPr>
              <w:t>8.3 months (median);</w:t>
            </w:r>
          </w:p>
          <w:p w:rsidR="00D00E94" w:rsidRPr="000D5FE2" w:rsidRDefault="00D00E94" w:rsidP="00F368B6">
            <w:pPr>
              <w:jc w:val="center"/>
              <w:rPr>
                <w:rStyle w:val="CommentReference"/>
                <w:b w:val="0"/>
                <w:bCs/>
              </w:rPr>
            </w:pPr>
            <w:r w:rsidRPr="000D5FE2">
              <w:rPr>
                <w:rStyle w:val="CommentReference"/>
                <w:b w:val="0"/>
                <w:bCs/>
              </w:rPr>
              <w:t>8.5 months (mean)</w:t>
            </w:r>
          </w:p>
        </w:tc>
        <w:tc>
          <w:tcPr>
            <w:tcW w:w="2268" w:type="dxa"/>
            <w:vAlign w:val="center"/>
          </w:tcPr>
          <w:p w:rsidR="00D00E94" w:rsidRPr="000D5FE2" w:rsidRDefault="009246EC" w:rsidP="00A42A76">
            <w:pPr>
              <w:jc w:val="center"/>
              <w:rPr>
                <w:rStyle w:val="CommentReference"/>
                <w:b w:val="0"/>
                <w:bCs/>
              </w:rPr>
            </w:pPr>
            <w:r w:rsidRPr="000D5FE2">
              <w:rPr>
                <w:rStyle w:val="CommentReference"/>
                <w:b w:val="0"/>
                <w:bCs/>
              </w:rPr>
              <w:t>-</w:t>
            </w:r>
          </w:p>
        </w:tc>
        <w:tc>
          <w:tcPr>
            <w:tcW w:w="1824" w:type="dxa"/>
            <w:vAlign w:val="center"/>
          </w:tcPr>
          <w:p w:rsidR="00D00E94" w:rsidRPr="009278D7" w:rsidRDefault="009278D7" w:rsidP="0010478C">
            <w:pPr>
              <w:jc w:val="center"/>
              <w:rPr>
                <w:rStyle w:val="CommentReference"/>
                <w:b w:val="0"/>
                <w:bCs/>
              </w:rPr>
            </w:pPr>
            <w:r>
              <w:rPr>
                <w:rStyle w:val="CommentReference"/>
                <w:b w:val="0"/>
                <w:bCs/>
                <w:noProof/>
                <w:color w:val="000000"/>
                <w:highlight w:val="black"/>
              </w:rPr>
              <w:t xml:space="preserve">''''''''' </w:t>
            </w:r>
            <w:r w:rsidR="00D00E94" w:rsidRPr="00B63D9E">
              <w:rPr>
                <w:rStyle w:val="CommentReference"/>
                <w:b w:val="0"/>
                <w:bCs/>
              </w:rPr>
              <w:t>months (median)</w:t>
            </w:r>
            <w:r w:rsidR="00D00E94" w:rsidRPr="00B63D9E">
              <w:rPr>
                <w:rStyle w:val="CommentReference"/>
                <w:b w:val="0"/>
                <w:bCs/>
                <w:vertAlign w:val="superscript"/>
              </w:rPr>
              <w:t>b</w:t>
            </w:r>
            <w:r w:rsidR="00D00E94" w:rsidRPr="00B63D9E">
              <w:rPr>
                <w:rStyle w:val="CommentReference"/>
                <w:b w:val="0"/>
                <w:bCs/>
              </w:rPr>
              <w:t>;</w:t>
            </w:r>
          </w:p>
          <w:p w:rsidR="00D00E94" w:rsidRPr="009278D7" w:rsidRDefault="009278D7" w:rsidP="00F368B6">
            <w:pPr>
              <w:jc w:val="center"/>
              <w:rPr>
                <w:rStyle w:val="CommentReference"/>
                <w:b w:val="0"/>
                <w:bCs/>
                <w:vertAlign w:val="superscript"/>
              </w:rPr>
            </w:pPr>
            <w:r>
              <w:rPr>
                <w:rStyle w:val="CommentReference"/>
                <w:b w:val="0"/>
                <w:bCs/>
                <w:noProof/>
                <w:color w:val="000000"/>
                <w:highlight w:val="black"/>
              </w:rPr>
              <w:t>'''''''''''</w:t>
            </w:r>
            <w:r w:rsidR="00D00E94" w:rsidRPr="00B63D9E">
              <w:rPr>
                <w:rStyle w:val="CommentReference"/>
                <w:b w:val="0"/>
                <w:bCs/>
              </w:rPr>
              <w:t xml:space="preserve"> months (mean)</w:t>
            </w:r>
            <w:r w:rsidR="00D00E94" w:rsidRPr="00B63D9E">
              <w:rPr>
                <w:rStyle w:val="CommentReference"/>
                <w:b w:val="0"/>
                <w:bCs/>
                <w:vertAlign w:val="superscript"/>
              </w:rPr>
              <w:t>b</w:t>
            </w:r>
          </w:p>
        </w:tc>
      </w:tr>
      <w:tr w:rsidR="00D00E94" w:rsidRPr="000D5FE2" w:rsidTr="00A12898">
        <w:tc>
          <w:tcPr>
            <w:tcW w:w="1236" w:type="dxa"/>
            <w:vAlign w:val="center"/>
          </w:tcPr>
          <w:p w:rsidR="00D00E94" w:rsidRPr="000D5FE2" w:rsidRDefault="00D00E94" w:rsidP="00A40528">
            <w:pPr>
              <w:jc w:val="left"/>
              <w:rPr>
                <w:rStyle w:val="CommentReference"/>
                <w:b w:val="0"/>
                <w:bCs/>
              </w:rPr>
            </w:pPr>
            <w:r w:rsidRPr="000D5FE2">
              <w:rPr>
                <w:rStyle w:val="CommentReference"/>
                <w:b w:val="0"/>
                <w:bCs/>
              </w:rPr>
              <w:t>Placebo / watchful waiting</w:t>
            </w:r>
          </w:p>
        </w:tc>
        <w:tc>
          <w:tcPr>
            <w:tcW w:w="749" w:type="dxa"/>
            <w:vMerge/>
            <w:vAlign w:val="center"/>
          </w:tcPr>
          <w:p w:rsidR="00D00E94" w:rsidRPr="000D5FE2" w:rsidRDefault="00D00E94" w:rsidP="00A40528">
            <w:pPr>
              <w:jc w:val="center"/>
              <w:rPr>
                <w:rStyle w:val="CommentReference"/>
                <w:b w:val="0"/>
                <w:bCs/>
              </w:rPr>
            </w:pPr>
          </w:p>
        </w:tc>
        <w:tc>
          <w:tcPr>
            <w:tcW w:w="2268" w:type="dxa"/>
            <w:vAlign w:val="center"/>
          </w:tcPr>
          <w:p w:rsidR="00D00E94" w:rsidRPr="000D5FE2" w:rsidRDefault="009246EC" w:rsidP="00A40528">
            <w:pPr>
              <w:jc w:val="center"/>
              <w:rPr>
                <w:rStyle w:val="CommentReference"/>
                <w:b w:val="0"/>
                <w:bCs/>
              </w:rPr>
            </w:pPr>
            <w:r w:rsidRPr="000D5FE2">
              <w:rPr>
                <w:rStyle w:val="CommentReference"/>
                <w:b w:val="0"/>
                <w:bCs/>
              </w:rPr>
              <w:t>3.0 months (median);</w:t>
            </w:r>
          </w:p>
          <w:p w:rsidR="009246EC" w:rsidRPr="000D5FE2" w:rsidRDefault="009246EC" w:rsidP="00A40528">
            <w:pPr>
              <w:jc w:val="center"/>
              <w:rPr>
                <w:rStyle w:val="CommentReference"/>
                <w:b w:val="0"/>
                <w:bCs/>
              </w:rPr>
            </w:pPr>
            <w:r w:rsidRPr="000D5FE2">
              <w:rPr>
                <w:rStyle w:val="CommentReference"/>
                <w:b w:val="0"/>
                <w:bCs/>
              </w:rPr>
              <w:t>4.3 months (mean)</w:t>
            </w:r>
          </w:p>
        </w:tc>
        <w:tc>
          <w:tcPr>
            <w:tcW w:w="2268" w:type="dxa"/>
            <w:vAlign w:val="center"/>
          </w:tcPr>
          <w:p w:rsidR="00D00E94" w:rsidRPr="000D5FE2" w:rsidRDefault="009246EC" w:rsidP="00A40528">
            <w:pPr>
              <w:jc w:val="center"/>
              <w:rPr>
                <w:rStyle w:val="CommentReference"/>
                <w:b w:val="0"/>
                <w:bCs/>
              </w:rPr>
            </w:pPr>
            <w:r w:rsidRPr="000D5FE2">
              <w:rPr>
                <w:rStyle w:val="CommentReference"/>
                <w:b w:val="0"/>
                <w:bCs/>
              </w:rPr>
              <w:t>-</w:t>
            </w:r>
          </w:p>
        </w:tc>
        <w:tc>
          <w:tcPr>
            <w:tcW w:w="1824" w:type="dxa"/>
            <w:vAlign w:val="center"/>
          </w:tcPr>
          <w:p w:rsidR="00D00E94" w:rsidRPr="009278D7" w:rsidRDefault="009278D7" w:rsidP="00A40528">
            <w:pPr>
              <w:jc w:val="center"/>
              <w:rPr>
                <w:rStyle w:val="CommentReference"/>
                <w:b w:val="0"/>
                <w:bCs/>
              </w:rPr>
            </w:pPr>
            <w:r>
              <w:rPr>
                <w:rStyle w:val="CommentReference"/>
                <w:b w:val="0"/>
                <w:bCs/>
                <w:noProof/>
                <w:color w:val="000000"/>
                <w:highlight w:val="black"/>
              </w:rPr>
              <w:t>'''''''''</w:t>
            </w:r>
            <w:r w:rsidR="00D00E94" w:rsidRPr="00B63D9E">
              <w:rPr>
                <w:rStyle w:val="CommentReference"/>
                <w:b w:val="0"/>
                <w:bCs/>
              </w:rPr>
              <w:t xml:space="preserve"> months (median)</w:t>
            </w:r>
            <w:r w:rsidR="00D00E94" w:rsidRPr="00B63D9E">
              <w:rPr>
                <w:rStyle w:val="CommentReference"/>
                <w:b w:val="0"/>
                <w:bCs/>
                <w:vertAlign w:val="superscript"/>
              </w:rPr>
              <w:t>b</w:t>
            </w:r>
            <w:r w:rsidR="00D00E94" w:rsidRPr="00B63D9E">
              <w:rPr>
                <w:rStyle w:val="CommentReference"/>
                <w:b w:val="0"/>
                <w:bCs/>
              </w:rPr>
              <w:t>;</w:t>
            </w:r>
          </w:p>
          <w:p w:rsidR="00D00E94" w:rsidRPr="009278D7" w:rsidRDefault="009278D7" w:rsidP="00A40528">
            <w:pPr>
              <w:jc w:val="center"/>
              <w:rPr>
                <w:rStyle w:val="CommentReference"/>
                <w:b w:val="0"/>
                <w:bCs/>
                <w:vertAlign w:val="superscript"/>
              </w:rPr>
            </w:pPr>
            <w:r>
              <w:rPr>
                <w:rStyle w:val="CommentReference"/>
                <w:b w:val="0"/>
                <w:bCs/>
                <w:noProof/>
                <w:color w:val="000000"/>
                <w:highlight w:val="black"/>
              </w:rPr>
              <w:t>'''''''''''</w:t>
            </w:r>
            <w:r w:rsidR="00D00E94" w:rsidRPr="00B63D9E">
              <w:rPr>
                <w:rStyle w:val="CommentReference"/>
                <w:b w:val="0"/>
                <w:bCs/>
              </w:rPr>
              <w:t xml:space="preserve"> months (mean)</w:t>
            </w:r>
            <w:r w:rsidR="00D00E94" w:rsidRPr="00B63D9E">
              <w:rPr>
                <w:rStyle w:val="CommentReference"/>
                <w:b w:val="0"/>
                <w:bCs/>
                <w:vertAlign w:val="superscript"/>
              </w:rPr>
              <w:t>b</w:t>
            </w:r>
          </w:p>
        </w:tc>
      </w:tr>
    </w:tbl>
    <w:p w:rsidR="0032562C" w:rsidRPr="000D5FE2" w:rsidRDefault="0010478C" w:rsidP="0010478C">
      <w:pPr>
        <w:tabs>
          <w:tab w:val="left" w:pos="851"/>
        </w:tabs>
        <w:ind w:left="851" w:hanging="131"/>
        <w:rPr>
          <w:rStyle w:val="CommentReference"/>
          <w:b w:val="0"/>
          <w:sz w:val="18"/>
          <w:szCs w:val="18"/>
        </w:rPr>
      </w:pPr>
      <w:r w:rsidRPr="000D5FE2">
        <w:rPr>
          <w:rStyle w:val="CommentReference"/>
          <w:sz w:val="18"/>
          <w:szCs w:val="18"/>
          <w:vertAlign w:val="superscript"/>
        </w:rPr>
        <w:t>a</w:t>
      </w:r>
      <w:r w:rsidRPr="000D5FE2">
        <w:rPr>
          <w:rStyle w:val="CommentReference"/>
          <w:sz w:val="18"/>
          <w:szCs w:val="18"/>
          <w:vertAlign w:val="superscript"/>
        </w:rPr>
        <w:tab/>
      </w:r>
      <w:r w:rsidRPr="000D5FE2">
        <w:rPr>
          <w:rStyle w:val="CommentReference"/>
          <w:b w:val="0"/>
          <w:sz w:val="18"/>
          <w:szCs w:val="18"/>
        </w:rPr>
        <w:t>Patients who did not start cytotoxic chemotherapy at the time of analysis data cut-off were censored at date of last assessment indicating no evidence of cytotoxic chemotherapy usage</w:t>
      </w:r>
    </w:p>
    <w:p w:rsidR="00A40528" w:rsidRPr="000D5FE2" w:rsidRDefault="00A40528" w:rsidP="00565EC8">
      <w:pPr>
        <w:tabs>
          <w:tab w:val="left" w:pos="851"/>
        </w:tabs>
        <w:ind w:left="851" w:hanging="131"/>
        <w:rPr>
          <w:rStyle w:val="CommentReference"/>
          <w:b w:val="0"/>
          <w:sz w:val="18"/>
        </w:rPr>
      </w:pPr>
      <w:proofErr w:type="gramStart"/>
      <w:r w:rsidRPr="000D5FE2">
        <w:rPr>
          <w:rStyle w:val="CommentReference"/>
          <w:b w:val="0"/>
          <w:bCs/>
          <w:sz w:val="18"/>
          <w:szCs w:val="18"/>
          <w:vertAlign w:val="superscript"/>
        </w:rPr>
        <w:t>b</w:t>
      </w:r>
      <w:proofErr w:type="gramEnd"/>
      <w:r w:rsidRPr="000D5FE2">
        <w:rPr>
          <w:rStyle w:val="CommentReference"/>
          <w:b w:val="0"/>
          <w:bCs/>
        </w:rPr>
        <w:tab/>
      </w:r>
      <w:r w:rsidR="00565EC8" w:rsidRPr="000D5FE2">
        <w:rPr>
          <w:rStyle w:val="CommentReference"/>
          <w:b w:val="0"/>
          <w:sz w:val="18"/>
        </w:rPr>
        <w:t>T</w:t>
      </w:r>
      <w:r w:rsidRPr="000D5FE2">
        <w:rPr>
          <w:rStyle w:val="CommentReference"/>
          <w:b w:val="0"/>
          <w:sz w:val="18"/>
        </w:rPr>
        <w:t xml:space="preserve">ime in health state for the proportion who enter the </w:t>
      </w:r>
      <w:r w:rsidR="00565EC8" w:rsidRPr="000D5FE2">
        <w:rPr>
          <w:rStyle w:val="CommentReference"/>
          <w:b w:val="0"/>
          <w:sz w:val="18"/>
        </w:rPr>
        <w:t xml:space="preserve">post-docetaxel </w:t>
      </w:r>
      <w:r w:rsidRPr="000D5FE2">
        <w:rPr>
          <w:rStyle w:val="CommentReference"/>
          <w:b w:val="0"/>
          <w:sz w:val="18"/>
        </w:rPr>
        <w:t>health state</w:t>
      </w:r>
      <w:r w:rsidR="00565EC8" w:rsidRPr="000D5FE2">
        <w:rPr>
          <w:rStyle w:val="CommentReference"/>
          <w:b w:val="0"/>
          <w:sz w:val="18"/>
        </w:rPr>
        <w:t>, 69.52% received post-docetaxel enzalutamide (watchful waiting arm) and 47.62% received post-docetaxel best-supportive care / placebo (enzalutamide arm)</w:t>
      </w:r>
    </w:p>
    <w:p w:rsidR="00016025" w:rsidRPr="000D5FE2" w:rsidRDefault="00016025" w:rsidP="00016025">
      <w:pPr>
        <w:ind w:firstLine="720"/>
        <w:rPr>
          <w:rFonts w:ascii="Arial Narrow" w:hAnsi="Arial Narrow"/>
          <w:sz w:val="18"/>
          <w:szCs w:val="14"/>
        </w:rPr>
      </w:pPr>
      <w:r w:rsidRPr="000D5FE2">
        <w:rPr>
          <w:rFonts w:ascii="Arial Narrow" w:hAnsi="Arial Narrow"/>
          <w:sz w:val="18"/>
          <w:szCs w:val="14"/>
        </w:rPr>
        <w:t>Source: constructed during the evaluation</w:t>
      </w:r>
    </w:p>
    <w:p w:rsidR="00C83E06" w:rsidRPr="000D5FE2" w:rsidRDefault="00C83E06" w:rsidP="00C83E06">
      <w:pPr>
        <w:pStyle w:val="ListParagraph"/>
        <w:widowControl/>
        <w:rPr>
          <w:szCs w:val="22"/>
        </w:rPr>
      </w:pPr>
    </w:p>
    <w:p w:rsidR="00E705AF" w:rsidRPr="000D5FE2" w:rsidRDefault="00E705AF" w:rsidP="00EB23C1">
      <w:pPr>
        <w:pStyle w:val="ListParagraph"/>
        <w:widowControl/>
        <w:numPr>
          <w:ilvl w:val="1"/>
          <w:numId w:val="2"/>
        </w:numPr>
        <w:tabs>
          <w:tab w:val="left" w:pos="1418"/>
        </w:tabs>
        <w:rPr>
          <w:szCs w:val="22"/>
        </w:rPr>
      </w:pPr>
      <w:r w:rsidRPr="000D5FE2">
        <w:t xml:space="preserve">Table </w:t>
      </w:r>
      <w:r w:rsidR="002C7239" w:rsidRPr="000D5FE2">
        <w:t xml:space="preserve">7 </w:t>
      </w:r>
      <w:r w:rsidRPr="000D5FE2">
        <w:t xml:space="preserve">summarises the key drivers of the model. </w:t>
      </w:r>
      <w:r w:rsidR="003C17E6" w:rsidRPr="000D5FE2">
        <w:rPr>
          <w:iCs/>
        </w:rPr>
        <w:t>The model wa</w:t>
      </w:r>
      <w:r w:rsidRPr="000D5FE2">
        <w:rPr>
          <w:iCs/>
        </w:rPr>
        <w:t xml:space="preserve">s driven by </w:t>
      </w:r>
      <w:proofErr w:type="spellStart"/>
      <w:r w:rsidRPr="000D5FE2">
        <w:rPr>
          <w:iCs/>
        </w:rPr>
        <w:t>i</w:t>
      </w:r>
      <w:proofErr w:type="spellEnd"/>
      <w:r w:rsidRPr="000D5FE2">
        <w:rPr>
          <w:iCs/>
        </w:rPr>
        <w:t>) significant cost-offsets associated with assumed life-long treatment with enzalutamide or abiraterone after docetaxel in the watchful waiting arm, and ii) any parameter that varie</w:t>
      </w:r>
      <w:r w:rsidR="003C17E6" w:rsidRPr="000D5FE2">
        <w:rPr>
          <w:iCs/>
        </w:rPr>
        <w:t>d</w:t>
      </w:r>
      <w:r w:rsidRPr="000D5FE2">
        <w:rPr>
          <w:iCs/>
        </w:rPr>
        <w:t xml:space="preserve"> the incremental difference in mean time before and after chemotherapy which impact</w:t>
      </w:r>
      <w:r w:rsidR="003C17E6" w:rsidRPr="000D5FE2">
        <w:rPr>
          <w:iCs/>
        </w:rPr>
        <w:t>ed</w:t>
      </w:r>
      <w:r w:rsidRPr="000D5FE2">
        <w:rPr>
          <w:iCs/>
        </w:rPr>
        <w:t xml:space="preserve"> on the accrual of those cost-offsets.</w:t>
      </w:r>
    </w:p>
    <w:p w:rsidR="003D4763" w:rsidRDefault="003D4763">
      <w:pPr>
        <w:widowControl/>
        <w:jc w:val="left"/>
        <w:rPr>
          <w:szCs w:val="22"/>
        </w:rPr>
      </w:pPr>
      <w:r>
        <w:rPr>
          <w:szCs w:val="22"/>
        </w:rPr>
        <w:br w:type="page"/>
      </w:r>
    </w:p>
    <w:p w:rsidR="00E705AF" w:rsidRPr="000D5FE2" w:rsidRDefault="00E705AF" w:rsidP="007E29F7">
      <w:pPr>
        <w:widowControl/>
        <w:tabs>
          <w:tab w:val="left" w:pos="7797"/>
        </w:tabs>
        <w:rPr>
          <w:szCs w:val="22"/>
        </w:rPr>
      </w:pPr>
    </w:p>
    <w:p w:rsidR="00E705AF" w:rsidRPr="000D5FE2" w:rsidRDefault="00E705AF" w:rsidP="002C7239">
      <w:pPr>
        <w:ind w:firstLine="720"/>
        <w:rPr>
          <w:rStyle w:val="CommentReference"/>
        </w:rPr>
      </w:pPr>
      <w:r w:rsidRPr="000D5FE2">
        <w:rPr>
          <w:rStyle w:val="CommentReference"/>
        </w:rPr>
        <w:t xml:space="preserve">Table </w:t>
      </w:r>
      <w:r w:rsidR="002C7239" w:rsidRPr="000D5FE2">
        <w:rPr>
          <w:rStyle w:val="CommentReference"/>
        </w:rPr>
        <w:t>7</w:t>
      </w:r>
      <w:r w:rsidRPr="000D5FE2">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7"/>
        <w:gridCol w:w="4999"/>
        <w:gridCol w:w="1809"/>
      </w:tblGrid>
      <w:tr w:rsidR="00E705AF" w:rsidRPr="000D5FE2" w:rsidTr="00473018">
        <w:trPr>
          <w:tblHeader/>
        </w:trPr>
        <w:tc>
          <w:tcPr>
            <w:tcW w:w="921" w:type="pct"/>
            <w:shd w:val="clear" w:color="auto" w:fill="auto"/>
            <w:vAlign w:val="center"/>
          </w:tcPr>
          <w:p w:rsidR="00E705AF" w:rsidRPr="000D5FE2" w:rsidRDefault="00E705AF" w:rsidP="00473018">
            <w:pPr>
              <w:jc w:val="left"/>
              <w:rPr>
                <w:rFonts w:ascii="Arial Narrow" w:hAnsi="Arial Narrow"/>
                <w:b/>
                <w:sz w:val="20"/>
              </w:rPr>
            </w:pPr>
            <w:r w:rsidRPr="000D5FE2">
              <w:rPr>
                <w:rFonts w:ascii="Arial Narrow" w:hAnsi="Arial Narrow"/>
                <w:b/>
                <w:sz w:val="20"/>
              </w:rPr>
              <w:t>Description</w:t>
            </w:r>
          </w:p>
        </w:tc>
        <w:tc>
          <w:tcPr>
            <w:tcW w:w="2995" w:type="pct"/>
            <w:shd w:val="clear" w:color="auto" w:fill="auto"/>
            <w:vAlign w:val="center"/>
          </w:tcPr>
          <w:p w:rsidR="00E705AF" w:rsidRPr="000D5FE2" w:rsidRDefault="00E705AF" w:rsidP="00473018">
            <w:pPr>
              <w:jc w:val="center"/>
              <w:rPr>
                <w:rFonts w:ascii="Arial Narrow" w:hAnsi="Arial Narrow"/>
                <w:b/>
                <w:sz w:val="20"/>
              </w:rPr>
            </w:pPr>
            <w:r w:rsidRPr="000D5FE2">
              <w:rPr>
                <w:rFonts w:ascii="Arial Narrow" w:hAnsi="Arial Narrow"/>
                <w:b/>
                <w:sz w:val="20"/>
              </w:rPr>
              <w:t>Method/Value</w:t>
            </w:r>
          </w:p>
        </w:tc>
        <w:tc>
          <w:tcPr>
            <w:tcW w:w="1084" w:type="pct"/>
            <w:shd w:val="clear" w:color="auto" w:fill="auto"/>
            <w:vAlign w:val="center"/>
          </w:tcPr>
          <w:p w:rsidR="00E705AF" w:rsidRPr="000D5FE2" w:rsidRDefault="00E705AF" w:rsidP="00473018">
            <w:pPr>
              <w:jc w:val="center"/>
              <w:rPr>
                <w:rFonts w:ascii="Arial Narrow" w:hAnsi="Arial Narrow"/>
                <w:b/>
                <w:sz w:val="20"/>
              </w:rPr>
            </w:pPr>
            <w:r w:rsidRPr="000D5FE2">
              <w:rPr>
                <w:rFonts w:ascii="Arial Narrow" w:hAnsi="Arial Narrow"/>
                <w:b/>
                <w:sz w:val="20"/>
              </w:rPr>
              <w:t>Impact</w:t>
            </w:r>
          </w:p>
        </w:tc>
      </w:tr>
      <w:tr w:rsidR="00E705AF" w:rsidRPr="000D5FE2" w:rsidTr="00473018">
        <w:tc>
          <w:tcPr>
            <w:tcW w:w="921"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Duration on third-line enzalutamide or abiraterone</w:t>
            </w:r>
          </w:p>
        </w:tc>
        <w:tc>
          <w:tcPr>
            <w:tcW w:w="2995" w:type="pct"/>
            <w:shd w:val="clear" w:color="auto" w:fill="auto"/>
            <w:vAlign w:val="center"/>
          </w:tcPr>
          <w:p w:rsidR="00E705AF" w:rsidRPr="000D5FE2" w:rsidRDefault="00E705AF" w:rsidP="00255340">
            <w:pPr>
              <w:jc w:val="left"/>
              <w:rPr>
                <w:rFonts w:ascii="Arial Narrow" w:hAnsi="Arial Narrow"/>
                <w:iCs/>
                <w:sz w:val="20"/>
              </w:rPr>
            </w:pPr>
            <w:r w:rsidRPr="000D5FE2">
              <w:rPr>
                <w:rFonts w:ascii="Arial Narrow" w:hAnsi="Arial Narrow"/>
                <w:sz w:val="20"/>
              </w:rPr>
              <w:t>The model assumed patients will remain on third-line treatment until death; the median time on enzalutamide or abiraterone post docetax</w:t>
            </w:r>
            <w:r w:rsidR="003C17E6" w:rsidRPr="000D5FE2">
              <w:rPr>
                <w:rFonts w:ascii="Arial Narrow" w:hAnsi="Arial Narrow"/>
                <w:sz w:val="20"/>
              </w:rPr>
              <w:t>el in the watchful waiting arm wa</w:t>
            </w:r>
            <w:r w:rsidRPr="000D5FE2">
              <w:rPr>
                <w:rFonts w:ascii="Arial Narrow" w:hAnsi="Arial Narrow"/>
                <w:sz w:val="20"/>
              </w:rPr>
              <w:t xml:space="preserve">s </w:t>
            </w:r>
            <w:r w:rsidR="009278D7">
              <w:rPr>
                <w:rFonts w:ascii="Arial Narrow" w:hAnsi="Arial Narrow"/>
                <w:noProof/>
                <w:color w:val="000000"/>
                <w:sz w:val="20"/>
                <w:highlight w:val="black"/>
              </w:rPr>
              <w:t>''''''</w:t>
            </w:r>
            <w:r w:rsidRPr="00B63D9E">
              <w:rPr>
                <w:rFonts w:ascii="Arial Narrow" w:hAnsi="Arial Narrow"/>
                <w:sz w:val="20"/>
              </w:rPr>
              <w:t xml:space="preserve"> months</w:t>
            </w:r>
            <w:r w:rsidRPr="000D5FE2">
              <w:rPr>
                <w:rFonts w:ascii="Arial Narrow" w:hAnsi="Arial Narrow"/>
                <w:sz w:val="20"/>
              </w:rPr>
              <w:t xml:space="preserve">.  This was </w:t>
            </w:r>
            <w:r w:rsidRPr="000D5FE2">
              <w:rPr>
                <w:rFonts w:ascii="Arial Narrow" w:hAnsi="Arial Narrow"/>
                <w:iCs/>
                <w:sz w:val="20"/>
              </w:rPr>
              <w:t xml:space="preserve">likely significantly overestimated resulting in significant cost-offsets in the watchful waiting arm. By comparison, patients remained on enzalutamide and abiraterone for a median duration of 8.5 and 7.3 months in post-docetaxel trials AFFIRM and COU-AA-301 respectively. </w:t>
            </w:r>
          </w:p>
        </w:tc>
        <w:tc>
          <w:tcPr>
            <w:tcW w:w="1084" w:type="pct"/>
            <w:shd w:val="clear" w:color="auto" w:fill="auto"/>
            <w:vAlign w:val="center"/>
          </w:tcPr>
          <w:p w:rsidR="00E705AF" w:rsidRPr="000D5FE2" w:rsidRDefault="00E705AF" w:rsidP="00473018">
            <w:pPr>
              <w:jc w:val="center"/>
              <w:rPr>
                <w:rFonts w:ascii="Arial Narrow" w:hAnsi="Arial Narrow"/>
                <w:sz w:val="20"/>
              </w:rPr>
            </w:pPr>
            <w:r w:rsidRPr="000D5FE2">
              <w:rPr>
                <w:rFonts w:ascii="Arial Narrow" w:hAnsi="Arial Narrow"/>
                <w:sz w:val="20"/>
              </w:rPr>
              <w:t xml:space="preserve">High, </w:t>
            </w:r>
          </w:p>
          <w:p w:rsidR="00E705AF" w:rsidRPr="000D5FE2" w:rsidRDefault="00E705AF" w:rsidP="003C17E6">
            <w:pPr>
              <w:jc w:val="center"/>
              <w:rPr>
                <w:rFonts w:ascii="Arial Narrow" w:hAnsi="Arial Narrow"/>
                <w:sz w:val="20"/>
              </w:rPr>
            </w:pPr>
            <w:r w:rsidRPr="000D5FE2">
              <w:rPr>
                <w:rFonts w:ascii="Arial Narrow" w:hAnsi="Arial Narrow"/>
                <w:sz w:val="20"/>
              </w:rPr>
              <w:t>favour</w:t>
            </w:r>
            <w:r w:rsidR="003C17E6" w:rsidRPr="000D5FE2">
              <w:rPr>
                <w:rFonts w:ascii="Arial Narrow" w:hAnsi="Arial Narrow"/>
                <w:sz w:val="20"/>
              </w:rPr>
              <w:t>ed</w:t>
            </w:r>
            <w:r w:rsidRPr="000D5FE2">
              <w:rPr>
                <w:rFonts w:ascii="Arial Narrow" w:hAnsi="Arial Narrow"/>
                <w:sz w:val="20"/>
              </w:rPr>
              <w:t xml:space="preserve"> enzalutamide </w:t>
            </w:r>
          </w:p>
        </w:tc>
      </w:tr>
      <w:tr w:rsidR="00E705AF" w:rsidRPr="000D5FE2" w:rsidTr="00473018">
        <w:tc>
          <w:tcPr>
            <w:tcW w:w="921"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Time to subsequent treatment</w:t>
            </w:r>
            <w:r w:rsidR="00051A48" w:rsidRPr="000D5FE2">
              <w:rPr>
                <w:rFonts w:ascii="Arial Narrow" w:hAnsi="Arial Narrow"/>
                <w:sz w:val="20"/>
              </w:rPr>
              <w:t xml:space="preserve"> (on first treatment)</w:t>
            </w:r>
          </w:p>
        </w:tc>
        <w:tc>
          <w:tcPr>
            <w:tcW w:w="2995" w:type="pct"/>
            <w:shd w:val="clear" w:color="auto" w:fill="auto"/>
            <w:vAlign w:val="center"/>
          </w:tcPr>
          <w:p w:rsidR="00E705AF" w:rsidRPr="000D5FE2" w:rsidRDefault="00E705AF" w:rsidP="00255340">
            <w:pPr>
              <w:jc w:val="left"/>
              <w:rPr>
                <w:rFonts w:ascii="Arial Narrow" w:hAnsi="Arial Narrow"/>
                <w:sz w:val="20"/>
              </w:rPr>
            </w:pPr>
            <w:r w:rsidRPr="000D5FE2">
              <w:rPr>
                <w:rFonts w:ascii="Arial Narrow" w:hAnsi="Arial Narrow"/>
                <w:sz w:val="20"/>
              </w:rPr>
              <w:t>This was based on the time to initiation of cytotoxic chemotherapy (TTC) in PREVAIL. This l</w:t>
            </w:r>
            <w:r w:rsidRPr="000D5FE2">
              <w:rPr>
                <w:rFonts w:ascii="Arial Narrow" w:hAnsi="Arial Narrow"/>
                <w:iCs/>
                <w:sz w:val="20"/>
              </w:rPr>
              <w:t xml:space="preserve">ikely overestimated the time spent in the “alive on first-treatment” health state because: </w:t>
            </w:r>
            <w:proofErr w:type="spellStart"/>
            <w:r w:rsidRPr="000D5FE2">
              <w:rPr>
                <w:rFonts w:ascii="Arial Narrow" w:hAnsi="Arial Narrow"/>
                <w:iCs/>
                <w:sz w:val="20"/>
              </w:rPr>
              <w:t>i</w:t>
            </w:r>
            <w:proofErr w:type="spellEnd"/>
            <w:r w:rsidRPr="000D5FE2">
              <w:rPr>
                <w:rFonts w:ascii="Arial Narrow" w:hAnsi="Arial Narrow"/>
                <w:iCs/>
                <w:sz w:val="20"/>
              </w:rPr>
              <w:t xml:space="preserve">) subsequent therapy after discontinuation was not stipulated in PREVAIL and may or may not have included cytotoxic chemotherapy, and ii) not all patients enrolled in PREVAIL may have been suitable for cytotoxic chemotherapy in the future. TTC is considerably longer in PREVAIL compared with time to discontinuation (TTD) and time to first post-baseline antineoplastic therapy. </w:t>
            </w:r>
            <w:r w:rsidR="00C84E36" w:rsidRPr="000D5FE2">
              <w:rPr>
                <w:rFonts w:ascii="Arial Narrow" w:hAnsi="Arial Narrow"/>
                <w:iCs/>
                <w:sz w:val="20"/>
              </w:rPr>
              <w:t>The ICER decrease</w:t>
            </w:r>
            <w:r w:rsidR="003C17E6" w:rsidRPr="000D5FE2">
              <w:rPr>
                <w:rFonts w:ascii="Arial Narrow" w:hAnsi="Arial Narrow"/>
                <w:iCs/>
                <w:sz w:val="20"/>
              </w:rPr>
              <w:t>s</w:t>
            </w:r>
            <w:r w:rsidR="00C84E36" w:rsidRPr="000D5FE2">
              <w:rPr>
                <w:rFonts w:ascii="Arial Narrow" w:hAnsi="Arial Narrow"/>
                <w:iCs/>
                <w:sz w:val="20"/>
              </w:rPr>
              <w:t xml:space="preserve"> if less time i</w:t>
            </w:r>
            <w:r w:rsidR="003C17E6" w:rsidRPr="000D5FE2">
              <w:rPr>
                <w:rFonts w:ascii="Arial Narrow" w:hAnsi="Arial Narrow"/>
                <w:iCs/>
                <w:sz w:val="20"/>
              </w:rPr>
              <w:t>s</w:t>
            </w:r>
            <w:r w:rsidR="00C84E36" w:rsidRPr="000D5FE2">
              <w:rPr>
                <w:rFonts w:ascii="Arial Narrow" w:hAnsi="Arial Narrow"/>
                <w:iCs/>
                <w:sz w:val="20"/>
              </w:rPr>
              <w:t xml:space="preserve"> spent on first-line treatment because more time will be spent on third-line treatment associated with considerable cost-offsets.</w:t>
            </w:r>
          </w:p>
        </w:tc>
        <w:tc>
          <w:tcPr>
            <w:tcW w:w="1084" w:type="pct"/>
            <w:shd w:val="clear" w:color="auto" w:fill="auto"/>
            <w:vAlign w:val="center"/>
          </w:tcPr>
          <w:p w:rsidR="00E705AF" w:rsidRPr="000D5FE2" w:rsidRDefault="00E705AF" w:rsidP="00473018">
            <w:pPr>
              <w:jc w:val="center"/>
              <w:rPr>
                <w:rFonts w:ascii="Arial Narrow" w:hAnsi="Arial Narrow"/>
                <w:sz w:val="20"/>
              </w:rPr>
            </w:pPr>
            <w:r w:rsidRPr="000D5FE2">
              <w:rPr>
                <w:rFonts w:ascii="Arial Narrow" w:hAnsi="Arial Narrow"/>
                <w:sz w:val="20"/>
              </w:rPr>
              <w:t xml:space="preserve">High, </w:t>
            </w:r>
          </w:p>
          <w:p w:rsidR="00E705AF" w:rsidRPr="000D5FE2" w:rsidRDefault="003C17E6" w:rsidP="00473018">
            <w:pPr>
              <w:jc w:val="center"/>
              <w:rPr>
                <w:rFonts w:ascii="Arial Narrow" w:hAnsi="Arial Narrow"/>
                <w:sz w:val="20"/>
              </w:rPr>
            </w:pPr>
            <w:r w:rsidRPr="000D5FE2">
              <w:rPr>
                <w:rFonts w:ascii="Arial Narrow" w:hAnsi="Arial Narrow"/>
                <w:sz w:val="20"/>
              </w:rPr>
              <w:t>did</w:t>
            </w:r>
            <w:r w:rsidR="00E705AF" w:rsidRPr="000D5FE2">
              <w:rPr>
                <w:rFonts w:ascii="Arial Narrow" w:hAnsi="Arial Narrow"/>
                <w:sz w:val="20"/>
              </w:rPr>
              <w:t xml:space="preserve"> not favour enzalutamide</w:t>
            </w:r>
          </w:p>
        </w:tc>
      </w:tr>
      <w:tr w:rsidR="00051A48" w:rsidRPr="000D5FE2" w:rsidTr="00473018">
        <w:tc>
          <w:tcPr>
            <w:tcW w:w="921" w:type="pct"/>
            <w:shd w:val="clear" w:color="auto" w:fill="auto"/>
            <w:vAlign w:val="center"/>
          </w:tcPr>
          <w:p w:rsidR="00051A48" w:rsidRPr="000D5FE2" w:rsidRDefault="00051A48" w:rsidP="00051A48">
            <w:pPr>
              <w:jc w:val="left"/>
              <w:rPr>
                <w:rFonts w:ascii="Arial Narrow" w:hAnsi="Arial Narrow"/>
                <w:sz w:val="20"/>
              </w:rPr>
            </w:pPr>
            <w:r w:rsidRPr="000D5FE2">
              <w:rPr>
                <w:rFonts w:ascii="Arial Narrow" w:hAnsi="Arial Narrow"/>
                <w:sz w:val="20"/>
              </w:rPr>
              <w:t>Time to subsequent treatment (on second treatment)</w:t>
            </w:r>
          </w:p>
        </w:tc>
        <w:tc>
          <w:tcPr>
            <w:tcW w:w="2995" w:type="pct"/>
            <w:shd w:val="clear" w:color="auto" w:fill="auto"/>
            <w:vAlign w:val="center"/>
          </w:tcPr>
          <w:p w:rsidR="00051A48" w:rsidRPr="000D5FE2" w:rsidRDefault="00051A48" w:rsidP="00255340">
            <w:pPr>
              <w:jc w:val="left"/>
              <w:rPr>
                <w:rFonts w:ascii="Arial Narrow" w:hAnsi="Arial Narrow"/>
                <w:iCs/>
                <w:sz w:val="20"/>
              </w:rPr>
            </w:pPr>
            <w:r w:rsidRPr="000D5FE2">
              <w:rPr>
                <w:rFonts w:ascii="Arial Narrow" w:hAnsi="Arial Narrow"/>
                <w:sz w:val="20"/>
              </w:rPr>
              <w:t>The model assume</w:t>
            </w:r>
            <w:r w:rsidR="003C17E6" w:rsidRPr="000D5FE2">
              <w:rPr>
                <w:rFonts w:ascii="Arial Narrow" w:hAnsi="Arial Narrow"/>
                <w:sz w:val="20"/>
              </w:rPr>
              <w:t>d</w:t>
            </w:r>
            <w:r w:rsidRPr="000D5FE2">
              <w:rPr>
                <w:rFonts w:ascii="Arial Narrow" w:hAnsi="Arial Narrow"/>
                <w:sz w:val="20"/>
              </w:rPr>
              <w:t xml:space="preserve"> patients remain on second-line docetaxel for a maximum of 6 months before commencing third-line treatment, on the basis </w:t>
            </w:r>
            <w:r w:rsidR="003C17E6" w:rsidRPr="000D5FE2">
              <w:rPr>
                <w:rFonts w:ascii="Arial Narrow" w:hAnsi="Arial Narrow"/>
                <w:sz w:val="20"/>
              </w:rPr>
              <w:t xml:space="preserve">of </w:t>
            </w:r>
            <w:r w:rsidRPr="000D5FE2">
              <w:rPr>
                <w:rFonts w:ascii="Arial Narrow" w:hAnsi="Arial Narrow"/>
                <w:sz w:val="20"/>
              </w:rPr>
              <w:t xml:space="preserve">mean time on docetaxel in the 10% PBS sample. </w:t>
            </w:r>
            <w:r w:rsidR="003B6E0B" w:rsidRPr="000D5FE2">
              <w:rPr>
                <w:rFonts w:ascii="Arial Narrow" w:hAnsi="Arial Narrow"/>
                <w:iCs/>
                <w:sz w:val="20"/>
              </w:rPr>
              <w:t>The ICER increases as the assumed time on docetaxel increases due largely to fewer c</w:t>
            </w:r>
            <w:r w:rsidR="00C84E36" w:rsidRPr="000D5FE2">
              <w:rPr>
                <w:rFonts w:ascii="Arial Narrow" w:hAnsi="Arial Narrow"/>
                <w:iCs/>
                <w:sz w:val="20"/>
              </w:rPr>
              <w:t>ycles on third-</w:t>
            </w:r>
            <w:r w:rsidR="003B6E0B" w:rsidRPr="000D5FE2">
              <w:rPr>
                <w:rFonts w:ascii="Arial Narrow" w:hAnsi="Arial Narrow"/>
                <w:iCs/>
                <w:sz w:val="20"/>
              </w:rPr>
              <w:t xml:space="preserve">line treatment and associated cost-offsets. Time on docetaxel may not be </w:t>
            </w:r>
            <w:proofErr w:type="gramStart"/>
            <w:r w:rsidR="003B6E0B" w:rsidRPr="000D5FE2">
              <w:rPr>
                <w:rFonts w:ascii="Arial Narrow" w:hAnsi="Arial Narrow"/>
                <w:iCs/>
                <w:sz w:val="20"/>
              </w:rPr>
              <w:t>a reasonable proxy for disease progression on docetaxel in the model given patients typically cease</w:t>
            </w:r>
            <w:proofErr w:type="gramEnd"/>
            <w:r w:rsidR="003B6E0B" w:rsidRPr="000D5FE2">
              <w:rPr>
                <w:rFonts w:ascii="Arial Narrow" w:hAnsi="Arial Narrow"/>
                <w:iCs/>
                <w:sz w:val="20"/>
              </w:rPr>
              <w:t xml:space="preserve"> treatment with docetaxel after a maximum of 10 doses regardless of disease progression. </w:t>
            </w:r>
          </w:p>
        </w:tc>
        <w:tc>
          <w:tcPr>
            <w:tcW w:w="1084" w:type="pct"/>
            <w:shd w:val="clear" w:color="auto" w:fill="auto"/>
            <w:vAlign w:val="center"/>
          </w:tcPr>
          <w:p w:rsidR="00051A48" w:rsidRPr="000D5FE2" w:rsidRDefault="00051A48" w:rsidP="00051A48">
            <w:pPr>
              <w:jc w:val="center"/>
              <w:rPr>
                <w:rFonts w:ascii="Arial Narrow" w:hAnsi="Arial Narrow"/>
                <w:sz w:val="20"/>
              </w:rPr>
            </w:pPr>
            <w:r w:rsidRPr="000D5FE2">
              <w:rPr>
                <w:rFonts w:ascii="Arial Narrow" w:hAnsi="Arial Narrow"/>
                <w:sz w:val="20"/>
              </w:rPr>
              <w:t xml:space="preserve">Low-Moderate, </w:t>
            </w:r>
          </w:p>
          <w:p w:rsidR="00051A48" w:rsidRPr="000D5FE2" w:rsidRDefault="00051A48" w:rsidP="003C17E6">
            <w:pPr>
              <w:jc w:val="center"/>
              <w:rPr>
                <w:rFonts w:ascii="Arial Narrow" w:hAnsi="Arial Narrow"/>
                <w:sz w:val="20"/>
              </w:rPr>
            </w:pPr>
            <w:r w:rsidRPr="000D5FE2">
              <w:rPr>
                <w:rFonts w:ascii="Arial Narrow" w:hAnsi="Arial Narrow"/>
                <w:sz w:val="20"/>
              </w:rPr>
              <w:t>favour</w:t>
            </w:r>
            <w:r w:rsidR="003C17E6" w:rsidRPr="000D5FE2">
              <w:rPr>
                <w:rFonts w:ascii="Arial Narrow" w:hAnsi="Arial Narrow"/>
                <w:sz w:val="20"/>
              </w:rPr>
              <w:t>ed</w:t>
            </w:r>
            <w:r w:rsidRPr="000D5FE2">
              <w:rPr>
                <w:rFonts w:ascii="Arial Narrow" w:hAnsi="Arial Narrow"/>
                <w:sz w:val="20"/>
              </w:rPr>
              <w:t xml:space="preserve"> enzalutamide</w:t>
            </w:r>
          </w:p>
        </w:tc>
      </w:tr>
      <w:tr w:rsidR="00E705AF" w:rsidRPr="000D5FE2" w:rsidTr="00473018">
        <w:tc>
          <w:tcPr>
            <w:tcW w:w="921" w:type="pct"/>
            <w:shd w:val="clear" w:color="auto" w:fill="auto"/>
            <w:vAlign w:val="center"/>
          </w:tcPr>
          <w:p w:rsidR="00E705AF" w:rsidRPr="000D5FE2" w:rsidRDefault="00E705AF" w:rsidP="00473018">
            <w:pPr>
              <w:jc w:val="left"/>
              <w:rPr>
                <w:rFonts w:ascii="Arial Narrow" w:hAnsi="Arial Narrow"/>
                <w:sz w:val="20"/>
              </w:rPr>
            </w:pPr>
            <w:r w:rsidRPr="000D5FE2">
              <w:rPr>
                <w:rFonts w:ascii="Arial Narrow" w:hAnsi="Arial Narrow"/>
                <w:sz w:val="20"/>
              </w:rPr>
              <w:t>Time horizon</w:t>
            </w:r>
          </w:p>
        </w:tc>
        <w:tc>
          <w:tcPr>
            <w:tcW w:w="2995" w:type="pct"/>
            <w:shd w:val="clear" w:color="auto" w:fill="auto"/>
            <w:vAlign w:val="center"/>
          </w:tcPr>
          <w:p w:rsidR="00E705AF" w:rsidRPr="000D5FE2" w:rsidRDefault="00E705AF" w:rsidP="00255340">
            <w:pPr>
              <w:jc w:val="left"/>
              <w:rPr>
                <w:rFonts w:ascii="Arial Narrow" w:hAnsi="Arial Narrow"/>
                <w:iCs/>
                <w:sz w:val="20"/>
              </w:rPr>
            </w:pPr>
            <w:r w:rsidRPr="000D5FE2">
              <w:rPr>
                <w:rFonts w:ascii="Arial Narrow" w:hAnsi="Arial Narrow"/>
                <w:sz w:val="20"/>
              </w:rPr>
              <w:t xml:space="preserve">The model assumed a 10 year time horizon on the basis of capturing costs and outcomes until death. </w:t>
            </w:r>
            <w:r w:rsidRPr="000D5FE2">
              <w:rPr>
                <w:rFonts w:ascii="Arial Narrow" w:hAnsi="Arial Narrow"/>
                <w:iCs/>
                <w:sz w:val="20"/>
              </w:rPr>
              <w:t>Given TTC likely delayed the time until patients reached the “alive on third-treatment” health state, a long time horizon had favoured enzalutamide as larger costs offsets accrue in later ye</w:t>
            </w:r>
            <w:r w:rsidR="003C17E6" w:rsidRPr="000D5FE2">
              <w:rPr>
                <w:rFonts w:ascii="Arial Narrow" w:hAnsi="Arial Narrow"/>
                <w:iCs/>
                <w:sz w:val="20"/>
              </w:rPr>
              <w:t xml:space="preserve">ars. </w:t>
            </w:r>
            <w:r w:rsidRPr="000D5FE2">
              <w:rPr>
                <w:rFonts w:ascii="Arial Narrow" w:hAnsi="Arial Narrow"/>
                <w:iCs/>
                <w:sz w:val="20"/>
              </w:rPr>
              <w:t>10 years may not be</w:t>
            </w:r>
            <w:r w:rsidR="003C17E6" w:rsidRPr="000D5FE2">
              <w:rPr>
                <w:rFonts w:ascii="Arial Narrow" w:hAnsi="Arial Narrow"/>
                <w:iCs/>
                <w:sz w:val="20"/>
              </w:rPr>
              <w:t xml:space="preserve"> a</w:t>
            </w:r>
            <w:r w:rsidRPr="000D5FE2">
              <w:rPr>
                <w:rFonts w:ascii="Arial Narrow" w:hAnsi="Arial Narrow"/>
                <w:iCs/>
                <w:sz w:val="20"/>
              </w:rPr>
              <w:t xml:space="preserve"> reasonable time horizon as benefits of treatment are more likely to be experienced in the first few years; the ICER was not sensitive to halving the time horizon when the transition to subsequent therapy was informed by TTD.</w:t>
            </w:r>
          </w:p>
        </w:tc>
        <w:tc>
          <w:tcPr>
            <w:tcW w:w="1084" w:type="pct"/>
            <w:shd w:val="clear" w:color="auto" w:fill="auto"/>
            <w:vAlign w:val="center"/>
          </w:tcPr>
          <w:p w:rsidR="00E705AF" w:rsidRPr="000D5FE2" w:rsidRDefault="00E705AF" w:rsidP="00473018">
            <w:pPr>
              <w:jc w:val="center"/>
              <w:rPr>
                <w:rFonts w:ascii="Arial Narrow" w:hAnsi="Arial Narrow"/>
                <w:sz w:val="20"/>
              </w:rPr>
            </w:pPr>
            <w:r w:rsidRPr="000D5FE2">
              <w:rPr>
                <w:rFonts w:ascii="Arial Narrow" w:hAnsi="Arial Narrow"/>
                <w:sz w:val="20"/>
              </w:rPr>
              <w:t xml:space="preserve">High, </w:t>
            </w:r>
          </w:p>
          <w:p w:rsidR="00E705AF" w:rsidRPr="000D5FE2" w:rsidRDefault="00E705AF" w:rsidP="00473018">
            <w:pPr>
              <w:jc w:val="center"/>
              <w:rPr>
                <w:rFonts w:ascii="Arial Narrow" w:hAnsi="Arial Narrow"/>
                <w:sz w:val="20"/>
              </w:rPr>
            </w:pPr>
            <w:r w:rsidRPr="000D5FE2">
              <w:rPr>
                <w:rFonts w:ascii="Arial Narrow" w:hAnsi="Arial Narrow"/>
                <w:sz w:val="20"/>
              </w:rPr>
              <w:t>favours enzalutamide</w:t>
            </w:r>
          </w:p>
          <w:p w:rsidR="00E705AF" w:rsidRPr="000D5FE2" w:rsidRDefault="00E705AF" w:rsidP="00473018">
            <w:pPr>
              <w:jc w:val="center"/>
              <w:rPr>
                <w:rFonts w:ascii="Arial Narrow" w:hAnsi="Arial Narrow"/>
                <w:sz w:val="20"/>
              </w:rPr>
            </w:pPr>
            <w:r w:rsidRPr="000D5FE2">
              <w:rPr>
                <w:rFonts w:ascii="Arial Narrow" w:hAnsi="Arial Narrow"/>
                <w:sz w:val="20"/>
              </w:rPr>
              <w:t>(low in combination with TTD)</w:t>
            </w:r>
          </w:p>
        </w:tc>
      </w:tr>
    </w:tbl>
    <w:p w:rsidR="00E705AF" w:rsidRPr="000D5FE2" w:rsidRDefault="00E705AF" w:rsidP="00E705AF">
      <w:pPr>
        <w:pStyle w:val="TableFooter"/>
        <w:ind w:firstLine="720"/>
      </w:pPr>
      <w:r w:rsidRPr="000D5FE2">
        <w:t>Source: compiled during the evaluation</w:t>
      </w:r>
    </w:p>
    <w:p w:rsidR="00E705AF" w:rsidRPr="000D5FE2" w:rsidRDefault="00E705AF" w:rsidP="00E705AF">
      <w:pPr>
        <w:widowControl/>
        <w:rPr>
          <w:szCs w:val="22"/>
        </w:rPr>
      </w:pPr>
    </w:p>
    <w:p w:rsidR="00AD2C74" w:rsidRPr="000D5FE2" w:rsidRDefault="00874B09" w:rsidP="00EB23C1">
      <w:pPr>
        <w:pStyle w:val="ListParagraph"/>
        <w:widowControl/>
        <w:numPr>
          <w:ilvl w:val="1"/>
          <w:numId w:val="2"/>
        </w:numPr>
        <w:rPr>
          <w:szCs w:val="22"/>
        </w:rPr>
      </w:pPr>
      <w:r w:rsidRPr="000D5FE2">
        <w:rPr>
          <w:iCs/>
        </w:rPr>
        <w:t xml:space="preserve">The key driver of the model was the assumed life-long treatment with enzalutamide or abiraterone after docetaxel in the watchful waiting arm. Given the current listings of enzalutamide/abiraterone require patients to cease treatment after disease </w:t>
      </w:r>
      <w:proofErr w:type="gramStart"/>
      <w:r w:rsidRPr="000D5FE2">
        <w:rPr>
          <w:iCs/>
        </w:rPr>
        <w:t>progression,</w:t>
      </w:r>
      <w:proofErr w:type="gramEnd"/>
      <w:r w:rsidRPr="000D5FE2">
        <w:rPr>
          <w:iCs/>
        </w:rPr>
        <w:t xml:space="preserve"> this assumption is not reasonable and considerably favours enzalutamide. </w:t>
      </w:r>
      <w:r w:rsidRPr="000D5FE2">
        <w:t>Although</w:t>
      </w:r>
      <w:r w:rsidRPr="000D5FE2">
        <w:rPr>
          <w:iCs/>
        </w:rPr>
        <w:t xml:space="preserve"> the </w:t>
      </w:r>
      <w:proofErr w:type="gramStart"/>
      <w:r w:rsidRPr="000D5FE2">
        <w:rPr>
          <w:iCs/>
        </w:rPr>
        <w:t>PSCR  noted</w:t>
      </w:r>
      <w:proofErr w:type="gramEnd"/>
      <w:r w:rsidRPr="000D5FE2">
        <w:rPr>
          <w:iCs/>
        </w:rPr>
        <w:t xml:space="preserve"> the public summary document for abiraterone in July 2012 mentions PBAC’s concern that abiraterone use may continue well beyond disease progression, the assumption of 100% use beyond progression is unreasonable, considerably favours enzalutamide and has a substantial impact on the ICER. For this reason, and given that no difference in survival was assumed and time to discontinuation data indicated the vast majority of patients would cease enzalutamide by 5 years, a 10 year time horizon may not be appropriate</w:t>
      </w:r>
      <w:r w:rsidR="00AD2C74" w:rsidRPr="000D5FE2">
        <w:rPr>
          <w:szCs w:val="22"/>
        </w:rPr>
        <w:t xml:space="preserve"> (see Figure 3). </w:t>
      </w:r>
    </w:p>
    <w:p w:rsidR="00CB5454" w:rsidRPr="000D5FE2" w:rsidRDefault="00CB5454" w:rsidP="00CB5454">
      <w:pPr>
        <w:pStyle w:val="ListParagraph"/>
        <w:widowControl/>
        <w:rPr>
          <w:i/>
          <w:szCs w:val="22"/>
        </w:rPr>
      </w:pPr>
    </w:p>
    <w:p w:rsidR="00E705AF" w:rsidRPr="000D5FE2" w:rsidRDefault="00E705AF" w:rsidP="00EB23C1">
      <w:pPr>
        <w:pStyle w:val="ListParagraph"/>
        <w:widowControl/>
        <w:numPr>
          <w:ilvl w:val="1"/>
          <w:numId w:val="2"/>
        </w:numPr>
        <w:rPr>
          <w:szCs w:val="22"/>
        </w:rPr>
      </w:pPr>
      <w:r w:rsidRPr="000D5FE2">
        <w:t xml:space="preserve">Table </w:t>
      </w:r>
      <w:r w:rsidR="002C7239" w:rsidRPr="000D5FE2">
        <w:t>8</w:t>
      </w:r>
      <w:r w:rsidRPr="000D5FE2">
        <w:t xml:space="preserve"> summarises the results of the modelled economic evaluation. The base case ICER was estimated to be </w:t>
      </w:r>
      <w:r w:rsidR="00F03883">
        <w:t xml:space="preserve">$45,000/QALY gained - $75,000/QALY </w:t>
      </w:r>
      <w:r w:rsidR="00255340" w:rsidRPr="000D5FE2">
        <w:t>gained</w:t>
      </w:r>
      <w:r w:rsidRPr="000D5FE2">
        <w:t>. The ICER falls considerably following extrapolation from 3.7 years to 10 years due to the accrual of significant cost-offsets in the watchful waiting arm, associated with the assumption that patients remain on third-line enzalutamide (or abiraterone) after docetaxel until death (</w:t>
      </w:r>
      <w:r w:rsidR="00023D8D" w:rsidRPr="000D5FE2">
        <w:t>i.e.</w:t>
      </w:r>
      <w:r w:rsidRPr="000D5FE2">
        <w:t>, up to 114 months permitted in first 120 months).</w:t>
      </w:r>
    </w:p>
    <w:p w:rsidR="00BD265B" w:rsidRPr="000D5FE2" w:rsidRDefault="00BD265B" w:rsidP="00E705AF">
      <w:pPr>
        <w:pStyle w:val="ListParagraph"/>
        <w:widowControl/>
        <w:rPr>
          <w:szCs w:val="22"/>
        </w:rPr>
      </w:pPr>
    </w:p>
    <w:p w:rsidR="00E705AF" w:rsidRPr="000D5FE2" w:rsidRDefault="00E705AF" w:rsidP="00E705AF">
      <w:pPr>
        <w:ind w:firstLine="720"/>
        <w:rPr>
          <w:rStyle w:val="CommentReference"/>
        </w:rPr>
      </w:pPr>
      <w:r w:rsidRPr="000D5FE2">
        <w:rPr>
          <w:rStyle w:val="CommentReference"/>
        </w:rPr>
        <w:t xml:space="preserve">Table </w:t>
      </w:r>
      <w:r w:rsidR="002C7239" w:rsidRPr="000D5FE2">
        <w:rPr>
          <w:rStyle w:val="CommentReference"/>
        </w:rPr>
        <w:t>8</w:t>
      </w:r>
      <w:r w:rsidRPr="000D5FE2">
        <w:rPr>
          <w:rStyle w:val="CommentReference"/>
        </w:rPr>
        <w:t>: Results of the stepped economic evaluation</w:t>
      </w:r>
      <w:r w:rsidR="000B0097" w:rsidRPr="000D5FE2">
        <w:rPr>
          <w:rStyle w:val="CommentReference"/>
        </w:rPr>
        <w:t xml:space="preserve"> (discounted)</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43"/>
        <w:gridCol w:w="2428"/>
        <w:gridCol w:w="2284"/>
        <w:gridCol w:w="1519"/>
      </w:tblGrid>
      <w:tr w:rsidR="00E705AF" w:rsidRPr="000D5FE2" w:rsidTr="00473018">
        <w:tc>
          <w:tcPr>
            <w:tcW w:w="1279" w:type="pct"/>
            <w:vAlign w:val="center"/>
          </w:tcPr>
          <w:p w:rsidR="00E705AF" w:rsidRPr="000D5FE2" w:rsidRDefault="00E705AF" w:rsidP="00473018">
            <w:pPr>
              <w:jc w:val="left"/>
              <w:rPr>
                <w:rFonts w:ascii="Arial Narrow" w:hAnsi="Arial Narrow" w:cs="Times New Roman"/>
                <w:b/>
                <w:sz w:val="20"/>
              </w:rPr>
            </w:pPr>
            <w:r w:rsidRPr="000D5FE2">
              <w:rPr>
                <w:rFonts w:ascii="Arial Narrow" w:hAnsi="Arial Narrow" w:cs="Times New Roman"/>
                <w:b/>
                <w:sz w:val="20"/>
              </w:rPr>
              <w:t>Step and component</w:t>
            </w:r>
          </w:p>
        </w:tc>
        <w:tc>
          <w:tcPr>
            <w:tcW w:w="1450" w:type="pct"/>
            <w:vAlign w:val="center"/>
          </w:tcPr>
          <w:p w:rsidR="00E705AF" w:rsidRPr="000D5FE2" w:rsidRDefault="00E705AF" w:rsidP="00473018">
            <w:pPr>
              <w:jc w:val="center"/>
              <w:rPr>
                <w:rFonts w:ascii="Arial Narrow" w:hAnsi="Arial Narrow"/>
                <w:b/>
                <w:bCs/>
                <w:iCs/>
                <w:sz w:val="20"/>
                <w:szCs w:val="16"/>
              </w:rPr>
            </w:pPr>
            <w:r w:rsidRPr="000D5FE2">
              <w:rPr>
                <w:rFonts w:ascii="Arial Narrow" w:hAnsi="Arial Narrow"/>
                <w:b/>
                <w:bCs/>
                <w:iCs/>
                <w:sz w:val="20"/>
                <w:szCs w:val="16"/>
              </w:rPr>
              <w:t>Enzalutamide arm</w:t>
            </w:r>
          </w:p>
          <w:p w:rsidR="00E705AF" w:rsidRPr="000D5FE2" w:rsidRDefault="00E705AF" w:rsidP="00473018">
            <w:pPr>
              <w:jc w:val="center"/>
              <w:rPr>
                <w:rFonts w:ascii="Arial Narrow" w:hAnsi="Arial Narrow" w:cs="Times New Roman"/>
                <w:b/>
                <w:sz w:val="20"/>
              </w:rPr>
            </w:pPr>
            <w:r w:rsidRPr="000D5FE2">
              <w:rPr>
                <w:rFonts w:ascii="Arial Narrow" w:hAnsi="Arial Narrow"/>
                <w:b/>
                <w:bCs/>
                <w:iCs/>
                <w:sz w:val="20"/>
                <w:szCs w:val="16"/>
              </w:rPr>
              <w:t>(ENZ -&gt; DOC -&gt; WW)</w:t>
            </w:r>
          </w:p>
        </w:tc>
        <w:tc>
          <w:tcPr>
            <w:tcW w:w="1364" w:type="pct"/>
            <w:vAlign w:val="center"/>
          </w:tcPr>
          <w:p w:rsidR="00E705AF" w:rsidRPr="000D5FE2" w:rsidRDefault="00E705AF" w:rsidP="00473018">
            <w:pPr>
              <w:jc w:val="center"/>
              <w:rPr>
                <w:rFonts w:ascii="Arial Narrow" w:hAnsi="Arial Narrow"/>
                <w:b/>
                <w:bCs/>
                <w:iCs/>
                <w:sz w:val="20"/>
                <w:szCs w:val="16"/>
              </w:rPr>
            </w:pPr>
            <w:r w:rsidRPr="000D5FE2">
              <w:rPr>
                <w:rFonts w:ascii="Arial Narrow" w:hAnsi="Arial Narrow"/>
                <w:b/>
                <w:bCs/>
                <w:iCs/>
                <w:sz w:val="20"/>
                <w:szCs w:val="16"/>
              </w:rPr>
              <w:t>Watchful waiting arm</w:t>
            </w:r>
          </w:p>
          <w:p w:rsidR="00E705AF" w:rsidRPr="000D5FE2" w:rsidRDefault="00E705AF" w:rsidP="00473018">
            <w:pPr>
              <w:jc w:val="center"/>
              <w:rPr>
                <w:rFonts w:ascii="Arial Narrow" w:hAnsi="Arial Narrow" w:cs="Times New Roman"/>
                <w:b/>
                <w:sz w:val="20"/>
              </w:rPr>
            </w:pPr>
            <w:r w:rsidRPr="000D5FE2">
              <w:rPr>
                <w:rFonts w:ascii="Arial Narrow" w:hAnsi="Arial Narrow"/>
                <w:b/>
                <w:bCs/>
                <w:iCs/>
                <w:sz w:val="20"/>
                <w:szCs w:val="16"/>
              </w:rPr>
              <w:t>(WW -&gt; DOC -&gt; ENZ/ABI)</w:t>
            </w:r>
          </w:p>
        </w:tc>
        <w:tc>
          <w:tcPr>
            <w:tcW w:w="907" w:type="pct"/>
            <w:vAlign w:val="center"/>
          </w:tcPr>
          <w:p w:rsidR="00E705AF" w:rsidRPr="000D5FE2" w:rsidRDefault="00E705AF" w:rsidP="00473018">
            <w:pPr>
              <w:jc w:val="center"/>
              <w:rPr>
                <w:rFonts w:ascii="Arial Narrow" w:hAnsi="Arial Narrow" w:cs="Times New Roman"/>
                <w:b/>
                <w:sz w:val="20"/>
              </w:rPr>
            </w:pPr>
            <w:r w:rsidRPr="000D5FE2">
              <w:rPr>
                <w:rFonts w:ascii="Arial Narrow" w:hAnsi="Arial Narrow" w:cs="Times New Roman"/>
                <w:b/>
                <w:sz w:val="20"/>
              </w:rPr>
              <w:t>Increment</w:t>
            </w:r>
          </w:p>
        </w:tc>
      </w:tr>
      <w:tr w:rsidR="00E705AF" w:rsidRPr="000D5FE2" w:rsidTr="00473018">
        <w:tc>
          <w:tcPr>
            <w:tcW w:w="5000" w:type="pct"/>
            <w:gridSpan w:val="4"/>
            <w:vAlign w:val="center"/>
          </w:tcPr>
          <w:p w:rsidR="00CA51A2" w:rsidRPr="000D5FE2" w:rsidRDefault="00E705AF" w:rsidP="00CA51A2">
            <w:pPr>
              <w:keepNext/>
              <w:jc w:val="left"/>
              <w:rPr>
                <w:rFonts w:ascii="Arial Narrow" w:hAnsi="Arial Narrow" w:cs="Arial Narrow"/>
                <w:sz w:val="20"/>
              </w:rPr>
            </w:pPr>
            <w:r w:rsidRPr="000D5FE2">
              <w:rPr>
                <w:rFonts w:ascii="Arial Narrow" w:hAnsi="Arial Narrow" w:cs="Arial Narrow"/>
                <w:sz w:val="20"/>
              </w:rPr>
              <w:t>Step 1: trial based economic evaluation</w:t>
            </w:r>
            <w:r w:rsidR="00CA51A2" w:rsidRPr="000D5FE2">
              <w:rPr>
                <w:rFonts w:ascii="Arial Narrow" w:hAnsi="Arial Narrow" w:cs="Arial Narrow"/>
                <w:sz w:val="20"/>
              </w:rPr>
              <w:t xml:space="preserve"> (outcome measured in QALYs)</w:t>
            </w:r>
          </w:p>
          <w:p w:rsidR="00E705AF" w:rsidRPr="000D5FE2" w:rsidRDefault="00E705AF" w:rsidP="00CA51A2">
            <w:pPr>
              <w:keepNext/>
              <w:jc w:val="left"/>
              <w:rPr>
                <w:rFonts w:ascii="Arial Narrow" w:hAnsi="Arial Narrow" w:cs="Arial Narrow"/>
                <w:sz w:val="20"/>
              </w:rPr>
            </w:pPr>
            <w:r w:rsidRPr="000D5FE2">
              <w:rPr>
                <w:rFonts w:ascii="Arial Narrow" w:hAnsi="Arial Narrow" w:cs="Arial Narrow"/>
                <w:sz w:val="20"/>
              </w:rPr>
              <w:t>Time horizon of 3.7 years (44 months)</w:t>
            </w:r>
          </w:p>
          <w:p w:rsidR="00E705AF" w:rsidRPr="000D5FE2" w:rsidRDefault="00E705AF" w:rsidP="00EB23C1">
            <w:pPr>
              <w:pStyle w:val="ListParagraph"/>
              <w:numPr>
                <w:ilvl w:val="0"/>
                <w:numId w:val="4"/>
              </w:numPr>
              <w:ind w:left="365" w:hanging="213"/>
              <w:jc w:val="left"/>
              <w:rPr>
                <w:rFonts w:ascii="Arial Narrow" w:hAnsi="Arial Narrow" w:cs="Arial Narrow"/>
                <w:sz w:val="20"/>
              </w:rPr>
            </w:pPr>
            <w:r w:rsidRPr="000D5FE2">
              <w:rPr>
                <w:rFonts w:ascii="Arial Narrow" w:hAnsi="Arial Narrow" w:cs="Arial Narrow"/>
                <w:sz w:val="20"/>
              </w:rPr>
              <w:t>Drug costs (incl. consultations for docetaxel)</w:t>
            </w:r>
          </w:p>
        </w:tc>
      </w:tr>
      <w:tr w:rsidR="00E705AF" w:rsidRPr="000D5FE2" w:rsidTr="00473018">
        <w:tc>
          <w:tcPr>
            <w:tcW w:w="1279" w:type="pct"/>
            <w:vAlign w:val="center"/>
          </w:tcPr>
          <w:p w:rsidR="00E705AF" w:rsidRPr="000D5FE2" w:rsidRDefault="00E705AF" w:rsidP="00473018">
            <w:pPr>
              <w:jc w:val="left"/>
              <w:rPr>
                <w:rFonts w:ascii="Arial Narrow" w:hAnsi="Arial Narrow" w:cs="Times New Roman"/>
                <w:sz w:val="20"/>
              </w:rPr>
            </w:pPr>
            <w:r w:rsidRPr="000D5FE2">
              <w:rPr>
                <w:rFonts w:ascii="Arial Narrow" w:hAnsi="Arial Narrow" w:cs="Times New Roman"/>
                <w:sz w:val="20"/>
              </w:rPr>
              <w:t>Costs</w:t>
            </w:r>
          </w:p>
        </w:tc>
        <w:tc>
          <w:tcPr>
            <w:tcW w:w="1450" w:type="pct"/>
          </w:tcPr>
          <w:p w:rsidR="00E705AF" w:rsidRPr="000D5FE2" w:rsidRDefault="00E705AF" w:rsidP="00473018">
            <w:pPr>
              <w:jc w:val="center"/>
              <w:rPr>
                <w:rFonts w:ascii="Arial Narrow" w:hAnsi="Arial Narrow" w:cs="Times New Roman"/>
                <w:sz w:val="20"/>
              </w:rPr>
            </w:pPr>
            <w:r w:rsidRPr="000D5FE2">
              <w:rPr>
                <w:rFonts w:ascii="Arial Narrow" w:hAnsi="Arial Narrow" w:cs="Times New Roman"/>
                <w:sz w:val="20"/>
              </w:rPr>
              <w:t>$</w:t>
            </w:r>
            <w:r w:rsidR="009278D7">
              <w:rPr>
                <w:rFonts w:ascii="Arial Narrow" w:hAnsi="Arial Narrow" w:cs="Times New Roman"/>
                <w:noProof/>
                <w:color w:val="000000"/>
                <w:sz w:val="20"/>
                <w:highlight w:val="black"/>
              </w:rPr>
              <w:t>'''''''''''''''''''''''</w:t>
            </w:r>
          </w:p>
        </w:tc>
        <w:tc>
          <w:tcPr>
            <w:tcW w:w="1364" w:type="pct"/>
            <w:vAlign w:val="center"/>
          </w:tcPr>
          <w:p w:rsidR="00E705AF" w:rsidRPr="000D5FE2" w:rsidRDefault="00E705AF" w:rsidP="00473018">
            <w:pPr>
              <w:jc w:val="center"/>
              <w:rPr>
                <w:rFonts w:ascii="Arial Narrow" w:hAnsi="Arial Narrow" w:cs="Times New Roman"/>
                <w:sz w:val="20"/>
              </w:rPr>
            </w:pPr>
            <w:r w:rsidRPr="000D5FE2">
              <w:rPr>
                <w:rFonts w:ascii="Arial Narrow" w:hAnsi="Arial Narrow" w:cs="Times New Roman"/>
                <w:sz w:val="20"/>
              </w:rPr>
              <w:t>$</w:t>
            </w:r>
            <w:r w:rsidR="009278D7">
              <w:rPr>
                <w:rFonts w:ascii="Arial Narrow" w:hAnsi="Arial Narrow" w:cs="Times New Roman"/>
                <w:noProof/>
                <w:color w:val="000000"/>
                <w:sz w:val="20"/>
                <w:highlight w:val="black"/>
              </w:rPr>
              <w:t>''''''''''''''''''''''''</w:t>
            </w:r>
          </w:p>
        </w:tc>
        <w:tc>
          <w:tcPr>
            <w:tcW w:w="907" w:type="pct"/>
          </w:tcPr>
          <w:p w:rsidR="00E705AF" w:rsidRPr="000D5FE2" w:rsidRDefault="00E705AF" w:rsidP="00473018">
            <w:pPr>
              <w:jc w:val="center"/>
              <w:rPr>
                <w:rFonts w:ascii="Arial Narrow" w:hAnsi="Arial Narrow" w:cs="Times New Roman"/>
                <w:sz w:val="20"/>
              </w:rPr>
            </w:pPr>
            <w:r w:rsidRPr="000D5FE2">
              <w:rPr>
                <w:rFonts w:ascii="Arial Narrow" w:hAnsi="Arial Narrow" w:cs="Times New Roman"/>
                <w:sz w:val="20"/>
              </w:rPr>
              <w:t>$</w:t>
            </w:r>
            <w:r w:rsidR="009278D7">
              <w:rPr>
                <w:rFonts w:ascii="Arial Narrow" w:hAnsi="Arial Narrow" w:cs="Times New Roman"/>
                <w:noProof/>
                <w:color w:val="000000"/>
                <w:sz w:val="20"/>
                <w:highlight w:val="black"/>
              </w:rPr>
              <w:t>''''''''''''''''''''''</w:t>
            </w:r>
          </w:p>
        </w:tc>
      </w:tr>
      <w:tr w:rsidR="00E705AF" w:rsidRPr="000D5FE2" w:rsidTr="00473018">
        <w:tc>
          <w:tcPr>
            <w:tcW w:w="1279" w:type="pct"/>
            <w:vAlign w:val="center"/>
          </w:tcPr>
          <w:p w:rsidR="00E705AF" w:rsidRPr="000D5FE2" w:rsidRDefault="00E705AF" w:rsidP="00473018">
            <w:pPr>
              <w:jc w:val="left"/>
              <w:rPr>
                <w:rFonts w:ascii="Arial Narrow" w:hAnsi="Arial Narrow" w:cs="Times New Roman"/>
                <w:sz w:val="20"/>
              </w:rPr>
            </w:pPr>
            <w:r w:rsidRPr="000D5FE2">
              <w:rPr>
                <w:rFonts w:ascii="Arial Narrow" w:hAnsi="Arial Narrow" w:cs="Times New Roman"/>
                <w:sz w:val="20"/>
              </w:rPr>
              <w:t>QALY</w:t>
            </w:r>
          </w:p>
        </w:tc>
        <w:tc>
          <w:tcPr>
            <w:tcW w:w="1450" w:type="pct"/>
          </w:tcPr>
          <w:p w:rsidR="00E705AF" w:rsidRPr="009278D7" w:rsidRDefault="009278D7" w:rsidP="004730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64" w:type="pct"/>
            <w:vAlign w:val="center"/>
          </w:tcPr>
          <w:p w:rsidR="00E705AF" w:rsidRPr="009278D7" w:rsidRDefault="009278D7" w:rsidP="004730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907" w:type="pct"/>
          </w:tcPr>
          <w:p w:rsidR="00E705AF" w:rsidRPr="009278D7" w:rsidRDefault="009278D7" w:rsidP="004730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E705AF" w:rsidRPr="000D5FE2" w:rsidTr="00473018">
        <w:tc>
          <w:tcPr>
            <w:tcW w:w="4093" w:type="pct"/>
            <w:gridSpan w:val="3"/>
            <w:vAlign w:val="center"/>
          </w:tcPr>
          <w:p w:rsidR="00E705AF" w:rsidRPr="000D5FE2" w:rsidRDefault="00E705AF" w:rsidP="00473018">
            <w:pPr>
              <w:jc w:val="left"/>
              <w:rPr>
                <w:rFonts w:ascii="Arial Narrow" w:hAnsi="Arial Narrow" w:cs="Times New Roman"/>
                <w:sz w:val="20"/>
              </w:rPr>
            </w:pPr>
            <w:r w:rsidRPr="000D5FE2">
              <w:rPr>
                <w:rFonts w:ascii="Arial Narrow" w:hAnsi="Arial Narrow" w:cs="Times New Roman"/>
                <w:b/>
                <w:snapToGrid/>
                <w:sz w:val="20"/>
              </w:rPr>
              <w:t>Incremental cost/extra QALY gained</w:t>
            </w:r>
          </w:p>
        </w:tc>
        <w:tc>
          <w:tcPr>
            <w:tcW w:w="907" w:type="pct"/>
          </w:tcPr>
          <w:p w:rsidR="00E705AF" w:rsidRPr="000D5FE2" w:rsidRDefault="00E705AF" w:rsidP="008636DF">
            <w:pPr>
              <w:jc w:val="center"/>
              <w:rPr>
                <w:rFonts w:ascii="Arial Narrow" w:hAnsi="Arial Narrow" w:cs="Times New Roman"/>
                <w:sz w:val="20"/>
              </w:rPr>
            </w:pPr>
            <w:r w:rsidRPr="000D5FE2">
              <w:rPr>
                <w:rFonts w:ascii="Arial Narrow" w:hAnsi="Arial Narrow" w:cs="Times New Roman"/>
                <w:b/>
                <w:sz w:val="20"/>
              </w:rPr>
              <w:t>$</w:t>
            </w:r>
            <w:r w:rsidR="009278D7">
              <w:rPr>
                <w:rFonts w:ascii="Arial Narrow" w:hAnsi="Arial Narrow" w:cs="Times New Roman"/>
                <w:b/>
                <w:noProof/>
                <w:color w:val="000000"/>
                <w:sz w:val="20"/>
                <w:highlight w:val="black"/>
              </w:rPr>
              <w:t>''''''''''''''</w:t>
            </w:r>
          </w:p>
        </w:tc>
      </w:tr>
      <w:tr w:rsidR="00E705AF" w:rsidRPr="000D5FE2" w:rsidTr="00473018">
        <w:tc>
          <w:tcPr>
            <w:tcW w:w="5000" w:type="pct"/>
            <w:gridSpan w:val="4"/>
            <w:vAlign w:val="center"/>
          </w:tcPr>
          <w:p w:rsidR="00E705AF" w:rsidRPr="000D5FE2" w:rsidRDefault="00E705AF" w:rsidP="00473018">
            <w:pPr>
              <w:keepNext/>
              <w:jc w:val="left"/>
              <w:rPr>
                <w:rFonts w:ascii="Arial Narrow" w:hAnsi="Arial Narrow" w:cs="Times New Roman"/>
                <w:sz w:val="20"/>
              </w:rPr>
            </w:pPr>
            <w:r w:rsidRPr="000D5FE2">
              <w:rPr>
                <w:rFonts w:ascii="Arial Narrow" w:hAnsi="Arial Narrow" w:cs="Arial Narrow"/>
                <w:sz w:val="20"/>
              </w:rPr>
              <w:t xml:space="preserve">Step 2: </w:t>
            </w:r>
            <w:r w:rsidRPr="000D5FE2">
              <w:rPr>
                <w:rFonts w:ascii="Arial Narrow" w:hAnsi="Arial Narrow" w:cs="Times New Roman"/>
                <w:sz w:val="20"/>
              </w:rPr>
              <w:t>Modelled economic evaluation including all resource utilisation</w:t>
            </w:r>
          </w:p>
          <w:p w:rsidR="00E705AF" w:rsidRPr="000D5FE2" w:rsidRDefault="00E705AF" w:rsidP="00EB23C1">
            <w:pPr>
              <w:pStyle w:val="ListParagraph"/>
              <w:numPr>
                <w:ilvl w:val="0"/>
                <w:numId w:val="4"/>
              </w:numPr>
              <w:ind w:left="365" w:hanging="213"/>
              <w:jc w:val="left"/>
              <w:rPr>
                <w:rFonts w:ascii="Arial Narrow" w:hAnsi="Arial Narrow" w:cs="Times New Roman"/>
                <w:sz w:val="20"/>
              </w:rPr>
            </w:pPr>
            <w:r w:rsidRPr="000D5FE2">
              <w:rPr>
                <w:rFonts w:ascii="Arial Narrow" w:hAnsi="Arial Narrow" w:cs="Times New Roman"/>
                <w:sz w:val="20"/>
              </w:rPr>
              <w:t>Time horizon of 3.7 years (44 months)</w:t>
            </w:r>
          </w:p>
          <w:p w:rsidR="00E705AF" w:rsidRPr="000D5FE2" w:rsidRDefault="00E705AF" w:rsidP="00EB23C1">
            <w:pPr>
              <w:pStyle w:val="ListParagraph"/>
              <w:numPr>
                <w:ilvl w:val="0"/>
                <w:numId w:val="4"/>
              </w:numPr>
              <w:ind w:left="365" w:hanging="213"/>
              <w:jc w:val="left"/>
              <w:rPr>
                <w:rFonts w:ascii="Arial Narrow" w:hAnsi="Arial Narrow" w:cs="Arial Narrow"/>
                <w:b/>
                <w:bCs/>
                <w:sz w:val="20"/>
              </w:rPr>
            </w:pPr>
            <w:r w:rsidRPr="000D5FE2">
              <w:rPr>
                <w:rFonts w:ascii="Arial Narrow" w:hAnsi="Arial Narrow" w:cs="Times New Roman"/>
                <w:sz w:val="20"/>
              </w:rPr>
              <w:t>All costs (drug costs, tests and consultations)</w:t>
            </w:r>
          </w:p>
        </w:tc>
      </w:tr>
      <w:tr w:rsidR="00E705AF" w:rsidRPr="000D5FE2" w:rsidTr="00473018">
        <w:tc>
          <w:tcPr>
            <w:tcW w:w="1279" w:type="pct"/>
            <w:vAlign w:val="center"/>
          </w:tcPr>
          <w:p w:rsidR="00E705AF" w:rsidRPr="000D5FE2" w:rsidRDefault="00E705AF" w:rsidP="00473018">
            <w:pPr>
              <w:jc w:val="left"/>
              <w:rPr>
                <w:rFonts w:ascii="Arial Narrow" w:hAnsi="Arial Narrow" w:cs="Times New Roman"/>
                <w:sz w:val="20"/>
              </w:rPr>
            </w:pPr>
            <w:r w:rsidRPr="000D5FE2">
              <w:rPr>
                <w:rFonts w:ascii="Arial Narrow" w:hAnsi="Arial Narrow" w:cs="Times New Roman"/>
                <w:sz w:val="20"/>
              </w:rPr>
              <w:t>Costs</w:t>
            </w:r>
          </w:p>
        </w:tc>
        <w:tc>
          <w:tcPr>
            <w:tcW w:w="1450" w:type="pct"/>
          </w:tcPr>
          <w:p w:rsidR="00E705AF" w:rsidRPr="000D5FE2" w:rsidRDefault="00E705AF" w:rsidP="00473018">
            <w:pPr>
              <w:jc w:val="center"/>
              <w:rPr>
                <w:rFonts w:ascii="Arial Narrow" w:hAnsi="Arial Narrow" w:cs="Times New Roman"/>
                <w:sz w:val="20"/>
              </w:rPr>
            </w:pPr>
            <w:r w:rsidRPr="000D5FE2">
              <w:rPr>
                <w:rFonts w:ascii="Arial Narrow" w:hAnsi="Arial Narrow" w:cs="Times New Roman"/>
                <w:sz w:val="20"/>
              </w:rPr>
              <w:t>$</w:t>
            </w:r>
            <w:r w:rsidR="009278D7">
              <w:rPr>
                <w:rFonts w:ascii="Arial Narrow" w:hAnsi="Arial Narrow" w:cs="Times New Roman"/>
                <w:noProof/>
                <w:color w:val="000000"/>
                <w:sz w:val="20"/>
                <w:highlight w:val="black"/>
              </w:rPr>
              <w:t>''''''''''''''''''''''''</w:t>
            </w:r>
          </w:p>
        </w:tc>
        <w:tc>
          <w:tcPr>
            <w:tcW w:w="1364" w:type="pct"/>
            <w:vAlign w:val="center"/>
          </w:tcPr>
          <w:p w:rsidR="00E705AF" w:rsidRPr="000D5FE2" w:rsidRDefault="00E705AF" w:rsidP="00473018">
            <w:pPr>
              <w:jc w:val="center"/>
              <w:rPr>
                <w:rFonts w:ascii="Arial Narrow" w:hAnsi="Arial Narrow" w:cs="Times New Roman"/>
                <w:sz w:val="20"/>
              </w:rPr>
            </w:pPr>
            <w:r w:rsidRPr="000D5FE2">
              <w:rPr>
                <w:rFonts w:ascii="Arial Narrow" w:hAnsi="Arial Narrow" w:cs="Times New Roman"/>
                <w:sz w:val="20"/>
              </w:rPr>
              <w:t>$</w:t>
            </w:r>
            <w:r w:rsidR="009278D7">
              <w:rPr>
                <w:rFonts w:ascii="Arial Narrow" w:hAnsi="Arial Narrow" w:cs="Times New Roman"/>
                <w:noProof/>
                <w:color w:val="000000"/>
                <w:sz w:val="20"/>
                <w:highlight w:val="black"/>
              </w:rPr>
              <w:t>''''''''''''''''''''''</w:t>
            </w:r>
          </w:p>
        </w:tc>
        <w:tc>
          <w:tcPr>
            <w:tcW w:w="907" w:type="pct"/>
          </w:tcPr>
          <w:p w:rsidR="00E705AF" w:rsidRPr="000D5FE2" w:rsidRDefault="00E705AF" w:rsidP="00473018">
            <w:pPr>
              <w:jc w:val="center"/>
              <w:rPr>
                <w:rFonts w:ascii="Arial Narrow" w:hAnsi="Arial Narrow" w:cs="Times New Roman"/>
                <w:sz w:val="20"/>
              </w:rPr>
            </w:pPr>
            <w:r w:rsidRPr="000D5FE2">
              <w:rPr>
                <w:rFonts w:ascii="Arial Narrow" w:hAnsi="Arial Narrow" w:cs="Times New Roman"/>
                <w:sz w:val="20"/>
              </w:rPr>
              <w:t>$</w:t>
            </w:r>
            <w:r w:rsidR="009278D7">
              <w:rPr>
                <w:rFonts w:ascii="Arial Narrow" w:hAnsi="Arial Narrow" w:cs="Times New Roman"/>
                <w:noProof/>
                <w:color w:val="000000"/>
                <w:sz w:val="20"/>
                <w:highlight w:val="black"/>
              </w:rPr>
              <w:t>'''''''''''''''''''''''</w:t>
            </w:r>
          </w:p>
        </w:tc>
      </w:tr>
      <w:tr w:rsidR="00E705AF" w:rsidRPr="000D5FE2" w:rsidTr="00473018">
        <w:tc>
          <w:tcPr>
            <w:tcW w:w="1279" w:type="pct"/>
            <w:vAlign w:val="center"/>
          </w:tcPr>
          <w:p w:rsidR="00E705AF" w:rsidRPr="000D5FE2" w:rsidRDefault="00E705AF" w:rsidP="00473018">
            <w:pPr>
              <w:jc w:val="left"/>
              <w:rPr>
                <w:rFonts w:ascii="Arial Narrow" w:hAnsi="Arial Narrow" w:cs="Times New Roman"/>
                <w:sz w:val="20"/>
              </w:rPr>
            </w:pPr>
            <w:r w:rsidRPr="000D5FE2">
              <w:rPr>
                <w:rFonts w:ascii="Arial Narrow" w:hAnsi="Arial Narrow" w:cs="Times New Roman"/>
                <w:sz w:val="20"/>
              </w:rPr>
              <w:t>QALY</w:t>
            </w:r>
          </w:p>
        </w:tc>
        <w:tc>
          <w:tcPr>
            <w:tcW w:w="1450" w:type="pct"/>
          </w:tcPr>
          <w:p w:rsidR="00E705AF" w:rsidRPr="009278D7" w:rsidRDefault="009278D7" w:rsidP="004730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64" w:type="pct"/>
            <w:vAlign w:val="center"/>
          </w:tcPr>
          <w:p w:rsidR="00E705AF" w:rsidRPr="009278D7" w:rsidRDefault="009278D7" w:rsidP="004730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907" w:type="pct"/>
          </w:tcPr>
          <w:p w:rsidR="00E705AF" w:rsidRPr="009278D7" w:rsidRDefault="009278D7" w:rsidP="004730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E705AF" w:rsidRPr="000D5FE2" w:rsidTr="00473018">
        <w:trPr>
          <w:trHeight w:val="70"/>
        </w:trPr>
        <w:tc>
          <w:tcPr>
            <w:tcW w:w="4093" w:type="pct"/>
            <w:gridSpan w:val="3"/>
            <w:vAlign w:val="center"/>
          </w:tcPr>
          <w:p w:rsidR="00E705AF" w:rsidRPr="000D5FE2" w:rsidRDefault="00E705AF" w:rsidP="00473018">
            <w:pPr>
              <w:jc w:val="left"/>
              <w:rPr>
                <w:rFonts w:ascii="Arial Narrow" w:hAnsi="Arial Narrow" w:cs="Times New Roman"/>
                <w:sz w:val="20"/>
              </w:rPr>
            </w:pPr>
            <w:r w:rsidRPr="000D5FE2">
              <w:rPr>
                <w:rFonts w:ascii="Arial Narrow" w:hAnsi="Arial Narrow" w:cs="Times New Roman"/>
                <w:b/>
                <w:snapToGrid/>
                <w:sz w:val="20"/>
              </w:rPr>
              <w:t>Incremental cost/extra QALY gained</w:t>
            </w:r>
          </w:p>
        </w:tc>
        <w:tc>
          <w:tcPr>
            <w:tcW w:w="907" w:type="pct"/>
          </w:tcPr>
          <w:p w:rsidR="00E705AF" w:rsidRPr="000D5FE2" w:rsidRDefault="00E705AF" w:rsidP="008636DF">
            <w:pPr>
              <w:jc w:val="center"/>
              <w:rPr>
                <w:rFonts w:ascii="Arial Narrow" w:hAnsi="Arial Narrow" w:cs="Times New Roman"/>
                <w:sz w:val="20"/>
              </w:rPr>
            </w:pPr>
            <w:r w:rsidRPr="000D5FE2">
              <w:rPr>
                <w:rFonts w:ascii="Arial Narrow" w:hAnsi="Arial Narrow" w:cs="Times New Roman"/>
                <w:b/>
                <w:sz w:val="20"/>
              </w:rPr>
              <w:t>$</w:t>
            </w:r>
            <w:r w:rsidR="009278D7">
              <w:rPr>
                <w:rFonts w:ascii="Arial Narrow" w:hAnsi="Arial Narrow" w:cs="Times New Roman"/>
                <w:b/>
                <w:noProof/>
                <w:color w:val="000000"/>
                <w:sz w:val="20"/>
                <w:highlight w:val="black"/>
              </w:rPr>
              <w:t>''''''''''''''''</w:t>
            </w:r>
          </w:p>
        </w:tc>
      </w:tr>
      <w:tr w:rsidR="00E705AF" w:rsidRPr="000D5FE2" w:rsidTr="00473018">
        <w:tc>
          <w:tcPr>
            <w:tcW w:w="5000" w:type="pct"/>
            <w:gridSpan w:val="4"/>
            <w:vAlign w:val="center"/>
          </w:tcPr>
          <w:p w:rsidR="00E705AF" w:rsidRPr="000D5FE2" w:rsidRDefault="00E705AF" w:rsidP="00473018">
            <w:pPr>
              <w:keepNext/>
              <w:jc w:val="left"/>
              <w:rPr>
                <w:rFonts w:ascii="Arial Narrow" w:hAnsi="Arial Narrow" w:cs="Times New Roman"/>
                <w:sz w:val="20"/>
              </w:rPr>
            </w:pPr>
            <w:r w:rsidRPr="000D5FE2">
              <w:rPr>
                <w:rFonts w:ascii="Arial Narrow" w:hAnsi="Arial Narrow" w:cs="Arial Narrow"/>
                <w:sz w:val="20"/>
              </w:rPr>
              <w:t xml:space="preserve">Step 3: </w:t>
            </w:r>
            <w:r w:rsidRPr="000D5FE2">
              <w:rPr>
                <w:rFonts w:ascii="Arial Narrow" w:hAnsi="Arial Narrow" w:cs="Times New Roman"/>
                <w:sz w:val="20"/>
              </w:rPr>
              <w:t xml:space="preserve">Modelled economic evaluation </w:t>
            </w:r>
            <w:r w:rsidR="00D766F3" w:rsidRPr="000D5FE2">
              <w:rPr>
                <w:rFonts w:ascii="Arial Narrow" w:hAnsi="Arial Narrow" w:cs="Times New Roman"/>
                <w:sz w:val="20"/>
              </w:rPr>
              <w:t>extrapolated to 10 years</w:t>
            </w:r>
          </w:p>
          <w:p w:rsidR="00E705AF" w:rsidRPr="000D5FE2" w:rsidRDefault="00E705AF" w:rsidP="00EB23C1">
            <w:pPr>
              <w:pStyle w:val="ListParagraph"/>
              <w:numPr>
                <w:ilvl w:val="0"/>
                <w:numId w:val="4"/>
              </w:numPr>
              <w:ind w:left="365" w:hanging="213"/>
              <w:jc w:val="left"/>
              <w:rPr>
                <w:rFonts w:ascii="Arial Narrow" w:hAnsi="Arial Narrow" w:cs="Times New Roman"/>
                <w:sz w:val="20"/>
              </w:rPr>
            </w:pPr>
            <w:r w:rsidRPr="000D5FE2">
              <w:rPr>
                <w:rFonts w:ascii="Arial Narrow" w:hAnsi="Arial Narrow" w:cs="Times New Roman"/>
                <w:sz w:val="20"/>
              </w:rPr>
              <w:t>Time horizon of 10 years (120 months)</w:t>
            </w:r>
          </w:p>
          <w:p w:rsidR="00E705AF" w:rsidRPr="000D5FE2" w:rsidRDefault="00E705AF" w:rsidP="00EB23C1">
            <w:pPr>
              <w:pStyle w:val="ListParagraph"/>
              <w:numPr>
                <w:ilvl w:val="0"/>
                <w:numId w:val="4"/>
              </w:numPr>
              <w:ind w:left="365" w:hanging="213"/>
              <w:jc w:val="left"/>
              <w:rPr>
                <w:rFonts w:ascii="Arial Narrow" w:hAnsi="Arial Narrow" w:cs="Arial Narrow"/>
                <w:b/>
                <w:bCs/>
                <w:sz w:val="20"/>
              </w:rPr>
            </w:pPr>
            <w:r w:rsidRPr="000D5FE2">
              <w:rPr>
                <w:rFonts w:ascii="Arial Narrow" w:hAnsi="Arial Narrow" w:cs="Times New Roman"/>
                <w:sz w:val="20"/>
              </w:rPr>
              <w:t>All costs (drug costs, tests and consultations)</w:t>
            </w:r>
          </w:p>
        </w:tc>
      </w:tr>
      <w:tr w:rsidR="00E705AF" w:rsidRPr="000D5FE2" w:rsidTr="00473018">
        <w:tc>
          <w:tcPr>
            <w:tcW w:w="1279" w:type="pct"/>
            <w:vAlign w:val="center"/>
          </w:tcPr>
          <w:p w:rsidR="00E705AF" w:rsidRPr="000D5FE2" w:rsidRDefault="00E705AF" w:rsidP="00473018">
            <w:pPr>
              <w:jc w:val="left"/>
              <w:rPr>
                <w:rFonts w:ascii="Arial Narrow" w:hAnsi="Arial Narrow" w:cs="Times New Roman"/>
                <w:sz w:val="20"/>
              </w:rPr>
            </w:pPr>
            <w:r w:rsidRPr="000D5FE2">
              <w:rPr>
                <w:rFonts w:ascii="Arial Narrow" w:hAnsi="Arial Narrow" w:cs="Times New Roman"/>
                <w:sz w:val="20"/>
              </w:rPr>
              <w:t>Costs</w:t>
            </w:r>
          </w:p>
        </w:tc>
        <w:tc>
          <w:tcPr>
            <w:tcW w:w="1450" w:type="pct"/>
          </w:tcPr>
          <w:p w:rsidR="00E705AF" w:rsidRPr="000D5FE2" w:rsidRDefault="00E705AF" w:rsidP="00473018">
            <w:pPr>
              <w:jc w:val="center"/>
              <w:rPr>
                <w:rFonts w:ascii="Arial Narrow" w:hAnsi="Arial Narrow" w:cs="Times New Roman"/>
                <w:sz w:val="20"/>
              </w:rPr>
            </w:pPr>
            <w:r w:rsidRPr="000D5FE2">
              <w:rPr>
                <w:rFonts w:ascii="Arial Narrow" w:hAnsi="Arial Narrow" w:cs="Times New Roman"/>
                <w:sz w:val="20"/>
              </w:rPr>
              <w:t>$</w:t>
            </w:r>
            <w:r w:rsidR="009278D7">
              <w:rPr>
                <w:rFonts w:ascii="Arial Narrow" w:hAnsi="Arial Narrow" w:cs="Times New Roman"/>
                <w:noProof/>
                <w:color w:val="000000"/>
                <w:sz w:val="20"/>
                <w:highlight w:val="black"/>
              </w:rPr>
              <w:t>''''''''''''''''''''''''''</w:t>
            </w:r>
          </w:p>
        </w:tc>
        <w:tc>
          <w:tcPr>
            <w:tcW w:w="1364" w:type="pct"/>
            <w:vAlign w:val="center"/>
          </w:tcPr>
          <w:p w:rsidR="00E705AF" w:rsidRPr="000D5FE2" w:rsidRDefault="00E705AF" w:rsidP="00473018">
            <w:pPr>
              <w:jc w:val="center"/>
              <w:rPr>
                <w:rFonts w:ascii="Arial Narrow" w:hAnsi="Arial Narrow" w:cs="Times New Roman"/>
                <w:sz w:val="20"/>
              </w:rPr>
            </w:pPr>
            <w:r w:rsidRPr="000D5FE2">
              <w:rPr>
                <w:rFonts w:ascii="Arial Narrow" w:hAnsi="Arial Narrow" w:cs="Times New Roman"/>
                <w:sz w:val="20"/>
              </w:rPr>
              <w:t>$</w:t>
            </w:r>
            <w:r w:rsidR="009278D7">
              <w:rPr>
                <w:rFonts w:ascii="Arial Narrow" w:hAnsi="Arial Narrow" w:cs="Times New Roman"/>
                <w:noProof/>
                <w:color w:val="000000"/>
                <w:sz w:val="20"/>
                <w:highlight w:val="black"/>
              </w:rPr>
              <w:t>''''''''''''''''''''''''''</w:t>
            </w:r>
          </w:p>
        </w:tc>
        <w:tc>
          <w:tcPr>
            <w:tcW w:w="907" w:type="pct"/>
          </w:tcPr>
          <w:p w:rsidR="00E705AF" w:rsidRPr="000D5FE2" w:rsidRDefault="00E705AF" w:rsidP="00473018">
            <w:pPr>
              <w:jc w:val="center"/>
              <w:rPr>
                <w:rFonts w:ascii="Arial Narrow" w:hAnsi="Arial Narrow" w:cs="Times New Roman"/>
                <w:sz w:val="20"/>
              </w:rPr>
            </w:pPr>
            <w:r w:rsidRPr="000D5FE2">
              <w:rPr>
                <w:rFonts w:ascii="Arial Narrow" w:hAnsi="Arial Narrow" w:cs="Times New Roman"/>
                <w:sz w:val="20"/>
              </w:rPr>
              <w:t>$</w:t>
            </w:r>
            <w:r w:rsidR="009278D7">
              <w:rPr>
                <w:rFonts w:ascii="Arial Narrow" w:hAnsi="Arial Narrow" w:cs="Times New Roman"/>
                <w:noProof/>
                <w:color w:val="000000"/>
                <w:sz w:val="20"/>
                <w:highlight w:val="black"/>
              </w:rPr>
              <w:t>'''''''''''''''''''''''</w:t>
            </w:r>
          </w:p>
        </w:tc>
      </w:tr>
      <w:tr w:rsidR="00E705AF" w:rsidRPr="000D5FE2" w:rsidTr="00473018">
        <w:tc>
          <w:tcPr>
            <w:tcW w:w="1279" w:type="pct"/>
            <w:vAlign w:val="center"/>
          </w:tcPr>
          <w:p w:rsidR="00E705AF" w:rsidRPr="000D5FE2" w:rsidRDefault="00E705AF" w:rsidP="00473018">
            <w:pPr>
              <w:jc w:val="left"/>
              <w:rPr>
                <w:rFonts w:ascii="Arial Narrow" w:hAnsi="Arial Narrow" w:cs="Times New Roman"/>
                <w:sz w:val="20"/>
              </w:rPr>
            </w:pPr>
            <w:r w:rsidRPr="000D5FE2">
              <w:rPr>
                <w:rFonts w:ascii="Arial Narrow" w:hAnsi="Arial Narrow" w:cs="Times New Roman"/>
                <w:sz w:val="20"/>
              </w:rPr>
              <w:t>QALY</w:t>
            </w:r>
          </w:p>
        </w:tc>
        <w:tc>
          <w:tcPr>
            <w:tcW w:w="1450" w:type="pct"/>
          </w:tcPr>
          <w:p w:rsidR="00E705AF" w:rsidRPr="009278D7" w:rsidRDefault="009278D7" w:rsidP="004730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364" w:type="pct"/>
            <w:vAlign w:val="center"/>
          </w:tcPr>
          <w:p w:rsidR="00E705AF" w:rsidRPr="009278D7" w:rsidRDefault="009278D7" w:rsidP="004730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907" w:type="pct"/>
          </w:tcPr>
          <w:p w:rsidR="00E705AF" w:rsidRPr="009278D7" w:rsidRDefault="009278D7" w:rsidP="00473018">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E705AF" w:rsidRPr="000D5FE2" w:rsidTr="00473018">
        <w:tc>
          <w:tcPr>
            <w:tcW w:w="4093" w:type="pct"/>
            <w:gridSpan w:val="3"/>
            <w:vAlign w:val="center"/>
          </w:tcPr>
          <w:p w:rsidR="00E705AF" w:rsidRPr="000D5FE2" w:rsidRDefault="00E705AF" w:rsidP="00473018">
            <w:pPr>
              <w:jc w:val="left"/>
              <w:rPr>
                <w:rFonts w:ascii="Arial Narrow" w:hAnsi="Arial Narrow" w:cs="Times New Roman"/>
                <w:b/>
                <w:sz w:val="20"/>
              </w:rPr>
            </w:pPr>
            <w:r w:rsidRPr="000D5FE2">
              <w:rPr>
                <w:rFonts w:ascii="Arial Narrow" w:hAnsi="Arial Narrow" w:cs="Times New Roman"/>
                <w:b/>
                <w:sz w:val="20"/>
              </w:rPr>
              <w:t>Incremental cost/extra QALY gained</w:t>
            </w:r>
          </w:p>
        </w:tc>
        <w:tc>
          <w:tcPr>
            <w:tcW w:w="907" w:type="pct"/>
          </w:tcPr>
          <w:p w:rsidR="00E705AF" w:rsidRPr="000D5FE2" w:rsidRDefault="00E705AF" w:rsidP="008636DF">
            <w:pPr>
              <w:jc w:val="center"/>
              <w:rPr>
                <w:rFonts w:ascii="Arial Narrow" w:hAnsi="Arial Narrow" w:cs="Times New Roman"/>
                <w:b/>
                <w:sz w:val="20"/>
              </w:rPr>
            </w:pPr>
            <w:r w:rsidRPr="000D5FE2">
              <w:rPr>
                <w:rFonts w:ascii="Arial Narrow" w:hAnsi="Arial Narrow" w:cs="Times New Roman"/>
                <w:b/>
                <w:sz w:val="20"/>
              </w:rPr>
              <w:t>$</w:t>
            </w:r>
            <w:r w:rsidR="009278D7">
              <w:rPr>
                <w:rFonts w:ascii="Arial Narrow" w:hAnsi="Arial Narrow" w:cs="Times New Roman"/>
                <w:b/>
                <w:noProof/>
                <w:color w:val="000000"/>
                <w:sz w:val="20"/>
                <w:highlight w:val="black"/>
              </w:rPr>
              <w:t>'''''''''''''</w:t>
            </w:r>
          </w:p>
        </w:tc>
      </w:tr>
    </w:tbl>
    <w:p w:rsidR="00E705AF" w:rsidRPr="000D5FE2" w:rsidRDefault="00E705AF" w:rsidP="00E705AF">
      <w:pPr>
        <w:pStyle w:val="TableFooter"/>
        <w:ind w:firstLine="720"/>
      </w:pPr>
      <w:r w:rsidRPr="000D5FE2">
        <w:t>Source: Tables D.5.1, D.5.2 and D.5.3, pp212 to 213 of the submission</w:t>
      </w:r>
    </w:p>
    <w:p w:rsidR="00E705AF" w:rsidRDefault="00E705AF" w:rsidP="00E705AF">
      <w:pPr>
        <w:widowControl/>
        <w:rPr>
          <w:szCs w:val="22"/>
        </w:rPr>
      </w:pPr>
    </w:p>
    <w:p w:rsidR="009D17C8" w:rsidRDefault="009D17C8" w:rsidP="00E705AF">
      <w:pPr>
        <w:widowControl/>
        <w:rPr>
          <w:szCs w:val="22"/>
        </w:rPr>
      </w:pPr>
      <w:r>
        <w:rPr>
          <w:szCs w:val="22"/>
        </w:rPr>
        <w:t xml:space="preserve">The redacted table </w:t>
      </w:r>
      <w:r w:rsidR="00414624">
        <w:rPr>
          <w:szCs w:val="22"/>
        </w:rPr>
        <w:t>shows ICERs in the range of $45,000/QALY gained - $200,000/QALY gained.</w:t>
      </w:r>
    </w:p>
    <w:p w:rsidR="00414624" w:rsidRPr="000D5FE2" w:rsidRDefault="00414624" w:rsidP="00E705AF">
      <w:pPr>
        <w:widowControl/>
        <w:rPr>
          <w:szCs w:val="22"/>
        </w:rPr>
      </w:pPr>
    </w:p>
    <w:p w:rsidR="00E705AF" w:rsidRPr="000D5FE2" w:rsidRDefault="00E705AF" w:rsidP="00EB23C1">
      <w:pPr>
        <w:pStyle w:val="ListParagraph"/>
        <w:widowControl/>
        <w:numPr>
          <w:ilvl w:val="1"/>
          <w:numId w:val="2"/>
        </w:numPr>
        <w:rPr>
          <w:szCs w:val="22"/>
        </w:rPr>
      </w:pPr>
      <w:r w:rsidRPr="000D5FE2">
        <w:rPr>
          <w:szCs w:val="22"/>
        </w:rPr>
        <w:t xml:space="preserve">Figure </w:t>
      </w:r>
      <w:r w:rsidR="005833FB" w:rsidRPr="000D5FE2">
        <w:rPr>
          <w:szCs w:val="22"/>
        </w:rPr>
        <w:t>3</w:t>
      </w:r>
      <w:r w:rsidRPr="000D5FE2">
        <w:rPr>
          <w:szCs w:val="22"/>
        </w:rPr>
        <w:t xml:space="preserve"> </w:t>
      </w:r>
      <w:r w:rsidR="0053561E" w:rsidRPr="000D5FE2">
        <w:rPr>
          <w:szCs w:val="22"/>
        </w:rPr>
        <w:t>illustrates the relationship between</w:t>
      </w:r>
      <w:r w:rsidR="002A5E87" w:rsidRPr="000D5FE2">
        <w:rPr>
          <w:szCs w:val="22"/>
        </w:rPr>
        <w:t xml:space="preserve"> </w:t>
      </w:r>
      <w:r w:rsidR="0053561E" w:rsidRPr="000D5FE2">
        <w:rPr>
          <w:szCs w:val="22"/>
        </w:rPr>
        <w:t xml:space="preserve">the estimated </w:t>
      </w:r>
      <w:r w:rsidRPr="000D5FE2">
        <w:rPr>
          <w:szCs w:val="22"/>
        </w:rPr>
        <w:t xml:space="preserve">ICER </w:t>
      </w:r>
      <w:r w:rsidR="0053561E" w:rsidRPr="000D5FE2">
        <w:rPr>
          <w:szCs w:val="22"/>
        </w:rPr>
        <w:t xml:space="preserve">and the </w:t>
      </w:r>
      <w:r w:rsidRPr="000D5FE2">
        <w:rPr>
          <w:szCs w:val="22"/>
        </w:rPr>
        <w:t xml:space="preserve">maximum number of </w:t>
      </w:r>
      <w:r w:rsidR="008636DF" w:rsidRPr="000D5FE2">
        <w:rPr>
          <w:szCs w:val="22"/>
        </w:rPr>
        <w:t>months that patients are permitted to receive enzalutamide or abiraterone after docetaxel</w:t>
      </w:r>
      <w:r w:rsidR="002A5E87" w:rsidRPr="000D5FE2">
        <w:rPr>
          <w:szCs w:val="22"/>
        </w:rPr>
        <w:t xml:space="preserve"> in the modelled economic evaluation</w:t>
      </w:r>
      <w:r w:rsidR="008636DF" w:rsidRPr="000D5FE2">
        <w:rPr>
          <w:szCs w:val="22"/>
        </w:rPr>
        <w:t>.</w:t>
      </w:r>
    </w:p>
    <w:p w:rsidR="00D832A6" w:rsidRDefault="00D832A6" w:rsidP="00E4010F">
      <w:pPr>
        <w:keepNext/>
        <w:ind w:left="720"/>
        <w:rPr>
          <w:rFonts w:ascii="Arial Narrow" w:hAnsi="Arial Narrow"/>
          <w:b/>
          <w:sz w:val="20"/>
        </w:rPr>
      </w:pPr>
      <w:bookmarkStart w:id="20" w:name="_Toc469344723"/>
      <w:bookmarkStart w:id="21" w:name="_Toc471212101"/>
    </w:p>
    <w:p w:rsidR="00E705AF" w:rsidRPr="000D5FE2" w:rsidRDefault="00E705AF" w:rsidP="00E4010F">
      <w:pPr>
        <w:keepNext/>
        <w:ind w:left="720"/>
        <w:rPr>
          <w:rFonts w:ascii="Arial Narrow" w:hAnsi="Arial Narrow"/>
          <w:b/>
          <w:sz w:val="20"/>
        </w:rPr>
      </w:pPr>
      <w:r w:rsidRPr="000D5FE2">
        <w:rPr>
          <w:rFonts w:ascii="Arial Narrow" w:hAnsi="Arial Narrow"/>
          <w:b/>
          <w:sz w:val="20"/>
        </w:rPr>
        <w:t xml:space="preserve">Figure </w:t>
      </w:r>
      <w:r w:rsidR="005833FB" w:rsidRPr="000D5FE2">
        <w:rPr>
          <w:rFonts w:ascii="Arial Narrow" w:hAnsi="Arial Narrow"/>
          <w:b/>
          <w:sz w:val="20"/>
        </w:rPr>
        <w:t>3</w:t>
      </w:r>
      <w:r w:rsidRPr="000D5FE2">
        <w:rPr>
          <w:rFonts w:ascii="Arial Narrow" w:hAnsi="Arial Narrow"/>
          <w:b/>
          <w:sz w:val="20"/>
        </w:rPr>
        <w:t xml:space="preserve">: </w:t>
      </w:r>
      <w:r w:rsidR="003C25C4" w:rsidRPr="000D5FE2">
        <w:rPr>
          <w:rFonts w:ascii="Arial Narrow" w:hAnsi="Arial Narrow"/>
          <w:b/>
          <w:sz w:val="20"/>
        </w:rPr>
        <w:t>M</w:t>
      </w:r>
      <w:r w:rsidRPr="000D5FE2">
        <w:rPr>
          <w:rFonts w:ascii="Arial Narrow" w:hAnsi="Arial Narrow"/>
          <w:b/>
          <w:sz w:val="20"/>
        </w:rPr>
        <w:t>odelled ICER varying the maximum number of cycles that costs for enzalutamide or abiraterone are assigned in the alive (on third treatment) health state</w:t>
      </w:r>
      <w:bookmarkEnd w:id="20"/>
      <w:bookmarkEnd w:id="21"/>
    </w:p>
    <w:p w:rsidR="00E705AF" w:rsidRPr="000D5FE2" w:rsidRDefault="009278D7" w:rsidP="00A77944">
      <w:pPr>
        <w:ind w:left="709"/>
      </w:pPr>
      <w:r>
        <w:rPr>
          <w:noProof/>
          <w:snapToGrid/>
          <w:lang w:eastAsia="en-AU"/>
        </w:rPr>
        <w:drawing>
          <wp:inline distT="0" distB="0" distL="0" distR="0">
            <wp:extent cx="5462270" cy="2841625"/>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62270" cy="2841625"/>
                    </a:xfrm>
                    <a:prstGeom prst="rect">
                      <a:avLst/>
                    </a:prstGeom>
                  </pic:spPr>
                </pic:pic>
              </a:graphicData>
            </a:graphic>
          </wp:inline>
        </w:drawing>
      </w:r>
    </w:p>
    <w:p w:rsidR="00E705AF" w:rsidRPr="000D5FE2" w:rsidRDefault="00E705AF" w:rsidP="00CA6904">
      <w:pPr>
        <w:rPr>
          <w:rFonts w:ascii="Arial Narrow" w:hAnsi="Arial Narrow"/>
          <w:iCs/>
          <w:sz w:val="18"/>
          <w:szCs w:val="14"/>
        </w:rPr>
      </w:pPr>
      <w:r w:rsidRPr="000D5FE2">
        <w:tab/>
      </w:r>
      <w:r w:rsidRPr="000D5FE2">
        <w:rPr>
          <w:rFonts w:ascii="Arial Narrow" w:hAnsi="Arial Narrow"/>
          <w:iCs/>
          <w:sz w:val="18"/>
          <w:szCs w:val="14"/>
        </w:rPr>
        <w:t>Source: constructed during the evaluation</w:t>
      </w:r>
    </w:p>
    <w:p w:rsidR="00E705AF" w:rsidRDefault="00E705AF" w:rsidP="00FE04A0"/>
    <w:p w:rsidR="00D63CB1" w:rsidRDefault="00D63CB1" w:rsidP="00EF796D">
      <w:pPr>
        <w:ind w:left="720"/>
      </w:pPr>
      <w:r>
        <w:t xml:space="preserve">The redacted figure show that over the time range of 0 to 120 months, the ICER </w:t>
      </w:r>
      <w:r w:rsidR="0007040F">
        <w:t>ranges from $45,000/QALY - more than $200,000/QALY.</w:t>
      </w:r>
    </w:p>
    <w:p w:rsidR="00D63CB1" w:rsidRPr="000D5FE2" w:rsidRDefault="00D63CB1" w:rsidP="00FE04A0"/>
    <w:p w:rsidR="00E705AF" w:rsidRPr="000D5FE2" w:rsidRDefault="00E705AF" w:rsidP="00EB23C1">
      <w:pPr>
        <w:pStyle w:val="ListParagraph"/>
        <w:widowControl/>
        <w:numPr>
          <w:ilvl w:val="1"/>
          <w:numId w:val="2"/>
        </w:numPr>
        <w:rPr>
          <w:szCs w:val="22"/>
        </w:rPr>
      </w:pPr>
      <w:r w:rsidRPr="000D5FE2">
        <w:rPr>
          <w:iCs/>
        </w:rPr>
        <w:t xml:space="preserve">Assuming a maximum of eight months on enzalutamide or abiraterone post-docetaxel in-line with the trial evidence (in the post docetaxel setting), increased the ICER from </w:t>
      </w:r>
      <w:r w:rsidR="004C1987">
        <w:rPr>
          <w:iCs/>
        </w:rPr>
        <w:t xml:space="preserve">$45,000/QALY - $75,000/QALY </w:t>
      </w:r>
      <w:r w:rsidRPr="000D5FE2">
        <w:rPr>
          <w:iCs/>
        </w:rPr>
        <w:t xml:space="preserve">(base case) to </w:t>
      </w:r>
      <w:r w:rsidR="004C1987">
        <w:rPr>
          <w:iCs/>
        </w:rPr>
        <w:t>more than $200,000/QALY</w:t>
      </w:r>
      <w:r w:rsidRPr="000D5FE2">
        <w:rPr>
          <w:iCs/>
        </w:rPr>
        <w:t>.</w:t>
      </w:r>
    </w:p>
    <w:p w:rsidR="001D24D9" w:rsidRPr="000D5FE2" w:rsidRDefault="001D24D9" w:rsidP="001D24D9">
      <w:pPr>
        <w:pStyle w:val="ListParagraph"/>
        <w:rPr>
          <w:szCs w:val="22"/>
        </w:rPr>
      </w:pPr>
    </w:p>
    <w:p w:rsidR="001D24D9" w:rsidRPr="000D5FE2" w:rsidRDefault="001D24D9" w:rsidP="00EB23C1">
      <w:pPr>
        <w:pStyle w:val="ListParagraph"/>
        <w:widowControl/>
        <w:numPr>
          <w:ilvl w:val="1"/>
          <w:numId w:val="2"/>
        </w:numPr>
        <w:rPr>
          <w:szCs w:val="22"/>
        </w:rPr>
      </w:pPr>
      <w:r w:rsidRPr="000D5FE2">
        <w:rPr>
          <w:szCs w:val="22"/>
        </w:rPr>
        <w:t>Overall, the ESC considered that the use of time to cytotoxic chemotherapy as the main clinical outcome and the use of the 10 year time horizon were likely to result in an overestimate of the cost-effectiveness of enzalutamide in the proposed setting.</w:t>
      </w:r>
    </w:p>
    <w:p w:rsidR="00AA1EE9" w:rsidRPr="000D5FE2" w:rsidRDefault="00AA1EE9" w:rsidP="00AA1EE9">
      <w:pPr>
        <w:pStyle w:val="ListParagraph"/>
        <w:rPr>
          <w:szCs w:val="22"/>
        </w:rPr>
      </w:pPr>
    </w:p>
    <w:p w:rsidR="00BD74FF" w:rsidRPr="000D5FE2" w:rsidRDefault="002B2F12" w:rsidP="00BD74FF">
      <w:pPr>
        <w:pStyle w:val="ListParagraph"/>
        <w:widowControl/>
        <w:numPr>
          <w:ilvl w:val="1"/>
          <w:numId w:val="2"/>
        </w:numPr>
        <w:rPr>
          <w:szCs w:val="22"/>
        </w:rPr>
      </w:pPr>
      <w:r w:rsidRPr="000D5FE2">
        <w:rPr>
          <w:szCs w:val="22"/>
        </w:rPr>
        <w:t>The</w:t>
      </w:r>
      <w:r w:rsidR="00AA1EE9" w:rsidRPr="000D5FE2">
        <w:rPr>
          <w:szCs w:val="22"/>
        </w:rPr>
        <w:t xml:space="preserve"> pre-PBAC response </w:t>
      </w:r>
      <w:r w:rsidR="00A84063" w:rsidRPr="000D5FE2">
        <w:rPr>
          <w:szCs w:val="22"/>
        </w:rPr>
        <w:t xml:space="preserve">presented a </w:t>
      </w:r>
      <w:r w:rsidR="009E7C16" w:rsidRPr="000D5FE2">
        <w:rPr>
          <w:szCs w:val="22"/>
        </w:rPr>
        <w:t xml:space="preserve">revised </w:t>
      </w:r>
      <w:r w:rsidR="00A84063" w:rsidRPr="000D5FE2">
        <w:rPr>
          <w:szCs w:val="22"/>
        </w:rPr>
        <w:t>base case economic evaluation.</w:t>
      </w:r>
      <w:r w:rsidR="009E7C16" w:rsidRPr="000D5FE2">
        <w:rPr>
          <w:szCs w:val="22"/>
        </w:rPr>
        <w:t xml:space="preserve"> </w:t>
      </w:r>
      <w:r w:rsidR="00A84063" w:rsidRPr="000D5FE2">
        <w:rPr>
          <w:szCs w:val="22"/>
        </w:rPr>
        <w:t>In the revised base case, t</w:t>
      </w:r>
      <w:r w:rsidR="009E7C16" w:rsidRPr="000D5FE2">
        <w:rPr>
          <w:szCs w:val="22"/>
        </w:rPr>
        <w:t>he duration of treatment</w:t>
      </w:r>
      <w:r w:rsidR="00A84063" w:rsidRPr="000D5FE2">
        <w:rPr>
          <w:szCs w:val="22"/>
        </w:rPr>
        <w:t xml:space="preserve"> with </w:t>
      </w:r>
      <w:r w:rsidR="001D3CA4" w:rsidRPr="000D5FE2">
        <w:rPr>
          <w:szCs w:val="22"/>
        </w:rPr>
        <w:t xml:space="preserve">enzalutamide and abiraterone in the </w:t>
      </w:r>
      <w:r w:rsidR="00A84063" w:rsidRPr="000D5FE2">
        <w:rPr>
          <w:szCs w:val="22"/>
        </w:rPr>
        <w:t xml:space="preserve">post-docetaxel </w:t>
      </w:r>
      <w:r w:rsidR="001D3CA4" w:rsidRPr="000D5FE2">
        <w:rPr>
          <w:szCs w:val="22"/>
        </w:rPr>
        <w:t xml:space="preserve">setting </w:t>
      </w:r>
      <w:r w:rsidR="00A84063" w:rsidRPr="000D5FE2">
        <w:rPr>
          <w:szCs w:val="22"/>
        </w:rPr>
        <w:t xml:space="preserve">was reduced </w:t>
      </w:r>
      <w:r w:rsidR="009E7C16" w:rsidRPr="000D5FE2">
        <w:rPr>
          <w:szCs w:val="22"/>
        </w:rPr>
        <w:t>to 14 months</w:t>
      </w:r>
      <w:r w:rsidR="008B19D3" w:rsidRPr="000D5FE2">
        <w:rPr>
          <w:szCs w:val="22"/>
        </w:rPr>
        <w:t>, based on a 10% PBS sample of enzalutamide and abiraterone use,</w:t>
      </w:r>
      <w:r w:rsidR="009E7C16" w:rsidRPr="000D5FE2">
        <w:rPr>
          <w:szCs w:val="22"/>
        </w:rPr>
        <w:t xml:space="preserve"> and the total cost of chemotherapy-naïve treatment with enzalutamide </w:t>
      </w:r>
      <w:r w:rsidR="00A84063" w:rsidRPr="000D5FE2">
        <w:rPr>
          <w:szCs w:val="22"/>
        </w:rPr>
        <w:t xml:space="preserve">was revised </w:t>
      </w:r>
      <w:r w:rsidR="009E7C16" w:rsidRPr="000D5FE2">
        <w:rPr>
          <w:szCs w:val="22"/>
        </w:rPr>
        <w:t xml:space="preserve">using the outcome of time to discontinuation of study drug. This had the </w:t>
      </w:r>
      <w:r w:rsidR="001D3CA4" w:rsidRPr="000D5FE2">
        <w:rPr>
          <w:szCs w:val="22"/>
        </w:rPr>
        <w:t xml:space="preserve">overall </w:t>
      </w:r>
      <w:r w:rsidR="009E7C16" w:rsidRPr="000D5FE2">
        <w:rPr>
          <w:szCs w:val="22"/>
        </w:rPr>
        <w:t xml:space="preserve">effect of increasing the ICER, and the sponsor proposed an </w:t>
      </w:r>
      <w:r w:rsidR="009278D7">
        <w:rPr>
          <w:noProof/>
          <w:color w:val="000000"/>
          <w:szCs w:val="22"/>
          <w:highlight w:val="black"/>
        </w:rPr>
        <w:t>''''''</w:t>
      </w:r>
      <w:r w:rsidR="009E7C16" w:rsidRPr="000D5FE2">
        <w:rPr>
          <w:szCs w:val="22"/>
        </w:rPr>
        <w:t xml:space="preserve">% price reduction on the effective DPMQ </w:t>
      </w:r>
      <w:r w:rsidR="00A84063" w:rsidRPr="000D5FE2">
        <w:rPr>
          <w:szCs w:val="22"/>
        </w:rPr>
        <w:t>(to $</w:t>
      </w:r>
      <w:r w:rsidR="009278D7">
        <w:rPr>
          <w:noProof/>
          <w:color w:val="000000"/>
          <w:szCs w:val="22"/>
          <w:highlight w:val="black"/>
        </w:rPr>
        <w:t>''''''''''''''''''''</w:t>
      </w:r>
      <w:r w:rsidR="00A84063" w:rsidRPr="000D5FE2">
        <w:rPr>
          <w:szCs w:val="22"/>
        </w:rPr>
        <w:t xml:space="preserve">) </w:t>
      </w:r>
      <w:r w:rsidR="009E7C16" w:rsidRPr="000D5FE2">
        <w:rPr>
          <w:szCs w:val="22"/>
        </w:rPr>
        <w:t xml:space="preserve">in order to maintain the ICER </w:t>
      </w:r>
      <w:r w:rsidR="00A84063" w:rsidRPr="000D5FE2">
        <w:rPr>
          <w:szCs w:val="22"/>
        </w:rPr>
        <w:t xml:space="preserve">of </w:t>
      </w:r>
      <w:r w:rsidR="00311B66">
        <w:rPr>
          <w:szCs w:val="22"/>
        </w:rPr>
        <w:t>$45,000/QALY gained - $75,000/QALY</w:t>
      </w:r>
      <w:r w:rsidR="00A84063" w:rsidRPr="000D5FE2">
        <w:rPr>
          <w:szCs w:val="22"/>
        </w:rPr>
        <w:t xml:space="preserve"> gained</w:t>
      </w:r>
      <w:r w:rsidR="009E7C16" w:rsidRPr="000D5FE2">
        <w:rPr>
          <w:szCs w:val="22"/>
        </w:rPr>
        <w:t>.</w:t>
      </w:r>
    </w:p>
    <w:p w:rsidR="008B19D3" w:rsidRPr="000D5FE2" w:rsidRDefault="008B19D3" w:rsidP="008B19D3">
      <w:pPr>
        <w:pStyle w:val="ListParagraph"/>
        <w:widowControl/>
        <w:rPr>
          <w:szCs w:val="22"/>
        </w:rPr>
      </w:pPr>
    </w:p>
    <w:p w:rsidR="002B2F12" w:rsidRPr="000D5FE2" w:rsidRDefault="00E41F1C" w:rsidP="00E41F1C">
      <w:pPr>
        <w:pStyle w:val="ListParagraph"/>
        <w:widowControl/>
        <w:numPr>
          <w:ilvl w:val="1"/>
          <w:numId w:val="2"/>
        </w:numPr>
        <w:rPr>
          <w:szCs w:val="22"/>
        </w:rPr>
      </w:pPr>
      <w:r w:rsidRPr="000D5FE2">
        <w:rPr>
          <w:szCs w:val="22"/>
        </w:rPr>
        <w:t>There is no description in the p</w:t>
      </w:r>
      <w:r w:rsidR="008B19D3" w:rsidRPr="000D5FE2">
        <w:rPr>
          <w:szCs w:val="22"/>
        </w:rPr>
        <w:t xml:space="preserve">re-PBAC </w:t>
      </w:r>
      <w:r w:rsidRPr="000D5FE2">
        <w:rPr>
          <w:szCs w:val="22"/>
        </w:rPr>
        <w:t xml:space="preserve">response </w:t>
      </w:r>
      <w:r w:rsidR="008B19D3" w:rsidRPr="000D5FE2">
        <w:rPr>
          <w:szCs w:val="22"/>
        </w:rPr>
        <w:t>or accompanying Prospection report of the methods that were used</w:t>
      </w:r>
      <w:r w:rsidRPr="000D5FE2">
        <w:rPr>
          <w:szCs w:val="22"/>
        </w:rPr>
        <w:t xml:space="preserve"> to derive the revised average time on </w:t>
      </w:r>
      <w:r w:rsidR="001D3CA4" w:rsidRPr="000D5FE2">
        <w:rPr>
          <w:szCs w:val="22"/>
        </w:rPr>
        <w:t>post-docetaxel</w:t>
      </w:r>
      <w:r w:rsidRPr="000D5FE2">
        <w:rPr>
          <w:szCs w:val="22"/>
        </w:rPr>
        <w:t xml:space="preserve"> therapy of 14 months</w:t>
      </w:r>
      <w:r w:rsidR="008B19D3" w:rsidRPr="000D5FE2">
        <w:rPr>
          <w:szCs w:val="22"/>
        </w:rPr>
        <w:t>.</w:t>
      </w:r>
      <w:r w:rsidRPr="000D5FE2">
        <w:rPr>
          <w:szCs w:val="22"/>
        </w:rPr>
        <w:t xml:space="preserve"> The PBAC noted data from the June 2016 DUSC review of prostate cancer medicines found </w:t>
      </w:r>
      <w:r w:rsidR="00EC2D98">
        <w:rPr>
          <w:szCs w:val="22"/>
        </w:rPr>
        <w:t xml:space="preserve">that there was a mean number of </w:t>
      </w:r>
      <w:r w:rsidR="00EC2D98" w:rsidRPr="000E4494">
        <w:rPr>
          <w:szCs w:val="22"/>
        </w:rPr>
        <w:t>9.5</w:t>
      </w:r>
      <w:r w:rsidR="00EC2D98">
        <w:rPr>
          <w:szCs w:val="22"/>
        </w:rPr>
        <w:t xml:space="preserve"> scripts for abiraterone</w:t>
      </w:r>
      <w:r w:rsidRPr="000D5FE2">
        <w:rPr>
          <w:szCs w:val="22"/>
        </w:rPr>
        <w:t>. When this analysis was updated to include data up to December 2016, with the same initiating cohort</w:t>
      </w:r>
      <w:r w:rsidR="00EC2D98">
        <w:rPr>
          <w:szCs w:val="22"/>
        </w:rPr>
        <w:t xml:space="preserve"> (i.e. </w:t>
      </w:r>
      <w:r w:rsidR="00EC2D98" w:rsidRPr="00EC2D98">
        <w:rPr>
          <w:szCs w:val="22"/>
        </w:rPr>
        <w:t>6 month initiating cohort on abiraterone between October 2013 to March 2014)</w:t>
      </w:r>
      <w:r w:rsidRPr="000D5FE2">
        <w:rPr>
          <w:szCs w:val="22"/>
        </w:rPr>
        <w:t xml:space="preserve">, including treatment breaks and </w:t>
      </w:r>
      <w:r w:rsidRPr="000D5FE2">
        <w:rPr>
          <w:szCs w:val="22"/>
        </w:rPr>
        <w:lastRenderedPageBreak/>
        <w:t xml:space="preserve">capturing switching between abiraterone and enzalutamide, the mean number of scripts was </w:t>
      </w:r>
      <w:r w:rsidR="009278D7">
        <w:rPr>
          <w:noProof/>
          <w:color w:val="000000"/>
          <w:szCs w:val="22"/>
          <w:highlight w:val="black"/>
        </w:rPr>
        <w:t>''''''''</w:t>
      </w:r>
      <w:r w:rsidRPr="000D5FE2">
        <w:rPr>
          <w:szCs w:val="22"/>
        </w:rPr>
        <w:t xml:space="preserve">. </w:t>
      </w:r>
    </w:p>
    <w:p w:rsidR="001D3CA4" w:rsidRPr="000D5FE2" w:rsidRDefault="001D3CA4" w:rsidP="001D3CA4">
      <w:pPr>
        <w:pStyle w:val="ListParagraph"/>
        <w:widowControl/>
        <w:rPr>
          <w:szCs w:val="22"/>
        </w:rPr>
      </w:pPr>
    </w:p>
    <w:p w:rsidR="001D3CA4" w:rsidRPr="000D5FE2" w:rsidRDefault="001D3CA4" w:rsidP="001D3CA4">
      <w:pPr>
        <w:numPr>
          <w:ilvl w:val="1"/>
          <w:numId w:val="2"/>
        </w:numPr>
        <w:rPr>
          <w:bCs/>
        </w:rPr>
      </w:pPr>
      <w:r w:rsidRPr="000D5FE2">
        <w:rPr>
          <w:bCs/>
        </w:rPr>
        <w:t xml:space="preserve">The PBAC also noted the ESC concerns with the 10 year time horizon, however, accepted that 10 years was considered appropriate during evaluation of the previous submission </w:t>
      </w:r>
      <w:r w:rsidR="00DE6CEC" w:rsidRPr="000D5FE2">
        <w:rPr>
          <w:bCs/>
        </w:rPr>
        <w:t xml:space="preserve">for enzalutamide </w:t>
      </w:r>
      <w:r w:rsidRPr="000D5FE2">
        <w:rPr>
          <w:bCs/>
        </w:rPr>
        <w:t>in this earlier treatment setting and therefore, the 10 year time horizon would be acceptable.</w:t>
      </w:r>
    </w:p>
    <w:p w:rsidR="00E41F1C" w:rsidRPr="000D5FE2" w:rsidRDefault="00E41F1C" w:rsidP="00E41F1C">
      <w:pPr>
        <w:pStyle w:val="ListParagraph"/>
        <w:widowControl/>
        <w:rPr>
          <w:szCs w:val="22"/>
        </w:rPr>
      </w:pPr>
    </w:p>
    <w:p w:rsidR="00E705AF" w:rsidRPr="000D5FE2" w:rsidRDefault="00E705AF" w:rsidP="00E4010F">
      <w:pPr>
        <w:pStyle w:val="Heading2"/>
        <w:keepNext/>
        <w:rPr>
          <w:i/>
          <w:szCs w:val="22"/>
        </w:rPr>
      </w:pPr>
      <w:bookmarkStart w:id="22" w:name="_Toc471212103"/>
      <w:r w:rsidRPr="000D5FE2">
        <w:rPr>
          <w:i/>
        </w:rPr>
        <w:t>Drug cost/patient/year</w:t>
      </w:r>
      <w:bookmarkEnd w:id="22"/>
    </w:p>
    <w:p w:rsidR="00E705AF" w:rsidRPr="000D5FE2" w:rsidRDefault="00E705AF" w:rsidP="00E705AF">
      <w:pPr>
        <w:widowControl/>
        <w:rPr>
          <w:szCs w:val="22"/>
        </w:rPr>
      </w:pPr>
    </w:p>
    <w:p w:rsidR="00E705AF" w:rsidRPr="000D5FE2" w:rsidRDefault="00E705AF" w:rsidP="00EB23C1">
      <w:pPr>
        <w:pStyle w:val="ListParagraph"/>
        <w:widowControl/>
        <w:numPr>
          <w:ilvl w:val="1"/>
          <w:numId w:val="2"/>
        </w:numPr>
        <w:rPr>
          <w:szCs w:val="22"/>
        </w:rPr>
      </w:pPr>
      <w:r w:rsidRPr="000D5FE2">
        <w:rPr>
          <w:szCs w:val="22"/>
        </w:rPr>
        <w:t>$</w:t>
      </w:r>
      <w:r w:rsidR="009278D7">
        <w:rPr>
          <w:noProof/>
          <w:color w:val="000000"/>
          <w:szCs w:val="22"/>
          <w:highlight w:val="black"/>
        </w:rPr>
        <w:t>''''''''''''''''</w:t>
      </w:r>
      <w:r w:rsidRPr="000D5FE2">
        <w:rPr>
          <w:szCs w:val="22"/>
        </w:rPr>
        <w:t xml:space="preserve"> /patient/year assuming an effective DPMQ of $</w:t>
      </w:r>
      <w:r w:rsidR="009278D7">
        <w:rPr>
          <w:noProof/>
          <w:color w:val="000000"/>
          <w:szCs w:val="22"/>
          <w:highlight w:val="black"/>
        </w:rPr>
        <w:t>''''''''''''''''''''''</w:t>
      </w:r>
      <w:r w:rsidRPr="000D5FE2">
        <w:rPr>
          <w:szCs w:val="22"/>
        </w:rPr>
        <w:t>/script</w:t>
      </w:r>
      <w:r w:rsidR="00436EEC" w:rsidRPr="000D5FE2">
        <w:rPr>
          <w:szCs w:val="22"/>
        </w:rPr>
        <w:t xml:space="preserve"> (28 days)</w:t>
      </w:r>
      <w:r w:rsidRPr="000D5FE2">
        <w:rPr>
          <w:szCs w:val="22"/>
        </w:rPr>
        <w:t xml:space="preserve"> and 13.04 scripts/patient/year (365.25</w:t>
      </w:r>
      <w:r w:rsidR="00436EEC" w:rsidRPr="000D5FE2">
        <w:rPr>
          <w:szCs w:val="22"/>
        </w:rPr>
        <w:t>/28</w:t>
      </w:r>
      <w:r w:rsidRPr="000D5FE2">
        <w:rPr>
          <w:szCs w:val="22"/>
        </w:rPr>
        <w:t>).</w:t>
      </w:r>
      <w:r w:rsidR="00CF0F59" w:rsidRPr="000D5FE2">
        <w:rPr>
          <w:szCs w:val="22"/>
        </w:rPr>
        <w:t xml:space="preserve"> Based on the revised price of $</w:t>
      </w:r>
      <w:r w:rsidR="009278D7">
        <w:rPr>
          <w:noProof/>
          <w:color w:val="000000"/>
          <w:szCs w:val="22"/>
          <w:highlight w:val="black"/>
        </w:rPr>
        <w:t>''''''''''''''''''''</w:t>
      </w:r>
      <w:r w:rsidR="00CF0F59" w:rsidRPr="000D5FE2">
        <w:rPr>
          <w:szCs w:val="22"/>
        </w:rPr>
        <w:t xml:space="preserve"> in the pre-PBAC response, the drug cost/patient/year would be $</w:t>
      </w:r>
      <w:r w:rsidR="009278D7">
        <w:rPr>
          <w:noProof/>
          <w:color w:val="000000"/>
          <w:highlight w:val="black"/>
        </w:rPr>
        <w:t>'''''''''''''''''''''</w:t>
      </w:r>
      <w:r w:rsidR="00CF0F59" w:rsidRPr="000D5FE2">
        <w:t>.</w:t>
      </w:r>
    </w:p>
    <w:p w:rsidR="00E705AF" w:rsidRPr="000D5FE2" w:rsidRDefault="00E705AF" w:rsidP="00E705AF">
      <w:pPr>
        <w:widowControl/>
        <w:rPr>
          <w:szCs w:val="22"/>
        </w:rPr>
      </w:pPr>
    </w:p>
    <w:p w:rsidR="00E705AF" w:rsidRPr="000D5FE2" w:rsidRDefault="00E705AF" w:rsidP="00EB23C1">
      <w:pPr>
        <w:pStyle w:val="ListParagraph"/>
        <w:widowControl/>
        <w:numPr>
          <w:ilvl w:val="1"/>
          <w:numId w:val="2"/>
        </w:numPr>
        <w:rPr>
          <w:szCs w:val="22"/>
        </w:rPr>
      </w:pPr>
      <w:r w:rsidRPr="000D5FE2">
        <w:rPr>
          <w:iCs/>
          <w:szCs w:val="22"/>
        </w:rPr>
        <w:t xml:space="preserve">When considering the </w:t>
      </w:r>
      <w:r w:rsidR="00CE3CC5" w:rsidRPr="000D5FE2">
        <w:rPr>
          <w:iCs/>
          <w:szCs w:val="22"/>
        </w:rPr>
        <w:t xml:space="preserve">mean </w:t>
      </w:r>
      <w:r w:rsidRPr="000D5FE2">
        <w:rPr>
          <w:iCs/>
          <w:szCs w:val="22"/>
        </w:rPr>
        <w:t xml:space="preserve">duration of treatment of </w:t>
      </w:r>
      <w:r w:rsidR="00CE3CC5" w:rsidRPr="000D5FE2">
        <w:rPr>
          <w:iCs/>
          <w:szCs w:val="22"/>
        </w:rPr>
        <w:t>15</w:t>
      </w:r>
      <w:r w:rsidRPr="000D5FE2">
        <w:rPr>
          <w:iCs/>
          <w:szCs w:val="22"/>
        </w:rPr>
        <w:t>.</w:t>
      </w:r>
      <w:r w:rsidR="00CE3CC5" w:rsidRPr="000D5FE2">
        <w:rPr>
          <w:iCs/>
          <w:szCs w:val="22"/>
        </w:rPr>
        <w:t xml:space="preserve">8 </w:t>
      </w:r>
      <w:r w:rsidRPr="000D5FE2">
        <w:rPr>
          <w:iCs/>
          <w:szCs w:val="22"/>
        </w:rPr>
        <w:t xml:space="preserve">months in PREVAIL, the estimated cost per course of enzalutamide </w:t>
      </w:r>
      <w:r w:rsidR="002A5E87" w:rsidRPr="000D5FE2">
        <w:rPr>
          <w:iCs/>
          <w:szCs w:val="22"/>
        </w:rPr>
        <w:t xml:space="preserve">was estimated to be </w:t>
      </w:r>
      <w:r w:rsidR="003C17E6" w:rsidRPr="000D5FE2">
        <w:rPr>
          <w:iCs/>
          <w:szCs w:val="22"/>
        </w:rPr>
        <w:t>$</w:t>
      </w:r>
      <w:r w:rsidR="009278D7">
        <w:rPr>
          <w:iCs/>
          <w:noProof/>
          <w:color w:val="000000"/>
          <w:szCs w:val="22"/>
          <w:highlight w:val="black"/>
        </w:rPr>
        <w:t>'''''''''''''''</w:t>
      </w:r>
      <w:r w:rsidRPr="000D5FE2">
        <w:rPr>
          <w:iCs/>
          <w:szCs w:val="22"/>
        </w:rPr>
        <w:t xml:space="preserve"> per patient</w:t>
      </w:r>
      <w:r w:rsidR="00023D8D" w:rsidRPr="000D5FE2">
        <w:rPr>
          <w:iCs/>
          <w:szCs w:val="22"/>
        </w:rPr>
        <w:t xml:space="preserve">. </w:t>
      </w:r>
      <w:r w:rsidRPr="000D5FE2">
        <w:rPr>
          <w:iCs/>
          <w:szCs w:val="22"/>
        </w:rPr>
        <w:t>This estimate does not include any cost-offset associated with a reduction in treatment with first-generation anti-androgens while watchful waiting or treatment with enzalutamide or abiraterone post-docetaxel. By comparison, the cost for enzalutamide in the post-docetaxel setting was estimated to be $</w:t>
      </w:r>
      <w:r w:rsidR="009278D7">
        <w:rPr>
          <w:iCs/>
          <w:noProof/>
          <w:color w:val="000000"/>
          <w:szCs w:val="22"/>
          <w:highlight w:val="black"/>
        </w:rPr>
        <w:t>'''''''''''''''''</w:t>
      </w:r>
      <w:r w:rsidR="003C17E6" w:rsidRPr="000D5FE2">
        <w:rPr>
          <w:iCs/>
          <w:szCs w:val="22"/>
        </w:rPr>
        <w:t xml:space="preserve"> </w:t>
      </w:r>
      <w:r w:rsidRPr="000D5FE2">
        <w:rPr>
          <w:iCs/>
          <w:szCs w:val="22"/>
        </w:rPr>
        <w:t>per patient, assuming an effective DPMQ of $</w:t>
      </w:r>
      <w:r w:rsidR="009278D7">
        <w:rPr>
          <w:iCs/>
          <w:noProof/>
          <w:color w:val="000000"/>
          <w:szCs w:val="22"/>
          <w:highlight w:val="black"/>
        </w:rPr>
        <w:t>''''''''''''''''''''</w:t>
      </w:r>
      <w:r w:rsidRPr="000D5FE2">
        <w:rPr>
          <w:iCs/>
          <w:szCs w:val="22"/>
        </w:rPr>
        <w:t xml:space="preserve">/script and a </w:t>
      </w:r>
      <w:r w:rsidR="00CE3CC5" w:rsidRPr="000D5FE2">
        <w:rPr>
          <w:iCs/>
          <w:szCs w:val="22"/>
        </w:rPr>
        <w:t xml:space="preserve">mean </w:t>
      </w:r>
      <w:r w:rsidRPr="000D5FE2">
        <w:rPr>
          <w:iCs/>
          <w:szCs w:val="22"/>
        </w:rPr>
        <w:t>duration of treatment of 8.</w:t>
      </w:r>
      <w:r w:rsidR="00CE3CC5" w:rsidRPr="000D5FE2">
        <w:rPr>
          <w:iCs/>
          <w:szCs w:val="22"/>
        </w:rPr>
        <w:t xml:space="preserve">5 </w:t>
      </w:r>
      <w:r w:rsidRPr="000D5FE2">
        <w:rPr>
          <w:iCs/>
          <w:szCs w:val="22"/>
        </w:rPr>
        <w:t>months as per the AFFIRM trial.</w:t>
      </w:r>
    </w:p>
    <w:p w:rsidR="00E705AF" w:rsidRPr="000D5FE2" w:rsidRDefault="00E705AF" w:rsidP="00E705AF">
      <w:pPr>
        <w:rPr>
          <w:szCs w:val="22"/>
        </w:rPr>
      </w:pPr>
    </w:p>
    <w:p w:rsidR="00E705AF" w:rsidRPr="000D5FE2" w:rsidRDefault="00E705AF" w:rsidP="00E705AF">
      <w:pPr>
        <w:pStyle w:val="Heading2"/>
        <w:rPr>
          <w:i/>
        </w:rPr>
      </w:pPr>
      <w:bookmarkStart w:id="23" w:name="_Toc471212104"/>
      <w:r w:rsidRPr="000D5FE2">
        <w:rPr>
          <w:i/>
        </w:rPr>
        <w:t>Estimated PBS usage &amp; financial implications</w:t>
      </w:r>
      <w:bookmarkEnd w:id="23"/>
    </w:p>
    <w:p w:rsidR="006126DD" w:rsidRPr="000D5FE2" w:rsidRDefault="006126DD" w:rsidP="006126DD"/>
    <w:p w:rsidR="006126DD" w:rsidRPr="000D5FE2" w:rsidRDefault="00CF0F59" w:rsidP="00EB23C1">
      <w:pPr>
        <w:pStyle w:val="ListParagraph"/>
        <w:widowControl/>
        <w:numPr>
          <w:ilvl w:val="1"/>
          <w:numId w:val="2"/>
        </w:numPr>
        <w:rPr>
          <w:szCs w:val="22"/>
        </w:rPr>
      </w:pPr>
      <w:r w:rsidRPr="000D5FE2">
        <w:t>This resubmission wa</w:t>
      </w:r>
      <w:r w:rsidR="006126DD" w:rsidRPr="000D5FE2">
        <w:t xml:space="preserve">s considered by DUSC. In November 2015, </w:t>
      </w:r>
      <w:r w:rsidR="006126DD" w:rsidRPr="000D5FE2">
        <w:rPr>
          <w:iCs/>
        </w:rPr>
        <w:t xml:space="preserve">DUSC considered the financial model in the previous submission was structurally flawed and too unreliable to project the financial implications </w:t>
      </w:r>
      <w:r w:rsidR="000D5FE2">
        <w:rPr>
          <w:iCs/>
        </w:rPr>
        <w:t xml:space="preserve">of the </w:t>
      </w:r>
      <w:r w:rsidR="006126DD" w:rsidRPr="000D5FE2">
        <w:rPr>
          <w:iCs/>
        </w:rPr>
        <w:t>enzalutamide listing and its impact on existing therapies.</w:t>
      </w:r>
    </w:p>
    <w:p w:rsidR="006126DD" w:rsidRPr="000D5FE2" w:rsidRDefault="006126DD" w:rsidP="006126DD">
      <w:pPr>
        <w:widowControl/>
        <w:rPr>
          <w:szCs w:val="22"/>
        </w:rPr>
      </w:pPr>
    </w:p>
    <w:p w:rsidR="006126DD" w:rsidRPr="000D5FE2" w:rsidRDefault="006126DD" w:rsidP="00EB23C1">
      <w:pPr>
        <w:pStyle w:val="ListParagraph"/>
        <w:widowControl/>
        <w:numPr>
          <w:ilvl w:val="1"/>
          <w:numId w:val="2"/>
        </w:numPr>
        <w:rPr>
          <w:szCs w:val="22"/>
        </w:rPr>
      </w:pPr>
      <w:r w:rsidRPr="000D5FE2">
        <w:rPr>
          <w:szCs w:val="22"/>
        </w:rPr>
        <w:t xml:space="preserve">The resubmission presented an </w:t>
      </w:r>
      <w:r w:rsidRPr="000D5FE2">
        <w:rPr>
          <w:iCs/>
          <w:szCs w:val="22"/>
        </w:rPr>
        <w:t>updated</w:t>
      </w:r>
      <w:r w:rsidRPr="000D5FE2">
        <w:rPr>
          <w:szCs w:val="22"/>
        </w:rPr>
        <w:t xml:space="preserve"> mixed epidemiological and market share approach </w:t>
      </w:r>
      <w:r w:rsidRPr="000D5FE2">
        <w:t>to estimate the cost to government of the proposed listing of enzalutamide in asymptomatic chemotherapy naïve patients with mCRPC who are not currently eligible for enzalutamide (i</w:t>
      </w:r>
      <w:r w:rsidR="00CD7ED8" w:rsidRPr="000D5FE2">
        <w:t>.</w:t>
      </w:r>
      <w:r w:rsidRPr="000D5FE2">
        <w:t>e</w:t>
      </w:r>
      <w:r w:rsidR="00CD7ED8" w:rsidRPr="000D5FE2">
        <w:t>.</w:t>
      </w:r>
      <w:r w:rsidRPr="000D5FE2">
        <w:t>, those who are suitable for future docetaxel).</w:t>
      </w:r>
    </w:p>
    <w:p w:rsidR="006126DD" w:rsidRPr="000D5FE2" w:rsidRDefault="006126DD" w:rsidP="006126DD">
      <w:pPr>
        <w:pStyle w:val="ListParagraph"/>
        <w:rPr>
          <w:szCs w:val="22"/>
        </w:rPr>
      </w:pPr>
    </w:p>
    <w:p w:rsidR="006126DD" w:rsidRPr="000D5FE2" w:rsidRDefault="006126DD" w:rsidP="00EB23C1">
      <w:pPr>
        <w:pStyle w:val="ListParagraph"/>
        <w:widowControl/>
        <w:numPr>
          <w:ilvl w:val="1"/>
          <w:numId w:val="2"/>
        </w:numPr>
        <w:rPr>
          <w:szCs w:val="22"/>
        </w:rPr>
      </w:pPr>
      <w:r w:rsidRPr="000D5FE2">
        <w:t xml:space="preserve">The modelled economic evaluation presented in Section D was used to estimate all resource utilisation under the two scenarios: </w:t>
      </w:r>
      <w:proofErr w:type="spellStart"/>
      <w:r w:rsidRPr="000D5FE2">
        <w:t>i</w:t>
      </w:r>
      <w:proofErr w:type="spellEnd"/>
      <w:r w:rsidRPr="000D5FE2">
        <w:t>) current algorithm (watchful waiting → docetaxel → enzalutamide or abiraterone) and ii) proposed algorithm (enzalutamide → docetaxel → best supportive care). The difference between the two is the incremental cost of listing. Table 9 summarises the net financial implications of the proposed enzalutamide listing on PBS.</w:t>
      </w:r>
    </w:p>
    <w:p w:rsidR="003D4763" w:rsidRDefault="003D4763">
      <w:pPr>
        <w:widowControl/>
        <w:jc w:val="left"/>
        <w:rPr>
          <w:rStyle w:val="CommentReference"/>
        </w:rPr>
      </w:pPr>
      <w:r>
        <w:rPr>
          <w:rStyle w:val="CommentReference"/>
        </w:rPr>
        <w:br w:type="page"/>
      </w:r>
    </w:p>
    <w:p w:rsidR="006126DD" w:rsidRPr="000D5FE2" w:rsidRDefault="006126DD" w:rsidP="006126DD">
      <w:pPr>
        <w:widowControl/>
        <w:jc w:val="left"/>
        <w:rPr>
          <w:rStyle w:val="CommentReference"/>
        </w:rPr>
      </w:pPr>
    </w:p>
    <w:p w:rsidR="006126DD" w:rsidRPr="000D5FE2" w:rsidRDefault="006126DD" w:rsidP="006126DD">
      <w:pPr>
        <w:ind w:firstLine="709"/>
        <w:rPr>
          <w:rStyle w:val="CommentReference"/>
        </w:rPr>
      </w:pPr>
      <w:r w:rsidRPr="000D5FE2">
        <w:rPr>
          <w:rStyle w:val="CommentReference"/>
        </w:rPr>
        <w:t>Table 9: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36"/>
        <w:gridCol w:w="1176"/>
        <w:gridCol w:w="1120"/>
        <w:gridCol w:w="1120"/>
        <w:gridCol w:w="1154"/>
        <w:gridCol w:w="1239"/>
      </w:tblGrid>
      <w:tr w:rsidR="006126DD" w:rsidRPr="000D5FE2" w:rsidTr="0088620D">
        <w:trPr>
          <w:tblHeader/>
        </w:trPr>
        <w:tc>
          <w:tcPr>
            <w:tcW w:w="1525" w:type="pct"/>
            <w:shd w:val="clear" w:color="auto" w:fill="auto"/>
            <w:vAlign w:val="center"/>
          </w:tcPr>
          <w:p w:rsidR="006126DD" w:rsidRPr="000D5FE2" w:rsidRDefault="006126DD" w:rsidP="0088620D">
            <w:pPr>
              <w:tabs>
                <w:tab w:val="left" w:pos="142"/>
              </w:tabs>
              <w:ind w:right="93"/>
              <w:jc w:val="left"/>
              <w:rPr>
                <w:rFonts w:ascii="Arial Narrow" w:hAnsi="Arial Narrow"/>
                <w:b/>
                <w:sz w:val="20"/>
              </w:rPr>
            </w:pPr>
          </w:p>
        </w:tc>
        <w:tc>
          <w:tcPr>
            <w:tcW w:w="680" w:type="pct"/>
            <w:shd w:val="clear" w:color="auto" w:fill="auto"/>
            <w:vAlign w:val="center"/>
          </w:tcPr>
          <w:p w:rsidR="006126DD" w:rsidRPr="000D5FE2" w:rsidRDefault="006126DD" w:rsidP="0088620D">
            <w:pPr>
              <w:ind w:right="93"/>
              <w:jc w:val="center"/>
              <w:rPr>
                <w:rFonts w:ascii="Arial Narrow" w:hAnsi="Arial Narrow"/>
                <w:b/>
                <w:sz w:val="20"/>
              </w:rPr>
            </w:pPr>
            <w:r w:rsidRPr="000D5FE2">
              <w:rPr>
                <w:rFonts w:ascii="Arial Narrow" w:hAnsi="Arial Narrow"/>
                <w:b/>
                <w:sz w:val="20"/>
              </w:rPr>
              <w:t>Year 1</w:t>
            </w:r>
          </w:p>
        </w:tc>
        <w:tc>
          <w:tcPr>
            <w:tcW w:w="676" w:type="pct"/>
            <w:shd w:val="clear" w:color="auto" w:fill="auto"/>
            <w:vAlign w:val="center"/>
          </w:tcPr>
          <w:p w:rsidR="006126DD" w:rsidRPr="000D5FE2" w:rsidRDefault="006126DD" w:rsidP="0088620D">
            <w:pPr>
              <w:ind w:right="93"/>
              <w:jc w:val="center"/>
              <w:rPr>
                <w:rFonts w:ascii="Arial Narrow" w:hAnsi="Arial Narrow"/>
                <w:b/>
                <w:sz w:val="20"/>
              </w:rPr>
            </w:pPr>
            <w:r w:rsidRPr="000D5FE2">
              <w:rPr>
                <w:rFonts w:ascii="Arial Narrow" w:hAnsi="Arial Narrow"/>
                <w:b/>
                <w:sz w:val="20"/>
              </w:rPr>
              <w:t>Year 2</w:t>
            </w:r>
          </w:p>
        </w:tc>
        <w:tc>
          <w:tcPr>
            <w:tcW w:w="676" w:type="pct"/>
            <w:shd w:val="clear" w:color="auto" w:fill="auto"/>
            <w:vAlign w:val="center"/>
          </w:tcPr>
          <w:p w:rsidR="006126DD" w:rsidRPr="000D5FE2" w:rsidRDefault="006126DD" w:rsidP="0088620D">
            <w:pPr>
              <w:ind w:right="93"/>
              <w:jc w:val="center"/>
              <w:rPr>
                <w:rFonts w:ascii="Arial Narrow" w:hAnsi="Arial Narrow"/>
                <w:b/>
                <w:sz w:val="20"/>
              </w:rPr>
            </w:pPr>
            <w:r w:rsidRPr="000D5FE2">
              <w:rPr>
                <w:rFonts w:ascii="Arial Narrow" w:hAnsi="Arial Narrow"/>
                <w:b/>
                <w:sz w:val="20"/>
              </w:rPr>
              <w:t>Year 3</w:t>
            </w:r>
          </w:p>
        </w:tc>
        <w:tc>
          <w:tcPr>
            <w:tcW w:w="696" w:type="pct"/>
            <w:shd w:val="clear" w:color="auto" w:fill="auto"/>
            <w:vAlign w:val="center"/>
          </w:tcPr>
          <w:p w:rsidR="006126DD" w:rsidRPr="000D5FE2" w:rsidRDefault="006126DD" w:rsidP="0088620D">
            <w:pPr>
              <w:ind w:right="93"/>
              <w:jc w:val="center"/>
              <w:rPr>
                <w:rFonts w:ascii="Arial Narrow" w:hAnsi="Arial Narrow"/>
                <w:b/>
                <w:sz w:val="20"/>
              </w:rPr>
            </w:pPr>
            <w:r w:rsidRPr="000D5FE2">
              <w:rPr>
                <w:rFonts w:ascii="Arial Narrow" w:hAnsi="Arial Narrow"/>
                <w:b/>
                <w:sz w:val="20"/>
              </w:rPr>
              <w:t>Year 4</w:t>
            </w:r>
          </w:p>
        </w:tc>
        <w:tc>
          <w:tcPr>
            <w:tcW w:w="747" w:type="pct"/>
            <w:shd w:val="clear" w:color="auto" w:fill="auto"/>
            <w:vAlign w:val="center"/>
          </w:tcPr>
          <w:p w:rsidR="006126DD" w:rsidRPr="000D5FE2" w:rsidRDefault="006126DD" w:rsidP="0088620D">
            <w:pPr>
              <w:ind w:right="93"/>
              <w:jc w:val="center"/>
              <w:rPr>
                <w:rFonts w:ascii="Arial Narrow" w:hAnsi="Arial Narrow"/>
                <w:b/>
                <w:sz w:val="20"/>
              </w:rPr>
            </w:pPr>
            <w:r w:rsidRPr="000D5FE2">
              <w:rPr>
                <w:rFonts w:ascii="Arial Narrow" w:hAnsi="Arial Narrow"/>
                <w:b/>
                <w:sz w:val="20"/>
              </w:rPr>
              <w:t>Year 5</w:t>
            </w:r>
          </w:p>
        </w:tc>
      </w:tr>
      <w:tr w:rsidR="006126DD" w:rsidRPr="000D5FE2" w:rsidTr="0088620D">
        <w:tc>
          <w:tcPr>
            <w:tcW w:w="5000" w:type="pct"/>
            <w:gridSpan w:val="6"/>
            <w:shd w:val="clear" w:color="auto" w:fill="auto"/>
            <w:vAlign w:val="center"/>
          </w:tcPr>
          <w:p w:rsidR="006126DD" w:rsidRPr="000D5FE2" w:rsidRDefault="006126DD" w:rsidP="0088620D">
            <w:pPr>
              <w:ind w:right="93"/>
              <w:jc w:val="left"/>
              <w:rPr>
                <w:rFonts w:ascii="Arial Narrow" w:hAnsi="Arial Narrow"/>
                <w:b/>
                <w:bCs/>
                <w:sz w:val="20"/>
              </w:rPr>
            </w:pPr>
            <w:r w:rsidRPr="000D5FE2">
              <w:rPr>
                <w:rFonts w:ascii="Arial Narrow" w:hAnsi="Arial Narrow"/>
                <w:b/>
                <w:bCs/>
                <w:sz w:val="20"/>
              </w:rPr>
              <w:t>Estimated extent of use</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rPr>
            </w:pPr>
            <w:r w:rsidRPr="000D5FE2">
              <w:rPr>
                <w:rFonts w:ascii="Arial Narrow" w:hAnsi="Arial Narrow"/>
                <w:sz w:val="20"/>
                <w:szCs w:val="16"/>
              </w:rPr>
              <w:t>1</w:t>
            </w:r>
            <w:r w:rsidRPr="000D5FE2">
              <w:rPr>
                <w:rFonts w:ascii="Arial Narrow" w:hAnsi="Arial Narrow"/>
                <w:sz w:val="20"/>
                <w:szCs w:val="16"/>
                <w:vertAlign w:val="superscript"/>
              </w:rPr>
              <w:t>st</w:t>
            </w:r>
            <w:r w:rsidRPr="000D5FE2">
              <w:rPr>
                <w:rFonts w:ascii="Arial Narrow" w:hAnsi="Arial Narrow"/>
                <w:sz w:val="20"/>
                <w:szCs w:val="16"/>
              </w:rPr>
              <w:t xml:space="preserve"> line enzalutamide scripts</w:t>
            </w:r>
          </w:p>
        </w:tc>
        <w:tc>
          <w:tcPr>
            <w:tcW w:w="680" w:type="pct"/>
            <w:shd w:val="clear" w:color="auto" w:fill="auto"/>
            <w:vAlign w:val="bottom"/>
          </w:tcPr>
          <w:p w:rsidR="006126DD" w:rsidRPr="009278D7" w:rsidRDefault="009278D7" w:rsidP="0088620D">
            <w:pPr>
              <w:ind w:right="93"/>
              <w:jc w:val="center"/>
              <w:rPr>
                <w:rFonts w:ascii="Arial Narrow" w:hAnsi="Arial Narrow"/>
                <w:b/>
                <w:bCs/>
                <w:sz w:val="20"/>
                <w:highlight w:val="black"/>
              </w:rPr>
            </w:pPr>
            <w:r>
              <w:rPr>
                <w:rFonts w:ascii="Arial Narrow" w:hAnsi="Arial Narrow"/>
                <w:noProof/>
                <w:color w:val="000000"/>
                <w:sz w:val="20"/>
                <w:szCs w:val="16"/>
                <w:highlight w:val="black"/>
              </w:rPr>
              <w:t>'''''''''''''''</w:t>
            </w:r>
          </w:p>
        </w:tc>
        <w:tc>
          <w:tcPr>
            <w:tcW w:w="676" w:type="pct"/>
            <w:shd w:val="clear" w:color="auto" w:fill="auto"/>
            <w:vAlign w:val="bottom"/>
          </w:tcPr>
          <w:p w:rsidR="006126DD" w:rsidRPr="009278D7" w:rsidRDefault="009278D7" w:rsidP="0088620D">
            <w:pPr>
              <w:ind w:right="93"/>
              <w:jc w:val="center"/>
              <w:rPr>
                <w:rFonts w:ascii="Arial Narrow" w:hAnsi="Arial Narrow"/>
                <w:b/>
                <w:bCs/>
                <w:sz w:val="20"/>
                <w:highlight w:val="black"/>
              </w:rPr>
            </w:pPr>
            <w:r>
              <w:rPr>
                <w:rFonts w:ascii="Arial Narrow" w:hAnsi="Arial Narrow"/>
                <w:noProof/>
                <w:color w:val="000000"/>
                <w:sz w:val="20"/>
                <w:szCs w:val="16"/>
                <w:highlight w:val="black"/>
              </w:rPr>
              <w:t>'''''''''''''''''</w:t>
            </w:r>
          </w:p>
        </w:tc>
        <w:tc>
          <w:tcPr>
            <w:tcW w:w="676" w:type="pct"/>
            <w:shd w:val="clear" w:color="auto" w:fill="auto"/>
            <w:vAlign w:val="bottom"/>
          </w:tcPr>
          <w:p w:rsidR="006126DD" w:rsidRPr="009278D7" w:rsidRDefault="009278D7" w:rsidP="0088620D">
            <w:pPr>
              <w:ind w:right="93"/>
              <w:jc w:val="center"/>
              <w:rPr>
                <w:rFonts w:ascii="Arial Narrow" w:hAnsi="Arial Narrow"/>
                <w:b/>
                <w:bCs/>
                <w:sz w:val="20"/>
                <w:highlight w:val="black"/>
              </w:rPr>
            </w:pPr>
            <w:r>
              <w:rPr>
                <w:rFonts w:ascii="Arial Narrow" w:hAnsi="Arial Narrow"/>
                <w:noProof/>
                <w:color w:val="000000"/>
                <w:sz w:val="20"/>
                <w:szCs w:val="16"/>
                <w:highlight w:val="black"/>
              </w:rPr>
              <w:t>'''''''''''''''</w:t>
            </w:r>
          </w:p>
        </w:tc>
        <w:tc>
          <w:tcPr>
            <w:tcW w:w="696" w:type="pct"/>
            <w:shd w:val="clear" w:color="auto" w:fill="auto"/>
            <w:vAlign w:val="bottom"/>
          </w:tcPr>
          <w:p w:rsidR="006126DD" w:rsidRPr="009278D7" w:rsidRDefault="009278D7" w:rsidP="0088620D">
            <w:pPr>
              <w:ind w:right="93"/>
              <w:jc w:val="center"/>
              <w:rPr>
                <w:rFonts w:ascii="Arial Narrow" w:hAnsi="Arial Narrow"/>
                <w:b/>
                <w:bCs/>
                <w:sz w:val="20"/>
                <w:highlight w:val="black"/>
              </w:rPr>
            </w:pPr>
            <w:r>
              <w:rPr>
                <w:rFonts w:ascii="Arial Narrow" w:hAnsi="Arial Narrow"/>
                <w:noProof/>
                <w:color w:val="000000"/>
                <w:sz w:val="20"/>
                <w:szCs w:val="16"/>
                <w:highlight w:val="black"/>
              </w:rPr>
              <w:t>'''''''''''''''</w:t>
            </w:r>
          </w:p>
        </w:tc>
        <w:tc>
          <w:tcPr>
            <w:tcW w:w="747" w:type="pct"/>
            <w:shd w:val="clear" w:color="auto" w:fill="auto"/>
            <w:vAlign w:val="bottom"/>
          </w:tcPr>
          <w:p w:rsidR="006126DD" w:rsidRPr="009278D7" w:rsidRDefault="009278D7" w:rsidP="0088620D">
            <w:pPr>
              <w:ind w:right="93"/>
              <w:jc w:val="center"/>
              <w:rPr>
                <w:rFonts w:ascii="Arial Narrow" w:hAnsi="Arial Narrow"/>
                <w:b/>
                <w:bCs/>
                <w:sz w:val="20"/>
                <w:highlight w:val="black"/>
              </w:rPr>
            </w:pPr>
            <w:r>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rPr>
            </w:pPr>
            <w:r w:rsidRPr="000D5FE2">
              <w:rPr>
                <w:rFonts w:ascii="Arial Narrow" w:hAnsi="Arial Narrow"/>
                <w:sz w:val="20"/>
                <w:szCs w:val="16"/>
              </w:rPr>
              <w:t>2</w:t>
            </w:r>
            <w:r w:rsidRPr="000D5FE2">
              <w:rPr>
                <w:rFonts w:ascii="Arial Narrow" w:hAnsi="Arial Narrow"/>
                <w:sz w:val="20"/>
                <w:szCs w:val="16"/>
                <w:vertAlign w:val="superscript"/>
              </w:rPr>
              <w:t>nd</w:t>
            </w:r>
            <w:r w:rsidRPr="000D5FE2">
              <w:rPr>
                <w:rFonts w:ascii="Arial Narrow" w:hAnsi="Arial Narrow"/>
                <w:sz w:val="20"/>
                <w:szCs w:val="16"/>
              </w:rPr>
              <w:t xml:space="preserve"> line docetaxel scripts</w:t>
            </w:r>
          </w:p>
        </w:tc>
        <w:tc>
          <w:tcPr>
            <w:tcW w:w="680"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rPr>
            </w:pPr>
            <w:r w:rsidRPr="000D5FE2">
              <w:rPr>
                <w:rFonts w:ascii="Arial Narrow" w:hAnsi="Arial Narrow"/>
                <w:sz w:val="20"/>
                <w:szCs w:val="16"/>
              </w:rPr>
              <w:t>2</w:t>
            </w:r>
            <w:r w:rsidRPr="000D5FE2">
              <w:rPr>
                <w:rFonts w:ascii="Arial Narrow" w:hAnsi="Arial Narrow"/>
                <w:sz w:val="20"/>
                <w:szCs w:val="16"/>
                <w:vertAlign w:val="superscript"/>
              </w:rPr>
              <w:t>nd</w:t>
            </w:r>
            <w:r w:rsidRPr="000D5FE2">
              <w:rPr>
                <w:rFonts w:ascii="Arial Narrow" w:hAnsi="Arial Narrow"/>
                <w:sz w:val="20"/>
                <w:szCs w:val="16"/>
              </w:rPr>
              <w:t xml:space="preserve"> line prednisolone scripts</w:t>
            </w:r>
          </w:p>
        </w:tc>
        <w:tc>
          <w:tcPr>
            <w:tcW w:w="680"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rPr>
            </w:pPr>
            <w:r w:rsidRPr="000D5FE2">
              <w:rPr>
                <w:rFonts w:ascii="Arial Narrow" w:hAnsi="Arial Narrow"/>
                <w:sz w:val="20"/>
                <w:szCs w:val="16"/>
              </w:rPr>
              <w:t>2</w:t>
            </w:r>
            <w:r w:rsidRPr="000D5FE2">
              <w:rPr>
                <w:rFonts w:ascii="Arial Narrow" w:hAnsi="Arial Narrow"/>
                <w:sz w:val="20"/>
                <w:szCs w:val="16"/>
                <w:vertAlign w:val="superscript"/>
              </w:rPr>
              <w:t>nd</w:t>
            </w:r>
            <w:r w:rsidRPr="000D5FE2">
              <w:rPr>
                <w:rFonts w:ascii="Arial Narrow" w:hAnsi="Arial Narrow"/>
                <w:sz w:val="20"/>
                <w:szCs w:val="16"/>
              </w:rPr>
              <w:t xml:space="preserve"> line dexamethasone scripts</w:t>
            </w:r>
          </w:p>
        </w:tc>
        <w:tc>
          <w:tcPr>
            <w:tcW w:w="680"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rPr>
            </w:pPr>
            <w:r w:rsidRPr="000D5FE2">
              <w:rPr>
                <w:rFonts w:ascii="Arial Narrow" w:hAnsi="Arial Narrow"/>
                <w:sz w:val="20"/>
                <w:szCs w:val="16"/>
              </w:rPr>
              <w:t>3</w:t>
            </w:r>
            <w:r w:rsidRPr="000D5FE2">
              <w:rPr>
                <w:rFonts w:ascii="Arial Narrow" w:hAnsi="Arial Narrow"/>
                <w:sz w:val="20"/>
                <w:szCs w:val="16"/>
                <w:vertAlign w:val="superscript"/>
              </w:rPr>
              <w:t>rd</w:t>
            </w:r>
            <w:r w:rsidRPr="000D5FE2">
              <w:rPr>
                <w:rFonts w:ascii="Arial Narrow" w:hAnsi="Arial Narrow"/>
                <w:sz w:val="20"/>
                <w:szCs w:val="16"/>
              </w:rPr>
              <w:t xml:space="preserve"> line enzalutamide scripts</w:t>
            </w:r>
          </w:p>
        </w:tc>
        <w:tc>
          <w:tcPr>
            <w:tcW w:w="680"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rPr>
            </w:pPr>
            <w:r w:rsidRPr="000D5FE2">
              <w:rPr>
                <w:rFonts w:ascii="Arial Narrow" w:hAnsi="Arial Narrow"/>
                <w:sz w:val="20"/>
                <w:szCs w:val="16"/>
              </w:rPr>
              <w:t>3</w:t>
            </w:r>
            <w:r w:rsidRPr="000D5FE2">
              <w:rPr>
                <w:rFonts w:ascii="Arial Narrow" w:hAnsi="Arial Narrow"/>
                <w:sz w:val="20"/>
                <w:szCs w:val="16"/>
                <w:vertAlign w:val="superscript"/>
              </w:rPr>
              <w:t>rd</w:t>
            </w:r>
            <w:r w:rsidRPr="000D5FE2">
              <w:rPr>
                <w:rFonts w:ascii="Arial Narrow" w:hAnsi="Arial Narrow"/>
                <w:sz w:val="20"/>
                <w:szCs w:val="16"/>
              </w:rPr>
              <w:t xml:space="preserve"> line abiraterone scripts</w:t>
            </w:r>
          </w:p>
        </w:tc>
        <w:tc>
          <w:tcPr>
            <w:tcW w:w="680"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bCs/>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szCs w:val="16"/>
              </w:rPr>
            </w:pPr>
            <w:r w:rsidRPr="000D5FE2">
              <w:rPr>
                <w:rFonts w:ascii="Arial Narrow" w:hAnsi="Arial Narrow"/>
                <w:sz w:val="20"/>
                <w:szCs w:val="16"/>
              </w:rPr>
              <w:t>IV infusions</w:t>
            </w:r>
          </w:p>
        </w:tc>
        <w:tc>
          <w:tcPr>
            <w:tcW w:w="680"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szCs w:val="16"/>
              </w:rPr>
            </w:pPr>
            <w:r w:rsidRPr="000D5FE2">
              <w:rPr>
                <w:rFonts w:ascii="Arial Narrow" w:hAnsi="Arial Narrow"/>
                <w:sz w:val="20"/>
                <w:szCs w:val="16"/>
              </w:rPr>
              <w:t>Consultations</w:t>
            </w:r>
          </w:p>
        </w:tc>
        <w:tc>
          <w:tcPr>
            <w:tcW w:w="680"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szCs w:val="16"/>
              </w:rPr>
            </w:pPr>
            <w:r w:rsidRPr="000D5FE2">
              <w:rPr>
                <w:rFonts w:ascii="Arial Narrow" w:hAnsi="Arial Narrow"/>
                <w:sz w:val="20"/>
                <w:szCs w:val="16"/>
              </w:rPr>
              <w:t>PSA tests</w:t>
            </w:r>
          </w:p>
        </w:tc>
        <w:tc>
          <w:tcPr>
            <w:tcW w:w="680"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szCs w:val="16"/>
              </w:rPr>
            </w:pPr>
            <w:r w:rsidRPr="000D5FE2">
              <w:rPr>
                <w:rFonts w:ascii="Arial Narrow" w:hAnsi="Arial Narrow"/>
                <w:sz w:val="20"/>
                <w:szCs w:val="16"/>
              </w:rPr>
              <w:t>ALP / LDH tests</w:t>
            </w:r>
          </w:p>
        </w:tc>
        <w:tc>
          <w:tcPr>
            <w:tcW w:w="680"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szCs w:val="16"/>
              </w:rPr>
            </w:pPr>
            <w:r w:rsidRPr="000D5FE2">
              <w:rPr>
                <w:rFonts w:ascii="Arial Narrow" w:hAnsi="Arial Narrow"/>
                <w:sz w:val="20"/>
                <w:szCs w:val="16"/>
              </w:rPr>
              <w:t>CT scans</w:t>
            </w:r>
          </w:p>
        </w:tc>
        <w:tc>
          <w:tcPr>
            <w:tcW w:w="680"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tcPr>
          <w:p w:rsidR="006126DD" w:rsidRPr="000D5FE2" w:rsidRDefault="006126DD" w:rsidP="0088620D">
            <w:pPr>
              <w:tabs>
                <w:tab w:val="left" w:pos="142"/>
              </w:tabs>
              <w:ind w:right="93"/>
              <w:jc w:val="left"/>
              <w:rPr>
                <w:rFonts w:ascii="Arial Narrow" w:hAnsi="Arial Narrow"/>
                <w:sz w:val="20"/>
                <w:szCs w:val="16"/>
              </w:rPr>
            </w:pPr>
            <w:r w:rsidRPr="000D5FE2">
              <w:rPr>
                <w:rFonts w:ascii="Arial Narrow" w:hAnsi="Arial Narrow"/>
                <w:sz w:val="20"/>
                <w:szCs w:val="16"/>
              </w:rPr>
              <w:t>Bone scans</w:t>
            </w:r>
          </w:p>
        </w:tc>
        <w:tc>
          <w:tcPr>
            <w:tcW w:w="680"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sz w:val="20"/>
                <w:szCs w:val="16"/>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5000" w:type="pct"/>
            <w:gridSpan w:val="6"/>
            <w:shd w:val="clear" w:color="auto" w:fill="auto"/>
            <w:vAlign w:val="center"/>
          </w:tcPr>
          <w:p w:rsidR="006126DD" w:rsidRPr="000D5FE2" w:rsidRDefault="006126DD" w:rsidP="00DE6CEC">
            <w:pPr>
              <w:ind w:right="93"/>
              <w:jc w:val="left"/>
              <w:rPr>
                <w:rFonts w:ascii="Arial Narrow" w:hAnsi="Arial Narrow"/>
                <w:b/>
                <w:bCs/>
                <w:sz w:val="20"/>
              </w:rPr>
            </w:pPr>
            <w:r w:rsidRPr="000D5FE2">
              <w:rPr>
                <w:rFonts w:ascii="Arial Narrow" w:hAnsi="Arial Narrow"/>
                <w:b/>
                <w:bCs/>
                <w:sz w:val="20"/>
              </w:rPr>
              <w:t>Estimated cost to PBS/MBS</w:t>
            </w:r>
          </w:p>
        </w:tc>
      </w:tr>
      <w:tr w:rsidR="006126DD" w:rsidRPr="000D5FE2" w:rsidTr="0088620D">
        <w:tc>
          <w:tcPr>
            <w:tcW w:w="1525" w:type="pct"/>
            <w:shd w:val="clear" w:color="auto" w:fill="auto"/>
            <w:vAlign w:val="center"/>
          </w:tcPr>
          <w:p w:rsidR="006126DD" w:rsidRPr="000D5FE2" w:rsidRDefault="00DE6CEC" w:rsidP="00DE6CEC">
            <w:pPr>
              <w:tabs>
                <w:tab w:val="left" w:pos="142"/>
              </w:tabs>
              <w:ind w:right="93"/>
              <w:jc w:val="left"/>
              <w:rPr>
                <w:rFonts w:ascii="Arial Narrow" w:hAnsi="Arial Narrow"/>
                <w:sz w:val="20"/>
              </w:rPr>
            </w:pPr>
            <w:r w:rsidRPr="000D5FE2">
              <w:rPr>
                <w:rFonts w:ascii="Arial Narrow" w:hAnsi="Arial Narrow"/>
                <w:sz w:val="20"/>
              </w:rPr>
              <w:t>Co</w:t>
            </w:r>
            <w:r w:rsidR="006126DD" w:rsidRPr="000D5FE2">
              <w:rPr>
                <w:rFonts w:ascii="Arial Narrow" w:hAnsi="Arial Narrow"/>
                <w:sz w:val="20"/>
              </w:rPr>
              <w:t xml:space="preserve">st to PBS/RPBS </w:t>
            </w:r>
            <w:r w:rsidR="006126DD" w:rsidRPr="000D5FE2">
              <w:rPr>
                <w:rFonts w:ascii="Arial Narrow" w:hAnsi="Arial Narrow"/>
                <w:sz w:val="20"/>
                <w:szCs w:val="16"/>
              </w:rPr>
              <w:t>for 1</w:t>
            </w:r>
            <w:r w:rsidR="006126DD" w:rsidRPr="000D5FE2">
              <w:rPr>
                <w:rFonts w:ascii="Arial Narrow" w:hAnsi="Arial Narrow"/>
                <w:sz w:val="20"/>
                <w:szCs w:val="16"/>
                <w:vertAlign w:val="superscript"/>
              </w:rPr>
              <w:t>st</w:t>
            </w:r>
            <w:r w:rsidR="006126DD" w:rsidRPr="000D5FE2">
              <w:rPr>
                <w:rFonts w:ascii="Arial Narrow" w:hAnsi="Arial Narrow"/>
                <w:sz w:val="20"/>
                <w:szCs w:val="16"/>
              </w:rPr>
              <w:t>-line enzalutamide</w:t>
            </w:r>
          </w:p>
        </w:tc>
        <w:tc>
          <w:tcPr>
            <w:tcW w:w="680"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vAlign w:val="center"/>
          </w:tcPr>
          <w:p w:rsidR="006126DD" w:rsidRPr="000D5FE2" w:rsidRDefault="00DE6CEC" w:rsidP="00DE6CEC">
            <w:pPr>
              <w:tabs>
                <w:tab w:val="left" w:pos="142"/>
              </w:tabs>
              <w:ind w:right="93"/>
              <w:jc w:val="left"/>
              <w:rPr>
                <w:rFonts w:ascii="Arial Narrow" w:hAnsi="Arial Narrow"/>
                <w:sz w:val="20"/>
              </w:rPr>
            </w:pPr>
            <w:r w:rsidRPr="000D5FE2">
              <w:rPr>
                <w:rFonts w:ascii="Arial Narrow" w:hAnsi="Arial Narrow"/>
                <w:sz w:val="20"/>
              </w:rPr>
              <w:t>C</w:t>
            </w:r>
            <w:r w:rsidR="006126DD" w:rsidRPr="000D5FE2">
              <w:rPr>
                <w:rFonts w:ascii="Arial Narrow" w:hAnsi="Arial Narrow"/>
                <w:sz w:val="20"/>
              </w:rPr>
              <w:t xml:space="preserve">ost to PBS/RPBS </w:t>
            </w:r>
            <w:r w:rsidR="006126DD" w:rsidRPr="000D5FE2">
              <w:rPr>
                <w:rFonts w:ascii="Arial Narrow" w:hAnsi="Arial Narrow"/>
                <w:sz w:val="20"/>
                <w:szCs w:val="16"/>
              </w:rPr>
              <w:t>for other drugs</w:t>
            </w:r>
          </w:p>
        </w:tc>
        <w:tc>
          <w:tcPr>
            <w:tcW w:w="680"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center"/>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1525" w:type="pct"/>
            <w:shd w:val="clear" w:color="auto" w:fill="auto"/>
            <w:vAlign w:val="center"/>
          </w:tcPr>
          <w:p w:rsidR="006126DD" w:rsidRPr="000D5FE2" w:rsidRDefault="00DE6CEC" w:rsidP="00DE6CEC">
            <w:pPr>
              <w:tabs>
                <w:tab w:val="left" w:pos="142"/>
              </w:tabs>
              <w:ind w:right="93"/>
              <w:jc w:val="left"/>
              <w:rPr>
                <w:rFonts w:ascii="Arial Narrow" w:hAnsi="Arial Narrow"/>
                <w:sz w:val="20"/>
              </w:rPr>
            </w:pPr>
            <w:r w:rsidRPr="000D5FE2">
              <w:rPr>
                <w:rFonts w:ascii="Arial Narrow" w:hAnsi="Arial Narrow"/>
                <w:sz w:val="20"/>
              </w:rPr>
              <w:t>C</w:t>
            </w:r>
            <w:r w:rsidR="006126DD" w:rsidRPr="000D5FE2">
              <w:rPr>
                <w:rFonts w:ascii="Arial Narrow" w:hAnsi="Arial Narrow"/>
                <w:sz w:val="20"/>
              </w:rPr>
              <w:t xml:space="preserve">ost to MBS </w:t>
            </w:r>
            <w:r w:rsidR="006126DD" w:rsidRPr="000D5FE2">
              <w:rPr>
                <w:rFonts w:ascii="Arial Narrow" w:hAnsi="Arial Narrow"/>
                <w:sz w:val="20"/>
                <w:szCs w:val="16"/>
              </w:rPr>
              <w:t>for monitoring</w:t>
            </w:r>
          </w:p>
        </w:tc>
        <w:tc>
          <w:tcPr>
            <w:tcW w:w="680"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76"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696"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c>
          <w:tcPr>
            <w:tcW w:w="747" w:type="pct"/>
            <w:shd w:val="clear" w:color="auto" w:fill="auto"/>
            <w:vAlign w:val="bottom"/>
          </w:tcPr>
          <w:p w:rsidR="006126DD" w:rsidRPr="000D5FE2" w:rsidRDefault="006126DD" w:rsidP="0088620D">
            <w:pPr>
              <w:ind w:right="93"/>
              <w:jc w:val="center"/>
              <w:rPr>
                <w:rFonts w:ascii="Arial Narrow" w:hAnsi="Arial Narrow"/>
                <w:sz w:val="20"/>
              </w:rPr>
            </w:pPr>
            <w:r w:rsidRPr="000D5FE2">
              <w:rPr>
                <w:rFonts w:ascii="Arial Narrow" w:hAnsi="Arial Narrow"/>
                <w:sz w:val="20"/>
                <w:szCs w:val="16"/>
              </w:rPr>
              <w:t>-$</w:t>
            </w:r>
            <w:r w:rsidR="009278D7">
              <w:rPr>
                <w:rFonts w:ascii="Arial Narrow" w:hAnsi="Arial Narrow"/>
                <w:noProof/>
                <w:color w:val="000000"/>
                <w:sz w:val="20"/>
                <w:szCs w:val="16"/>
                <w:highlight w:val="black"/>
              </w:rPr>
              <w:t>''''''''''''''''''</w:t>
            </w:r>
          </w:p>
        </w:tc>
      </w:tr>
      <w:tr w:rsidR="006126DD" w:rsidRPr="000D5FE2" w:rsidTr="0088620D">
        <w:tc>
          <w:tcPr>
            <w:tcW w:w="5000" w:type="pct"/>
            <w:gridSpan w:val="6"/>
            <w:shd w:val="clear" w:color="auto" w:fill="auto"/>
            <w:vAlign w:val="center"/>
          </w:tcPr>
          <w:p w:rsidR="006126DD" w:rsidRPr="000D5FE2" w:rsidRDefault="006126DD" w:rsidP="0088620D">
            <w:pPr>
              <w:ind w:right="93"/>
              <w:jc w:val="left"/>
              <w:rPr>
                <w:rFonts w:ascii="Arial Narrow" w:hAnsi="Arial Narrow"/>
                <w:b/>
                <w:sz w:val="20"/>
              </w:rPr>
            </w:pPr>
            <w:r w:rsidRPr="000D5FE2">
              <w:rPr>
                <w:rFonts w:ascii="Arial Narrow" w:hAnsi="Arial Narrow"/>
                <w:b/>
                <w:sz w:val="20"/>
              </w:rPr>
              <w:t>Estimated total net cost</w:t>
            </w:r>
          </w:p>
        </w:tc>
      </w:tr>
      <w:tr w:rsidR="006126DD" w:rsidRPr="000D5FE2" w:rsidTr="0088620D">
        <w:tc>
          <w:tcPr>
            <w:tcW w:w="1525" w:type="pct"/>
            <w:shd w:val="clear" w:color="auto" w:fill="auto"/>
            <w:vAlign w:val="center"/>
          </w:tcPr>
          <w:p w:rsidR="006126DD" w:rsidRPr="000D5FE2" w:rsidRDefault="006126DD" w:rsidP="0088620D">
            <w:pPr>
              <w:tabs>
                <w:tab w:val="left" w:pos="142"/>
              </w:tabs>
              <w:ind w:right="93"/>
              <w:jc w:val="left"/>
              <w:rPr>
                <w:rFonts w:ascii="Arial Narrow" w:hAnsi="Arial Narrow"/>
                <w:sz w:val="20"/>
              </w:rPr>
            </w:pPr>
            <w:r w:rsidRPr="000D5FE2">
              <w:rPr>
                <w:rFonts w:ascii="Arial Narrow" w:hAnsi="Arial Narrow"/>
                <w:sz w:val="20"/>
              </w:rPr>
              <w:t>Net cost to government</w:t>
            </w:r>
          </w:p>
        </w:tc>
        <w:tc>
          <w:tcPr>
            <w:tcW w:w="680" w:type="pct"/>
            <w:shd w:val="clear" w:color="auto" w:fill="auto"/>
            <w:vAlign w:val="center"/>
          </w:tcPr>
          <w:p w:rsidR="006126DD" w:rsidRPr="000D5FE2" w:rsidRDefault="006126DD" w:rsidP="0088620D">
            <w:pPr>
              <w:ind w:right="93"/>
              <w:jc w:val="center"/>
              <w:rPr>
                <w:rFonts w:ascii="Arial Narrow" w:hAnsi="Arial Narrow"/>
                <w:b/>
                <w:bCs/>
                <w:sz w:val="20"/>
              </w:rPr>
            </w:pPr>
            <w:r w:rsidRPr="000D5FE2">
              <w:rPr>
                <w:rFonts w:ascii="Arial Narrow" w:hAnsi="Arial Narrow"/>
                <w:b/>
                <w:bCs/>
                <w:sz w:val="20"/>
                <w:szCs w:val="16"/>
              </w:rPr>
              <w:t>$</w:t>
            </w:r>
            <w:r w:rsidR="009278D7">
              <w:rPr>
                <w:rFonts w:ascii="Arial Narrow" w:hAnsi="Arial Narrow"/>
                <w:b/>
                <w:bCs/>
                <w:noProof/>
                <w:color w:val="000000"/>
                <w:sz w:val="20"/>
                <w:szCs w:val="16"/>
                <w:highlight w:val="black"/>
              </w:rPr>
              <w:t>''''''''''''''''''''''''</w:t>
            </w:r>
          </w:p>
        </w:tc>
        <w:tc>
          <w:tcPr>
            <w:tcW w:w="676" w:type="pct"/>
            <w:shd w:val="clear" w:color="auto" w:fill="auto"/>
            <w:vAlign w:val="center"/>
          </w:tcPr>
          <w:p w:rsidR="006126DD" w:rsidRPr="000D5FE2" w:rsidRDefault="006126DD" w:rsidP="0088620D">
            <w:pPr>
              <w:ind w:right="93"/>
              <w:jc w:val="center"/>
              <w:rPr>
                <w:rFonts w:ascii="Arial Narrow" w:hAnsi="Arial Narrow"/>
                <w:b/>
                <w:bCs/>
                <w:sz w:val="20"/>
              </w:rPr>
            </w:pPr>
            <w:r w:rsidRPr="000D5FE2">
              <w:rPr>
                <w:rFonts w:ascii="Arial Narrow" w:hAnsi="Arial Narrow"/>
                <w:b/>
                <w:bCs/>
                <w:sz w:val="20"/>
                <w:szCs w:val="16"/>
              </w:rPr>
              <w:t>$</w:t>
            </w:r>
            <w:r w:rsidR="009278D7">
              <w:rPr>
                <w:rFonts w:ascii="Arial Narrow" w:hAnsi="Arial Narrow"/>
                <w:b/>
                <w:bCs/>
                <w:noProof/>
                <w:color w:val="000000"/>
                <w:sz w:val="20"/>
                <w:szCs w:val="16"/>
                <w:highlight w:val="black"/>
              </w:rPr>
              <w:t>''''''''''''''''''''''</w:t>
            </w:r>
          </w:p>
        </w:tc>
        <w:tc>
          <w:tcPr>
            <w:tcW w:w="676" w:type="pct"/>
            <w:shd w:val="clear" w:color="auto" w:fill="auto"/>
            <w:vAlign w:val="center"/>
          </w:tcPr>
          <w:p w:rsidR="006126DD" w:rsidRPr="000D5FE2" w:rsidRDefault="006126DD" w:rsidP="0088620D">
            <w:pPr>
              <w:ind w:right="93"/>
              <w:jc w:val="center"/>
              <w:rPr>
                <w:rFonts w:ascii="Arial Narrow" w:hAnsi="Arial Narrow"/>
                <w:b/>
                <w:bCs/>
                <w:sz w:val="20"/>
              </w:rPr>
            </w:pPr>
            <w:r w:rsidRPr="000D5FE2">
              <w:rPr>
                <w:rFonts w:ascii="Arial Narrow" w:hAnsi="Arial Narrow"/>
                <w:b/>
                <w:bCs/>
                <w:sz w:val="20"/>
                <w:szCs w:val="16"/>
              </w:rPr>
              <w:t>$</w:t>
            </w:r>
            <w:r w:rsidR="009278D7">
              <w:rPr>
                <w:rFonts w:ascii="Arial Narrow" w:hAnsi="Arial Narrow"/>
                <w:b/>
                <w:bCs/>
                <w:noProof/>
                <w:color w:val="000000"/>
                <w:sz w:val="20"/>
                <w:szCs w:val="16"/>
                <w:highlight w:val="black"/>
              </w:rPr>
              <w:t>'''''''''''''''''''</w:t>
            </w:r>
          </w:p>
        </w:tc>
        <w:tc>
          <w:tcPr>
            <w:tcW w:w="696" w:type="pct"/>
            <w:shd w:val="clear" w:color="auto" w:fill="auto"/>
            <w:vAlign w:val="center"/>
          </w:tcPr>
          <w:p w:rsidR="006126DD" w:rsidRPr="000D5FE2" w:rsidRDefault="006126DD" w:rsidP="0088620D">
            <w:pPr>
              <w:ind w:right="93"/>
              <w:jc w:val="center"/>
              <w:rPr>
                <w:rFonts w:ascii="Arial Narrow" w:hAnsi="Arial Narrow"/>
                <w:b/>
                <w:bCs/>
                <w:sz w:val="20"/>
              </w:rPr>
            </w:pPr>
            <w:r w:rsidRPr="000D5FE2">
              <w:rPr>
                <w:rFonts w:ascii="Arial Narrow" w:hAnsi="Arial Narrow"/>
                <w:b/>
                <w:bCs/>
                <w:sz w:val="20"/>
                <w:szCs w:val="16"/>
              </w:rPr>
              <w:t>$</w:t>
            </w:r>
            <w:r w:rsidR="009278D7">
              <w:rPr>
                <w:rFonts w:ascii="Arial Narrow" w:hAnsi="Arial Narrow"/>
                <w:b/>
                <w:bCs/>
                <w:noProof/>
                <w:color w:val="000000"/>
                <w:sz w:val="20"/>
                <w:szCs w:val="16"/>
                <w:highlight w:val="black"/>
              </w:rPr>
              <w:t>''''''''''''''''''''''</w:t>
            </w:r>
          </w:p>
        </w:tc>
        <w:tc>
          <w:tcPr>
            <w:tcW w:w="747" w:type="pct"/>
            <w:shd w:val="clear" w:color="auto" w:fill="auto"/>
            <w:vAlign w:val="center"/>
          </w:tcPr>
          <w:p w:rsidR="006126DD" w:rsidRPr="000D5FE2" w:rsidRDefault="006126DD" w:rsidP="0088620D">
            <w:pPr>
              <w:ind w:right="93"/>
              <w:jc w:val="center"/>
              <w:rPr>
                <w:rFonts w:ascii="Arial Narrow" w:hAnsi="Arial Narrow"/>
                <w:b/>
                <w:bCs/>
                <w:sz w:val="20"/>
              </w:rPr>
            </w:pPr>
            <w:r w:rsidRPr="000D5FE2">
              <w:rPr>
                <w:rFonts w:ascii="Arial Narrow" w:hAnsi="Arial Narrow"/>
                <w:b/>
                <w:bCs/>
                <w:sz w:val="20"/>
                <w:szCs w:val="16"/>
              </w:rPr>
              <w:t>$</w:t>
            </w:r>
            <w:r w:rsidR="009278D7">
              <w:rPr>
                <w:rFonts w:ascii="Arial Narrow" w:hAnsi="Arial Narrow"/>
                <w:b/>
                <w:bCs/>
                <w:noProof/>
                <w:color w:val="000000"/>
                <w:sz w:val="20"/>
                <w:szCs w:val="16"/>
                <w:highlight w:val="black"/>
              </w:rPr>
              <w:t>'''''''''''''''''''</w:t>
            </w:r>
          </w:p>
        </w:tc>
      </w:tr>
    </w:tbl>
    <w:p w:rsidR="006126DD" w:rsidRPr="000D5FE2" w:rsidRDefault="006126DD" w:rsidP="006126DD">
      <w:pPr>
        <w:pStyle w:val="TableFooter"/>
        <w:ind w:firstLine="709"/>
        <w:rPr>
          <w:szCs w:val="22"/>
        </w:rPr>
      </w:pPr>
      <w:r w:rsidRPr="000D5FE2">
        <w:t>Source: Compiled during the evaluation</w:t>
      </w:r>
    </w:p>
    <w:p w:rsidR="006126DD" w:rsidRDefault="006126DD" w:rsidP="006126DD">
      <w:pPr>
        <w:widowControl/>
        <w:rPr>
          <w:szCs w:val="22"/>
        </w:rPr>
      </w:pPr>
    </w:p>
    <w:p w:rsidR="000E4494" w:rsidRDefault="000E4494" w:rsidP="006126DD">
      <w:pPr>
        <w:widowControl/>
        <w:rPr>
          <w:szCs w:val="22"/>
        </w:rPr>
      </w:pPr>
      <w:r>
        <w:rPr>
          <w:szCs w:val="22"/>
        </w:rPr>
        <w:t xml:space="preserve">The redacted table shows that at year 5 the net cost to </w:t>
      </w:r>
      <w:r w:rsidR="008D5C48">
        <w:rPr>
          <w:szCs w:val="22"/>
        </w:rPr>
        <w:t>government</w:t>
      </w:r>
      <w:r>
        <w:rPr>
          <w:szCs w:val="22"/>
        </w:rPr>
        <w:t xml:space="preserve"> is $20 - $30 million. </w:t>
      </w:r>
    </w:p>
    <w:p w:rsidR="000E4494" w:rsidRPr="000D5FE2" w:rsidRDefault="000E4494" w:rsidP="006126DD">
      <w:pPr>
        <w:widowControl/>
        <w:rPr>
          <w:szCs w:val="22"/>
        </w:rPr>
      </w:pPr>
    </w:p>
    <w:p w:rsidR="006126DD" w:rsidRPr="000D5FE2" w:rsidRDefault="006126DD" w:rsidP="00EB23C1">
      <w:pPr>
        <w:pStyle w:val="ListParagraph"/>
        <w:widowControl/>
        <w:numPr>
          <w:ilvl w:val="1"/>
          <w:numId w:val="2"/>
        </w:numPr>
        <w:rPr>
          <w:szCs w:val="22"/>
        </w:rPr>
      </w:pPr>
      <w:r w:rsidRPr="000D5FE2">
        <w:rPr>
          <w:iCs/>
        </w:rPr>
        <w:t xml:space="preserve">Given the economic model was used to estimate the financial impact of the proposed listing, the estimates were driven by </w:t>
      </w:r>
      <w:proofErr w:type="spellStart"/>
      <w:r w:rsidRPr="000D5FE2">
        <w:rPr>
          <w:iCs/>
        </w:rPr>
        <w:t>i</w:t>
      </w:r>
      <w:proofErr w:type="spellEnd"/>
      <w:r w:rsidRPr="000D5FE2">
        <w:rPr>
          <w:iCs/>
        </w:rPr>
        <w:t>) significant cost-offsets associated with assumed life-long treatment with enzalutamide or abiraterone after docetaxel in the watchful waiting arm, and ii) any parameter that varies the incremental difference in mean time before and after chemotherapy (eg time on first treatment) which impact on the accrual of those cost-offsets.</w:t>
      </w:r>
    </w:p>
    <w:p w:rsidR="006126DD" w:rsidRPr="000D5FE2" w:rsidRDefault="006126DD" w:rsidP="006126DD">
      <w:pPr>
        <w:pStyle w:val="ListParagraph"/>
        <w:widowControl/>
        <w:rPr>
          <w:szCs w:val="22"/>
        </w:rPr>
      </w:pPr>
    </w:p>
    <w:p w:rsidR="006126DD" w:rsidRPr="000D5FE2" w:rsidRDefault="006126DD" w:rsidP="00EB23C1">
      <w:pPr>
        <w:pStyle w:val="ListParagraph"/>
        <w:widowControl/>
        <w:numPr>
          <w:ilvl w:val="1"/>
          <w:numId w:val="2"/>
        </w:numPr>
        <w:rPr>
          <w:iCs/>
        </w:rPr>
      </w:pPr>
      <w:r w:rsidRPr="000D5FE2">
        <w:rPr>
          <w:iCs/>
        </w:rPr>
        <w:t>The following issues were identified</w:t>
      </w:r>
      <w:r w:rsidR="00A95CFC">
        <w:rPr>
          <w:iCs/>
        </w:rPr>
        <w:t xml:space="preserve"> during evaluation</w:t>
      </w:r>
      <w:r w:rsidRPr="000D5FE2">
        <w:rPr>
          <w:iCs/>
        </w:rPr>
        <w:t>:</w:t>
      </w:r>
    </w:p>
    <w:p w:rsidR="006126DD" w:rsidRPr="000D5FE2" w:rsidRDefault="006126DD" w:rsidP="00EB23C1">
      <w:pPr>
        <w:pStyle w:val="PBACheading1"/>
        <w:numPr>
          <w:ilvl w:val="0"/>
          <w:numId w:val="9"/>
        </w:numPr>
        <w:ind w:left="1134"/>
        <w:jc w:val="both"/>
        <w:outlineLvl w:val="9"/>
      </w:pPr>
      <w:bookmarkStart w:id="24" w:name="_Toc469344727"/>
      <w:bookmarkStart w:id="25" w:name="_Toc471212105"/>
      <w:r w:rsidRPr="000D5FE2">
        <w:rPr>
          <w:szCs w:val="24"/>
        </w:rPr>
        <w:t xml:space="preserve">The number of scripts of first-line enzalutamide (proposed algorithm) was likely overestimated because the use of time to chemotherapy (TTC) in PREVAIL likely overestimated duration on first-line therapy; the mean time on treatment in the model was </w:t>
      </w:r>
      <w:r w:rsidR="009278D7">
        <w:rPr>
          <w:noProof/>
          <w:color w:val="000000"/>
          <w:szCs w:val="24"/>
          <w:highlight w:val="black"/>
        </w:rPr>
        <w:t>''''''''''</w:t>
      </w:r>
      <w:r w:rsidRPr="000D5FE2">
        <w:rPr>
          <w:szCs w:val="24"/>
        </w:rPr>
        <w:t xml:space="preserve"> months versus 15.8 months in PREVAIL</w:t>
      </w:r>
      <w:r w:rsidR="00BB1E94">
        <w:rPr>
          <w:szCs w:val="24"/>
        </w:rPr>
        <w:t>;</w:t>
      </w:r>
      <w:bookmarkEnd w:id="24"/>
      <w:bookmarkEnd w:id="25"/>
    </w:p>
    <w:p w:rsidR="006126DD" w:rsidRPr="000D5FE2" w:rsidRDefault="006126DD" w:rsidP="00EB23C1">
      <w:pPr>
        <w:pStyle w:val="PBACheading1"/>
        <w:numPr>
          <w:ilvl w:val="0"/>
          <w:numId w:val="9"/>
        </w:numPr>
        <w:ind w:left="1134"/>
        <w:jc w:val="both"/>
        <w:outlineLvl w:val="9"/>
      </w:pPr>
      <w:bookmarkStart w:id="26" w:name="_Toc469344728"/>
      <w:bookmarkStart w:id="27" w:name="_Toc471212106"/>
      <w:r w:rsidRPr="000D5FE2">
        <w:t>As a flow on, the reduction in the number of scripts of second-line docetaxel (and concomitant dexamethasone / prednisolone) may therefore be overestimated with greater impact in the enzalutamide arm; and</w:t>
      </w:r>
      <w:bookmarkEnd w:id="26"/>
      <w:bookmarkEnd w:id="27"/>
      <w:r w:rsidRPr="000D5FE2">
        <w:t xml:space="preserve"> </w:t>
      </w:r>
    </w:p>
    <w:p w:rsidR="006126DD" w:rsidRPr="000D5FE2" w:rsidRDefault="006126DD" w:rsidP="00EB23C1">
      <w:pPr>
        <w:pStyle w:val="PBACheading1"/>
        <w:numPr>
          <w:ilvl w:val="0"/>
          <w:numId w:val="9"/>
        </w:numPr>
        <w:ind w:left="1134"/>
        <w:jc w:val="both"/>
        <w:outlineLvl w:val="9"/>
      </w:pPr>
      <w:bookmarkStart w:id="28" w:name="_Toc469344729"/>
      <w:bookmarkStart w:id="29" w:name="_Toc471212107"/>
      <w:r w:rsidRPr="000D5FE2">
        <w:t xml:space="preserve">the reduction in number of scripts of third-line enzalutamide (and abiraterone) was also a likely overestimate, particularly in the latter years, because the model assumed patients remain on treatment until death; the mean time on treatment (for those who received treatment) in the model was </w:t>
      </w:r>
      <w:r w:rsidR="009278D7">
        <w:rPr>
          <w:noProof/>
          <w:color w:val="000000"/>
          <w:highlight w:val="black"/>
        </w:rPr>
        <w:t>''''''''''''</w:t>
      </w:r>
      <w:r w:rsidRPr="000D5FE2">
        <w:t xml:space="preserve"> months versus 8.5 months in post docetaxel trial evidence.</w:t>
      </w:r>
      <w:bookmarkEnd w:id="28"/>
      <w:bookmarkEnd w:id="29"/>
    </w:p>
    <w:p w:rsidR="006126DD" w:rsidRDefault="006126DD" w:rsidP="006126DD">
      <w:pPr>
        <w:widowControl/>
        <w:rPr>
          <w:szCs w:val="22"/>
        </w:rPr>
      </w:pPr>
    </w:p>
    <w:p w:rsidR="00BB1E94" w:rsidRDefault="00BB1E94" w:rsidP="00A95CFC">
      <w:pPr>
        <w:pStyle w:val="ListParagraph"/>
        <w:widowControl/>
        <w:numPr>
          <w:ilvl w:val="1"/>
          <w:numId w:val="2"/>
        </w:numPr>
        <w:rPr>
          <w:szCs w:val="22"/>
        </w:rPr>
      </w:pPr>
      <w:r w:rsidRPr="00A95CFC">
        <w:rPr>
          <w:iCs/>
        </w:rPr>
        <w:t>Additional</w:t>
      </w:r>
      <w:r>
        <w:rPr>
          <w:szCs w:val="22"/>
        </w:rPr>
        <w:t xml:space="preserve"> issues raised by DUSC were also noted:</w:t>
      </w:r>
    </w:p>
    <w:p w:rsidR="00BB1E94" w:rsidRPr="00BB1E94" w:rsidRDefault="00BB1E94" w:rsidP="00BB1E94">
      <w:pPr>
        <w:pStyle w:val="ListParagraph"/>
        <w:widowControl/>
        <w:numPr>
          <w:ilvl w:val="1"/>
          <w:numId w:val="25"/>
        </w:numPr>
        <w:ind w:left="1134" w:hanging="425"/>
        <w:rPr>
          <w:szCs w:val="24"/>
        </w:rPr>
      </w:pPr>
      <w:r w:rsidRPr="00BB1E94">
        <w:rPr>
          <w:szCs w:val="24"/>
        </w:rPr>
        <w:t xml:space="preserve">The uptake rates were assumed to be </w:t>
      </w:r>
      <w:r w:rsidRPr="000E4494">
        <w:rPr>
          <w:szCs w:val="24"/>
        </w:rPr>
        <w:t>60</w:t>
      </w:r>
      <w:r w:rsidRPr="00BB1E94">
        <w:rPr>
          <w:szCs w:val="24"/>
        </w:rPr>
        <w:t xml:space="preserve">% in the first listing year plateauing at </w:t>
      </w:r>
      <w:r w:rsidRPr="000E4494">
        <w:rPr>
          <w:szCs w:val="24"/>
        </w:rPr>
        <w:t>80</w:t>
      </w:r>
      <w:r w:rsidRPr="00BB1E94">
        <w:rPr>
          <w:szCs w:val="24"/>
        </w:rPr>
        <w:t xml:space="preserve">% from the third year of listing. DUSC considered that the treatment uptake </w:t>
      </w:r>
      <w:r w:rsidRPr="00BB1E94">
        <w:rPr>
          <w:szCs w:val="24"/>
        </w:rPr>
        <w:lastRenderedPageBreak/>
        <w:t>assumptions were likely to have been underestimated based on experience with the high uptake of enzalutamide in the post-chemotherapy setting and clinical experience with this agent;</w:t>
      </w:r>
    </w:p>
    <w:p w:rsidR="00BB1E94" w:rsidRPr="00BB1E94" w:rsidRDefault="00BB1E94" w:rsidP="00BB1E94">
      <w:pPr>
        <w:pStyle w:val="BodyText"/>
        <w:numPr>
          <w:ilvl w:val="0"/>
          <w:numId w:val="24"/>
        </w:numPr>
        <w:ind w:left="1134" w:hanging="425"/>
        <w:rPr>
          <w:szCs w:val="24"/>
        </w:rPr>
      </w:pPr>
      <w:r w:rsidRPr="00BB1E94">
        <w:rPr>
          <w:szCs w:val="24"/>
        </w:rPr>
        <w:t xml:space="preserve">Prescribers may use non-opioid analgesia in order to access enzalutamide which may result in suboptimal pain management for some patients; and </w:t>
      </w:r>
    </w:p>
    <w:p w:rsidR="00BB1E94" w:rsidRPr="00BB1E94" w:rsidRDefault="00BB1E94" w:rsidP="00BB1E94">
      <w:pPr>
        <w:pStyle w:val="BodyText"/>
        <w:numPr>
          <w:ilvl w:val="0"/>
          <w:numId w:val="24"/>
        </w:numPr>
        <w:ind w:left="1134" w:hanging="425"/>
        <w:rPr>
          <w:szCs w:val="24"/>
        </w:rPr>
      </w:pPr>
      <w:r w:rsidRPr="00BB1E94">
        <w:rPr>
          <w:szCs w:val="24"/>
        </w:rPr>
        <w:t>Asymptomatic patients who progress on enzalutamide and who are ineligible for chemotherapy were not explicitly considered in the proposed treatment algorithm. It is unclear whether these patients would be precluded from further treatment with abiraterone or enzalutamide.</w:t>
      </w:r>
    </w:p>
    <w:p w:rsidR="00BB1E94" w:rsidRDefault="00BB1E94" w:rsidP="00BB1E94">
      <w:pPr>
        <w:widowControl/>
        <w:ind w:left="720"/>
        <w:rPr>
          <w:szCs w:val="22"/>
        </w:rPr>
      </w:pPr>
    </w:p>
    <w:p w:rsidR="006126DD" w:rsidRPr="000D5FE2" w:rsidRDefault="006126DD" w:rsidP="00EB23C1">
      <w:pPr>
        <w:pStyle w:val="ListParagraph"/>
        <w:widowControl/>
        <w:numPr>
          <w:ilvl w:val="1"/>
          <w:numId w:val="2"/>
        </w:numPr>
        <w:rPr>
          <w:szCs w:val="22"/>
        </w:rPr>
      </w:pPr>
      <w:r w:rsidRPr="000D5FE2">
        <w:rPr>
          <w:iCs/>
        </w:rPr>
        <w:t xml:space="preserve">As a sensitivity analysis, limiting the maximum duration of post docetaxel enzalutamide or abiraterone to 8 months in the watchful waiting arm in-line with trial evidence increased the net cost over 5 years to </w:t>
      </w:r>
      <w:r w:rsidR="005F3FDF">
        <w:rPr>
          <w:iCs/>
        </w:rPr>
        <w:t>more than $100 million</w:t>
      </w:r>
      <w:r w:rsidRPr="000D5FE2">
        <w:rPr>
          <w:iCs/>
        </w:rPr>
        <w:t xml:space="preserve"> (+</w:t>
      </w:r>
      <w:r w:rsidRPr="00DB44C5">
        <w:rPr>
          <w:iCs/>
        </w:rPr>
        <w:t>78.87</w:t>
      </w:r>
      <w:r w:rsidRPr="000D5FE2">
        <w:rPr>
          <w:iCs/>
        </w:rPr>
        <w:t xml:space="preserve">%), compared to the base case estimate of </w:t>
      </w:r>
      <w:r w:rsidR="005F3FDF">
        <w:rPr>
          <w:iCs/>
        </w:rPr>
        <w:t>more than $100 million</w:t>
      </w:r>
      <w:r w:rsidRPr="000D5FE2">
        <w:rPr>
          <w:iCs/>
        </w:rPr>
        <w:t>.</w:t>
      </w:r>
    </w:p>
    <w:p w:rsidR="00654F5A" w:rsidRPr="000D5FE2" w:rsidRDefault="00654F5A" w:rsidP="00654F5A">
      <w:pPr>
        <w:pStyle w:val="ListParagraph"/>
        <w:widowControl/>
        <w:rPr>
          <w:szCs w:val="22"/>
        </w:rPr>
      </w:pPr>
    </w:p>
    <w:p w:rsidR="00654F5A" w:rsidRPr="000D5FE2" w:rsidRDefault="001D3CA4" w:rsidP="00654F5A">
      <w:pPr>
        <w:pStyle w:val="ListParagraph"/>
        <w:widowControl/>
        <w:numPr>
          <w:ilvl w:val="1"/>
          <w:numId w:val="2"/>
        </w:numPr>
        <w:rPr>
          <w:szCs w:val="22"/>
        </w:rPr>
      </w:pPr>
      <w:r w:rsidRPr="000D5FE2">
        <w:rPr>
          <w:szCs w:val="22"/>
        </w:rPr>
        <w:t>Based on the revisions to the economic model provided in the p</w:t>
      </w:r>
      <w:r w:rsidR="00654F5A" w:rsidRPr="000D5FE2">
        <w:rPr>
          <w:szCs w:val="22"/>
        </w:rPr>
        <w:t xml:space="preserve">re-PBAC response and </w:t>
      </w:r>
      <w:r w:rsidRPr="000D5FE2">
        <w:rPr>
          <w:szCs w:val="22"/>
        </w:rPr>
        <w:t xml:space="preserve">the </w:t>
      </w:r>
      <w:r w:rsidR="009278D7">
        <w:rPr>
          <w:noProof/>
          <w:color w:val="000000"/>
          <w:szCs w:val="22"/>
          <w:highlight w:val="black"/>
        </w:rPr>
        <w:t>''''''</w:t>
      </w:r>
      <w:r w:rsidR="00654F5A" w:rsidRPr="000D5FE2">
        <w:rPr>
          <w:szCs w:val="22"/>
        </w:rPr>
        <w:t xml:space="preserve">% price </w:t>
      </w:r>
      <w:r w:rsidRPr="000D5FE2">
        <w:rPr>
          <w:szCs w:val="22"/>
        </w:rPr>
        <w:t xml:space="preserve">reduction </w:t>
      </w:r>
      <w:r w:rsidR="00654F5A" w:rsidRPr="000D5FE2">
        <w:rPr>
          <w:szCs w:val="22"/>
        </w:rPr>
        <w:t>offer</w:t>
      </w:r>
      <w:r w:rsidRPr="000D5FE2">
        <w:rPr>
          <w:szCs w:val="22"/>
        </w:rPr>
        <w:t>ed</w:t>
      </w:r>
      <w:r w:rsidR="00654F5A" w:rsidRPr="000D5FE2">
        <w:rPr>
          <w:szCs w:val="22"/>
        </w:rPr>
        <w:t xml:space="preserve">, the </w:t>
      </w:r>
      <w:r w:rsidR="00DE6CEC" w:rsidRPr="000D5FE2">
        <w:rPr>
          <w:szCs w:val="22"/>
        </w:rPr>
        <w:t>c</w:t>
      </w:r>
      <w:r w:rsidR="00654F5A" w:rsidRPr="000D5FE2">
        <w:rPr>
          <w:szCs w:val="22"/>
        </w:rPr>
        <w:t>ost to the PBS/RPBS for 1</w:t>
      </w:r>
      <w:r w:rsidR="00654F5A" w:rsidRPr="000D5FE2">
        <w:rPr>
          <w:szCs w:val="22"/>
          <w:vertAlign w:val="superscript"/>
        </w:rPr>
        <w:t>st</w:t>
      </w:r>
      <w:r w:rsidR="00654F5A" w:rsidRPr="000D5FE2">
        <w:rPr>
          <w:szCs w:val="22"/>
        </w:rPr>
        <w:t xml:space="preserve"> line enzalutamide was revised:</w:t>
      </w:r>
    </w:p>
    <w:p w:rsidR="001B2BFD" w:rsidRPr="000D5FE2" w:rsidRDefault="001B2BFD" w:rsidP="00654F5A">
      <w:pPr>
        <w:pStyle w:val="ListParagraph"/>
        <w:widowControl/>
        <w:rPr>
          <w:szCs w:val="22"/>
        </w:rPr>
      </w:pPr>
    </w:p>
    <w:p w:rsidR="00654F5A" w:rsidRPr="000D5FE2" w:rsidRDefault="001B2BFD" w:rsidP="001B2BFD">
      <w:pPr>
        <w:ind w:firstLine="709"/>
        <w:rPr>
          <w:rStyle w:val="CommentReference"/>
        </w:rPr>
      </w:pPr>
      <w:r w:rsidRPr="000D5FE2">
        <w:rPr>
          <w:rStyle w:val="CommentReference"/>
        </w:rPr>
        <w:t>Table 10: revised estimated financial implications</w:t>
      </w:r>
    </w:p>
    <w:tbl>
      <w:tblPr>
        <w:tblStyle w:val="TableGrid"/>
        <w:tblW w:w="4524" w:type="pct"/>
        <w:tblInd w:w="817" w:type="dxa"/>
        <w:tblLayout w:type="fixed"/>
        <w:tblLook w:val="04A0" w:firstRow="1" w:lastRow="0" w:firstColumn="1" w:lastColumn="0" w:noHBand="0" w:noVBand="1"/>
        <w:tblCaption w:val="Table 10: revised estimated financial implications"/>
      </w:tblPr>
      <w:tblGrid>
        <w:gridCol w:w="2554"/>
        <w:gridCol w:w="1132"/>
        <w:gridCol w:w="1136"/>
        <w:gridCol w:w="1134"/>
        <w:gridCol w:w="1132"/>
        <w:gridCol w:w="1274"/>
      </w:tblGrid>
      <w:tr w:rsidR="00654F5A" w:rsidRPr="000D5FE2" w:rsidTr="000373A3">
        <w:trPr>
          <w:trHeight w:val="127"/>
          <w:tblHeader/>
        </w:trPr>
        <w:tc>
          <w:tcPr>
            <w:tcW w:w="1527" w:type="pct"/>
            <w:shd w:val="clear" w:color="auto" w:fill="auto"/>
          </w:tcPr>
          <w:p w:rsidR="00654F5A" w:rsidRPr="000D5FE2" w:rsidRDefault="00654F5A" w:rsidP="00DE6CEC">
            <w:pPr>
              <w:tabs>
                <w:tab w:val="left" w:pos="142"/>
              </w:tabs>
              <w:ind w:right="93"/>
              <w:jc w:val="left"/>
              <w:rPr>
                <w:rFonts w:ascii="Arial Narrow" w:hAnsi="Arial Narrow"/>
                <w:b/>
                <w:sz w:val="20"/>
              </w:rPr>
            </w:pPr>
            <w:r w:rsidRPr="000D5FE2">
              <w:rPr>
                <w:rFonts w:ascii="Arial Narrow" w:hAnsi="Arial Narrow"/>
                <w:b/>
                <w:bCs/>
                <w:sz w:val="20"/>
              </w:rPr>
              <w:t xml:space="preserve">Estimated </w:t>
            </w:r>
            <w:r w:rsidR="00DE6CEC" w:rsidRPr="000D5FE2">
              <w:rPr>
                <w:rFonts w:ascii="Arial Narrow" w:hAnsi="Arial Narrow"/>
                <w:b/>
                <w:bCs/>
                <w:sz w:val="20"/>
              </w:rPr>
              <w:t>co</w:t>
            </w:r>
            <w:r w:rsidRPr="000D5FE2">
              <w:rPr>
                <w:rFonts w:ascii="Arial Narrow" w:hAnsi="Arial Narrow"/>
                <w:b/>
                <w:bCs/>
                <w:sz w:val="20"/>
              </w:rPr>
              <w:t>st to PBS/RPBS</w:t>
            </w:r>
          </w:p>
        </w:tc>
        <w:tc>
          <w:tcPr>
            <w:tcW w:w="677" w:type="pct"/>
            <w:shd w:val="clear" w:color="auto" w:fill="auto"/>
          </w:tcPr>
          <w:p w:rsidR="00654F5A" w:rsidRPr="000D5FE2" w:rsidRDefault="00654F5A" w:rsidP="001D3CA4">
            <w:pPr>
              <w:tabs>
                <w:tab w:val="left" w:pos="142"/>
              </w:tabs>
              <w:ind w:right="93"/>
              <w:jc w:val="left"/>
              <w:rPr>
                <w:rFonts w:ascii="Arial Narrow" w:hAnsi="Arial Narrow"/>
                <w:b/>
                <w:sz w:val="20"/>
              </w:rPr>
            </w:pPr>
            <w:r w:rsidRPr="000D5FE2">
              <w:rPr>
                <w:rFonts w:ascii="Arial Narrow" w:hAnsi="Arial Narrow"/>
                <w:b/>
                <w:sz w:val="20"/>
              </w:rPr>
              <w:t>Year 1</w:t>
            </w:r>
          </w:p>
        </w:tc>
        <w:tc>
          <w:tcPr>
            <w:tcW w:w="679" w:type="pct"/>
            <w:shd w:val="clear" w:color="auto" w:fill="auto"/>
          </w:tcPr>
          <w:p w:rsidR="00654F5A" w:rsidRPr="000D5FE2" w:rsidRDefault="00654F5A" w:rsidP="001D3CA4">
            <w:pPr>
              <w:tabs>
                <w:tab w:val="left" w:pos="142"/>
              </w:tabs>
              <w:ind w:right="93"/>
              <w:jc w:val="left"/>
              <w:rPr>
                <w:rFonts w:ascii="Arial Narrow" w:hAnsi="Arial Narrow"/>
                <w:b/>
                <w:sz w:val="20"/>
              </w:rPr>
            </w:pPr>
            <w:r w:rsidRPr="000D5FE2">
              <w:rPr>
                <w:rFonts w:ascii="Arial Narrow" w:hAnsi="Arial Narrow"/>
                <w:b/>
                <w:sz w:val="20"/>
              </w:rPr>
              <w:t>Year 2</w:t>
            </w:r>
          </w:p>
        </w:tc>
        <w:tc>
          <w:tcPr>
            <w:tcW w:w="678" w:type="pct"/>
            <w:shd w:val="clear" w:color="auto" w:fill="auto"/>
          </w:tcPr>
          <w:p w:rsidR="00654F5A" w:rsidRPr="000D5FE2" w:rsidRDefault="00654F5A" w:rsidP="001D3CA4">
            <w:pPr>
              <w:tabs>
                <w:tab w:val="left" w:pos="142"/>
              </w:tabs>
              <w:ind w:right="93"/>
              <w:jc w:val="left"/>
              <w:rPr>
                <w:rFonts w:ascii="Arial Narrow" w:hAnsi="Arial Narrow"/>
                <w:b/>
                <w:sz w:val="20"/>
              </w:rPr>
            </w:pPr>
            <w:r w:rsidRPr="000D5FE2">
              <w:rPr>
                <w:rFonts w:ascii="Arial Narrow" w:hAnsi="Arial Narrow"/>
                <w:b/>
                <w:sz w:val="20"/>
              </w:rPr>
              <w:t>Year 3</w:t>
            </w:r>
          </w:p>
        </w:tc>
        <w:tc>
          <w:tcPr>
            <w:tcW w:w="677" w:type="pct"/>
            <w:shd w:val="clear" w:color="auto" w:fill="auto"/>
          </w:tcPr>
          <w:p w:rsidR="00654F5A" w:rsidRPr="000D5FE2" w:rsidRDefault="00654F5A" w:rsidP="001D3CA4">
            <w:pPr>
              <w:tabs>
                <w:tab w:val="left" w:pos="142"/>
              </w:tabs>
              <w:ind w:right="93"/>
              <w:jc w:val="left"/>
              <w:rPr>
                <w:rFonts w:ascii="Arial Narrow" w:hAnsi="Arial Narrow"/>
                <w:b/>
                <w:sz w:val="20"/>
              </w:rPr>
            </w:pPr>
            <w:r w:rsidRPr="000D5FE2">
              <w:rPr>
                <w:rFonts w:ascii="Arial Narrow" w:hAnsi="Arial Narrow"/>
                <w:b/>
                <w:sz w:val="20"/>
              </w:rPr>
              <w:t>Year 4</w:t>
            </w:r>
          </w:p>
        </w:tc>
        <w:tc>
          <w:tcPr>
            <w:tcW w:w="762" w:type="pct"/>
            <w:shd w:val="clear" w:color="auto" w:fill="auto"/>
          </w:tcPr>
          <w:p w:rsidR="00654F5A" w:rsidRPr="000D5FE2" w:rsidRDefault="00654F5A" w:rsidP="001D3CA4">
            <w:pPr>
              <w:tabs>
                <w:tab w:val="left" w:pos="142"/>
              </w:tabs>
              <w:ind w:right="93"/>
              <w:jc w:val="left"/>
              <w:rPr>
                <w:rFonts w:ascii="Arial Narrow" w:hAnsi="Arial Narrow"/>
                <w:b/>
                <w:sz w:val="20"/>
              </w:rPr>
            </w:pPr>
            <w:r w:rsidRPr="000D5FE2">
              <w:rPr>
                <w:rFonts w:ascii="Arial Narrow" w:hAnsi="Arial Narrow"/>
                <w:b/>
                <w:sz w:val="20"/>
              </w:rPr>
              <w:t>Year 5</w:t>
            </w:r>
          </w:p>
        </w:tc>
      </w:tr>
      <w:tr w:rsidR="00654F5A" w:rsidRPr="000D5FE2" w:rsidTr="001D3CA4">
        <w:tc>
          <w:tcPr>
            <w:tcW w:w="1527" w:type="pct"/>
          </w:tcPr>
          <w:p w:rsidR="00654F5A" w:rsidRPr="000D5FE2" w:rsidRDefault="00654F5A" w:rsidP="001D3CA4">
            <w:pPr>
              <w:tabs>
                <w:tab w:val="left" w:pos="142"/>
              </w:tabs>
              <w:ind w:right="93"/>
              <w:jc w:val="left"/>
              <w:rPr>
                <w:rFonts w:ascii="Arial Narrow" w:hAnsi="Arial Narrow"/>
                <w:sz w:val="20"/>
              </w:rPr>
            </w:pPr>
            <w:r w:rsidRPr="000D5FE2">
              <w:rPr>
                <w:rFonts w:ascii="Arial Narrow" w:hAnsi="Arial Narrow"/>
                <w:sz w:val="20"/>
              </w:rPr>
              <w:t>March 2017 submission</w:t>
            </w:r>
          </w:p>
        </w:tc>
        <w:tc>
          <w:tcPr>
            <w:tcW w:w="677" w:type="pct"/>
            <w:vAlign w:val="bottom"/>
          </w:tcPr>
          <w:p w:rsidR="00654F5A" w:rsidRPr="000D5FE2" w:rsidRDefault="00654F5A" w:rsidP="001D3CA4">
            <w:pPr>
              <w:tabs>
                <w:tab w:val="left" w:pos="1025"/>
              </w:tabs>
              <w:jc w:val="center"/>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c>
          <w:tcPr>
            <w:tcW w:w="679" w:type="pct"/>
            <w:vAlign w:val="bottom"/>
          </w:tcPr>
          <w:p w:rsidR="00654F5A" w:rsidRPr="000D5FE2" w:rsidRDefault="00654F5A" w:rsidP="001D3CA4">
            <w:pPr>
              <w:tabs>
                <w:tab w:val="left" w:pos="142"/>
              </w:tabs>
              <w:jc w:val="left"/>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c>
          <w:tcPr>
            <w:tcW w:w="678" w:type="pct"/>
            <w:vAlign w:val="bottom"/>
          </w:tcPr>
          <w:p w:rsidR="00654F5A" w:rsidRPr="000D5FE2" w:rsidRDefault="00654F5A" w:rsidP="001D3CA4">
            <w:pPr>
              <w:tabs>
                <w:tab w:val="left" w:pos="142"/>
              </w:tabs>
              <w:jc w:val="left"/>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c>
          <w:tcPr>
            <w:tcW w:w="677" w:type="pct"/>
            <w:vAlign w:val="bottom"/>
          </w:tcPr>
          <w:p w:rsidR="00654F5A" w:rsidRPr="000D5FE2" w:rsidRDefault="00654F5A" w:rsidP="001D3CA4">
            <w:pPr>
              <w:tabs>
                <w:tab w:val="left" w:pos="142"/>
              </w:tabs>
              <w:ind w:right="-108"/>
              <w:jc w:val="left"/>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c>
          <w:tcPr>
            <w:tcW w:w="762" w:type="pct"/>
            <w:vAlign w:val="bottom"/>
          </w:tcPr>
          <w:p w:rsidR="00654F5A" w:rsidRPr="000D5FE2" w:rsidRDefault="00654F5A" w:rsidP="001D3CA4">
            <w:pPr>
              <w:tabs>
                <w:tab w:val="left" w:pos="142"/>
              </w:tabs>
              <w:jc w:val="left"/>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r>
      <w:tr w:rsidR="00654F5A" w:rsidRPr="000D5FE2" w:rsidTr="001D3CA4">
        <w:tc>
          <w:tcPr>
            <w:tcW w:w="1527" w:type="pct"/>
          </w:tcPr>
          <w:p w:rsidR="00654F5A" w:rsidRPr="000D5FE2" w:rsidRDefault="00654F5A" w:rsidP="001D3CA4">
            <w:pPr>
              <w:tabs>
                <w:tab w:val="left" w:pos="142"/>
              </w:tabs>
              <w:ind w:right="93"/>
              <w:jc w:val="left"/>
              <w:rPr>
                <w:rFonts w:ascii="Arial Narrow" w:hAnsi="Arial Narrow"/>
                <w:sz w:val="20"/>
              </w:rPr>
            </w:pPr>
            <w:r w:rsidRPr="000D5FE2">
              <w:rPr>
                <w:rFonts w:ascii="Arial Narrow" w:hAnsi="Arial Narrow"/>
                <w:sz w:val="20"/>
              </w:rPr>
              <w:t>Pre-PBAC response revised estimates</w:t>
            </w:r>
          </w:p>
        </w:tc>
        <w:tc>
          <w:tcPr>
            <w:tcW w:w="677" w:type="pct"/>
          </w:tcPr>
          <w:p w:rsidR="00654F5A" w:rsidRPr="000D5FE2" w:rsidRDefault="00654F5A" w:rsidP="001D3CA4">
            <w:pPr>
              <w:tabs>
                <w:tab w:val="left" w:pos="142"/>
              </w:tabs>
              <w:jc w:val="left"/>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c>
          <w:tcPr>
            <w:tcW w:w="679" w:type="pct"/>
          </w:tcPr>
          <w:p w:rsidR="00654F5A" w:rsidRPr="000D5FE2" w:rsidRDefault="00654F5A" w:rsidP="001D3CA4">
            <w:pPr>
              <w:tabs>
                <w:tab w:val="left" w:pos="142"/>
              </w:tabs>
              <w:jc w:val="left"/>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c>
          <w:tcPr>
            <w:tcW w:w="678" w:type="pct"/>
          </w:tcPr>
          <w:p w:rsidR="00654F5A" w:rsidRPr="000D5FE2" w:rsidRDefault="00654F5A" w:rsidP="001D3CA4">
            <w:pPr>
              <w:tabs>
                <w:tab w:val="left" w:pos="142"/>
              </w:tabs>
              <w:jc w:val="left"/>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c>
          <w:tcPr>
            <w:tcW w:w="677" w:type="pct"/>
          </w:tcPr>
          <w:p w:rsidR="00654F5A" w:rsidRPr="000D5FE2" w:rsidRDefault="00654F5A" w:rsidP="001D3CA4">
            <w:pPr>
              <w:tabs>
                <w:tab w:val="left" w:pos="142"/>
              </w:tabs>
              <w:jc w:val="left"/>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c>
          <w:tcPr>
            <w:tcW w:w="762" w:type="pct"/>
          </w:tcPr>
          <w:p w:rsidR="00654F5A" w:rsidRPr="000D5FE2" w:rsidRDefault="00654F5A" w:rsidP="001D3CA4">
            <w:pPr>
              <w:tabs>
                <w:tab w:val="left" w:pos="142"/>
              </w:tabs>
              <w:jc w:val="left"/>
              <w:rPr>
                <w:rFonts w:ascii="Arial Narrow" w:hAnsi="Arial Narrow"/>
                <w:sz w:val="20"/>
              </w:rPr>
            </w:pPr>
            <w:r w:rsidRPr="000D5FE2">
              <w:rPr>
                <w:rFonts w:ascii="Arial Narrow" w:hAnsi="Arial Narrow"/>
                <w:sz w:val="20"/>
              </w:rPr>
              <w:t>$</w:t>
            </w:r>
            <w:r w:rsidR="009278D7">
              <w:rPr>
                <w:rFonts w:ascii="Arial Narrow" w:hAnsi="Arial Narrow"/>
                <w:noProof/>
                <w:color w:val="000000"/>
                <w:sz w:val="20"/>
                <w:highlight w:val="black"/>
              </w:rPr>
              <w:t>''''''''''''''''''''''''''</w:t>
            </w:r>
          </w:p>
        </w:tc>
      </w:tr>
    </w:tbl>
    <w:p w:rsidR="00654F5A" w:rsidRDefault="00654F5A" w:rsidP="00654F5A">
      <w:pPr>
        <w:tabs>
          <w:tab w:val="left" w:pos="142"/>
        </w:tabs>
        <w:ind w:right="93"/>
        <w:jc w:val="left"/>
        <w:rPr>
          <w:rFonts w:ascii="Arial Narrow" w:hAnsi="Arial Narrow"/>
          <w:b/>
          <w:sz w:val="20"/>
        </w:rPr>
      </w:pPr>
      <w:r w:rsidRPr="000D5FE2">
        <w:rPr>
          <w:rFonts w:ascii="Arial Narrow" w:hAnsi="Arial Narrow"/>
          <w:b/>
          <w:sz w:val="20"/>
        </w:rPr>
        <w:t xml:space="preserve"> </w:t>
      </w:r>
    </w:p>
    <w:p w:rsidR="00262659" w:rsidRDefault="00262659" w:rsidP="00262659">
      <w:pPr>
        <w:tabs>
          <w:tab w:val="left" w:pos="142"/>
        </w:tabs>
        <w:ind w:left="720" w:right="93"/>
        <w:jc w:val="left"/>
        <w:rPr>
          <w:szCs w:val="22"/>
        </w:rPr>
      </w:pPr>
      <w:r w:rsidRPr="00262659">
        <w:rPr>
          <w:szCs w:val="22"/>
        </w:rPr>
        <w:t>The redacted table shows that at year 5, the revised estimated net cost to the PBS in the pre-PBAC response would be $60 - $100 million.</w:t>
      </w:r>
    </w:p>
    <w:p w:rsidR="00262659" w:rsidRPr="00262659" w:rsidRDefault="00262659" w:rsidP="00654F5A">
      <w:pPr>
        <w:tabs>
          <w:tab w:val="left" w:pos="142"/>
        </w:tabs>
        <w:ind w:right="93"/>
        <w:jc w:val="left"/>
        <w:rPr>
          <w:szCs w:val="22"/>
        </w:rPr>
      </w:pPr>
    </w:p>
    <w:p w:rsidR="00654F5A" w:rsidRPr="000D5FE2" w:rsidRDefault="00654F5A" w:rsidP="00654F5A">
      <w:pPr>
        <w:pStyle w:val="ListParagraph"/>
        <w:widowControl/>
        <w:numPr>
          <w:ilvl w:val="1"/>
          <w:numId w:val="2"/>
        </w:numPr>
        <w:rPr>
          <w:szCs w:val="22"/>
        </w:rPr>
      </w:pPr>
      <w:r w:rsidRPr="000D5FE2">
        <w:rPr>
          <w:szCs w:val="22"/>
        </w:rPr>
        <w:t xml:space="preserve">To manage uncertainties raised by DUSC with respect to the estimates of patient numbers, uptake rates and cost-offsets, the pre-PBAC response offered a </w:t>
      </w:r>
      <w:r w:rsidR="009278D7">
        <w:rPr>
          <w:noProof/>
          <w:color w:val="000000"/>
          <w:szCs w:val="22"/>
          <w:highlight w:val="black"/>
        </w:rPr>
        <w:t>''''''</w:t>
      </w:r>
      <w:r w:rsidRPr="000D5FE2">
        <w:rPr>
          <w:szCs w:val="22"/>
        </w:rPr>
        <w:t>% rebate on PBS expenditure above the caps, based on the revised estimates in the table above.</w:t>
      </w:r>
    </w:p>
    <w:p w:rsidR="001D3CA4" w:rsidRPr="000D5FE2" w:rsidRDefault="001D3CA4" w:rsidP="001D3CA4">
      <w:pPr>
        <w:pStyle w:val="ListParagraph"/>
        <w:widowControl/>
        <w:rPr>
          <w:szCs w:val="22"/>
        </w:rPr>
      </w:pPr>
    </w:p>
    <w:p w:rsidR="00B73550" w:rsidRPr="00B73550" w:rsidRDefault="00654F5A" w:rsidP="001229CB">
      <w:pPr>
        <w:numPr>
          <w:ilvl w:val="1"/>
          <w:numId w:val="2"/>
        </w:numPr>
        <w:rPr>
          <w:bCs/>
        </w:rPr>
      </w:pPr>
      <w:r w:rsidRPr="000D5FE2">
        <w:rPr>
          <w:szCs w:val="22"/>
        </w:rPr>
        <w:t xml:space="preserve">The PBAC noted the revised </w:t>
      </w:r>
      <w:r w:rsidR="00850D88" w:rsidRPr="000D5FE2">
        <w:rPr>
          <w:szCs w:val="22"/>
        </w:rPr>
        <w:t xml:space="preserve">financial </w:t>
      </w:r>
      <w:r w:rsidRPr="000D5FE2">
        <w:rPr>
          <w:szCs w:val="22"/>
        </w:rPr>
        <w:t>estimates unreasonably exclude symptomatic patients.</w:t>
      </w:r>
      <w:r w:rsidR="001B2BFD" w:rsidRPr="000D5FE2">
        <w:rPr>
          <w:szCs w:val="22"/>
        </w:rPr>
        <w:t xml:space="preserve"> </w:t>
      </w:r>
    </w:p>
    <w:p w:rsidR="00B73550" w:rsidRDefault="00B73550" w:rsidP="00B73550">
      <w:pPr>
        <w:pStyle w:val="ListParagraph"/>
        <w:rPr>
          <w:bCs/>
        </w:rPr>
      </w:pPr>
    </w:p>
    <w:p w:rsidR="00220913" w:rsidRDefault="00220913" w:rsidP="001229CB">
      <w:pPr>
        <w:numPr>
          <w:ilvl w:val="1"/>
          <w:numId w:val="2"/>
        </w:numPr>
        <w:rPr>
          <w:bCs/>
        </w:rPr>
      </w:pPr>
      <w:r w:rsidRPr="000D5FE2">
        <w:rPr>
          <w:bCs/>
        </w:rPr>
        <w:t xml:space="preserve">The PBAC did not consider the </w:t>
      </w:r>
      <w:r w:rsidR="009278D7">
        <w:rPr>
          <w:bCs/>
          <w:noProof/>
          <w:color w:val="000000"/>
          <w:highlight w:val="black"/>
        </w:rPr>
        <w:t>'''''''</w:t>
      </w:r>
      <w:r w:rsidRPr="000D5FE2">
        <w:rPr>
          <w:bCs/>
        </w:rPr>
        <w:t xml:space="preserve">% rebate offered in the pre-PBAC response would adequately address the </w:t>
      </w:r>
      <w:r w:rsidR="002642EF">
        <w:rPr>
          <w:bCs/>
        </w:rPr>
        <w:t xml:space="preserve">uncertainties raised by DUSC and the </w:t>
      </w:r>
      <w:r w:rsidRPr="000D5FE2">
        <w:rPr>
          <w:bCs/>
        </w:rPr>
        <w:t xml:space="preserve">financial risk </w:t>
      </w:r>
      <w:r w:rsidR="001D3CA4" w:rsidRPr="000D5FE2">
        <w:rPr>
          <w:bCs/>
        </w:rPr>
        <w:t xml:space="preserve">of </w:t>
      </w:r>
      <w:r w:rsidR="002642EF">
        <w:rPr>
          <w:bCs/>
        </w:rPr>
        <w:t xml:space="preserve">use beyond </w:t>
      </w:r>
      <w:r w:rsidR="00FB65C0">
        <w:rPr>
          <w:bCs/>
        </w:rPr>
        <w:t xml:space="preserve">that assessed for cost-effectiveness and </w:t>
      </w:r>
      <w:r w:rsidR="00B73550">
        <w:rPr>
          <w:bCs/>
        </w:rPr>
        <w:t xml:space="preserve">outside of the </w:t>
      </w:r>
      <w:r w:rsidR="0042697E">
        <w:rPr>
          <w:bCs/>
        </w:rPr>
        <w:t xml:space="preserve">restriction (use </w:t>
      </w:r>
      <w:r w:rsidR="00FB65C0">
        <w:rPr>
          <w:bCs/>
        </w:rPr>
        <w:t>beyond</w:t>
      </w:r>
      <w:r w:rsidR="0042697E">
        <w:rPr>
          <w:bCs/>
        </w:rPr>
        <w:t xml:space="preserve"> disease progression, </w:t>
      </w:r>
      <w:r w:rsidR="00FB65C0" w:rsidRPr="00FB65C0">
        <w:rPr>
          <w:bCs/>
        </w:rPr>
        <w:t xml:space="preserve">sequential use </w:t>
      </w:r>
      <w:r w:rsidR="00FB65C0">
        <w:rPr>
          <w:bCs/>
        </w:rPr>
        <w:t xml:space="preserve">or </w:t>
      </w:r>
      <w:r w:rsidR="0042697E">
        <w:rPr>
          <w:bCs/>
        </w:rPr>
        <w:t>retreatment, use in patients with WHO performance status greater than 1)</w:t>
      </w:r>
      <w:r w:rsidR="00FB65C0">
        <w:rPr>
          <w:bCs/>
        </w:rPr>
        <w:t>. T</w:t>
      </w:r>
      <w:r w:rsidRPr="000D5FE2">
        <w:rPr>
          <w:bCs/>
        </w:rPr>
        <w:t xml:space="preserve">he </w:t>
      </w:r>
      <w:r w:rsidR="00FB65C0">
        <w:rPr>
          <w:bCs/>
        </w:rPr>
        <w:t>PBAC considered that risk-shar</w:t>
      </w:r>
      <w:r w:rsidR="004E522F">
        <w:rPr>
          <w:bCs/>
        </w:rPr>
        <w:t>ing arrangement</w:t>
      </w:r>
      <w:r w:rsidR="001229CB">
        <w:rPr>
          <w:bCs/>
        </w:rPr>
        <w:t xml:space="preserve">s should take account of the once in a lifetime use, either by merging </w:t>
      </w:r>
      <w:r w:rsidRPr="000D5FE2">
        <w:rPr>
          <w:bCs/>
        </w:rPr>
        <w:t xml:space="preserve">caps for both </w:t>
      </w:r>
      <w:r w:rsidR="001D3CA4" w:rsidRPr="000D5FE2">
        <w:rPr>
          <w:bCs/>
        </w:rPr>
        <w:t>pre- and post-</w:t>
      </w:r>
      <w:r w:rsidR="008C2C79" w:rsidRPr="000D5FE2">
        <w:rPr>
          <w:bCs/>
        </w:rPr>
        <w:t>docetaxel</w:t>
      </w:r>
      <w:r w:rsidR="001D3CA4" w:rsidRPr="000D5FE2">
        <w:rPr>
          <w:bCs/>
        </w:rPr>
        <w:t xml:space="preserve"> </w:t>
      </w:r>
      <w:r w:rsidRPr="000D5FE2">
        <w:rPr>
          <w:bCs/>
        </w:rPr>
        <w:t>settings</w:t>
      </w:r>
      <w:r w:rsidR="001229CB">
        <w:rPr>
          <w:bCs/>
        </w:rPr>
        <w:t xml:space="preserve"> or </w:t>
      </w:r>
      <w:r w:rsidRPr="000D5FE2">
        <w:rPr>
          <w:bCs/>
        </w:rPr>
        <w:t xml:space="preserve"> </w:t>
      </w:r>
      <w:r w:rsidR="001229CB">
        <w:rPr>
          <w:bCs/>
        </w:rPr>
        <w:t xml:space="preserve">reducing the caps for the </w:t>
      </w:r>
      <w:r w:rsidR="001229CB" w:rsidRPr="001229CB">
        <w:rPr>
          <w:bCs/>
        </w:rPr>
        <w:t xml:space="preserve">existing RSA for the post-docetaxel setting in accordance with the </w:t>
      </w:r>
      <w:r w:rsidR="00B73550">
        <w:rPr>
          <w:bCs/>
        </w:rPr>
        <w:t xml:space="preserve">modelled </w:t>
      </w:r>
      <w:r w:rsidR="001229CB" w:rsidRPr="001229CB">
        <w:rPr>
          <w:bCs/>
        </w:rPr>
        <w:t>cost-offsets</w:t>
      </w:r>
      <w:r w:rsidR="00B73550">
        <w:rPr>
          <w:bCs/>
        </w:rPr>
        <w:t xml:space="preserve">. </w:t>
      </w:r>
      <w:r w:rsidR="001229CB" w:rsidRPr="001229CB">
        <w:rPr>
          <w:bCs/>
        </w:rPr>
        <w:t xml:space="preserve"> </w:t>
      </w:r>
      <w:r w:rsidRPr="000D5FE2">
        <w:rPr>
          <w:bCs/>
        </w:rPr>
        <w:t xml:space="preserve"> The total financial caps for the group of three drugs (enzalutamide, abiraterone and </w:t>
      </w:r>
      <w:r w:rsidR="008C2C79" w:rsidRPr="000D5FE2">
        <w:rPr>
          <w:bCs/>
        </w:rPr>
        <w:t>cabazitaxel</w:t>
      </w:r>
      <w:r w:rsidRPr="000D5FE2">
        <w:rPr>
          <w:bCs/>
        </w:rPr>
        <w:t>) should be based on the percentage proposed use pre-docetaxel and post-docetaxel (accounting for different duration of therapy in the pre- and post-</w:t>
      </w:r>
      <w:r w:rsidR="00850D88" w:rsidRPr="000D5FE2">
        <w:rPr>
          <w:bCs/>
        </w:rPr>
        <w:t xml:space="preserve">docetaxel </w:t>
      </w:r>
      <w:r w:rsidRPr="000D5FE2">
        <w:rPr>
          <w:bCs/>
        </w:rPr>
        <w:t>setting</w:t>
      </w:r>
      <w:r w:rsidR="00850D88" w:rsidRPr="000D5FE2">
        <w:rPr>
          <w:bCs/>
        </w:rPr>
        <w:t>s</w:t>
      </w:r>
      <w:r w:rsidRPr="000D5FE2">
        <w:rPr>
          <w:bCs/>
        </w:rPr>
        <w:t xml:space="preserve">). The PBAC proposed a </w:t>
      </w:r>
      <w:r w:rsidRPr="00857D3C">
        <w:rPr>
          <w:bCs/>
        </w:rPr>
        <w:t>100</w:t>
      </w:r>
      <w:r w:rsidRPr="000D5FE2">
        <w:rPr>
          <w:bCs/>
        </w:rPr>
        <w:t xml:space="preserve">% rebate be considered beyond the total cap, given the increase in total expenditure from the earlier line of treatment, </w:t>
      </w:r>
      <w:r w:rsidRPr="000D5FE2">
        <w:rPr>
          <w:bCs/>
        </w:rPr>
        <w:lastRenderedPageBreak/>
        <w:t>with longer duration of therapies.</w:t>
      </w:r>
    </w:p>
    <w:p w:rsidR="001B2AFB" w:rsidRDefault="001B2AFB" w:rsidP="001B2AFB">
      <w:pPr>
        <w:pStyle w:val="ListParagraph"/>
        <w:rPr>
          <w:bCs/>
        </w:rPr>
      </w:pPr>
    </w:p>
    <w:p w:rsidR="001B2AFB" w:rsidRPr="000D5FE2" w:rsidRDefault="001B2AFB" w:rsidP="001B2AFB">
      <w:pPr>
        <w:ind w:firstLine="720"/>
        <w:rPr>
          <w:bCs/>
          <w:szCs w:val="22"/>
        </w:rPr>
      </w:pPr>
      <w:r w:rsidRPr="000D5FE2">
        <w:rPr>
          <w:bCs/>
          <w:i/>
          <w:szCs w:val="22"/>
        </w:rPr>
        <w:t>For more detail on PBAC’s view, see section 7 “PBAC outcome”</w:t>
      </w:r>
    </w:p>
    <w:p w:rsidR="00EB23C1" w:rsidRPr="000D5FE2" w:rsidRDefault="00EB23C1" w:rsidP="00EB23C1">
      <w:pPr>
        <w:rPr>
          <w:rStyle w:val="IntenseReference"/>
          <w:b w:val="0"/>
          <w:bCs w:val="0"/>
          <w:i/>
          <w:smallCaps w:val="0"/>
        </w:rPr>
      </w:pPr>
    </w:p>
    <w:p w:rsidR="00EB23C1" w:rsidRPr="008A445B" w:rsidRDefault="00EB23C1" w:rsidP="008A445B">
      <w:pPr>
        <w:pStyle w:val="PBACheading1"/>
        <w:rPr>
          <w:b/>
        </w:rPr>
      </w:pPr>
      <w:r w:rsidRPr="008A445B">
        <w:rPr>
          <w:b/>
        </w:rPr>
        <w:t>PBAC Outcome</w:t>
      </w:r>
    </w:p>
    <w:p w:rsidR="00EB23C1" w:rsidRPr="000D5FE2" w:rsidRDefault="00EB23C1" w:rsidP="00EB23C1">
      <w:pPr>
        <w:rPr>
          <w:b/>
          <w:bCs/>
          <w:highlight w:val="yellow"/>
        </w:rPr>
      </w:pPr>
    </w:p>
    <w:p w:rsidR="00EB23C1" w:rsidRPr="000D5FE2" w:rsidRDefault="00A77EC0" w:rsidP="00EB23C1">
      <w:pPr>
        <w:numPr>
          <w:ilvl w:val="1"/>
          <w:numId w:val="2"/>
        </w:numPr>
        <w:rPr>
          <w:bCs/>
        </w:rPr>
      </w:pPr>
      <w:r w:rsidRPr="000D5FE2">
        <w:rPr>
          <w:bCs/>
        </w:rPr>
        <w:t>The PBAC deferred recommend</w:t>
      </w:r>
      <w:r w:rsidR="00100034" w:rsidRPr="000D5FE2">
        <w:rPr>
          <w:bCs/>
        </w:rPr>
        <w:t>ing</w:t>
      </w:r>
      <w:r w:rsidRPr="000D5FE2">
        <w:rPr>
          <w:bCs/>
        </w:rPr>
        <w:t xml:space="preserve"> </w:t>
      </w:r>
      <w:r w:rsidR="00100034" w:rsidRPr="000D5FE2">
        <w:rPr>
          <w:bCs/>
        </w:rPr>
        <w:t xml:space="preserve">an extended PBS </w:t>
      </w:r>
      <w:r w:rsidRPr="000D5FE2">
        <w:rPr>
          <w:bCs/>
        </w:rPr>
        <w:t>list</w:t>
      </w:r>
      <w:r w:rsidR="00100034" w:rsidRPr="000D5FE2">
        <w:rPr>
          <w:bCs/>
        </w:rPr>
        <w:t>ing for</w:t>
      </w:r>
      <w:r w:rsidRPr="000D5FE2">
        <w:rPr>
          <w:bCs/>
        </w:rPr>
        <w:t xml:space="preserve"> enzalutamide for the treatment of </w:t>
      </w:r>
      <w:r w:rsidR="002B363A" w:rsidRPr="000D5FE2">
        <w:rPr>
          <w:bCs/>
        </w:rPr>
        <w:t xml:space="preserve">metastatic </w:t>
      </w:r>
      <w:r w:rsidRPr="000D5FE2">
        <w:rPr>
          <w:bCs/>
        </w:rPr>
        <w:t>castra</w:t>
      </w:r>
      <w:r w:rsidR="002B363A" w:rsidRPr="000D5FE2">
        <w:rPr>
          <w:bCs/>
        </w:rPr>
        <w:t>te-resistant prostate cancer</w:t>
      </w:r>
      <w:r w:rsidR="004E33A9" w:rsidRPr="000D5FE2">
        <w:rPr>
          <w:bCs/>
        </w:rPr>
        <w:t xml:space="preserve"> (mCRPC)</w:t>
      </w:r>
      <w:r w:rsidR="00100034" w:rsidRPr="000D5FE2">
        <w:rPr>
          <w:bCs/>
        </w:rPr>
        <w:t xml:space="preserve"> prior to docetaxe</w:t>
      </w:r>
      <w:r w:rsidR="0066596E" w:rsidRPr="000D5FE2">
        <w:rPr>
          <w:bCs/>
        </w:rPr>
        <w:t>l,</w:t>
      </w:r>
      <w:r w:rsidR="00100034" w:rsidRPr="000D5FE2">
        <w:rPr>
          <w:bCs/>
        </w:rPr>
        <w:t xml:space="preserve"> on the basis of </w:t>
      </w:r>
      <w:r w:rsidR="00250170" w:rsidRPr="000D5FE2">
        <w:rPr>
          <w:bCs/>
        </w:rPr>
        <w:t>requiring</w:t>
      </w:r>
      <w:r w:rsidR="00E30F6F" w:rsidRPr="000D5FE2">
        <w:rPr>
          <w:bCs/>
        </w:rPr>
        <w:t>:</w:t>
      </w:r>
      <w:r w:rsidR="00250170" w:rsidRPr="000D5FE2">
        <w:rPr>
          <w:bCs/>
        </w:rPr>
        <w:t xml:space="preserve"> </w:t>
      </w:r>
      <w:r w:rsidR="00F725C3" w:rsidRPr="000D5FE2">
        <w:rPr>
          <w:bCs/>
        </w:rPr>
        <w:t xml:space="preserve">a </w:t>
      </w:r>
      <w:r w:rsidR="00DE6CEC" w:rsidRPr="000D5FE2">
        <w:rPr>
          <w:bCs/>
        </w:rPr>
        <w:t xml:space="preserve">more appropriate assumption of </w:t>
      </w:r>
      <w:r w:rsidR="00E30F6F" w:rsidRPr="000D5FE2">
        <w:rPr>
          <w:bCs/>
        </w:rPr>
        <w:t xml:space="preserve">the </w:t>
      </w:r>
      <w:r w:rsidR="00DE6CEC" w:rsidRPr="000D5FE2">
        <w:rPr>
          <w:bCs/>
        </w:rPr>
        <w:t>duration of post-docetaxel treatments in the watchful waiting arm of the model</w:t>
      </w:r>
      <w:r w:rsidR="00E30F6F" w:rsidRPr="000D5FE2">
        <w:rPr>
          <w:bCs/>
        </w:rPr>
        <w:t>,</w:t>
      </w:r>
      <w:r w:rsidR="00DE6CEC" w:rsidRPr="000D5FE2">
        <w:rPr>
          <w:bCs/>
        </w:rPr>
        <w:t xml:space="preserve"> </w:t>
      </w:r>
      <w:r w:rsidR="00E30F6F" w:rsidRPr="000D5FE2">
        <w:rPr>
          <w:bCs/>
        </w:rPr>
        <w:t>which requires</w:t>
      </w:r>
      <w:r w:rsidR="00DE6CEC" w:rsidRPr="000D5FE2">
        <w:rPr>
          <w:bCs/>
        </w:rPr>
        <w:t xml:space="preserve"> a further price reduction</w:t>
      </w:r>
      <w:r w:rsidR="00E30F6F" w:rsidRPr="000D5FE2">
        <w:rPr>
          <w:bCs/>
        </w:rPr>
        <w:t xml:space="preserve"> to maintain an acceptable ICER;</w:t>
      </w:r>
      <w:r w:rsidR="00DE6CEC" w:rsidRPr="000D5FE2">
        <w:rPr>
          <w:bCs/>
        </w:rPr>
        <w:t xml:space="preserve"> </w:t>
      </w:r>
      <w:r w:rsidR="00F725C3" w:rsidRPr="000D5FE2">
        <w:rPr>
          <w:bCs/>
        </w:rPr>
        <w:t>a broadening of the proposed restriction to include symptomatic patients</w:t>
      </w:r>
      <w:r w:rsidR="00E30F6F" w:rsidRPr="000D5FE2">
        <w:rPr>
          <w:bCs/>
        </w:rPr>
        <w:t>;</w:t>
      </w:r>
      <w:r w:rsidR="00F725C3" w:rsidRPr="000D5FE2">
        <w:rPr>
          <w:bCs/>
        </w:rPr>
        <w:t xml:space="preserve"> and a review of the financial estimates to </w:t>
      </w:r>
      <w:r w:rsidR="0066596E" w:rsidRPr="000D5FE2">
        <w:rPr>
          <w:bCs/>
        </w:rPr>
        <w:t>provide</w:t>
      </w:r>
      <w:r w:rsidR="00F725C3" w:rsidRPr="000D5FE2">
        <w:rPr>
          <w:bCs/>
        </w:rPr>
        <w:t xml:space="preserve"> a </w:t>
      </w:r>
      <w:r w:rsidR="0066596E" w:rsidRPr="000D5FE2">
        <w:rPr>
          <w:bCs/>
        </w:rPr>
        <w:t xml:space="preserve">basis for a </w:t>
      </w:r>
      <w:r w:rsidR="00F725C3" w:rsidRPr="000D5FE2">
        <w:rPr>
          <w:bCs/>
        </w:rPr>
        <w:t>meaningful risk share arrangement to cover treatments in the pre- and post-docetaxel settings.</w:t>
      </w:r>
    </w:p>
    <w:p w:rsidR="00F725C3" w:rsidRPr="000D5FE2" w:rsidRDefault="00F725C3" w:rsidP="00F725C3">
      <w:pPr>
        <w:ind w:left="720"/>
        <w:rPr>
          <w:bCs/>
        </w:rPr>
      </w:pPr>
    </w:p>
    <w:p w:rsidR="00EB23C1" w:rsidRPr="000D5FE2" w:rsidRDefault="0018005C" w:rsidP="0066596E">
      <w:pPr>
        <w:numPr>
          <w:ilvl w:val="1"/>
          <w:numId w:val="2"/>
        </w:numPr>
        <w:rPr>
          <w:bCs/>
        </w:rPr>
      </w:pPr>
      <w:r w:rsidRPr="000D5FE2">
        <w:rPr>
          <w:bCs/>
        </w:rPr>
        <w:t>The proposed PBS restriction limit</w:t>
      </w:r>
      <w:r w:rsidR="00CA5B26" w:rsidRPr="000D5FE2">
        <w:rPr>
          <w:bCs/>
        </w:rPr>
        <w:t>ed</w:t>
      </w:r>
      <w:r w:rsidRPr="000D5FE2">
        <w:rPr>
          <w:bCs/>
        </w:rPr>
        <w:t xml:space="preserve"> treatment in the pre-docetaxel setting to asymptomatic patients</w:t>
      </w:r>
      <w:r w:rsidR="00CA5B26" w:rsidRPr="000D5FE2">
        <w:rPr>
          <w:bCs/>
        </w:rPr>
        <w:t>,</w:t>
      </w:r>
      <w:r w:rsidRPr="000D5FE2">
        <w:rPr>
          <w:bCs/>
        </w:rPr>
        <w:t xml:space="preserve"> defined on the basis of a lack of opioid use for cancer pain</w:t>
      </w:r>
      <w:r w:rsidR="00CA5B26" w:rsidRPr="000D5FE2">
        <w:rPr>
          <w:bCs/>
        </w:rPr>
        <w:t>.</w:t>
      </w:r>
      <w:r w:rsidRPr="000D5FE2">
        <w:rPr>
          <w:bCs/>
        </w:rPr>
        <w:t xml:space="preserve"> </w:t>
      </w:r>
      <w:r w:rsidR="00CA5B26" w:rsidRPr="000D5FE2">
        <w:rPr>
          <w:bCs/>
        </w:rPr>
        <w:t xml:space="preserve">The PBAC considered this </w:t>
      </w:r>
      <w:r w:rsidRPr="000D5FE2">
        <w:rPr>
          <w:bCs/>
        </w:rPr>
        <w:t xml:space="preserve">was unworkable and inappropriate. </w:t>
      </w:r>
      <w:r w:rsidR="002B363A" w:rsidRPr="000D5FE2">
        <w:rPr>
          <w:bCs/>
        </w:rPr>
        <w:t xml:space="preserve">The PBAC </w:t>
      </w:r>
      <w:r w:rsidR="0066596E" w:rsidRPr="000D5FE2">
        <w:rPr>
          <w:bCs/>
        </w:rPr>
        <w:t>noted the pre-PBAC response (</w:t>
      </w:r>
      <w:r w:rsidRPr="000D5FE2">
        <w:rPr>
          <w:bCs/>
        </w:rPr>
        <w:t>p1)</w:t>
      </w:r>
      <w:r w:rsidR="0066596E" w:rsidRPr="000D5FE2">
        <w:rPr>
          <w:bCs/>
        </w:rPr>
        <w:t xml:space="preserve"> </w:t>
      </w:r>
      <w:r w:rsidRPr="000D5FE2">
        <w:rPr>
          <w:bCs/>
        </w:rPr>
        <w:t>highlighted that</w:t>
      </w:r>
      <w:r w:rsidR="0066596E" w:rsidRPr="000D5FE2">
        <w:rPr>
          <w:bCs/>
        </w:rPr>
        <w:t xml:space="preserve"> </w:t>
      </w:r>
      <w:r w:rsidRPr="000D5FE2">
        <w:rPr>
          <w:bCs/>
        </w:rPr>
        <w:t>treatment guidelines for first-line treatment of mCRPC differed for asymptomatic and symptomatic patients</w:t>
      </w:r>
      <w:r w:rsidR="0066596E" w:rsidRPr="000D5FE2">
        <w:rPr>
          <w:bCs/>
        </w:rPr>
        <w:t xml:space="preserve"> </w:t>
      </w:r>
      <w:r w:rsidR="003E0826">
        <w:rPr>
          <w:bCs/>
        </w:rPr>
        <w:t>as outlined in</w:t>
      </w:r>
      <w:r w:rsidR="003E0826" w:rsidRPr="000D5FE2">
        <w:rPr>
          <w:bCs/>
        </w:rPr>
        <w:t xml:space="preserve"> </w:t>
      </w:r>
      <w:r w:rsidR="0066596E" w:rsidRPr="000D5FE2">
        <w:rPr>
          <w:bCs/>
        </w:rPr>
        <w:t>the 2015 NCCN guidelines</w:t>
      </w:r>
      <w:r w:rsidRPr="000D5FE2">
        <w:rPr>
          <w:bCs/>
        </w:rPr>
        <w:t>. However, the PBAC</w:t>
      </w:r>
      <w:r w:rsidR="0066596E" w:rsidRPr="000D5FE2">
        <w:rPr>
          <w:bCs/>
        </w:rPr>
        <w:t xml:space="preserve"> </w:t>
      </w:r>
      <w:r w:rsidR="002B363A" w:rsidRPr="000D5FE2">
        <w:rPr>
          <w:bCs/>
        </w:rPr>
        <w:t>agreed with the ESC</w:t>
      </w:r>
      <w:r w:rsidR="005A4C05" w:rsidRPr="000D5FE2">
        <w:rPr>
          <w:bCs/>
        </w:rPr>
        <w:t xml:space="preserve"> and DUSC</w:t>
      </w:r>
      <w:r w:rsidR="002B363A" w:rsidRPr="000D5FE2">
        <w:rPr>
          <w:bCs/>
        </w:rPr>
        <w:t xml:space="preserve"> that no </w:t>
      </w:r>
      <w:r w:rsidRPr="000D5FE2">
        <w:rPr>
          <w:bCs/>
        </w:rPr>
        <w:t xml:space="preserve">strong </w:t>
      </w:r>
      <w:r w:rsidR="002B363A" w:rsidRPr="000D5FE2">
        <w:rPr>
          <w:bCs/>
        </w:rPr>
        <w:t xml:space="preserve">clinical reasoning was provided for </w:t>
      </w:r>
      <w:r w:rsidR="00ED05B9" w:rsidRPr="000D5FE2">
        <w:rPr>
          <w:bCs/>
        </w:rPr>
        <w:t xml:space="preserve">a PBS listing that </w:t>
      </w:r>
      <w:r w:rsidR="002B363A" w:rsidRPr="000D5FE2">
        <w:rPr>
          <w:bCs/>
        </w:rPr>
        <w:t>exclud</w:t>
      </w:r>
      <w:r w:rsidR="00ED05B9" w:rsidRPr="000D5FE2">
        <w:rPr>
          <w:bCs/>
        </w:rPr>
        <w:t>es</w:t>
      </w:r>
      <w:r w:rsidR="002B363A" w:rsidRPr="000D5FE2">
        <w:rPr>
          <w:bCs/>
        </w:rPr>
        <w:t xml:space="preserve"> symptomatic patients, and that it </w:t>
      </w:r>
      <w:r w:rsidR="00ED05B9" w:rsidRPr="000D5FE2">
        <w:rPr>
          <w:bCs/>
        </w:rPr>
        <w:t xml:space="preserve">would </w:t>
      </w:r>
      <w:r w:rsidR="002B363A" w:rsidRPr="000D5FE2">
        <w:rPr>
          <w:bCs/>
        </w:rPr>
        <w:t xml:space="preserve">create inequity, particularly as the PBAC previously considered that </w:t>
      </w:r>
      <w:r w:rsidR="00C2424C">
        <w:rPr>
          <w:bCs/>
        </w:rPr>
        <w:t xml:space="preserve">some </w:t>
      </w:r>
      <w:r w:rsidR="002B363A" w:rsidRPr="000D5FE2">
        <w:rPr>
          <w:bCs/>
        </w:rPr>
        <w:t xml:space="preserve">symptomatic patients </w:t>
      </w:r>
      <w:r w:rsidR="00C2424C">
        <w:rPr>
          <w:bCs/>
        </w:rPr>
        <w:t>may prefer to</w:t>
      </w:r>
      <w:r w:rsidR="002B363A" w:rsidRPr="000D5FE2">
        <w:rPr>
          <w:bCs/>
        </w:rPr>
        <w:t xml:space="preserve"> delay chemotherapy</w:t>
      </w:r>
      <w:r w:rsidR="00C2424C">
        <w:rPr>
          <w:bCs/>
        </w:rPr>
        <w:t xml:space="preserve"> until after treatment with an oral agent</w:t>
      </w:r>
      <w:r w:rsidR="002B363A" w:rsidRPr="000D5FE2">
        <w:rPr>
          <w:bCs/>
        </w:rPr>
        <w:t>.</w:t>
      </w:r>
      <w:r w:rsidR="00B45999" w:rsidRPr="000D5FE2">
        <w:rPr>
          <w:bCs/>
        </w:rPr>
        <w:t xml:space="preserve"> The PBAC recommended that the </w:t>
      </w:r>
      <w:r w:rsidR="00ED05B9" w:rsidRPr="000D5FE2">
        <w:rPr>
          <w:bCs/>
        </w:rPr>
        <w:t>PBS restriction specify treatment in the pre-doc</w:t>
      </w:r>
      <w:r w:rsidR="004E781A" w:rsidRPr="000D5FE2">
        <w:rPr>
          <w:bCs/>
        </w:rPr>
        <w:t>e</w:t>
      </w:r>
      <w:r w:rsidR="00ED05B9" w:rsidRPr="000D5FE2">
        <w:rPr>
          <w:bCs/>
        </w:rPr>
        <w:t>taxel setting without refer</w:t>
      </w:r>
      <w:r w:rsidR="002F4CB2" w:rsidRPr="000D5FE2">
        <w:rPr>
          <w:bCs/>
        </w:rPr>
        <w:t>ring</w:t>
      </w:r>
      <w:r w:rsidR="00ED05B9" w:rsidRPr="000D5FE2">
        <w:rPr>
          <w:bCs/>
        </w:rPr>
        <w:t xml:space="preserve"> to symptoms</w:t>
      </w:r>
      <w:r w:rsidR="002F4CB2" w:rsidRPr="000D5FE2">
        <w:rPr>
          <w:bCs/>
        </w:rPr>
        <w:t xml:space="preserve">, </w:t>
      </w:r>
      <w:r w:rsidR="00ED05B9" w:rsidRPr="000D5FE2">
        <w:rPr>
          <w:bCs/>
        </w:rPr>
        <w:t>leav</w:t>
      </w:r>
      <w:r w:rsidR="002F4CB2" w:rsidRPr="000D5FE2">
        <w:rPr>
          <w:bCs/>
        </w:rPr>
        <w:t>ing</w:t>
      </w:r>
      <w:r w:rsidR="00ED05B9" w:rsidRPr="000D5FE2">
        <w:rPr>
          <w:bCs/>
        </w:rPr>
        <w:t xml:space="preserve"> clinicians to decide</w:t>
      </w:r>
      <w:r w:rsidR="002F4CB2" w:rsidRPr="000D5FE2">
        <w:rPr>
          <w:bCs/>
        </w:rPr>
        <w:t xml:space="preserve"> </w:t>
      </w:r>
      <w:r w:rsidR="000C3061" w:rsidRPr="000D5FE2">
        <w:rPr>
          <w:bCs/>
        </w:rPr>
        <w:t>wh</w:t>
      </w:r>
      <w:r w:rsidR="000C3061">
        <w:rPr>
          <w:bCs/>
        </w:rPr>
        <w:t>en</w:t>
      </w:r>
      <w:r w:rsidR="000C3061" w:rsidRPr="000D5FE2">
        <w:rPr>
          <w:bCs/>
        </w:rPr>
        <w:t xml:space="preserve"> </w:t>
      </w:r>
      <w:r w:rsidR="00ED05B9" w:rsidRPr="000D5FE2">
        <w:rPr>
          <w:bCs/>
        </w:rPr>
        <w:t xml:space="preserve">treatment </w:t>
      </w:r>
      <w:r w:rsidR="00C2424C">
        <w:rPr>
          <w:bCs/>
        </w:rPr>
        <w:t xml:space="preserve">should be initiated. </w:t>
      </w:r>
    </w:p>
    <w:p w:rsidR="002F4CB2" w:rsidRPr="000D5FE2" w:rsidRDefault="002F4CB2" w:rsidP="002F4CB2">
      <w:pPr>
        <w:ind w:left="720"/>
        <w:rPr>
          <w:bCs/>
        </w:rPr>
      </w:pPr>
    </w:p>
    <w:p w:rsidR="002F4CB2" w:rsidRPr="000D5FE2" w:rsidRDefault="002F4CB2" w:rsidP="002F4CB2">
      <w:pPr>
        <w:numPr>
          <w:ilvl w:val="1"/>
          <w:numId w:val="2"/>
        </w:numPr>
        <w:rPr>
          <w:bCs/>
        </w:rPr>
      </w:pPr>
      <w:r w:rsidRPr="000D5FE2">
        <w:rPr>
          <w:bCs/>
        </w:rPr>
        <w:t xml:space="preserve">The PBAC agreed with the request to retain the current ‘once in a lifetime’ </w:t>
      </w:r>
      <w:r w:rsidR="00250170" w:rsidRPr="000D5FE2">
        <w:rPr>
          <w:bCs/>
        </w:rPr>
        <w:t>criteria</w:t>
      </w:r>
      <w:r w:rsidRPr="000D5FE2">
        <w:rPr>
          <w:bCs/>
        </w:rPr>
        <w:t xml:space="preserve"> in the PBS restriction which would mean the use of enzalutamide prior to chemotherapy would preclude treatment with enzalutamide or abiraterone after chemotherapy.</w:t>
      </w:r>
      <w:r w:rsidR="000C3061">
        <w:rPr>
          <w:bCs/>
        </w:rPr>
        <w:t xml:space="preserve"> The post-docetaxel restrictions for abiraterone and enzalutamide would need to be updated to make this clear. </w:t>
      </w:r>
      <w:r w:rsidRPr="000D5FE2">
        <w:rPr>
          <w:bCs/>
        </w:rPr>
        <w:t xml:space="preserve"> </w:t>
      </w:r>
      <w:r w:rsidR="00A0496A">
        <w:rPr>
          <w:bCs/>
        </w:rPr>
        <w:t xml:space="preserve">Any proposal for </w:t>
      </w:r>
      <w:r w:rsidR="000C3061">
        <w:rPr>
          <w:bCs/>
        </w:rPr>
        <w:t xml:space="preserve">retreatment </w:t>
      </w:r>
      <w:r w:rsidR="00A0496A">
        <w:rPr>
          <w:bCs/>
        </w:rPr>
        <w:t xml:space="preserve">with these agents would require </w:t>
      </w:r>
      <w:r w:rsidR="00250170" w:rsidRPr="000D5FE2">
        <w:rPr>
          <w:bCs/>
        </w:rPr>
        <w:t>new data.</w:t>
      </w:r>
    </w:p>
    <w:p w:rsidR="00EB23C1" w:rsidRPr="000D5FE2" w:rsidRDefault="00EB23C1" w:rsidP="00EB23C1">
      <w:pPr>
        <w:rPr>
          <w:bCs/>
        </w:rPr>
      </w:pPr>
    </w:p>
    <w:p w:rsidR="00EB23C1" w:rsidRPr="000D5FE2" w:rsidRDefault="002B363A" w:rsidP="00EB23C1">
      <w:pPr>
        <w:numPr>
          <w:ilvl w:val="1"/>
          <w:numId w:val="2"/>
        </w:numPr>
        <w:rPr>
          <w:bCs/>
        </w:rPr>
      </w:pPr>
      <w:r w:rsidRPr="000D5FE2">
        <w:rPr>
          <w:bCs/>
        </w:rPr>
        <w:t>The PBAC</w:t>
      </w:r>
      <w:r w:rsidR="00B45999" w:rsidRPr="000D5FE2">
        <w:rPr>
          <w:bCs/>
        </w:rPr>
        <w:t xml:space="preserve"> agreed with the ESC that</w:t>
      </w:r>
      <w:r w:rsidRPr="000D5FE2">
        <w:rPr>
          <w:bCs/>
        </w:rPr>
        <w:t xml:space="preserve"> watchful waiting (or active surveillance) was the appropriate comparator for this submission.</w:t>
      </w:r>
    </w:p>
    <w:p w:rsidR="00CA5B26" w:rsidRPr="000D5FE2" w:rsidRDefault="00CA5B26" w:rsidP="00CA5B26">
      <w:pPr>
        <w:ind w:left="720"/>
        <w:rPr>
          <w:bCs/>
        </w:rPr>
      </w:pPr>
    </w:p>
    <w:p w:rsidR="00151A15" w:rsidRPr="000D5FE2" w:rsidRDefault="004E33A9" w:rsidP="00EB23C1">
      <w:pPr>
        <w:numPr>
          <w:ilvl w:val="1"/>
          <w:numId w:val="2"/>
        </w:numPr>
        <w:rPr>
          <w:bCs/>
        </w:rPr>
      </w:pPr>
      <w:r w:rsidRPr="000D5FE2">
        <w:rPr>
          <w:bCs/>
        </w:rPr>
        <w:t xml:space="preserve">The PBAC noted the </w:t>
      </w:r>
      <w:r w:rsidRPr="000D5FE2">
        <w:rPr>
          <w:szCs w:val="22"/>
        </w:rPr>
        <w:t xml:space="preserve">secondary and exploratory (post-hoc) outcomes in PREVAIL supported maintaining better quality of life </w:t>
      </w:r>
      <w:r w:rsidR="001F4DEB" w:rsidRPr="000D5FE2">
        <w:rPr>
          <w:szCs w:val="22"/>
        </w:rPr>
        <w:t xml:space="preserve">for longer </w:t>
      </w:r>
      <w:r w:rsidR="00CA5B26" w:rsidRPr="000D5FE2">
        <w:rPr>
          <w:szCs w:val="22"/>
        </w:rPr>
        <w:t>with earlier enzalutamide treatment</w:t>
      </w:r>
      <w:r w:rsidRPr="000D5FE2">
        <w:rPr>
          <w:szCs w:val="22"/>
        </w:rPr>
        <w:t xml:space="preserve"> </w:t>
      </w:r>
      <w:r w:rsidR="00CA5B26" w:rsidRPr="000D5FE2">
        <w:rPr>
          <w:szCs w:val="22"/>
        </w:rPr>
        <w:t>in</w:t>
      </w:r>
      <w:r w:rsidRPr="000D5FE2">
        <w:rPr>
          <w:szCs w:val="22"/>
        </w:rPr>
        <w:t xml:space="preserve"> mCRPC</w:t>
      </w:r>
      <w:r w:rsidR="00850D88" w:rsidRPr="000D5FE2">
        <w:rPr>
          <w:szCs w:val="22"/>
        </w:rPr>
        <w:t>.</w:t>
      </w:r>
      <w:r w:rsidRPr="000D5FE2">
        <w:rPr>
          <w:szCs w:val="22"/>
        </w:rPr>
        <w:t xml:space="preserve"> </w:t>
      </w:r>
      <w:r w:rsidR="00151A15" w:rsidRPr="000D5FE2">
        <w:rPr>
          <w:bCs/>
        </w:rPr>
        <w:t>The PBAC noted that significant increases in additional time</w:t>
      </w:r>
      <w:r w:rsidR="008F0051" w:rsidRPr="000D5FE2">
        <w:rPr>
          <w:bCs/>
        </w:rPr>
        <w:t>:</w:t>
      </w:r>
      <w:r w:rsidR="00151A15" w:rsidRPr="000D5FE2">
        <w:rPr>
          <w:bCs/>
        </w:rPr>
        <w:t xml:space="preserve"> before initiation of cytotoxic chemotherapy</w:t>
      </w:r>
      <w:r w:rsidR="008F0051" w:rsidRPr="000D5FE2">
        <w:rPr>
          <w:bCs/>
        </w:rPr>
        <w:t>;</w:t>
      </w:r>
      <w:r w:rsidR="00151A15" w:rsidRPr="000D5FE2">
        <w:rPr>
          <w:bCs/>
        </w:rPr>
        <w:t xml:space="preserve"> before onset of cancer pain</w:t>
      </w:r>
      <w:r w:rsidR="008F0051" w:rsidRPr="000D5FE2">
        <w:rPr>
          <w:bCs/>
        </w:rPr>
        <w:t>;</w:t>
      </w:r>
      <w:r w:rsidR="00151A15" w:rsidRPr="000D5FE2">
        <w:rPr>
          <w:bCs/>
        </w:rPr>
        <w:t xml:space="preserve"> and </w:t>
      </w:r>
      <w:r w:rsidR="00E30F6F" w:rsidRPr="000D5FE2">
        <w:rPr>
          <w:bCs/>
        </w:rPr>
        <w:t>to discontinuation of initial therapy</w:t>
      </w:r>
      <w:r w:rsidR="00151A15" w:rsidRPr="000D5FE2">
        <w:rPr>
          <w:bCs/>
        </w:rPr>
        <w:t xml:space="preserve"> were observed in patients treated with enzalutamide versus </w:t>
      </w:r>
      <w:r w:rsidR="00E30F6F" w:rsidRPr="000D5FE2">
        <w:rPr>
          <w:bCs/>
        </w:rPr>
        <w:t>placebo (</w:t>
      </w:r>
      <w:r w:rsidR="00151A15" w:rsidRPr="000D5FE2">
        <w:rPr>
          <w:bCs/>
        </w:rPr>
        <w:t>watchful waiting</w:t>
      </w:r>
      <w:r w:rsidR="00E30F6F" w:rsidRPr="000D5FE2">
        <w:rPr>
          <w:bCs/>
        </w:rPr>
        <w:t>)</w:t>
      </w:r>
      <w:r w:rsidR="00151A15" w:rsidRPr="000D5FE2">
        <w:rPr>
          <w:bCs/>
        </w:rPr>
        <w:t xml:space="preserve"> in the PREVAIL trial. The PBAC considered that the claim of superior </w:t>
      </w:r>
      <w:r w:rsidR="00A0496A">
        <w:rPr>
          <w:bCs/>
        </w:rPr>
        <w:t xml:space="preserve">(albeit modest) </w:t>
      </w:r>
      <w:r w:rsidR="00151A15" w:rsidRPr="000D5FE2">
        <w:rPr>
          <w:bCs/>
        </w:rPr>
        <w:t xml:space="preserve">comparative effectiveness </w:t>
      </w:r>
      <w:r w:rsidR="00CA5B26" w:rsidRPr="000D5FE2">
        <w:rPr>
          <w:bCs/>
        </w:rPr>
        <w:t xml:space="preserve">in relation to quality of life outcomes </w:t>
      </w:r>
      <w:r w:rsidR="00151A15" w:rsidRPr="000D5FE2">
        <w:rPr>
          <w:bCs/>
        </w:rPr>
        <w:t>was reasonable.</w:t>
      </w:r>
    </w:p>
    <w:p w:rsidR="009A7A69" w:rsidRPr="000D5FE2" w:rsidRDefault="009A7A69" w:rsidP="009A7A69">
      <w:pPr>
        <w:ind w:left="720"/>
        <w:rPr>
          <w:bCs/>
        </w:rPr>
      </w:pPr>
    </w:p>
    <w:p w:rsidR="00850D88" w:rsidRPr="000D5FE2" w:rsidRDefault="00850D88" w:rsidP="00850D88">
      <w:pPr>
        <w:numPr>
          <w:ilvl w:val="1"/>
          <w:numId w:val="2"/>
        </w:numPr>
        <w:rPr>
          <w:bCs/>
        </w:rPr>
      </w:pPr>
      <w:r w:rsidRPr="000D5FE2">
        <w:rPr>
          <w:bCs/>
        </w:rPr>
        <w:t xml:space="preserve">The PBAC agreed with the ESC that time to initiation of cytotoxic chemotherapy may not </w:t>
      </w:r>
      <w:r w:rsidR="006511F4" w:rsidRPr="000D5FE2">
        <w:rPr>
          <w:bCs/>
        </w:rPr>
        <w:t>adequately capture</w:t>
      </w:r>
      <w:r w:rsidRPr="000D5FE2">
        <w:rPr>
          <w:bCs/>
        </w:rPr>
        <w:t xml:space="preserve"> the benefits of earlier enzalutamide treatment in asymptomatic patients, </w:t>
      </w:r>
      <w:r w:rsidR="00E30F6F" w:rsidRPr="000D5FE2">
        <w:rPr>
          <w:bCs/>
        </w:rPr>
        <w:t>which would include delaying skeletal events and bone pain</w:t>
      </w:r>
      <w:r w:rsidR="008C2C79">
        <w:rPr>
          <w:bCs/>
        </w:rPr>
        <w:t xml:space="preserve">. This </w:t>
      </w:r>
      <w:r w:rsidR="006511F4" w:rsidRPr="000D5FE2">
        <w:rPr>
          <w:bCs/>
        </w:rPr>
        <w:t xml:space="preserve">may </w:t>
      </w:r>
      <w:r w:rsidRPr="000D5FE2">
        <w:rPr>
          <w:bCs/>
        </w:rPr>
        <w:t>overestimate the cost-effectiveness of enzalutamide</w:t>
      </w:r>
      <w:r w:rsidR="00E30F6F" w:rsidRPr="000D5FE2">
        <w:rPr>
          <w:bCs/>
        </w:rPr>
        <w:t xml:space="preserve"> by using the </w:t>
      </w:r>
      <w:r w:rsidR="006511F4" w:rsidRPr="000D5FE2">
        <w:rPr>
          <w:bCs/>
        </w:rPr>
        <w:t xml:space="preserve">outcome </w:t>
      </w:r>
      <w:r w:rsidR="006511F4" w:rsidRPr="000D5FE2">
        <w:rPr>
          <w:bCs/>
        </w:rPr>
        <w:lastRenderedPageBreak/>
        <w:t>with the largest duration of benefit, as shown in Table 4</w:t>
      </w:r>
      <w:r w:rsidR="004C1D74" w:rsidRPr="000D5FE2">
        <w:rPr>
          <w:bCs/>
        </w:rPr>
        <w:t xml:space="preserve"> above</w:t>
      </w:r>
      <w:r w:rsidR="000B2D8C" w:rsidRPr="000D5FE2">
        <w:rPr>
          <w:bCs/>
        </w:rPr>
        <w:t xml:space="preserve">, </w:t>
      </w:r>
      <w:r w:rsidR="006511F4" w:rsidRPr="000D5FE2">
        <w:rPr>
          <w:bCs/>
        </w:rPr>
        <w:t>ther</w:t>
      </w:r>
      <w:r w:rsidR="00FE0F5A" w:rsidRPr="000D5FE2">
        <w:rPr>
          <w:bCs/>
        </w:rPr>
        <w:t>e</w:t>
      </w:r>
      <w:r w:rsidR="006511F4" w:rsidRPr="000D5FE2">
        <w:rPr>
          <w:bCs/>
        </w:rPr>
        <w:t>by</w:t>
      </w:r>
      <w:r w:rsidR="000B2D8C" w:rsidRPr="000D5FE2">
        <w:rPr>
          <w:bCs/>
        </w:rPr>
        <w:t xml:space="preserve"> overestimating time spent in the first health state</w:t>
      </w:r>
      <w:r w:rsidR="006511F4" w:rsidRPr="000D5FE2">
        <w:rPr>
          <w:bCs/>
        </w:rPr>
        <w:t xml:space="preserve"> of the model</w:t>
      </w:r>
      <w:r w:rsidRPr="000D5FE2">
        <w:rPr>
          <w:bCs/>
        </w:rPr>
        <w:t>. However, the PBAC considered the outcome was a reasonable endpoint in this instance, given the proposed reversal of the sequence of treatments from a cytotoxic chemotherapy (docetaxel) followed by an oral androgen receptor signalling inhibitor (</w:t>
      </w:r>
      <w:r w:rsidR="008C2C79" w:rsidRPr="000D5FE2">
        <w:rPr>
          <w:bCs/>
        </w:rPr>
        <w:t>enzalutamide</w:t>
      </w:r>
      <w:r w:rsidRPr="000D5FE2">
        <w:rPr>
          <w:bCs/>
        </w:rPr>
        <w:t xml:space="preserve">) was not expected to give patients substantial </w:t>
      </w:r>
      <w:r w:rsidR="008C2C79">
        <w:rPr>
          <w:bCs/>
        </w:rPr>
        <w:t xml:space="preserve">survival </w:t>
      </w:r>
      <w:r w:rsidRPr="000D5FE2">
        <w:rPr>
          <w:bCs/>
        </w:rPr>
        <w:t>benefit but would provide meaningful improvements in quality of life by avoiding cytotoxic chemotherapy for longer.</w:t>
      </w:r>
    </w:p>
    <w:p w:rsidR="00850D88" w:rsidRPr="000D5FE2" w:rsidRDefault="00850D88" w:rsidP="00850D88">
      <w:pPr>
        <w:ind w:left="720"/>
        <w:rPr>
          <w:bCs/>
        </w:rPr>
      </w:pPr>
    </w:p>
    <w:p w:rsidR="009A7A69" w:rsidRPr="000D5FE2" w:rsidRDefault="009A7A69" w:rsidP="009A7A69">
      <w:pPr>
        <w:numPr>
          <w:ilvl w:val="1"/>
          <w:numId w:val="2"/>
        </w:numPr>
        <w:rPr>
          <w:bCs/>
        </w:rPr>
      </w:pPr>
      <w:r w:rsidRPr="000D5FE2">
        <w:rPr>
          <w:bCs/>
        </w:rPr>
        <w:t xml:space="preserve">The PBAC noted the patient population in the PREVAIL trial included asymptomatic and mildly symptomatic patients only. The PBAC considered the benefits in delaying cytotoxic chemotherapy would apply to symptomatic patients considered suitable for enzalutamide in a pre-docetaxel setting. </w:t>
      </w:r>
    </w:p>
    <w:p w:rsidR="00457256" w:rsidRPr="000D5FE2" w:rsidRDefault="00457256" w:rsidP="00457256">
      <w:pPr>
        <w:pStyle w:val="ListParagraph"/>
        <w:rPr>
          <w:bCs/>
        </w:rPr>
      </w:pPr>
    </w:p>
    <w:p w:rsidR="00151A15" w:rsidRPr="000D5FE2" w:rsidRDefault="00151A15" w:rsidP="00EB23C1">
      <w:pPr>
        <w:numPr>
          <w:ilvl w:val="1"/>
          <w:numId w:val="2"/>
        </w:numPr>
        <w:rPr>
          <w:bCs/>
        </w:rPr>
      </w:pPr>
      <w:r w:rsidRPr="000D5FE2">
        <w:rPr>
          <w:bCs/>
        </w:rPr>
        <w:t>The PBAC noted that a statistically significantly greater proportion of patients treated with enzalutamide compared to placebo in PREVAIL experienced adverse events. However, the PBAC considered that the harms f</w:t>
      </w:r>
      <w:r w:rsidR="00390487" w:rsidRPr="000D5FE2">
        <w:rPr>
          <w:bCs/>
        </w:rPr>
        <w:t>r</w:t>
      </w:r>
      <w:r w:rsidRPr="000D5FE2">
        <w:rPr>
          <w:bCs/>
        </w:rPr>
        <w:t>om enzalutamide treatment manageable.</w:t>
      </w:r>
    </w:p>
    <w:p w:rsidR="00AB52A7" w:rsidRPr="000D5FE2" w:rsidRDefault="00AB52A7" w:rsidP="00AB52A7">
      <w:pPr>
        <w:ind w:left="720"/>
        <w:rPr>
          <w:bCs/>
        </w:rPr>
      </w:pPr>
    </w:p>
    <w:p w:rsidR="00EB23C1" w:rsidRPr="000D5FE2" w:rsidRDefault="00F70D42" w:rsidP="00EB23C1">
      <w:pPr>
        <w:numPr>
          <w:ilvl w:val="1"/>
          <w:numId w:val="2"/>
        </w:numPr>
        <w:rPr>
          <w:bCs/>
        </w:rPr>
      </w:pPr>
      <w:r w:rsidRPr="000D5FE2">
        <w:rPr>
          <w:bCs/>
        </w:rPr>
        <w:t xml:space="preserve">The PBAC noted the </w:t>
      </w:r>
      <w:r w:rsidR="00AB52A7" w:rsidRPr="000D5FE2">
        <w:rPr>
          <w:bCs/>
        </w:rPr>
        <w:t>ICER was driven by</w:t>
      </w:r>
      <w:r w:rsidR="00B357CC" w:rsidRPr="000D5FE2">
        <w:rPr>
          <w:bCs/>
        </w:rPr>
        <w:t xml:space="preserve"> the cost-offsets from treatments in the post-docetaxel setting in the watchful waiting arm, which had inappropriately been assumed to continue until death. The PBA</w:t>
      </w:r>
      <w:r w:rsidR="0022456E" w:rsidRPr="000D5FE2">
        <w:rPr>
          <w:bCs/>
        </w:rPr>
        <w:t>C</w:t>
      </w:r>
      <w:r w:rsidR="00B357CC" w:rsidRPr="000D5FE2">
        <w:rPr>
          <w:bCs/>
        </w:rPr>
        <w:t xml:space="preserve"> </w:t>
      </w:r>
      <w:r w:rsidR="00850D88" w:rsidRPr="000D5FE2">
        <w:rPr>
          <w:bCs/>
        </w:rPr>
        <w:t xml:space="preserve">noted the revised base case provided in the pre-PBAC response but </w:t>
      </w:r>
      <w:r w:rsidR="00B357CC" w:rsidRPr="000D5FE2">
        <w:rPr>
          <w:bCs/>
        </w:rPr>
        <w:t xml:space="preserve">considered </w:t>
      </w:r>
      <w:r w:rsidR="00850D88" w:rsidRPr="000D5FE2">
        <w:rPr>
          <w:bCs/>
        </w:rPr>
        <w:t xml:space="preserve">the </w:t>
      </w:r>
      <w:r w:rsidR="00B357CC" w:rsidRPr="000D5FE2">
        <w:rPr>
          <w:bCs/>
        </w:rPr>
        <w:t>14 months</w:t>
      </w:r>
      <w:r w:rsidRPr="000D5FE2">
        <w:rPr>
          <w:bCs/>
        </w:rPr>
        <w:t xml:space="preserve"> </w:t>
      </w:r>
      <w:r w:rsidR="00850D88" w:rsidRPr="000D5FE2">
        <w:rPr>
          <w:bCs/>
        </w:rPr>
        <w:t xml:space="preserve">of post-docetaxel treatment </w:t>
      </w:r>
      <w:r w:rsidRPr="000D5FE2">
        <w:rPr>
          <w:bCs/>
        </w:rPr>
        <w:t>was</w:t>
      </w:r>
      <w:r w:rsidR="00B357CC" w:rsidRPr="000D5FE2">
        <w:rPr>
          <w:bCs/>
        </w:rPr>
        <w:t xml:space="preserve"> </w:t>
      </w:r>
      <w:r w:rsidRPr="000D5FE2">
        <w:rPr>
          <w:bCs/>
        </w:rPr>
        <w:t>n</w:t>
      </w:r>
      <w:r w:rsidR="00B357CC" w:rsidRPr="000D5FE2">
        <w:rPr>
          <w:bCs/>
        </w:rPr>
        <w:t>o</w:t>
      </w:r>
      <w:r w:rsidRPr="000D5FE2">
        <w:rPr>
          <w:bCs/>
        </w:rPr>
        <w:t>t adequately justified and is likely to be an overestimate</w:t>
      </w:r>
      <w:r w:rsidR="00B357CC" w:rsidRPr="000D5FE2">
        <w:rPr>
          <w:bCs/>
        </w:rPr>
        <w:t xml:space="preserve">, </w:t>
      </w:r>
      <w:r w:rsidR="000A3142">
        <w:rPr>
          <w:bCs/>
        </w:rPr>
        <w:t xml:space="preserve">based on </w:t>
      </w:r>
      <w:r w:rsidR="0022456E" w:rsidRPr="000D5FE2">
        <w:rPr>
          <w:bCs/>
        </w:rPr>
        <w:t xml:space="preserve">the June 2016 DUSC review </w:t>
      </w:r>
      <w:r w:rsidR="0022456E" w:rsidRPr="000D5FE2">
        <w:rPr>
          <w:szCs w:val="22"/>
        </w:rPr>
        <w:t>of prostate cancer medicines</w:t>
      </w:r>
      <w:r w:rsidRPr="000D5FE2">
        <w:rPr>
          <w:bCs/>
        </w:rPr>
        <w:t>.</w:t>
      </w:r>
      <w:r w:rsidR="00266D7C" w:rsidRPr="000D5FE2">
        <w:rPr>
          <w:bCs/>
        </w:rPr>
        <w:t xml:space="preserve"> </w:t>
      </w:r>
    </w:p>
    <w:p w:rsidR="0022456E" w:rsidRPr="000D5FE2" w:rsidRDefault="0022456E" w:rsidP="0022456E">
      <w:pPr>
        <w:ind w:left="720"/>
        <w:rPr>
          <w:bCs/>
        </w:rPr>
      </w:pPr>
    </w:p>
    <w:p w:rsidR="0022456E" w:rsidRPr="000D5FE2" w:rsidRDefault="0022456E" w:rsidP="0022456E">
      <w:pPr>
        <w:numPr>
          <w:ilvl w:val="1"/>
          <w:numId w:val="2"/>
        </w:numPr>
        <w:rPr>
          <w:bCs/>
        </w:rPr>
      </w:pPr>
      <w:r w:rsidRPr="000D5FE2">
        <w:rPr>
          <w:bCs/>
        </w:rPr>
        <w:t xml:space="preserve">The PBAC accepted the </w:t>
      </w:r>
      <w:r w:rsidR="00A02AEF" w:rsidRPr="000D5FE2">
        <w:rPr>
          <w:bCs/>
        </w:rPr>
        <w:t xml:space="preserve">10-year time horizon in the model and the </w:t>
      </w:r>
      <w:r w:rsidRPr="000D5FE2">
        <w:rPr>
          <w:bCs/>
        </w:rPr>
        <w:t>total cost of chemotherapy naïve treatment with enzalutamide using the outcome of time to discontinuation of study drug</w:t>
      </w:r>
      <w:r w:rsidR="00A02AEF" w:rsidRPr="000D5FE2">
        <w:rPr>
          <w:bCs/>
        </w:rPr>
        <w:t>, as provided in the pre-PBAC response</w:t>
      </w:r>
      <w:r w:rsidRPr="000D5FE2">
        <w:rPr>
          <w:bCs/>
        </w:rPr>
        <w:t>.</w:t>
      </w:r>
      <w:r w:rsidR="00D532C3" w:rsidRPr="000D5FE2">
        <w:rPr>
          <w:bCs/>
        </w:rPr>
        <w:t xml:space="preserve"> </w:t>
      </w:r>
    </w:p>
    <w:p w:rsidR="001D3CA4" w:rsidRPr="000D5FE2" w:rsidRDefault="001D3CA4" w:rsidP="001D3CA4">
      <w:pPr>
        <w:ind w:left="720"/>
        <w:rPr>
          <w:bCs/>
        </w:rPr>
      </w:pPr>
    </w:p>
    <w:p w:rsidR="000E1E0F" w:rsidRPr="000D5FE2" w:rsidRDefault="0022456E" w:rsidP="000E1E0F">
      <w:pPr>
        <w:numPr>
          <w:ilvl w:val="1"/>
          <w:numId w:val="2"/>
        </w:numPr>
        <w:rPr>
          <w:bCs/>
        </w:rPr>
      </w:pPr>
      <w:r w:rsidRPr="000D5FE2">
        <w:rPr>
          <w:szCs w:val="22"/>
        </w:rPr>
        <w:t xml:space="preserve">The PBAC </w:t>
      </w:r>
      <w:r w:rsidR="00FC51D6" w:rsidRPr="000D5FE2">
        <w:rPr>
          <w:szCs w:val="22"/>
        </w:rPr>
        <w:t>accept</w:t>
      </w:r>
      <w:r w:rsidR="00034CDC" w:rsidRPr="000D5FE2">
        <w:rPr>
          <w:szCs w:val="22"/>
        </w:rPr>
        <w:t xml:space="preserve">ed the ICER </w:t>
      </w:r>
      <w:r w:rsidR="00FC51D6" w:rsidRPr="000D5FE2">
        <w:rPr>
          <w:szCs w:val="22"/>
        </w:rPr>
        <w:t xml:space="preserve">for mCRPC in the pre-docetaxel setting should not exceed the </w:t>
      </w:r>
      <w:r w:rsidR="009E2802">
        <w:rPr>
          <w:szCs w:val="22"/>
        </w:rPr>
        <w:t>$45,000/QALY gained - $75,000</w:t>
      </w:r>
      <w:r w:rsidR="00FC51D6" w:rsidRPr="000D5FE2">
        <w:rPr>
          <w:szCs w:val="22"/>
        </w:rPr>
        <w:t xml:space="preserve">/QALY gained presented in this resubmission, noting a similar ICER was accepted for listing cabazitaxel </w:t>
      </w:r>
      <w:r w:rsidR="00034CDC" w:rsidRPr="000D5FE2">
        <w:rPr>
          <w:szCs w:val="22"/>
        </w:rPr>
        <w:t>in the post-docetaxel setting</w:t>
      </w:r>
      <w:r w:rsidR="006511F4" w:rsidRPr="000D5FE2">
        <w:rPr>
          <w:szCs w:val="22"/>
        </w:rPr>
        <w:t xml:space="preserve">. </w:t>
      </w:r>
      <w:r w:rsidR="00FC51D6" w:rsidRPr="000D5FE2">
        <w:rPr>
          <w:szCs w:val="22"/>
        </w:rPr>
        <w:t>The model</w:t>
      </w:r>
      <w:r w:rsidR="003E0826">
        <w:rPr>
          <w:szCs w:val="22"/>
        </w:rPr>
        <w:t xml:space="preserve"> </w:t>
      </w:r>
      <w:r w:rsidR="0029367E">
        <w:rPr>
          <w:szCs w:val="22"/>
        </w:rPr>
        <w:t>would</w:t>
      </w:r>
      <w:r w:rsidR="00FC51D6" w:rsidRPr="000D5FE2">
        <w:rPr>
          <w:szCs w:val="22"/>
        </w:rPr>
        <w:t xml:space="preserve"> need to be adjusted for </w:t>
      </w:r>
      <w:r w:rsidR="006511F4" w:rsidRPr="000D5FE2">
        <w:rPr>
          <w:szCs w:val="22"/>
        </w:rPr>
        <w:t>an</w:t>
      </w:r>
      <w:r w:rsidRPr="000D5FE2">
        <w:rPr>
          <w:szCs w:val="22"/>
        </w:rPr>
        <w:t xml:space="preserve"> average time on post-docetaxel therapies in line with the DUSC review </w:t>
      </w:r>
      <w:r w:rsidR="00FC51D6" w:rsidRPr="000D5FE2">
        <w:rPr>
          <w:szCs w:val="22"/>
        </w:rPr>
        <w:t>with</w:t>
      </w:r>
      <w:r w:rsidRPr="000D5FE2">
        <w:rPr>
          <w:szCs w:val="22"/>
        </w:rPr>
        <w:t xml:space="preserve"> a further price reduction</w:t>
      </w:r>
      <w:r w:rsidR="00FC51D6" w:rsidRPr="000D5FE2">
        <w:rPr>
          <w:szCs w:val="22"/>
        </w:rPr>
        <w:t xml:space="preserve"> </w:t>
      </w:r>
      <w:r w:rsidR="006511F4" w:rsidRPr="000D5FE2">
        <w:rPr>
          <w:szCs w:val="22"/>
        </w:rPr>
        <w:t xml:space="preserve">to ensure the ICER </w:t>
      </w:r>
      <w:r w:rsidR="0099660B" w:rsidRPr="000D5FE2">
        <w:rPr>
          <w:szCs w:val="22"/>
        </w:rPr>
        <w:t>remains acceptable</w:t>
      </w:r>
      <w:r w:rsidRPr="000D5FE2">
        <w:rPr>
          <w:szCs w:val="22"/>
        </w:rPr>
        <w:t xml:space="preserve">. </w:t>
      </w:r>
    </w:p>
    <w:p w:rsidR="005A4C05" w:rsidRPr="000D5FE2" w:rsidRDefault="005A4C05" w:rsidP="005A4C05">
      <w:pPr>
        <w:ind w:left="720"/>
        <w:rPr>
          <w:bCs/>
        </w:rPr>
      </w:pPr>
    </w:p>
    <w:p w:rsidR="00EB23C1" w:rsidRPr="000D5FE2" w:rsidRDefault="001B2BFD" w:rsidP="00EB23C1">
      <w:pPr>
        <w:numPr>
          <w:ilvl w:val="1"/>
          <w:numId w:val="2"/>
        </w:numPr>
        <w:rPr>
          <w:bCs/>
        </w:rPr>
      </w:pPr>
      <w:r w:rsidRPr="000D5FE2">
        <w:rPr>
          <w:bCs/>
        </w:rPr>
        <w:t xml:space="preserve">The PBAC </w:t>
      </w:r>
      <w:r w:rsidR="00390487" w:rsidRPr="000D5FE2">
        <w:rPr>
          <w:bCs/>
        </w:rPr>
        <w:t>noted</w:t>
      </w:r>
      <w:r w:rsidRPr="000D5FE2">
        <w:rPr>
          <w:bCs/>
        </w:rPr>
        <w:t xml:space="preserve"> the</w:t>
      </w:r>
      <w:r w:rsidR="00A377F1" w:rsidRPr="000D5FE2">
        <w:rPr>
          <w:bCs/>
        </w:rPr>
        <w:t xml:space="preserve"> </w:t>
      </w:r>
      <w:r w:rsidRPr="000D5FE2">
        <w:rPr>
          <w:bCs/>
        </w:rPr>
        <w:t>financial estimates are predicated on the duration of therapy in both the pre- and post-docetaxel settings</w:t>
      </w:r>
      <w:r w:rsidR="005A7E4C" w:rsidRPr="000D5FE2">
        <w:rPr>
          <w:bCs/>
        </w:rPr>
        <w:t xml:space="preserve"> as estimated </w:t>
      </w:r>
      <w:r w:rsidR="00086886" w:rsidRPr="000D5FE2">
        <w:rPr>
          <w:bCs/>
        </w:rPr>
        <w:t>by the economic model</w:t>
      </w:r>
      <w:r w:rsidRPr="000D5FE2">
        <w:rPr>
          <w:bCs/>
        </w:rPr>
        <w:t>.</w:t>
      </w:r>
      <w:r w:rsidR="00A02AEF" w:rsidRPr="000D5FE2">
        <w:rPr>
          <w:bCs/>
        </w:rPr>
        <w:t xml:space="preserve"> </w:t>
      </w:r>
      <w:r w:rsidR="00A377F1" w:rsidRPr="000D5FE2">
        <w:rPr>
          <w:bCs/>
        </w:rPr>
        <w:t>The estimates for the pre-docetaxel setting need to be updated to include symptomatic patients, revisions regarding duration of therapies, and the re</w:t>
      </w:r>
      <w:r w:rsidR="00390487" w:rsidRPr="000D5FE2">
        <w:rPr>
          <w:bCs/>
        </w:rPr>
        <w:t>vised</w:t>
      </w:r>
      <w:r w:rsidR="00A377F1" w:rsidRPr="000D5FE2">
        <w:rPr>
          <w:bCs/>
        </w:rPr>
        <w:t xml:space="preserve"> price. </w:t>
      </w:r>
      <w:r w:rsidR="00A02AEF" w:rsidRPr="000D5FE2">
        <w:rPr>
          <w:bCs/>
        </w:rPr>
        <w:t xml:space="preserve">The </w:t>
      </w:r>
      <w:r w:rsidR="00220913" w:rsidRPr="000D5FE2">
        <w:rPr>
          <w:bCs/>
        </w:rPr>
        <w:t>caps on total expenditure for both the settings would need to be merged</w:t>
      </w:r>
      <w:r w:rsidR="00C12192">
        <w:rPr>
          <w:bCs/>
        </w:rPr>
        <w:t xml:space="preserve"> or the existing </w:t>
      </w:r>
      <w:r w:rsidR="008C1C95">
        <w:rPr>
          <w:bCs/>
        </w:rPr>
        <w:t>caps</w:t>
      </w:r>
      <w:r w:rsidR="00C12192">
        <w:rPr>
          <w:bCs/>
        </w:rPr>
        <w:t xml:space="preserve"> for the post-docetaxel setting be reduced in accordance with the cost-offsets</w:t>
      </w:r>
      <w:r w:rsidR="008C1C95">
        <w:rPr>
          <w:bCs/>
        </w:rPr>
        <w:t xml:space="preserve"> arising in this setting</w:t>
      </w:r>
      <w:r w:rsidR="00A02AEF" w:rsidRPr="000D5FE2">
        <w:rPr>
          <w:bCs/>
        </w:rPr>
        <w:t xml:space="preserve">, </w:t>
      </w:r>
      <w:r w:rsidR="00220913" w:rsidRPr="000D5FE2">
        <w:rPr>
          <w:bCs/>
        </w:rPr>
        <w:t>and the rebates further negotiated</w:t>
      </w:r>
      <w:r w:rsidR="00A95CFC">
        <w:rPr>
          <w:bCs/>
        </w:rPr>
        <w:t>, as discussed in paragraph 6.4</w:t>
      </w:r>
      <w:r w:rsidR="00631FA7">
        <w:rPr>
          <w:bCs/>
        </w:rPr>
        <w:t>7</w:t>
      </w:r>
      <w:r w:rsidR="00374FF8" w:rsidRPr="000D5FE2">
        <w:rPr>
          <w:bCs/>
        </w:rPr>
        <w:t>.</w:t>
      </w:r>
    </w:p>
    <w:p w:rsidR="00220913" w:rsidRPr="000D5FE2" w:rsidRDefault="00220913" w:rsidP="00220913">
      <w:pPr>
        <w:ind w:left="720"/>
        <w:rPr>
          <w:bCs/>
        </w:rPr>
      </w:pPr>
    </w:p>
    <w:p w:rsidR="00EB23C1" w:rsidRPr="000D5FE2" w:rsidRDefault="00EB23C1" w:rsidP="001C368D">
      <w:pPr>
        <w:numPr>
          <w:ilvl w:val="1"/>
          <w:numId w:val="2"/>
        </w:numPr>
        <w:rPr>
          <w:b/>
          <w:bCs/>
        </w:rPr>
      </w:pPr>
      <w:r w:rsidRPr="000D5FE2">
        <w:rPr>
          <w:bCs/>
        </w:rPr>
        <w:t>The PBAC noted that this submission is not eligible for an Independent Review</w:t>
      </w:r>
      <w:r w:rsidR="00715FF4" w:rsidRPr="000D5FE2">
        <w:rPr>
          <w:bCs/>
        </w:rPr>
        <w:t>, as the submission was not rejected</w:t>
      </w:r>
      <w:r w:rsidRPr="000D5FE2">
        <w:rPr>
          <w:bCs/>
        </w:rPr>
        <w:t xml:space="preserve">. </w:t>
      </w:r>
    </w:p>
    <w:p w:rsidR="00EB23C1" w:rsidRPr="000D5FE2" w:rsidRDefault="00EB23C1" w:rsidP="00EB23C1">
      <w:pPr>
        <w:rPr>
          <w:b/>
          <w:bCs/>
        </w:rPr>
      </w:pPr>
    </w:p>
    <w:p w:rsidR="00EB23C1" w:rsidRPr="000D5FE2" w:rsidRDefault="00EB23C1" w:rsidP="00EB23C1">
      <w:pPr>
        <w:rPr>
          <w:b/>
          <w:bCs/>
        </w:rPr>
      </w:pPr>
      <w:r w:rsidRPr="000D5FE2">
        <w:rPr>
          <w:b/>
          <w:bCs/>
        </w:rPr>
        <w:t>Outcome:</w:t>
      </w:r>
    </w:p>
    <w:p w:rsidR="00B109E4" w:rsidRDefault="00EB23C1" w:rsidP="00EB23C1">
      <w:pPr>
        <w:rPr>
          <w:bCs/>
        </w:rPr>
      </w:pPr>
      <w:r w:rsidRPr="000D5FE2">
        <w:rPr>
          <w:bCs/>
        </w:rPr>
        <w:t>Deferred</w:t>
      </w:r>
    </w:p>
    <w:p w:rsidR="00C73C62" w:rsidRDefault="00C73C62" w:rsidP="00EB23C1">
      <w:pPr>
        <w:rPr>
          <w:bCs/>
        </w:rPr>
      </w:pPr>
    </w:p>
    <w:p w:rsidR="0090754F" w:rsidRDefault="0090754F" w:rsidP="00EB23C1">
      <w:pPr>
        <w:rPr>
          <w:bCs/>
        </w:rPr>
      </w:pPr>
    </w:p>
    <w:p w:rsidR="00C73C62" w:rsidRDefault="00C73C62" w:rsidP="00C73C62">
      <w:pPr>
        <w:pStyle w:val="PBACHeading10"/>
        <w:numPr>
          <w:ilvl w:val="0"/>
          <w:numId w:val="2"/>
        </w:numPr>
        <w:ind w:left="709" w:hanging="709"/>
        <w:outlineLvl w:val="0"/>
      </w:pPr>
      <w:r w:rsidRPr="00485DD3">
        <w:t>Context for Decision</w:t>
      </w:r>
    </w:p>
    <w:p w:rsidR="00C73C62" w:rsidRDefault="00C73C62" w:rsidP="00C73C62">
      <w:pPr>
        <w:ind w:left="709"/>
      </w:pPr>
    </w:p>
    <w:p w:rsidR="00C73C62" w:rsidRDefault="00C73C62" w:rsidP="00C73C62">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73C62" w:rsidRDefault="00C73C62" w:rsidP="00C73C62">
      <w:pPr>
        <w:ind w:left="709"/>
      </w:pPr>
    </w:p>
    <w:p w:rsidR="00C73C62" w:rsidRDefault="00C73C62" w:rsidP="00C73C62">
      <w:pPr>
        <w:ind w:left="709"/>
      </w:pPr>
    </w:p>
    <w:p w:rsidR="00C73C62" w:rsidRPr="00B0280B" w:rsidRDefault="00C73C62" w:rsidP="00C73C62">
      <w:pPr>
        <w:pStyle w:val="PBACHeading10"/>
        <w:numPr>
          <w:ilvl w:val="0"/>
          <w:numId w:val="2"/>
        </w:numPr>
        <w:ind w:left="709" w:hanging="709"/>
        <w:outlineLvl w:val="0"/>
      </w:pPr>
      <w:r w:rsidRPr="00485DD3">
        <w:t>Sponsor’s Comment</w:t>
      </w:r>
    </w:p>
    <w:p w:rsidR="00C73C62" w:rsidRDefault="00C73C62" w:rsidP="00C73C62">
      <w:pPr>
        <w:ind w:left="709"/>
        <w:rPr>
          <w:bCs/>
          <w:highlight w:val="yellow"/>
          <w:lang w:val="en-GB"/>
        </w:rPr>
      </w:pPr>
    </w:p>
    <w:p w:rsidR="00C73C62" w:rsidRDefault="00C73C62" w:rsidP="00C73C62">
      <w:pPr>
        <w:spacing w:after="120"/>
        <w:ind w:left="426" w:firstLine="283"/>
        <w:rPr>
          <w:bCs/>
        </w:rPr>
      </w:pPr>
      <w:r w:rsidRPr="003035CC">
        <w:rPr>
          <w:bCs/>
        </w:rPr>
        <w:t>The sponsor had no comment.</w:t>
      </w:r>
    </w:p>
    <w:p w:rsidR="00C73C62" w:rsidRPr="00D832A6" w:rsidRDefault="00C73C62" w:rsidP="00EB23C1">
      <w:pPr>
        <w:rPr>
          <w:bCs/>
        </w:rPr>
      </w:pPr>
    </w:p>
    <w:sectPr w:rsidR="00C73C62" w:rsidRPr="00D832A6" w:rsidSect="00FE04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9677F5" w15:done="0"/>
  <w15:commentEx w15:paraId="3234E2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D7" w:rsidRDefault="009278D7" w:rsidP="00124A51">
      <w:r>
        <w:separator/>
      </w:r>
    </w:p>
  </w:endnote>
  <w:endnote w:type="continuationSeparator" w:id="0">
    <w:p w:rsidR="009278D7" w:rsidRDefault="009278D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Optima"/>
    <w:panose1 w:val="020B0704020202020204"/>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D7" w:rsidRDefault="00927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63" w:rsidRPr="00D13A3E" w:rsidRDefault="003D4763" w:rsidP="00015886">
    <w:pPr>
      <w:ind w:right="360"/>
      <w:jc w:val="center"/>
      <w:rPr>
        <w:b/>
        <w:sz w:val="20"/>
      </w:rPr>
    </w:pPr>
  </w:p>
  <w:p w:rsidR="003D4763" w:rsidRPr="00015886" w:rsidRDefault="003D4763" w:rsidP="0044501B">
    <w:pPr>
      <w:ind w:right="360"/>
      <w:jc w:val="center"/>
      <w:rPr>
        <w:b/>
        <w:sz w:val="20"/>
      </w:rPr>
    </w:pPr>
    <w:r>
      <w:rPr>
        <w:sz w:val="20"/>
      </w:rPr>
      <w:tab/>
    </w:r>
    <w:r w:rsidRPr="00651169">
      <w:rPr>
        <w:sz w:val="20"/>
      </w:rPr>
      <w:fldChar w:fldCharType="begin"/>
    </w:r>
    <w:r w:rsidRPr="00651169">
      <w:rPr>
        <w:sz w:val="20"/>
      </w:rPr>
      <w:instrText xml:space="preserve"> PAGE   \* MERGEFORMAT </w:instrText>
    </w:r>
    <w:r w:rsidRPr="00651169">
      <w:rPr>
        <w:sz w:val="20"/>
      </w:rPr>
      <w:fldChar w:fldCharType="separate"/>
    </w:r>
    <w:r w:rsidR="002E4C9B">
      <w:rPr>
        <w:noProof/>
        <w:sz w:val="20"/>
      </w:rPr>
      <w:t>23</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D7" w:rsidRDefault="00927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D7" w:rsidRDefault="009278D7" w:rsidP="00124A51">
      <w:r>
        <w:separator/>
      </w:r>
    </w:p>
  </w:footnote>
  <w:footnote w:type="continuationSeparator" w:id="0">
    <w:p w:rsidR="009278D7" w:rsidRDefault="009278D7" w:rsidP="00124A51">
      <w:r>
        <w:continuationSeparator/>
      </w:r>
    </w:p>
  </w:footnote>
  <w:footnote w:id="1">
    <w:p w:rsidR="003D4763" w:rsidRDefault="003D4763" w:rsidP="008F0051">
      <w:pPr>
        <w:pStyle w:val="FootnoteText"/>
        <w:rPr>
          <w:rFonts w:ascii="Arial Narrow" w:eastAsiaTheme="minorHAnsi" w:hAnsi="Arial Narrow"/>
          <w:sz w:val="16"/>
          <w:szCs w:val="16"/>
        </w:rPr>
      </w:pPr>
      <w:r>
        <w:rPr>
          <w:rStyle w:val="FootnoteReference"/>
          <w:rFonts w:ascii="Arial Narrow" w:hAnsi="Arial Narrow"/>
        </w:rPr>
        <w:t>[1]</w:t>
      </w:r>
      <w:r>
        <w:rPr>
          <w:rFonts w:ascii="Arial Narrow" w:hAnsi="Arial Narrow"/>
        </w:rPr>
        <w:t xml:space="preserve"> </w:t>
      </w:r>
      <w:proofErr w:type="spellStart"/>
      <w:r>
        <w:rPr>
          <w:rFonts w:ascii="Arial Narrow" w:hAnsi="Arial Narrow"/>
        </w:rPr>
        <w:t>Cherny</w:t>
      </w:r>
      <w:proofErr w:type="spellEnd"/>
      <w:r>
        <w:rPr>
          <w:rFonts w:ascii="Arial Narrow" w:hAnsi="Arial Narrow"/>
        </w:rPr>
        <w:t xml:space="preserve">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D7" w:rsidRDefault="009278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63" w:rsidRPr="00DF217D" w:rsidRDefault="003D4763" w:rsidP="0090754F">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3D4763" w:rsidRPr="008C7ECB" w:rsidRDefault="003D4763" w:rsidP="00B67094">
    <w:pPr>
      <w:tabs>
        <w:tab w:val="left" w:pos="142"/>
        <w:tab w:val="right" w:pos="9026"/>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D7" w:rsidRDefault="00927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C57"/>
    <w:multiLevelType w:val="hybridMultilevel"/>
    <w:tmpl w:val="F20E8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F608C1"/>
    <w:multiLevelType w:val="hybridMultilevel"/>
    <w:tmpl w:val="199E2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2835696"/>
    <w:multiLevelType w:val="multilevel"/>
    <w:tmpl w:val="F89E663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75E2D3B"/>
    <w:multiLevelType w:val="hybridMultilevel"/>
    <w:tmpl w:val="CE400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4D586D"/>
    <w:multiLevelType w:val="hybridMultilevel"/>
    <w:tmpl w:val="47642F7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7E0BAF"/>
    <w:multiLevelType w:val="hybridMultilevel"/>
    <w:tmpl w:val="E5C67888"/>
    <w:lvl w:ilvl="0" w:tplc="0C090001">
      <w:start w:val="1"/>
      <w:numFmt w:val="bullet"/>
      <w:lvlText w:val=""/>
      <w:lvlJc w:val="left"/>
      <w:pPr>
        <w:ind w:left="1024" w:hanging="360"/>
      </w:pPr>
      <w:rPr>
        <w:rFonts w:ascii="Symbol" w:hAnsi="Symbol" w:hint="default"/>
      </w:rPr>
    </w:lvl>
    <w:lvl w:ilvl="1" w:tplc="0C090003">
      <w:start w:val="1"/>
      <w:numFmt w:val="bullet"/>
      <w:lvlText w:val="o"/>
      <w:lvlJc w:val="left"/>
      <w:pPr>
        <w:ind w:left="1744" w:hanging="360"/>
      </w:pPr>
      <w:rPr>
        <w:rFonts w:ascii="Courier New" w:hAnsi="Courier New" w:cs="Courier New" w:hint="default"/>
      </w:rPr>
    </w:lvl>
    <w:lvl w:ilvl="2" w:tplc="0C090005" w:tentative="1">
      <w:start w:val="1"/>
      <w:numFmt w:val="bullet"/>
      <w:lvlText w:val=""/>
      <w:lvlJc w:val="left"/>
      <w:pPr>
        <w:ind w:left="2464" w:hanging="360"/>
      </w:pPr>
      <w:rPr>
        <w:rFonts w:ascii="Wingdings" w:hAnsi="Wingdings" w:hint="default"/>
      </w:rPr>
    </w:lvl>
    <w:lvl w:ilvl="3" w:tplc="0C090001" w:tentative="1">
      <w:start w:val="1"/>
      <w:numFmt w:val="bullet"/>
      <w:lvlText w:val=""/>
      <w:lvlJc w:val="left"/>
      <w:pPr>
        <w:ind w:left="3184" w:hanging="360"/>
      </w:pPr>
      <w:rPr>
        <w:rFonts w:ascii="Symbol" w:hAnsi="Symbol" w:hint="default"/>
      </w:rPr>
    </w:lvl>
    <w:lvl w:ilvl="4" w:tplc="0C090003" w:tentative="1">
      <w:start w:val="1"/>
      <w:numFmt w:val="bullet"/>
      <w:lvlText w:val="o"/>
      <w:lvlJc w:val="left"/>
      <w:pPr>
        <w:ind w:left="3904" w:hanging="360"/>
      </w:pPr>
      <w:rPr>
        <w:rFonts w:ascii="Courier New" w:hAnsi="Courier New" w:cs="Courier New" w:hint="default"/>
      </w:rPr>
    </w:lvl>
    <w:lvl w:ilvl="5" w:tplc="0C090005" w:tentative="1">
      <w:start w:val="1"/>
      <w:numFmt w:val="bullet"/>
      <w:lvlText w:val=""/>
      <w:lvlJc w:val="left"/>
      <w:pPr>
        <w:ind w:left="4624" w:hanging="360"/>
      </w:pPr>
      <w:rPr>
        <w:rFonts w:ascii="Wingdings" w:hAnsi="Wingdings" w:hint="default"/>
      </w:rPr>
    </w:lvl>
    <w:lvl w:ilvl="6" w:tplc="0C090001" w:tentative="1">
      <w:start w:val="1"/>
      <w:numFmt w:val="bullet"/>
      <w:lvlText w:val=""/>
      <w:lvlJc w:val="left"/>
      <w:pPr>
        <w:ind w:left="5344" w:hanging="360"/>
      </w:pPr>
      <w:rPr>
        <w:rFonts w:ascii="Symbol" w:hAnsi="Symbol" w:hint="default"/>
      </w:rPr>
    </w:lvl>
    <w:lvl w:ilvl="7" w:tplc="0C090003" w:tentative="1">
      <w:start w:val="1"/>
      <w:numFmt w:val="bullet"/>
      <w:lvlText w:val="o"/>
      <w:lvlJc w:val="left"/>
      <w:pPr>
        <w:ind w:left="6064" w:hanging="360"/>
      </w:pPr>
      <w:rPr>
        <w:rFonts w:ascii="Courier New" w:hAnsi="Courier New" w:cs="Courier New" w:hint="default"/>
      </w:rPr>
    </w:lvl>
    <w:lvl w:ilvl="8" w:tplc="0C090005" w:tentative="1">
      <w:start w:val="1"/>
      <w:numFmt w:val="bullet"/>
      <w:lvlText w:val=""/>
      <w:lvlJc w:val="left"/>
      <w:pPr>
        <w:ind w:left="6784" w:hanging="360"/>
      </w:pPr>
      <w:rPr>
        <w:rFonts w:ascii="Wingdings" w:hAnsi="Wingdings" w:hint="default"/>
      </w:rPr>
    </w:lvl>
  </w:abstractNum>
  <w:abstractNum w:abstractNumId="9">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85C4DA5"/>
    <w:multiLevelType w:val="hybridMultilevel"/>
    <w:tmpl w:val="E80CB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7C34E2"/>
    <w:multiLevelType w:val="hybridMultilevel"/>
    <w:tmpl w:val="28409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E9713E"/>
    <w:multiLevelType w:val="hybridMultilevel"/>
    <w:tmpl w:val="55C4DB4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5F29A4"/>
    <w:multiLevelType w:val="hybridMultilevel"/>
    <w:tmpl w:val="6FC8B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E4317F3"/>
    <w:multiLevelType w:val="hybridMultilevel"/>
    <w:tmpl w:val="D2EA0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F91A34"/>
    <w:multiLevelType w:val="hybridMultilevel"/>
    <w:tmpl w:val="648E0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6B82526"/>
    <w:multiLevelType w:val="hybridMultilevel"/>
    <w:tmpl w:val="977855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284B11"/>
    <w:multiLevelType w:val="hybridMultilevel"/>
    <w:tmpl w:val="325EC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1F5076"/>
    <w:multiLevelType w:val="hybridMultilevel"/>
    <w:tmpl w:val="CF1AB834"/>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7450053"/>
    <w:multiLevelType w:val="hybridMultilevel"/>
    <w:tmpl w:val="3F60D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6D5B7830"/>
    <w:multiLevelType w:val="hybridMultilevel"/>
    <w:tmpl w:val="4E58D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E6ACD19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CB0769"/>
    <w:multiLevelType w:val="hybridMultilevel"/>
    <w:tmpl w:val="CE066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9"/>
  </w:num>
  <w:num w:numId="4">
    <w:abstractNumId w:val="21"/>
  </w:num>
  <w:num w:numId="5">
    <w:abstractNumId w:val="0"/>
  </w:num>
  <w:num w:numId="6">
    <w:abstractNumId w:val="18"/>
  </w:num>
  <w:num w:numId="7">
    <w:abstractNumId w:val="8"/>
  </w:num>
  <w:num w:numId="8">
    <w:abstractNumId w:val="20"/>
  </w:num>
  <w:num w:numId="9">
    <w:abstractNumId w:val="14"/>
  </w:num>
  <w:num w:numId="10">
    <w:abstractNumId w:val="4"/>
  </w:num>
  <w:num w:numId="11">
    <w:abstractNumId w:val="13"/>
  </w:num>
  <w:num w:numId="12">
    <w:abstractNumId w:val="15"/>
  </w:num>
  <w:num w:numId="13">
    <w:abstractNumId w:val="19"/>
  </w:num>
  <w:num w:numId="14">
    <w:abstractNumId w:val="3"/>
  </w:num>
  <w:num w:numId="15">
    <w:abstractNumId w:val="16"/>
  </w:num>
  <w:num w:numId="16">
    <w:abstractNumId w:val="2"/>
  </w:num>
  <w:num w:numId="17">
    <w:abstractNumId w:val="1"/>
  </w:num>
  <w:num w:numId="18">
    <w:abstractNumId w:val="7"/>
  </w:num>
  <w:num w:numId="19">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6"/>
  </w:num>
  <w:num w:numId="22">
    <w:abstractNumId w:val="10"/>
  </w:num>
  <w:num w:numId="23">
    <w:abstractNumId w:val="17"/>
  </w:num>
  <w:num w:numId="24">
    <w:abstractNumId w:val="5"/>
  </w:num>
  <w:num w:numId="25">
    <w:abstractNumId w:val="12"/>
  </w:num>
  <w:num w:numId="26">
    <w:abstractNumId w:val="22"/>
  </w:num>
  <w:num w:numId="27">
    <w:abstractNumId w:val="22"/>
  </w:num>
  <w:num w:numId="28">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yn Ward">
    <w15:presenceInfo w15:providerId="Windows Live" w15:userId="2f8c0452c87ad331"/>
  </w15:person>
  <w15:person w15:author="Peter Grimison">
    <w15:presenceInfo w15:providerId="AD" w15:userId="S-1-5-21-4175918418-1886762679-246317849-5543"/>
  </w15:person>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C7"/>
    <w:rsid w:val="00000790"/>
    <w:rsid w:val="00001089"/>
    <w:rsid w:val="000010FE"/>
    <w:rsid w:val="0000110B"/>
    <w:rsid w:val="000022EA"/>
    <w:rsid w:val="00003133"/>
    <w:rsid w:val="00003A82"/>
    <w:rsid w:val="00003C67"/>
    <w:rsid w:val="00004809"/>
    <w:rsid w:val="00004D20"/>
    <w:rsid w:val="000067F4"/>
    <w:rsid w:val="00011126"/>
    <w:rsid w:val="000117E8"/>
    <w:rsid w:val="00012652"/>
    <w:rsid w:val="00012B25"/>
    <w:rsid w:val="00012B69"/>
    <w:rsid w:val="00013247"/>
    <w:rsid w:val="00014C94"/>
    <w:rsid w:val="00015886"/>
    <w:rsid w:val="00015F12"/>
    <w:rsid w:val="00016025"/>
    <w:rsid w:val="000162EF"/>
    <w:rsid w:val="000164DD"/>
    <w:rsid w:val="00017340"/>
    <w:rsid w:val="00017B38"/>
    <w:rsid w:val="0002225F"/>
    <w:rsid w:val="00022614"/>
    <w:rsid w:val="00023103"/>
    <w:rsid w:val="00023763"/>
    <w:rsid w:val="00023D8D"/>
    <w:rsid w:val="000254DC"/>
    <w:rsid w:val="00025A76"/>
    <w:rsid w:val="00026AA3"/>
    <w:rsid w:val="00027666"/>
    <w:rsid w:val="0003130D"/>
    <w:rsid w:val="0003156D"/>
    <w:rsid w:val="00031E47"/>
    <w:rsid w:val="00032C9B"/>
    <w:rsid w:val="0003360D"/>
    <w:rsid w:val="000337A8"/>
    <w:rsid w:val="00034CDC"/>
    <w:rsid w:val="0003513D"/>
    <w:rsid w:val="00035C54"/>
    <w:rsid w:val="0003691D"/>
    <w:rsid w:val="000373A3"/>
    <w:rsid w:val="000379CE"/>
    <w:rsid w:val="00037CD5"/>
    <w:rsid w:val="00040573"/>
    <w:rsid w:val="00040895"/>
    <w:rsid w:val="00040B7E"/>
    <w:rsid w:val="0004231D"/>
    <w:rsid w:val="00043444"/>
    <w:rsid w:val="00043C37"/>
    <w:rsid w:val="00046371"/>
    <w:rsid w:val="00046CF9"/>
    <w:rsid w:val="000501B9"/>
    <w:rsid w:val="000512E6"/>
    <w:rsid w:val="00051A48"/>
    <w:rsid w:val="00052148"/>
    <w:rsid w:val="00052CC7"/>
    <w:rsid w:val="00053035"/>
    <w:rsid w:val="00053FE8"/>
    <w:rsid w:val="000545A9"/>
    <w:rsid w:val="000546D7"/>
    <w:rsid w:val="0005550D"/>
    <w:rsid w:val="0005563C"/>
    <w:rsid w:val="00057A79"/>
    <w:rsid w:val="00057EC3"/>
    <w:rsid w:val="00060226"/>
    <w:rsid w:val="00060879"/>
    <w:rsid w:val="0006223E"/>
    <w:rsid w:val="000625FE"/>
    <w:rsid w:val="00062A52"/>
    <w:rsid w:val="000637AC"/>
    <w:rsid w:val="00063DFB"/>
    <w:rsid w:val="0006542C"/>
    <w:rsid w:val="00066B5E"/>
    <w:rsid w:val="0006773B"/>
    <w:rsid w:val="0006776C"/>
    <w:rsid w:val="0007040F"/>
    <w:rsid w:val="00071248"/>
    <w:rsid w:val="00071377"/>
    <w:rsid w:val="0007149F"/>
    <w:rsid w:val="00071D75"/>
    <w:rsid w:val="000720B9"/>
    <w:rsid w:val="000727CE"/>
    <w:rsid w:val="0007617B"/>
    <w:rsid w:val="0007666C"/>
    <w:rsid w:val="000779BC"/>
    <w:rsid w:val="00077AF6"/>
    <w:rsid w:val="000812CA"/>
    <w:rsid w:val="000813BE"/>
    <w:rsid w:val="0008171A"/>
    <w:rsid w:val="000820A6"/>
    <w:rsid w:val="00082653"/>
    <w:rsid w:val="0008332E"/>
    <w:rsid w:val="0008466E"/>
    <w:rsid w:val="000852EC"/>
    <w:rsid w:val="000854CD"/>
    <w:rsid w:val="0008571F"/>
    <w:rsid w:val="0008581A"/>
    <w:rsid w:val="000865F6"/>
    <w:rsid w:val="00086886"/>
    <w:rsid w:val="000872BE"/>
    <w:rsid w:val="00087950"/>
    <w:rsid w:val="00090C7E"/>
    <w:rsid w:val="000929A1"/>
    <w:rsid w:val="00095F5C"/>
    <w:rsid w:val="00095FC9"/>
    <w:rsid w:val="00096571"/>
    <w:rsid w:val="00096598"/>
    <w:rsid w:val="00096A32"/>
    <w:rsid w:val="000A116E"/>
    <w:rsid w:val="000A1DE1"/>
    <w:rsid w:val="000A2CCC"/>
    <w:rsid w:val="000A305D"/>
    <w:rsid w:val="000A3142"/>
    <w:rsid w:val="000A3524"/>
    <w:rsid w:val="000A4221"/>
    <w:rsid w:val="000A4224"/>
    <w:rsid w:val="000A5328"/>
    <w:rsid w:val="000A557D"/>
    <w:rsid w:val="000B0097"/>
    <w:rsid w:val="000B0D9B"/>
    <w:rsid w:val="000B2814"/>
    <w:rsid w:val="000B2CDA"/>
    <w:rsid w:val="000B2D8C"/>
    <w:rsid w:val="000B2EF1"/>
    <w:rsid w:val="000B3601"/>
    <w:rsid w:val="000B469E"/>
    <w:rsid w:val="000B5F9A"/>
    <w:rsid w:val="000B6208"/>
    <w:rsid w:val="000C08E4"/>
    <w:rsid w:val="000C1985"/>
    <w:rsid w:val="000C1F64"/>
    <w:rsid w:val="000C24C9"/>
    <w:rsid w:val="000C3061"/>
    <w:rsid w:val="000C33FB"/>
    <w:rsid w:val="000C3468"/>
    <w:rsid w:val="000C393D"/>
    <w:rsid w:val="000C3B9C"/>
    <w:rsid w:val="000C485C"/>
    <w:rsid w:val="000C54A9"/>
    <w:rsid w:val="000C6606"/>
    <w:rsid w:val="000C6A04"/>
    <w:rsid w:val="000C6FA7"/>
    <w:rsid w:val="000D1BFC"/>
    <w:rsid w:val="000D3729"/>
    <w:rsid w:val="000D516F"/>
    <w:rsid w:val="000D5DD1"/>
    <w:rsid w:val="000D5FE2"/>
    <w:rsid w:val="000D660D"/>
    <w:rsid w:val="000E044A"/>
    <w:rsid w:val="000E1A81"/>
    <w:rsid w:val="000E1E0F"/>
    <w:rsid w:val="000E22D5"/>
    <w:rsid w:val="000E27B6"/>
    <w:rsid w:val="000E28B3"/>
    <w:rsid w:val="000E2EB9"/>
    <w:rsid w:val="000E4271"/>
    <w:rsid w:val="000E4494"/>
    <w:rsid w:val="000E4CF6"/>
    <w:rsid w:val="000E4EE8"/>
    <w:rsid w:val="000E528D"/>
    <w:rsid w:val="000E5344"/>
    <w:rsid w:val="000E6531"/>
    <w:rsid w:val="000F12B4"/>
    <w:rsid w:val="000F1652"/>
    <w:rsid w:val="000F3E1E"/>
    <w:rsid w:val="000F4C32"/>
    <w:rsid w:val="000F57FD"/>
    <w:rsid w:val="000F6172"/>
    <w:rsid w:val="000F61A5"/>
    <w:rsid w:val="000F720D"/>
    <w:rsid w:val="00100034"/>
    <w:rsid w:val="00100F8A"/>
    <w:rsid w:val="00101036"/>
    <w:rsid w:val="001017CC"/>
    <w:rsid w:val="00101F76"/>
    <w:rsid w:val="001028EC"/>
    <w:rsid w:val="00103056"/>
    <w:rsid w:val="0010478C"/>
    <w:rsid w:val="00106FE1"/>
    <w:rsid w:val="001070D8"/>
    <w:rsid w:val="00107570"/>
    <w:rsid w:val="0011032E"/>
    <w:rsid w:val="001134B0"/>
    <w:rsid w:val="001137F8"/>
    <w:rsid w:val="00113D23"/>
    <w:rsid w:val="001156DC"/>
    <w:rsid w:val="0011663E"/>
    <w:rsid w:val="00117646"/>
    <w:rsid w:val="00121376"/>
    <w:rsid w:val="00121799"/>
    <w:rsid w:val="00121920"/>
    <w:rsid w:val="001222FC"/>
    <w:rsid w:val="001229CB"/>
    <w:rsid w:val="00122A8A"/>
    <w:rsid w:val="00124040"/>
    <w:rsid w:val="00124A51"/>
    <w:rsid w:val="0012504E"/>
    <w:rsid w:val="00126132"/>
    <w:rsid w:val="00126621"/>
    <w:rsid w:val="00127080"/>
    <w:rsid w:val="001273BE"/>
    <w:rsid w:val="001301E9"/>
    <w:rsid w:val="0013128A"/>
    <w:rsid w:val="00131C1A"/>
    <w:rsid w:val="00132BE0"/>
    <w:rsid w:val="00133A0A"/>
    <w:rsid w:val="001352B4"/>
    <w:rsid w:val="00136A73"/>
    <w:rsid w:val="0013753E"/>
    <w:rsid w:val="00137645"/>
    <w:rsid w:val="0014015A"/>
    <w:rsid w:val="00140816"/>
    <w:rsid w:val="00140B6D"/>
    <w:rsid w:val="00140E99"/>
    <w:rsid w:val="00141A73"/>
    <w:rsid w:val="00141EAA"/>
    <w:rsid w:val="001424E2"/>
    <w:rsid w:val="00142517"/>
    <w:rsid w:val="00142E7D"/>
    <w:rsid w:val="00144044"/>
    <w:rsid w:val="00144FF3"/>
    <w:rsid w:val="001456B0"/>
    <w:rsid w:val="00147022"/>
    <w:rsid w:val="0014706B"/>
    <w:rsid w:val="00147E14"/>
    <w:rsid w:val="0015067C"/>
    <w:rsid w:val="0015092E"/>
    <w:rsid w:val="00150A20"/>
    <w:rsid w:val="00151A15"/>
    <w:rsid w:val="00152BB2"/>
    <w:rsid w:val="00152F61"/>
    <w:rsid w:val="00154796"/>
    <w:rsid w:val="0015506B"/>
    <w:rsid w:val="00156B1E"/>
    <w:rsid w:val="00156D83"/>
    <w:rsid w:val="001570FD"/>
    <w:rsid w:val="00157130"/>
    <w:rsid w:val="00160172"/>
    <w:rsid w:val="001606DE"/>
    <w:rsid w:val="00160A2C"/>
    <w:rsid w:val="00160BF1"/>
    <w:rsid w:val="0016179F"/>
    <w:rsid w:val="0016192C"/>
    <w:rsid w:val="0016202B"/>
    <w:rsid w:val="00162913"/>
    <w:rsid w:val="00162B9D"/>
    <w:rsid w:val="00162D8E"/>
    <w:rsid w:val="00162F2E"/>
    <w:rsid w:val="001638EB"/>
    <w:rsid w:val="00163EFF"/>
    <w:rsid w:val="001646A6"/>
    <w:rsid w:val="001647D4"/>
    <w:rsid w:val="00165231"/>
    <w:rsid w:val="001661FB"/>
    <w:rsid w:val="0016632B"/>
    <w:rsid w:val="0017012B"/>
    <w:rsid w:val="00170134"/>
    <w:rsid w:val="00171183"/>
    <w:rsid w:val="00172471"/>
    <w:rsid w:val="00173075"/>
    <w:rsid w:val="00173AED"/>
    <w:rsid w:val="00174740"/>
    <w:rsid w:val="00174CCD"/>
    <w:rsid w:val="00175026"/>
    <w:rsid w:val="00175C87"/>
    <w:rsid w:val="00175DE9"/>
    <w:rsid w:val="00176305"/>
    <w:rsid w:val="00176A23"/>
    <w:rsid w:val="0018005C"/>
    <w:rsid w:val="00181300"/>
    <w:rsid w:val="001817D8"/>
    <w:rsid w:val="00181A5B"/>
    <w:rsid w:val="0018286B"/>
    <w:rsid w:val="00182F0A"/>
    <w:rsid w:val="00183784"/>
    <w:rsid w:val="00185CB5"/>
    <w:rsid w:val="001860BF"/>
    <w:rsid w:val="00186680"/>
    <w:rsid w:val="00187043"/>
    <w:rsid w:val="00190310"/>
    <w:rsid w:val="00192CE0"/>
    <w:rsid w:val="00193EED"/>
    <w:rsid w:val="00193F9E"/>
    <w:rsid w:val="001946CD"/>
    <w:rsid w:val="00195222"/>
    <w:rsid w:val="001952C6"/>
    <w:rsid w:val="001971A6"/>
    <w:rsid w:val="00197220"/>
    <w:rsid w:val="001975D8"/>
    <w:rsid w:val="00197F66"/>
    <w:rsid w:val="001A046B"/>
    <w:rsid w:val="001A0A40"/>
    <w:rsid w:val="001A30D7"/>
    <w:rsid w:val="001A3597"/>
    <w:rsid w:val="001A3CB8"/>
    <w:rsid w:val="001A5FC8"/>
    <w:rsid w:val="001A62EC"/>
    <w:rsid w:val="001A6982"/>
    <w:rsid w:val="001A7B0D"/>
    <w:rsid w:val="001B00A5"/>
    <w:rsid w:val="001B00DD"/>
    <w:rsid w:val="001B0B77"/>
    <w:rsid w:val="001B17BA"/>
    <w:rsid w:val="001B2494"/>
    <w:rsid w:val="001B2738"/>
    <w:rsid w:val="001B2AFB"/>
    <w:rsid w:val="001B2BF3"/>
    <w:rsid w:val="001B2BFD"/>
    <w:rsid w:val="001B2D68"/>
    <w:rsid w:val="001B3443"/>
    <w:rsid w:val="001B3550"/>
    <w:rsid w:val="001B58F8"/>
    <w:rsid w:val="001B6188"/>
    <w:rsid w:val="001B7E09"/>
    <w:rsid w:val="001C03F8"/>
    <w:rsid w:val="001C0BEB"/>
    <w:rsid w:val="001C1010"/>
    <w:rsid w:val="001C1030"/>
    <w:rsid w:val="001C21FB"/>
    <w:rsid w:val="001C229D"/>
    <w:rsid w:val="001C368D"/>
    <w:rsid w:val="001C4271"/>
    <w:rsid w:val="001C6737"/>
    <w:rsid w:val="001C6A40"/>
    <w:rsid w:val="001C6E66"/>
    <w:rsid w:val="001C6FC5"/>
    <w:rsid w:val="001C706B"/>
    <w:rsid w:val="001C7E40"/>
    <w:rsid w:val="001D00D5"/>
    <w:rsid w:val="001D03B7"/>
    <w:rsid w:val="001D112E"/>
    <w:rsid w:val="001D134B"/>
    <w:rsid w:val="001D24D9"/>
    <w:rsid w:val="001D25AA"/>
    <w:rsid w:val="001D31BC"/>
    <w:rsid w:val="001D34ED"/>
    <w:rsid w:val="001D3CA4"/>
    <w:rsid w:val="001D3CDF"/>
    <w:rsid w:val="001D51EB"/>
    <w:rsid w:val="001D53F6"/>
    <w:rsid w:val="001E0188"/>
    <w:rsid w:val="001E20E2"/>
    <w:rsid w:val="001E238E"/>
    <w:rsid w:val="001E2ECD"/>
    <w:rsid w:val="001E4834"/>
    <w:rsid w:val="001E52EB"/>
    <w:rsid w:val="001E5891"/>
    <w:rsid w:val="001E5E43"/>
    <w:rsid w:val="001E740C"/>
    <w:rsid w:val="001E770E"/>
    <w:rsid w:val="001F0B39"/>
    <w:rsid w:val="001F0EE8"/>
    <w:rsid w:val="001F1235"/>
    <w:rsid w:val="001F1B9D"/>
    <w:rsid w:val="001F1CB3"/>
    <w:rsid w:val="001F1EE9"/>
    <w:rsid w:val="001F2251"/>
    <w:rsid w:val="001F4DEB"/>
    <w:rsid w:val="001F5EA7"/>
    <w:rsid w:val="001F6504"/>
    <w:rsid w:val="001F70B4"/>
    <w:rsid w:val="001F7361"/>
    <w:rsid w:val="001F7CDE"/>
    <w:rsid w:val="00201863"/>
    <w:rsid w:val="002025FE"/>
    <w:rsid w:val="0020337C"/>
    <w:rsid w:val="00203C69"/>
    <w:rsid w:val="00203E8C"/>
    <w:rsid w:val="00203ECC"/>
    <w:rsid w:val="00205915"/>
    <w:rsid w:val="0020617C"/>
    <w:rsid w:val="0020710E"/>
    <w:rsid w:val="00207250"/>
    <w:rsid w:val="002105C1"/>
    <w:rsid w:val="00211E06"/>
    <w:rsid w:val="00211ECA"/>
    <w:rsid w:val="00214BDA"/>
    <w:rsid w:val="002152DB"/>
    <w:rsid w:val="00215AD7"/>
    <w:rsid w:val="00215EDC"/>
    <w:rsid w:val="002163FA"/>
    <w:rsid w:val="00216508"/>
    <w:rsid w:val="00217480"/>
    <w:rsid w:val="002177EB"/>
    <w:rsid w:val="0022020B"/>
    <w:rsid w:val="002203C4"/>
    <w:rsid w:val="00220913"/>
    <w:rsid w:val="00220C46"/>
    <w:rsid w:val="00221C4F"/>
    <w:rsid w:val="002226A0"/>
    <w:rsid w:val="00222FEB"/>
    <w:rsid w:val="00223B49"/>
    <w:rsid w:val="002243F9"/>
    <w:rsid w:val="0022456E"/>
    <w:rsid w:val="002246C1"/>
    <w:rsid w:val="00224BE9"/>
    <w:rsid w:val="00224DD4"/>
    <w:rsid w:val="00225A49"/>
    <w:rsid w:val="00225B6A"/>
    <w:rsid w:val="00226E03"/>
    <w:rsid w:val="002303A4"/>
    <w:rsid w:val="00230749"/>
    <w:rsid w:val="002309CC"/>
    <w:rsid w:val="00230B04"/>
    <w:rsid w:val="00233738"/>
    <w:rsid w:val="002345D1"/>
    <w:rsid w:val="00234F37"/>
    <w:rsid w:val="00235F63"/>
    <w:rsid w:val="002363CD"/>
    <w:rsid w:val="00236AE1"/>
    <w:rsid w:val="0023741D"/>
    <w:rsid w:val="002375F8"/>
    <w:rsid w:val="002417D6"/>
    <w:rsid w:val="002425C2"/>
    <w:rsid w:val="0024431C"/>
    <w:rsid w:val="00244759"/>
    <w:rsid w:val="0024549A"/>
    <w:rsid w:val="00245F20"/>
    <w:rsid w:val="0024661D"/>
    <w:rsid w:val="00247D52"/>
    <w:rsid w:val="00250170"/>
    <w:rsid w:val="002518AF"/>
    <w:rsid w:val="00255340"/>
    <w:rsid w:val="0025534B"/>
    <w:rsid w:val="00255BB7"/>
    <w:rsid w:val="00256D1B"/>
    <w:rsid w:val="002570C5"/>
    <w:rsid w:val="002605EE"/>
    <w:rsid w:val="002612F2"/>
    <w:rsid w:val="00261A1E"/>
    <w:rsid w:val="00261A50"/>
    <w:rsid w:val="002624F0"/>
    <w:rsid w:val="00262659"/>
    <w:rsid w:val="00262941"/>
    <w:rsid w:val="00262A87"/>
    <w:rsid w:val="0026365A"/>
    <w:rsid w:val="002637DF"/>
    <w:rsid w:val="00263EE9"/>
    <w:rsid w:val="002642EF"/>
    <w:rsid w:val="0026526E"/>
    <w:rsid w:val="002652A5"/>
    <w:rsid w:val="002667CE"/>
    <w:rsid w:val="00266D7C"/>
    <w:rsid w:val="00266F75"/>
    <w:rsid w:val="00267DCD"/>
    <w:rsid w:val="00270B15"/>
    <w:rsid w:val="002716CB"/>
    <w:rsid w:val="002723E2"/>
    <w:rsid w:val="0027293C"/>
    <w:rsid w:val="00274F63"/>
    <w:rsid w:val="00275629"/>
    <w:rsid w:val="00275C5A"/>
    <w:rsid w:val="00277B8C"/>
    <w:rsid w:val="002819F1"/>
    <w:rsid w:val="00287C97"/>
    <w:rsid w:val="00290483"/>
    <w:rsid w:val="0029240B"/>
    <w:rsid w:val="00293306"/>
    <w:rsid w:val="0029367E"/>
    <w:rsid w:val="00293E10"/>
    <w:rsid w:val="002945DB"/>
    <w:rsid w:val="00296092"/>
    <w:rsid w:val="0029634A"/>
    <w:rsid w:val="00296C15"/>
    <w:rsid w:val="002A0141"/>
    <w:rsid w:val="002A0D1E"/>
    <w:rsid w:val="002A1258"/>
    <w:rsid w:val="002A14AB"/>
    <w:rsid w:val="002A2AE2"/>
    <w:rsid w:val="002A3B8E"/>
    <w:rsid w:val="002A4475"/>
    <w:rsid w:val="002A4849"/>
    <w:rsid w:val="002A5762"/>
    <w:rsid w:val="002A5E87"/>
    <w:rsid w:val="002A6070"/>
    <w:rsid w:val="002A7394"/>
    <w:rsid w:val="002B0698"/>
    <w:rsid w:val="002B0CFF"/>
    <w:rsid w:val="002B1C1F"/>
    <w:rsid w:val="002B1DBA"/>
    <w:rsid w:val="002B2F12"/>
    <w:rsid w:val="002B363A"/>
    <w:rsid w:val="002B40F7"/>
    <w:rsid w:val="002B432F"/>
    <w:rsid w:val="002B5DD8"/>
    <w:rsid w:val="002B5E5C"/>
    <w:rsid w:val="002B6CCE"/>
    <w:rsid w:val="002B74B7"/>
    <w:rsid w:val="002B7D45"/>
    <w:rsid w:val="002C23C9"/>
    <w:rsid w:val="002C27C1"/>
    <w:rsid w:val="002C3C32"/>
    <w:rsid w:val="002C3D23"/>
    <w:rsid w:val="002C4FFE"/>
    <w:rsid w:val="002C51CE"/>
    <w:rsid w:val="002C59FB"/>
    <w:rsid w:val="002C7239"/>
    <w:rsid w:val="002D084F"/>
    <w:rsid w:val="002D0EF6"/>
    <w:rsid w:val="002D3450"/>
    <w:rsid w:val="002D3AE9"/>
    <w:rsid w:val="002D4537"/>
    <w:rsid w:val="002D63C9"/>
    <w:rsid w:val="002D732E"/>
    <w:rsid w:val="002D7665"/>
    <w:rsid w:val="002D782F"/>
    <w:rsid w:val="002D7BD9"/>
    <w:rsid w:val="002E0EA5"/>
    <w:rsid w:val="002E0F78"/>
    <w:rsid w:val="002E0FA2"/>
    <w:rsid w:val="002E113A"/>
    <w:rsid w:val="002E18C6"/>
    <w:rsid w:val="002E2C16"/>
    <w:rsid w:val="002E46B1"/>
    <w:rsid w:val="002E4C9B"/>
    <w:rsid w:val="002E50BF"/>
    <w:rsid w:val="002E532E"/>
    <w:rsid w:val="002E6C86"/>
    <w:rsid w:val="002F2F29"/>
    <w:rsid w:val="002F3D8F"/>
    <w:rsid w:val="002F4514"/>
    <w:rsid w:val="002F4CB2"/>
    <w:rsid w:val="002F4E16"/>
    <w:rsid w:val="002F5533"/>
    <w:rsid w:val="002F570C"/>
    <w:rsid w:val="002F5875"/>
    <w:rsid w:val="002F5F58"/>
    <w:rsid w:val="002F60C5"/>
    <w:rsid w:val="002F658D"/>
    <w:rsid w:val="002F7AF5"/>
    <w:rsid w:val="0030022F"/>
    <w:rsid w:val="00300E3F"/>
    <w:rsid w:val="00301017"/>
    <w:rsid w:val="003031D7"/>
    <w:rsid w:val="0030378A"/>
    <w:rsid w:val="00304B2A"/>
    <w:rsid w:val="00304C4E"/>
    <w:rsid w:val="00304F26"/>
    <w:rsid w:val="003054B9"/>
    <w:rsid w:val="00305B10"/>
    <w:rsid w:val="0030786C"/>
    <w:rsid w:val="00307F55"/>
    <w:rsid w:val="0031031A"/>
    <w:rsid w:val="00311B18"/>
    <w:rsid w:val="00311B66"/>
    <w:rsid w:val="003135AD"/>
    <w:rsid w:val="00315088"/>
    <w:rsid w:val="00315498"/>
    <w:rsid w:val="00316967"/>
    <w:rsid w:val="00317547"/>
    <w:rsid w:val="00317926"/>
    <w:rsid w:val="00321AC9"/>
    <w:rsid w:val="00321E63"/>
    <w:rsid w:val="003238CE"/>
    <w:rsid w:val="00323E30"/>
    <w:rsid w:val="003247A8"/>
    <w:rsid w:val="00324811"/>
    <w:rsid w:val="00325475"/>
    <w:rsid w:val="0032558B"/>
    <w:rsid w:val="0032562C"/>
    <w:rsid w:val="003262C5"/>
    <w:rsid w:val="003306ED"/>
    <w:rsid w:val="00330709"/>
    <w:rsid w:val="00330F28"/>
    <w:rsid w:val="00331676"/>
    <w:rsid w:val="00331EAE"/>
    <w:rsid w:val="0033203F"/>
    <w:rsid w:val="00332046"/>
    <w:rsid w:val="0033386A"/>
    <w:rsid w:val="00333AC0"/>
    <w:rsid w:val="00334FCA"/>
    <w:rsid w:val="003352D9"/>
    <w:rsid w:val="00336245"/>
    <w:rsid w:val="003366C9"/>
    <w:rsid w:val="003377E8"/>
    <w:rsid w:val="00337D70"/>
    <w:rsid w:val="00337F3C"/>
    <w:rsid w:val="00341042"/>
    <w:rsid w:val="003420CB"/>
    <w:rsid w:val="00342FAC"/>
    <w:rsid w:val="00345063"/>
    <w:rsid w:val="003456AF"/>
    <w:rsid w:val="003464F3"/>
    <w:rsid w:val="003465F1"/>
    <w:rsid w:val="003467E5"/>
    <w:rsid w:val="0034688D"/>
    <w:rsid w:val="003475C5"/>
    <w:rsid w:val="003476A6"/>
    <w:rsid w:val="003508E5"/>
    <w:rsid w:val="00350939"/>
    <w:rsid w:val="00350AE9"/>
    <w:rsid w:val="00350E76"/>
    <w:rsid w:val="00351942"/>
    <w:rsid w:val="0035227A"/>
    <w:rsid w:val="00352E00"/>
    <w:rsid w:val="00354EC0"/>
    <w:rsid w:val="003554F7"/>
    <w:rsid w:val="00355715"/>
    <w:rsid w:val="00355FC0"/>
    <w:rsid w:val="003561DF"/>
    <w:rsid w:val="0035620E"/>
    <w:rsid w:val="00356CDB"/>
    <w:rsid w:val="00357310"/>
    <w:rsid w:val="00357F21"/>
    <w:rsid w:val="003600B0"/>
    <w:rsid w:val="0036047A"/>
    <w:rsid w:val="00361DF6"/>
    <w:rsid w:val="003636A2"/>
    <w:rsid w:val="00363C65"/>
    <w:rsid w:val="00365C65"/>
    <w:rsid w:val="003661DC"/>
    <w:rsid w:val="00367D7D"/>
    <w:rsid w:val="0037067E"/>
    <w:rsid w:val="00371480"/>
    <w:rsid w:val="00371FE5"/>
    <w:rsid w:val="003734D4"/>
    <w:rsid w:val="00374FF8"/>
    <w:rsid w:val="0037534A"/>
    <w:rsid w:val="0038056F"/>
    <w:rsid w:val="0038079B"/>
    <w:rsid w:val="00381A65"/>
    <w:rsid w:val="00381F98"/>
    <w:rsid w:val="003827F3"/>
    <w:rsid w:val="0038365C"/>
    <w:rsid w:val="003864DB"/>
    <w:rsid w:val="00386C8B"/>
    <w:rsid w:val="00390487"/>
    <w:rsid w:val="00391C53"/>
    <w:rsid w:val="00392524"/>
    <w:rsid w:val="00393F75"/>
    <w:rsid w:val="003956CF"/>
    <w:rsid w:val="003964D1"/>
    <w:rsid w:val="003965DA"/>
    <w:rsid w:val="00396AB0"/>
    <w:rsid w:val="00396B81"/>
    <w:rsid w:val="00396CCE"/>
    <w:rsid w:val="00396FD0"/>
    <w:rsid w:val="00397500"/>
    <w:rsid w:val="003A0E7B"/>
    <w:rsid w:val="003A1A7A"/>
    <w:rsid w:val="003A29C1"/>
    <w:rsid w:val="003A2C74"/>
    <w:rsid w:val="003A2E4B"/>
    <w:rsid w:val="003A3C92"/>
    <w:rsid w:val="003A5D53"/>
    <w:rsid w:val="003A6F70"/>
    <w:rsid w:val="003A710D"/>
    <w:rsid w:val="003B0A86"/>
    <w:rsid w:val="003B0EF3"/>
    <w:rsid w:val="003B1592"/>
    <w:rsid w:val="003B2342"/>
    <w:rsid w:val="003B2B79"/>
    <w:rsid w:val="003B3C08"/>
    <w:rsid w:val="003B4E7B"/>
    <w:rsid w:val="003B6878"/>
    <w:rsid w:val="003B6E0B"/>
    <w:rsid w:val="003B79C2"/>
    <w:rsid w:val="003C02CA"/>
    <w:rsid w:val="003C07B3"/>
    <w:rsid w:val="003C0FDB"/>
    <w:rsid w:val="003C157A"/>
    <w:rsid w:val="003C17E6"/>
    <w:rsid w:val="003C25C4"/>
    <w:rsid w:val="003C2BF4"/>
    <w:rsid w:val="003C2EC6"/>
    <w:rsid w:val="003C4B28"/>
    <w:rsid w:val="003C5C5D"/>
    <w:rsid w:val="003D0C64"/>
    <w:rsid w:val="003D1828"/>
    <w:rsid w:val="003D1841"/>
    <w:rsid w:val="003D2422"/>
    <w:rsid w:val="003D28B5"/>
    <w:rsid w:val="003D2A62"/>
    <w:rsid w:val="003D2D39"/>
    <w:rsid w:val="003D34D8"/>
    <w:rsid w:val="003D35CE"/>
    <w:rsid w:val="003D3DE9"/>
    <w:rsid w:val="003D4763"/>
    <w:rsid w:val="003D4A76"/>
    <w:rsid w:val="003D5154"/>
    <w:rsid w:val="003D58CE"/>
    <w:rsid w:val="003D5D81"/>
    <w:rsid w:val="003D5EAC"/>
    <w:rsid w:val="003D6A9F"/>
    <w:rsid w:val="003E0446"/>
    <w:rsid w:val="003E077C"/>
    <w:rsid w:val="003E0826"/>
    <w:rsid w:val="003E1A0A"/>
    <w:rsid w:val="003E26CD"/>
    <w:rsid w:val="003E29DF"/>
    <w:rsid w:val="003E2C9C"/>
    <w:rsid w:val="003E5637"/>
    <w:rsid w:val="003E5B03"/>
    <w:rsid w:val="003E6322"/>
    <w:rsid w:val="003E73B6"/>
    <w:rsid w:val="003E78DB"/>
    <w:rsid w:val="003E78FD"/>
    <w:rsid w:val="003F05DA"/>
    <w:rsid w:val="003F0ECD"/>
    <w:rsid w:val="003F0F86"/>
    <w:rsid w:val="003F15B5"/>
    <w:rsid w:val="003F4156"/>
    <w:rsid w:val="003F41CF"/>
    <w:rsid w:val="003F5770"/>
    <w:rsid w:val="003F596F"/>
    <w:rsid w:val="003F5B93"/>
    <w:rsid w:val="003F61CD"/>
    <w:rsid w:val="003F6965"/>
    <w:rsid w:val="003F71F5"/>
    <w:rsid w:val="003F72B5"/>
    <w:rsid w:val="003F79B0"/>
    <w:rsid w:val="003F7EA8"/>
    <w:rsid w:val="00400A96"/>
    <w:rsid w:val="0040271A"/>
    <w:rsid w:val="0040284F"/>
    <w:rsid w:val="00402B35"/>
    <w:rsid w:val="00405465"/>
    <w:rsid w:val="00405D00"/>
    <w:rsid w:val="004063F1"/>
    <w:rsid w:val="00407C2C"/>
    <w:rsid w:val="004102AF"/>
    <w:rsid w:val="00410EC7"/>
    <w:rsid w:val="00411238"/>
    <w:rsid w:val="00411DE3"/>
    <w:rsid w:val="00412E0A"/>
    <w:rsid w:val="00414476"/>
    <w:rsid w:val="00414624"/>
    <w:rsid w:val="0041674B"/>
    <w:rsid w:val="0041728C"/>
    <w:rsid w:val="00420B9F"/>
    <w:rsid w:val="004211AA"/>
    <w:rsid w:val="00421EC3"/>
    <w:rsid w:val="004229F8"/>
    <w:rsid w:val="00422F58"/>
    <w:rsid w:val="00423477"/>
    <w:rsid w:val="00424759"/>
    <w:rsid w:val="00424F7F"/>
    <w:rsid w:val="00425456"/>
    <w:rsid w:val="00425CB2"/>
    <w:rsid w:val="0042697E"/>
    <w:rsid w:val="00426B16"/>
    <w:rsid w:val="00426D95"/>
    <w:rsid w:val="00426FC7"/>
    <w:rsid w:val="0043178F"/>
    <w:rsid w:val="004319F8"/>
    <w:rsid w:val="00431B4C"/>
    <w:rsid w:val="004334D9"/>
    <w:rsid w:val="004348CF"/>
    <w:rsid w:val="00434C58"/>
    <w:rsid w:val="0043514E"/>
    <w:rsid w:val="0043549D"/>
    <w:rsid w:val="00436B73"/>
    <w:rsid w:val="00436EEC"/>
    <w:rsid w:val="0044294D"/>
    <w:rsid w:val="00442ADF"/>
    <w:rsid w:val="004443A7"/>
    <w:rsid w:val="00444490"/>
    <w:rsid w:val="0044501B"/>
    <w:rsid w:val="004464EB"/>
    <w:rsid w:val="0044656A"/>
    <w:rsid w:val="00446B3F"/>
    <w:rsid w:val="00447A2A"/>
    <w:rsid w:val="00450BA9"/>
    <w:rsid w:val="004511A8"/>
    <w:rsid w:val="00451C34"/>
    <w:rsid w:val="004529CB"/>
    <w:rsid w:val="00452C00"/>
    <w:rsid w:val="00452FB1"/>
    <w:rsid w:val="00454122"/>
    <w:rsid w:val="004544BD"/>
    <w:rsid w:val="00454E5B"/>
    <w:rsid w:val="00455130"/>
    <w:rsid w:val="0045516B"/>
    <w:rsid w:val="00455905"/>
    <w:rsid w:val="00455D45"/>
    <w:rsid w:val="004570B3"/>
    <w:rsid w:val="00457256"/>
    <w:rsid w:val="00461D56"/>
    <w:rsid w:val="004629FF"/>
    <w:rsid w:val="00462D3D"/>
    <w:rsid w:val="0046340F"/>
    <w:rsid w:val="00463D10"/>
    <w:rsid w:val="00464595"/>
    <w:rsid w:val="00467714"/>
    <w:rsid w:val="00470177"/>
    <w:rsid w:val="00470224"/>
    <w:rsid w:val="00471499"/>
    <w:rsid w:val="00471D1A"/>
    <w:rsid w:val="00472359"/>
    <w:rsid w:val="004724B9"/>
    <w:rsid w:val="004728FE"/>
    <w:rsid w:val="00473018"/>
    <w:rsid w:val="00473A99"/>
    <w:rsid w:val="0047456A"/>
    <w:rsid w:val="004753CE"/>
    <w:rsid w:val="00475643"/>
    <w:rsid w:val="00475907"/>
    <w:rsid w:val="00475D8C"/>
    <w:rsid w:val="004761AE"/>
    <w:rsid w:val="0047701F"/>
    <w:rsid w:val="00480E34"/>
    <w:rsid w:val="00481639"/>
    <w:rsid w:val="004816BA"/>
    <w:rsid w:val="00481992"/>
    <w:rsid w:val="0048326A"/>
    <w:rsid w:val="00484788"/>
    <w:rsid w:val="00485C8D"/>
    <w:rsid w:val="00485F71"/>
    <w:rsid w:val="004867E2"/>
    <w:rsid w:val="004875E2"/>
    <w:rsid w:val="004878D8"/>
    <w:rsid w:val="00487D61"/>
    <w:rsid w:val="00490EE8"/>
    <w:rsid w:val="00491188"/>
    <w:rsid w:val="00491B3A"/>
    <w:rsid w:val="00492199"/>
    <w:rsid w:val="00492F51"/>
    <w:rsid w:val="004939D0"/>
    <w:rsid w:val="00494101"/>
    <w:rsid w:val="00495C0B"/>
    <w:rsid w:val="00495C36"/>
    <w:rsid w:val="00496BA9"/>
    <w:rsid w:val="00497852"/>
    <w:rsid w:val="00497F10"/>
    <w:rsid w:val="004A059D"/>
    <w:rsid w:val="004A0DA1"/>
    <w:rsid w:val="004A199B"/>
    <w:rsid w:val="004A2CB2"/>
    <w:rsid w:val="004A3137"/>
    <w:rsid w:val="004A31A2"/>
    <w:rsid w:val="004A4915"/>
    <w:rsid w:val="004A50C2"/>
    <w:rsid w:val="004A6597"/>
    <w:rsid w:val="004A7158"/>
    <w:rsid w:val="004A7338"/>
    <w:rsid w:val="004A741C"/>
    <w:rsid w:val="004B147E"/>
    <w:rsid w:val="004B1E3F"/>
    <w:rsid w:val="004B2F18"/>
    <w:rsid w:val="004B3059"/>
    <w:rsid w:val="004B366E"/>
    <w:rsid w:val="004B3DDB"/>
    <w:rsid w:val="004B44FD"/>
    <w:rsid w:val="004B48BB"/>
    <w:rsid w:val="004B4AB8"/>
    <w:rsid w:val="004B4B74"/>
    <w:rsid w:val="004B4BF0"/>
    <w:rsid w:val="004B5CFC"/>
    <w:rsid w:val="004B5E9D"/>
    <w:rsid w:val="004B6994"/>
    <w:rsid w:val="004C153B"/>
    <w:rsid w:val="004C1987"/>
    <w:rsid w:val="004C1D74"/>
    <w:rsid w:val="004C27E1"/>
    <w:rsid w:val="004C2B7A"/>
    <w:rsid w:val="004C2EF1"/>
    <w:rsid w:val="004C3693"/>
    <w:rsid w:val="004C4AED"/>
    <w:rsid w:val="004C4DF9"/>
    <w:rsid w:val="004C56FB"/>
    <w:rsid w:val="004D0C2A"/>
    <w:rsid w:val="004D15CF"/>
    <w:rsid w:val="004D15F6"/>
    <w:rsid w:val="004D3A00"/>
    <w:rsid w:val="004D422D"/>
    <w:rsid w:val="004D491D"/>
    <w:rsid w:val="004D58FC"/>
    <w:rsid w:val="004D7DD4"/>
    <w:rsid w:val="004E0309"/>
    <w:rsid w:val="004E0355"/>
    <w:rsid w:val="004E095A"/>
    <w:rsid w:val="004E0EB8"/>
    <w:rsid w:val="004E24E0"/>
    <w:rsid w:val="004E2ADC"/>
    <w:rsid w:val="004E33A9"/>
    <w:rsid w:val="004E3785"/>
    <w:rsid w:val="004E38A7"/>
    <w:rsid w:val="004E4681"/>
    <w:rsid w:val="004E46E2"/>
    <w:rsid w:val="004E47BD"/>
    <w:rsid w:val="004E4878"/>
    <w:rsid w:val="004E4CB1"/>
    <w:rsid w:val="004E4EA5"/>
    <w:rsid w:val="004E522F"/>
    <w:rsid w:val="004E6628"/>
    <w:rsid w:val="004E781A"/>
    <w:rsid w:val="004F0C58"/>
    <w:rsid w:val="004F1D02"/>
    <w:rsid w:val="004F22F2"/>
    <w:rsid w:val="004F2679"/>
    <w:rsid w:val="004F3CED"/>
    <w:rsid w:val="004F4502"/>
    <w:rsid w:val="004F5764"/>
    <w:rsid w:val="004F58F5"/>
    <w:rsid w:val="004F59F5"/>
    <w:rsid w:val="004F5DF2"/>
    <w:rsid w:val="004F5EF4"/>
    <w:rsid w:val="004F6253"/>
    <w:rsid w:val="004F692F"/>
    <w:rsid w:val="005002D0"/>
    <w:rsid w:val="0050276F"/>
    <w:rsid w:val="005030AD"/>
    <w:rsid w:val="00503697"/>
    <w:rsid w:val="0050384D"/>
    <w:rsid w:val="00504263"/>
    <w:rsid w:val="0050445C"/>
    <w:rsid w:val="005047EE"/>
    <w:rsid w:val="00504846"/>
    <w:rsid w:val="00505595"/>
    <w:rsid w:val="0050636D"/>
    <w:rsid w:val="005063AE"/>
    <w:rsid w:val="0050681D"/>
    <w:rsid w:val="00506E16"/>
    <w:rsid w:val="00507400"/>
    <w:rsid w:val="00507A36"/>
    <w:rsid w:val="00507AA3"/>
    <w:rsid w:val="00507DE0"/>
    <w:rsid w:val="00507FF5"/>
    <w:rsid w:val="00511EC3"/>
    <w:rsid w:val="0051246E"/>
    <w:rsid w:val="00513EBD"/>
    <w:rsid w:val="005148A5"/>
    <w:rsid w:val="005152B5"/>
    <w:rsid w:val="00516AD2"/>
    <w:rsid w:val="00520436"/>
    <w:rsid w:val="00520BCE"/>
    <w:rsid w:val="00520DC2"/>
    <w:rsid w:val="00521319"/>
    <w:rsid w:val="0052193D"/>
    <w:rsid w:val="00522636"/>
    <w:rsid w:val="00523C28"/>
    <w:rsid w:val="00524302"/>
    <w:rsid w:val="0052650F"/>
    <w:rsid w:val="0053034B"/>
    <w:rsid w:val="005311AB"/>
    <w:rsid w:val="005314F5"/>
    <w:rsid w:val="00532587"/>
    <w:rsid w:val="00532F1A"/>
    <w:rsid w:val="00534DE4"/>
    <w:rsid w:val="00535382"/>
    <w:rsid w:val="0053561E"/>
    <w:rsid w:val="0053598F"/>
    <w:rsid w:val="00535B1C"/>
    <w:rsid w:val="00536DC3"/>
    <w:rsid w:val="00537248"/>
    <w:rsid w:val="005405ED"/>
    <w:rsid w:val="00540AAA"/>
    <w:rsid w:val="0054102E"/>
    <w:rsid w:val="005434CD"/>
    <w:rsid w:val="00543A09"/>
    <w:rsid w:val="00543E3D"/>
    <w:rsid w:val="00544B24"/>
    <w:rsid w:val="00545904"/>
    <w:rsid w:val="00547828"/>
    <w:rsid w:val="00550958"/>
    <w:rsid w:val="00551526"/>
    <w:rsid w:val="0055261E"/>
    <w:rsid w:val="00552ED9"/>
    <w:rsid w:val="00553CE8"/>
    <w:rsid w:val="00554433"/>
    <w:rsid w:val="00555109"/>
    <w:rsid w:val="00555679"/>
    <w:rsid w:val="00556803"/>
    <w:rsid w:val="00556E2A"/>
    <w:rsid w:val="00557464"/>
    <w:rsid w:val="005577CF"/>
    <w:rsid w:val="005579E7"/>
    <w:rsid w:val="0056187D"/>
    <w:rsid w:val="005619C2"/>
    <w:rsid w:val="0056276A"/>
    <w:rsid w:val="00565864"/>
    <w:rsid w:val="00565EC8"/>
    <w:rsid w:val="0056696F"/>
    <w:rsid w:val="00570A83"/>
    <w:rsid w:val="00572D46"/>
    <w:rsid w:val="00573C9B"/>
    <w:rsid w:val="00575EEA"/>
    <w:rsid w:val="00576972"/>
    <w:rsid w:val="0057706D"/>
    <w:rsid w:val="00577717"/>
    <w:rsid w:val="00577F11"/>
    <w:rsid w:val="005801E9"/>
    <w:rsid w:val="0058142C"/>
    <w:rsid w:val="0058278C"/>
    <w:rsid w:val="0058297A"/>
    <w:rsid w:val="005833FB"/>
    <w:rsid w:val="00583699"/>
    <w:rsid w:val="00584017"/>
    <w:rsid w:val="005841BB"/>
    <w:rsid w:val="005841D6"/>
    <w:rsid w:val="0058533F"/>
    <w:rsid w:val="00585EF8"/>
    <w:rsid w:val="0058792F"/>
    <w:rsid w:val="00590358"/>
    <w:rsid w:val="00590765"/>
    <w:rsid w:val="00590BED"/>
    <w:rsid w:val="00590E09"/>
    <w:rsid w:val="0059130A"/>
    <w:rsid w:val="00591C04"/>
    <w:rsid w:val="0059224E"/>
    <w:rsid w:val="00593827"/>
    <w:rsid w:val="005951B8"/>
    <w:rsid w:val="005951DB"/>
    <w:rsid w:val="005965EE"/>
    <w:rsid w:val="005A127C"/>
    <w:rsid w:val="005A12BB"/>
    <w:rsid w:val="005A1527"/>
    <w:rsid w:val="005A2A5C"/>
    <w:rsid w:val="005A3A34"/>
    <w:rsid w:val="005A4C05"/>
    <w:rsid w:val="005A4EA6"/>
    <w:rsid w:val="005A5BD3"/>
    <w:rsid w:val="005A63DF"/>
    <w:rsid w:val="005A7767"/>
    <w:rsid w:val="005A7ACB"/>
    <w:rsid w:val="005A7E4C"/>
    <w:rsid w:val="005B06EE"/>
    <w:rsid w:val="005B12F8"/>
    <w:rsid w:val="005B2783"/>
    <w:rsid w:val="005B479C"/>
    <w:rsid w:val="005B4CD6"/>
    <w:rsid w:val="005B5304"/>
    <w:rsid w:val="005B5857"/>
    <w:rsid w:val="005B5990"/>
    <w:rsid w:val="005B5A8F"/>
    <w:rsid w:val="005B68D6"/>
    <w:rsid w:val="005B73AB"/>
    <w:rsid w:val="005B7556"/>
    <w:rsid w:val="005B7B69"/>
    <w:rsid w:val="005B7C96"/>
    <w:rsid w:val="005C1B83"/>
    <w:rsid w:val="005C346B"/>
    <w:rsid w:val="005C4841"/>
    <w:rsid w:val="005C4FE7"/>
    <w:rsid w:val="005C5069"/>
    <w:rsid w:val="005C7015"/>
    <w:rsid w:val="005C746B"/>
    <w:rsid w:val="005D0726"/>
    <w:rsid w:val="005D0B83"/>
    <w:rsid w:val="005D18AD"/>
    <w:rsid w:val="005D1BCE"/>
    <w:rsid w:val="005D2410"/>
    <w:rsid w:val="005D2414"/>
    <w:rsid w:val="005D2C7E"/>
    <w:rsid w:val="005D3236"/>
    <w:rsid w:val="005D406F"/>
    <w:rsid w:val="005D49A6"/>
    <w:rsid w:val="005D63F2"/>
    <w:rsid w:val="005D69E4"/>
    <w:rsid w:val="005D6BFA"/>
    <w:rsid w:val="005D7E3E"/>
    <w:rsid w:val="005E0D21"/>
    <w:rsid w:val="005E165F"/>
    <w:rsid w:val="005E3615"/>
    <w:rsid w:val="005E388E"/>
    <w:rsid w:val="005E3C2A"/>
    <w:rsid w:val="005E4850"/>
    <w:rsid w:val="005E7C0A"/>
    <w:rsid w:val="005F03A3"/>
    <w:rsid w:val="005F0BFC"/>
    <w:rsid w:val="005F21C3"/>
    <w:rsid w:val="005F2706"/>
    <w:rsid w:val="005F3CE3"/>
    <w:rsid w:val="005F3FDF"/>
    <w:rsid w:val="005F4906"/>
    <w:rsid w:val="005F6A8F"/>
    <w:rsid w:val="005F6BDB"/>
    <w:rsid w:val="006004D4"/>
    <w:rsid w:val="00600592"/>
    <w:rsid w:val="0060083D"/>
    <w:rsid w:val="00602212"/>
    <w:rsid w:val="006028EC"/>
    <w:rsid w:val="00602AA7"/>
    <w:rsid w:val="00603330"/>
    <w:rsid w:val="00603EC8"/>
    <w:rsid w:val="00604859"/>
    <w:rsid w:val="00604C07"/>
    <w:rsid w:val="006060BA"/>
    <w:rsid w:val="006063BF"/>
    <w:rsid w:val="00606770"/>
    <w:rsid w:val="00607669"/>
    <w:rsid w:val="00610217"/>
    <w:rsid w:val="00610294"/>
    <w:rsid w:val="00610634"/>
    <w:rsid w:val="006106EB"/>
    <w:rsid w:val="00611C8A"/>
    <w:rsid w:val="006126DD"/>
    <w:rsid w:val="00612882"/>
    <w:rsid w:val="00612DE4"/>
    <w:rsid w:val="00612F97"/>
    <w:rsid w:val="006141C1"/>
    <w:rsid w:val="00614DEC"/>
    <w:rsid w:val="00616802"/>
    <w:rsid w:val="00616EC8"/>
    <w:rsid w:val="00617499"/>
    <w:rsid w:val="00617E12"/>
    <w:rsid w:val="00621477"/>
    <w:rsid w:val="006218B1"/>
    <w:rsid w:val="00622259"/>
    <w:rsid w:val="00622E93"/>
    <w:rsid w:val="00622EBC"/>
    <w:rsid w:val="00623B54"/>
    <w:rsid w:val="00624450"/>
    <w:rsid w:val="0062457C"/>
    <w:rsid w:val="006247B8"/>
    <w:rsid w:val="0062595D"/>
    <w:rsid w:val="006279F3"/>
    <w:rsid w:val="00627ED2"/>
    <w:rsid w:val="00630678"/>
    <w:rsid w:val="0063093F"/>
    <w:rsid w:val="006309FB"/>
    <w:rsid w:val="006311DA"/>
    <w:rsid w:val="00631A96"/>
    <w:rsid w:val="00631D6B"/>
    <w:rsid w:val="00631E1F"/>
    <w:rsid w:val="00631FA7"/>
    <w:rsid w:val="00633619"/>
    <w:rsid w:val="00633C44"/>
    <w:rsid w:val="006341BD"/>
    <w:rsid w:val="0063479F"/>
    <w:rsid w:val="00634C1E"/>
    <w:rsid w:val="00634CEB"/>
    <w:rsid w:val="00635F51"/>
    <w:rsid w:val="006364A1"/>
    <w:rsid w:val="00636E44"/>
    <w:rsid w:val="00636F0C"/>
    <w:rsid w:val="00637BFD"/>
    <w:rsid w:val="00637ECE"/>
    <w:rsid w:val="00640024"/>
    <w:rsid w:val="0064086A"/>
    <w:rsid w:val="00640DF1"/>
    <w:rsid w:val="00640E66"/>
    <w:rsid w:val="006421DC"/>
    <w:rsid w:val="00642E4A"/>
    <w:rsid w:val="0064408A"/>
    <w:rsid w:val="00644179"/>
    <w:rsid w:val="00644392"/>
    <w:rsid w:val="00644E22"/>
    <w:rsid w:val="006456C3"/>
    <w:rsid w:val="0064572C"/>
    <w:rsid w:val="00645EBE"/>
    <w:rsid w:val="006460F8"/>
    <w:rsid w:val="0064670C"/>
    <w:rsid w:val="00646FB8"/>
    <w:rsid w:val="006471CC"/>
    <w:rsid w:val="00647375"/>
    <w:rsid w:val="006500FF"/>
    <w:rsid w:val="0065079F"/>
    <w:rsid w:val="006511F4"/>
    <w:rsid w:val="006514D4"/>
    <w:rsid w:val="00651CA1"/>
    <w:rsid w:val="00653568"/>
    <w:rsid w:val="0065385B"/>
    <w:rsid w:val="00654B84"/>
    <w:rsid w:val="00654F5A"/>
    <w:rsid w:val="00655048"/>
    <w:rsid w:val="00656332"/>
    <w:rsid w:val="00657002"/>
    <w:rsid w:val="00657D60"/>
    <w:rsid w:val="006612B8"/>
    <w:rsid w:val="006613BA"/>
    <w:rsid w:val="00661C56"/>
    <w:rsid w:val="00662B8D"/>
    <w:rsid w:val="0066347B"/>
    <w:rsid w:val="006636D1"/>
    <w:rsid w:val="006642BF"/>
    <w:rsid w:val="0066494B"/>
    <w:rsid w:val="006651A3"/>
    <w:rsid w:val="00665347"/>
    <w:rsid w:val="0066596E"/>
    <w:rsid w:val="006669E3"/>
    <w:rsid w:val="006673AC"/>
    <w:rsid w:val="00672752"/>
    <w:rsid w:val="00672D46"/>
    <w:rsid w:val="00673565"/>
    <w:rsid w:val="0067446E"/>
    <w:rsid w:val="00674E42"/>
    <w:rsid w:val="00675289"/>
    <w:rsid w:val="00676901"/>
    <w:rsid w:val="00682112"/>
    <w:rsid w:val="006838FE"/>
    <w:rsid w:val="00684445"/>
    <w:rsid w:val="00684ABA"/>
    <w:rsid w:val="0068658E"/>
    <w:rsid w:val="00686D86"/>
    <w:rsid w:val="00693A0A"/>
    <w:rsid w:val="00694F44"/>
    <w:rsid w:val="006958B7"/>
    <w:rsid w:val="00696C73"/>
    <w:rsid w:val="00696D8C"/>
    <w:rsid w:val="006970FD"/>
    <w:rsid w:val="006A1FC1"/>
    <w:rsid w:val="006A2ADD"/>
    <w:rsid w:val="006A3312"/>
    <w:rsid w:val="006A4BBE"/>
    <w:rsid w:val="006A571D"/>
    <w:rsid w:val="006B074E"/>
    <w:rsid w:val="006B085B"/>
    <w:rsid w:val="006B69C5"/>
    <w:rsid w:val="006B77F4"/>
    <w:rsid w:val="006B7E22"/>
    <w:rsid w:val="006C2A8E"/>
    <w:rsid w:val="006C320B"/>
    <w:rsid w:val="006C3937"/>
    <w:rsid w:val="006C4791"/>
    <w:rsid w:val="006C6B55"/>
    <w:rsid w:val="006D071D"/>
    <w:rsid w:val="006D0D8E"/>
    <w:rsid w:val="006D1F86"/>
    <w:rsid w:val="006D3C7D"/>
    <w:rsid w:val="006D4C26"/>
    <w:rsid w:val="006D5439"/>
    <w:rsid w:val="006D57B1"/>
    <w:rsid w:val="006D6347"/>
    <w:rsid w:val="006D67AD"/>
    <w:rsid w:val="006D72C7"/>
    <w:rsid w:val="006D78BB"/>
    <w:rsid w:val="006D7DC1"/>
    <w:rsid w:val="006E0540"/>
    <w:rsid w:val="006E0FC3"/>
    <w:rsid w:val="006E20B6"/>
    <w:rsid w:val="006E245C"/>
    <w:rsid w:val="006E25F4"/>
    <w:rsid w:val="006E2F65"/>
    <w:rsid w:val="006E4B57"/>
    <w:rsid w:val="006E506C"/>
    <w:rsid w:val="006E559B"/>
    <w:rsid w:val="006E55AC"/>
    <w:rsid w:val="006E57F9"/>
    <w:rsid w:val="006E6C10"/>
    <w:rsid w:val="006F076F"/>
    <w:rsid w:val="006F145C"/>
    <w:rsid w:val="006F18B9"/>
    <w:rsid w:val="006F21F2"/>
    <w:rsid w:val="006F2749"/>
    <w:rsid w:val="006F3F02"/>
    <w:rsid w:val="006F3F24"/>
    <w:rsid w:val="006F601A"/>
    <w:rsid w:val="006F63A5"/>
    <w:rsid w:val="006F7A4F"/>
    <w:rsid w:val="006F7A87"/>
    <w:rsid w:val="007001D6"/>
    <w:rsid w:val="00700206"/>
    <w:rsid w:val="007007B9"/>
    <w:rsid w:val="00700D4E"/>
    <w:rsid w:val="0070276E"/>
    <w:rsid w:val="007028CD"/>
    <w:rsid w:val="00702A99"/>
    <w:rsid w:val="00703559"/>
    <w:rsid w:val="007051EF"/>
    <w:rsid w:val="00705322"/>
    <w:rsid w:val="007056F8"/>
    <w:rsid w:val="00705FDC"/>
    <w:rsid w:val="00706F4E"/>
    <w:rsid w:val="00711A36"/>
    <w:rsid w:val="00715DB7"/>
    <w:rsid w:val="00715FF4"/>
    <w:rsid w:val="00716C84"/>
    <w:rsid w:val="00716E0C"/>
    <w:rsid w:val="007172AD"/>
    <w:rsid w:val="007174FC"/>
    <w:rsid w:val="007208AC"/>
    <w:rsid w:val="007225AA"/>
    <w:rsid w:val="0072328B"/>
    <w:rsid w:val="00723A2F"/>
    <w:rsid w:val="007251FC"/>
    <w:rsid w:val="00725B54"/>
    <w:rsid w:val="007265FB"/>
    <w:rsid w:val="00726C4A"/>
    <w:rsid w:val="00727A4C"/>
    <w:rsid w:val="0073009F"/>
    <w:rsid w:val="007307A8"/>
    <w:rsid w:val="00730B8D"/>
    <w:rsid w:val="007312E9"/>
    <w:rsid w:val="00731BCF"/>
    <w:rsid w:val="00731DD2"/>
    <w:rsid w:val="007321CC"/>
    <w:rsid w:val="007323C6"/>
    <w:rsid w:val="0073243F"/>
    <w:rsid w:val="007324E5"/>
    <w:rsid w:val="00732862"/>
    <w:rsid w:val="00732FF3"/>
    <w:rsid w:val="00735328"/>
    <w:rsid w:val="00735724"/>
    <w:rsid w:val="0073685B"/>
    <w:rsid w:val="007401A7"/>
    <w:rsid w:val="00740988"/>
    <w:rsid w:val="00740E5C"/>
    <w:rsid w:val="00741634"/>
    <w:rsid w:val="00742902"/>
    <w:rsid w:val="007437AD"/>
    <w:rsid w:val="00744296"/>
    <w:rsid w:val="00744FF1"/>
    <w:rsid w:val="007452F2"/>
    <w:rsid w:val="007458FC"/>
    <w:rsid w:val="00745ED8"/>
    <w:rsid w:val="0074640A"/>
    <w:rsid w:val="007474AD"/>
    <w:rsid w:val="00750634"/>
    <w:rsid w:val="007507A6"/>
    <w:rsid w:val="00752DF8"/>
    <w:rsid w:val="00753EFA"/>
    <w:rsid w:val="0075442D"/>
    <w:rsid w:val="00754CEB"/>
    <w:rsid w:val="00754E22"/>
    <w:rsid w:val="00755154"/>
    <w:rsid w:val="00755CE0"/>
    <w:rsid w:val="00756719"/>
    <w:rsid w:val="00760135"/>
    <w:rsid w:val="0076316A"/>
    <w:rsid w:val="00764BBB"/>
    <w:rsid w:val="007650C6"/>
    <w:rsid w:val="0076772F"/>
    <w:rsid w:val="00772EE7"/>
    <w:rsid w:val="0077302E"/>
    <w:rsid w:val="00773FB8"/>
    <w:rsid w:val="00774367"/>
    <w:rsid w:val="00774779"/>
    <w:rsid w:val="00774B11"/>
    <w:rsid w:val="00774B56"/>
    <w:rsid w:val="00775F8C"/>
    <w:rsid w:val="0077647C"/>
    <w:rsid w:val="00781CF1"/>
    <w:rsid w:val="0078216A"/>
    <w:rsid w:val="0078239B"/>
    <w:rsid w:val="00782998"/>
    <w:rsid w:val="00783FC5"/>
    <w:rsid w:val="007843C2"/>
    <w:rsid w:val="007856CA"/>
    <w:rsid w:val="00785E63"/>
    <w:rsid w:val="00786D56"/>
    <w:rsid w:val="007904F3"/>
    <w:rsid w:val="00790BEF"/>
    <w:rsid w:val="0079261E"/>
    <w:rsid w:val="00793B14"/>
    <w:rsid w:val="00794013"/>
    <w:rsid w:val="0079415C"/>
    <w:rsid w:val="007952C8"/>
    <w:rsid w:val="00795D3F"/>
    <w:rsid w:val="00797059"/>
    <w:rsid w:val="00797AA0"/>
    <w:rsid w:val="007A2435"/>
    <w:rsid w:val="007A2A3A"/>
    <w:rsid w:val="007A30D5"/>
    <w:rsid w:val="007A37FF"/>
    <w:rsid w:val="007A3EA8"/>
    <w:rsid w:val="007A41C9"/>
    <w:rsid w:val="007A5AF1"/>
    <w:rsid w:val="007A77AF"/>
    <w:rsid w:val="007A78DC"/>
    <w:rsid w:val="007A7E51"/>
    <w:rsid w:val="007B0EA7"/>
    <w:rsid w:val="007B251D"/>
    <w:rsid w:val="007B5509"/>
    <w:rsid w:val="007B58BD"/>
    <w:rsid w:val="007B64D4"/>
    <w:rsid w:val="007B694F"/>
    <w:rsid w:val="007B7642"/>
    <w:rsid w:val="007B77D1"/>
    <w:rsid w:val="007C0BA4"/>
    <w:rsid w:val="007C1584"/>
    <w:rsid w:val="007C2894"/>
    <w:rsid w:val="007C2ABF"/>
    <w:rsid w:val="007C62E8"/>
    <w:rsid w:val="007C76BB"/>
    <w:rsid w:val="007D0B38"/>
    <w:rsid w:val="007D0F86"/>
    <w:rsid w:val="007D0FE3"/>
    <w:rsid w:val="007D2304"/>
    <w:rsid w:val="007D263A"/>
    <w:rsid w:val="007D3715"/>
    <w:rsid w:val="007D5352"/>
    <w:rsid w:val="007D5F8C"/>
    <w:rsid w:val="007D7827"/>
    <w:rsid w:val="007E1E52"/>
    <w:rsid w:val="007E2983"/>
    <w:rsid w:val="007E29F7"/>
    <w:rsid w:val="007E33A6"/>
    <w:rsid w:val="007E3B98"/>
    <w:rsid w:val="007E3CA7"/>
    <w:rsid w:val="007E3DF7"/>
    <w:rsid w:val="007E3E52"/>
    <w:rsid w:val="007E578B"/>
    <w:rsid w:val="007E5D03"/>
    <w:rsid w:val="007E7787"/>
    <w:rsid w:val="007E7BA8"/>
    <w:rsid w:val="007F1017"/>
    <w:rsid w:val="007F1A9E"/>
    <w:rsid w:val="007F3384"/>
    <w:rsid w:val="007F371C"/>
    <w:rsid w:val="007F4972"/>
    <w:rsid w:val="007F4A3F"/>
    <w:rsid w:val="007F6463"/>
    <w:rsid w:val="007F7601"/>
    <w:rsid w:val="008014BB"/>
    <w:rsid w:val="00802263"/>
    <w:rsid w:val="008025C7"/>
    <w:rsid w:val="00802C0E"/>
    <w:rsid w:val="0080412D"/>
    <w:rsid w:val="00804514"/>
    <w:rsid w:val="00805142"/>
    <w:rsid w:val="00805CB9"/>
    <w:rsid w:val="00805D41"/>
    <w:rsid w:val="0080642D"/>
    <w:rsid w:val="008064A4"/>
    <w:rsid w:val="00807A8B"/>
    <w:rsid w:val="00811D23"/>
    <w:rsid w:val="00812149"/>
    <w:rsid w:val="00813CFB"/>
    <w:rsid w:val="0081418E"/>
    <w:rsid w:val="00815A6F"/>
    <w:rsid w:val="008166EF"/>
    <w:rsid w:val="008238E4"/>
    <w:rsid w:val="00824744"/>
    <w:rsid w:val="00826354"/>
    <w:rsid w:val="008264EB"/>
    <w:rsid w:val="00827D4D"/>
    <w:rsid w:val="008307BB"/>
    <w:rsid w:val="00830AC1"/>
    <w:rsid w:val="00830B4F"/>
    <w:rsid w:val="00831C8B"/>
    <w:rsid w:val="00831E80"/>
    <w:rsid w:val="0083517B"/>
    <w:rsid w:val="00835218"/>
    <w:rsid w:val="00836333"/>
    <w:rsid w:val="00836DCF"/>
    <w:rsid w:val="00837A01"/>
    <w:rsid w:val="00840CA2"/>
    <w:rsid w:val="0084171E"/>
    <w:rsid w:val="00841980"/>
    <w:rsid w:val="0084398C"/>
    <w:rsid w:val="00844EBF"/>
    <w:rsid w:val="008456AE"/>
    <w:rsid w:val="008461FD"/>
    <w:rsid w:val="00846363"/>
    <w:rsid w:val="008479F1"/>
    <w:rsid w:val="008502BB"/>
    <w:rsid w:val="00850D88"/>
    <w:rsid w:val="00851B72"/>
    <w:rsid w:val="008525AF"/>
    <w:rsid w:val="008530AE"/>
    <w:rsid w:val="008534FE"/>
    <w:rsid w:val="008536B0"/>
    <w:rsid w:val="0085432D"/>
    <w:rsid w:val="008544FB"/>
    <w:rsid w:val="008545E0"/>
    <w:rsid w:val="00856E9A"/>
    <w:rsid w:val="00857D3C"/>
    <w:rsid w:val="008608CD"/>
    <w:rsid w:val="00860B01"/>
    <w:rsid w:val="00860C42"/>
    <w:rsid w:val="00861267"/>
    <w:rsid w:val="00861EFC"/>
    <w:rsid w:val="00862EC7"/>
    <w:rsid w:val="00863593"/>
    <w:rsid w:val="008636DF"/>
    <w:rsid w:val="008646A3"/>
    <w:rsid w:val="00865ECB"/>
    <w:rsid w:val="00870682"/>
    <w:rsid w:val="008711A6"/>
    <w:rsid w:val="00871981"/>
    <w:rsid w:val="00872800"/>
    <w:rsid w:val="00873CD4"/>
    <w:rsid w:val="00874B09"/>
    <w:rsid w:val="008756C3"/>
    <w:rsid w:val="00876FF8"/>
    <w:rsid w:val="008811E4"/>
    <w:rsid w:val="0088170D"/>
    <w:rsid w:val="008825A9"/>
    <w:rsid w:val="00882739"/>
    <w:rsid w:val="00882874"/>
    <w:rsid w:val="0088354C"/>
    <w:rsid w:val="00883787"/>
    <w:rsid w:val="00883F89"/>
    <w:rsid w:val="0088414C"/>
    <w:rsid w:val="008841F6"/>
    <w:rsid w:val="008842DC"/>
    <w:rsid w:val="0088620D"/>
    <w:rsid w:val="008862B2"/>
    <w:rsid w:val="00886CE9"/>
    <w:rsid w:val="008917D0"/>
    <w:rsid w:val="00891A37"/>
    <w:rsid w:val="008927EC"/>
    <w:rsid w:val="0089482A"/>
    <w:rsid w:val="00894E5E"/>
    <w:rsid w:val="0089529A"/>
    <w:rsid w:val="008963A5"/>
    <w:rsid w:val="008A0139"/>
    <w:rsid w:val="008A1702"/>
    <w:rsid w:val="008A19A7"/>
    <w:rsid w:val="008A1CC0"/>
    <w:rsid w:val="008A22A9"/>
    <w:rsid w:val="008A2E67"/>
    <w:rsid w:val="008A3C3E"/>
    <w:rsid w:val="008A445B"/>
    <w:rsid w:val="008A645B"/>
    <w:rsid w:val="008A6A4E"/>
    <w:rsid w:val="008A774E"/>
    <w:rsid w:val="008A79DE"/>
    <w:rsid w:val="008A7E15"/>
    <w:rsid w:val="008B19D3"/>
    <w:rsid w:val="008B1A75"/>
    <w:rsid w:val="008B2BCB"/>
    <w:rsid w:val="008B2DB9"/>
    <w:rsid w:val="008B3DD7"/>
    <w:rsid w:val="008B3F8D"/>
    <w:rsid w:val="008B3FDA"/>
    <w:rsid w:val="008B53E6"/>
    <w:rsid w:val="008B5570"/>
    <w:rsid w:val="008B79A9"/>
    <w:rsid w:val="008B7D7E"/>
    <w:rsid w:val="008C007C"/>
    <w:rsid w:val="008C0123"/>
    <w:rsid w:val="008C1C95"/>
    <w:rsid w:val="008C2A12"/>
    <w:rsid w:val="008C2C79"/>
    <w:rsid w:val="008C3B19"/>
    <w:rsid w:val="008C41B9"/>
    <w:rsid w:val="008C5066"/>
    <w:rsid w:val="008C56CB"/>
    <w:rsid w:val="008C7399"/>
    <w:rsid w:val="008C7ECB"/>
    <w:rsid w:val="008D04B6"/>
    <w:rsid w:val="008D1284"/>
    <w:rsid w:val="008D15FB"/>
    <w:rsid w:val="008D325A"/>
    <w:rsid w:val="008D383B"/>
    <w:rsid w:val="008D4FF5"/>
    <w:rsid w:val="008D5464"/>
    <w:rsid w:val="008D5C48"/>
    <w:rsid w:val="008D5D85"/>
    <w:rsid w:val="008D629A"/>
    <w:rsid w:val="008D6C71"/>
    <w:rsid w:val="008D7C90"/>
    <w:rsid w:val="008E0CA8"/>
    <w:rsid w:val="008E19C6"/>
    <w:rsid w:val="008E1B9E"/>
    <w:rsid w:val="008E1F9A"/>
    <w:rsid w:val="008E43D9"/>
    <w:rsid w:val="008E73E4"/>
    <w:rsid w:val="008E75AC"/>
    <w:rsid w:val="008E767A"/>
    <w:rsid w:val="008F0051"/>
    <w:rsid w:val="008F0069"/>
    <w:rsid w:val="008F0C9D"/>
    <w:rsid w:val="008F0F7D"/>
    <w:rsid w:val="008F0F96"/>
    <w:rsid w:val="008F3ECF"/>
    <w:rsid w:val="008F440F"/>
    <w:rsid w:val="008F4678"/>
    <w:rsid w:val="008F48EB"/>
    <w:rsid w:val="008F4F0B"/>
    <w:rsid w:val="008F5A7D"/>
    <w:rsid w:val="008F644B"/>
    <w:rsid w:val="008F6E5B"/>
    <w:rsid w:val="008F7E9D"/>
    <w:rsid w:val="00900389"/>
    <w:rsid w:val="00901585"/>
    <w:rsid w:val="00902296"/>
    <w:rsid w:val="009035F5"/>
    <w:rsid w:val="009035F8"/>
    <w:rsid w:val="00903A97"/>
    <w:rsid w:val="009048D0"/>
    <w:rsid w:val="00905595"/>
    <w:rsid w:val="0090596A"/>
    <w:rsid w:val="009062A5"/>
    <w:rsid w:val="0090754F"/>
    <w:rsid w:val="00907918"/>
    <w:rsid w:val="0091099F"/>
    <w:rsid w:val="00911272"/>
    <w:rsid w:val="00911755"/>
    <w:rsid w:val="00912446"/>
    <w:rsid w:val="009125AA"/>
    <w:rsid w:val="00913CB7"/>
    <w:rsid w:val="00914057"/>
    <w:rsid w:val="00914370"/>
    <w:rsid w:val="0091494D"/>
    <w:rsid w:val="00915185"/>
    <w:rsid w:val="00915F50"/>
    <w:rsid w:val="0092288C"/>
    <w:rsid w:val="00923A0C"/>
    <w:rsid w:val="009246EC"/>
    <w:rsid w:val="009249D4"/>
    <w:rsid w:val="009278D7"/>
    <w:rsid w:val="009278FE"/>
    <w:rsid w:val="00930267"/>
    <w:rsid w:val="009305DD"/>
    <w:rsid w:val="00931FFD"/>
    <w:rsid w:val="00932520"/>
    <w:rsid w:val="009336E2"/>
    <w:rsid w:val="00933FAB"/>
    <w:rsid w:val="00934092"/>
    <w:rsid w:val="009341C3"/>
    <w:rsid w:val="00934372"/>
    <w:rsid w:val="009345A2"/>
    <w:rsid w:val="00934867"/>
    <w:rsid w:val="00941AA4"/>
    <w:rsid w:val="00942990"/>
    <w:rsid w:val="009429DD"/>
    <w:rsid w:val="00944941"/>
    <w:rsid w:val="00944F66"/>
    <w:rsid w:val="0094623D"/>
    <w:rsid w:val="0094716F"/>
    <w:rsid w:val="009501A8"/>
    <w:rsid w:val="00950672"/>
    <w:rsid w:val="00952596"/>
    <w:rsid w:val="00952833"/>
    <w:rsid w:val="00953058"/>
    <w:rsid w:val="00954FC2"/>
    <w:rsid w:val="00955239"/>
    <w:rsid w:val="009564DF"/>
    <w:rsid w:val="0095650E"/>
    <w:rsid w:val="00956C42"/>
    <w:rsid w:val="009579FE"/>
    <w:rsid w:val="00961AF9"/>
    <w:rsid w:val="00961C90"/>
    <w:rsid w:val="00961F7F"/>
    <w:rsid w:val="0096211F"/>
    <w:rsid w:val="009623F1"/>
    <w:rsid w:val="00962CB9"/>
    <w:rsid w:val="00964312"/>
    <w:rsid w:val="00966020"/>
    <w:rsid w:val="00966D66"/>
    <w:rsid w:val="00967C15"/>
    <w:rsid w:val="009700A6"/>
    <w:rsid w:val="009703A3"/>
    <w:rsid w:val="00970CCE"/>
    <w:rsid w:val="009711D8"/>
    <w:rsid w:val="009719F2"/>
    <w:rsid w:val="00972630"/>
    <w:rsid w:val="00973BF4"/>
    <w:rsid w:val="009768A2"/>
    <w:rsid w:val="00976984"/>
    <w:rsid w:val="00976B14"/>
    <w:rsid w:val="00976D7A"/>
    <w:rsid w:val="0098002F"/>
    <w:rsid w:val="009816B2"/>
    <w:rsid w:val="00981934"/>
    <w:rsid w:val="00982409"/>
    <w:rsid w:val="0098267D"/>
    <w:rsid w:val="00983269"/>
    <w:rsid w:val="00983614"/>
    <w:rsid w:val="00983E57"/>
    <w:rsid w:val="0098416D"/>
    <w:rsid w:val="00984A7E"/>
    <w:rsid w:val="00985911"/>
    <w:rsid w:val="00987308"/>
    <w:rsid w:val="00987962"/>
    <w:rsid w:val="00987C16"/>
    <w:rsid w:val="00991501"/>
    <w:rsid w:val="009930D4"/>
    <w:rsid w:val="00993CD8"/>
    <w:rsid w:val="0099565B"/>
    <w:rsid w:val="009957F0"/>
    <w:rsid w:val="00995BF6"/>
    <w:rsid w:val="0099660B"/>
    <w:rsid w:val="00996B1A"/>
    <w:rsid w:val="00997590"/>
    <w:rsid w:val="009A0F78"/>
    <w:rsid w:val="009A1716"/>
    <w:rsid w:val="009A28C8"/>
    <w:rsid w:val="009A7A69"/>
    <w:rsid w:val="009B0B58"/>
    <w:rsid w:val="009B108C"/>
    <w:rsid w:val="009B26DF"/>
    <w:rsid w:val="009B277E"/>
    <w:rsid w:val="009B3862"/>
    <w:rsid w:val="009B3E26"/>
    <w:rsid w:val="009B45D4"/>
    <w:rsid w:val="009B4615"/>
    <w:rsid w:val="009B5404"/>
    <w:rsid w:val="009B58BB"/>
    <w:rsid w:val="009B5F13"/>
    <w:rsid w:val="009B6027"/>
    <w:rsid w:val="009B62A6"/>
    <w:rsid w:val="009C0C31"/>
    <w:rsid w:val="009C110A"/>
    <w:rsid w:val="009C2CF2"/>
    <w:rsid w:val="009C3CE8"/>
    <w:rsid w:val="009C3FA4"/>
    <w:rsid w:val="009C44A9"/>
    <w:rsid w:val="009C545E"/>
    <w:rsid w:val="009C5CD5"/>
    <w:rsid w:val="009C6957"/>
    <w:rsid w:val="009C7816"/>
    <w:rsid w:val="009D0B65"/>
    <w:rsid w:val="009D105E"/>
    <w:rsid w:val="009D12E0"/>
    <w:rsid w:val="009D17C8"/>
    <w:rsid w:val="009D1F56"/>
    <w:rsid w:val="009D2315"/>
    <w:rsid w:val="009D46FC"/>
    <w:rsid w:val="009D4875"/>
    <w:rsid w:val="009D4B1F"/>
    <w:rsid w:val="009D50AD"/>
    <w:rsid w:val="009D51C9"/>
    <w:rsid w:val="009D5B91"/>
    <w:rsid w:val="009D6433"/>
    <w:rsid w:val="009D6911"/>
    <w:rsid w:val="009D7BE7"/>
    <w:rsid w:val="009D7C30"/>
    <w:rsid w:val="009E033F"/>
    <w:rsid w:val="009E0620"/>
    <w:rsid w:val="009E0901"/>
    <w:rsid w:val="009E0C5B"/>
    <w:rsid w:val="009E13D2"/>
    <w:rsid w:val="009E2128"/>
    <w:rsid w:val="009E2612"/>
    <w:rsid w:val="009E2802"/>
    <w:rsid w:val="009E398D"/>
    <w:rsid w:val="009E3A8F"/>
    <w:rsid w:val="009E4C07"/>
    <w:rsid w:val="009E5482"/>
    <w:rsid w:val="009E594D"/>
    <w:rsid w:val="009E6609"/>
    <w:rsid w:val="009E6768"/>
    <w:rsid w:val="009E6B02"/>
    <w:rsid w:val="009E7C16"/>
    <w:rsid w:val="009E7D71"/>
    <w:rsid w:val="009F1F6C"/>
    <w:rsid w:val="009F209C"/>
    <w:rsid w:val="009F2C3A"/>
    <w:rsid w:val="009F2DC8"/>
    <w:rsid w:val="009F2E6F"/>
    <w:rsid w:val="009F35BB"/>
    <w:rsid w:val="009F37E2"/>
    <w:rsid w:val="009F4266"/>
    <w:rsid w:val="009F683E"/>
    <w:rsid w:val="009F6C76"/>
    <w:rsid w:val="00A00AF3"/>
    <w:rsid w:val="00A0127D"/>
    <w:rsid w:val="00A01BD2"/>
    <w:rsid w:val="00A0202C"/>
    <w:rsid w:val="00A02AEF"/>
    <w:rsid w:val="00A02B9C"/>
    <w:rsid w:val="00A036AE"/>
    <w:rsid w:val="00A03D43"/>
    <w:rsid w:val="00A04380"/>
    <w:rsid w:val="00A0496A"/>
    <w:rsid w:val="00A055EC"/>
    <w:rsid w:val="00A0622F"/>
    <w:rsid w:val="00A06256"/>
    <w:rsid w:val="00A07420"/>
    <w:rsid w:val="00A0758F"/>
    <w:rsid w:val="00A07CD1"/>
    <w:rsid w:val="00A10BDD"/>
    <w:rsid w:val="00A115D2"/>
    <w:rsid w:val="00A12898"/>
    <w:rsid w:val="00A12FCA"/>
    <w:rsid w:val="00A13948"/>
    <w:rsid w:val="00A14376"/>
    <w:rsid w:val="00A15531"/>
    <w:rsid w:val="00A1578B"/>
    <w:rsid w:val="00A20256"/>
    <w:rsid w:val="00A20AD7"/>
    <w:rsid w:val="00A21853"/>
    <w:rsid w:val="00A22BEA"/>
    <w:rsid w:val="00A23A79"/>
    <w:rsid w:val="00A24C7D"/>
    <w:rsid w:val="00A25074"/>
    <w:rsid w:val="00A25F77"/>
    <w:rsid w:val="00A27AEC"/>
    <w:rsid w:val="00A27B85"/>
    <w:rsid w:val="00A27DD9"/>
    <w:rsid w:val="00A31522"/>
    <w:rsid w:val="00A34DB5"/>
    <w:rsid w:val="00A353BE"/>
    <w:rsid w:val="00A35D16"/>
    <w:rsid w:val="00A366DB"/>
    <w:rsid w:val="00A36BA0"/>
    <w:rsid w:val="00A377F1"/>
    <w:rsid w:val="00A3798B"/>
    <w:rsid w:val="00A401D0"/>
    <w:rsid w:val="00A40528"/>
    <w:rsid w:val="00A41750"/>
    <w:rsid w:val="00A41FA3"/>
    <w:rsid w:val="00A42026"/>
    <w:rsid w:val="00A4223A"/>
    <w:rsid w:val="00A42A76"/>
    <w:rsid w:val="00A42E50"/>
    <w:rsid w:val="00A430F3"/>
    <w:rsid w:val="00A43C59"/>
    <w:rsid w:val="00A44179"/>
    <w:rsid w:val="00A44763"/>
    <w:rsid w:val="00A46301"/>
    <w:rsid w:val="00A50ECD"/>
    <w:rsid w:val="00A51D44"/>
    <w:rsid w:val="00A51F80"/>
    <w:rsid w:val="00A52405"/>
    <w:rsid w:val="00A52729"/>
    <w:rsid w:val="00A53675"/>
    <w:rsid w:val="00A53B91"/>
    <w:rsid w:val="00A53CB3"/>
    <w:rsid w:val="00A5497B"/>
    <w:rsid w:val="00A5502F"/>
    <w:rsid w:val="00A55B9B"/>
    <w:rsid w:val="00A56B6A"/>
    <w:rsid w:val="00A578DC"/>
    <w:rsid w:val="00A602DC"/>
    <w:rsid w:val="00A602DD"/>
    <w:rsid w:val="00A61181"/>
    <w:rsid w:val="00A6198A"/>
    <w:rsid w:val="00A627DB"/>
    <w:rsid w:val="00A629C2"/>
    <w:rsid w:val="00A6378A"/>
    <w:rsid w:val="00A64014"/>
    <w:rsid w:val="00A64AF8"/>
    <w:rsid w:val="00A65318"/>
    <w:rsid w:val="00A66661"/>
    <w:rsid w:val="00A6725B"/>
    <w:rsid w:val="00A70CA4"/>
    <w:rsid w:val="00A7461A"/>
    <w:rsid w:val="00A74896"/>
    <w:rsid w:val="00A74EBC"/>
    <w:rsid w:val="00A77944"/>
    <w:rsid w:val="00A77D5C"/>
    <w:rsid w:val="00A77EC0"/>
    <w:rsid w:val="00A81634"/>
    <w:rsid w:val="00A81A7F"/>
    <w:rsid w:val="00A83AE0"/>
    <w:rsid w:val="00A84063"/>
    <w:rsid w:val="00A86E8B"/>
    <w:rsid w:val="00A86F9F"/>
    <w:rsid w:val="00A91561"/>
    <w:rsid w:val="00A93072"/>
    <w:rsid w:val="00A932AD"/>
    <w:rsid w:val="00A95CFC"/>
    <w:rsid w:val="00A96CF0"/>
    <w:rsid w:val="00A9772D"/>
    <w:rsid w:val="00A97B62"/>
    <w:rsid w:val="00AA0A07"/>
    <w:rsid w:val="00AA1EE9"/>
    <w:rsid w:val="00AA1FE6"/>
    <w:rsid w:val="00AA277E"/>
    <w:rsid w:val="00AA3FD2"/>
    <w:rsid w:val="00AA4813"/>
    <w:rsid w:val="00AA4AD3"/>
    <w:rsid w:val="00AA4B62"/>
    <w:rsid w:val="00AA54C1"/>
    <w:rsid w:val="00AA584F"/>
    <w:rsid w:val="00AA5E2D"/>
    <w:rsid w:val="00AA5F96"/>
    <w:rsid w:val="00AA62B2"/>
    <w:rsid w:val="00AA6EFB"/>
    <w:rsid w:val="00AB042A"/>
    <w:rsid w:val="00AB1147"/>
    <w:rsid w:val="00AB1157"/>
    <w:rsid w:val="00AB2801"/>
    <w:rsid w:val="00AB3430"/>
    <w:rsid w:val="00AB34A3"/>
    <w:rsid w:val="00AB52A7"/>
    <w:rsid w:val="00AB6E79"/>
    <w:rsid w:val="00AB74E0"/>
    <w:rsid w:val="00AB7C38"/>
    <w:rsid w:val="00AB7CFA"/>
    <w:rsid w:val="00AC152A"/>
    <w:rsid w:val="00AC3016"/>
    <w:rsid w:val="00AC3C2D"/>
    <w:rsid w:val="00AC40B2"/>
    <w:rsid w:val="00AC4560"/>
    <w:rsid w:val="00AC5D36"/>
    <w:rsid w:val="00AC6B8E"/>
    <w:rsid w:val="00AC6BA2"/>
    <w:rsid w:val="00AC73F0"/>
    <w:rsid w:val="00AD076A"/>
    <w:rsid w:val="00AD14F2"/>
    <w:rsid w:val="00AD178B"/>
    <w:rsid w:val="00AD2C74"/>
    <w:rsid w:val="00AD3739"/>
    <w:rsid w:val="00AD43F3"/>
    <w:rsid w:val="00AD45E1"/>
    <w:rsid w:val="00AD4C89"/>
    <w:rsid w:val="00AD5BA9"/>
    <w:rsid w:val="00AD6BB4"/>
    <w:rsid w:val="00AD6BBE"/>
    <w:rsid w:val="00AD780D"/>
    <w:rsid w:val="00AE01F9"/>
    <w:rsid w:val="00AE0DE0"/>
    <w:rsid w:val="00AE1357"/>
    <w:rsid w:val="00AE1CEC"/>
    <w:rsid w:val="00AE2064"/>
    <w:rsid w:val="00AE369B"/>
    <w:rsid w:val="00AE3ACB"/>
    <w:rsid w:val="00AE3B93"/>
    <w:rsid w:val="00AE5243"/>
    <w:rsid w:val="00AE52C0"/>
    <w:rsid w:val="00AE55E9"/>
    <w:rsid w:val="00AE5A6E"/>
    <w:rsid w:val="00AE79C0"/>
    <w:rsid w:val="00AE7B56"/>
    <w:rsid w:val="00AF2301"/>
    <w:rsid w:val="00AF3401"/>
    <w:rsid w:val="00AF3A91"/>
    <w:rsid w:val="00AF3CB4"/>
    <w:rsid w:val="00AF4C89"/>
    <w:rsid w:val="00AF5221"/>
    <w:rsid w:val="00AF581E"/>
    <w:rsid w:val="00AF7CE6"/>
    <w:rsid w:val="00B00169"/>
    <w:rsid w:val="00B015B9"/>
    <w:rsid w:val="00B029A9"/>
    <w:rsid w:val="00B03EA4"/>
    <w:rsid w:val="00B06D92"/>
    <w:rsid w:val="00B06E50"/>
    <w:rsid w:val="00B0710B"/>
    <w:rsid w:val="00B07E1B"/>
    <w:rsid w:val="00B109E4"/>
    <w:rsid w:val="00B13E9F"/>
    <w:rsid w:val="00B140A2"/>
    <w:rsid w:val="00B1486A"/>
    <w:rsid w:val="00B14A6B"/>
    <w:rsid w:val="00B15C80"/>
    <w:rsid w:val="00B17458"/>
    <w:rsid w:val="00B17F68"/>
    <w:rsid w:val="00B217AF"/>
    <w:rsid w:val="00B218F6"/>
    <w:rsid w:val="00B23F7C"/>
    <w:rsid w:val="00B26559"/>
    <w:rsid w:val="00B30161"/>
    <w:rsid w:val="00B308CB"/>
    <w:rsid w:val="00B30FCA"/>
    <w:rsid w:val="00B32937"/>
    <w:rsid w:val="00B357CC"/>
    <w:rsid w:val="00B37FDD"/>
    <w:rsid w:val="00B41B22"/>
    <w:rsid w:val="00B42851"/>
    <w:rsid w:val="00B42F9A"/>
    <w:rsid w:val="00B434FA"/>
    <w:rsid w:val="00B435CE"/>
    <w:rsid w:val="00B437D5"/>
    <w:rsid w:val="00B438E4"/>
    <w:rsid w:val="00B43D0A"/>
    <w:rsid w:val="00B43D4E"/>
    <w:rsid w:val="00B4495B"/>
    <w:rsid w:val="00B45323"/>
    <w:rsid w:val="00B45999"/>
    <w:rsid w:val="00B45F0B"/>
    <w:rsid w:val="00B46136"/>
    <w:rsid w:val="00B4662D"/>
    <w:rsid w:val="00B46D8B"/>
    <w:rsid w:val="00B4737C"/>
    <w:rsid w:val="00B507C8"/>
    <w:rsid w:val="00B52622"/>
    <w:rsid w:val="00B53BA6"/>
    <w:rsid w:val="00B53C9A"/>
    <w:rsid w:val="00B54B5B"/>
    <w:rsid w:val="00B5562E"/>
    <w:rsid w:val="00B57000"/>
    <w:rsid w:val="00B608CF"/>
    <w:rsid w:val="00B60939"/>
    <w:rsid w:val="00B60AFD"/>
    <w:rsid w:val="00B61C07"/>
    <w:rsid w:val="00B62715"/>
    <w:rsid w:val="00B634D5"/>
    <w:rsid w:val="00B63D9E"/>
    <w:rsid w:val="00B63F4C"/>
    <w:rsid w:val="00B63FBA"/>
    <w:rsid w:val="00B646DA"/>
    <w:rsid w:val="00B64A16"/>
    <w:rsid w:val="00B64D06"/>
    <w:rsid w:val="00B64D0A"/>
    <w:rsid w:val="00B65914"/>
    <w:rsid w:val="00B65AFD"/>
    <w:rsid w:val="00B6605E"/>
    <w:rsid w:val="00B66885"/>
    <w:rsid w:val="00B67094"/>
    <w:rsid w:val="00B679A9"/>
    <w:rsid w:val="00B67F3D"/>
    <w:rsid w:val="00B71647"/>
    <w:rsid w:val="00B71E2D"/>
    <w:rsid w:val="00B73550"/>
    <w:rsid w:val="00B737B6"/>
    <w:rsid w:val="00B73D03"/>
    <w:rsid w:val="00B76A25"/>
    <w:rsid w:val="00B77A3A"/>
    <w:rsid w:val="00B77A7D"/>
    <w:rsid w:val="00B808CE"/>
    <w:rsid w:val="00B80EFE"/>
    <w:rsid w:val="00B816F9"/>
    <w:rsid w:val="00B818A4"/>
    <w:rsid w:val="00B8269C"/>
    <w:rsid w:val="00B82A5C"/>
    <w:rsid w:val="00B83FA1"/>
    <w:rsid w:val="00B8438B"/>
    <w:rsid w:val="00B8520D"/>
    <w:rsid w:val="00B86257"/>
    <w:rsid w:val="00B8649C"/>
    <w:rsid w:val="00B90434"/>
    <w:rsid w:val="00B9168E"/>
    <w:rsid w:val="00B92A98"/>
    <w:rsid w:val="00B92D0B"/>
    <w:rsid w:val="00B93020"/>
    <w:rsid w:val="00B933F2"/>
    <w:rsid w:val="00B93741"/>
    <w:rsid w:val="00B94945"/>
    <w:rsid w:val="00B957B3"/>
    <w:rsid w:val="00B96854"/>
    <w:rsid w:val="00B97A44"/>
    <w:rsid w:val="00B97C92"/>
    <w:rsid w:val="00BA0509"/>
    <w:rsid w:val="00BA0D56"/>
    <w:rsid w:val="00BA13CB"/>
    <w:rsid w:val="00BA16CC"/>
    <w:rsid w:val="00BA186B"/>
    <w:rsid w:val="00BA39B6"/>
    <w:rsid w:val="00BA6AA8"/>
    <w:rsid w:val="00BA7422"/>
    <w:rsid w:val="00BB0306"/>
    <w:rsid w:val="00BB038C"/>
    <w:rsid w:val="00BB097C"/>
    <w:rsid w:val="00BB12E9"/>
    <w:rsid w:val="00BB1E94"/>
    <w:rsid w:val="00BB236C"/>
    <w:rsid w:val="00BB7089"/>
    <w:rsid w:val="00BB7E82"/>
    <w:rsid w:val="00BC04C3"/>
    <w:rsid w:val="00BC0EF0"/>
    <w:rsid w:val="00BC0F77"/>
    <w:rsid w:val="00BC12CC"/>
    <w:rsid w:val="00BC26AA"/>
    <w:rsid w:val="00BC2E3B"/>
    <w:rsid w:val="00BC37FA"/>
    <w:rsid w:val="00BC396B"/>
    <w:rsid w:val="00BC5C3B"/>
    <w:rsid w:val="00BC6790"/>
    <w:rsid w:val="00BD0B7F"/>
    <w:rsid w:val="00BD265B"/>
    <w:rsid w:val="00BD29ED"/>
    <w:rsid w:val="00BD2DB2"/>
    <w:rsid w:val="00BD40CA"/>
    <w:rsid w:val="00BD54BD"/>
    <w:rsid w:val="00BD6BA5"/>
    <w:rsid w:val="00BD6E16"/>
    <w:rsid w:val="00BD74FF"/>
    <w:rsid w:val="00BE044D"/>
    <w:rsid w:val="00BE2180"/>
    <w:rsid w:val="00BE221C"/>
    <w:rsid w:val="00BE2450"/>
    <w:rsid w:val="00BE2543"/>
    <w:rsid w:val="00BE365B"/>
    <w:rsid w:val="00BE4275"/>
    <w:rsid w:val="00BE4A00"/>
    <w:rsid w:val="00BE4B12"/>
    <w:rsid w:val="00BE4BF1"/>
    <w:rsid w:val="00BE4E01"/>
    <w:rsid w:val="00BE5236"/>
    <w:rsid w:val="00BE530C"/>
    <w:rsid w:val="00BE581A"/>
    <w:rsid w:val="00BE5FB1"/>
    <w:rsid w:val="00BF044F"/>
    <w:rsid w:val="00BF04EA"/>
    <w:rsid w:val="00BF07AA"/>
    <w:rsid w:val="00BF23ED"/>
    <w:rsid w:val="00BF2433"/>
    <w:rsid w:val="00BF327C"/>
    <w:rsid w:val="00BF3E7A"/>
    <w:rsid w:val="00BF513A"/>
    <w:rsid w:val="00BF61C9"/>
    <w:rsid w:val="00BF6D5E"/>
    <w:rsid w:val="00BF7473"/>
    <w:rsid w:val="00C00345"/>
    <w:rsid w:val="00C00713"/>
    <w:rsid w:val="00C01AA9"/>
    <w:rsid w:val="00C01CD4"/>
    <w:rsid w:val="00C0282E"/>
    <w:rsid w:val="00C03FB5"/>
    <w:rsid w:val="00C069A2"/>
    <w:rsid w:val="00C06BAF"/>
    <w:rsid w:val="00C07F70"/>
    <w:rsid w:val="00C10153"/>
    <w:rsid w:val="00C10442"/>
    <w:rsid w:val="00C10932"/>
    <w:rsid w:val="00C10D56"/>
    <w:rsid w:val="00C1104E"/>
    <w:rsid w:val="00C1126D"/>
    <w:rsid w:val="00C118C7"/>
    <w:rsid w:val="00C12192"/>
    <w:rsid w:val="00C12B92"/>
    <w:rsid w:val="00C13E20"/>
    <w:rsid w:val="00C143EE"/>
    <w:rsid w:val="00C16ABE"/>
    <w:rsid w:val="00C16D65"/>
    <w:rsid w:val="00C178EE"/>
    <w:rsid w:val="00C17975"/>
    <w:rsid w:val="00C17AFB"/>
    <w:rsid w:val="00C22B1B"/>
    <w:rsid w:val="00C23B88"/>
    <w:rsid w:val="00C2424C"/>
    <w:rsid w:val="00C250D0"/>
    <w:rsid w:val="00C25418"/>
    <w:rsid w:val="00C25BE6"/>
    <w:rsid w:val="00C25D9C"/>
    <w:rsid w:val="00C26C57"/>
    <w:rsid w:val="00C274DD"/>
    <w:rsid w:val="00C307CF"/>
    <w:rsid w:val="00C31649"/>
    <w:rsid w:val="00C31EE0"/>
    <w:rsid w:val="00C32313"/>
    <w:rsid w:val="00C33C90"/>
    <w:rsid w:val="00C364EF"/>
    <w:rsid w:val="00C365BE"/>
    <w:rsid w:val="00C368D2"/>
    <w:rsid w:val="00C3724A"/>
    <w:rsid w:val="00C40385"/>
    <w:rsid w:val="00C425DF"/>
    <w:rsid w:val="00C43CD0"/>
    <w:rsid w:val="00C452B9"/>
    <w:rsid w:val="00C4674D"/>
    <w:rsid w:val="00C473FE"/>
    <w:rsid w:val="00C479B9"/>
    <w:rsid w:val="00C525E3"/>
    <w:rsid w:val="00C52A6E"/>
    <w:rsid w:val="00C547AF"/>
    <w:rsid w:val="00C54981"/>
    <w:rsid w:val="00C55125"/>
    <w:rsid w:val="00C567E1"/>
    <w:rsid w:val="00C57154"/>
    <w:rsid w:val="00C600F8"/>
    <w:rsid w:val="00C605BA"/>
    <w:rsid w:val="00C618A9"/>
    <w:rsid w:val="00C62C4E"/>
    <w:rsid w:val="00C62EA6"/>
    <w:rsid w:val="00C63353"/>
    <w:rsid w:val="00C65576"/>
    <w:rsid w:val="00C657A9"/>
    <w:rsid w:val="00C66165"/>
    <w:rsid w:val="00C66729"/>
    <w:rsid w:val="00C6728C"/>
    <w:rsid w:val="00C72808"/>
    <w:rsid w:val="00C735F6"/>
    <w:rsid w:val="00C73C62"/>
    <w:rsid w:val="00C75919"/>
    <w:rsid w:val="00C76504"/>
    <w:rsid w:val="00C7663D"/>
    <w:rsid w:val="00C76D5D"/>
    <w:rsid w:val="00C816AB"/>
    <w:rsid w:val="00C8213F"/>
    <w:rsid w:val="00C83A7F"/>
    <w:rsid w:val="00C83D7E"/>
    <w:rsid w:val="00C83E06"/>
    <w:rsid w:val="00C84BFE"/>
    <w:rsid w:val="00C84E36"/>
    <w:rsid w:val="00C85FA4"/>
    <w:rsid w:val="00C8797A"/>
    <w:rsid w:val="00C87CAE"/>
    <w:rsid w:val="00C92224"/>
    <w:rsid w:val="00C92302"/>
    <w:rsid w:val="00C9298D"/>
    <w:rsid w:val="00C9333A"/>
    <w:rsid w:val="00C938CF"/>
    <w:rsid w:val="00C9483A"/>
    <w:rsid w:val="00C9539B"/>
    <w:rsid w:val="00C96633"/>
    <w:rsid w:val="00C97301"/>
    <w:rsid w:val="00C97935"/>
    <w:rsid w:val="00C979E2"/>
    <w:rsid w:val="00CA18A6"/>
    <w:rsid w:val="00CA2A2B"/>
    <w:rsid w:val="00CA2F84"/>
    <w:rsid w:val="00CA32C0"/>
    <w:rsid w:val="00CA3582"/>
    <w:rsid w:val="00CA3F65"/>
    <w:rsid w:val="00CA4F99"/>
    <w:rsid w:val="00CA51A2"/>
    <w:rsid w:val="00CA5245"/>
    <w:rsid w:val="00CA5B26"/>
    <w:rsid w:val="00CA5ED1"/>
    <w:rsid w:val="00CA6801"/>
    <w:rsid w:val="00CA6904"/>
    <w:rsid w:val="00CA7A55"/>
    <w:rsid w:val="00CA7B09"/>
    <w:rsid w:val="00CA7DC1"/>
    <w:rsid w:val="00CB1696"/>
    <w:rsid w:val="00CB17D0"/>
    <w:rsid w:val="00CB40DB"/>
    <w:rsid w:val="00CB4245"/>
    <w:rsid w:val="00CB5454"/>
    <w:rsid w:val="00CB5B1A"/>
    <w:rsid w:val="00CB6A0E"/>
    <w:rsid w:val="00CB7540"/>
    <w:rsid w:val="00CC16A7"/>
    <w:rsid w:val="00CC1C74"/>
    <w:rsid w:val="00CC1DF7"/>
    <w:rsid w:val="00CC238E"/>
    <w:rsid w:val="00CC25BF"/>
    <w:rsid w:val="00CC2BF2"/>
    <w:rsid w:val="00CC2C86"/>
    <w:rsid w:val="00CC2FAD"/>
    <w:rsid w:val="00CC320C"/>
    <w:rsid w:val="00CC3233"/>
    <w:rsid w:val="00CC3447"/>
    <w:rsid w:val="00CC36DF"/>
    <w:rsid w:val="00CC4178"/>
    <w:rsid w:val="00CC61FD"/>
    <w:rsid w:val="00CC73DC"/>
    <w:rsid w:val="00CC781E"/>
    <w:rsid w:val="00CC7B85"/>
    <w:rsid w:val="00CD130E"/>
    <w:rsid w:val="00CD199D"/>
    <w:rsid w:val="00CD582D"/>
    <w:rsid w:val="00CD671B"/>
    <w:rsid w:val="00CD6ADC"/>
    <w:rsid w:val="00CD7ACD"/>
    <w:rsid w:val="00CD7ED8"/>
    <w:rsid w:val="00CE161F"/>
    <w:rsid w:val="00CE2475"/>
    <w:rsid w:val="00CE3327"/>
    <w:rsid w:val="00CE3CC5"/>
    <w:rsid w:val="00CE4D1A"/>
    <w:rsid w:val="00CE59A3"/>
    <w:rsid w:val="00CE6274"/>
    <w:rsid w:val="00CF0260"/>
    <w:rsid w:val="00CF0F59"/>
    <w:rsid w:val="00CF3A1E"/>
    <w:rsid w:val="00CF3A43"/>
    <w:rsid w:val="00CF4049"/>
    <w:rsid w:val="00CF456B"/>
    <w:rsid w:val="00CF457A"/>
    <w:rsid w:val="00CF57AB"/>
    <w:rsid w:val="00CF5A22"/>
    <w:rsid w:val="00CF614B"/>
    <w:rsid w:val="00CF63C3"/>
    <w:rsid w:val="00CF71FB"/>
    <w:rsid w:val="00CF7942"/>
    <w:rsid w:val="00D00142"/>
    <w:rsid w:val="00D00AB5"/>
    <w:rsid w:val="00D00E94"/>
    <w:rsid w:val="00D011C3"/>
    <w:rsid w:val="00D01394"/>
    <w:rsid w:val="00D014F2"/>
    <w:rsid w:val="00D0203B"/>
    <w:rsid w:val="00D0262E"/>
    <w:rsid w:val="00D03EF0"/>
    <w:rsid w:val="00D04000"/>
    <w:rsid w:val="00D04C42"/>
    <w:rsid w:val="00D05497"/>
    <w:rsid w:val="00D06309"/>
    <w:rsid w:val="00D0656C"/>
    <w:rsid w:val="00D06C41"/>
    <w:rsid w:val="00D06FD4"/>
    <w:rsid w:val="00D070FE"/>
    <w:rsid w:val="00D10870"/>
    <w:rsid w:val="00D110BD"/>
    <w:rsid w:val="00D1164A"/>
    <w:rsid w:val="00D12AF5"/>
    <w:rsid w:val="00D136BD"/>
    <w:rsid w:val="00D142A0"/>
    <w:rsid w:val="00D147F3"/>
    <w:rsid w:val="00D17D6C"/>
    <w:rsid w:val="00D17E0C"/>
    <w:rsid w:val="00D20320"/>
    <w:rsid w:val="00D20C47"/>
    <w:rsid w:val="00D21995"/>
    <w:rsid w:val="00D22647"/>
    <w:rsid w:val="00D230D3"/>
    <w:rsid w:val="00D24E99"/>
    <w:rsid w:val="00D268D2"/>
    <w:rsid w:val="00D272FB"/>
    <w:rsid w:val="00D2759D"/>
    <w:rsid w:val="00D2796B"/>
    <w:rsid w:val="00D30DA5"/>
    <w:rsid w:val="00D336FE"/>
    <w:rsid w:val="00D34FE7"/>
    <w:rsid w:val="00D356E2"/>
    <w:rsid w:val="00D37263"/>
    <w:rsid w:val="00D372B1"/>
    <w:rsid w:val="00D41486"/>
    <w:rsid w:val="00D4401D"/>
    <w:rsid w:val="00D4405D"/>
    <w:rsid w:val="00D45D53"/>
    <w:rsid w:val="00D47C94"/>
    <w:rsid w:val="00D51623"/>
    <w:rsid w:val="00D519FD"/>
    <w:rsid w:val="00D532C3"/>
    <w:rsid w:val="00D5343E"/>
    <w:rsid w:val="00D55BBA"/>
    <w:rsid w:val="00D566E1"/>
    <w:rsid w:val="00D569A4"/>
    <w:rsid w:val="00D57C20"/>
    <w:rsid w:val="00D57E4D"/>
    <w:rsid w:val="00D60759"/>
    <w:rsid w:val="00D615F6"/>
    <w:rsid w:val="00D63423"/>
    <w:rsid w:val="00D63CB1"/>
    <w:rsid w:val="00D648A7"/>
    <w:rsid w:val="00D64A13"/>
    <w:rsid w:val="00D67B0C"/>
    <w:rsid w:val="00D70CE9"/>
    <w:rsid w:val="00D7261B"/>
    <w:rsid w:val="00D73FB4"/>
    <w:rsid w:val="00D75B0B"/>
    <w:rsid w:val="00D766F3"/>
    <w:rsid w:val="00D76A44"/>
    <w:rsid w:val="00D80631"/>
    <w:rsid w:val="00D832A6"/>
    <w:rsid w:val="00D84C61"/>
    <w:rsid w:val="00D84E88"/>
    <w:rsid w:val="00D8552B"/>
    <w:rsid w:val="00D87632"/>
    <w:rsid w:val="00D87DF1"/>
    <w:rsid w:val="00D90A58"/>
    <w:rsid w:val="00D921A1"/>
    <w:rsid w:val="00D923DC"/>
    <w:rsid w:val="00D93753"/>
    <w:rsid w:val="00D944D0"/>
    <w:rsid w:val="00DA07DC"/>
    <w:rsid w:val="00DA0A28"/>
    <w:rsid w:val="00DA3D22"/>
    <w:rsid w:val="00DA5B30"/>
    <w:rsid w:val="00DA6FB7"/>
    <w:rsid w:val="00DA77A5"/>
    <w:rsid w:val="00DA7BB4"/>
    <w:rsid w:val="00DA7F46"/>
    <w:rsid w:val="00DB0458"/>
    <w:rsid w:val="00DB0599"/>
    <w:rsid w:val="00DB0F1F"/>
    <w:rsid w:val="00DB15AA"/>
    <w:rsid w:val="00DB2BDD"/>
    <w:rsid w:val="00DB3B95"/>
    <w:rsid w:val="00DB44C5"/>
    <w:rsid w:val="00DB51B8"/>
    <w:rsid w:val="00DB5F7B"/>
    <w:rsid w:val="00DB68A8"/>
    <w:rsid w:val="00DB7014"/>
    <w:rsid w:val="00DB7C20"/>
    <w:rsid w:val="00DB7E64"/>
    <w:rsid w:val="00DB7F1A"/>
    <w:rsid w:val="00DC0495"/>
    <w:rsid w:val="00DC0C7D"/>
    <w:rsid w:val="00DC3C33"/>
    <w:rsid w:val="00DC4015"/>
    <w:rsid w:val="00DC405F"/>
    <w:rsid w:val="00DC4465"/>
    <w:rsid w:val="00DC4CF5"/>
    <w:rsid w:val="00DC5100"/>
    <w:rsid w:val="00DC5501"/>
    <w:rsid w:val="00DC5CE6"/>
    <w:rsid w:val="00DC6BD8"/>
    <w:rsid w:val="00DC703D"/>
    <w:rsid w:val="00DD0196"/>
    <w:rsid w:val="00DD2072"/>
    <w:rsid w:val="00DD2EAD"/>
    <w:rsid w:val="00DD3175"/>
    <w:rsid w:val="00DD3780"/>
    <w:rsid w:val="00DD3F28"/>
    <w:rsid w:val="00DD41F9"/>
    <w:rsid w:val="00DD4537"/>
    <w:rsid w:val="00DD4E15"/>
    <w:rsid w:val="00DD535B"/>
    <w:rsid w:val="00DD5E56"/>
    <w:rsid w:val="00DD7164"/>
    <w:rsid w:val="00DD7438"/>
    <w:rsid w:val="00DD7E0E"/>
    <w:rsid w:val="00DE0543"/>
    <w:rsid w:val="00DE0BC4"/>
    <w:rsid w:val="00DE3043"/>
    <w:rsid w:val="00DE4E01"/>
    <w:rsid w:val="00DE4FCB"/>
    <w:rsid w:val="00DE5C98"/>
    <w:rsid w:val="00DE6531"/>
    <w:rsid w:val="00DE6CEC"/>
    <w:rsid w:val="00DF1594"/>
    <w:rsid w:val="00DF1AFD"/>
    <w:rsid w:val="00DF2E19"/>
    <w:rsid w:val="00DF35B2"/>
    <w:rsid w:val="00DF39A8"/>
    <w:rsid w:val="00DF45CB"/>
    <w:rsid w:val="00DF4F03"/>
    <w:rsid w:val="00DF4FAC"/>
    <w:rsid w:val="00DF5047"/>
    <w:rsid w:val="00DF5EA8"/>
    <w:rsid w:val="00DF692E"/>
    <w:rsid w:val="00E00DBD"/>
    <w:rsid w:val="00E01CB2"/>
    <w:rsid w:val="00E0429F"/>
    <w:rsid w:val="00E04AC8"/>
    <w:rsid w:val="00E04DAF"/>
    <w:rsid w:val="00E10149"/>
    <w:rsid w:val="00E10929"/>
    <w:rsid w:val="00E10A2A"/>
    <w:rsid w:val="00E113DA"/>
    <w:rsid w:val="00E11A2B"/>
    <w:rsid w:val="00E12B34"/>
    <w:rsid w:val="00E139D0"/>
    <w:rsid w:val="00E14C77"/>
    <w:rsid w:val="00E151EB"/>
    <w:rsid w:val="00E15BF3"/>
    <w:rsid w:val="00E16372"/>
    <w:rsid w:val="00E1657A"/>
    <w:rsid w:val="00E172B0"/>
    <w:rsid w:val="00E20B92"/>
    <w:rsid w:val="00E20ED6"/>
    <w:rsid w:val="00E21358"/>
    <w:rsid w:val="00E2249B"/>
    <w:rsid w:val="00E25182"/>
    <w:rsid w:val="00E2771E"/>
    <w:rsid w:val="00E30F6F"/>
    <w:rsid w:val="00E317C1"/>
    <w:rsid w:val="00E3203A"/>
    <w:rsid w:val="00E3303A"/>
    <w:rsid w:val="00E3325C"/>
    <w:rsid w:val="00E340E3"/>
    <w:rsid w:val="00E346E7"/>
    <w:rsid w:val="00E35A1C"/>
    <w:rsid w:val="00E36955"/>
    <w:rsid w:val="00E37569"/>
    <w:rsid w:val="00E4010F"/>
    <w:rsid w:val="00E40609"/>
    <w:rsid w:val="00E4092C"/>
    <w:rsid w:val="00E40F5D"/>
    <w:rsid w:val="00E41E30"/>
    <w:rsid w:val="00E41F1C"/>
    <w:rsid w:val="00E45BC7"/>
    <w:rsid w:val="00E45DC4"/>
    <w:rsid w:val="00E46769"/>
    <w:rsid w:val="00E46881"/>
    <w:rsid w:val="00E469F4"/>
    <w:rsid w:val="00E47B2C"/>
    <w:rsid w:val="00E51E4E"/>
    <w:rsid w:val="00E525BB"/>
    <w:rsid w:val="00E52D9C"/>
    <w:rsid w:val="00E53086"/>
    <w:rsid w:val="00E55424"/>
    <w:rsid w:val="00E55C3B"/>
    <w:rsid w:val="00E574BD"/>
    <w:rsid w:val="00E61B75"/>
    <w:rsid w:val="00E6218D"/>
    <w:rsid w:val="00E62E02"/>
    <w:rsid w:val="00E63BAD"/>
    <w:rsid w:val="00E6419D"/>
    <w:rsid w:val="00E644FC"/>
    <w:rsid w:val="00E6499F"/>
    <w:rsid w:val="00E6598C"/>
    <w:rsid w:val="00E65E79"/>
    <w:rsid w:val="00E671BB"/>
    <w:rsid w:val="00E67416"/>
    <w:rsid w:val="00E675A7"/>
    <w:rsid w:val="00E70552"/>
    <w:rsid w:val="00E705AF"/>
    <w:rsid w:val="00E717CC"/>
    <w:rsid w:val="00E718B6"/>
    <w:rsid w:val="00E72927"/>
    <w:rsid w:val="00E73581"/>
    <w:rsid w:val="00E73FAA"/>
    <w:rsid w:val="00E74969"/>
    <w:rsid w:val="00E76A90"/>
    <w:rsid w:val="00E80467"/>
    <w:rsid w:val="00E81BD1"/>
    <w:rsid w:val="00E823E6"/>
    <w:rsid w:val="00E824FF"/>
    <w:rsid w:val="00E82602"/>
    <w:rsid w:val="00E82BA4"/>
    <w:rsid w:val="00E83BDF"/>
    <w:rsid w:val="00E83CE0"/>
    <w:rsid w:val="00E83F45"/>
    <w:rsid w:val="00E84A06"/>
    <w:rsid w:val="00E853C8"/>
    <w:rsid w:val="00E861A1"/>
    <w:rsid w:val="00E863A6"/>
    <w:rsid w:val="00E87F78"/>
    <w:rsid w:val="00E90570"/>
    <w:rsid w:val="00E92A80"/>
    <w:rsid w:val="00E9323F"/>
    <w:rsid w:val="00E935C2"/>
    <w:rsid w:val="00E93674"/>
    <w:rsid w:val="00E95996"/>
    <w:rsid w:val="00E97638"/>
    <w:rsid w:val="00E97DE6"/>
    <w:rsid w:val="00E97E49"/>
    <w:rsid w:val="00EA0312"/>
    <w:rsid w:val="00EA05A9"/>
    <w:rsid w:val="00EA11E7"/>
    <w:rsid w:val="00EA30C5"/>
    <w:rsid w:val="00EA3864"/>
    <w:rsid w:val="00EA3B7B"/>
    <w:rsid w:val="00EA3BFA"/>
    <w:rsid w:val="00EA3E5E"/>
    <w:rsid w:val="00EA4318"/>
    <w:rsid w:val="00EA4B60"/>
    <w:rsid w:val="00EA4FEA"/>
    <w:rsid w:val="00EA5484"/>
    <w:rsid w:val="00EA5AE6"/>
    <w:rsid w:val="00EA79ED"/>
    <w:rsid w:val="00EA7F73"/>
    <w:rsid w:val="00EB01E6"/>
    <w:rsid w:val="00EB1C01"/>
    <w:rsid w:val="00EB23C1"/>
    <w:rsid w:val="00EB25BD"/>
    <w:rsid w:val="00EB53E2"/>
    <w:rsid w:val="00EB54E8"/>
    <w:rsid w:val="00EB59A2"/>
    <w:rsid w:val="00EB7FCE"/>
    <w:rsid w:val="00EC00C9"/>
    <w:rsid w:val="00EC16ED"/>
    <w:rsid w:val="00EC2720"/>
    <w:rsid w:val="00EC2D98"/>
    <w:rsid w:val="00EC432B"/>
    <w:rsid w:val="00EC4C47"/>
    <w:rsid w:val="00EC5860"/>
    <w:rsid w:val="00ED05B9"/>
    <w:rsid w:val="00ED085D"/>
    <w:rsid w:val="00ED0FF6"/>
    <w:rsid w:val="00ED2BF9"/>
    <w:rsid w:val="00ED3285"/>
    <w:rsid w:val="00ED3593"/>
    <w:rsid w:val="00ED378E"/>
    <w:rsid w:val="00ED3E1A"/>
    <w:rsid w:val="00ED4E9C"/>
    <w:rsid w:val="00ED5F2E"/>
    <w:rsid w:val="00ED60DD"/>
    <w:rsid w:val="00ED6348"/>
    <w:rsid w:val="00ED6F6F"/>
    <w:rsid w:val="00ED757A"/>
    <w:rsid w:val="00EE07D3"/>
    <w:rsid w:val="00EE10FB"/>
    <w:rsid w:val="00EE2033"/>
    <w:rsid w:val="00EE25E4"/>
    <w:rsid w:val="00EE470E"/>
    <w:rsid w:val="00EE4A38"/>
    <w:rsid w:val="00EE55F1"/>
    <w:rsid w:val="00EE5FA7"/>
    <w:rsid w:val="00EE69E5"/>
    <w:rsid w:val="00EE6B2D"/>
    <w:rsid w:val="00EE78E6"/>
    <w:rsid w:val="00EF1684"/>
    <w:rsid w:val="00EF22F4"/>
    <w:rsid w:val="00EF4AA4"/>
    <w:rsid w:val="00EF64D0"/>
    <w:rsid w:val="00EF66E2"/>
    <w:rsid w:val="00EF796D"/>
    <w:rsid w:val="00EF7D01"/>
    <w:rsid w:val="00F0041C"/>
    <w:rsid w:val="00F01345"/>
    <w:rsid w:val="00F03883"/>
    <w:rsid w:val="00F03904"/>
    <w:rsid w:val="00F03D63"/>
    <w:rsid w:val="00F040B6"/>
    <w:rsid w:val="00F058C9"/>
    <w:rsid w:val="00F067A2"/>
    <w:rsid w:val="00F07F57"/>
    <w:rsid w:val="00F1057E"/>
    <w:rsid w:val="00F10E64"/>
    <w:rsid w:val="00F1227B"/>
    <w:rsid w:val="00F12996"/>
    <w:rsid w:val="00F12E57"/>
    <w:rsid w:val="00F12F08"/>
    <w:rsid w:val="00F13178"/>
    <w:rsid w:val="00F14799"/>
    <w:rsid w:val="00F16C84"/>
    <w:rsid w:val="00F16DC5"/>
    <w:rsid w:val="00F20216"/>
    <w:rsid w:val="00F22DC7"/>
    <w:rsid w:val="00F23041"/>
    <w:rsid w:val="00F23211"/>
    <w:rsid w:val="00F23379"/>
    <w:rsid w:val="00F23889"/>
    <w:rsid w:val="00F2390D"/>
    <w:rsid w:val="00F2431D"/>
    <w:rsid w:val="00F24837"/>
    <w:rsid w:val="00F25233"/>
    <w:rsid w:val="00F2575F"/>
    <w:rsid w:val="00F331EF"/>
    <w:rsid w:val="00F33469"/>
    <w:rsid w:val="00F338FF"/>
    <w:rsid w:val="00F33DE9"/>
    <w:rsid w:val="00F3414E"/>
    <w:rsid w:val="00F3619A"/>
    <w:rsid w:val="00F368B6"/>
    <w:rsid w:val="00F41F83"/>
    <w:rsid w:val="00F42515"/>
    <w:rsid w:val="00F42C00"/>
    <w:rsid w:val="00F446E5"/>
    <w:rsid w:val="00F4532F"/>
    <w:rsid w:val="00F45F96"/>
    <w:rsid w:val="00F46489"/>
    <w:rsid w:val="00F46CB6"/>
    <w:rsid w:val="00F507CE"/>
    <w:rsid w:val="00F513BE"/>
    <w:rsid w:val="00F513CB"/>
    <w:rsid w:val="00F51C84"/>
    <w:rsid w:val="00F51F94"/>
    <w:rsid w:val="00F52D32"/>
    <w:rsid w:val="00F533D4"/>
    <w:rsid w:val="00F535EA"/>
    <w:rsid w:val="00F556CC"/>
    <w:rsid w:val="00F55E73"/>
    <w:rsid w:val="00F57476"/>
    <w:rsid w:val="00F61A48"/>
    <w:rsid w:val="00F63B30"/>
    <w:rsid w:val="00F65BDF"/>
    <w:rsid w:val="00F6702E"/>
    <w:rsid w:val="00F6798E"/>
    <w:rsid w:val="00F70D42"/>
    <w:rsid w:val="00F710B0"/>
    <w:rsid w:val="00F725C3"/>
    <w:rsid w:val="00F72647"/>
    <w:rsid w:val="00F75D60"/>
    <w:rsid w:val="00F80E5D"/>
    <w:rsid w:val="00F834B3"/>
    <w:rsid w:val="00F84011"/>
    <w:rsid w:val="00F84B1A"/>
    <w:rsid w:val="00F84F89"/>
    <w:rsid w:val="00F851CE"/>
    <w:rsid w:val="00F85F5F"/>
    <w:rsid w:val="00F8652C"/>
    <w:rsid w:val="00F865F6"/>
    <w:rsid w:val="00F91011"/>
    <w:rsid w:val="00F917FD"/>
    <w:rsid w:val="00F93433"/>
    <w:rsid w:val="00F941A6"/>
    <w:rsid w:val="00F94506"/>
    <w:rsid w:val="00F94F82"/>
    <w:rsid w:val="00F95DFE"/>
    <w:rsid w:val="00F97869"/>
    <w:rsid w:val="00F97A78"/>
    <w:rsid w:val="00FA02C3"/>
    <w:rsid w:val="00FA040C"/>
    <w:rsid w:val="00FA0664"/>
    <w:rsid w:val="00FA1B46"/>
    <w:rsid w:val="00FA1EE5"/>
    <w:rsid w:val="00FA2279"/>
    <w:rsid w:val="00FA3A0C"/>
    <w:rsid w:val="00FA3ADA"/>
    <w:rsid w:val="00FA3B5B"/>
    <w:rsid w:val="00FA3BAD"/>
    <w:rsid w:val="00FA4208"/>
    <w:rsid w:val="00FA6313"/>
    <w:rsid w:val="00FA6857"/>
    <w:rsid w:val="00FB0BBD"/>
    <w:rsid w:val="00FB10CD"/>
    <w:rsid w:val="00FB126F"/>
    <w:rsid w:val="00FB2FCB"/>
    <w:rsid w:val="00FB46BD"/>
    <w:rsid w:val="00FB4CE9"/>
    <w:rsid w:val="00FB4FE6"/>
    <w:rsid w:val="00FB60AA"/>
    <w:rsid w:val="00FB65C0"/>
    <w:rsid w:val="00FB6942"/>
    <w:rsid w:val="00FC0CAE"/>
    <w:rsid w:val="00FC1074"/>
    <w:rsid w:val="00FC1884"/>
    <w:rsid w:val="00FC19D3"/>
    <w:rsid w:val="00FC1B39"/>
    <w:rsid w:val="00FC27FD"/>
    <w:rsid w:val="00FC28B7"/>
    <w:rsid w:val="00FC51D6"/>
    <w:rsid w:val="00FC6661"/>
    <w:rsid w:val="00FC71C2"/>
    <w:rsid w:val="00FD0CAC"/>
    <w:rsid w:val="00FD2100"/>
    <w:rsid w:val="00FD446D"/>
    <w:rsid w:val="00FD4CFF"/>
    <w:rsid w:val="00FD5F50"/>
    <w:rsid w:val="00FD6539"/>
    <w:rsid w:val="00FD72AD"/>
    <w:rsid w:val="00FD773B"/>
    <w:rsid w:val="00FD7B2C"/>
    <w:rsid w:val="00FE04A0"/>
    <w:rsid w:val="00FE0B9C"/>
    <w:rsid w:val="00FE0F5A"/>
    <w:rsid w:val="00FE1540"/>
    <w:rsid w:val="00FE3AF9"/>
    <w:rsid w:val="00FE3BA2"/>
    <w:rsid w:val="00FE4ABD"/>
    <w:rsid w:val="00FE4E30"/>
    <w:rsid w:val="00FE70B2"/>
    <w:rsid w:val="00FE7297"/>
    <w:rsid w:val="00FE7414"/>
    <w:rsid w:val="00FF0E3D"/>
    <w:rsid w:val="00FF3DCF"/>
    <w:rsid w:val="00FF4D75"/>
    <w:rsid w:val="00FF59F4"/>
    <w:rsid w:val="00FF5AA3"/>
    <w:rsid w:val="00FF6216"/>
    <w:rsid w:val="00FF62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81A5B"/>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FE04A0"/>
    <w:pPr>
      <w:numPr>
        <w:numId w:val="2"/>
      </w:numPr>
      <w:outlineLvl w:val="0"/>
    </w:pPr>
    <w:rPr>
      <w:rFonts w:ascii="Arial" w:hAnsi="Arial" w:cs="Arial"/>
      <w:snapToGrid w:val="0"/>
      <w:sz w:val="22"/>
      <w:szCs w:val="22"/>
      <w:lang w:eastAsia="en-US"/>
    </w:rPr>
  </w:style>
  <w:style w:type="character" w:customStyle="1" w:styleId="Heading1Char">
    <w:name w:val="Heading 1 Char"/>
    <w:basedOn w:val="DefaultParagraphFont"/>
    <w:link w:val="Heading1"/>
    <w:rsid w:val="00FA3BAD"/>
    <w:rPr>
      <w:rFonts w:ascii="Arial Bold" w:hAnsi="Arial Bold" w:cs="Arial"/>
      <w:b/>
      <w:caps/>
      <w:snapToGrid w:val="0"/>
      <w:sz w:val="22"/>
      <w:lang w:eastAsia="en-US"/>
    </w:rPr>
  </w:style>
  <w:style w:type="character" w:customStyle="1" w:styleId="Heading3Char">
    <w:name w:val="Heading 3 Char"/>
    <w:basedOn w:val="DefaultParagraphFont"/>
    <w:link w:val="Heading3"/>
    <w:rsid w:val="00FA3BAD"/>
    <w:rPr>
      <w:rFonts w:ascii="Arial" w:hAnsi="Arial" w:cs="Arial"/>
      <w:snapToGrid w:val="0"/>
      <w:sz w:val="22"/>
      <w:u w:val="single"/>
      <w:lang w:eastAsia="en-US"/>
    </w:rPr>
  </w:style>
  <w:style w:type="character" w:customStyle="1" w:styleId="Heading4Char">
    <w:name w:val="Heading 4 Char"/>
    <w:basedOn w:val="DefaultParagraphFont"/>
    <w:link w:val="Heading4"/>
    <w:rsid w:val="00FA3BAD"/>
    <w:rPr>
      <w:rFonts w:ascii="Arial" w:hAnsi="Arial" w:cs="Arial"/>
      <w:b/>
      <w:bCs/>
      <w:i/>
      <w:snapToGrid w:val="0"/>
      <w:sz w:val="26"/>
      <w:szCs w:val="28"/>
      <w:lang w:eastAsia="en-US"/>
    </w:rPr>
  </w:style>
  <w:style w:type="character" w:customStyle="1" w:styleId="Heading5Char">
    <w:name w:val="Heading 5 Char"/>
    <w:basedOn w:val="DefaultParagraphFont"/>
    <w:link w:val="Heading5"/>
    <w:rsid w:val="00FA3BAD"/>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FA3BAD"/>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FA3BAD"/>
    <w:rPr>
      <w:color w:val="800080" w:themeColor="followedHyperlink"/>
      <w:u w:val="single"/>
    </w:rPr>
  </w:style>
  <w:style w:type="paragraph" w:styleId="FootnoteText">
    <w:name w:val="footnote text"/>
    <w:aliases w:val="Char,wcp_Footnote,Footnote_Bas Page,Footnote Text Char Char,Footnote Text Char2,Footnote Text Char Char1"/>
    <w:basedOn w:val="Normal"/>
    <w:link w:val="FootnoteTextChar"/>
    <w:semiHidden/>
    <w:unhideWhenUsed/>
    <w:rsid w:val="00FA3BAD"/>
    <w:pPr>
      <w:snapToGrid w:val="0"/>
    </w:pPr>
    <w:rPr>
      <w:snapToGrid/>
      <w:sz w:val="20"/>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semiHidden/>
    <w:rsid w:val="00FA3BAD"/>
    <w:rPr>
      <w:rFonts w:ascii="Arial" w:hAnsi="Arial" w:cs="Arial"/>
      <w:lang w:eastAsia="en-US"/>
    </w:rPr>
  </w:style>
  <w:style w:type="character" w:customStyle="1" w:styleId="HeaderChar1">
    <w:name w:val="Header Char1"/>
    <w:aliases w:val="Page Header Char1,Header title Char1,he=header Char1,cntr/bld Char1"/>
    <w:basedOn w:val="DefaultParagraphFont"/>
    <w:uiPriority w:val="99"/>
    <w:semiHidden/>
    <w:rsid w:val="00FA3BAD"/>
    <w:rPr>
      <w:rFonts w:ascii="Arial" w:hAnsi="Arial" w:cs="Arial"/>
      <w:sz w:val="22"/>
      <w:lang w:eastAsia="en-US"/>
    </w:rPr>
  </w:style>
  <w:style w:type="paragraph" w:styleId="EndnoteText">
    <w:name w:val="endnote text"/>
    <w:basedOn w:val="Normal"/>
    <w:link w:val="EndnoteTextChar"/>
    <w:uiPriority w:val="99"/>
    <w:semiHidden/>
    <w:unhideWhenUsed/>
    <w:rsid w:val="00FA3BAD"/>
    <w:pPr>
      <w:snapToGrid w:val="0"/>
    </w:pPr>
    <w:rPr>
      <w:snapToGrid/>
      <w:sz w:val="20"/>
    </w:rPr>
  </w:style>
  <w:style w:type="character" w:customStyle="1" w:styleId="EndnoteTextChar">
    <w:name w:val="Endnote Text Char"/>
    <w:basedOn w:val="DefaultParagraphFont"/>
    <w:link w:val="EndnoteText"/>
    <w:uiPriority w:val="99"/>
    <w:semiHidden/>
    <w:rsid w:val="00FA3BAD"/>
    <w:rPr>
      <w:rFonts w:ascii="Arial" w:hAnsi="Arial" w:cs="Arial"/>
      <w:lang w:eastAsia="en-US"/>
    </w:rPr>
  </w:style>
  <w:style w:type="character" w:styleId="FootnoteReference">
    <w:name w:val="footnote reference"/>
    <w:basedOn w:val="DefaultParagraphFont"/>
    <w:uiPriority w:val="99"/>
    <w:semiHidden/>
    <w:unhideWhenUsed/>
    <w:rsid w:val="00FA3BAD"/>
    <w:rPr>
      <w:vertAlign w:val="superscript"/>
    </w:rPr>
  </w:style>
  <w:style w:type="character" w:styleId="EndnoteReference">
    <w:name w:val="endnote reference"/>
    <w:basedOn w:val="DefaultParagraphFont"/>
    <w:semiHidden/>
    <w:unhideWhenUsed/>
    <w:rsid w:val="00FA3BAD"/>
    <w:rPr>
      <w:vertAlign w:val="superscript"/>
    </w:rPr>
  </w:style>
  <w:style w:type="paragraph" w:customStyle="1" w:styleId="PBACHeading10">
    <w:name w:val="PBAC Heading 1"/>
    <w:qFormat/>
    <w:rsid w:val="00A52405"/>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65347"/>
    <w:pPr>
      <w:widowControl/>
      <w:spacing w:after="160" w:line="240" w:lineRule="exact"/>
      <w:jc w:val="left"/>
    </w:pPr>
    <w:rPr>
      <w:rFonts w:ascii="Verdana" w:eastAsia="MS Mincho" w:hAnsi="Verdana" w:cs="Verdana"/>
      <w:snapToGrid/>
      <w:sz w:val="20"/>
      <w:lang w:val="en-US"/>
    </w:rPr>
  </w:style>
  <w:style w:type="paragraph" w:styleId="Subtitle">
    <w:name w:val="Subtitle"/>
    <w:aliases w:val="PBAC Paragraph"/>
    <w:basedOn w:val="Normal"/>
    <w:link w:val="SubtitleChar"/>
    <w:uiPriority w:val="11"/>
    <w:qFormat/>
    <w:rsid w:val="007D5F8C"/>
    <w:pPr>
      <w:widowControl/>
    </w:pPr>
    <w:rPr>
      <w:rFonts w:ascii="Times New Roman" w:hAnsi="Times New Roman" w:cs="Times New Roman"/>
      <w:b/>
      <w:snapToGrid/>
      <w:sz w:val="24"/>
      <w:lang w:eastAsia="en-AU"/>
    </w:rPr>
  </w:style>
  <w:style w:type="character" w:customStyle="1" w:styleId="SubtitleChar">
    <w:name w:val="Subtitle Char"/>
    <w:aliases w:val="PBAC Paragraph Char"/>
    <w:basedOn w:val="DefaultParagraphFont"/>
    <w:link w:val="Subtitle"/>
    <w:rsid w:val="007D5F8C"/>
    <w:rPr>
      <w:b/>
      <w:sz w:val="24"/>
    </w:rPr>
  </w:style>
  <w:style w:type="character" w:customStyle="1" w:styleId="ListParagraphChar">
    <w:name w:val="List Paragraph Char"/>
    <w:aliases w:val="BulletPoints Char"/>
    <w:link w:val="ListParagraph"/>
    <w:uiPriority w:val="34"/>
    <w:rsid w:val="00565864"/>
    <w:rPr>
      <w:rFonts w:ascii="Arial" w:hAnsi="Arial" w:cs="Arial"/>
      <w:snapToGrid w:val="0"/>
      <w:sz w:val="22"/>
      <w:lang w:eastAsia="en-US"/>
    </w:rPr>
  </w:style>
  <w:style w:type="character" w:styleId="IntenseReference">
    <w:name w:val="Intense Reference"/>
    <w:basedOn w:val="DefaultParagraphFont"/>
    <w:uiPriority w:val="32"/>
    <w:rsid w:val="00EB23C1"/>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81A5B"/>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FE04A0"/>
    <w:pPr>
      <w:numPr>
        <w:numId w:val="2"/>
      </w:numPr>
      <w:outlineLvl w:val="0"/>
    </w:pPr>
    <w:rPr>
      <w:rFonts w:ascii="Arial" w:hAnsi="Arial" w:cs="Arial"/>
      <w:snapToGrid w:val="0"/>
      <w:sz w:val="22"/>
      <w:szCs w:val="22"/>
      <w:lang w:eastAsia="en-US"/>
    </w:rPr>
  </w:style>
  <w:style w:type="character" w:customStyle="1" w:styleId="Heading1Char">
    <w:name w:val="Heading 1 Char"/>
    <w:basedOn w:val="DefaultParagraphFont"/>
    <w:link w:val="Heading1"/>
    <w:rsid w:val="00FA3BAD"/>
    <w:rPr>
      <w:rFonts w:ascii="Arial Bold" w:hAnsi="Arial Bold" w:cs="Arial"/>
      <w:b/>
      <w:caps/>
      <w:snapToGrid w:val="0"/>
      <w:sz w:val="22"/>
      <w:lang w:eastAsia="en-US"/>
    </w:rPr>
  </w:style>
  <w:style w:type="character" w:customStyle="1" w:styleId="Heading3Char">
    <w:name w:val="Heading 3 Char"/>
    <w:basedOn w:val="DefaultParagraphFont"/>
    <w:link w:val="Heading3"/>
    <w:rsid w:val="00FA3BAD"/>
    <w:rPr>
      <w:rFonts w:ascii="Arial" w:hAnsi="Arial" w:cs="Arial"/>
      <w:snapToGrid w:val="0"/>
      <w:sz w:val="22"/>
      <w:u w:val="single"/>
      <w:lang w:eastAsia="en-US"/>
    </w:rPr>
  </w:style>
  <w:style w:type="character" w:customStyle="1" w:styleId="Heading4Char">
    <w:name w:val="Heading 4 Char"/>
    <w:basedOn w:val="DefaultParagraphFont"/>
    <w:link w:val="Heading4"/>
    <w:rsid w:val="00FA3BAD"/>
    <w:rPr>
      <w:rFonts w:ascii="Arial" w:hAnsi="Arial" w:cs="Arial"/>
      <w:b/>
      <w:bCs/>
      <w:i/>
      <w:snapToGrid w:val="0"/>
      <w:sz w:val="26"/>
      <w:szCs w:val="28"/>
      <w:lang w:eastAsia="en-US"/>
    </w:rPr>
  </w:style>
  <w:style w:type="character" w:customStyle="1" w:styleId="Heading5Char">
    <w:name w:val="Heading 5 Char"/>
    <w:basedOn w:val="DefaultParagraphFont"/>
    <w:link w:val="Heading5"/>
    <w:rsid w:val="00FA3BAD"/>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FA3BAD"/>
    <w:rPr>
      <w:rFonts w:ascii="Arial" w:hAnsi="Arial" w:cs="Arial"/>
      <w:b/>
      <w:bCs/>
      <w:i/>
      <w:snapToGrid w:val="0"/>
      <w:sz w:val="22"/>
      <w:szCs w:val="22"/>
      <w:lang w:eastAsia="en-US"/>
    </w:rPr>
  </w:style>
  <w:style w:type="character" w:styleId="FollowedHyperlink">
    <w:name w:val="FollowedHyperlink"/>
    <w:basedOn w:val="DefaultParagraphFont"/>
    <w:uiPriority w:val="99"/>
    <w:semiHidden/>
    <w:unhideWhenUsed/>
    <w:rsid w:val="00FA3BAD"/>
    <w:rPr>
      <w:color w:val="800080" w:themeColor="followedHyperlink"/>
      <w:u w:val="single"/>
    </w:rPr>
  </w:style>
  <w:style w:type="paragraph" w:styleId="FootnoteText">
    <w:name w:val="footnote text"/>
    <w:aliases w:val="Char,wcp_Footnote,Footnote_Bas Page,Footnote Text Char Char,Footnote Text Char2,Footnote Text Char Char1"/>
    <w:basedOn w:val="Normal"/>
    <w:link w:val="FootnoteTextChar"/>
    <w:semiHidden/>
    <w:unhideWhenUsed/>
    <w:rsid w:val="00FA3BAD"/>
    <w:pPr>
      <w:snapToGrid w:val="0"/>
    </w:pPr>
    <w:rPr>
      <w:snapToGrid/>
      <w:sz w:val="20"/>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semiHidden/>
    <w:rsid w:val="00FA3BAD"/>
    <w:rPr>
      <w:rFonts w:ascii="Arial" w:hAnsi="Arial" w:cs="Arial"/>
      <w:lang w:eastAsia="en-US"/>
    </w:rPr>
  </w:style>
  <w:style w:type="character" w:customStyle="1" w:styleId="HeaderChar1">
    <w:name w:val="Header Char1"/>
    <w:aliases w:val="Page Header Char1,Header title Char1,he=header Char1,cntr/bld Char1"/>
    <w:basedOn w:val="DefaultParagraphFont"/>
    <w:uiPriority w:val="99"/>
    <w:semiHidden/>
    <w:rsid w:val="00FA3BAD"/>
    <w:rPr>
      <w:rFonts w:ascii="Arial" w:hAnsi="Arial" w:cs="Arial"/>
      <w:sz w:val="22"/>
      <w:lang w:eastAsia="en-US"/>
    </w:rPr>
  </w:style>
  <w:style w:type="paragraph" w:styleId="EndnoteText">
    <w:name w:val="endnote text"/>
    <w:basedOn w:val="Normal"/>
    <w:link w:val="EndnoteTextChar"/>
    <w:uiPriority w:val="99"/>
    <w:semiHidden/>
    <w:unhideWhenUsed/>
    <w:rsid w:val="00FA3BAD"/>
    <w:pPr>
      <w:snapToGrid w:val="0"/>
    </w:pPr>
    <w:rPr>
      <w:snapToGrid/>
      <w:sz w:val="20"/>
    </w:rPr>
  </w:style>
  <w:style w:type="character" w:customStyle="1" w:styleId="EndnoteTextChar">
    <w:name w:val="Endnote Text Char"/>
    <w:basedOn w:val="DefaultParagraphFont"/>
    <w:link w:val="EndnoteText"/>
    <w:uiPriority w:val="99"/>
    <w:semiHidden/>
    <w:rsid w:val="00FA3BAD"/>
    <w:rPr>
      <w:rFonts w:ascii="Arial" w:hAnsi="Arial" w:cs="Arial"/>
      <w:lang w:eastAsia="en-US"/>
    </w:rPr>
  </w:style>
  <w:style w:type="character" w:styleId="FootnoteReference">
    <w:name w:val="footnote reference"/>
    <w:basedOn w:val="DefaultParagraphFont"/>
    <w:uiPriority w:val="99"/>
    <w:semiHidden/>
    <w:unhideWhenUsed/>
    <w:rsid w:val="00FA3BAD"/>
    <w:rPr>
      <w:vertAlign w:val="superscript"/>
    </w:rPr>
  </w:style>
  <w:style w:type="character" w:styleId="EndnoteReference">
    <w:name w:val="endnote reference"/>
    <w:basedOn w:val="DefaultParagraphFont"/>
    <w:semiHidden/>
    <w:unhideWhenUsed/>
    <w:rsid w:val="00FA3BAD"/>
    <w:rPr>
      <w:vertAlign w:val="superscript"/>
    </w:rPr>
  </w:style>
  <w:style w:type="paragraph" w:customStyle="1" w:styleId="PBACHeading10">
    <w:name w:val="PBAC Heading 1"/>
    <w:qFormat/>
    <w:rsid w:val="00A52405"/>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65347"/>
    <w:pPr>
      <w:widowControl/>
      <w:spacing w:after="160" w:line="240" w:lineRule="exact"/>
      <w:jc w:val="left"/>
    </w:pPr>
    <w:rPr>
      <w:rFonts w:ascii="Verdana" w:eastAsia="MS Mincho" w:hAnsi="Verdana" w:cs="Verdana"/>
      <w:snapToGrid/>
      <w:sz w:val="20"/>
      <w:lang w:val="en-US"/>
    </w:rPr>
  </w:style>
  <w:style w:type="paragraph" w:styleId="Subtitle">
    <w:name w:val="Subtitle"/>
    <w:aliases w:val="PBAC Paragraph"/>
    <w:basedOn w:val="Normal"/>
    <w:link w:val="SubtitleChar"/>
    <w:uiPriority w:val="11"/>
    <w:qFormat/>
    <w:rsid w:val="007D5F8C"/>
    <w:pPr>
      <w:widowControl/>
    </w:pPr>
    <w:rPr>
      <w:rFonts w:ascii="Times New Roman" w:hAnsi="Times New Roman" w:cs="Times New Roman"/>
      <w:b/>
      <w:snapToGrid/>
      <w:sz w:val="24"/>
      <w:lang w:eastAsia="en-AU"/>
    </w:rPr>
  </w:style>
  <w:style w:type="character" w:customStyle="1" w:styleId="SubtitleChar">
    <w:name w:val="Subtitle Char"/>
    <w:aliases w:val="PBAC Paragraph Char"/>
    <w:basedOn w:val="DefaultParagraphFont"/>
    <w:link w:val="Subtitle"/>
    <w:rsid w:val="007D5F8C"/>
    <w:rPr>
      <w:b/>
      <w:sz w:val="24"/>
    </w:rPr>
  </w:style>
  <w:style w:type="character" w:customStyle="1" w:styleId="ListParagraphChar">
    <w:name w:val="List Paragraph Char"/>
    <w:aliases w:val="BulletPoints Char"/>
    <w:link w:val="ListParagraph"/>
    <w:uiPriority w:val="34"/>
    <w:rsid w:val="00565864"/>
    <w:rPr>
      <w:rFonts w:ascii="Arial" w:hAnsi="Arial" w:cs="Arial"/>
      <w:snapToGrid w:val="0"/>
      <w:sz w:val="22"/>
      <w:lang w:eastAsia="en-US"/>
    </w:rPr>
  </w:style>
  <w:style w:type="character" w:styleId="IntenseReference">
    <w:name w:val="Intense Reference"/>
    <w:basedOn w:val="DefaultParagraphFont"/>
    <w:uiPriority w:val="32"/>
    <w:rsid w:val="00EB23C1"/>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852">
      <w:bodyDiv w:val="1"/>
      <w:marLeft w:val="0"/>
      <w:marRight w:val="0"/>
      <w:marTop w:val="0"/>
      <w:marBottom w:val="0"/>
      <w:divBdr>
        <w:top w:val="none" w:sz="0" w:space="0" w:color="auto"/>
        <w:left w:val="none" w:sz="0" w:space="0" w:color="auto"/>
        <w:bottom w:val="none" w:sz="0" w:space="0" w:color="auto"/>
        <w:right w:val="none" w:sz="0" w:space="0" w:color="auto"/>
      </w:divBdr>
    </w:div>
    <w:div w:id="131019646">
      <w:bodyDiv w:val="1"/>
      <w:marLeft w:val="0"/>
      <w:marRight w:val="0"/>
      <w:marTop w:val="0"/>
      <w:marBottom w:val="0"/>
      <w:divBdr>
        <w:top w:val="none" w:sz="0" w:space="0" w:color="auto"/>
        <w:left w:val="none" w:sz="0" w:space="0" w:color="auto"/>
        <w:bottom w:val="none" w:sz="0" w:space="0" w:color="auto"/>
        <w:right w:val="none" w:sz="0" w:space="0" w:color="auto"/>
      </w:divBdr>
    </w:div>
    <w:div w:id="288390901">
      <w:bodyDiv w:val="1"/>
      <w:marLeft w:val="0"/>
      <w:marRight w:val="0"/>
      <w:marTop w:val="0"/>
      <w:marBottom w:val="0"/>
      <w:divBdr>
        <w:top w:val="none" w:sz="0" w:space="0" w:color="auto"/>
        <w:left w:val="none" w:sz="0" w:space="0" w:color="auto"/>
        <w:bottom w:val="none" w:sz="0" w:space="0" w:color="auto"/>
        <w:right w:val="none" w:sz="0" w:space="0" w:color="auto"/>
      </w:divBdr>
    </w:div>
    <w:div w:id="407114631">
      <w:bodyDiv w:val="1"/>
      <w:marLeft w:val="0"/>
      <w:marRight w:val="0"/>
      <w:marTop w:val="0"/>
      <w:marBottom w:val="0"/>
      <w:divBdr>
        <w:top w:val="none" w:sz="0" w:space="0" w:color="auto"/>
        <w:left w:val="none" w:sz="0" w:space="0" w:color="auto"/>
        <w:bottom w:val="none" w:sz="0" w:space="0" w:color="auto"/>
        <w:right w:val="none" w:sz="0" w:space="0" w:color="auto"/>
      </w:divBdr>
    </w:div>
    <w:div w:id="442040680">
      <w:bodyDiv w:val="1"/>
      <w:marLeft w:val="0"/>
      <w:marRight w:val="0"/>
      <w:marTop w:val="0"/>
      <w:marBottom w:val="0"/>
      <w:divBdr>
        <w:top w:val="none" w:sz="0" w:space="0" w:color="auto"/>
        <w:left w:val="none" w:sz="0" w:space="0" w:color="auto"/>
        <w:bottom w:val="none" w:sz="0" w:space="0" w:color="auto"/>
        <w:right w:val="none" w:sz="0" w:space="0" w:color="auto"/>
      </w:divBdr>
    </w:div>
    <w:div w:id="461383781">
      <w:bodyDiv w:val="1"/>
      <w:marLeft w:val="0"/>
      <w:marRight w:val="0"/>
      <w:marTop w:val="0"/>
      <w:marBottom w:val="0"/>
      <w:divBdr>
        <w:top w:val="none" w:sz="0" w:space="0" w:color="auto"/>
        <w:left w:val="none" w:sz="0" w:space="0" w:color="auto"/>
        <w:bottom w:val="none" w:sz="0" w:space="0" w:color="auto"/>
        <w:right w:val="none" w:sz="0" w:space="0" w:color="auto"/>
      </w:divBdr>
    </w:div>
    <w:div w:id="566309104">
      <w:bodyDiv w:val="1"/>
      <w:marLeft w:val="0"/>
      <w:marRight w:val="0"/>
      <w:marTop w:val="0"/>
      <w:marBottom w:val="0"/>
      <w:divBdr>
        <w:top w:val="none" w:sz="0" w:space="0" w:color="auto"/>
        <w:left w:val="none" w:sz="0" w:space="0" w:color="auto"/>
        <w:bottom w:val="none" w:sz="0" w:space="0" w:color="auto"/>
        <w:right w:val="none" w:sz="0" w:space="0" w:color="auto"/>
      </w:divBdr>
    </w:div>
    <w:div w:id="585462896">
      <w:bodyDiv w:val="1"/>
      <w:marLeft w:val="0"/>
      <w:marRight w:val="0"/>
      <w:marTop w:val="0"/>
      <w:marBottom w:val="0"/>
      <w:divBdr>
        <w:top w:val="none" w:sz="0" w:space="0" w:color="auto"/>
        <w:left w:val="none" w:sz="0" w:space="0" w:color="auto"/>
        <w:bottom w:val="none" w:sz="0" w:space="0" w:color="auto"/>
        <w:right w:val="none" w:sz="0" w:space="0" w:color="auto"/>
      </w:divBdr>
    </w:div>
    <w:div w:id="631592045">
      <w:bodyDiv w:val="1"/>
      <w:marLeft w:val="0"/>
      <w:marRight w:val="0"/>
      <w:marTop w:val="0"/>
      <w:marBottom w:val="0"/>
      <w:divBdr>
        <w:top w:val="none" w:sz="0" w:space="0" w:color="auto"/>
        <w:left w:val="none" w:sz="0" w:space="0" w:color="auto"/>
        <w:bottom w:val="none" w:sz="0" w:space="0" w:color="auto"/>
        <w:right w:val="none" w:sz="0" w:space="0" w:color="auto"/>
      </w:divBdr>
    </w:div>
    <w:div w:id="680473983">
      <w:bodyDiv w:val="1"/>
      <w:marLeft w:val="0"/>
      <w:marRight w:val="0"/>
      <w:marTop w:val="0"/>
      <w:marBottom w:val="0"/>
      <w:divBdr>
        <w:top w:val="none" w:sz="0" w:space="0" w:color="auto"/>
        <w:left w:val="none" w:sz="0" w:space="0" w:color="auto"/>
        <w:bottom w:val="none" w:sz="0" w:space="0" w:color="auto"/>
        <w:right w:val="none" w:sz="0" w:space="0" w:color="auto"/>
      </w:divBdr>
    </w:div>
    <w:div w:id="748891226">
      <w:bodyDiv w:val="1"/>
      <w:marLeft w:val="0"/>
      <w:marRight w:val="0"/>
      <w:marTop w:val="0"/>
      <w:marBottom w:val="0"/>
      <w:divBdr>
        <w:top w:val="none" w:sz="0" w:space="0" w:color="auto"/>
        <w:left w:val="none" w:sz="0" w:space="0" w:color="auto"/>
        <w:bottom w:val="none" w:sz="0" w:space="0" w:color="auto"/>
        <w:right w:val="none" w:sz="0" w:space="0" w:color="auto"/>
      </w:divBdr>
    </w:div>
    <w:div w:id="762144448">
      <w:bodyDiv w:val="1"/>
      <w:marLeft w:val="0"/>
      <w:marRight w:val="0"/>
      <w:marTop w:val="0"/>
      <w:marBottom w:val="0"/>
      <w:divBdr>
        <w:top w:val="none" w:sz="0" w:space="0" w:color="auto"/>
        <w:left w:val="none" w:sz="0" w:space="0" w:color="auto"/>
        <w:bottom w:val="none" w:sz="0" w:space="0" w:color="auto"/>
        <w:right w:val="none" w:sz="0" w:space="0" w:color="auto"/>
      </w:divBdr>
    </w:div>
    <w:div w:id="773861836">
      <w:bodyDiv w:val="1"/>
      <w:marLeft w:val="0"/>
      <w:marRight w:val="0"/>
      <w:marTop w:val="0"/>
      <w:marBottom w:val="0"/>
      <w:divBdr>
        <w:top w:val="none" w:sz="0" w:space="0" w:color="auto"/>
        <w:left w:val="none" w:sz="0" w:space="0" w:color="auto"/>
        <w:bottom w:val="none" w:sz="0" w:space="0" w:color="auto"/>
        <w:right w:val="none" w:sz="0" w:space="0" w:color="auto"/>
      </w:divBdr>
    </w:div>
    <w:div w:id="906577986">
      <w:bodyDiv w:val="1"/>
      <w:marLeft w:val="0"/>
      <w:marRight w:val="0"/>
      <w:marTop w:val="0"/>
      <w:marBottom w:val="0"/>
      <w:divBdr>
        <w:top w:val="none" w:sz="0" w:space="0" w:color="auto"/>
        <w:left w:val="none" w:sz="0" w:space="0" w:color="auto"/>
        <w:bottom w:val="none" w:sz="0" w:space="0" w:color="auto"/>
        <w:right w:val="none" w:sz="0" w:space="0" w:color="auto"/>
      </w:divBdr>
    </w:div>
    <w:div w:id="913591348">
      <w:bodyDiv w:val="1"/>
      <w:marLeft w:val="0"/>
      <w:marRight w:val="0"/>
      <w:marTop w:val="0"/>
      <w:marBottom w:val="0"/>
      <w:divBdr>
        <w:top w:val="none" w:sz="0" w:space="0" w:color="auto"/>
        <w:left w:val="none" w:sz="0" w:space="0" w:color="auto"/>
        <w:bottom w:val="none" w:sz="0" w:space="0" w:color="auto"/>
        <w:right w:val="none" w:sz="0" w:space="0" w:color="auto"/>
      </w:divBdr>
    </w:div>
    <w:div w:id="955795647">
      <w:bodyDiv w:val="1"/>
      <w:marLeft w:val="0"/>
      <w:marRight w:val="0"/>
      <w:marTop w:val="0"/>
      <w:marBottom w:val="0"/>
      <w:divBdr>
        <w:top w:val="none" w:sz="0" w:space="0" w:color="auto"/>
        <w:left w:val="none" w:sz="0" w:space="0" w:color="auto"/>
        <w:bottom w:val="none" w:sz="0" w:space="0" w:color="auto"/>
        <w:right w:val="none" w:sz="0" w:space="0" w:color="auto"/>
      </w:divBdr>
    </w:div>
    <w:div w:id="1018198280">
      <w:bodyDiv w:val="1"/>
      <w:marLeft w:val="0"/>
      <w:marRight w:val="0"/>
      <w:marTop w:val="0"/>
      <w:marBottom w:val="0"/>
      <w:divBdr>
        <w:top w:val="none" w:sz="0" w:space="0" w:color="auto"/>
        <w:left w:val="none" w:sz="0" w:space="0" w:color="auto"/>
        <w:bottom w:val="none" w:sz="0" w:space="0" w:color="auto"/>
        <w:right w:val="none" w:sz="0" w:space="0" w:color="auto"/>
      </w:divBdr>
    </w:div>
    <w:div w:id="1024018448">
      <w:bodyDiv w:val="1"/>
      <w:marLeft w:val="0"/>
      <w:marRight w:val="0"/>
      <w:marTop w:val="0"/>
      <w:marBottom w:val="0"/>
      <w:divBdr>
        <w:top w:val="none" w:sz="0" w:space="0" w:color="auto"/>
        <w:left w:val="none" w:sz="0" w:space="0" w:color="auto"/>
        <w:bottom w:val="none" w:sz="0" w:space="0" w:color="auto"/>
        <w:right w:val="none" w:sz="0" w:space="0" w:color="auto"/>
      </w:divBdr>
    </w:div>
    <w:div w:id="1040865252">
      <w:bodyDiv w:val="1"/>
      <w:marLeft w:val="0"/>
      <w:marRight w:val="0"/>
      <w:marTop w:val="0"/>
      <w:marBottom w:val="0"/>
      <w:divBdr>
        <w:top w:val="none" w:sz="0" w:space="0" w:color="auto"/>
        <w:left w:val="none" w:sz="0" w:space="0" w:color="auto"/>
        <w:bottom w:val="none" w:sz="0" w:space="0" w:color="auto"/>
        <w:right w:val="none" w:sz="0" w:space="0" w:color="auto"/>
      </w:divBdr>
    </w:div>
    <w:div w:id="1177500612">
      <w:bodyDiv w:val="1"/>
      <w:marLeft w:val="0"/>
      <w:marRight w:val="0"/>
      <w:marTop w:val="0"/>
      <w:marBottom w:val="0"/>
      <w:divBdr>
        <w:top w:val="none" w:sz="0" w:space="0" w:color="auto"/>
        <w:left w:val="none" w:sz="0" w:space="0" w:color="auto"/>
        <w:bottom w:val="none" w:sz="0" w:space="0" w:color="auto"/>
        <w:right w:val="none" w:sz="0" w:space="0" w:color="auto"/>
      </w:divBdr>
    </w:div>
    <w:div w:id="1503424213">
      <w:bodyDiv w:val="1"/>
      <w:marLeft w:val="0"/>
      <w:marRight w:val="0"/>
      <w:marTop w:val="0"/>
      <w:marBottom w:val="0"/>
      <w:divBdr>
        <w:top w:val="none" w:sz="0" w:space="0" w:color="auto"/>
        <w:left w:val="none" w:sz="0" w:space="0" w:color="auto"/>
        <w:bottom w:val="none" w:sz="0" w:space="0" w:color="auto"/>
        <w:right w:val="none" w:sz="0" w:space="0" w:color="auto"/>
      </w:divBdr>
    </w:div>
    <w:div w:id="1554537804">
      <w:bodyDiv w:val="1"/>
      <w:marLeft w:val="0"/>
      <w:marRight w:val="0"/>
      <w:marTop w:val="0"/>
      <w:marBottom w:val="0"/>
      <w:divBdr>
        <w:top w:val="none" w:sz="0" w:space="0" w:color="auto"/>
        <w:left w:val="none" w:sz="0" w:space="0" w:color="auto"/>
        <w:bottom w:val="none" w:sz="0" w:space="0" w:color="auto"/>
        <w:right w:val="none" w:sz="0" w:space="0" w:color="auto"/>
      </w:divBdr>
    </w:div>
    <w:div w:id="1620138098">
      <w:bodyDiv w:val="1"/>
      <w:marLeft w:val="0"/>
      <w:marRight w:val="0"/>
      <w:marTop w:val="0"/>
      <w:marBottom w:val="0"/>
      <w:divBdr>
        <w:top w:val="none" w:sz="0" w:space="0" w:color="auto"/>
        <w:left w:val="none" w:sz="0" w:space="0" w:color="auto"/>
        <w:bottom w:val="none" w:sz="0" w:space="0" w:color="auto"/>
        <w:right w:val="none" w:sz="0" w:space="0" w:color="auto"/>
      </w:divBdr>
    </w:div>
    <w:div w:id="1638990071">
      <w:bodyDiv w:val="1"/>
      <w:marLeft w:val="0"/>
      <w:marRight w:val="0"/>
      <w:marTop w:val="0"/>
      <w:marBottom w:val="0"/>
      <w:divBdr>
        <w:top w:val="none" w:sz="0" w:space="0" w:color="auto"/>
        <w:left w:val="none" w:sz="0" w:space="0" w:color="auto"/>
        <w:bottom w:val="none" w:sz="0" w:space="0" w:color="auto"/>
        <w:right w:val="none" w:sz="0" w:space="0" w:color="auto"/>
      </w:divBdr>
    </w:div>
    <w:div w:id="1657688992">
      <w:bodyDiv w:val="1"/>
      <w:marLeft w:val="0"/>
      <w:marRight w:val="0"/>
      <w:marTop w:val="0"/>
      <w:marBottom w:val="0"/>
      <w:divBdr>
        <w:top w:val="none" w:sz="0" w:space="0" w:color="auto"/>
        <w:left w:val="none" w:sz="0" w:space="0" w:color="auto"/>
        <w:bottom w:val="none" w:sz="0" w:space="0" w:color="auto"/>
        <w:right w:val="none" w:sz="0" w:space="0" w:color="auto"/>
      </w:divBdr>
    </w:div>
    <w:div w:id="1670791122">
      <w:bodyDiv w:val="1"/>
      <w:marLeft w:val="0"/>
      <w:marRight w:val="0"/>
      <w:marTop w:val="0"/>
      <w:marBottom w:val="0"/>
      <w:divBdr>
        <w:top w:val="none" w:sz="0" w:space="0" w:color="auto"/>
        <w:left w:val="none" w:sz="0" w:space="0" w:color="auto"/>
        <w:bottom w:val="none" w:sz="0" w:space="0" w:color="auto"/>
        <w:right w:val="none" w:sz="0" w:space="0" w:color="auto"/>
      </w:divBdr>
    </w:div>
    <w:div w:id="1701592013">
      <w:bodyDiv w:val="1"/>
      <w:marLeft w:val="0"/>
      <w:marRight w:val="0"/>
      <w:marTop w:val="0"/>
      <w:marBottom w:val="0"/>
      <w:divBdr>
        <w:top w:val="none" w:sz="0" w:space="0" w:color="auto"/>
        <w:left w:val="none" w:sz="0" w:space="0" w:color="auto"/>
        <w:bottom w:val="none" w:sz="0" w:space="0" w:color="auto"/>
        <w:right w:val="none" w:sz="0" w:space="0" w:color="auto"/>
      </w:divBdr>
    </w:div>
    <w:div w:id="1747145040">
      <w:bodyDiv w:val="1"/>
      <w:marLeft w:val="0"/>
      <w:marRight w:val="0"/>
      <w:marTop w:val="0"/>
      <w:marBottom w:val="0"/>
      <w:divBdr>
        <w:top w:val="none" w:sz="0" w:space="0" w:color="auto"/>
        <w:left w:val="none" w:sz="0" w:space="0" w:color="auto"/>
        <w:bottom w:val="none" w:sz="0" w:space="0" w:color="auto"/>
        <w:right w:val="none" w:sz="0" w:space="0" w:color="auto"/>
      </w:divBdr>
    </w:div>
    <w:div w:id="1787696385">
      <w:bodyDiv w:val="1"/>
      <w:marLeft w:val="0"/>
      <w:marRight w:val="0"/>
      <w:marTop w:val="0"/>
      <w:marBottom w:val="0"/>
      <w:divBdr>
        <w:top w:val="none" w:sz="0" w:space="0" w:color="auto"/>
        <w:left w:val="none" w:sz="0" w:space="0" w:color="auto"/>
        <w:bottom w:val="none" w:sz="0" w:space="0" w:color="auto"/>
        <w:right w:val="none" w:sz="0" w:space="0" w:color="auto"/>
      </w:divBdr>
    </w:div>
    <w:div w:id="1902867615">
      <w:bodyDiv w:val="1"/>
      <w:marLeft w:val="0"/>
      <w:marRight w:val="0"/>
      <w:marTop w:val="0"/>
      <w:marBottom w:val="0"/>
      <w:divBdr>
        <w:top w:val="none" w:sz="0" w:space="0" w:color="auto"/>
        <w:left w:val="none" w:sz="0" w:space="0" w:color="auto"/>
        <w:bottom w:val="none" w:sz="0" w:space="0" w:color="auto"/>
        <w:right w:val="none" w:sz="0" w:space="0" w:color="auto"/>
      </w:divBdr>
    </w:div>
    <w:div w:id="1976913888">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42053190">
      <w:bodyDiv w:val="1"/>
      <w:marLeft w:val="0"/>
      <w:marRight w:val="0"/>
      <w:marTop w:val="0"/>
      <w:marBottom w:val="0"/>
      <w:divBdr>
        <w:top w:val="none" w:sz="0" w:space="0" w:color="auto"/>
        <w:left w:val="none" w:sz="0" w:space="0" w:color="auto"/>
        <w:bottom w:val="none" w:sz="0" w:space="0" w:color="auto"/>
        <w:right w:val="none" w:sz="0" w:space="0" w:color="auto"/>
      </w:divBdr>
    </w:div>
    <w:div w:id="2056540977">
      <w:bodyDiv w:val="1"/>
      <w:marLeft w:val="0"/>
      <w:marRight w:val="0"/>
      <w:marTop w:val="0"/>
      <w:marBottom w:val="0"/>
      <w:divBdr>
        <w:top w:val="none" w:sz="0" w:space="0" w:color="auto"/>
        <w:left w:val="none" w:sz="0" w:space="0" w:color="auto"/>
        <w:bottom w:val="none" w:sz="0" w:space="0" w:color="auto"/>
        <w:right w:val="none" w:sz="0" w:space="0" w:color="auto"/>
      </w:divBdr>
    </w:div>
    <w:div w:id="2064325327">
      <w:bodyDiv w:val="1"/>
      <w:marLeft w:val="0"/>
      <w:marRight w:val="0"/>
      <w:marTop w:val="0"/>
      <w:marBottom w:val="0"/>
      <w:divBdr>
        <w:top w:val="none" w:sz="0" w:space="0" w:color="auto"/>
        <w:left w:val="none" w:sz="0" w:space="0" w:color="auto"/>
        <w:bottom w:val="none" w:sz="0" w:space="0" w:color="auto"/>
        <w:right w:val="none" w:sz="0" w:space="0" w:color="auto"/>
      </w:divBdr>
    </w:div>
    <w:div w:id="2074353131">
      <w:bodyDiv w:val="1"/>
      <w:marLeft w:val="0"/>
      <w:marRight w:val="0"/>
      <w:marTop w:val="0"/>
      <w:marBottom w:val="0"/>
      <w:divBdr>
        <w:top w:val="none" w:sz="0" w:space="0" w:color="auto"/>
        <w:left w:val="none" w:sz="0" w:space="0" w:color="auto"/>
        <w:bottom w:val="none" w:sz="0" w:space="0" w:color="auto"/>
        <w:right w:val="none" w:sz="0" w:space="0" w:color="auto"/>
      </w:divBdr>
    </w:div>
    <w:div w:id="2121217332">
      <w:bodyDiv w:val="1"/>
      <w:marLeft w:val="0"/>
      <w:marRight w:val="0"/>
      <w:marTop w:val="0"/>
      <w:marBottom w:val="0"/>
      <w:divBdr>
        <w:top w:val="none" w:sz="0" w:space="0" w:color="auto"/>
        <w:left w:val="none" w:sz="0" w:space="0" w:color="auto"/>
        <w:bottom w:val="none" w:sz="0" w:space="0" w:color="auto"/>
        <w:right w:val="none" w:sz="0" w:space="0" w:color="auto"/>
      </w:divBdr>
    </w:div>
    <w:div w:id="214218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AC31-F845-460C-8EB2-4C5FBD25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8456</Words>
  <Characters>50635</Characters>
  <Application>Microsoft Office Word</Application>
  <DocSecurity>0</DocSecurity>
  <Lines>421</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2017-06-21T05:44:00Z</dcterms:created>
  <dcterms:modified xsi:type="dcterms:W3CDTF">2017-06-21T05:49:00Z</dcterms:modified>
</cp:coreProperties>
</file>